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3F7A17" w14:textId="77777777" w:rsidR="002B4D6F" w:rsidRDefault="00790E5F" w:rsidP="00594554">
      <w:pPr>
        <w:jc w:val="center"/>
        <w:rPr>
          <w:b/>
          <w:sz w:val="48"/>
          <w:szCs w:val="48"/>
        </w:rPr>
      </w:pPr>
      <w:bookmarkStart w:id="0" w:name="_GoBack"/>
      <w:bookmarkEnd w:id="0"/>
      <w:r>
        <w:rPr>
          <w:noProof/>
        </w:rPr>
        <w:drawing>
          <wp:anchor distT="0" distB="0" distL="114300" distR="114300" simplePos="0" relativeHeight="251725824" behindDoc="1" locked="0" layoutInCell="1" allowOverlap="1" wp14:anchorId="0C3F8FA9" wp14:editId="0C3F8FAA">
            <wp:simplePos x="0" y="0"/>
            <wp:positionH relativeFrom="column">
              <wp:posOffset>-781050</wp:posOffset>
            </wp:positionH>
            <wp:positionV relativeFrom="paragraph">
              <wp:posOffset>-919480</wp:posOffset>
            </wp:positionV>
            <wp:extent cx="7597650" cy="10744199"/>
            <wp:effectExtent l="0" t="0" r="3810" b="635"/>
            <wp:wrapNone/>
            <wp:docPr id="1" name="Picture 1" descr="Front page: top left Tropwater Logo, top right james cook university australia logo."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port Cover 3.jpg"/>
                    <pic:cNvPicPr/>
                  </pic:nvPicPr>
                  <pic:blipFill>
                    <a:blip r:embed="rId13" cstate="screen">
                      <a:extLst>
                        <a:ext uri="{28A0092B-C50C-407E-A947-70E740481C1C}">
                          <a14:useLocalDpi xmlns:a14="http://schemas.microsoft.com/office/drawing/2010/main"/>
                        </a:ext>
                      </a:extLst>
                    </a:blip>
                    <a:stretch>
                      <a:fillRect/>
                    </a:stretch>
                  </pic:blipFill>
                  <pic:spPr>
                    <a:xfrm>
                      <a:off x="0" y="0"/>
                      <a:ext cx="7597650" cy="10744199"/>
                    </a:xfrm>
                    <a:prstGeom prst="rect">
                      <a:avLst/>
                    </a:prstGeom>
                  </pic:spPr>
                </pic:pic>
              </a:graphicData>
            </a:graphic>
          </wp:anchor>
        </w:drawing>
      </w:r>
    </w:p>
    <w:p w14:paraId="0C3F7A18" w14:textId="77777777" w:rsidR="002B4D6F" w:rsidRDefault="00821EED" w:rsidP="00821EED">
      <w:pPr>
        <w:jc w:val="center"/>
        <w:rPr>
          <w:b/>
          <w:sz w:val="48"/>
          <w:szCs w:val="48"/>
        </w:rPr>
      </w:pPr>
      <w:r>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0C3F8FAB" wp14:editId="0C3F8FAC">
                <wp:simplePos x="0" y="0"/>
                <wp:positionH relativeFrom="column">
                  <wp:posOffset>472440</wp:posOffset>
                </wp:positionH>
                <wp:positionV relativeFrom="paragraph">
                  <wp:posOffset>982980</wp:posOffset>
                </wp:positionV>
                <wp:extent cx="5212080" cy="4076700"/>
                <wp:effectExtent l="0" t="0" r="0" b="0"/>
                <wp:wrapNone/>
                <wp:docPr id="18" name="Text Box 7" descr="Marine Monitoring Program: Final report of JCU Activities 2012/13 - Flood Plumes and Extreme weather monitoring for the Great Barrier Reef Marine Park Authority.&#10;– Final Report – &#10;&#10;Lead Authors: Michelle Devlin1, Eduardo Teixeira da Silva1, Caroline Petus1, Dieter Tracey1&#10;Report No. 15/57&#10;" title="Title of repor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2080" cy="407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F907D" w14:textId="77777777" w:rsidR="007E5BBF" w:rsidRPr="00F3714C" w:rsidRDefault="007E5BBF" w:rsidP="00B63DB4">
                            <w:pPr>
                              <w:jc w:val="center"/>
                            </w:pPr>
                          </w:p>
                          <w:p w14:paraId="0C3F907E" w14:textId="77777777" w:rsidR="007E5BBF" w:rsidRPr="00393166" w:rsidRDefault="007E5BBF" w:rsidP="00E838DF">
                            <w:pPr>
                              <w:pStyle w:val="Default"/>
                              <w:jc w:val="center"/>
                              <w:rPr>
                                <w:rFonts w:asciiTheme="minorHAnsi" w:eastAsiaTheme="minorHAnsi" w:hAnsiTheme="minorHAnsi" w:cstheme="minorBidi"/>
                                <w:b/>
                                <w:color w:val="auto"/>
                                <w:sz w:val="44"/>
                                <w:szCs w:val="48"/>
                                <w:lang w:val="en-AU"/>
                              </w:rPr>
                            </w:pPr>
                            <w:r w:rsidRPr="00393166">
                              <w:rPr>
                                <w:rFonts w:asciiTheme="minorHAnsi" w:eastAsiaTheme="minorHAnsi" w:hAnsiTheme="minorHAnsi" w:cstheme="minorBidi"/>
                                <w:b/>
                                <w:color w:val="auto"/>
                                <w:sz w:val="44"/>
                                <w:szCs w:val="48"/>
                                <w:lang w:val="en-AU"/>
                              </w:rPr>
                              <w:t>Marine Monitoring Program: Final report of JCU Activities 2012/13 - Flood Plumes and Extreme weather monitoring for the Great Barrier Reef Marine Park Authority.</w:t>
                            </w:r>
                          </w:p>
                          <w:p w14:paraId="0C3F907F" w14:textId="77777777" w:rsidR="007E5BBF" w:rsidRPr="00393166" w:rsidRDefault="007E5BBF" w:rsidP="00E838DF">
                            <w:pPr>
                              <w:pStyle w:val="Default"/>
                              <w:ind w:left="360"/>
                              <w:jc w:val="center"/>
                              <w:rPr>
                                <w:rFonts w:asciiTheme="minorHAnsi" w:hAnsiTheme="minorHAnsi" w:cstheme="minorHAnsi"/>
                                <w:b/>
                                <w:sz w:val="28"/>
                                <w:szCs w:val="32"/>
                              </w:rPr>
                            </w:pPr>
                            <w:r w:rsidRPr="00393166">
                              <w:rPr>
                                <w:rFonts w:asciiTheme="minorHAnsi" w:eastAsiaTheme="minorHAnsi" w:hAnsiTheme="minorHAnsi" w:cstheme="minorBidi"/>
                                <w:b/>
                                <w:color w:val="auto"/>
                                <w:sz w:val="44"/>
                                <w:szCs w:val="48"/>
                                <w:lang w:val="en-AU"/>
                              </w:rPr>
                              <w:t xml:space="preserve">– Final Report – </w:t>
                            </w:r>
                          </w:p>
                          <w:p w14:paraId="0C3F9080" w14:textId="77777777" w:rsidR="007E5BBF" w:rsidRDefault="007E5BBF" w:rsidP="00821EED">
                            <w:pPr>
                              <w:pStyle w:val="Default"/>
                              <w:rPr>
                                <w:rFonts w:asciiTheme="minorHAnsi" w:hAnsiTheme="minorHAnsi" w:cstheme="minorHAnsi"/>
                                <w:b/>
                                <w:sz w:val="32"/>
                                <w:szCs w:val="32"/>
                              </w:rPr>
                            </w:pPr>
                          </w:p>
                          <w:p w14:paraId="0C3F9081" w14:textId="77777777" w:rsidR="007E5BBF" w:rsidRDefault="007E5BBF" w:rsidP="004F6AA8">
                            <w:pPr>
                              <w:spacing w:after="200" w:line="276" w:lineRule="auto"/>
                              <w:jc w:val="center"/>
                              <w:rPr>
                                <w:rFonts w:eastAsiaTheme="minorHAnsi" w:cstheme="minorBidi"/>
                                <w:b/>
                                <w:sz w:val="32"/>
                                <w:szCs w:val="32"/>
                                <w:vertAlign w:val="superscript"/>
                                <w:lang w:eastAsia="en-US"/>
                              </w:rPr>
                            </w:pPr>
                            <w:r>
                              <w:rPr>
                                <w:rFonts w:eastAsiaTheme="minorHAnsi" w:cstheme="minorBidi"/>
                                <w:b/>
                                <w:sz w:val="32"/>
                                <w:szCs w:val="32"/>
                                <w:lang w:eastAsia="en-US"/>
                              </w:rPr>
                              <w:t xml:space="preserve">Lead Authors: </w:t>
                            </w:r>
                            <w:r w:rsidRPr="00393166">
                              <w:rPr>
                                <w:rFonts w:eastAsiaTheme="minorHAnsi" w:cstheme="minorBidi"/>
                                <w:b/>
                                <w:sz w:val="32"/>
                                <w:szCs w:val="32"/>
                                <w:lang w:eastAsia="en-US"/>
                              </w:rPr>
                              <w:t>Michelle Devlin</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Eduardo Teixeira da Silva</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Caroline Petus</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Dieter Tracey</w:t>
                            </w:r>
                            <w:r w:rsidRPr="00393166">
                              <w:rPr>
                                <w:rFonts w:eastAsiaTheme="minorHAnsi" w:cstheme="minorBidi"/>
                                <w:b/>
                                <w:sz w:val="32"/>
                                <w:szCs w:val="32"/>
                                <w:vertAlign w:val="superscript"/>
                                <w:lang w:eastAsia="en-US"/>
                              </w:rPr>
                              <w:t>1</w:t>
                            </w:r>
                          </w:p>
                          <w:p w14:paraId="0C3F9082" w14:textId="77777777" w:rsidR="007E5BBF" w:rsidRPr="004F6AA8" w:rsidRDefault="007E5BBF" w:rsidP="00E838DF">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15/57</w:t>
                            </w:r>
                          </w:p>
                          <w:p w14:paraId="0C3F9083" w14:textId="77777777" w:rsidR="007E5BBF" w:rsidRDefault="007E5BBF" w:rsidP="004F6AA8">
                            <w:pPr>
                              <w:spacing w:after="200" w:line="276" w:lineRule="auto"/>
                              <w:jc w:val="center"/>
                              <w:rPr>
                                <w:rFonts w:eastAsiaTheme="minorHAnsi" w:cstheme="minorBidi"/>
                                <w:b/>
                                <w:sz w:val="32"/>
                                <w:szCs w:val="32"/>
                                <w:lang w:eastAsia="en-US"/>
                              </w:rPr>
                            </w:pPr>
                          </w:p>
                          <w:p w14:paraId="0C3F9084" w14:textId="77777777" w:rsidR="007E5BBF" w:rsidRPr="004F6AA8" w:rsidRDefault="007E5BBF" w:rsidP="004F6AA8">
                            <w:pPr>
                              <w:spacing w:after="200" w:line="276" w:lineRule="auto"/>
                              <w:jc w:val="center"/>
                              <w:rPr>
                                <w:rFonts w:eastAsiaTheme="minorHAnsi" w:cstheme="minorBidi"/>
                                <w:b/>
                                <w:sz w:val="32"/>
                                <w:szCs w:val="32"/>
                                <w:lang w:eastAsia="en-US"/>
                              </w:rPr>
                            </w:pPr>
                          </w:p>
                          <w:p w14:paraId="0C3F9085" w14:textId="77777777" w:rsidR="007E5BBF" w:rsidRPr="004F6AA8" w:rsidRDefault="007E5BBF" w:rsidP="004F6AA8">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15/14</w:t>
                            </w:r>
                          </w:p>
                          <w:p w14:paraId="0C3F9086" w14:textId="77777777" w:rsidR="007E5BBF" w:rsidRPr="004F6AA8" w:rsidRDefault="007E5BBF" w:rsidP="004F6AA8">
                            <w:pPr>
                              <w:spacing w:after="200" w:line="276" w:lineRule="auto"/>
                              <w:jc w:val="center"/>
                              <w:rPr>
                                <w:rFonts w:eastAsiaTheme="minorHAnsi" w:cstheme="minorBidi"/>
                                <w:b/>
                                <w:sz w:val="32"/>
                                <w:szCs w:val="32"/>
                                <w:lang w:eastAsia="en-US"/>
                              </w:rPr>
                            </w:pPr>
                            <w:r>
                              <w:rPr>
                                <w:rFonts w:eastAsiaTheme="minorHAnsi" w:cstheme="minorBidi"/>
                                <w:b/>
                                <w:sz w:val="32"/>
                                <w:szCs w:val="32"/>
                                <w:lang w:eastAsia="en-US"/>
                              </w:rPr>
                              <w:t>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alt="Title: Title of report - Description: Marine Monitoring Program: Final report of JCU Activities 2012/13 - Flood Plumes and Extreme weather monitoring for the Great Barrier Reef Marine Park Authority.&#10;– Final Report – &#10;&#10;Lead Authors: Michelle Devlin1, Eduardo Teixeira da Silva1, Caroline Petus1, Dieter Tracey1&#10;Report No. 15/57&#10;" style="position:absolute;left:0;text-align:left;margin-left:37.2pt;margin-top:77.4pt;width:410.4pt;height:32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" filled="f" stroked="f">
                <v:textbox>
                  <w:txbxContent>
                    <w:p w14:paraId="0C3F907D" w14:textId="77777777" w:rsidR="007E5BBF" w:rsidRPr="00F3714C" w:rsidRDefault="007E5BBF" w:rsidP="00B63DB4">
                      <w:pPr>
                        <w:jc w:val="center"/>
                      </w:pPr>
                    </w:p>
                    <w:p w14:paraId="0C3F907E" w14:textId="77777777" w:rsidR="007E5BBF" w:rsidRPr="00393166" w:rsidRDefault="007E5BBF" w:rsidP="00E838DF">
                      <w:pPr>
                        <w:pStyle w:val="Default"/>
                        <w:jc w:val="center"/>
                        <w:rPr>
                          <w:rFonts w:asciiTheme="minorHAnsi" w:eastAsiaTheme="minorHAnsi" w:hAnsiTheme="minorHAnsi" w:cstheme="minorBidi"/>
                          <w:b/>
                          <w:color w:val="auto"/>
                          <w:sz w:val="44"/>
                          <w:szCs w:val="48"/>
                          <w:lang w:val="en-AU"/>
                        </w:rPr>
                      </w:pPr>
                      <w:r w:rsidRPr="00393166">
                        <w:rPr>
                          <w:rFonts w:asciiTheme="minorHAnsi" w:eastAsiaTheme="minorHAnsi" w:hAnsiTheme="minorHAnsi" w:cstheme="minorBidi"/>
                          <w:b/>
                          <w:color w:val="auto"/>
                          <w:sz w:val="44"/>
                          <w:szCs w:val="48"/>
                          <w:lang w:val="en-AU"/>
                        </w:rPr>
                        <w:t>Marine Monitoring Program: Final report of JCU Activities 2012/13 - Flood Plumes and Extreme weather monitoring for the Great Barrier Reef Marine Park Authority.</w:t>
                      </w:r>
                    </w:p>
                    <w:p w14:paraId="0C3F907F" w14:textId="77777777" w:rsidR="007E5BBF" w:rsidRPr="00393166" w:rsidRDefault="007E5BBF" w:rsidP="00E838DF">
                      <w:pPr>
                        <w:pStyle w:val="Default"/>
                        <w:ind w:left="360"/>
                        <w:jc w:val="center"/>
                        <w:rPr>
                          <w:rFonts w:asciiTheme="minorHAnsi" w:hAnsiTheme="minorHAnsi" w:cstheme="minorHAnsi"/>
                          <w:b/>
                          <w:sz w:val="28"/>
                          <w:szCs w:val="32"/>
                        </w:rPr>
                      </w:pPr>
                      <w:r w:rsidRPr="00393166">
                        <w:rPr>
                          <w:rFonts w:asciiTheme="minorHAnsi" w:eastAsiaTheme="minorHAnsi" w:hAnsiTheme="minorHAnsi" w:cstheme="minorBidi"/>
                          <w:b/>
                          <w:color w:val="auto"/>
                          <w:sz w:val="44"/>
                          <w:szCs w:val="48"/>
                          <w:lang w:val="en-AU"/>
                        </w:rPr>
                        <w:t xml:space="preserve">– Final Report – </w:t>
                      </w:r>
                    </w:p>
                    <w:p w14:paraId="0C3F9080" w14:textId="77777777" w:rsidR="007E5BBF" w:rsidRDefault="007E5BBF" w:rsidP="00821EED">
                      <w:pPr>
                        <w:pStyle w:val="Default"/>
                        <w:rPr>
                          <w:rFonts w:asciiTheme="minorHAnsi" w:hAnsiTheme="minorHAnsi" w:cstheme="minorHAnsi"/>
                          <w:b/>
                          <w:sz w:val="32"/>
                          <w:szCs w:val="32"/>
                        </w:rPr>
                      </w:pPr>
                    </w:p>
                    <w:p w14:paraId="0C3F9081" w14:textId="77777777" w:rsidR="007E5BBF" w:rsidRDefault="007E5BBF" w:rsidP="004F6AA8">
                      <w:pPr>
                        <w:spacing w:after="200" w:line="276" w:lineRule="auto"/>
                        <w:jc w:val="center"/>
                        <w:rPr>
                          <w:rFonts w:eastAsiaTheme="minorHAnsi" w:cstheme="minorBidi"/>
                          <w:b/>
                          <w:sz w:val="32"/>
                          <w:szCs w:val="32"/>
                          <w:vertAlign w:val="superscript"/>
                          <w:lang w:eastAsia="en-US"/>
                        </w:rPr>
                      </w:pPr>
                      <w:r>
                        <w:rPr>
                          <w:rFonts w:eastAsiaTheme="minorHAnsi" w:cstheme="minorBidi"/>
                          <w:b/>
                          <w:sz w:val="32"/>
                          <w:szCs w:val="32"/>
                          <w:lang w:eastAsia="en-US"/>
                        </w:rPr>
                        <w:t xml:space="preserve">Lead Authors: </w:t>
                      </w:r>
                      <w:r w:rsidRPr="00393166">
                        <w:rPr>
                          <w:rFonts w:eastAsiaTheme="minorHAnsi" w:cstheme="minorBidi"/>
                          <w:b/>
                          <w:sz w:val="32"/>
                          <w:szCs w:val="32"/>
                          <w:lang w:eastAsia="en-US"/>
                        </w:rPr>
                        <w:t>Michelle Devlin</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Eduardo Teixeira da Silva</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Caroline Petus</w:t>
                      </w:r>
                      <w:r w:rsidRPr="00393166">
                        <w:rPr>
                          <w:rFonts w:eastAsiaTheme="minorHAnsi" w:cstheme="minorBidi"/>
                          <w:b/>
                          <w:sz w:val="32"/>
                          <w:szCs w:val="32"/>
                          <w:vertAlign w:val="superscript"/>
                          <w:lang w:eastAsia="en-US"/>
                        </w:rPr>
                        <w:t>1</w:t>
                      </w:r>
                      <w:r w:rsidRPr="00393166">
                        <w:rPr>
                          <w:rFonts w:eastAsiaTheme="minorHAnsi" w:cstheme="minorBidi"/>
                          <w:b/>
                          <w:sz w:val="32"/>
                          <w:szCs w:val="32"/>
                          <w:lang w:eastAsia="en-US"/>
                        </w:rPr>
                        <w:t>, Dieter Tracey</w:t>
                      </w:r>
                      <w:r w:rsidRPr="00393166">
                        <w:rPr>
                          <w:rFonts w:eastAsiaTheme="minorHAnsi" w:cstheme="minorBidi"/>
                          <w:b/>
                          <w:sz w:val="32"/>
                          <w:szCs w:val="32"/>
                          <w:vertAlign w:val="superscript"/>
                          <w:lang w:eastAsia="en-US"/>
                        </w:rPr>
                        <w:t>1</w:t>
                      </w:r>
                    </w:p>
                    <w:p w14:paraId="0C3F9082" w14:textId="77777777" w:rsidR="007E5BBF" w:rsidRPr="004F6AA8" w:rsidRDefault="007E5BBF" w:rsidP="00E838DF">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15/57</w:t>
                      </w:r>
                    </w:p>
                    <w:p w14:paraId="0C3F9083" w14:textId="77777777" w:rsidR="007E5BBF" w:rsidRDefault="007E5BBF" w:rsidP="004F6AA8">
                      <w:pPr>
                        <w:spacing w:after="200" w:line="276" w:lineRule="auto"/>
                        <w:jc w:val="center"/>
                        <w:rPr>
                          <w:rFonts w:eastAsiaTheme="minorHAnsi" w:cstheme="minorBidi"/>
                          <w:b/>
                          <w:sz w:val="32"/>
                          <w:szCs w:val="32"/>
                          <w:lang w:eastAsia="en-US"/>
                        </w:rPr>
                      </w:pPr>
                    </w:p>
                    <w:p w14:paraId="0C3F9084" w14:textId="77777777" w:rsidR="007E5BBF" w:rsidRPr="004F6AA8" w:rsidRDefault="007E5BBF" w:rsidP="004F6AA8">
                      <w:pPr>
                        <w:spacing w:after="200" w:line="276" w:lineRule="auto"/>
                        <w:jc w:val="center"/>
                        <w:rPr>
                          <w:rFonts w:eastAsiaTheme="minorHAnsi" w:cstheme="minorBidi"/>
                          <w:b/>
                          <w:sz w:val="32"/>
                          <w:szCs w:val="32"/>
                          <w:lang w:eastAsia="en-US"/>
                        </w:rPr>
                      </w:pPr>
                    </w:p>
                    <w:p w14:paraId="0C3F9085" w14:textId="77777777" w:rsidR="007E5BBF" w:rsidRPr="004F6AA8" w:rsidRDefault="007E5BBF" w:rsidP="004F6AA8">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15/14</w:t>
                      </w:r>
                    </w:p>
                    <w:p w14:paraId="0C3F9086" w14:textId="77777777" w:rsidR="007E5BBF" w:rsidRPr="004F6AA8" w:rsidRDefault="007E5BBF" w:rsidP="004F6AA8">
                      <w:pPr>
                        <w:spacing w:after="200" w:line="276" w:lineRule="auto"/>
                        <w:jc w:val="center"/>
                        <w:rPr>
                          <w:rFonts w:eastAsiaTheme="minorHAnsi" w:cstheme="minorBidi"/>
                          <w:b/>
                          <w:sz w:val="32"/>
                          <w:szCs w:val="32"/>
                          <w:lang w:eastAsia="en-US"/>
                        </w:rPr>
                      </w:pPr>
                      <w:r>
                        <w:rPr>
                          <w:rFonts w:eastAsiaTheme="minorHAnsi" w:cstheme="minorBidi"/>
                          <w:b/>
                          <w:sz w:val="32"/>
                          <w:szCs w:val="32"/>
                          <w:lang w:eastAsia="en-US"/>
                        </w:rPr>
                        <w:t>DATE</w:t>
                      </w:r>
                    </w:p>
                  </w:txbxContent>
                </v:textbox>
              </v:shape>
            </w:pict>
          </mc:Fallback>
        </mc:AlternateContent>
      </w:r>
      <w:r w:rsidR="00EB4A80">
        <w:rPr>
          <w:rFonts w:ascii="Times New Roman" w:hAnsi="Times New Roman" w:cs="Times New Roman"/>
          <w:noProof/>
          <w:sz w:val="24"/>
          <w:szCs w:val="24"/>
        </w:rPr>
        <mc:AlternateContent>
          <mc:Choice Requires="wpg">
            <w:drawing>
              <wp:anchor distT="0" distB="0" distL="114300" distR="114300" simplePos="0" relativeHeight="251710464" behindDoc="0" locked="0" layoutInCell="1" allowOverlap="1" wp14:anchorId="0C3F8FAD" wp14:editId="0C3F8FAE">
                <wp:simplePos x="0" y="0"/>
                <wp:positionH relativeFrom="column">
                  <wp:posOffset>958215</wp:posOffset>
                </wp:positionH>
                <wp:positionV relativeFrom="paragraph">
                  <wp:posOffset>5378450</wp:posOffset>
                </wp:positionV>
                <wp:extent cx="4093210" cy="2906395"/>
                <wp:effectExtent l="38100" t="38100" r="40640" b="46355"/>
                <wp:wrapTopAndBottom/>
                <wp:docPr id="19" name="Group 3" descr="Front page pictures" title="Front page pictures"/>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93210" cy="2906395"/>
                          <a:chOff x="0" y="0"/>
                          <a:chExt cx="4093028" cy="2906486"/>
                        </a:xfrm>
                      </wpg:grpSpPr>
                      <pic:pic xmlns:pic="http://schemas.openxmlformats.org/drawingml/2006/picture">
                        <pic:nvPicPr>
                          <pic:cNvPr id="30" name="Picture 30" descr="P1050425"/>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2231571" y="21772"/>
                            <a:ext cx="1861457" cy="1404257"/>
                          </a:xfrm>
                          <a:prstGeom prst="rect">
                            <a:avLst/>
                          </a:prstGeom>
                          <a:solidFill>
                            <a:schemeClr val="bg1"/>
                          </a:solidFill>
                          <a:ln w="44450">
                            <a:solidFill>
                              <a:schemeClr val="bg1"/>
                            </a:solidFill>
                            <a:miter lim="800000"/>
                            <a:headEnd/>
                            <a:tailEnd/>
                          </a:ln>
                          <a:extLst/>
                        </pic:spPr>
                      </pic:pic>
                      <pic:pic xmlns:pic="http://schemas.openxmlformats.org/drawingml/2006/picture">
                        <pic:nvPicPr>
                          <pic:cNvPr id="31" name="Picture 31" descr="P1050461"/>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77143" cy="2906486"/>
                          </a:xfrm>
                          <a:prstGeom prst="rect">
                            <a:avLst/>
                          </a:prstGeom>
                          <a:solidFill>
                            <a:schemeClr val="bg1"/>
                          </a:solidFill>
                          <a:ln w="44450">
                            <a:solidFill>
                              <a:schemeClr val="bg1"/>
                            </a:solidFill>
                            <a:miter lim="800000"/>
                            <a:headEnd/>
                            <a:tailEnd/>
                          </a:ln>
                          <a:extLst/>
                        </pic:spPr>
                      </pic:pic>
                      <pic:pic xmlns:pic="http://schemas.openxmlformats.org/drawingml/2006/picture">
                        <pic:nvPicPr>
                          <pic:cNvPr id="47" name="Picture 47" descr="P1000996"/>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2231571" y="1480458"/>
                            <a:ext cx="1861457" cy="1404257"/>
                          </a:xfrm>
                          <a:prstGeom prst="rect">
                            <a:avLst/>
                          </a:prstGeom>
                          <a:solidFill>
                            <a:schemeClr val="bg1"/>
                          </a:solidFill>
                          <a:ln w="44450">
                            <a:solidFill>
                              <a:schemeClr val="bg1"/>
                            </a:solidFill>
                            <a:miter lim="800000"/>
                            <a:headEnd/>
                            <a:tailEnd/>
                          </a:ln>
                          <a:extLst/>
                        </pic:spPr>
                      </pic:pic>
                    </wpg:wgp>
                  </a:graphicData>
                </a:graphic>
                <wp14:sizeRelH relativeFrom="page">
                  <wp14:pctWidth>0</wp14:pctWidth>
                </wp14:sizeRelH>
                <wp14:sizeRelV relativeFrom="page">
                  <wp14:pctHeight>0</wp14:pctHeight>
                </wp14:sizeRelV>
              </wp:anchor>
            </w:drawing>
          </mc:Choice>
          <mc:Fallback>
            <w:pict>
              <v:group id="Group 3" o:spid="_x0000_s1026" alt="Title: Front page pictures - Description: Front page pictures" style="position:absolute;margin-left:75.45pt;margin-top:423.5pt;width:322.3pt;height:228.85pt;z-index:251710464" coordsize="40930,290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 o:spid="_x0000_s1027" type="#_x0000_t75" alt="P1050425" style="position:absolute;left:22315;top:217;width:18615;height:140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E0WXBAAAA2wAAAA8AAABkcnMvZG93bnJldi54bWxET02LwjAQvS/4H8IIXhZNV0GWapQirOhN&#10;6wp6G5qxLTaT0kRb/fXmIHh8vO/5sjOVuFPjSssKfkYRCOLM6pJzBf+Hv+EvCOeRNVaWScGDHCwX&#10;va85xtq2vKd76nMRQtjFqKDwvo6ldFlBBt3I1sSBu9jGoA+wyaVusA3hppLjKJpKgyWHhgJrWhWU&#10;XdObUbA/r9v2kZ5k4g7jZ3T8Tqbr7U6pQb9LZiA8df4jfrs3WsEkrA9fwg+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YE0WXBAAAA2wAAAA8AAAAAAAAAAAAAAAAAnwIA&#10;AGRycy9kb3ducmV2LnhtbFBLBQYAAAAABAAEAPcAAACNAwAAAAA=&#10;" filled="t" fillcolor="white [3212]" stroked="t" strokecolor="white [3212]" strokeweight="3.5pt">
                  <v:imagedata r:id="rId17" o:title="P1050425"/>
                  <v:path arrowok="t"/>
                </v:shape>
                <v:shape id="Picture 31" o:spid="_x0000_s1028" type="#_x0000_t75" alt="P1050461" style="position:absolute;width:21771;height:29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k4MnDAAAA2wAAAA8AAABkcnMvZG93bnJldi54bWxEj09rwkAUxO8Fv8PyBG91owEpqauU2qAH&#10;odSWnh/ZZxLMvk131/z59m5B8DjMzG+Y9XYwjejI+dqygsU8AUFcWF1zqeDnO39+AeEDssbGMikY&#10;ycN2M3laY6Ztz1/UnUIpIoR9hgqqENpMSl9UZNDPbUscvbN1BkOUrpTaYR/hppHLJFlJgzXHhQpb&#10;eq+ouJyuRsGf2e8+gzPj8aPeUd5Q/ivTXKnZdHh7BRFoCI/wvX3QCtIF/H+JP0Bub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CTgycMAAADbAAAADwAAAAAAAAAAAAAAAACf&#10;AgAAZHJzL2Rvd25yZXYueG1sUEsFBgAAAAAEAAQA9wAAAI8DAAAAAA==&#10;" filled="t" fillcolor="white [3212]" stroked="t" strokecolor="white [3212]" strokeweight="3.5pt">
                  <v:imagedata r:id="rId18" o:title="P1050461"/>
                  <v:path arrowok="t"/>
                </v:shape>
                <v:shape id="Picture 47" o:spid="_x0000_s1029" type="#_x0000_t75" alt="P1000996" style="position:absolute;left:22315;top:14804;width:18615;height:140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ViV3nCAAAA2wAAAA8AAABkcnMvZG93bnJldi54bWxEj9FqwkAURN8L/sNyC77VTWJoS3QVKwg+&#10;KY39gEv2NondvRuy2yT+vVso+DjMzBlmvZ2sEQP1vnWsIF0kIIgrp1uuFXxdDi/vIHxA1mgck4Ib&#10;edhuZk9rLLQb+ZOGMtQiQtgXqKAJoSuk9FVDFv3CdcTR+3a9xRBlX0vd4xjh1sgsSV6lxZbjQoMd&#10;7RuqfspfqyD7uEg0/lxW19ykp3aZJnVIlZo/T7sViEBTeIT/20etIH+Dvy/xB8jN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FYld5wgAAANsAAAAPAAAAAAAAAAAAAAAAAJ8C&#10;AABkcnMvZG93bnJldi54bWxQSwUGAAAAAAQABAD3AAAAjgMAAAAA&#10;" filled="t" fillcolor="white [3212]" stroked="t" strokecolor="white [3212]" strokeweight="3.5pt">
                  <v:imagedata r:id="rId19" o:title="P1000996"/>
                  <v:path arrowok="t"/>
                </v:shape>
                <w10:wrap type="topAndBottom"/>
              </v:group>
            </w:pict>
          </mc:Fallback>
        </mc:AlternateContent>
      </w:r>
      <w:r w:rsidR="002B4D6F">
        <w:rPr>
          <w:b/>
          <w:sz w:val="48"/>
          <w:szCs w:val="48"/>
        </w:rPr>
        <w:br w:type="page"/>
      </w:r>
    </w:p>
    <w:p w14:paraId="0C3F7A19" w14:textId="77777777" w:rsidR="00E838DF" w:rsidRDefault="00E838DF" w:rsidP="00E838DF">
      <w:pPr>
        <w:jc w:val="center"/>
        <w:rPr>
          <w:b/>
          <w:sz w:val="48"/>
          <w:szCs w:val="48"/>
        </w:rPr>
      </w:pPr>
      <w:r w:rsidRPr="00393166">
        <w:rPr>
          <w:b/>
          <w:sz w:val="48"/>
          <w:szCs w:val="48"/>
        </w:rPr>
        <w:lastRenderedPageBreak/>
        <w:t>Marine Monitoring Program: Final report of JCU Activities 2012/13 - Flood Plumes and Extreme weather monitoring for the Great Barrier Reef Marine Park Authority.</w:t>
      </w:r>
    </w:p>
    <w:p w14:paraId="0C3F7A1A" w14:textId="77777777" w:rsidR="00E838DF" w:rsidRPr="00393166" w:rsidRDefault="00E838DF" w:rsidP="00E838DF">
      <w:pPr>
        <w:jc w:val="center"/>
        <w:rPr>
          <w:b/>
          <w:sz w:val="48"/>
          <w:szCs w:val="48"/>
        </w:rPr>
      </w:pPr>
      <w:r>
        <w:rPr>
          <w:b/>
          <w:sz w:val="48"/>
          <w:szCs w:val="48"/>
        </w:rPr>
        <w:t>– Final Report –</w:t>
      </w:r>
    </w:p>
    <w:p w14:paraId="0C3F7A1B" w14:textId="77777777" w:rsidR="00CC1551" w:rsidRDefault="00CC1551" w:rsidP="00594554">
      <w:pPr>
        <w:jc w:val="center"/>
        <w:rPr>
          <w:sz w:val="32"/>
          <w:szCs w:val="32"/>
        </w:rPr>
      </w:pPr>
    </w:p>
    <w:p w14:paraId="0C3F7A1C" w14:textId="77777777" w:rsidR="001D46B7" w:rsidRPr="00F6756B" w:rsidRDefault="00A22ACE" w:rsidP="00594554">
      <w:pPr>
        <w:jc w:val="center"/>
        <w:rPr>
          <w:sz w:val="32"/>
          <w:szCs w:val="32"/>
        </w:rPr>
      </w:pPr>
      <w:r w:rsidRPr="00F6756B">
        <w:rPr>
          <w:sz w:val="32"/>
          <w:szCs w:val="32"/>
        </w:rPr>
        <w:t>A Report for</w:t>
      </w:r>
      <w:r w:rsidR="008A4B6B">
        <w:rPr>
          <w:sz w:val="32"/>
          <w:szCs w:val="32"/>
        </w:rPr>
        <w:t xml:space="preserve"> the </w:t>
      </w:r>
      <w:r w:rsidR="00E838DF">
        <w:rPr>
          <w:sz w:val="32"/>
          <w:szCs w:val="32"/>
        </w:rPr>
        <w:t>Great Barrier Reef Marine Park Authority</w:t>
      </w:r>
    </w:p>
    <w:p w14:paraId="0C3F7A1D" w14:textId="77777777" w:rsidR="007D5537" w:rsidRPr="00F6756B" w:rsidRDefault="007D5537" w:rsidP="00594554">
      <w:pPr>
        <w:jc w:val="center"/>
        <w:rPr>
          <w:sz w:val="32"/>
          <w:szCs w:val="32"/>
        </w:rPr>
      </w:pPr>
    </w:p>
    <w:p w14:paraId="0C3F7A1E" w14:textId="77777777" w:rsidR="001D46B7" w:rsidRPr="00F6756B" w:rsidRDefault="001D46B7" w:rsidP="00594554">
      <w:pPr>
        <w:jc w:val="center"/>
        <w:rPr>
          <w:sz w:val="32"/>
          <w:szCs w:val="32"/>
        </w:rPr>
      </w:pPr>
      <w:r w:rsidRPr="004F6AA8">
        <w:rPr>
          <w:sz w:val="32"/>
          <w:szCs w:val="32"/>
        </w:rPr>
        <w:t xml:space="preserve">Report No. </w:t>
      </w:r>
      <w:r w:rsidR="00F339E7">
        <w:rPr>
          <w:sz w:val="32"/>
          <w:szCs w:val="32"/>
        </w:rPr>
        <w:t>15</w:t>
      </w:r>
      <w:r w:rsidR="00E838DF">
        <w:rPr>
          <w:sz w:val="32"/>
          <w:szCs w:val="32"/>
        </w:rPr>
        <w:t>/</w:t>
      </w:r>
      <w:r w:rsidR="00F339E7">
        <w:rPr>
          <w:sz w:val="32"/>
          <w:szCs w:val="32"/>
        </w:rPr>
        <w:t>57</w:t>
      </w:r>
    </w:p>
    <w:p w14:paraId="0C3F7A1F" w14:textId="77777777" w:rsidR="001D46B7" w:rsidRPr="00F6756B" w:rsidRDefault="001D46B7" w:rsidP="00594554">
      <w:pPr>
        <w:jc w:val="center"/>
        <w:rPr>
          <w:sz w:val="32"/>
          <w:szCs w:val="32"/>
        </w:rPr>
      </w:pPr>
    </w:p>
    <w:p w14:paraId="0C3F7A20" w14:textId="77777777" w:rsidR="001D46B7" w:rsidRPr="00F6756B" w:rsidRDefault="00F339E7" w:rsidP="00594554">
      <w:pPr>
        <w:jc w:val="center"/>
        <w:rPr>
          <w:sz w:val="32"/>
          <w:szCs w:val="32"/>
        </w:rPr>
      </w:pPr>
      <w:r>
        <w:rPr>
          <w:sz w:val="32"/>
          <w:szCs w:val="32"/>
        </w:rPr>
        <w:t>2015</w:t>
      </w:r>
    </w:p>
    <w:p w14:paraId="0C3F7A21" w14:textId="77777777" w:rsidR="00E838DF" w:rsidRDefault="00E838DF" w:rsidP="00E838DF">
      <w:pPr>
        <w:jc w:val="center"/>
        <w:rPr>
          <w:sz w:val="32"/>
          <w:szCs w:val="32"/>
        </w:rPr>
      </w:pPr>
      <w:r w:rsidRPr="00F6756B">
        <w:rPr>
          <w:sz w:val="32"/>
          <w:szCs w:val="32"/>
        </w:rPr>
        <w:t xml:space="preserve">Prepared by </w:t>
      </w:r>
      <w:r w:rsidRPr="00393166">
        <w:rPr>
          <w:sz w:val="32"/>
          <w:szCs w:val="32"/>
        </w:rPr>
        <w:t>Michelle Devlin</w:t>
      </w:r>
      <w:r w:rsidRPr="00393166">
        <w:rPr>
          <w:sz w:val="32"/>
          <w:szCs w:val="32"/>
          <w:vertAlign w:val="superscript"/>
        </w:rPr>
        <w:t>1</w:t>
      </w:r>
      <w:r w:rsidRPr="00393166">
        <w:rPr>
          <w:sz w:val="32"/>
          <w:szCs w:val="32"/>
        </w:rPr>
        <w:t>, Eduardo Teixeira da Silva</w:t>
      </w:r>
      <w:r w:rsidRPr="00393166">
        <w:rPr>
          <w:sz w:val="32"/>
          <w:szCs w:val="32"/>
          <w:vertAlign w:val="superscript"/>
        </w:rPr>
        <w:t>1</w:t>
      </w:r>
      <w:r w:rsidRPr="00393166">
        <w:rPr>
          <w:sz w:val="32"/>
          <w:szCs w:val="32"/>
        </w:rPr>
        <w:t>, Caroline Petus</w:t>
      </w:r>
      <w:r w:rsidRPr="00393166">
        <w:rPr>
          <w:sz w:val="32"/>
          <w:szCs w:val="32"/>
          <w:vertAlign w:val="superscript"/>
        </w:rPr>
        <w:t>1</w:t>
      </w:r>
      <w:r w:rsidRPr="00393166">
        <w:rPr>
          <w:sz w:val="32"/>
          <w:szCs w:val="32"/>
        </w:rPr>
        <w:t>, Dieter Tracey</w:t>
      </w:r>
      <w:r w:rsidRPr="00393166">
        <w:rPr>
          <w:sz w:val="32"/>
          <w:szCs w:val="32"/>
          <w:vertAlign w:val="superscript"/>
        </w:rPr>
        <w:t>1</w:t>
      </w:r>
    </w:p>
    <w:p w14:paraId="0C3F7A22" w14:textId="77777777" w:rsidR="00A90185" w:rsidRPr="00A90185" w:rsidRDefault="00A90185" w:rsidP="00A90185">
      <w:pPr>
        <w:spacing w:before="0" w:after="0"/>
        <w:jc w:val="center"/>
        <w:rPr>
          <w:rStyle w:val="Hyperlink"/>
          <w:color w:val="auto"/>
          <w:u w:val="none"/>
          <w:lang w:val="fr-FR"/>
        </w:rPr>
      </w:pPr>
      <w:r w:rsidRPr="00A90185">
        <w:rPr>
          <w:rStyle w:val="Hyperlink"/>
          <w:color w:val="auto"/>
          <w:u w:val="none"/>
          <w:vertAlign w:val="superscript"/>
          <w:lang w:val="fr-FR"/>
        </w:rPr>
        <w:t>1</w:t>
      </w:r>
      <w:r w:rsidRPr="00A90185">
        <w:rPr>
          <w:rStyle w:val="Hyperlink"/>
          <w:color w:val="auto"/>
          <w:u w:val="none"/>
          <w:lang w:val="fr-FR"/>
        </w:rPr>
        <w:t>TropWATER, James Cook University</w:t>
      </w:r>
    </w:p>
    <w:p w14:paraId="0C3F7A23" w14:textId="77777777" w:rsidR="00E35FA5" w:rsidRPr="00A90185" w:rsidRDefault="00E35FA5" w:rsidP="00F6756B">
      <w:pPr>
        <w:jc w:val="center"/>
        <w:rPr>
          <w:rStyle w:val="Hyperlink"/>
          <w:color w:val="auto"/>
          <w:u w:val="none"/>
          <w:lang w:val="fr-FR"/>
        </w:rPr>
      </w:pPr>
    </w:p>
    <w:p w14:paraId="0C3F7A24" w14:textId="77777777" w:rsidR="001D46B7" w:rsidRPr="00036C83" w:rsidRDefault="001D46B7" w:rsidP="00F6756B">
      <w:pPr>
        <w:jc w:val="center"/>
      </w:pPr>
      <w:r w:rsidRPr="00036C83">
        <w:t>Centre for Tropical Water &amp; Aquatic</w:t>
      </w:r>
      <w:r w:rsidR="00271745" w:rsidRPr="00036C83">
        <w:t xml:space="preserve"> </w:t>
      </w:r>
      <w:r w:rsidRPr="00036C83">
        <w:t>Ecosystem Research</w:t>
      </w:r>
    </w:p>
    <w:p w14:paraId="0C3F7A25" w14:textId="77777777" w:rsidR="001D46B7" w:rsidRPr="00036C83" w:rsidRDefault="001D46B7" w:rsidP="00F6756B">
      <w:pPr>
        <w:jc w:val="center"/>
      </w:pPr>
      <w:r w:rsidRPr="00036C83">
        <w:t>(TropWATER)</w:t>
      </w:r>
    </w:p>
    <w:p w14:paraId="0C3F7A26" w14:textId="77777777" w:rsidR="00FD4D1A" w:rsidRDefault="00FD4D1A" w:rsidP="00F6756B">
      <w:pPr>
        <w:jc w:val="center"/>
      </w:pPr>
      <w:r w:rsidRPr="00F6756B">
        <w:t>James Cook University</w:t>
      </w:r>
    </w:p>
    <w:p w14:paraId="0C3F7A27" w14:textId="77777777" w:rsidR="00FD4D1A" w:rsidRPr="00F6756B" w:rsidRDefault="00F121C3" w:rsidP="00F6756B">
      <w:pPr>
        <w:jc w:val="center"/>
      </w:pPr>
      <w:r>
        <w:t>Townsville</w:t>
      </w:r>
    </w:p>
    <w:p w14:paraId="0C3F7A28" w14:textId="77777777" w:rsidR="00CC1551" w:rsidRPr="00036C83" w:rsidRDefault="007B2B62" w:rsidP="00F6756B">
      <w:pPr>
        <w:jc w:val="center"/>
      </w:pPr>
      <w:r>
        <w:t>Phone</w:t>
      </w:r>
      <w:r w:rsidR="00CC1551" w:rsidRPr="00036C83">
        <w:t>: (07) 4781 4262</w:t>
      </w:r>
    </w:p>
    <w:p w14:paraId="0C3F7A29" w14:textId="77777777" w:rsidR="00FD4D1A" w:rsidRPr="00036C83" w:rsidRDefault="00FD4D1A" w:rsidP="00F6756B">
      <w:pPr>
        <w:jc w:val="center"/>
      </w:pPr>
      <w:r w:rsidRPr="00036C83">
        <w:t xml:space="preserve">Email: </w:t>
      </w:r>
      <w:r w:rsidR="00531C57" w:rsidRPr="00036C83">
        <w:t>TropWATER</w:t>
      </w:r>
      <w:r w:rsidR="00F121C3" w:rsidRPr="00036C83">
        <w:t>@jcu.edu.au</w:t>
      </w:r>
    </w:p>
    <w:p w14:paraId="0C3F7A2A" w14:textId="77777777" w:rsidR="006D0A1F" w:rsidRPr="00271745" w:rsidRDefault="001D46B7" w:rsidP="00F6756B">
      <w:pPr>
        <w:jc w:val="center"/>
      </w:pPr>
      <w:r w:rsidRPr="00036C83">
        <w:t>Web: www.jcu.edu.au/tropwater/</w:t>
      </w:r>
    </w:p>
    <w:p w14:paraId="0C3F7A2B" w14:textId="77777777" w:rsidR="009E7629" w:rsidRDefault="00036C83" w:rsidP="00CC1551">
      <w:pPr>
        <w:pStyle w:val="Body"/>
      </w:pPr>
      <w:r>
        <w:rPr>
          <w:rFonts w:ascii="Times New Roman" w:hAnsi="Times New Roman" w:cs="Times New Roman"/>
          <w:noProof/>
          <w:sz w:val="24"/>
          <w:szCs w:val="24"/>
          <w:lang w:eastAsia="en-AU"/>
        </w:rPr>
        <w:drawing>
          <wp:anchor distT="0" distB="0" distL="114300" distR="114300" simplePos="0" relativeHeight="251696128" behindDoc="0" locked="0" layoutInCell="1" allowOverlap="1" wp14:anchorId="0C3F8FAF" wp14:editId="0C3F8FB0">
            <wp:simplePos x="0" y="0"/>
            <wp:positionH relativeFrom="column">
              <wp:posOffset>-5715</wp:posOffset>
            </wp:positionH>
            <wp:positionV relativeFrom="paragraph">
              <wp:posOffset>2118360</wp:posOffset>
            </wp:positionV>
            <wp:extent cx="1694180" cy="883920"/>
            <wp:effectExtent l="0" t="0" r="127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1694180" cy="883920"/>
                    </a:xfrm>
                    <a:prstGeom prst="rect">
                      <a:avLst/>
                    </a:prstGeom>
                    <a:noFill/>
                  </pic:spPr>
                </pic:pic>
              </a:graphicData>
            </a:graphic>
          </wp:anchor>
        </w:drawing>
      </w:r>
      <w:r w:rsidR="00A7224C">
        <w:rPr>
          <w:noProof/>
          <w:lang w:eastAsia="en-AU"/>
        </w:rPr>
        <w:drawing>
          <wp:anchor distT="0" distB="0" distL="114300" distR="114300" simplePos="0" relativeHeight="251671552" behindDoc="0" locked="0" layoutInCell="1" allowOverlap="1" wp14:anchorId="0C3F8FB1" wp14:editId="0C3F8FB2">
            <wp:simplePos x="0" y="0"/>
            <wp:positionH relativeFrom="column">
              <wp:posOffset>3916680</wp:posOffset>
            </wp:positionH>
            <wp:positionV relativeFrom="paragraph">
              <wp:posOffset>1991995</wp:posOffset>
            </wp:positionV>
            <wp:extent cx="2087880" cy="1099185"/>
            <wp:effectExtent l="0" t="0" r="7620" b="5715"/>
            <wp:wrapNone/>
            <wp:docPr id="29" name="Picture 29" descr="http://api.ning.com/files/fkz1aW-oepjwgzLg-*G5Zrzv48wIszrBs1pEFeBD-kKmaclwbVeUA6J7kwtf1B3eN7h1zYzY6XAcKPdo3fGUjP8ckbgVCL0N/JCU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pi.ning.com/files/fkz1aW-oepjwgzLg-*G5Zrzv48wIszrBs1pEFeBD-kKmaclwbVeUA6J7kwtf1B3eN7h1zYzY6XAcKPdo3fGUjP8ckbgVCL0N/JCU_Logo_RGB.JPG"/>
                    <pic:cNvPicPr>
                      <a:picLocks noChangeAspect="1" noChangeArrowheads="1"/>
                    </pic:cNvPicPr>
                  </pic:nvPicPr>
                  <pic:blipFill>
                    <a:blip r:embed="rId21" r:link="rId22" cstate="screen">
                      <a:extLst>
                        <a:ext uri="{28A0092B-C50C-407E-A947-70E740481C1C}">
                          <a14:useLocalDpi xmlns:a14="http://schemas.microsoft.com/office/drawing/2010/main"/>
                        </a:ext>
                      </a:extLst>
                    </a:blip>
                    <a:srcRect/>
                    <a:stretch>
                      <a:fillRect/>
                    </a:stretch>
                  </pic:blipFill>
                  <pic:spPr bwMode="auto">
                    <a:xfrm>
                      <a:off x="0" y="0"/>
                      <a:ext cx="2087880" cy="1099185"/>
                    </a:xfrm>
                    <a:prstGeom prst="rect">
                      <a:avLst/>
                    </a:prstGeom>
                    <a:noFill/>
                    <a:ln>
                      <a:noFill/>
                    </a:ln>
                  </pic:spPr>
                </pic:pic>
              </a:graphicData>
            </a:graphic>
          </wp:anchor>
        </w:drawing>
      </w:r>
      <w:r w:rsidR="009E7629">
        <w:br w:type="page"/>
      </w:r>
    </w:p>
    <w:p w14:paraId="0C3F7A2C" w14:textId="77777777" w:rsidR="009E7629" w:rsidRPr="00036C83" w:rsidRDefault="009E7629" w:rsidP="009E7629">
      <w:pPr>
        <w:rPr>
          <w:rFonts w:cs="Arial"/>
        </w:rPr>
      </w:pPr>
      <w:r w:rsidRPr="00036C83">
        <w:rPr>
          <w:rFonts w:cs="Arial"/>
        </w:rPr>
        <w:lastRenderedPageBreak/>
        <w:t>Information should be cited as:</w:t>
      </w:r>
    </w:p>
    <w:p w14:paraId="0C3F7A2D" w14:textId="77777777" w:rsidR="009E7629" w:rsidRPr="00F3714C" w:rsidRDefault="00036C83" w:rsidP="001758C6">
      <w:pPr>
        <w:ind w:left="720" w:hanging="720"/>
        <w:jc w:val="left"/>
        <w:rPr>
          <w:b/>
        </w:rPr>
      </w:pPr>
      <w:r w:rsidRPr="001758C6">
        <w:t xml:space="preserve">Devlin, </w:t>
      </w:r>
      <w:r w:rsidR="00076F4C" w:rsidRPr="001758C6">
        <w:t xml:space="preserve">M. </w:t>
      </w:r>
      <w:r w:rsidR="001758C6" w:rsidRPr="001758C6">
        <w:t xml:space="preserve">da Silva, E.T., Petus, </w:t>
      </w:r>
      <w:r w:rsidR="00951723">
        <w:rPr>
          <w:rFonts w:cs="Times New Roman"/>
          <w:color w:val="000000"/>
          <w:szCs w:val="24"/>
          <w:lang w:val="en-US" w:eastAsia="en-US"/>
        </w:rPr>
        <w:t>C., Tracey, D. 2015</w:t>
      </w:r>
      <w:r w:rsidR="00076F4C" w:rsidRPr="001758C6">
        <w:rPr>
          <w:rFonts w:cs="Times New Roman"/>
          <w:color w:val="000000"/>
          <w:szCs w:val="24"/>
          <w:lang w:val="en-US" w:eastAsia="en-US"/>
        </w:rPr>
        <w:t xml:space="preserve">. </w:t>
      </w:r>
      <w:r w:rsidR="001758C6" w:rsidRPr="001758C6">
        <w:rPr>
          <w:rFonts w:cs="Times New Roman"/>
          <w:color w:val="000000"/>
          <w:szCs w:val="24"/>
          <w:lang w:val="en-US" w:eastAsia="en-US"/>
        </w:rPr>
        <w:t>Marine Monitoring Program: Final report of JCU Activities 2012/13 - Flood Plumes and Extreme weather monitoring for the Great Barrier Reef Marine Park Authority.</w:t>
      </w:r>
      <w:r w:rsidR="006E020D" w:rsidRPr="001758C6">
        <w:t>Tropical Water &amp; Aquatic Ecosystem Research (TropWATER) Publ</w:t>
      </w:r>
      <w:r w:rsidR="001758C6" w:rsidRPr="001758C6">
        <w:t>ication</w:t>
      </w:r>
      <w:r w:rsidR="00F339E7">
        <w:t>. Report No 15/57.</w:t>
      </w:r>
      <w:r w:rsidR="001758C6" w:rsidRPr="001758C6">
        <w:t xml:space="preserve"> James Cook University</w:t>
      </w:r>
      <w:r w:rsidR="00951723" w:rsidRPr="001758C6">
        <w:t>, Townsville</w:t>
      </w:r>
      <w:r w:rsidR="001758C6" w:rsidRPr="001758C6">
        <w:t xml:space="preserve">, </w:t>
      </w:r>
      <w:r w:rsidR="00951723">
        <w:t>Australia. 102</w:t>
      </w:r>
      <w:r w:rsidR="006E020D" w:rsidRPr="001758C6">
        <w:t xml:space="preserve"> pp.</w:t>
      </w:r>
    </w:p>
    <w:p w14:paraId="0C3F7A2E" w14:textId="77777777" w:rsidR="009E7629" w:rsidRPr="00F6756B" w:rsidRDefault="009E7629" w:rsidP="009E7629">
      <w:pPr>
        <w:pStyle w:val="Body"/>
        <w:rPr>
          <w:rFonts w:asciiTheme="minorHAnsi" w:hAnsiTheme="minorHAnsi"/>
        </w:rPr>
      </w:pPr>
    </w:p>
    <w:p w14:paraId="0C3F7A2F" w14:textId="77777777" w:rsidR="009E7629" w:rsidRDefault="009E7629" w:rsidP="009E7629">
      <w:pPr>
        <w:rPr>
          <w:rFonts w:cs="Arial"/>
          <w:b/>
        </w:rPr>
      </w:pPr>
      <w:r>
        <w:rPr>
          <w:rFonts w:cs="Arial"/>
          <w:b/>
        </w:rPr>
        <w:t>For further information contact:</w:t>
      </w:r>
    </w:p>
    <w:p w14:paraId="0C3F7A30" w14:textId="77777777" w:rsidR="009E7629" w:rsidRDefault="00036C83" w:rsidP="009E7629">
      <w:pPr>
        <w:rPr>
          <w:rFonts w:cs="Arial"/>
        </w:rPr>
      </w:pPr>
      <w:r>
        <w:rPr>
          <w:rFonts w:cs="Arial"/>
        </w:rPr>
        <w:t>Michelle Devlin</w:t>
      </w:r>
    </w:p>
    <w:p w14:paraId="0C3F7A31" w14:textId="77777777" w:rsidR="009E7629" w:rsidRDefault="009E7629" w:rsidP="009E7629">
      <w:pPr>
        <w:rPr>
          <w:rFonts w:cs="Arial"/>
        </w:rPr>
      </w:pPr>
      <w:r>
        <w:rPr>
          <w:rFonts w:cs="Arial"/>
        </w:rPr>
        <w:t xml:space="preserve">Centre for Tropical Water &amp; Aquatic Ecosystem Research (TropWATER) </w:t>
      </w:r>
    </w:p>
    <w:p w14:paraId="0C3F7A32" w14:textId="77777777" w:rsidR="009E7629" w:rsidRDefault="009E7629" w:rsidP="009E7629">
      <w:pPr>
        <w:rPr>
          <w:rFonts w:cs="Arial"/>
        </w:rPr>
      </w:pPr>
      <w:r>
        <w:rPr>
          <w:rFonts w:cs="Arial"/>
        </w:rPr>
        <w:t>James Cook University</w:t>
      </w:r>
    </w:p>
    <w:p w14:paraId="0C3F7A33" w14:textId="77777777" w:rsidR="009E7629" w:rsidRPr="00036C83" w:rsidRDefault="00C762F1" w:rsidP="009E7629">
      <w:pPr>
        <w:rPr>
          <w:rFonts w:cs="Arial"/>
        </w:rPr>
      </w:pPr>
      <w:r>
        <w:rPr>
          <w:rFonts w:cs="Arial"/>
        </w:rPr>
        <w:t>m</w:t>
      </w:r>
      <w:r w:rsidR="00036C83" w:rsidRPr="00036C83">
        <w:rPr>
          <w:rFonts w:cs="Arial"/>
        </w:rPr>
        <w:t>ichelle.devlin@jcu.edu.au</w:t>
      </w:r>
    </w:p>
    <w:p w14:paraId="0C3F7A34" w14:textId="77777777" w:rsidR="009E7629" w:rsidRDefault="009E7629" w:rsidP="009E7629">
      <w:pPr>
        <w:rPr>
          <w:rFonts w:cs="Arial"/>
        </w:rPr>
      </w:pPr>
    </w:p>
    <w:p w14:paraId="0C3F7A35" w14:textId="77777777" w:rsidR="009E7629" w:rsidRDefault="009E7629" w:rsidP="009E7629">
      <w:pPr>
        <w:rPr>
          <w:rFonts w:cs="Arial"/>
          <w:color w:val="000000"/>
        </w:rPr>
      </w:pPr>
    </w:p>
    <w:p w14:paraId="0C3F7A36" w14:textId="77777777" w:rsidR="009E7629" w:rsidRDefault="009E7629" w:rsidP="009E7629">
      <w:pPr>
        <w:rPr>
          <w:rFonts w:cs="Arial"/>
          <w:color w:val="000000"/>
        </w:rPr>
      </w:pPr>
    </w:p>
    <w:p w14:paraId="0C3F7A37" w14:textId="77777777" w:rsidR="009E7629" w:rsidRDefault="009E7629" w:rsidP="009E7629">
      <w:pPr>
        <w:autoSpaceDE w:val="0"/>
        <w:autoSpaceDN w:val="0"/>
        <w:adjustRightInd w:val="0"/>
        <w:rPr>
          <w:rFonts w:cs="Times New Roman"/>
          <w:szCs w:val="24"/>
          <w:lang w:val="en-US"/>
        </w:rPr>
      </w:pPr>
      <w:r>
        <w:rPr>
          <w:lang w:val="en-US"/>
        </w:rPr>
        <w:t xml:space="preserve">This publication has been </w:t>
      </w:r>
      <w:r>
        <w:rPr>
          <w:rFonts w:cs="Arial"/>
          <w:lang w:val="en-US"/>
        </w:rPr>
        <w:t>compiled by the Centre for Tropical Water &amp; Aquatic Ecosystem Research (TropWATER), James Cook University</w:t>
      </w:r>
      <w:r>
        <w:rPr>
          <w:lang w:val="en-US"/>
        </w:rPr>
        <w:t>.</w:t>
      </w:r>
    </w:p>
    <w:p w14:paraId="0C3F7A38" w14:textId="77777777" w:rsidR="009E7629" w:rsidRDefault="009E7629" w:rsidP="009E7629"/>
    <w:p w14:paraId="0C3F7A39" w14:textId="77777777" w:rsidR="009E7629" w:rsidRDefault="00076F4C" w:rsidP="009E7629">
      <w:pPr>
        <w:autoSpaceDE w:val="0"/>
        <w:autoSpaceDN w:val="0"/>
        <w:adjustRightInd w:val="0"/>
        <w:rPr>
          <w:lang w:val="en-US"/>
        </w:rPr>
      </w:pPr>
      <w:r>
        <w:rPr>
          <w:rFonts w:cs="Arial"/>
        </w:rPr>
        <w:t>© James Cook University, 2015</w:t>
      </w:r>
      <w:r w:rsidR="009E7629">
        <w:rPr>
          <w:rFonts w:cs="Arial"/>
        </w:rPr>
        <w:t xml:space="preserve">. </w:t>
      </w:r>
    </w:p>
    <w:p w14:paraId="0C3F7A3A" w14:textId="77777777" w:rsidR="009E7629" w:rsidRDefault="009E7629" w:rsidP="009E7629">
      <w:pPr>
        <w:rPr>
          <w:rFonts w:cs="Arial"/>
        </w:rPr>
      </w:pPr>
    </w:p>
    <w:p w14:paraId="0C3F7A3B" w14:textId="77777777" w:rsidR="009E7629" w:rsidRDefault="009E7629" w:rsidP="009E7629">
      <w:pPr>
        <w:rPr>
          <w:rFonts w:cs="Arial"/>
        </w:rPr>
      </w:pPr>
      <w:r>
        <w:rPr>
          <w:rFonts w:cs="Arial"/>
        </w:rPr>
        <w:t>Except as permitted by the</w:t>
      </w:r>
      <w:r>
        <w:rPr>
          <w:rFonts w:cs="Arial"/>
          <w:i/>
          <w:iCs/>
        </w:rPr>
        <w:t xml:space="preserve"> Copyright Act 1968</w:t>
      </w:r>
      <w:r>
        <w:rPr>
          <w:rFonts w:cs="Arial"/>
        </w:rPr>
        <w:t>, no part of the work may in any form or by any electronic, mechanical, photocopying, recording, or any other means be reproduced, stored in a retrieval system or be broadcast or transmitted without the prior written permission of TropWATER. The information contained herein is subject to change without notice. The copyright owner shall not be liable for technical or other errors or omissions contained herein. The reader/user accepts all risks and responsibility for losses, damages, costs and other consequences resulting directly or indirectly from using this information.</w:t>
      </w:r>
    </w:p>
    <w:p w14:paraId="0C3F7A3C" w14:textId="77777777" w:rsidR="009E7629" w:rsidRDefault="009E7629" w:rsidP="009E7629">
      <w:pPr>
        <w:rPr>
          <w:rFonts w:cs="Arial"/>
        </w:rPr>
      </w:pPr>
    </w:p>
    <w:p w14:paraId="0C3F7A3D" w14:textId="77777777" w:rsidR="00BB6724" w:rsidRDefault="009E7629" w:rsidP="00AA6D1B">
      <w:pPr>
        <w:jc w:val="left"/>
        <w:rPr>
          <w:rFonts w:cs="Arial"/>
        </w:rPr>
      </w:pPr>
      <w:r>
        <w:rPr>
          <w:rFonts w:cs="Arial"/>
        </w:rPr>
        <w:t>Enquiries about reproduction, including downloading or printing the web</w:t>
      </w:r>
      <w:r w:rsidR="00076F4C">
        <w:rPr>
          <w:rFonts w:cs="Arial"/>
        </w:rPr>
        <w:t xml:space="preserve"> version, should be directed to </w:t>
      </w:r>
      <w:r w:rsidR="00E838DF">
        <w:rPr>
          <w:rFonts w:cs="Arial"/>
        </w:rPr>
        <w:t>Great Barrier Reef Marine Park Authority</w:t>
      </w:r>
    </w:p>
    <w:p w14:paraId="0C3F7A3E" w14:textId="77777777" w:rsidR="00703EC1" w:rsidRDefault="00703EC1" w:rsidP="00A77D07">
      <w:pPr>
        <w:pStyle w:val="Body"/>
      </w:pPr>
    </w:p>
    <w:p w14:paraId="0C3F7A3F" w14:textId="77777777" w:rsidR="00E838DF" w:rsidRDefault="00E838DF" w:rsidP="00A77D07">
      <w:pPr>
        <w:pStyle w:val="Body"/>
      </w:pPr>
    </w:p>
    <w:p w14:paraId="0C3F7A40" w14:textId="77777777" w:rsidR="00E20D6B" w:rsidRPr="00A77D07" w:rsidRDefault="00E20D6B" w:rsidP="009E7629">
      <w:pPr>
        <w:pStyle w:val="Body"/>
        <w:rPr>
          <w:rFonts w:asciiTheme="minorHAnsi" w:hAnsiTheme="minorHAnsi"/>
          <w:b/>
        </w:rPr>
      </w:pPr>
    </w:p>
    <w:p w14:paraId="0C3F7A41" w14:textId="77777777" w:rsidR="00E20D6B" w:rsidRDefault="00E20D6B" w:rsidP="009E7629">
      <w:pPr>
        <w:pStyle w:val="Body"/>
        <w:rPr>
          <w:rFonts w:asciiTheme="minorHAnsi" w:hAnsiTheme="minorHAnsi"/>
          <w:b/>
        </w:rPr>
      </w:pPr>
    </w:p>
    <w:p w14:paraId="0C3F7A42" w14:textId="77777777" w:rsidR="00E20D6B" w:rsidRDefault="00E20D6B" w:rsidP="009E7629">
      <w:pPr>
        <w:pStyle w:val="Body"/>
        <w:rPr>
          <w:rFonts w:asciiTheme="minorHAnsi" w:hAnsiTheme="minorHAnsi"/>
          <w:b/>
        </w:rPr>
      </w:pPr>
    </w:p>
    <w:p w14:paraId="0C3F7A43" w14:textId="77777777" w:rsidR="009E7629" w:rsidRPr="00F6756B" w:rsidRDefault="009E7629" w:rsidP="009E7629">
      <w:pPr>
        <w:pStyle w:val="Body"/>
        <w:rPr>
          <w:rFonts w:asciiTheme="minorHAnsi" w:hAnsiTheme="minorHAnsi"/>
          <w:b/>
        </w:rPr>
      </w:pPr>
      <w:r w:rsidRPr="00F6756B">
        <w:rPr>
          <w:rFonts w:asciiTheme="minorHAnsi" w:hAnsiTheme="minorHAnsi"/>
          <w:b/>
        </w:rPr>
        <w:lastRenderedPageBreak/>
        <w:t>Acknowledgments</w:t>
      </w:r>
      <w:r>
        <w:rPr>
          <w:rFonts w:asciiTheme="minorHAnsi" w:hAnsiTheme="minorHAnsi"/>
          <w:b/>
        </w:rPr>
        <w:t>:</w:t>
      </w:r>
    </w:p>
    <w:p w14:paraId="0C3F7A44" w14:textId="77777777" w:rsidR="008F76C2" w:rsidRDefault="00F339E7" w:rsidP="008F76C2">
      <w:r>
        <w:t xml:space="preserve">We acknowledge the Australian Government funding under the Australian Government Reef Program and specifically thank the Great Barrier Reef Marine Park Authority and Department of Environment for financial and technical support under this program. </w:t>
      </w:r>
      <w:r w:rsidR="00951723">
        <w:t>Thank you to Katherine Martin and Carol Marshall for timely and helpful project management. We thank all the amazing people involved in our field work and all who have helped us through sampling of in some very extreme conditions. We particularly thank Jason and Bec from Mission Beach Charters who have been involved in our long term sampling of the Tully and Russell-Mulgrave marine waters, and who have been a key part of our program. Thanks to all the other MMP providers from JCU, AIMS and UQ. It’s a great team of people to be a part of and thanks for all the good discussions.  Thank you to the TropWater laboratory that have analysed thousandrs of samples for us. Thank you to CSIRO, particularly Thomas Schroeder and Vittorio Brando, who have provided advice and data for our ocean colour map. Thanks to BOM for the</w:t>
      </w:r>
      <w:r>
        <w:t xml:space="preserve"> implementation of the</w:t>
      </w:r>
      <w:r w:rsidR="00951723">
        <w:t xml:space="preserve"> WQ dashboard where we can now access remote sensed data. Finally, thank you to a great team of people at TropWater, particularly the Catchment to Reef Research Group, a small but wonderful team of people. </w:t>
      </w:r>
    </w:p>
    <w:p w14:paraId="0C3F7A45" w14:textId="77777777" w:rsidR="008F76C2" w:rsidRDefault="008F76C2" w:rsidP="008F76C2"/>
    <w:p w14:paraId="0C3F7A46" w14:textId="77777777" w:rsidR="007315EF" w:rsidRDefault="007315EF">
      <w:pPr>
        <w:spacing w:before="0" w:after="0"/>
        <w:jc w:val="left"/>
        <w:rPr>
          <w:b/>
          <w:sz w:val="32"/>
          <w:szCs w:val="32"/>
          <w:lang w:val="en-US"/>
        </w:rPr>
      </w:pPr>
      <w:r>
        <w:rPr>
          <w:b/>
          <w:sz w:val="32"/>
          <w:szCs w:val="32"/>
          <w:lang w:val="en-US"/>
        </w:rPr>
        <w:br w:type="page"/>
      </w:r>
    </w:p>
    <w:p w14:paraId="0C3F7A47" w14:textId="77777777" w:rsidR="007315EF" w:rsidRPr="005B5B17" w:rsidRDefault="007315EF" w:rsidP="007315EF">
      <w:pPr>
        <w:rPr>
          <w:sz w:val="32"/>
          <w:szCs w:val="32"/>
        </w:rPr>
      </w:pPr>
      <w:r w:rsidRPr="005B5B17">
        <w:rPr>
          <w:sz w:val="32"/>
          <w:szCs w:val="32"/>
          <w:lang w:val="en-US"/>
        </w:rPr>
        <w:lastRenderedPageBreak/>
        <w:t>TABLE OF CONTENTS</w:t>
      </w:r>
    </w:p>
    <w:p w14:paraId="0C3F7A48" w14:textId="77777777" w:rsidR="00D243CD" w:rsidRPr="005B5B17" w:rsidRDefault="007315EF">
      <w:pPr>
        <w:pStyle w:val="TOC1"/>
        <w:rPr>
          <w:rFonts w:eastAsiaTheme="minorEastAsia" w:cstheme="minorBidi"/>
          <w:b w:val="0"/>
          <w:noProof/>
          <w:szCs w:val="22"/>
        </w:rPr>
      </w:pPr>
      <w:r w:rsidRPr="005B5B17">
        <w:rPr>
          <w:b w:val="0"/>
        </w:rPr>
        <w:fldChar w:fldCharType="begin"/>
      </w:r>
      <w:r w:rsidRPr="005B5B17">
        <w:rPr>
          <w:b w:val="0"/>
        </w:rPr>
        <w:instrText xml:space="preserve"> TOC \o "1-4" \u </w:instrText>
      </w:r>
      <w:r w:rsidRPr="005B5B17">
        <w:rPr>
          <w:b w:val="0"/>
        </w:rPr>
        <w:fldChar w:fldCharType="separate"/>
      </w:r>
      <w:r w:rsidR="00D243CD" w:rsidRPr="005B5B17">
        <w:rPr>
          <w:b w:val="0"/>
          <w:noProof/>
        </w:rPr>
        <w:t>About this Report</w:t>
      </w:r>
      <w:r w:rsidR="00D243CD" w:rsidRPr="005B5B17">
        <w:rPr>
          <w:b w:val="0"/>
          <w:noProof/>
        </w:rPr>
        <w:tab/>
      </w:r>
      <w:r w:rsidR="00D243CD" w:rsidRPr="005B5B17">
        <w:rPr>
          <w:b w:val="0"/>
          <w:noProof/>
        </w:rPr>
        <w:fldChar w:fldCharType="begin"/>
      </w:r>
      <w:r w:rsidR="00D243CD" w:rsidRPr="005B5B17">
        <w:rPr>
          <w:b w:val="0"/>
          <w:noProof/>
        </w:rPr>
        <w:instrText xml:space="preserve"> PAGEREF _Toc434207975 \h </w:instrText>
      </w:r>
      <w:r w:rsidR="00D243CD" w:rsidRPr="005B5B17">
        <w:rPr>
          <w:b w:val="0"/>
          <w:noProof/>
        </w:rPr>
      </w:r>
      <w:r w:rsidR="00D243CD" w:rsidRPr="005B5B17">
        <w:rPr>
          <w:b w:val="0"/>
          <w:noProof/>
        </w:rPr>
        <w:fldChar w:fldCharType="separate"/>
      </w:r>
      <w:r w:rsidR="00B62B50">
        <w:rPr>
          <w:b w:val="0"/>
          <w:noProof/>
        </w:rPr>
        <w:t>xii</w:t>
      </w:r>
      <w:r w:rsidR="00D243CD" w:rsidRPr="005B5B17">
        <w:rPr>
          <w:b w:val="0"/>
          <w:noProof/>
        </w:rPr>
        <w:fldChar w:fldCharType="end"/>
      </w:r>
    </w:p>
    <w:p w14:paraId="0C3F7A49" w14:textId="77777777" w:rsidR="00D243CD" w:rsidRPr="005B5B17" w:rsidRDefault="00D243CD">
      <w:pPr>
        <w:pStyle w:val="TOC1"/>
        <w:rPr>
          <w:rFonts w:eastAsiaTheme="minorEastAsia" w:cstheme="minorBidi"/>
          <w:b w:val="0"/>
          <w:noProof/>
          <w:szCs w:val="22"/>
        </w:rPr>
      </w:pPr>
      <w:r w:rsidRPr="005B5B17">
        <w:rPr>
          <w:b w:val="0"/>
          <w:noProof/>
        </w:rPr>
        <w:t>1.</w:t>
      </w:r>
      <w:r w:rsidRPr="005B5B17">
        <w:rPr>
          <w:rFonts w:eastAsiaTheme="minorEastAsia" w:cstheme="minorBidi"/>
          <w:b w:val="0"/>
          <w:noProof/>
          <w:szCs w:val="22"/>
        </w:rPr>
        <w:tab/>
      </w:r>
      <w:r w:rsidRPr="005B5B17">
        <w:rPr>
          <w:b w:val="0"/>
          <w:noProof/>
        </w:rPr>
        <w:t>Executive summary</w:t>
      </w:r>
      <w:r w:rsidRPr="005B5B17">
        <w:rPr>
          <w:b w:val="0"/>
          <w:noProof/>
        </w:rPr>
        <w:tab/>
      </w:r>
      <w:r w:rsidRPr="005B5B17">
        <w:rPr>
          <w:b w:val="0"/>
          <w:noProof/>
        </w:rPr>
        <w:fldChar w:fldCharType="begin"/>
      </w:r>
      <w:r w:rsidRPr="005B5B17">
        <w:rPr>
          <w:b w:val="0"/>
          <w:noProof/>
        </w:rPr>
        <w:instrText xml:space="preserve"> PAGEREF _Toc434207976 \h </w:instrText>
      </w:r>
      <w:r w:rsidRPr="005B5B17">
        <w:rPr>
          <w:b w:val="0"/>
          <w:noProof/>
        </w:rPr>
      </w:r>
      <w:r w:rsidRPr="005B5B17">
        <w:rPr>
          <w:b w:val="0"/>
          <w:noProof/>
        </w:rPr>
        <w:fldChar w:fldCharType="separate"/>
      </w:r>
      <w:r w:rsidR="00B62B50">
        <w:rPr>
          <w:b w:val="0"/>
          <w:noProof/>
        </w:rPr>
        <w:t>1</w:t>
      </w:r>
      <w:r w:rsidRPr="005B5B17">
        <w:rPr>
          <w:b w:val="0"/>
          <w:noProof/>
        </w:rPr>
        <w:fldChar w:fldCharType="end"/>
      </w:r>
    </w:p>
    <w:p w14:paraId="0C3F7A4A"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1.1.</w:t>
      </w:r>
      <w:r w:rsidRPr="005B5B17">
        <w:rPr>
          <w:rFonts w:eastAsiaTheme="minorEastAsia" w:cstheme="minorBidi"/>
          <w:b w:val="0"/>
          <w:bCs w:val="0"/>
          <w:iCs w:val="0"/>
          <w:noProof/>
          <w:szCs w:val="22"/>
          <w:lang w:val="en-US"/>
        </w:rPr>
        <w:tab/>
      </w:r>
      <w:r w:rsidRPr="005B5B17">
        <w:rPr>
          <w:b w:val="0"/>
          <w:noProof/>
        </w:rPr>
        <w:t>Scope of report</w:t>
      </w:r>
      <w:r w:rsidRPr="005B5B17">
        <w:rPr>
          <w:b w:val="0"/>
          <w:noProof/>
        </w:rPr>
        <w:tab/>
      </w:r>
      <w:r w:rsidRPr="005B5B17">
        <w:rPr>
          <w:b w:val="0"/>
          <w:noProof/>
        </w:rPr>
        <w:fldChar w:fldCharType="begin"/>
      </w:r>
      <w:r w:rsidRPr="005B5B17">
        <w:rPr>
          <w:b w:val="0"/>
          <w:noProof/>
        </w:rPr>
        <w:instrText xml:space="preserve"> PAGEREF _Toc434207977 \h </w:instrText>
      </w:r>
      <w:r w:rsidRPr="005B5B17">
        <w:rPr>
          <w:b w:val="0"/>
          <w:noProof/>
        </w:rPr>
      </w:r>
      <w:r w:rsidRPr="005B5B17">
        <w:rPr>
          <w:b w:val="0"/>
          <w:noProof/>
        </w:rPr>
        <w:fldChar w:fldCharType="separate"/>
      </w:r>
      <w:r w:rsidR="00B62B50">
        <w:rPr>
          <w:b w:val="0"/>
          <w:noProof/>
        </w:rPr>
        <w:t>1</w:t>
      </w:r>
      <w:r w:rsidRPr="005B5B17">
        <w:rPr>
          <w:b w:val="0"/>
          <w:noProof/>
        </w:rPr>
        <w:fldChar w:fldCharType="end"/>
      </w:r>
    </w:p>
    <w:p w14:paraId="0C3F7A4B"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1.2.</w:t>
      </w:r>
      <w:r w:rsidRPr="005B5B17">
        <w:rPr>
          <w:rFonts w:eastAsiaTheme="minorEastAsia" w:cstheme="minorBidi"/>
          <w:b w:val="0"/>
          <w:bCs w:val="0"/>
          <w:iCs w:val="0"/>
          <w:noProof/>
          <w:szCs w:val="22"/>
          <w:lang w:val="en-US"/>
        </w:rPr>
        <w:tab/>
      </w:r>
      <w:r w:rsidRPr="005B5B17">
        <w:rPr>
          <w:b w:val="0"/>
          <w:noProof/>
        </w:rPr>
        <w:t>Characteristics of the 2012-2013 Wet Season</w:t>
      </w:r>
      <w:r w:rsidRPr="005B5B17">
        <w:rPr>
          <w:b w:val="0"/>
          <w:noProof/>
        </w:rPr>
        <w:tab/>
      </w:r>
      <w:r w:rsidRPr="005B5B17">
        <w:rPr>
          <w:b w:val="0"/>
          <w:noProof/>
        </w:rPr>
        <w:fldChar w:fldCharType="begin"/>
      </w:r>
      <w:r w:rsidRPr="005B5B17">
        <w:rPr>
          <w:b w:val="0"/>
          <w:noProof/>
        </w:rPr>
        <w:instrText xml:space="preserve"> PAGEREF _Toc434207978 \h </w:instrText>
      </w:r>
      <w:r w:rsidRPr="005B5B17">
        <w:rPr>
          <w:b w:val="0"/>
          <w:noProof/>
        </w:rPr>
      </w:r>
      <w:r w:rsidRPr="005B5B17">
        <w:rPr>
          <w:b w:val="0"/>
          <w:noProof/>
        </w:rPr>
        <w:fldChar w:fldCharType="separate"/>
      </w:r>
      <w:r w:rsidR="00B62B50">
        <w:rPr>
          <w:b w:val="0"/>
          <w:noProof/>
        </w:rPr>
        <w:t>1</w:t>
      </w:r>
      <w:r w:rsidRPr="005B5B17">
        <w:rPr>
          <w:b w:val="0"/>
          <w:noProof/>
        </w:rPr>
        <w:fldChar w:fldCharType="end"/>
      </w:r>
    </w:p>
    <w:p w14:paraId="0C3F7A4C"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1.3.</w:t>
      </w:r>
      <w:r w:rsidRPr="005B5B17">
        <w:rPr>
          <w:rFonts w:eastAsiaTheme="minorEastAsia" w:cstheme="minorBidi"/>
          <w:b w:val="0"/>
          <w:bCs w:val="0"/>
          <w:iCs w:val="0"/>
          <w:noProof/>
          <w:szCs w:val="22"/>
          <w:lang w:val="en-US"/>
        </w:rPr>
        <w:tab/>
      </w:r>
      <w:r w:rsidRPr="005B5B17">
        <w:rPr>
          <w:b w:val="0"/>
          <w:i/>
          <w:noProof/>
        </w:rPr>
        <w:t>In-Situ</w:t>
      </w:r>
      <w:r w:rsidRPr="005B5B17">
        <w:rPr>
          <w:b w:val="0"/>
          <w:noProof/>
        </w:rPr>
        <w:t xml:space="preserve"> Water Quality</w:t>
      </w:r>
      <w:r w:rsidRPr="005B5B17">
        <w:rPr>
          <w:b w:val="0"/>
          <w:noProof/>
        </w:rPr>
        <w:tab/>
      </w:r>
      <w:r w:rsidRPr="005B5B17">
        <w:rPr>
          <w:b w:val="0"/>
          <w:noProof/>
        </w:rPr>
        <w:fldChar w:fldCharType="begin"/>
      </w:r>
      <w:r w:rsidRPr="005B5B17">
        <w:rPr>
          <w:b w:val="0"/>
          <w:noProof/>
        </w:rPr>
        <w:instrText xml:space="preserve"> PAGEREF _Toc434207979 \h </w:instrText>
      </w:r>
      <w:r w:rsidRPr="005B5B17">
        <w:rPr>
          <w:b w:val="0"/>
          <w:noProof/>
        </w:rPr>
      </w:r>
      <w:r w:rsidRPr="005B5B17">
        <w:rPr>
          <w:b w:val="0"/>
          <w:noProof/>
        </w:rPr>
        <w:fldChar w:fldCharType="separate"/>
      </w:r>
      <w:r w:rsidR="00B62B50">
        <w:rPr>
          <w:b w:val="0"/>
          <w:noProof/>
        </w:rPr>
        <w:t>1</w:t>
      </w:r>
      <w:r w:rsidRPr="005B5B17">
        <w:rPr>
          <w:b w:val="0"/>
          <w:noProof/>
        </w:rPr>
        <w:fldChar w:fldCharType="end"/>
      </w:r>
    </w:p>
    <w:p w14:paraId="0C3F7A4D"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1.4.</w:t>
      </w:r>
      <w:r w:rsidRPr="005B5B17">
        <w:rPr>
          <w:rFonts w:eastAsiaTheme="minorEastAsia" w:cstheme="minorBidi"/>
          <w:b w:val="0"/>
          <w:bCs w:val="0"/>
          <w:iCs w:val="0"/>
          <w:noProof/>
          <w:szCs w:val="22"/>
          <w:lang w:val="en-US"/>
        </w:rPr>
        <w:tab/>
      </w:r>
      <w:r w:rsidRPr="005B5B17">
        <w:rPr>
          <w:b w:val="0"/>
          <w:noProof/>
        </w:rPr>
        <w:t>Mapping of river plumes</w:t>
      </w:r>
      <w:r w:rsidRPr="005B5B17">
        <w:rPr>
          <w:b w:val="0"/>
          <w:noProof/>
        </w:rPr>
        <w:tab/>
      </w:r>
      <w:r w:rsidRPr="005B5B17">
        <w:rPr>
          <w:b w:val="0"/>
          <w:noProof/>
        </w:rPr>
        <w:fldChar w:fldCharType="begin"/>
      </w:r>
      <w:r w:rsidRPr="005B5B17">
        <w:rPr>
          <w:b w:val="0"/>
          <w:noProof/>
        </w:rPr>
        <w:instrText xml:space="preserve"> PAGEREF _Toc434207980 \h </w:instrText>
      </w:r>
      <w:r w:rsidRPr="005B5B17">
        <w:rPr>
          <w:b w:val="0"/>
          <w:noProof/>
        </w:rPr>
      </w:r>
      <w:r w:rsidRPr="005B5B17">
        <w:rPr>
          <w:b w:val="0"/>
          <w:noProof/>
        </w:rPr>
        <w:fldChar w:fldCharType="separate"/>
      </w:r>
      <w:r w:rsidR="00B62B50">
        <w:rPr>
          <w:b w:val="0"/>
          <w:noProof/>
        </w:rPr>
        <w:t>4</w:t>
      </w:r>
      <w:r w:rsidRPr="005B5B17">
        <w:rPr>
          <w:b w:val="0"/>
          <w:noProof/>
        </w:rPr>
        <w:fldChar w:fldCharType="end"/>
      </w:r>
    </w:p>
    <w:p w14:paraId="0C3F7A4E"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1.5.</w:t>
      </w:r>
      <w:r w:rsidRPr="005B5B17">
        <w:rPr>
          <w:rFonts w:eastAsiaTheme="minorEastAsia" w:cstheme="minorBidi"/>
          <w:b w:val="0"/>
          <w:bCs w:val="0"/>
          <w:iCs w:val="0"/>
          <w:noProof/>
          <w:szCs w:val="22"/>
          <w:lang w:val="en-US"/>
        </w:rPr>
        <w:tab/>
      </w:r>
      <w:r w:rsidRPr="005B5B17">
        <w:rPr>
          <w:b w:val="0"/>
          <w:noProof/>
        </w:rPr>
        <w:t>Future RS developments</w:t>
      </w:r>
      <w:r w:rsidRPr="005B5B17">
        <w:rPr>
          <w:b w:val="0"/>
          <w:noProof/>
        </w:rPr>
        <w:tab/>
      </w:r>
      <w:r w:rsidRPr="005B5B17">
        <w:rPr>
          <w:b w:val="0"/>
          <w:noProof/>
        </w:rPr>
        <w:fldChar w:fldCharType="begin"/>
      </w:r>
      <w:r w:rsidRPr="005B5B17">
        <w:rPr>
          <w:b w:val="0"/>
          <w:noProof/>
        </w:rPr>
        <w:instrText xml:space="preserve"> PAGEREF _Toc434207981 \h </w:instrText>
      </w:r>
      <w:r w:rsidRPr="005B5B17">
        <w:rPr>
          <w:b w:val="0"/>
          <w:noProof/>
        </w:rPr>
      </w:r>
      <w:r w:rsidRPr="005B5B17">
        <w:rPr>
          <w:b w:val="0"/>
          <w:noProof/>
        </w:rPr>
        <w:fldChar w:fldCharType="separate"/>
      </w:r>
      <w:r w:rsidR="00B62B50">
        <w:rPr>
          <w:b w:val="0"/>
          <w:noProof/>
        </w:rPr>
        <w:t>9</w:t>
      </w:r>
      <w:r w:rsidRPr="005B5B17">
        <w:rPr>
          <w:b w:val="0"/>
          <w:noProof/>
        </w:rPr>
        <w:fldChar w:fldCharType="end"/>
      </w:r>
    </w:p>
    <w:p w14:paraId="0C3F7A4F" w14:textId="77777777" w:rsidR="00D243CD" w:rsidRPr="005B5B17" w:rsidRDefault="00D243CD">
      <w:pPr>
        <w:pStyle w:val="TOC1"/>
        <w:rPr>
          <w:rFonts w:eastAsiaTheme="minorEastAsia" w:cstheme="minorBidi"/>
          <w:b w:val="0"/>
          <w:noProof/>
          <w:szCs w:val="22"/>
        </w:rPr>
      </w:pPr>
      <w:r w:rsidRPr="005B5B17">
        <w:rPr>
          <w:b w:val="0"/>
          <w:noProof/>
        </w:rPr>
        <w:t>2.</w:t>
      </w:r>
      <w:r w:rsidRPr="005B5B17">
        <w:rPr>
          <w:rFonts w:eastAsiaTheme="minorEastAsia" w:cstheme="minorBidi"/>
          <w:b w:val="0"/>
          <w:noProof/>
          <w:szCs w:val="22"/>
        </w:rPr>
        <w:tab/>
      </w:r>
      <w:r w:rsidRPr="005B5B17">
        <w:rPr>
          <w:b w:val="0"/>
          <w:noProof/>
        </w:rPr>
        <w:t>Introduction</w:t>
      </w:r>
      <w:r w:rsidRPr="005B5B17">
        <w:rPr>
          <w:b w:val="0"/>
          <w:noProof/>
        </w:rPr>
        <w:tab/>
      </w:r>
      <w:r w:rsidRPr="005B5B17">
        <w:rPr>
          <w:b w:val="0"/>
          <w:noProof/>
        </w:rPr>
        <w:fldChar w:fldCharType="begin"/>
      </w:r>
      <w:r w:rsidRPr="005B5B17">
        <w:rPr>
          <w:b w:val="0"/>
          <w:noProof/>
        </w:rPr>
        <w:instrText xml:space="preserve"> PAGEREF _Toc434207982 \h </w:instrText>
      </w:r>
      <w:r w:rsidRPr="005B5B17">
        <w:rPr>
          <w:b w:val="0"/>
          <w:noProof/>
        </w:rPr>
      </w:r>
      <w:r w:rsidRPr="005B5B17">
        <w:rPr>
          <w:b w:val="0"/>
          <w:noProof/>
        </w:rPr>
        <w:fldChar w:fldCharType="separate"/>
      </w:r>
      <w:r w:rsidR="00B62B50">
        <w:rPr>
          <w:b w:val="0"/>
          <w:noProof/>
        </w:rPr>
        <w:t>10</w:t>
      </w:r>
      <w:r w:rsidRPr="005B5B17">
        <w:rPr>
          <w:b w:val="0"/>
          <w:noProof/>
        </w:rPr>
        <w:fldChar w:fldCharType="end"/>
      </w:r>
    </w:p>
    <w:p w14:paraId="0C3F7A50"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2.1.</w:t>
      </w:r>
      <w:r w:rsidRPr="005B5B17">
        <w:rPr>
          <w:rFonts w:eastAsiaTheme="minorEastAsia" w:cstheme="minorBidi"/>
          <w:b w:val="0"/>
          <w:bCs w:val="0"/>
          <w:iCs w:val="0"/>
          <w:noProof/>
          <w:szCs w:val="22"/>
          <w:lang w:val="en-US"/>
        </w:rPr>
        <w:tab/>
      </w:r>
      <w:r w:rsidRPr="005B5B17">
        <w:rPr>
          <w:b w:val="0"/>
          <w:noProof/>
        </w:rPr>
        <w:t>Marine Monitoring Program</w:t>
      </w:r>
      <w:r w:rsidRPr="005B5B17">
        <w:rPr>
          <w:b w:val="0"/>
          <w:noProof/>
        </w:rPr>
        <w:tab/>
      </w:r>
      <w:r w:rsidRPr="005B5B17">
        <w:rPr>
          <w:b w:val="0"/>
          <w:noProof/>
        </w:rPr>
        <w:fldChar w:fldCharType="begin"/>
      </w:r>
      <w:r w:rsidRPr="005B5B17">
        <w:rPr>
          <w:b w:val="0"/>
          <w:noProof/>
        </w:rPr>
        <w:instrText xml:space="preserve"> PAGEREF _Toc434207983 \h </w:instrText>
      </w:r>
      <w:r w:rsidRPr="005B5B17">
        <w:rPr>
          <w:b w:val="0"/>
          <w:noProof/>
        </w:rPr>
      </w:r>
      <w:r w:rsidRPr="005B5B17">
        <w:rPr>
          <w:b w:val="0"/>
          <w:noProof/>
        </w:rPr>
        <w:fldChar w:fldCharType="separate"/>
      </w:r>
      <w:r w:rsidR="00B62B50">
        <w:rPr>
          <w:b w:val="0"/>
          <w:noProof/>
        </w:rPr>
        <w:t>10</w:t>
      </w:r>
      <w:r w:rsidRPr="005B5B17">
        <w:rPr>
          <w:b w:val="0"/>
          <w:noProof/>
        </w:rPr>
        <w:fldChar w:fldCharType="end"/>
      </w:r>
    </w:p>
    <w:p w14:paraId="0C3F7A51"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2.2.</w:t>
      </w:r>
      <w:r w:rsidRPr="005B5B17">
        <w:rPr>
          <w:rFonts w:eastAsiaTheme="minorEastAsia" w:cstheme="minorBidi"/>
          <w:b w:val="0"/>
          <w:bCs w:val="0"/>
          <w:iCs w:val="0"/>
          <w:noProof/>
          <w:szCs w:val="22"/>
          <w:lang w:val="en-US"/>
        </w:rPr>
        <w:tab/>
      </w:r>
      <w:r w:rsidRPr="005B5B17">
        <w:rPr>
          <w:b w:val="0"/>
          <w:noProof/>
        </w:rPr>
        <w:t>Sampling design</w:t>
      </w:r>
      <w:r w:rsidRPr="005B5B17">
        <w:rPr>
          <w:b w:val="0"/>
          <w:noProof/>
        </w:rPr>
        <w:tab/>
      </w:r>
      <w:r w:rsidRPr="005B5B17">
        <w:rPr>
          <w:b w:val="0"/>
          <w:noProof/>
        </w:rPr>
        <w:fldChar w:fldCharType="begin"/>
      </w:r>
      <w:r w:rsidRPr="005B5B17">
        <w:rPr>
          <w:b w:val="0"/>
          <w:noProof/>
        </w:rPr>
        <w:instrText xml:space="preserve"> PAGEREF _Toc434207984 \h </w:instrText>
      </w:r>
      <w:r w:rsidRPr="005B5B17">
        <w:rPr>
          <w:b w:val="0"/>
          <w:noProof/>
        </w:rPr>
      </w:r>
      <w:r w:rsidRPr="005B5B17">
        <w:rPr>
          <w:b w:val="0"/>
          <w:noProof/>
        </w:rPr>
        <w:fldChar w:fldCharType="separate"/>
      </w:r>
      <w:r w:rsidR="00B62B50">
        <w:rPr>
          <w:b w:val="0"/>
          <w:noProof/>
        </w:rPr>
        <w:t>12</w:t>
      </w:r>
      <w:r w:rsidRPr="005B5B17">
        <w:rPr>
          <w:b w:val="0"/>
          <w:noProof/>
        </w:rPr>
        <w:fldChar w:fldCharType="end"/>
      </w:r>
    </w:p>
    <w:p w14:paraId="0C3F7A52" w14:textId="77777777" w:rsidR="00D243CD" w:rsidRPr="005B5B17" w:rsidRDefault="00D243CD">
      <w:pPr>
        <w:pStyle w:val="TOC1"/>
        <w:rPr>
          <w:rFonts w:eastAsiaTheme="minorEastAsia" w:cstheme="minorBidi"/>
          <w:b w:val="0"/>
          <w:noProof/>
          <w:szCs w:val="22"/>
        </w:rPr>
      </w:pPr>
      <w:r w:rsidRPr="005B5B17">
        <w:rPr>
          <w:b w:val="0"/>
          <w:noProof/>
        </w:rPr>
        <w:t>3.</w:t>
      </w:r>
      <w:r w:rsidRPr="005B5B17">
        <w:rPr>
          <w:rFonts w:eastAsiaTheme="minorEastAsia" w:cstheme="minorBidi"/>
          <w:b w:val="0"/>
          <w:noProof/>
          <w:szCs w:val="22"/>
        </w:rPr>
        <w:tab/>
      </w:r>
      <w:r w:rsidRPr="005B5B17">
        <w:rPr>
          <w:b w:val="0"/>
          <w:noProof/>
        </w:rPr>
        <w:t>Characteristics of the 2012-2013 wet season.</w:t>
      </w:r>
      <w:r w:rsidRPr="005B5B17">
        <w:rPr>
          <w:b w:val="0"/>
          <w:noProof/>
        </w:rPr>
        <w:tab/>
      </w:r>
      <w:r w:rsidRPr="005B5B17">
        <w:rPr>
          <w:b w:val="0"/>
          <w:noProof/>
        </w:rPr>
        <w:fldChar w:fldCharType="begin"/>
      </w:r>
      <w:r w:rsidRPr="005B5B17">
        <w:rPr>
          <w:b w:val="0"/>
          <w:noProof/>
        </w:rPr>
        <w:instrText xml:space="preserve"> PAGEREF _Toc434207985 \h </w:instrText>
      </w:r>
      <w:r w:rsidRPr="005B5B17">
        <w:rPr>
          <w:b w:val="0"/>
          <w:noProof/>
        </w:rPr>
      </w:r>
      <w:r w:rsidRPr="005B5B17">
        <w:rPr>
          <w:b w:val="0"/>
          <w:noProof/>
        </w:rPr>
        <w:fldChar w:fldCharType="separate"/>
      </w:r>
      <w:r w:rsidR="00B62B50">
        <w:rPr>
          <w:b w:val="0"/>
          <w:noProof/>
        </w:rPr>
        <w:t>14</w:t>
      </w:r>
      <w:r w:rsidRPr="005B5B17">
        <w:rPr>
          <w:b w:val="0"/>
          <w:noProof/>
        </w:rPr>
        <w:fldChar w:fldCharType="end"/>
      </w:r>
    </w:p>
    <w:p w14:paraId="0C3F7A53"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3.1.</w:t>
      </w:r>
      <w:r w:rsidRPr="005B5B17">
        <w:rPr>
          <w:rFonts w:eastAsiaTheme="minorEastAsia" w:cstheme="minorBidi"/>
          <w:b w:val="0"/>
          <w:bCs w:val="0"/>
          <w:iCs w:val="0"/>
          <w:noProof/>
          <w:szCs w:val="22"/>
          <w:lang w:val="en-US"/>
        </w:rPr>
        <w:tab/>
      </w:r>
      <w:r w:rsidRPr="005B5B17">
        <w:rPr>
          <w:b w:val="0"/>
          <w:noProof/>
        </w:rPr>
        <w:t>Wet Season conditions</w:t>
      </w:r>
      <w:r w:rsidRPr="005B5B17">
        <w:rPr>
          <w:b w:val="0"/>
          <w:noProof/>
        </w:rPr>
        <w:tab/>
      </w:r>
      <w:r w:rsidRPr="005B5B17">
        <w:rPr>
          <w:b w:val="0"/>
          <w:noProof/>
        </w:rPr>
        <w:fldChar w:fldCharType="begin"/>
      </w:r>
      <w:r w:rsidRPr="005B5B17">
        <w:rPr>
          <w:b w:val="0"/>
          <w:noProof/>
        </w:rPr>
        <w:instrText xml:space="preserve"> PAGEREF _Toc434207986 \h </w:instrText>
      </w:r>
      <w:r w:rsidRPr="005B5B17">
        <w:rPr>
          <w:b w:val="0"/>
          <w:noProof/>
        </w:rPr>
      </w:r>
      <w:r w:rsidRPr="005B5B17">
        <w:rPr>
          <w:b w:val="0"/>
          <w:noProof/>
        </w:rPr>
        <w:fldChar w:fldCharType="separate"/>
      </w:r>
      <w:r w:rsidR="00B62B50">
        <w:rPr>
          <w:b w:val="0"/>
          <w:noProof/>
        </w:rPr>
        <w:t>14</w:t>
      </w:r>
      <w:r w:rsidRPr="005B5B17">
        <w:rPr>
          <w:b w:val="0"/>
          <w:noProof/>
        </w:rPr>
        <w:fldChar w:fldCharType="end"/>
      </w:r>
    </w:p>
    <w:p w14:paraId="0C3F7A54"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3.2.</w:t>
      </w:r>
      <w:r w:rsidRPr="005B5B17">
        <w:rPr>
          <w:rFonts w:eastAsiaTheme="minorEastAsia" w:cstheme="minorBidi"/>
          <w:b w:val="0"/>
          <w:bCs w:val="0"/>
          <w:iCs w:val="0"/>
          <w:noProof/>
          <w:szCs w:val="22"/>
          <w:lang w:val="en-US"/>
        </w:rPr>
        <w:tab/>
      </w:r>
      <w:r w:rsidRPr="005B5B17">
        <w:rPr>
          <w:b w:val="0"/>
          <w:noProof/>
        </w:rPr>
        <w:t>Extent of river plumes – 2012/2013 wet season</w:t>
      </w:r>
      <w:r w:rsidRPr="005B5B17">
        <w:rPr>
          <w:b w:val="0"/>
          <w:noProof/>
        </w:rPr>
        <w:tab/>
      </w:r>
      <w:r w:rsidRPr="005B5B17">
        <w:rPr>
          <w:b w:val="0"/>
          <w:noProof/>
        </w:rPr>
        <w:fldChar w:fldCharType="begin"/>
      </w:r>
      <w:r w:rsidRPr="005B5B17">
        <w:rPr>
          <w:b w:val="0"/>
          <w:noProof/>
        </w:rPr>
        <w:instrText xml:space="preserve"> PAGEREF _Toc434207987 \h </w:instrText>
      </w:r>
      <w:r w:rsidRPr="005B5B17">
        <w:rPr>
          <w:b w:val="0"/>
          <w:noProof/>
        </w:rPr>
      </w:r>
      <w:r w:rsidRPr="005B5B17">
        <w:rPr>
          <w:b w:val="0"/>
          <w:noProof/>
        </w:rPr>
        <w:fldChar w:fldCharType="separate"/>
      </w:r>
      <w:r w:rsidR="00B62B50">
        <w:rPr>
          <w:b w:val="0"/>
          <w:noProof/>
        </w:rPr>
        <w:t>16</w:t>
      </w:r>
      <w:r w:rsidRPr="005B5B17">
        <w:rPr>
          <w:b w:val="0"/>
          <w:noProof/>
        </w:rPr>
        <w:fldChar w:fldCharType="end"/>
      </w:r>
    </w:p>
    <w:p w14:paraId="0C3F7A55" w14:textId="77777777" w:rsidR="00D243CD" w:rsidRPr="005B5B17" w:rsidRDefault="00D243CD">
      <w:pPr>
        <w:pStyle w:val="TOC3"/>
        <w:rPr>
          <w:rFonts w:eastAsiaTheme="minorEastAsia" w:cstheme="minorBidi"/>
          <w:b w:val="0"/>
          <w:iCs w:val="0"/>
          <w:noProof/>
          <w:szCs w:val="22"/>
          <w:lang w:val="en-US"/>
        </w:rPr>
      </w:pPr>
      <w:r w:rsidRPr="005B5B17">
        <w:rPr>
          <w:b w:val="0"/>
          <w:noProof/>
        </w:rPr>
        <w:t>3.2.1.</w:t>
      </w:r>
      <w:r w:rsidRPr="005B5B17">
        <w:rPr>
          <w:rFonts w:eastAsiaTheme="minorEastAsia" w:cstheme="minorBidi"/>
          <w:b w:val="0"/>
          <w:iCs w:val="0"/>
          <w:noProof/>
          <w:szCs w:val="22"/>
          <w:lang w:val="en-US"/>
        </w:rPr>
        <w:tab/>
      </w:r>
      <w:r w:rsidRPr="005B5B17">
        <w:rPr>
          <w:b w:val="0"/>
          <w:noProof/>
        </w:rPr>
        <w:t>Wet Tropics NRM</w:t>
      </w:r>
      <w:r w:rsidRPr="005B5B17">
        <w:rPr>
          <w:b w:val="0"/>
          <w:noProof/>
        </w:rPr>
        <w:tab/>
      </w:r>
      <w:r w:rsidRPr="005B5B17">
        <w:rPr>
          <w:b w:val="0"/>
          <w:noProof/>
        </w:rPr>
        <w:fldChar w:fldCharType="begin"/>
      </w:r>
      <w:r w:rsidRPr="005B5B17">
        <w:rPr>
          <w:b w:val="0"/>
          <w:noProof/>
        </w:rPr>
        <w:instrText xml:space="preserve"> PAGEREF _Toc434207988 \h </w:instrText>
      </w:r>
      <w:r w:rsidRPr="005B5B17">
        <w:rPr>
          <w:b w:val="0"/>
          <w:noProof/>
        </w:rPr>
      </w:r>
      <w:r w:rsidRPr="005B5B17">
        <w:rPr>
          <w:b w:val="0"/>
          <w:noProof/>
        </w:rPr>
        <w:fldChar w:fldCharType="separate"/>
      </w:r>
      <w:r w:rsidR="00B62B50">
        <w:rPr>
          <w:b w:val="0"/>
          <w:noProof/>
        </w:rPr>
        <w:t>17</w:t>
      </w:r>
      <w:r w:rsidRPr="005B5B17">
        <w:rPr>
          <w:b w:val="0"/>
          <w:noProof/>
        </w:rPr>
        <w:fldChar w:fldCharType="end"/>
      </w:r>
    </w:p>
    <w:p w14:paraId="0C3F7A56" w14:textId="77777777" w:rsidR="00D243CD" w:rsidRPr="005B5B17" w:rsidRDefault="00D243CD">
      <w:pPr>
        <w:pStyle w:val="TOC3"/>
        <w:rPr>
          <w:rFonts w:eastAsiaTheme="minorEastAsia" w:cstheme="minorBidi"/>
          <w:b w:val="0"/>
          <w:iCs w:val="0"/>
          <w:noProof/>
          <w:szCs w:val="22"/>
          <w:lang w:val="en-US"/>
        </w:rPr>
      </w:pPr>
      <w:r w:rsidRPr="005B5B17">
        <w:rPr>
          <w:b w:val="0"/>
          <w:noProof/>
        </w:rPr>
        <w:t>3.2.2.</w:t>
      </w:r>
      <w:r w:rsidRPr="005B5B17">
        <w:rPr>
          <w:rFonts w:eastAsiaTheme="minorEastAsia" w:cstheme="minorBidi"/>
          <w:b w:val="0"/>
          <w:iCs w:val="0"/>
          <w:noProof/>
          <w:szCs w:val="22"/>
          <w:lang w:val="en-US"/>
        </w:rPr>
        <w:tab/>
      </w:r>
      <w:r w:rsidRPr="005B5B17">
        <w:rPr>
          <w:b w:val="0"/>
          <w:noProof/>
        </w:rPr>
        <w:t>Burdekin NRM: Burdekin River</w:t>
      </w:r>
      <w:r w:rsidRPr="005B5B17">
        <w:rPr>
          <w:b w:val="0"/>
          <w:noProof/>
        </w:rPr>
        <w:tab/>
      </w:r>
      <w:r w:rsidRPr="005B5B17">
        <w:rPr>
          <w:b w:val="0"/>
          <w:noProof/>
        </w:rPr>
        <w:fldChar w:fldCharType="begin"/>
      </w:r>
      <w:r w:rsidRPr="005B5B17">
        <w:rPr>
          <w:b w:val="0"/>
          <w:noProof/>
        </w:rPr>
        <w:instrText xml:space="preserve"> PAGEREF _Toc434207989 \h </w:instrText>
      </w:r>
      <w:r w:rsidRPr="005B5B17">
        <w:rPr>
          <w:b w:val="0"/>
          <w:noProof/>
        </w:rPr>
      </w:r>
      <w:r w:rsidRPr="005B5B17">
        <w:rPr>
          <w:b w:val="0"/>
          <w:noProof/>
        </w:rPr>
        <w:fldChar w:fldCharType="separate"/>
      </w:r>
      <w:r w:rsidR="00B62B50">
        <w:rPr>
          <w:b w:val="0"/>
          <w:noProof/>
        </w:rPr>
        <w:t>19</w:t>
      </w:r>
      <w:r w:rsidRPr="005B5B17">
        <w:rPr>
          <w:b w:val="0"/>
          <w:noProof/>
        </w:rPr>
        <w:fldChar w:fldCharType="end"/>
      </w:r>
    </w:p>
    <w:p w14:paraId="0C3F7A57" w14:textId="77777777" w:rsidR="00D243CD" w:rsidRPr="005B5B17" w:rsidRDefault="00D243CD">
      <w:pPr>
        <w:pStyle w:val="TOC3"/>
        <w:rPr>
          <w:rFonts w:eastAsiaTheme="minorEastAsia" w:cstheme="minorBidi"/>
          <w:b w:val="0"/>
          <w:iCs w:val="0"/>
          <w:noProof/>
          <w:szCs w:val="22"/>
          <w:lang w:val="en-US"/>
        </w:rPr>
      </w:pPr>
      <w:r w:rsidRPr="005B5B17">
        <w:rPr>
          <w:b w:val="0"/>
          <w:noProof/>
        </w:rPr>
        <w:t>3.2.3.</w:t>
      </w:r>
      <w:r w:rsidRPr="005B5B17">
        <w:rPr>
          <w:rFonts w:eastAsiaTheme="minorEastAsia" w:cstheme="minorBidi"/>
          <w:b w:val="0"/>
          <w:iCs w:val="0"/>
          <w:noProof/>
          <w:szCs w:val="22"/>
          <w:lang w:val="en-US"/>
        </w:rPr>
        <w:tab/>
      </w:r>
      <w:r w:rsidRPr="005B5B17">
        <w:rPr>
          <w:b w:val="0"/>
          <w:noProof/>
        </w:rPr>
        <w:t>Mackay-Whitsundays NRM: Pioneer River</w:t>
      </w:r>
      <w:r w:rsidRPr="005B5B17">
        <w:rPr>
          <w:b w:val="0"/>
          <w:noProof/>
        </w:rPr>
        <w:tab/>
      </w:r>
      <w:r w:rsidRPr="005B5B17">
        <w:rPr>
          <w:b w:val="0"/>
          <w:noProof/>
        </w:rPr>
        <w:fldChar w:fldCharType="begin"/>
      </w:r>
      <w:r w:rsidRPr="005B5B17">
        <w:rPr>
          <w:b w:val="0"/>
          <w:noProof/>
        </w:rPr>
        <w:instrText xml:space="preserve"> PAGEREF _Toc434207990 \h </w:instrText>
      </w:r>
      <w:r w:rsidRPr="005B5B17">
        <w:rPr>
          <w:b w:val="0"/>
          <w:noProof/>
        </w:rPr>
      </w:r>
      <w:r w:rsidRPr="005B5B17">
        <w:rPr>
          <w:b w:val="0"/>
          <w:noProof/>
        </w:rPr>
        <w:fldChar w:fldCharType="separate"/>
      </w:r>
      <w:r w:rsidR="00B62B50">
        <w:rPr>
          <w:b w:val="0"/>
          <w:noProof/>
        </w:rPr>
        <w:t>19</w:t>
      </w:r>
      <w:r w:rsidRPr="005B5B17">
        <w:rPr>
          <w:b w:val="0"/>
          <w:noProof/>
        </w:rPr>
        <w:fldChar w:fldCharType="end"/>
      </w:r>
    </w:p>
    <w:p w14:paraId="0C3F7A58" w14:textId="77777777" w:rsidR="00D243CD" w:rsidRPr="005B5B17" w:rsidRDefault="00D243CD">
      <w:pPr>
        <w:pStyle w:val="TOC3"/>
        <w:rPr>
          <w:rFonts w:eastAsiaTheme="minorEastAsia" w:cstheme="minorBidi"/>
          <w:b w:val="0"/>
          <w:iCs w:val="0"/>
          <w:noProof/>
          <w:szCs w:val="22"/>
          <w:lang w:val="en-US"/>
        </w:rPr>
      </w:pPr>
      <w:r w:rsidRPr="005B5B17">
        <w:rPr>
          <w:b w:val="0"/>
          <w:noProof/>
        </w:rPr>
        <w:t>3.2.4.</w:t>
      </w:r>
      <w:r w:rsidRPr="005B5B17">
        <w:rPr>
          <w:rFonts w:eastAsiaTheme="minorEastAsia" w:cstheme="minorBidi"/>
          <w:b w:val="0"/>
          <w:iCs w:val="0"/>
          <w:noProof/>
          <w:szCs w:val="22"/>
          <w:lang w:val="en-US"/>
        </w:rPr>
        <w:tab/>
      </w:r>
      <w:r w:rsidRPr="005B5B17">
        <w:rPr>
          <w:b w:val="0"/>
          <w:noProof/>
        </w:rPr>
        <w:t>Regional differences</w:t>
      </w:r>
      <w:r w:rsidRPr="005B5B17">
        <w:rPr>
          <w:b w:val="0"/>
          <w:noProof/>
        </w:rPr>
        <w:tab/>
      </w:r>
      <w:r w:rsidRPr="005B5B17">
        <w:rPr>
          <w:b w:val="0"/>
          <w:noProof/>
        </w:rPr>
        <w:fldChar w:fldCharType="begin"/>
      </w:r>
      <w:r w:rsidRPr="005B5B17">
        <w:rPr>
          <w:b w:val="0"/>
          <w:noProof/>
        </w:rPr>
        <w:instrText xml:space="preserve"> PAGEREF _Toc434207991 \h </w:instrText>
      </w:r>
      <w:r w:rsidRPr="005B5B17">
        <w:rPr>
          <w:b w:val="0"/>
          <w:noProof/>
        </w:rPr>
      </w:r>
      <w:r w:rsidRPr="005B5B17">
        <w:rPr>
          <w:b w:val="0"/>
          <w:noProof/>
        </w:rPr>
        <w:fldChar w:fldCharType="separate"/>
      </w:r>
      <w:r w:rsidR="00B62B50">
        <w:rPr>
          <w:b w:val="0"/>
          <w:noProof/>
        </w:rPr>
        <w:t>23</w:t>
      </w:r>
      <w:r w:rsidRPr="005B5B17">
        <w:rPr>
          <w:b w:val="0"/>
          <w:noProof/>
        </w:rPr>
        <w:fldChar w:fldCharType="end"/>
      </w:r>
    </w:p>
    <w:p w14:paraId="0C3F7A59" w14:textId="77777777" w:rsidR="00D243CD" w:rsidRPr="005B5B17" w:rsidRDefault="00D243CD">
      <w:pPr>
        <w:pStyle w:val="TOC1"/>
        <w:rPr>
          <w:rFonts w:eastAsiaTheme="minorEastAsia" w:cstheme="minorBidi"/>
          <w:b w:val="0"/>
          <w:noProof/>
          <w:szCs w:val="22"/>
        </w:rPr>
      </w:pPr>
      <w:r w:rsidRPr="005B5B17">
        <w:rPr>
          <w:b w:val="0"/>
          <w:noProof/>
        </w:rPr>
        <w:t>4.</w:t>
      </w:r>
      <w:r w:rsidRPr="005B5B17">
        <w:rPr>
          <w:rFonts w:eastAsiaTheme="minorEastAsia" w:cstheme="minorBidi"/>
          <w:b w:val="0"/>
          <w:noProof/>
          <w:szCs w:val="22"/>
        </w:rPr>
        <w:tab/>
      </w:r>
      <w:r w:rsidRPr="005B5B17">
        <w:rPr>
          <w:b w:val="0"/>
          <w:i/>
          <w:noProof/>
        </w:rPr>
        <w:t>In-situ</w:t>
      </w:r>
      <w:r w:rsidRPr="005B5B17">
        <w:rPr>
          <w:b w:val="0"/>
          <w:noProof/>
        </w:rPr>
        <w:t xml:space="preserve"> Water Quality</w:t>
      </w:r>
      <w:r w:rsidRPr="005B5B17">
        <w:rPr>
          <w:b w:val="0"/>
          <w:noProof/>
        </w:rPr>
        <w:tab/>
      </w:r>
      <w:r w:rsidRPr="005B5B17">
        <w:rPr>
          <w:b w:val="0"/>
          <w:noProof/>
        </w:rPr>
        <w:fldChar w:fldCharType="begin"/>
      </w:r>
      <w:r w:rsidRPr="005B5B17">
        <w:rPr>
          <w:b w:val="0"/>
          <w:noProof/>
        </w:rPr>
        <w:instrText xml:space="preserve"> PAGEREF _Toc434207992 \h </w:instrText>
      </w:r>
      <w:r w:rsidRPr="005B5B17">
        <w:rPr>
          <w:b w:val="0"/>
          <w:noProof/>
        </w:rPr>
      </w:r>
      <w:r w:rsidRPr="005B5B17">
        <w:rPr>
          <w:b w:val="0"/>
          <w:noProof/>
        </w:rPr>
        <w:fldChar w:fldCharType="separate"/>
      </w:r>
      <w:r w:rsidR="00B62B50">
        <w:rPr>
          <w:b w:val="0"/>
          <w:noProof/>
        </w:rPr>
        <w:t>25</w:t>
      </w:r>
      <w:r w:rsidRPr="005B5B17">
        <w:rPr>
          <w:b w:val="0"/>
          <w:noProof/>
        </w:rPr>
        <w:fldChar w:fldCharType="end"/>
      </w:r>
    </w:p>
    <w:p w14:paraId="0C3F7A5A"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4.1</w:t>
      </w:r>
      <w:r w:rsidRPr="005B5B17">
        <w:rPr>
          <w:rFonts w:eastAsiaTheme="minorEastAsia" w:cstheme="minorBidi"/>
          <w:b w:val="0"/>
          <w:bCs w:val="0"/>
          <w:iCs w:val="0"/>
          <w:noProof/>
          <w:szCs w:val="22"/>
          <w:lang w:val="en-US"/>
        </w:rPr>
        <w:tab/>
      </w:r>
      <w:r w:rsidRPr="005B5B17">
        <w:rPr>
          <w:b w:val="0"/>
          <w:noProof/>
        </w:rPr>
        <w:t>Sampling design – 2012-2013</w:t>
      </w:r>
      <w:r w:rsidRPr="005B5B17">
        <w:rPr>
          <w:b w:val="0"/>
          <w:noProof/>
        </w:rPr>
        <w:tab/>
      </w:r>
      <w:r w:rsidRPr="005B5B17">
        <w:rPr>
          <w:b w:val="0"/>
          <w:noProof/>
        </w:rPr>
        <w:fldChar w:fldCharType="begin"/>
      </w:r>
      <w:r w:rsidRPr="005B5B17">
        <w:rPr>
          <w:b w:val="0"/>
          <w:noProof/>
        </w:rPr>
        <w:instrText xml:space="preserve"> PAGEREF _Toc434207993 \h </w:instrText>
      </w:r>
      <w:r w:rsidRPr="005B5B17">
        <w:rPr>
          <w:b w:val="0"/>
          <w:noProof/>
        </w:rPr>
      </w:r>
      <w:r w:rsidRPr="005B5B17">
        <w:rPr>
          <w:b w:val="0"/>
          <w:noProof/>
        </w:rPr>
        <w:fldChar w:fldCharType="separate"/>
      </w:r>
      <w:r w:rsidR="00B62B50">
        <w:rPr>
          <w:b w:val="0"/>
          <w:noProof/>
        </w:rPr>
        <w:t>25</w:t>
      </w:r>
      <w:r w:rsidRPr="005B5B17">
        <w:rPr>
          <w:b w:val="0"/>
          <w:noProof/>
        </w:rPr>
        <w:fldChar w:fldCharType="end"/>
      </w:r>
    </w:p>
    <w:p w14:paraId="0C3F7A5B"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4.2</w:t>
      </w:r>
      <w:r w:rsidRPr="005B5B17">
        <w:rPr>
          <w:rFonts w:eastAsiaTheme="minorEastAsia" w:cstheme="minorBidi"/>
          <w:b w:val="0"/>
          <w:bCs w:val="0"/>
          <w:iCs w:val="0"/>
          <w:noProof/>
          <w:szCs w:val="22"/>
          <w:lang w:val="en-US"/>
        </w:rPr>
        <w:tab/>
      </w:r>
      <w:r w:rsidRPr="005B5B17">
        <w:rPr>
          <w:b w:val="0"/>
          <w:noProof/>
        </w:rPr>
        <w:t>Methodology – Water Quality</w:t>
      </w:r>
      <w:r w:rsidRPr="005B5B17">
        <w:rPr>
          <w:b w:val="0"/>
          <w:noProof/>
        </w:rPr>
        <w:tab/>
      </w:r>
      <w:r w:rsidRPr="005B5B17">
        <w:rPr>
          <w:b w:val="0"/>
          <w:noProof/>
        </w:rPr>
        <w:fldChar w:fldCharType="begin"/>
      </w:r>
      <w:r w:rsidRPr="005B5B17">
        <w:rPr>
          <w:b w:val="0"/>
          <w:noProof/>
        </w:rPr>
        <w:instrText xml:space="preserve"> PAGEREF _Toc434207994 \h </w:instrText>
      </w:r>
      <w:r w:rsidRPr="005B5B17">
        <w:rPr>
          <w:b w:val="0"/>
          <w:noProof/>
        </w:rPr>
      </w:r>
      <w:r w:rsidRPr="005B5B17">
        <w:rPr>
          <w:b w:val="0"/>
          <w:noProof/>
        </w:rPr>
        <w:fldChar w:fldCharType="separate"/>
      </w:r>
      <w:r w:rsidR="00B62B50">
        <w:rPr>
          <w:b w:val="0"/>
          <w:noProof/>
        </w:rPr>
        <w:t>29</w:t>
      </w:r>
      <w:r w:rsidRPr="005B5B17">
        <w:rPr>
          <w:b w:val="0"/>
          <w:noProof/>
        </w:rPr>
        <w:fldChar w:fldCharType="end"/>
      </w:r>
    </w:p>
    <w:p w14:paraId="0C3F7A5C"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4.2.1</w:t>
      </w:r>
      <w:r w:rsidRPr="005B5B17">
        <w:rPr>
          <w:rFonts w:eastAsiaTheme="minorEastAsia" w:cstheme="minorBidi"/>
          <w:b w:val="0"/>
          <w:bCs w:val="0"/>
          <w:iCs w:val="0"/>
          <w:noProof/>
          <w:szCs w:val="22"/>
          <w:lang w:val="en-US"/>
        </w:rPr>
        <w:tab/>
      </w:r>
      <w:r w:rsidRPr="005B5B17">
        <w:rPr>
          <w:b w:val="0"/>
          <w:noProof/>
        </w:rPr>
        <w:t>Water samples – 2012-2013</w:t>
      </w:r>
      <w:r w:rsidRPr="005B5B17">
        <w:rPr>
          <w:b w:val="0"/>
          <w:noProof/>
        </w:rPr>
        <w:tab/>
      </w:r>
      <w:r w:rsidRPr="005B5B17">
        <w:rPr>
          <w:b w:val="0"/>
          <w:noProof/>
        </w:rPr>
        <w:fldChar w:fldCharType="begin"/>
      </w:r>
      <w:r w:rsidRPr="005B5B17">
        <w:rPr>
          <w:b w:val="0"/>
          <w:noProof/>
        </w:rPr>
        <w:instrText xml:space="preserve"> PAGEREF _Toc434207995 \h </w:instrText>
      </w:r>
      <w:r w:rsidRPr="005B5B17">
        <w:rPr>
          <w:b w:val="0"/>
          <w:noProof/>
        </w:rPr>
      </w:r>
      <w:r w:rsidRPr="005B5B17">
        <w:rPr>
          <w:b w:val="0"/>
          <w:noProof/>
        </w:rPr>
        <w:fldChar w:fldCharType="separate"/>
      </w:r>
      <w:r w:rsidR="00B62B50">
        <w:rPr>
          <w:b w:val="0"/>
          <w:noProof/>
        </w:rPr>
        <w:t>29</w:t>
      </w:r>
      <w:r w:rsidRPr="005B5B17">
        <w:rPr>
          <w:b w:val="0"/>
          <w:noProof/>
        </w:rPr>
        <w:fldChar w:fldCharType="end"/>
      </w:r>
    </w:p>
    <w:p w14:paraId="0C3F7A5D"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4.2.2</w:t>
      </w:r>
      <w:r w:rsidRPr="005B5B17">
        <w:rPr>
          <w:rFonts w:eastAsiaTheme="minorEastAsia" w:cstheme="minorBidi"/>
          <w:b w:val="0"/>
          <w:bCs w:val="0"/>
          <w:iCs w:val="0"/>
          <w:noProof/>
          <w:szCs w:val="22"/>
          <w:lang w:val="en-US"/>
        </w:rPr>
        <w:tab/>
      </w:r>
      <w:r w:rsidRPr="005B5B17">
        <w:rPr>
          <w:b w:val="0"/>
          <w:noProof/>
        </w:rPr>
        <w:t>Data analysis - spatial</w:t>
      </w:r>
      <w:r w:rsidRPr="005B5B17">
        <w:rPr>
          <w:b w:val="0"/>
          <w:noProof/>
        </w:rPr>
        <w:tab/>
      </w:r>
      <w:r w:rsidRPr="005B5B17">
        <w:rPr>
          <w:b w:val="0"/>
          <w:noProof/>
        </w:rPr>
        <w:fldChar w:fldCharType="begin"/>
      </w:r>
      <w:r w:rsidRPr="005B5B17">
        <w:rPr>
          <w:b w:val="0"/>
          <w:noProof/>
        </w:rPr>
        <w:instrText xml:space="preserve"> PAGEREF _Toc434207996 \h </w:instrText>
      </w:r>
      <w:r w:rsidRPr="005B5B17">
        <w:rPr>
          <w:b w:val="0"/>
          <w:noProof/>
        </w:rPr>
      </w:r>
      <w:r w:rsidRPr="005B5B17">
        <w:rPr>
          <w:b w:val="0"/>
          <w:noProof/>
        </w:rPr>
        <w:fldChar w:fldCharType="separate"/>
      </w:r>
      <w:r w:rsidR="00B62B50">
        <w:rPr>
          <w:b w:val="0"/>
          <w:noProof/>
        </w:rPr>
        <w:t>29</w:t>
      </w:r>
      <w:r w:rsidRPr="005B5B17">
        <w:rPr>
          <w:b w:val="0"/>
          <w:noProof/>
        </w:rPr>
        <w:fldChar w:fldCharType="end"/>
      </w:r>
    </w:p>
    <w:p w14:paraId="0C3F7A5E"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4.2.3</w:t>
      </w:r>
      <w:r w:rsidRPr="005B5B17">
        <w:rPr>
          <w:rFonts w:eastAsiaTheme="minorEastAsia" w:cstheme="minorBidi"/>
          <w:b w:val="0"/>
          <w:bCs w:val="0"/>
          <w:iCs w:val="0"/>
          <w:noProof/>
          <w:szCs w:val="22"/>
          <w:lang w:val="en-US"/>
        </w:rPr>
        <w:tab/>
      </w:r>
      <w:r w:rsidRPr="005B5B17">
        <w:rPr>
          <w:b w:val="0"/>
          <w:noProof/>
        </w:rPr>
        <w:t>Data analysis – Temporal</w:t>
      </w:r>
      <w:r w:rsidRPr="005B5B17">
        <w:rPr>
          <w:b w:val="0"/>
          <w:noProof/>
        </w:rPr>
        <w:tab/>
      </w:r>
      <w:r w:rsidRPr="005B5B17">
        <w:rPr>
          <w:b w:val="0"/>
          <w:noProof/>
        </w:rPr>
        <w:fldChar w:fldCharType="begin"/>
      </w:r>
      <w:r w:rsidRPr="005B5B17">
        <w:rPr>
          <w:b w:val="0"/>
          <w:noProof/>
        </w:rPr>
        <w:instrText xml:space="preserve"> PAGEREF _Toc434207997 \h </w:instrText>
      </w:r>
      <w:r w:rsidRPr="005B5B17">
        <w:rPr>
          <w:b w:val="0"/>
          <w:noProof/>
        </w:rPr>
      </w:r>
      <w:r w:rsidRPr="005B5B17">
        <w:rPr>
          <w:b w:val="0"/>
          <w:noProof/>
        </w:rPr>
        <w:fldChar w:fldCharType="separate"/>
      </w:r>
      <w:r w:rsidR="00B62B50">
        <w:rPr>
          <w:b w:val="0"/>
          <w:noProof/>
        </w:rPr>
        <w:t>30</w:t>
      </w:r>
      <w:r w:rsidRPr="005B5B17">
        <w:rPr>
          <w:b w:val="0"/>
          <w:noProof/>
        </w:rPr>
        <w:fldChar w:fldCharType="end"/>
      </w:r>
    </w:p>
    <w:p w14:paraId="0C3F7A5F"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4.3</w:t>
      </w:r>
      <w:r w:rsidRPr="005B5B17">
        <w:rPr>
          <w:rFonts w:eastAsiaTheme="minorEastAsia" w:cstheme="minorBidi"/>
          <w:b w:val="0"/>
          <w:bCs w:val="0"/>
          <w:iCs w:val="0"/>
          <w:noProof/>
          <w:szCs w:val="22"/>
          <w:lang w:val="en-US"/>
        </w:rPr>
        <w:tab/>
      </w:r>
      <w:r w:rsidRPr="005B5B17">
        <w:rPr>
          <w:b w:val="0"/>
          <w:noProof/>
        </w:rPr>
        <w:t>Results</w:t>
      </w:r>
      <w:r w:rsidRPr="005B5B17">
        <w:rPr>
          <w:b w:val="0"/>
          <w:noProof/>
        </w:rPr>
        <w:tab/>
      </w:r>
      <w:r w:rsidRPr="005B5B17">
        <w:rPr>
          <w:b w:val="0"/>
          <w:noProof/>
        </w:rPr>
        <w:fldChar w:fldCharType="begin"/>
      </w:r>
      <w:r w:rsidRPr="005B5B17">
        <w:rPr>
          <w:b w:val="0"/>
          <w:noProof/>
        </w:rPr>
        <w:instrText xml:space="preserve"> PAGEREF _Toc434207998 \h </w:instrText>
      </w:r>
      <w:r w:rsidRPr="005B5B17">
        <w:rPr>
          <w:b w:val="0"/>
          <w:noProof/>
        </w:rPr>
      </w:r>
      <w:r w:rsidRPr="005B5B17">
        <w:rPr>
          <w:b w:val="0"/>
          <w:noProof/>
        </w:rPr>
        <w:fldChar w:fldCharType="separate"/>
      </w:r>
      <w:r w:rsidR="00B62B50">
        <w:rPr>
          <w:b w:val="0"/>
          <w:noProof/>
        </w:rPr>
        <w:t>32</w:t>
      </w:r>
      <w:r w:rsidRPr="005B5B17">
        <w:rPr>
          <w:b w:val="0"/>
          <w:noProof/>
        </w:rPr>
        <w:fldChar w:fldCharType="end"/>
      </w:r>
    </w:p>
    <w:p w14:paraId="0C3F7A60"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4.3.1</w:t>
      </w:r>
      <w:r w:rsidRPr="005B5B17">
        <w:rPr>
          <w:rFonts w:eastAsiaTheme="minorEastAsia" w:cstheme="minorBidi"/>
          <w:b w:val="0"/>
          <w:bCs w:val="0"/>
          <w:iCs w:val="0"/>
          <w:noProof/>
          <w:szCs w:val="22"/>
          <w:lang w:val="en-US"/>
        </w:rPr>
        <w:tab/>
      </w:r>
      <w:r w:rsidRPr="005B5B17">
        <w:rPr>
          <w:b w:val="0"/>
          <w:noProof/>
        </w:rPr>
        <w:t>Data analysis - spatial</w:t>
      </w:r>
      <w:r w:rsidRPr="005B5B17">
        <w:rPr>
          <w:b w:val="0"/>
          <w:noProof/>
        </w:rPr>
        <w:tab/>
      </w:r>
      <w:r w:rsidRPr="005B5B17">
        <w:rPr>
          <w:b w:val="0"/>
          <w:noProof/>
        </w:rPr>
        <w:fldChar w:fldCharType="begin"/>
      </w:r>
      <w:r w:rsidRPr="005B5B17">
        <w:rPr>
          <w:b w:val="0"/>
          <w:noProof/>
        </w:rPr>
        <w:instrText xml:space="preserve"> PAGEREF _Toc434207999 \h </w:instrText>
      </w:r>
      <w:r w:rsidRPr="005B5B17">
        <w:rPr>
          <w:b w:val="0"/>
          <w:noProof/>
        </w:rPr>
      </w:r>
      <w:r w:rsidRPr="005B5B17">
        <w:rPr>
          <w:b w:val="0"/>
          <w:noProof/>
        </w:rPr>
        <w:fldChar w:fldCharType="separate"/>
      </w:r>
      <w:r w:rsidR="00B62B50">
        <w:rPr>
          <w:b w:val="0"/>
          <w:noProof/>
        </w:rPr>
        <w:t>32</w:t>
      </w:r>
      <w:r w:rsidRPr="005B5B17">
        <w:rPr>
          <w:b w:val="0"/>
          <w:noProof/>
        </w:rPr>
        <w:fldChar w:fldCharType="end"/>
      </w:r>
    </w:p>
    <w:p w14:paraId="0C3F7A61" w14:textId="77777777" w:rsidR="00D243CD" w:rsidRPr="005B5B17" w:rsidRDefault="00D243CD">
      <w:pPr>
        <w:pStyle w:val="TOC2"/>
        <w:rPr>
          <w:rFonts w:eastAsiaTheme="minorEastAsia" w:cstheme="minorBidi"/>
          <w:b w:val="0"/>
          <w:bCs w:val="0"/>
          <w:iCs w:val="0"/>
          <w:noProof/>
          <w:szCs w:val="22"/>
          <w:lang w:val="en-US"/>
        </w:rPr>
      </w:pPr>
      <w:r w:rsidRPr="005B5B17">
        <w:rPr>
          <w:b w:val="0"/>
          <w:noProof/>
        </w:rPr>
        <w:t>4.2.1</w:t>
      </w:r>
      <w:r w:rsidRPr="005B5B17">
        <w:rPr>
          <w:rFonts w:eastAsiaTheme="minorEastAsia" w:cstheme="minorBidi"/>
          <w:b w:val="0"/>
          <w:bCs w:val="0"/>
          <w:iCs w:val="0"/>
          <w:noProof/>
          <w:szCs w:val="22"/>
          <w:lang w:val="en-US"/>
        </w:rPr>
        <w:tab/>
      </w:r>
      <w:r w:rsidRPr="005B5B17">
        <w:rPr>
          <w:b w:val="0"/>
          <w:noProof/>
        </w:rPr>
        <w:t>Data analysis - temporal</w:t>
      </w:r>
      <w:r w:rsidRPr="005B5B17">
        <w:rPr>
          <w:b w:val="0"/>
          <w:noProof/>
        </w:rPr>
        <w:tab/>
      </w:r>
      <w:r w:rsidRPr="005B5B17">
        <w:rPr>
          <w:b w:val="0"/>
          <w:noProof/>
        </w:rPr>
        <w:fldChar w:fldCharType="begin"/>
      </w:r>
      <w:r w:rsidRPr="005B5B17">
        <w:rPr>
          <w:b w:val="0"/>
          <w:noProof/>
        </w:rPr>
        <w:instrText xml:space="preserve"> PAGEREF _Toc434208000 \h </w:instrText>
      </w:r>
      <w:r w:rsidRPr="005B5B17">
        <w:rPr>
          <w:b w:val="0"/>
          <w:noProof/>
        </w:rPr>
      </w:r>
      <w:r w:rsidRPr="005B5B17">
        <w:rPr>
          <w:b w:val="0"/>
          <w:noProof/>
        </w:rPr>
        <w:fldChar w:fldCharType="separate"/>
      </w:r>
      <w:r w:rsidR="00B62B50">
        <w:rPr>
          <w:b w:val="0"/>
          <w:noProof/>
        </w:rPr>
        <w:t>47</w:t>
      </w:r>
      <w:r w:rsidRPr="005B5B17">
        <w:rPr>
          <w:b w:val="0"/>
          <w:noProof/>
        </w:rPr>
        <w:fldChar w:fldCharType="end"/>
      </w:r>
    </w:p>
    <w:p w14:paraId="0C3F7A62" w14:textId="77777777" w:rsidR="00D243CD" w:rsidRPr="005B5B17" w:rsidRDefault="00D243CD">
      <w:pPr>
        <w:pStyle w:val="TOC1"/>
        <w:rPr>
          <w:rFonts w:eastAsiaTheme="minorEastAsia" w:cstheme="minorBidi"/>
          <w:b w:val="0"/>
          <w:noProof/>
          <w:szCs w:val="22"/>
        </w:rPr>
      </w:pPr>
      <w:r w:rsidRPr="005B5B17">
        <w:rPr>
          <w:b w:val="0"/>
          <w:noProof/>
        </w:rPr>
        <w:t>5.</w:t>
      </w:r>
      <w:r w:rsidRPr="005B5B17">
        <w:rPr>
          <w:rFonts w:eastAsiaTheme="minorEastAsia" w:cstheme="minorBidi"/>
          <w:b w:val="0"/>
          <w:noProof/>
          <w:szCs w:val="22"/>
        </w:rPr>
        <w:tab/>
      </w:r>
      <w:r w:rsidRPr="005B5B17">
        <w:rPr>
          <w:b w:val="0"/>
          <w:noProof/>
        </w:rPr>
        <w:t>Mapping of river plumes</w:t>
      </w:r>
      <w:r w:rsidRPr="005B5B17">
        <w:rPr>
          <w:b w:val="0"/>
          <w:noProof/>
        </w:rPr>
        <w:tab/>
      </w:r>
      <w:r w:rsidRPr="005B5B17">
        <w:rPr>
          <w:b w:val="0"/>
          <w:noProof/>
        </w:rPr>
        <w:fldChar w:fldCharType="begin"/>
      </w:r>
      <w:r w:rsidRPr="005B5B17">
        <w:rPr>
          <w:b w:val="0"/>
          <w:noProof/>
        </w:rPr>
        <w:instrText xml:space="preserve"> PAGEREF _Toc434208001 \h </w:instrText>
      </w:r>
      <w:r w:rsidRPr="005B5B17">
        <w:rPr>
          <w:b w:val="0"/>
          <w:noProof/>
        </w:rPr>
      </w:r>
      <w:r w:rsidRPr="005B5B17">
        <w:rPr>
          <w:b w:val="0"/>
          <w:noProof/>
        </w:rPr>
        <w:fldChar w:fldCharType="separate"/>
      </w:r>
      <w:r w:rsidR="00B62B50">
        <w:rPr>
          <w:b w:val="0"/>
          <w:noProof/>
        </w:rPr>
        <w:t>55</w:t>
      </w:r>
      <w:r w:rsidRPr="005B5B17">
        <w:rPr>
          <w:b w:val="0"/>
          <w:noProof/>
        </w:rPr>
        <w:fldChar w:fldCharType="end"/>
      </w:r>
    </w:p>
    <w:p w14:paraId="0C3F7A63" w14:textId="77777777" w:rsidR="00D243CD" w:rsidRPr="005B5B17" w:rsidRDefault="00D243CD">
      <w:pPr>
        <w:pStyle w:val="TOC3"/>
        <w:rPr>
          <w:rFonts w:eastAsiaTheme="minorEastAsia" w:cstheme="minorBidi"/>
          <w:b w:val="0"/>
          <w:iCs w:val="0"/>
          <w:noProof/>
          <w:szCs w:val="22"/>
          <w:lang w:val="en-US"/>
        </w:rPr>
      </w:pPr>
      <w:r w:rsidRPr="005B5B17">
        <w:rPr>
          <w:rFonts w:ascii="Calibri" w:hAnsi="Calibri"/>
          <w:b w:val="0"/>
          <w:bCs/>
          <w:noProof/>
        </w:rPr>
        <w:t>5.1.</w:t>
      </w:r>
      <w:r w:rsidRPr="005B5B17">
        <w:rPr>
          <w:rFonts w:eastAsiaTheme="minorEastAsia" w:cstheme="minorBidi"/>
          <w:b w:val="0"/>
          <w:iCs w:val="0"/>
          <w:noProof/>
          <w:szCs w:val="22"/>
          <w:lang w:val="en-US"/>
        </w:rPr>
        <w:tab/>
      </w:r>
      <w:r w:rsidRPr="005B5B17">
        <w:rPr>
          <w:rFonts w:ascii="Calibri" w:hAnsi="Calibri"/>
          <w:b w:val="0"/>
          <w:bCs/>
          <w:noProof/>
        </w:rPr>
        <w:t>Introduction</w:t>
      </w:r>
      <w:r w:rsidRPr="005B5B17">
        <w:rPr>
          <w:b w:val="0"/>
          <w:noProof/>
        </w:rPr>
        <w:tab/>
      </w:r>
      <w:r w:rsidRPr="005B5B17">
        <w:rPr>
          <w:b w:val="0"/>
          <w:noProof/>
        </w:rPr>
        <w:fldChar w:fldCharType="begin"/>
      </w:r>
      <w:r w:rsidRPr="005B5B17">
        <w:rPr>
          <w:b w:val="0"/>
          <w:noProof/>
        </w:rPr>
        <w:instrText xml:space="preserve"> PAGEREF _Toc434208002 \h </w:instrText>
      </w:r>
      <w:r w:rsidRPr="005B5B17">
        <w:rPr>
          <w:b w:val="0"/>
          <w:noProof/>
        </w:rPr>
      </w:r>
      <w:r w:rsidRPr="005B5B17">
        <w:rPr>
          <w:b w:val="0"/>
          <w:noProof/>
        </w:rPr>
        <w:fldChar w:fldCharType="separate"/>
      </w:r>
      <w:r w:rsidR="00B62B50">
        <w:rPr>
          <w:b w:val="0"/>
          <w:noProof/>
        </w:rPr>
        <w:t>55</w:t>
      </w:r>
      <w:r w:rsidRPr="005B5B17">
        <w:rPr>
          <w:b w:val="0"/>
          <w:noProof/>
        </w:rPr>
        <w:fldChar w:fldCharType="end"/>
      </w:r>
    </w:p>
    <w:p w14:paraId="0C3F7A64" w14:textId="77777777" w:rsidR="00D243CD" w:rsidRPr="005B5B17" w:rsidRDefault="00D243CD">
      <w:pPr>
        <w:pStyle w:val="TOC3"/>
        <w:rPr>
          <w:rFonts w:eastAsiaTheme="minorEastAsia" w:cstheme="minorBidi"/>
          <w:b w:val="0"/>
          <w:iCs w:val="0"/>
          <w:noProof/>
          <w:szCs w:val="22"/>
          <w:lang w:val="en-US"/>
        </w:rPr>
      </w:pPr>
      <w:r w:rsidRPr="005B5B17">
        <w:rPr>
          <w:rFonts w:ascii="Calibri" w:hAnsi="Calibri"/>
          <w:b w:val="0"/>
          <w:bCs/>
          <w:noProof/>
        </w:rPr>
        <w:t>5.2.</w:t>
      </w:r>
      <w:r w:rsidRPr="005B5B17">
        <w:rPr>
          <w:rFonts w:eastAsiaTheme="minorEastAsia" w:cstheme="minorBidi"/>
          <w:b w:val="0"/>
          <w:iCs w:val="0"/>
          <w:noProof/>
          <w:szCs w:val="22"/>
          <w:lang w:val="en-US"/>
        </w:rPr>
        <w:tab/>
      </w:r>
      <w:r w:rsidRPr="005B5B17">
        <w:rPr>
          <w:rFonts w:ascii="Calibri" w:hAnsi="Calibri"/>
          <w:b w:val="0"/>
          <w:bCs/>
          <w:noProof/>
        </w:rPr>
        <w:t>Methods</w:t>
      </w:r>
      <w:r w:rsidRPr="005B5B17">
        <w:rPr>
          <w:b w:val="0"/>
          <w:noProof/>
        </w:rPr>
        <w:tab/>
      </w:r>
      <w:r w:rsidRPr="005B5B17">
        <w:rPr>
          <w:b w:val="0"/>
          <w:noProof/>
        </w:rPr>
        <w:fldChar w:fldCharType="begin"/>
      </w:r>
      <w:r w:rsidRPr="005B5B17">
        <w:rPr>
          <w:b w:val="0"/>
          <w:noProof/>
        </w:rPr>
        <w:instrText xml:space="preserve"> PAGEREF _Toc434208003 \h </w:instrText>
      </w:r>
      <w:r w:rsidRPr="005B5B17">
        <w:rPr>
          <w:b w:val="0"/>
          <w:noProof/>
        </w:rPr>
      </w:r>
      <w:r w:rsidRPr="005B5B17">
        <w:rPr>
          <w:b w:val="0"/>
          <w:noProof/>
        </w:rPr>
        <w:fldChar w:fldCharType="separate"/>
      </w:r>
      <w:r w:rsidR="00B62B50">
        <w:rPr>
          <w:b w:val="0"/>
          <w:noProof/>
        </w:rPr>
        <w:t>56</w:t>
      </w:r>
      <w:r w:rsidRPr="005B5B17">
        <w:rPr>
          <w:b w:val="0"/>
          <w:noProof/>
        </w:rPr>
        <w:fldChar w:fldCharType="end"/>
      </w:r>
    </w:p>
    <w:p w14:paraId="0C3F7A65" w14:textId="77777777" w:rsidR="00D243CD" w:rsidRPr="005B5B17" w:rsidRDefault="00D243CD">
      <w:pPr>
        <w:pStyle w:val="TOC3"/>
        <w:rPr>
          <w:rFonts w:eastAsiaTheme="minorEastAsia" w:cstheme="minorBidi"/>
          <w:b w:val="0"/>
          <w:iCs w:val="0"/>
          <w:noProof/>
          <w:szCs w:val="22"/>
          <w:lang w:val="en-US"/>
        </w:rPr>
      </w:pPr>
      <w:r w:rsidRPr="005B5B17">
        <w:rPr>
          <w:b w:val="0"/>
          <w:noProof/>
        </w:rPr>
        <w:t>5.2.1.</w:t>
      </w:r>
      <w:r w:rsidRPr="005B5B17">
        <w:rPr>
          <w:rFonts w:eastAsiaTheme="minorEastAsia" w:cstheme="minorBidi"/>
          <w:b w:val="0"/>
          <w:iCs w:val="0"/>
          <w:noProof/>
          <w:szCs w:val="22"/>
          <w:lang w:val="en-US"/>
        </w:rPr>
        <w:tab/>
      </w:r>
      <w:r w:rsidRPr="005B5B17">
        <w:rPr>
          <w:b w:val="0"/>
          <w:noProof/>
        </w:rPr>
        <w:t>GBR plumes water types</w:t>
      </w:r>
      <w:r w:rsidRPr="005B5B17">
        <w:rPr>
          <w:b w:val="0"/>
          <w:noProof/>
        </w:rPr>
        <w:tab/>
      </w:r>
      <w:r w:rsidRPr="005B5B17">
        <w:rPr>
          <w:b w:val="0"/>
          <w:noProof/>
        </w:rPr>
        <w:fldChar w:fldCharType="begin"/>
      </w:r>
      <w:r w:rsidRPr="005B5B17">
        <w:rPr>
          <w:b w:val="0"/>
          <w:noProof/>
        </w:rPr>
        <w:instrText xml:space="preserve"> PAGEREF _Toc434208004 \h </w:instrText>
      </w:r>
      <w:r w:rsidRPr="005B5B17">
        <w:rPr>
          <w:b w:val="0"/>
          <w:noProof/>
        </w:rPr>
      </w:r>
      <w:r w:rsidRPr="005B5B17">
        <w:rPr>
          <w:b w:val="0"/>
          <w:noProof/>
        </w:rPr>
        <w:fldChar w:fldCharType="separate"/>
      </w:r>
      <w:r w:rsidR="00B62B50">
        <w:rPr>
          <w:b w:val="0"/>
          <w:noProof/>
        </w:rPr>
        <w:t>56</w:t>
      </w:r>
      <w:r w:rsidRPr="005B5B17">
        <w:rPr>
          <w:b w:val="0"/>
          <w:noProof/>
        </w:rPr>
        <w:fldChar w:fldCharType="end"/>
      </w:r>
    </w:p>
    <w:p w14:paraId="0C3F7A66" w14:textId="77777777" w:rsidR="00D243CD" w:rsidRPr="005B5B17" w:rsidRDefault="00D243CD">
      <w:pPr>
        <w:pStyle w:val="TOC3"/>
        <w:rPr>
          <w:rFonts w:eastAsiaTheme="minorEastAsia" w:cstheme="minorBidi"/>
          <w:b w:val="0"/>
          <w:iCs w:val="0"/>
          <w:noProof/>
          <w:szCs w:val="22"/>
          <w:lang w:val="en-US"/>
        </w:rPr>
      </w:pPr>
      <w:r w:rsidRPr="005B5B17">
        <w:rPr>
          <w:b w:val="0"/>
          <w:noProof/>
        </w:rPr>
        <w:t>5.2.2.</w:t>
      </w:r>
      <w:r w:rsidRPr="005B5B17">
        <w:rPr>
          <w:rFonts w:eastAsiaTheme="minorEastAsia" w:cstheme="minorBidi"/>
          <w:b w:val="0"/>
          <w:iCs w:val="0"/>
          <w:noProof/>
          <w:szCs w:val="22"/>
          <w:lang w:val="en-US"/>
        </w:rPr>
        <w:tab/>
      </w:r>
      <w:r w:rsidRPr="005B5B17">
        <w:rPr>
          <w:b w:val="0"/>
          <w:noProof/>
        </w:rPr>
        <w:t>Mapping of the GBR River plumes, using MODIS images</w:t>
      </w:r>
      <w:r w:rsidRPr="005B5B17">
        <w:rPr>
          <w:b w:val="0"/>
          <w:noProof/>
        </w:rPr>
        <w:tab/>
      </w:r>
      <w:r w:rsidRPr="005B5B17">
        <w:rPr>
          <w:b w:val="0"/>
          <w:noProof/>
        </w:rPr>
        <w:fldChar w:fldCharType="begin"/>
      </w:r>
      <w:r w:rsidRPr="005B5B17">
        <w:rPr>
          <w:b w:val="0"/>
          <w:noProof/>
        </w:rPr>
        <w:instrText xml:space="preserve"> PAGEREF _Toc434208005 \h </w:instrText>
      </w:r>
      <w:r w:rsidRPr="005B5B17">
        <w:rPr>
          <w:b w:val="0"/>
          <w:noProof/>
        </w:rPr>
      </w:r>
      <w:r w:rsidRPr="005B5B17">
        <w:rPr>
          <w:b w:val="0"/>
          <w:noProof/>
        </w:rPr>
        <w:fldChar w:fldCharType="separate"/>
      </w:r>
      <w:r w:rsidR="00B62B50">
        <w:rPr>
          <w:b w:val="0"/>
          <w:noProof/>
        </w:rPr>
        <w:t>56</w:t>
      </w:r>
      <w:r w:rsidRPr="005B5B17">
        <w:rPr>
          <w:b w:val="0"/>
          <w:noProof/>
        </w:rPr>
        <w:fldChar w:fldCharType="end"/>
      </w:r>
    </w:p>
    <w:p w14:paraId="0C3F7A67" w14:textId="77777777" w:rsidR="00D243CD" w:rsidRPr="005B5B17" w:rsidRDefault="00D243CD">
      <w:pPr>
        <w:pStyle w:val="TOC3"/>
        <w:rPr>
          <w:rFonts w:eastAsiaTheme="minorEastAsia" w:cstheme="minorBidi"/>
          <w:b w:val="0"/>
          <w:iCs w:val="0"/>
          <w:noProof/>
          <w:szCs w:val="22"/>
          <w:lang w:val="en-US"/>
        </w:rPr>
      </w:pPr>
      <w:r w:rsidRPr="005B5B17">
        <w:rPr>
          <w:b w:val="0"/>
          <w:noProof/>
        </w:rPr>
        <w:t>5.2.3.</w:t>
      </w:r>
      <w:r w:rsidRPr="005B5B17">
        <w:rPr>
          <w:rFonts w:eastAsiaTheme="minorEastAsia" w:cstheme="minorBidi"/>
          <w:b w:val="0"/>
          <w:iCs w:val="0"/>
          <w:noProof/>
          <w:szCs w:val="22"/>
          <w:lang w:val="en-US"/>
        </w:rPr>
        <w:tab/>
      </w:r>
      <w:r w:rsidRPr="005B5B17">
        <w:rPr>
          <w:b w:val="0"/>
          <w:noProof/>
        </w:rPr>
        <w:t>Development of Remote sensing products</w:t>
      </w:r>
      <w:r w:rsidRPr="005B5B17">
        <w:rPr>
          <w:b w:val="0"/>
          <w:noProof/>
        </w:rPr>
        <w:tab/>
      </w:r>
      <w:r w:rsidRPr="005B5B17">
        <w:rPr>
          <w:b w:val="0"/>
          <w:noProof/>
        </w:rPr>
        <w:fldChar w:fldCharType="begin"/>
      </w:r>
      <w:r w:rsidRPr="005B5B17">
        <w:rPr>
          <w:b w:val="0"/>
          <w:noProof/>
        </w:rPr>
        <w:instrText xml:space="preserve"> PAGEREF _Toc434208006 \h </w:instrText>
      </w:r>
      <w:r w:rsidRPr="005B5B17">
        <w:rPr>
          <w:b w:val="0"/>
          <w:noProof/>
        </w:rPr>
      </w:r>
      <w:r w:rsidRPr="005B5B17">
        <w:rPr>
          <w:b w:val="0"/>
          <w:noProof/>
        </w:rPr>
        <w:fldChar w:fldCharType="separate"/>
      </w:r>
      <w:r w:rsidR="00B62B50">
        <w:rPr>
          <w:b w:val="0"/>
          <w:noProof/>
        </w:rPr>
        <w:t>56</w:t>
      </w:r>
      <w:r w:rsidRPr="005B5B17">
        <w:rPr>
          <w:b w:val="0"/>
          <w:noProof/>
        </w:rPr>
        <w:fldChar w:fldCharType="end"/>
      </w:r>
    </w:p>
    <w:p w14:paraId="0C3F7A68" w14:textId="77777777" w:rsidR="00D243CD" w:rsidRPr="005B5B17" w:rsidRDefault="00D243CD">
      <w:pPr>
        <w:pStyle w:val="TOC3"/>
        <w:rPr>
          <w:rFonts w:eastAsiaTheme="minorEastAsia" w:cstheme="minorBidi"/>
          <w:b w:val="0"/>
          <w:iCs w:val="0"/>
          <w:noProof/>
          <w:szCs w:val="22"/>
          <w:lang w:val="en-US"/>
        </w:rPr>
      </w:pPr>
      <w:r w:rsidRPr="005B5B17">
        <w:rPr>
          <w:b w:val="0"/>
          <w:bCs/>
          <w:noProof/>
        </w:rPr>
        <w:t>5.2.4.</w:t>
      </w:r>
      <w:r w:rsidRPr="005B5B17">
        <w:rPr>
          <w:rFonts w:eastAsiaTheme="minorEastAsia" w:cstheme="minorBidi"/>
          <w:b w:val="0"/>
          <w:iCs w:val="0"/>
          <w:noProof/>
          <w:szCs w:val="22"/>
          <w:lang w:val="en-US"/>
        </w:rPr>
        <w:tab/>
      </w:r>
      <w:r w:rsidRPr="005B5B17">
        <w:rPr>
          <w:b w:val="0"/>
          <w:bCs/>
          <w:noProof/>
        </w:rPr>
        <w:t>Remote sensing products: “potential risk” maps</w:t>
      </w:r>
      <w:r w:rsidRPr="005B5B17">
        <w:rPr>
          <w:b w:val="0"/>
          <w:noProof/>
        </w:rPr>
        <w:tab/>
      </w:r>
      <w:r w:rsidRPr="005B5B17">
        <w:rPr>
          <w:b w:val="0"/>
          <w:noProof/>
        </w:rPr>
        <w:fldChar w:fldCharType="begin"/>
      </w:r>
      <w:r w:rsidRPr="005B5B17">
        <w:rPr>
          <w:b w:val="0"/>
          <w:noProof/>
        </w:rPr>
        <w:instrText xml:space="preserve"> PAGEREF _Toc434208007 \h </w:instrText>
      </w:r>
      <w:r w:rsidRPr="005B5B17">
        <w:rPr>
          <w:b w:val="0"/>
          <w:noProof/>
        </w:rPr>
      </w:r>
      <w:r w:rsidRPr="005B5B17">
        <w:rPr>
          <w:b w:val="0"/>
          <w:noProof/>
        </w:rPr>
        <w:fldChar w:fldCharType="separate"/>
      </w:r>
      <w:r w:rsidR="00B62B50">
        <w:rPr>
          <w:b w:val="0"/>
          <w:noProof/>
        </w:rPr>
        <w:t>58</w:t>
      </w:r>
      <w:r w:rsidRPr="005B5B17">
        <w:rPr>
          <w:b w:val="0"/>
          <w:noProof/>
        </w:rPr>
        <w:fldChar w:fldCharType="end"/>
      </w:r>
    </w:p>
    <w:p w14:paraId="0C3F7A69" w14:textId="77777777" w:rsidR="00D243CD" w:rsidRPr="005B5B17" w:rsidRDefault="00D243CD">
      <w:pPr>
        <w:pStyle w:val="TOC3"/>
        <w:rPr>
          <w:rFonts w:eastAsiaTheme="minorEastAsia" w:cstheme="minorBidi"/>
          <w:b w:val="0"/>
          <w:iCs w:val="0"/>
          <w:noProof/>
          <w:szCs w:val="22"/>
          <w:lang w:val="en-US"/>
        </w:rPr>
      </w:pPr>
      <w:r w:rsidRPr="005B5B17">
        <w:rPr>
          <w:b w:val="0"/>
          <w:bCs/>
          <w:noProof/>
        </w:rPr>
        <w:t>5.2.5.</w:t>
      </w:r>
      <w:r w:rsidRPr="005B5B17">
        <w:rPr>
          <w:rFonts w:eastAsiaTheme="minorEastAsia" w:cstheme="minorBidi"/>
          <w:b w:val="0"/>
          <w:iCs w:val="0"/>
          <w:noProof/>
          <w:szCs w:val="22"/>
          <w:lang w:val="en-US"/>
        </w:rPr>
        <w:tab/>
      </w:r>
      <w:r w:rsidRPr="005B5B17">
        <w:rPr>
          <w:b w:val="0"/>
          <w:bCs/>
          <w:noProof/>
        </w:rPr>
        <w:t>Exposure of GBR ecosystems to river plumes</w:t>
      </w:r>
      <w:r w:rsidRPr="005B5B17">
        <w:rPr>
          <w:b w:val="0"/>
          <w:noProof/>
        </w:rPr>
        <w:tab/>
      </w:r>
      <w:r w:rsidRPr="005B5B17">
        <w:rPr>
          <w:b w:val="0"/>
          <w:noProof/>
        </w:rPr>
        <w:fldChar w:fldCharType="begin"/>
      </w:r>
      <w:r w:rsidRPr="005B5B17">
        <w:rPr>
          <w:b w:val="0"/>
          <w:noProof/>
        </w:rPr>
        <w:instrText xml:space="preserve"> PAGEREF _Toc434208008 \h </w:instrText>
      </w:r>
      <w:r w:rsidRPr="005B5B17">
        <w:rPr>
          <w:b w:val="0"/>
          <w:noProof/>
        </w:rPr>
      </w:r>
      <w:r w:rsidRPr="005B5B17">
        <w:rPr>
          <w:b w:val="0"/>
          <w:noProof/>
        </w:rPr>
        <w:fldChar w:fldCharType="separate"/>
      </w:r>
      <w:r w:rsidR="00B62B50">
        <w:rPr>
          <w:b w:val="0"/>
          <w:noProof/>
        </w:rPr>
        <w:t>60</w:t>
      </w:r>
      <w:r w:rsidRPr="005B5B17">
        <w:rPr>
          <w:b w:val="0"/>
          <w:noProof/>
        </w:rPr>
        <w:fldChar w:fldCharType="end"/>
      </w:r>
    </w:p>
    <w:p w14:paraId="0C3F7A6A" w14:textId="77777777" w:rsidR="00D243CD" w:rsidRPr="005B5B17" w:rsidRDefault="00D243CD">
      <w:pPr>
        <w:pStyle w:val="TOC3"/>
        <w:rPr>
          <w:rFonts w:eastAsiaTheme="minorEastAsia" w:cstheme="minorBidi"/>
          <w:b w:val="0"/>
          <w:iCs w:val="0"/>
          <w:noProof/>
          <w:szCs w:val="22"/>
          <w:lang w:val="en-US"/>
        </w:rPr>
      </w:pPr>
      <w:r w:rsidRPr="005B5B17">
        <w:rPr>
          <w:rFonts w:ascii="Calibri" w:hAnsi="Calibri"/>
          <w:b w:val="0"/>
          <w:bCs/>
          <w:noProof/>
        </w:rPr>
        <w:t>5.3.</w:t>
      </w:r>
      <w:r w:rsidRPr="005B5B17">
        <w:rPr>
          <w:rFonts w:eastAsiaTheme="minorEastAsia" w:cstheme="minorBidi"/>
          <w:b w:val="0"/>
          <w:iCs w:val="0"/>
          <w:noProof/>
          <w:szCs w:val="22"/>
          <w:lang w:val="en-US"/>
        </w:rPr>
        <w:tab/>
      </w:r>
      <w:r w:rsidRPr="005B5B17">
        <w:rPr>
          <w:rFonts w:ascii="Calibri" w:hAnsi="Calibri"/>
          <w:b w:val="0"/>
          <w:bCs/>
          <w:noProof/>
        </w:rPr>
        <w:t>Results</w:t>
      </w:r>
      <w:r w:rsidRPr="005B5B17">
        <w:rPr>
          <w:b w:val="0"/>
          <w:noProof/>
        </w:rPr>
        <w:tab/>
      </w:r>
      <w:r w:rsidRPr="005B5B17">
        <w:rPr>
          <w:b w:val="0"/>
          <w:noProof/>
        </w:rPr>
        <w:fldChar w:fldCharType="begin"/>
      </w:r>
      <w:r w:rsidRPr="005B5B17">
        <w:rPr>
          <w:b w:val="0"/>
          <w:noProof/>
        </w:rPr>
        <w:instrText xml:space="preserve"> PAGEREF _Toc434208009 \h </w:instrText>
      </w:r>
      <w:r w:rsidRPr="005B5B17">
        <w:rPr>
          <w:b w:val="0"/>
          <w:noProof/>
        </w:rPr>
      </w:r>
      <w:r w:rsidRPr="005B5B17">
        <w:rPr>
          <w:b w:val="0"/>
          <w:noProof/>
        </w:rPr>
        <w:fldChar w:fldCharType="separate"/>
      </w:r>
      <w:r w:rsidR="00B62B50">
        <w:rPr>
          <w:b w:val="0"/>
          <w:noProof/>
        </w:rPr>
        <w:t>62</w:t>
      </w:r>
      <w:r w:rsidRPr="005B5B17">
        <w:rPr>
          <w:b w:val="0"/>
          <w:noProof/>
        </w:rPr>
        <w:fldChar w:fldCharType="end"/>
      </w:r>
    </w:p>
    <w:p w14:paraId="0C3F7A6B" w14:textId="77777777" w:rsidR="00D243CD" w:rsidRPr="005B5B17" w:rsidRDefault="00D243CD">
      <w:pPr>
        <w:pStyle w:val="TOC3"/>
        <w:rPr>
          <w:rFonts w:eastAsiaTheme="minorEastAsia" w:cstheme="minorBidi"/>
          <w:b w:val="0"/>
          <w:iCs w:val="0"/>
          <w:noProof/>
          <w:szCs w:val="22"/>
          <w:lang w:val="en-US"/>
        </w:rPr>
      </w:pPr>
      <w:r w:rsidRPr="005B5B17">
        <w:rPr>
          <w:b w:val="0"/>
          <w:bCs/>
          <w:noProof/>
        </w:rPr>
        <w:t>5.3.1.</w:t>
      </w:r>
      <w:r w:rsidRPr="005B5B17">
        <w:rPr>
          <w:rFonts w:eastAsiaTheme="minorEastAsia" w:cstheme="minorBidi"/>
          <w:b w:val="0"/>
          <w:iCs w:val="0"/>
          <w:noProof/>
          <w:szCs w:val="22"/>
          <w:lang w:val="en-US"/>
        </w:rPr>
        <w:tab/>
      </w:r>
      <w:r w:rsidRPr="005B5B17">
        <w:rPr>
          <w:b w:val="0"/>
          <w:bCs/>
          <w:noProof/>
        </w:rPr>
        <w:t>Production maps (weekly composite maps of secondary water type)</w:t>
      </w:r>
      <w:r w:rsidRPr="005B5B17">
        <w:rPr>
          <w:b w:val="0"/>
          <w:noProof/>
        </w:rPr>
        <w:tab/>
      </w:r>
      <w:r w:rsidRPr="005B5B17">
        <w:rPr>
          <w:b w:val="0"/>
          <w:noProof/>
        </w:rPr>
        <w:fldChar w:fldCharType="begin"/>
      </w:r>
      <w:r w:rsidRPr="005B5B17">
        <w:rPr>
          <w:b w:val="0"/>
          <w:noProof/>
        </w:rPr>
        <w:instrText xml:space="preserve"> PAGEREF _Toc434208010 \h </w:instrText>
      </w:r>
      <w:r w:rsidRPr="005B5B17">
        <w:rPr>
          <w:b w:val="0"/>
          <w:noProof/>
        </w:rPr>
      </w:r>
      <w:r w:rsidRPr="005B5B17">
        <w:rPr>
          <w:b w:val="0"/>
          <w:noProof/>
        </w:rPr>
        <w:fldChar w:fldCharType="separate"/>
      </w:r>
      <w:r w:rsidR="00B62B50">
        <w:rPr>
          <w:b w:val="0"/>
          <w:noProof/>
        </w:rPr>
        <w:t>62</w:t>
      </w:r>
      <w:r w:rsidRPr="005B5B17">
        <w:rPr>
          <w:b w:val="0"/>
          <w:noProof/>
        </w:rPr>
        <w:fldChar w:fldCharType="end"/>
      </w:r>
    </w:p>
    <w:p w14:paraId="0C3F7A6C" w14:textId="77777777" w:rsidR="00D243CD" w:rsidRPr="005B5B17" w:rsidRDefault="00D243CD">
      <w:pPr>
        <w:pStyle w:val="TOC3"/>
        <w:rPr>
          <w:rFonts w:eastAsiaTheme="minorEastAsia" w:cstheme="minorBidi"/>
          <w:b w:val="0"/>
          <w:iCs w:val="0"/>
          <w:noProof/>
          <w:szCs w:val="22"/>
          <w:lang w:val="en-US"/>
        </w:rPr>
      </w:pPr>
      <w:r w:rsidRPr="005B5B17">
        <w:rPr>
          <w:b w:val="0"/>
          <w:bCs/>
          <w:noProof/>
        </w:rPr>
        <w:t>5.3.2.</w:t>
      </w:r>
      <w:r w:rsidRPr="005B5B17">
        <w:rPr>
          <w:rFonts w:eastAsiaTheme="minorEastAsia" w:cstheme="minorBidi"/>
          <w:b w:val="0"/>
          <w:iCs w:val="0"/>
          <w:noProof/>
          <w:szCs w:val="22"/>
          <w:lang w:val="en-US"/>
        </w:rPr>
        <w:tab/>
      </w:r>
      <w:r w:rsidRPr="005B5B17">
        <w:rPr>
          <w:b w:val="0"/>
          <w:bCs/>
          <w:noProof/>
        </w:rPr>
        <w:t>2012-13 frequency maps</w:t>
      </w:r>
      <w:r w:rsidRPr="005B5B17">
        <w:rPr>
          <w:b w:val="0"/>
          <w:noProof/>
        </w:rPr>
        <w:tab/>
      </w:r>
      <w:r w:rsidRPr="005B5B17">
        <w:rPr>
          <w:b w:val="0"/>
          <w:noProof/>
        </w:rPr>
        <w:fldChar w:fldCharType="begin"/>
      </w:r>
      <w:r w:rsidRPr="005B5B17">
        <w:rPr>
          <w:b w:val="0"/>
          <w:noProof/>
        </w:rPr>
        <w:instrText xml:space="preserve"> PAGEREF _Toc434208011 \h </w:instrText>
      </w:r>
      <w:r w:rsidRPr="005B5B17">
        <w:rPr>
          <w:b w:val="0"/>
          <w:noProof/>
        </w:rPr>
      </w:r>
      <w:r w:rsidRPr="005B5B17">
        <w:rPr>
          <w:b w:val="0"/>
          <w:noProof/>
        </w:rPr>
        <w:fldChar w:fldCharType="separate"/>
      </w:r>
      <w:r w:rsidR="00B62B50">
        <w:rPr>
          <w:b w:val="0"/>
          <w:noProof/>
        </w:rPr>
        <w:t>65</w:t>
      </w:r>
      <w:r w:rsidRPr="005B5B17">
        <w:rPr>
          <w:b w:val="0"/>
          <w:noProof/>
        </w:rPr>
        <w:fldChar w:fldCharType="end"/>
      </w:r>
    </w:p>
    <w:p w14:paraId="0C3F7A6D" w14:textId="77777777" w:rsidR="00D243CD" w:rsidRPr="005B5B17" w:rsidRDefault="00D243CD">
      <w:pPr>
        <w:pStyle w:val="TOC3"/>
        <w:rPr>
          <w:rFonts w:eastAsiaTheme="minorEastAsia" w:cstheme="minorBidi"/>
          <w:b w:val="0"/>
          <w:iCs w:val="0"/>
          <w:noProof/>
          <w:szCs w:val="22"/>
          <w:lang w:val="en-US"/>
        </w:rPr>
      </w:pPr>
      <w:r w:rsidRPr="005B5B17">
        <w:rPr>
          <w:b w:val="0"/>
          <w:bCs/>
          <w:noProof/>
        </w:rPr>
        <w:t>5.3.3.</w:t>
      </w:r>
      <w:r w:rsidRPr="005B5B17">
        <w:rPr>
          <w:rFonts w:eastAsiaTheme="minorEastAsia" w:cstheme="minorBidi"/>
          <w:b w:val="0"/>
          <w:iCs w:val="0"/>
          <w:noProof/>
          <w:szCs w:val="22"/>
          <w:lang w:val="en-US"/>
        </w:rPr>
        <w:tab/>
      </w:r>
      <w:r w:rsidRPr="005B5B17">
        <w:rPr>
          <w:b w:val="0"/>
          <w:bCs/>
          <w:noProof/>
        </w:rPr>
        <w:t>Water Quality concentration in river plumes</w:t>
      </w:r>
      <w:r w:rsidRPr="005B5B17">
        <w:rPr>
          <w:b w:val="0"/>
          <w:noProof/>
        </w:rPr>
        <w:tab/>
      </w:r>
      <w:r w:rsidRPr="005B5B17">
        <w:rPr>
          <w:b w:val="0"/>
          <w:noProof/>
        </w:rPr>
        <w:fldChar w:fldCharType="begin"/>
      </w:r>
      <w:r w:rsidRPr="005B5B17">
        <w:rPr>
          <w:b w:val="0"/>
          <w:noProof/>
        </w:rPr>
        <w:instrText xml:space="preserve"> PAGEREF _Toc434208012 \h </w:instrText>
      </w:r>
      <w:r w:rsidRPr="005B5B17">
        <w:rPr>
          <w:b w:val="0"/>
          <w:noProof/>
        </w:rPr>
      </w:r>
      <w:r w:rsidRPr="005B5B17">
        <w:rPr>
          <w:b w:val="0"/>
          <w:noProof/>
        </w:rPr>
        <w:fldChar w:fldCharType="separate"/>
      </w:r>
      <w:r w:rsidR="00B62B50">
        <w:rPr>
          <w:b w:val="0"/>
          <w:noProof/>
        </w:rPr>
        <w:t>74</w:t>
      </w:r>
      <w:r w:rsidRPr="005B5B17">
        <w:rPr>
          <w:b w:val="0"/>
          <w:noProof/>
        </w:rPr>
        <w:fldChar w:fldCharType="end"/>
      </w:r>
    </w:p>
    <w:p w14:paraId="0C3F7A6E" w14:textId="77777777" w:rsidR="00D243CD" w:rsidRPr="005B5B17" w:rsidRDefault="00D243CD">
      <w:pPr>
        <w:pStyle w:val="TOC3"/>
        <w:rPr>
          <w:rFonts w:eastAsiaTheme="minorEastAsia" w:cstheme="minorBidi"/>
          <w:b w:val="0"/>
          <w:iCs w:val="0"/>
          <w:noProof/>
          <w:szCs w:val="22"/>
          <w:lang w:val="en-US"/>
        </w:rPr>
      </w:pPr>
      <w:r w:rsidRPr="005B5B17">
        <w:rPr>
          <w:b w:val="0"/>
          <w:noProof/>
        </w:rPr>
        <w:t>5.3.4.</w:t>
      </w:r>
      <w:r w:rsidRPr="005B5B17">
        <w:rPr>
          <w:rFonts w:eastAsiaTheme="minorEastAsia" w:cstheme="minorBidi"/>
          <w:b w:val="0"/>
          <w:iCs w:val="0"/>
          <w:noProof/>
          <w:szCs w:val="22"/>
          <w:lang w:val="en-US"/>
        </w:rPr>
        <w:tab/>
      </w:r>
      <w:r w:rsidRPr="005B5B17">
        <w:rPr>
          <w:b w:val="0"/>
          <w:noProof/>
        </w:rPr>
        <w:t>Potential river plume risk maps – 2012/2013</w:t>
      </w:r>
      <w:r w:rsidRPr="005B5B17">
        <w:rPr>
          <w:b w:val="0"/>
          <w:noProof/>
        </w:rPr>
        <w:tab/>
      </w:r>
      <w:r w:rsidRPr="005B5B17">
        <w:rPr>
          <w:b w:val="0"/>
          <w:noProof/>
        </w:rPr>
        <w:fldChar w:fldCharType="begin"/>
      </w:r>
      <w:r w:rsidRPr="005B5B17">
        <w:rPr>
          <w:b w:val="0"/>
          <w:noProof/>
        </w:rPr>
        <w:instrText xml:space="preserve"> PAGEREF _Toc434208013 \h </w:instrText>
      </w:r>
      <w:r w:rsidRPr="005B5B17">
        <w:rPr>
          <w:b w:val="0"/>
          <w:noProof/>
        </w:rPr>
      </w:r>
      <w:r w:rsidRPr="005B5B17">
        <w:rPr>
          <w:b w:val="0"/>
          <w:noProof/>
        </w:rPr>
        <w:fldChar w:fldCharType="separate"/>
      </w:r>
      <w:r w:rsidR="00B62B50">
        <w:rPr>
          <w:b w:val="0"/>
          <w:noProof/>
        </w:rPr>
        <w:t>76</w:t>
      </w:r>
      <w:r w:rsidRPr="005B5B17">
        <w:rPr>
          <w:b w:val="0"/>
          <w:noProof/>
        </w:rPr>
        <w:fldChar w:fldCharType="end"/>
      </w:r>
    </w:p>
    <w:p w14:paraId="0C3F7A6F" w14:textId="77777777" w:rsidR="00D243CD" w:rsidRPr="005B5B17" w:rsidRDefault="00D243CD">
      <w:pPr>
        <w:pStyle w:val="TOC3"/>
        <w:rPr>
          <w:rFonts w:eastAsiaTheme="minorEastAsia" w:cstheme="minorBidi"/>
          <w:b w:val="0"/>
          <w:iCs w:val="0"/>
          <w:noProof/>
          <w:szCs w:val="22"/>
          <w:lang w:val="en-US"/>
        </w:rPr>
      </w:pPr>
      <w:r w:rsidRPr="005B5B17">
        <w:rPr>
          <w:b w:val="0"/>
          <w:noProof/>
        </w:rPr>
        <w:t>5.3.5.</w:t>
      </w:r>
      <w:r w:rsidRPr="005B5B17">
        <w:rPr>
          <w:rFonts w:eastAsiaTheme="minorEastAsia" w:cstheme="minorBidi"/>
          <w:b w:val="0"/>
          <w:iCs w:val="0"/>
          <w:noProof/>
          <w:szCs w:val="22"/>
          <w:lang w:val="en-US"/>
        </w:rPr>
        <w:tab/>
      </w:r>
      <w:r w:rsidRPr="005B5B17">
        <w:rPr>
          <w:b w:val="0"/>
          <w:noProof/>
        </w:rPr>
        <w:t>Comparison between RS outputs derived from the TC and L2 methods</w:t>
      </w:r>
      <w:r w:rsidRPr="005B5B17">
        <w:rPr>
          <w:b w:val="0"/>
          <w:noProof/>
        </w:rPr>
        <w:tab/>
      </w:r>
      <w:r w:rsidRPr="005B5B17">
        <w:rPr>
          <w:b w:val="0"/>
          <w:noProof/>
        </w:rPr>
        <w:fldChar w:fldCharType="begin"/>
      </w:r>
      <w:r w:rsidRPr="005B5B17">
        <w:rPr>
          <w:b w:val="0"/>
          <w:noProof/>
        </w:rPr>
        <w:instrText xml:space="preserve"> PAGEREF _Toc434208014 \h </w:instrText>
      </w:r>
      <w:r w:rsidRPr="005B5B17">
        <w:rPr>
          <w:b w:val="0"/>
          <w:noProof/>
        </w:rPr>
      </w:r>
      <w:r w:rsidRPr="005B5B17">
        <w:rPr>
          <w:b w:val="0"/>
          <w:noProof/>
        </w:rPr>
        <w:fldChar w:fldCharType="separate"/>
      </w:r>
      <w:r w:rsidR="00B62B50">
        <w:rPr>
          <w:b w:val="0"/>
          <w:noProof/>
        </w:rPr>
        <w:t>77</w:t>
      </w:r>
      <w:r w:rsidRPr="005B5B17">
        <w:rPr>
          <w:b w:val="0"/>
          <w:noProof/>
        </w:rPr>
        <w:fldChar w:fldCharType="end"/>
      </w:r>
    </w:p>
    <w:p w14:paraId="0C3F7A70" w14:textId="77777777" w:rsidR="00D243CD" w:rsidRPr="005B5B17" w:rsidRDefault="00D243CD">
      <w:pPr>
        <w:pStyle w:val="TOC3"/>
        <w:rPr>
          <w:rFonts w:eastAsiaTheme="minorEastAsia" w:cstheme="minorBidi"/>
          <w:b w:val="0"/>
          <w:iCs w:val="0"/>
          <w:noProof/>
          <w:szCs w:val="22"/>
          <w:lang w:val="en-US"/>
        </w:rPr>
      </w:pPr>
      <w:r w:rsidRPr="005B5B17">
        <w:rPr>
          <w:b w:val="0"/>
          <w:noProof/>
        </w:rPr>
        <w:t>5.3.6.</w:t>
      </w:r>
      <w:r w:rsidRPr="005B5B17">
        <w:rPr>
          <w:rFonts w:eastAsiaTheme="minorEastAsia" w:cstheme="minorBidi"/>
          <w:b w:val="0"/>
          <w:iCs w:val="0"/>
          <w:noProof/>
          <w:szCs w:val="22"/>
          <w:lang w:val="en-US"/>
        </w:rPr>
        <w:tab/>
      </w:r>
      <w:r w:rsidRPr="005B5B17">
        <w:rPr>
          <w:b w:val="0"/>
          <w:noProof/>
        </w:rPr>
        <w:t>Exposure of GBR ecosystems to river plumes and potential risk from river plume exposure in 2013</w:t>
      </w:r>
      <w:r w:rsidRPr="005B5B17">
        <w:rPr>
          <w:b w:val="0"/>
          <w:noProof/>
        </w:rPr>
        <w:tab/>
      </w:r>
      <w:r w:rsidRPr="005B5B17">
        <w:rPr>
          <w:b w:val="0"/>
          <w:noProof/>
        </w:rPr>
        <w:fldChar w:fldCharType="begin"/>
      </w:r>
      <w:r w:rsidRPr="005B5B17">
        <w:rPr>
          <w:b w:val="0"/>
          <w:noProof/>
        </w:rPr>
        <w:instrText xml:space="preserve"> PAGEREF _Toc434208015 \h </w:instrText>
      </w:r>
      <w:r w:rsidRPr="005B5B17">
        <w:rPr>
          <w:b w:val="0"/>
          <w:noProof/>
        </w:rPr>
      </w:r>
      <w:r w:rsidRPr="005B5B17">
        <w:rPr>
          <w:b w:val="0"/>
          <w:noProof/>
        </w:rPr>
        <w:fldChar w:fldCharType="separate"/>
      </w:r>
      <w:r w:rsidR="00B62B50">
        <w:rPr>
          <w:b w:val="0"/>
          <w:noProof/>
        </w:rPr>
        <w:t>79</w:t>
      </w:r>
      <w:r w:rsidRPr="005B5B17">
        <w:rPr>
          <w:b w:val="0"/>
          <w:noProof/>
        </w:rPr>
        <w:fldChar w:fldCharType="end"/>
      </w:r>
    </w:p>
    <w:p w14:paraId="0C3F7A71" w14:textId="77777777" w:rsidR="00D243CD" w:rsidRPr="005B5B17" w:rsidRDefault="00D243CD">
      <w:pPr>
        <w:pStyle w:val="TOC3"/>
        <w:rPr>
          <w:rFonts w:eastAsiaTheme="minorEastAsia" w:cstheme="minorBidi"/>
          <w:b w:val="0"/>
          <w:iCs w:val="0"/>
          <w:noProof/>
          <w:szCs w:val="22"/>
          <w:lang w:val="en-US"/>
        </w:rPr>
      </w:pPr>
      <w:r w:rsidRPr="005B5B17">
        <w:rPr>
          <w:b w:val="0"/>
          <w:noProof/>
        </w:rPr>
        <w:t>5.3.7.</w:t>
      </w:r>
      <w:r w:rsidRPr="005B5B17">
        <w:rPr>
          <w:rFonts w:eastAsiaTheme="minorEastAsia" w:cstheme="minorBidi"/>
          <w:b w:val="0"/>
          <w:iCs w:val="0"/>
          <w:noProof/>
          <w:szCs w:val="22"/>
          <w:lang w:val="en-US"/>
        </w:rPr>
        <w:tab/>
      </w:r>
      <w:r w:rsidRPr="005B5B17">
        <w:rPr>
          <w:b w:val="0"/>
          <w:noProof/>
        </w:rPr>
        <w:t>Potential river plume risk maps – 2007 - 2012</w:t>
      </w:r>
      <w:r w:rsidRPr="005B5B17">
        <w:rPr>
          <w:b w:val="0"/>
          <w:noProof/>
        </w:rPr>
        <w:tab/>
      </w:r>
      <w:r w:rsidRPr="005B5B17">
        <w:rPr>
          <w:b w:val="0"/>
          <w:noProof/>
        </w:rPr>
        <w:fldChar w:fldCharType="begin"/>
      </w:r>
      <w:r w:rsidRPr="005B5B17">
        <w:rPr>
          <w:b w:val="0"/>
          <w:noProof/>
        </w:rPr>
        <w:instrText xml:space="preserve"> PAGEREF _Toc434208016 \h </w:instrText>
      </w:r>
      <w:r w:rsidRPr="005B5B17">
        <w:rPr>
          <w:b w:val="0"/>
          <w:noProof/>
        </w:rPr>
      </w:r>
      <w:r w:rsidRPr="005B5B17">
        <w:rPr>
          <w:b w:val="0"/>
          <w:noProof/>
        </w:rPr>
        <w:fldChar w:fldCharType="separate"/>
      </w:r>
      <w:r w:rsidR="00B62B50">
        <w:rPr>
          <w:b w:val="0"/>
          <w:noProof/>
        </w:rPr>
        <w:t>81</w:t>
      </w:r>
      <w:r w:rsidRPr="005B5B17">
        <w:rPr>
          <w:b w:val="0"/>
          <w:noProof/>
        </w:rPr>
        <w:fldChar w:fldCharType="end"/>
      </w:r>
    </w:p>
    <w:p w14:paraId="0C3F7A72" w14:textId="77777777" w:rsidR="00D243CD" w:rsidRPr="005B5B17" w:rsidRDefault="00D243CD">
      <w:pPr>
        <w:pStyle w:val="TOC1"/>
        <w:rPr>
          <w:rFonts w:eastAsiaTheme="minorEastAsia" w:cstheme="minorBidi"/>
          <w:b w:val="0"/>
          <w:noProof/>
          <w:szCs w:val="22"/>
        </w:rPr>
      </w:pPr>
      <w:r w:rsidRPr="005B5B17">
        <w:rPr>
          <w:b w:val="0"/>
          <w:noProof/>
        </w:rPr>
        <w:t>6.</w:t>
      </w:r>
      <w:r w:rsidRPr="005B5B17">
        <w:rPr>
          <w:rFonts w:eastAsiaTheme="minorEastAsia" w:cstheme="minorBidi"/>
          <w:b w:val="0"/>
          <w:noProof/>
          <w:szCs w:val="22"/>
        </w:rPr>
        <w:tab/>
      </w:r>
      <w:r w:rsidRPr="005B5B17">
        <w:rPr>
          <w:b w:val="0"/>
          <w:noProof/>
        </w:rPr>
        <w:t>Discussion and conclusions</w:t>
      </w:r>
      <w:r w:rsidRPr="005B5B17">
        <w:rPr>
          <w:b w:val="0"/>
          <w:noProof/>
        </w:rPr>
        <w:tab/>
      </w:r>
      <w:r w:rsidRPr="005B5B17">
        <w:rPr>
          <w:b w:val="0"/>
          <w:noProof/>
        </w:rPr>
        <w:fldChar w:fldCharType="begin"/>
      </w:r>
      <w:r w:rsidRPr="005B5B17">
        <w:rPr>
          <w:b w:val="0"/>
          <w:noProof/>
        </w:rPr>
        <w:instrText xml:space="preserve"> PAGEREF _Toc434208017 \h </w:instrText>
      </w:r>
      <w:r w:rsidRPr="005B5B17">
        <w:rPr>
          <w:b w:val="0"/>
          <w:noProof/>
        </w:rPr>
      </w:r>
      <w:r w:rsidRPr="005B5B17">
        <w:rPr>
          <w:b w:val="0"/>
          <w:noProof/>
        </w:rPr>
        <w:fldChar w:fldCharType="separate"/>
      </w:r>
      <w:r w:rsidR="00B62B50">
        <w:rPr>
          <w:b w:val="0"/>
          <w:noProof/>
        </w:rPr>
        <w:t>87</w:t>
      </w:r>
      <w:r w:rsidRPr="005B5B17">
        <w:rPr>
          <w:b w:val="0"/>
          <w:noProof/>
        </w:rPr>
        <w:fldChar w:fldCharType="end"/>
      </w:r>
    </w:p>
    <w:p w14:paraId="0C3F7A73" w14:textId="77777777" w:rsidR="00D243CD" w:rsidRPr="005B5B17" w:rsidRDefault="00D243CD">
      <w:pPr>
        <w:pStyle w:val="TOC1"/>
        <w:rPr>
          <w:rFonts w:eastAsiaTheme="minorEastAsia" w:cstheme="minorBidi"/>
          <w:b w:val="0"/>
          <w:noProof/>
          <w:szCs w:val="22"/>
        </w:rPr>
      </w:pPr>
      <w:r w:rsidRPr="005B5B17">
        <w:rPr>
          <w:rFonts w:ascii="Myriad Pro" w:hAnsi="Myriad Pro" w:cs="Myriad Pro"/>
          <w:b w:val="0"/>
          <w:noProof/>
          <w:color w:val="000000"/>
        </w:rPr>
        <w:t>7.</w:t>
      </w:r>
      <w:r w:rsidRPr="005B5B17">
        <w:rPr>
          <w:rFonts w:eastAsiaTheme="minorEastAsia" w:cstheme="minorBidi"/>
          <w:b w:val="0"/>
          <w:noProof/>
          <w:szCs w:val="22"/>
        </w:rPr>
        <w:tab/>
      </w:r>
      <w:r w:rsidRPr="005B5B17">
        <w:rPr>
          <w:b w:val="0"/>
          <w:noProof/>
        </w:rPr>
        <w:t>Future developments</w:t>
      </w:r>
      <w:r w:rsidRPr="005B5B17">
        <w:rPr>
          <w:b w:val="0"/>
          <w:noProof/>
        </w:rPr>
        <w:tab/>
      </w:r>
      <w:r w:rsidRPr="005B5B17">
        <w:rPr>
          <w:b w:val="0"/>
          <w:noProof/>
        </w:rPr>
        <w:fldChar w:fldCharType="begin"/>
      </w:r>
      <w:r w:rsidRPr="005B5B17">
        <w:rPr>
          <w:b w:val="0"/>
          <w:noProof/>
        </w:rPr>
        <w:instrText xml:space="preserve"> PAGEREF _Toc434208018 \h </w:instrText>
      </w:r>
      <w:r w:rsidRPr="005B5B17">
        <w:rPr>
          <w:b w:val="0"/>
          <w:noProof/>
        </w:rPr>
      </w:r>
      <w:r w:rsidRPr="005B5B17">
        <w:rPr>
          <w:b w:val="0"/>
          <w:noProof/>
        </w:rPr>
        <w:fldChar w:fldCharType="separate"/>
      </w:r>
      <w:r w:rsidR="00B62B50">
        <w:rPr>
          <w:b w:val="0"/>
          <w:noProof/>
        </w:rPr>
        <w:t>92</w:t>
      </w:r>
      <w:r w:rsidRPr="005B5B17">
        <w:rPr>
          <w:b w:val="0"/>
          <w:noProof/>
        </w:rPr>
        <w:fldChar w:fldCharType="end"/>
      </w:r>
    </w:p>
    <w:p w14:paraId="0C3F7A74" w14:textId="77777777" w:rsidR="00D243CD" w:rsidRPr="005B5B17" w:rsidRDefault="00D243CD">
      <w:pPr>
        <w:pStyle w:val="TOC1"/>
        <w:rPr>
          <w:rFonts w:eastAsiaTheme="minorEastAsia" w:cstheme="minorBidi"/>
          <w:b w:val="0"/>
          <w:noProof/>
          <w:szCs w:val="22"/>
        </w:rPr>
      </w:pPr>
      <w:r w:rsidRPr="005B5B17">
        <w:rPr>
          <w:b w:val="0"/>
          <w:noProof/>
        </w:rPr>
        <w:t>7.</w:t>
      </w:r>
      <w:r w:rsidRPr="005B5B17">
        <w:rPr>
          <w:rFonts w:eastAsiaTheme="minorEastAsia" w:cstheme="minorBidi"/>
          <w:b w:val="0"/>
          <w:noProof/>
          <w:szCs w:val="22"/>
        </w:rPr>
        <w:tab/>
      </w:r>
      <w:r w:rsidRPr="005B5B17">
        <w:rPr>
          <w:b w:val="0"/>
          <w:noProof/>
        </w:rPr>
        <w:t>References</w:t>
      </w:r>
      <w:r w:rsidRPr="005B5B17">
        <w:rPr>
          <w:b w:val="0"/>
          <w:noProof/>
        </w:rPr>
        <w:tab/>
      </w:r>
      <w:r w:rsidRPr="005B5B17">
        <w:rPr>
          <w:b w:val="0"/>
          <w:noProof/>
        </w:rPr>
        <w:fldChar w:fldCharType="begin"/>
      </w:r>
      <w:r w:rsidRPr="005B5B17">
        <w:rPr>
          <w:b w:val="0"/>
          <w:noProof/>
        </w:rPr>
        <w:instrText xml:space="preserve"> PAGEREF _Toc434208019 \h </w:instrText>
      </w:r>
      <w:r w:rsidRPr="005B5B17">
        <w:rPr>
          <w:b w:val="0"/>
          <w:noProof/>
        </w:rPr>
      </w:r>
      <w:r w:rsidRPr="005B5B17">
        <w:rPr>
          <w:b w:val="0"/>
          <w:noProof/>
        </w:rPr>
        <w:fldChar w:fldCharType="separate"/>
      </w:r>
      <w:r w:rsidR="00B62B50">
        <w:rPr>
          <w:b w:val="0"/>
          <w:noProof/>
        </w:rPr>
        <w:t>94</w:t>
      </w:r>
      <w:r w:rsidRPr="005B5B17">
        <w:rPr>
          <w:b w:val="0"/>
          <w:noProof/>
        </w:rPr>
        <w:fldChar w:fldCharType="end"/>
      </w:r>
    </w:p>
    <w:p w14:paraId="0C3F7A75" w14:textId="77777777" w:rsidR="007315EF" w:rsidRDefault="007315EF" w:rsidP="007315EF">
      <w:pPr>
        <w:spacing w:before="0" w:after="0"/>
        <w:rPr>
          <w:b/>
          <w:sz w:val="28"/>
          <w:szCs w:val="28"/>
        </w:rPr>
      </w:pPr>
      <w:r w:rsidRPr="005B5B17">
        <w:rPr>
          <w:lang w:val="en-US" w:eastAsia="en-US"/>
        </w:rPr>
        <w:fldChar w:fldCharType="end"/>
      </w:r>
      <w:r>
        <w:rPr>
          <w:b/>
          <w:sz w:val="28"/>
          <w:szCs w:val="28"/>
        </w:rPr>
        <w:br w:type="page"/>
      </w:r>
      <w:r>
        <w:rPr>
          <w:b/>
          <w:sz w:val="28"/>
          <w:szCs w:val="28"/>
        </w:rPr>
        <w:lastRenderedPageBreak/>
        <w:t>LIST OF FIGURES</w:t>
      </w:r>
    </w:p>
    <w:p w14:paraId="0C3F7A76" w14:textId="77777777" w:rsidR="00D243CD" w:rsidRDefault="007315EF">
      <w:pPr>
        <w:pStyle w:val="TableofFigures"/>
        <w:tabs>
          <w:tab w:val="right" w:leader="dot" w:pos="9563"/>
        </w:tabs>
        <w:rPr>
          <w:rFonts w:eastAsiaTheme="minorEastAsia" w:cstheme="minorBidi"/>
          <w:noProof/>
          <w:lang w:val="en-US" w:eastAsia="en-US"/>
        </w:rPr>
      </w:pPr>
      <w:r>
        <w:rPr>
          <w:b/>
          <w:sz w:val="28"/>
          <w:szCs w:val="28"/>
        </w:rPr>
        <w:fldChar w:fldCharType="begin"/>
      </w:r>
      <w:r>
        <w:rPr>
          <w:b/>
          <w:sz w:val="28"/>
          <w:szCs w:val="28"/>
        </w:rPr>
        <w:instrText xml:space="preserve"> TOC \h \z \c "Figure" </w:instrText>
      </w:r>
      <w:r>
        <w:rPr>
          <w:b/>
          <w:sz w:val="28"/>
          <w:szCs w:val="28"/>
        </w:rPr>
        <w:fldChar w:fldCharType="separate"/>
      </w:r>
      <w:hyperlink w:anchor="_Toc434208020" w:history="1">
        <w:r w:rsidR="00D243CD" w:rsidRPr="001964B2">
          <w:rPr>
            <w:rStyle w:val="Hyperlink"/>
            <w:noProof/>
          </w:rPr>
          <w:t>Figure 1</w:t>
        </w:r>
        <w:r w:rsidR="00D243CD" w:rsidRPr="001964B2">
          <w:rPr>
            <w:rStyle w:val="Hyperlink"/>
            <w:noProof/>
          </w:rPr>
          <w:noBreakHyphen/>
          <w:t>1: Potential exposure of seagrass beds and coral reefs to the highest potential risk categories  (III and IV) from river plume exposure during the 2012-13 wet season.</w:t>
        </w:r>
        <w:r w:rsidR="00D243CD">
          <w:rPr>
            <w:noProof/>
            <w:webHidden/>
          </w:rPr>
          <w:tab/>
        </w:r>
        <w:r w:rsidR="00D243CD">
          <w:rPr>
            <w:noProof/>
            <w:webHidden/>
          </w:rPr>
          <w:fldChar w:fldCharType="begin"/>
        </w:r>
        <w:r w:rsidR="00D243CD">
          <w:rPr>
            <w:noProof/>
            <w:webHidden/>
          </w:rPr>
          <w:instrText xml:space="preserve"> PAGEREF _Toc434208020 \h </w:instrText>
        </w:r>
        <w:r w:rsidR="00D243CD">
          <w:rPr>
            <w:noProof/>
            <w:webHidden/>
          </w:rPr>
        </w:r>
        <w:r w:rsidR="00D243CD">
          <w:rPr>
            <w:noProof/>
            <w:webHidden/>
          </w:rPr>
          <w:fldChar w:fldCharType="separate"/>
        </w:r>
        <w:r w:rsidR="00B62B50">
          <w:rPr>
            <w:noProof/>
            <w:webHidden/>
          </w:rPr>
          <w:t>8</w:t>
        </w:r>
        <w:r w:rsidR="00D243CD">
          <w:rPr>
            <w:noProof/>
            <w:webHidden/>
          </w:rPr>
          <w:fldChar w:fldCharType="end"/>
        </w:r>
      </w:hyperlink>
    </w:p>
    <w:p w14:paraId="0C3F7A77" w14:textId="77777777" w:rsidR="00D243CD" w:rsidRDefault="00A2755C">
      <w:pPr>
        <w:pStyle w:val="TableofFigures"/>
        <w:tabs>
          <w:tab w:val="right" w:leader="dot" w:pos="9563"/>
        </w:tabs>
        <w:rPr>
          <w:rFonts w:eastAsiaTheme="minorEastAsia" w:cstheme="minorBidi"/>
          <w:noProof/>
          <w:lang w:val="en-US" w:eastAsia="en-US"/>
        </w:rPr>
      </w:pPr>
      <w:hyperlink w:anchor="_Toc434208021" w:history="1">
        <w:r w:rsidR="00D243CD" w:rsidRPr="001964B2">
          <w:rPr>
            <w:rStyle w:val="Hyperlink"/>
            <w:noProof/>
          </w:rPr>
          <w:t>Figure 2</w:t>
        </w:r>
        <w:r w:rsidR="00D243CD" w:rsidRPr="001964B2">
          <w:rPr>
            <w:rStyle w:val="Hyperlink"/>
            <w:noProof/>
          </w:rPr>
          <w:noBreakHyphen/>
          <w:t xml:space="preserve">1: </w:t>
        </w:r>
        <w:r w:rsidR="00D243CD" w:rsidRPr="001964B2">
          <w:rPr>
            <w:rStyle w:val="Hyperlink"/>
            <w:rFonts w:eastAsia="Calibri"/>
            <w:noProof/>
          </w:rPr>
          <w:t>The Great Barrier Reef Marine Park (light grey, Queensland, Australia), major marine ecosystems (coral reefs and seagrass beds), Natural Resource Management regions (red colour scale) and marine portions (delineated by dark grey liens) of the NRM regions and major rivers: Normanby (N), Barron (Ba), Johnstone (J), Tully (T), Herbert (H), Burdekin (Bu), Pioneer (P), Fitzroy (F), modified from Petus et al., in review.</w:t>
        </w:r>
        <w:r w:rsidR="00D243CD">
          <w:rPr>
            <w:noProof/>
            <w:webHidden/>
          </w:rPr>
          <w:tab/>
        </w:r>
        <w:r w:rsidR="00D243CD">
          <w:rPr>
            <w:noProof/>
            <w:webHidden/>
          </w:rPr>
          <w:fldChar w:fldCharType="begin"/>
        </w:r>
        <w:r w:rsidR="00D243CD">
          <w:rPr>
            <w:noProof/>
            <w:webHidden/>
          </w:rPr>
          <w:instrText xml:space="preserve"> PAGEREF _Toc434208021 \h </w:instrText>
        </w:r>
        <w:r w:rsidR="00D243CD">
          <w:rPr>
            <w:noProof/>
            <w:webHidden/>
          </w:rPr>
        </w:r>
        <w:r w:rsidR="00D243CD">
          <w:rPr>
            <w:noProof/>
            <w:webHidden/>
          </w:rPr>
          <w:fldChar w:fldCharType="separate"/>
        </w:r>
        <w:r w:rsidR="00B62B50">
          <w:rPr>
            <w:noProof/>
            <w:webHidden/>
          </w:rPr>
          <w:t>11</w:t>
        </w:r>
        <w:r w:rsidR="00D243CD">
          <w:rPr>
            <w:noProof/>
            <w:webHidden/>
          </w:rPr>
          <w:fldChar w:fldCharType="end"/>
        </w:r>
      </w:hyperlink>
    </w:p>
    <w:p w14:paraId="0C3F7A78" w14:textId="77777777" w:rsidR="00D243CD" w:rsidRDefault="00A2755C">
      <w:pPr>
        <w:pStyle w:val="TableofFigures"/>
        <w:tabs>
          <w:tab w:val="right" w:leader="dot" w:pos="9563"/>
        </w:tabs>
        <w:rPr>
          <w:rFonts w:eastAsiaTheme="minorEastAsia" w:cstheme="minorBidi"/>
          <w:noProof/>
          <w:lang w:val="en-US" w:eastAsia="en-US"/>
        </w:rPr>
      </w:pPr>
      <w:hyperlink w:anchor="_Toc434208022" w:history="1">
        <w:r w:rsidR="00D243CD" w:rsidRPr="001964B2">
          <w:rPr>
            <w:rStyle w:val="Hyperlink"/>
            <w:noProof/>
          </w:rPr>
          <w:t>Figure 3</w:t>
        </w:r>
        <w:r w:rsidR="00D243CD" w:rsidRPr="001964B2">
          <w:rPr>
            <w:rStyle w:val="Hyperlink"/>
            <w:noProof/>
          </w:rPr>
          <w:noBreakHyphen/>
          <w:t xml:space="preserve">1: Long-term total hydrological year discharge (c.a., Oct-1 to Sep-30) for the main GBR Rivers (Source: DNRM, </w:t>
        </w:r>
        <w:r w:rsidR="00D243CD" w:rsidRPr="001964B2">
          <w:rPr>
            <w:rStyle w:val="Hyperlink"/>
            <w:rFonts w:cs="Arial"/>
            <w:noProof/>
          </w:rPr>
          <w:t>http://watermonitoring.dnrm.qld.gov.au/host.htm</w:t>
        </w:r>
        <w:r w:rsidR="00D243CD" w:rsidRPr="001964B2">
          <w:rPr>
            <w:rStyle w:val="Hyperlink"/>
            <w:noProof/>
          </w:rPr>
          <w:t>).</w:t>
        </w:r>
        <w:r w:rsidR="00D243CD">
          <w:rPr>
            <w:noProof/>
            <w:webHidden/>
          </w:rPr>
          <w:tab/>
        </w:r>
        <w:r w:rsidR="00D243CD">
          <w:rPr>
            <w:noProof/>
            <w:webHidden/>
          </w:rPr>
          <w:fldChar w:fldCharType="begin"/>
        </w:r>
        <w:r w:rsidR="00D243CD">
          <w:rPr>
            <w:noProof/>
            <w:webHidden/>
          </w:rPr>
          <w:instrText xml:space="preserve"> PAGEREF _Toc434208022 \h </w:instrText>
        </w:r>
        <w:r w:rsidR="00D243CD">
          <w:rPr>
            <w:noProof/>
            <w:webHidden/>
          </w:rPr>
        </w:r>
        <w:r w:rsidR="00D243CD">
          <w:rPr>
            <w:noProof/>
            <w:webHidden/>
          </w:rPr>
          <w:fldChar w:fldCharType="separate"/>
        </w:r>
        <w:r w:rsidR="00B62B50">
          <w:rPr>
            <w:noProof/>
            <w:webHidden/>
          </w:rPr>
          <w:t>14</w:t>
        </w:r>
        <w:r w:rsidR="00D243CD">
          <w:rPr>
            <w:noProof/>
            <w:webHidden/>
          </w:rPr>
          <w:fldChar w:fldCharType="end"/>
        </w:r>
      </w:hyperlink>
    </w:p>
    <w:p w14:paraId="0C3F7A79" w14:textId="77777777" w:rsidR="00D243CD" w:rsidRDefault="00A2755C">
      <w:pPr>
        <w:pStyle w:val="TableofFigures"/>
        <w:tabs>
          <w:tab w:val="right" w:leader="dot" w:pos="9563"/>
        </w:tabs>
        <w:rPr>
          <w:rFonts w:eastAsiaTheme="minorEastAsia" w:cstheme="minorBidi"/>
          <w:noProof/>
          <w:lang w:val="en-US" w:eastAsia="en-US"/>
        </w:rPr>
      </w:pPr>
      <w:hyperlink w:anchor="_Toc434208023" w:history="1">
        <w:r w:rsidR="00D243CD" w:rsidRPr="001964B2">
          <w:rPr>
            <w:rStyle w:val="Hyperlink"/>
            <w:noProof/>
          </w:rPr>
          <w:t>Figure 3</w:t>
        </w:r>
        <w:r w:rsidR="00D243CD" w:rsidRPr="001964B2">
          <w:rPr>
            <w:rStyle w:val="Hyperlink"/>
            <w:noProof/>
          </w:rPr>
          <w:noBreakHyphen/>
          <w:t>2</w:t>
        </w:r>
        <w:r w:rsidR="00D243CD" w:rsidRPr="001964B2">
          <w:rPr>
            <w:rStyle w:val="Hyperlink"/>
            <w:rFonts w:eastAsia="Calibri"/>
            <w:noProof/>
          </w:rPr>
          <w:t>: a) True colour and b) plume waters mapped the 25</w:t>
        </w:r>
        <w:r w:rsidR="00D243CD" w:rsidRPr="001964B2">
          <w:rPr>
            <w:rStyle w:val="Hyperlink"/>
            <w:rFonts w:eastAsia="Calibri"/>
            <w:noProof/>
            <w:vertAlign w:val="superscript"/>
          </w:rPr>
          <w:t>th</w:t>
        </w:r>
        <w:r w:rsidR="00D243CD" w:rsidRPr="001964B2">
          <w:rPr>
            <w:rStyle w:val="Hyperlink"/>
            <w:rFonts w:eastAsia="Calibri"/>
            <w:noProof/>
          </w:rPr>
          <w:t xml:space="preserve"> and 29</w:t>
        </w:r>
        <w:r w:rsidR="00D243CD" w:rsidRPr="001964B2">
          <w:rPr>
            <w:rStyle w:val="Hyperlink"/>
            <w:rFonts w:eastAsia="Calibri"/>
            <w:noProof/>
            <w:vertAlign w:val="superscript"/>
          </w:rPr>
          <w:t>th</w:t>
        </w:r>
        <w:r w:rsidR="00D243CD" w:rsidRPr="001964B2">
          <w:rPr>
            <w:rStyle w:val="Hyperlink"/>
            <w:rFonts w:eastAsia="Calibri"/>
            <w:noProof/>
          </w:rPr>
          <w:t xml:space="preserve"> of January, 2013 in the Wet Tropics NRM using the method of Álvarez-Romero et al. (2013). These maps show Barron River plume waters deflected toward offshore by the NW winds. Wind direction measured at 12:00 am is indicated with black arrows.</w:t>
        </w:r>
        <w:r w:rsidR="00D243CD">
          <w:rPr>
            <w:noProof/>
            <w:webHidden/>
          </w:rPr>
          <w:tab/>
        </w:r>
        <w:r w:rsidR="00D243CD">
          <w:rPr>
            <w:noProof/>
            <w:webHidden/>
          </w:rPr>
          <w:fldChar w:fldCharType="begin"/>
        </w:r>
        <w:r w:rsidR="00D243CD">
          <w:rPr>
            <w:noProof/>
            <w:webHidden/>
          </w:rPr>
          <w:instrText xml:space="preserve"> PAGEREF _Toc434208023 \h </w:instrText>
        </w:r>
        <w:r w:rsidR="00D243CD">
          <w:rPr>
            <w:noProof/>
            <w:webHidden/>
          </w:rPr>
        </w:r>
        <w:r w:rsidR="00D243CD">
          <w:rPr>
            <w:noProof/>
            <w:webHidden/>
          </w:rPr>
          <w:fldChar w:fldCharType="separate"/>
        </w:r>
        <w:r w:rsidR="00B62B50">
          <w:rPr>
            <w:noProof/>
            <w:webHidden/>
          </w:rPr>
          <w:t>18</w:t>
        </w:r>
        <w:r w:rsidR="00D243CD">
          <w:rPr>
            <w:noProof/>
            <w:webHidden/>
          </w:rPr>
          <w:fldChar w:fldCharType="end"/>
        </w:r>
      </w:hyperlink>
    </w:p>
    <w:p w14:paraId="0C3F7A7A" w14:textId="77777777" w:rsidR="00D243CD" w:rsidRDefault="00A2755C">
      <w:pPr>
        <w:pStyle w:val="TableofFigures"/>
        <w:tabs>
          <w:tab w:val="right" w:leader="dot" w:pos="9563"/>
        </w:tabs>
        <w:rPr>
          <w:rFonts w:eastAsiaTheme="minorEastAsia" w:cstheme="minorBidi"/>
          <w:noProof/>
          <w:lang w:val="en-US" w:eastAsia="en-US"/>
        </w:rPr>
      </w:pPr>
      <w:hyperlink w:anchor="_Toc434208024" w:history="1">
        <w:r w:rsidR="00D243CD" w:rsidRPr="001964B2">
          <w:rPr>
            <w:rStyle w:val="Hyperlink"/>
            <w:rFonts w:eastAsia="Calibri"/>
            <w:noProof/>
          </w:rPr>
          <w:t>Figure 3</w:t>
        </w:r>
        <w:r w:rsidR="00D243CD" w:rsidRPr="001964B2">
          <w:rPr>
            <w:rStyle w:val="Hyperlink"/>
            <w:rFonts w:eastAsia="Calibri"/>
            <w:noProof/>
          </w:rPr>
          <w:noBreakHyphen/>
          <w:t>3: a) True colour and b) plume waters mapped from the 25th to the 31rd of January 2013 in the Wet Tropics NRM using the method of Álvarez-Romero et al. (2013). This series of maps illustrate high importance of river discharge rates modulations on the river plumes areas. Wind direction measured at 15:00 am is indicated with black arrows (data at 12:00 am are unavailable for the Ingham meteorological stations).</w:t>
        </w:r>
        <w:r w:rsidR="00D243CD">
          <w:rPr>
            <w:noProof/>
            <w:webHidden/>
          </w:rPr>
          <w:tab/>
        </w:r>
        <w:r w:rsidR="00D243CD">
          <w:rPr>
            <w:noProof/>
            <w:webHidden/>
          </w:rPr>
          <w:fldChar w:fldCharType="begin"/>
        </w:r>
        <w:r w:rsidR="00D243CD">
          <w:rPr>
            <w:noProof/>
            <w:webHidden/>
          </w:rPr>
          <w:instrText xml:space="preserve"> PAGEREF _Toc434208024 \h </w:instrText>
        </w:r>
        <w:r w:rsidR="00D243CD">
          <w:rPr>
            <w:noProof/>
            <w:webHidden/>
          </w:rPr>
        </w:r>
        <w:r w:rsidR="00D243CD">
          <w:rPr>
            <w:noProof/>
            <w:webHidden/>
          </w:rPr>
          <w:fldChar w:fldCharType="separate"/>
        </w:r>
        <w:r w:rsidR="00B62B50">
          <w:rPr>
            <w:noProof/>
            <w:webHidden/>
          </w:rPr>
          <w:t>19</w:t>
        </w:r>
        <w:r w:rsidR="00D243CD">
          <w:rPr>
            <w:noProof/>
            <w:webHidden/>
          </w:rPr>
          <w:fldChar w:fldCharType="end"/>
        </w:r>
      </w:hyperlink>
    </w:p>
    <w:p w14:paraId="0C3F7A7B" w14:textId="77777777" w:rsidR="00D243CD" w:rsidRDefault="00A2755C">
      <w:pPr>
        <w:pStyle w:val="TableofFigures"/>
        <w:tabs>
          <w:tab w:val="right" w:leader="dot" w:pos="9563"/>
        </w:tabs>
        <w:rPr>
          <w:rFonts w:eastAsiaTheme="minorEastAsia" w:cstheme="minorBidi"/>
          <w:noProof/>
          <w:lang w:val="en-US" w:eastAsia="en-US"/>
        </w:rPr>
      </w:pPr>
      <w:hyperlink w:anchor="_Toc434208025" w:history="1">
        <w:r w:rsidR="00D243CD" w:rsidRPr="001964B2">
          <w:rPr>
            <w:rStyle w:val="Hyperlink"/>
            <w:rFonts w:eastAsia="Calibri"/>
            <w:noProof/>
          </w:rPr>
          <w:t>Figure 3</w:t>
        </w:r>
        <w:r w:rsidR="00D243CD" w:rsidRPr="001964B2">
          <w:rPr>
            <w:rStyle w:val="Hyperlink"/>
            <w:rFonts w:eastAsia="Calibri"/>
            <w:noProof/>
          </w:rPr>
          <w:noBreakHyphen/>
          <w:t>4: a) True colour and b) plume waters mapped on the 27</w:t>
        </w:r>
        <w:r w:rsidR="00D243CD" w:rsidRPr="001964B2">
          <w:rPr>
            <w:rStyle w:val="Hyperlink"/>
            <w:rFonts w:eastAsia="Calibri"/>
            <w:noProof/>
            <w:vertAlign w:val="superscript"/>
          </w:rPr>
          <w:t>th</w:t>
        </w:r>
        <w:r w:rsidR="00D243CD" w:rsidRPr="001964B2">
          <w:rPr>
            <w:rStyle w:val="Hyperlink"/>
            <w:rFonts w:eastAsia="Calibri"/>
            <w:noProof/>
          </w:rPr>
          <w:t xml:space="preserve"> and 29</w:t>
        </w:r>
        <w:r w:rsidR="00D243CD" w:rsidRPr="001964B2">
          <w:rPr>
            <w:rStyle w:val="Hyperlink"/>
            <w:rFonts w:eastAsia="Calibri"/>
            <w:noProof/>
            <w:vertAlign w:val="superscript"/>
          </w:rPr>
          <w:t>th</w:t>
        </w:r>
        <w:r w:rsidR="00D243CD" w:rsidRPr="001964B2">
          <w:rPr>
            <w:rStyle w:val="Hyperlink"/>
            <w:rFonts w:eastAsia="Calibri"/>
            <w:noProof/>
          </w:rPr>
          <w:t xml:space="preserve"> of Jan 2013 in the Burdekin NRM using the method of Álvarez-Romero et al. (2013). Burdekin River plume waters are deflected offshore under strong western winds and reach the inner coral reefs on the 25</w:t>
        </w:r>
        <w:r w:rsidR="00D243CD" w:rsidRPr="001964B2">
          <w:rPr>
            <w:rStyle w:val="Hyperlink"/>
            <w:rFonts w:eastAsia="Calibri"/>
            <w:noProof/>
            <w:vertAlign w:val="superscript"/>
          </w:rPr>
          <w:t>th</w:t>
        </w:r>
        <w:r w:rsidR="00D243CD" w:rsidRPr="001964B2">
          <w:rPr>
            <w:rStyle w:val="Hyperlink"/>
            <w:rFonts w:eastAsia="Calibri"/>
            <w:noProof/>
          </w:rPr>
          <w:t xml:space="preserve"> of January. Wind direction measured at 12:00 am is indicated with black arrows.</w:t>
        </w:r>
        <w:r w:rsidR="00D243CD">
          <w:rPr>
            <w:noProof/>
            <w:webHidden/>
          </w:rPr>
          <w:tab/>
        </w:r>
        <w:r w:rsidR="00D243CD">
          <w:rPr>
            <w:noProof/>
            <w:webHidden/>
          </w:rPr>
          <w:fldChar w:fldCharType="begin"/>
        </w:r>
        <w:r w:rsidR="00D243CD">
          <w:rPr>
            <w:noProof/>
            <w:webHidden/>
          </w:rPr>
          <w:instrText xml:space="preserve"> PAGEREF _Toc434208025 \h </w:instrText>
        </w:r>
        <w:r w:rsidR="00D243CD">
          <w:rPr>
            <w:noProof/>
            <w:webHidden/>
          </w:rPr>
        </w:r>
        <w:r w:rsidR="00D243CD">
          <w:rPr>
            <w:noProof/>
            <w:webHidden/>
          </w:rPr>
          <w:fldChar w:fldCharType="separate"/>
        </w:r>
        <w:r w:rsidR="00B62B50">
          <w:rPr>
            <w:noProof/>
            <w:webHidden/>
          </w:rPr>
          <w:t>20</w:t>
        </w:r>
        <w:r w:rsidR="00D243CD">
          <w:rPr>
            <w:noProof/>
            <w:webHidden/>
          </w:rPr>
          <w:fldChar w:fldCharType="end"/>
        </w:r>
      </w:hyperlink>
    </w:p>
    <w:p w14:paraId="0C3F7A7C" w14:textId="77777777" w:rsidR="00D243CD" w:rsidRDefault="00A2755C">
      <w:pPr>
        <w:pStyle w:val="TableofFigures"/>
        <w:tabs>
          <w:tab w:val="right" w:leader="dot" w:pos="9563"/>
        </w:tabs>
        <w:rPr>
          <w:rFonts w:eastAsiaTheme="minorEastAsia" w:cstheme="minorBidi"/>
          <w:noProof/>
          <w:lang w:val="en-US" w:eastAsia="en-US"/>
        </w:rPr>
      </w:pPr>
      <w:hyperlink w:anchor="_Toc434208026" w:history="1">
        <w:r w:rsidR="00D243CD" w:rsidRPr="001964B2">
          <w:rPr>
            <w:rStyle w:val="Hyperlink"/>
            <w:rFonts w:eastAsia="Calibri"/>
            <w:noProof/>
          </w:rPr>
          <w:t>Figure 3</w:t>
        </w:r>
        <w:r w:rsidR="00D243CD" w:rsidRPr="001964B2">
          <w:rPr>
            <w:rStyle w:val="Hyperlink"/>
            <w:rFonts w:eastAsia="Calibri"/>
            <w:noProof/>
          </w:rPr>
          <w:noBreakHyphen/>
          <w:t>5: True colour (a and c) and plume waters (b and d) mapped from the 30th of January to the 01th of February and from the 2</w:t>
        </w:r>
        <w:r w:rsidR="00D243CD" w:rsidRPr="001964B2">
          <w:rPr>
            <w:rStyle w:val="Hyperlink"/>
            <w:rFonts w:eastAsia="Calibri"/>
            <w:noProof/>
            <w:vertAlign w:val="superscript"/>
          </w:rPr>
          <w:t>nd</w:t>
        </w:r>
        <w:r w:rsidR="00D243CD" w:rsidRPr="001964B2">
          <w:rPr>
            <w:rStyle w:val="Hyperlink"/>
            <w:rFonts w:eastAsia="Calibri"/>
            <w:noProof/>
          </w:rPr>
          <w:t xml:space="preserve"> to the 4</w:t>
        </w:r>
        <w:r w:rsidR="00D243CD" w:rsidRPr="001964B2">
          <w:rPr>
            <w:rStyle w:val="Hyperlink"/>
            <w:rFonts w:eastAsia="Calibri"/>
            <w:noProof/>
            <w:vertAlign w:val="superscript"/>
          </w:rPr>
          <w:t>th</w:t>
        </w:r>
        <w:r w:rsidR="00D243CD" w:rsidRPr="001964B2">
          <w:rPr>
            <w:rStyle w:val="Hyperlink"/>
            <w:rFonts w:eastAsia="Calibri"/>
            <w:noProof/>
          </w:rPr>
          <w:t xml:space="preserve"> of February in the Burdekin NRM using the method of Álvarez-Romero et al. (2013). Wind direction measured at 12:00 am is indicated with black arrows.</w:t>
        </w:r>
        <w:r w:rsidR="00D243CD">
          <w:rPr>
            <w:noProof/>
            <w:webHidden/>
          </w:rPr>
          <w:tab/>
        </w:r>
        <w:r w:rsidR="00D243CD">
          <w:rPr>
            <w:noProof/>
            <w:webHidden/>
          </w:rPr>
          <w:fldChar w:fldCharType="begin"/>
        </w:r>
        <w:r w:rsidR="00D243CD">
          <w:rPr>
            <w:noProof/>
            <w:webHidden/>
          </w:rPr>
          <w:instrText xml:space="preserve"> PAGEREF _Toc434208026 \h </w:instrText>
        </w:r>
        <w:r w:rsidR="00D243CD">
          <w:rPr>
            <w:noProof/>
            <w:webHidden/>
          </w:rPr>
        </w:r>
        <w:r w:rsidR="00D243CD">
          <w:rPr>
            <w:noProof/>
            <w:webHidden/>
          </w:rPr>
          <w:fldChar w:fldCharType="separate"/>
        </w:r>
        <w:r w:rsidR="00B62B50">
          <w:rPr>
            <w:noProof/>
            <w:webHidden/>
          </w:rPr>
          <w:t>21</w:t>
        </w:r>
        <w:r w:rsidR="00D243CD">
          <w:rPr>
            <w:noProof/>
            <w:webHidden/>
          </w:rPr>
          <w:fldChar w:fldCharType="end"/>
        </w:r>
      </w:hyperlink>
    </w:p>
    <w:p w14:paraId="0C3F7A7D" w14:textId="77777777" w:rsidR="00D243CD" w:rsidRDefault="00A2755C">
      <w:pPr>
        <w:pStyle w:val="TableofFigures"/>
        <w:tabs>
          <w:tab w:val="right" w:leader="dot" w:pos="9563"/>
        </w:tabs>
        <w:rPr>
          <w:rFonts w:eastAsiaTheme="minorEastAsia" w:cstheme="minorBidi"/>
          <w:noProof/>
          <w:lang w:val="en-US" w:eastAsia="en-US"/>
        </w:rPr>
      </w:pPr>
      <w:hyperlink w:anchor="_Toc434208027" w:history="1">
        <w:r w:rsidR="00D243CD" w:rsidRPr="001964B2">
          <w:rPr>
            <w:rStyle w:val="Hyperlink"/>
            <w:rFonts w:eastAsia="Calibri"/>
            <w:noProof/>
          </w:rPr>
          <w:t>Figure 3</w:t>
        </w:r>
        <w:r w:rsidR="00D243CD" w:rsidRPr="001964B2">
          <w:rPr>
            <w:rStyle w:val="Hyperlink"/>
            <w:rFonts w:eastAsia="Calibri"/>
            <w:noProof/>
          </w:rPr>
          <w:noBreakHyphen/>
          <w:t>6: a) True colour and b) plume waters mapped from the 7th of March to the 16th of March 2013 in the Mackay Whitsundays NRM using the method of Álvarez-Romero et al. (2013).. Wind direction measured at 12:00 am is indicated with black arrows.</w:t>
        </w:r>
        <w:r w:rsidR="00D243CD">
          <w:rPr>
            <w:noProof/>
            <w:webHidden/>
          </w:rPr>
          <w:tab/>
        </w:r>
        <w:r w:rsidR="00D243CD">
          <w:rPr>
            <w:noProof/>
            <w:webHidden/>
          </w:rPr>
          <w:fldChar w:fldCharType="begin"/>
        </w:r>
        <w:r w:rsidR="00D243CD">
          <w:rPr>
            <w:noProof/>
            <w:webHidden/>
          </w:rPr>
          <w:instrText xml:space="preserve"> PAGEREF _Toc434208027 \h </w:instrText>
        </w:r>
        <w:r w:rsidR="00D243CD">
          <w:rPr>
            <w:noProof/>
            <w:webHidden/>
          </w:rPr>
        </w:r>
        <w:r w:rsidR="00D243CD">
          <w:rPr>
            <w:noProof/>
            <w:webHidden/>
          </w:rPr>
          <w:fldChar w:fldCharType="separate"/>
        </w:r>
        <w:r w:rsidR="00B62B50">
          <w:rPr>
            <w:noProof/>
            <w:webHidden/>
          </w:rPr>
          <w:t>22</w:t>
        </w:r>
        <w:r w:rsidR="00D243CD">
          <w:rPr>
            <w:noProof/>
            <w:webHidden/>
          </w:rPr>
          <w:fldChar w:fldCharType="end"/>
        </w:r>
      </w:hyperlink>
    </w:p>
    <w:p w14:paraId="0C3F7A7E" w14:textId="77777777" w:rsidR="00D243CD" w:rsidRDefault="00A2755C">
      <w:pPr>
        <w:pStyle w:val="TableofFigures"/>
        <w:tabs>
          <w:tab w:val="right" w:leader="dot" w:pos="9563"/>
        </w:tabs>
        <w:rPr>
          <w:rFonts w:eastAsiaTheme="minorEastAsia" w:cstheme="minorBidi"/>
          <w:noProof/>
          <w:lang w:val="en-US" w:eastAsia="en-US"/>
        </w:rPr>
      </w:pPr>
      <w:hyperlink w:anchor="_Toc434208028" w:history="1">
        <w:r w:rsidR="00D243CD" w:rsidRPr="001964B2">
          <w:rPr>
            <w:rStyle w:val="Hyperlink"/>
            <w:rFonts w:eastAsia="Calibri"/>
            <w:noProof/>
          </w:rPr>
          <w:t>Figure 3</w:t>
        </w:r>
        <w:r w:rsidR="00D243CD" w:rsidRPr="001964B2">
          <w:rPr>
            <w:rStyle w:val="Hyperlink"/>
            <w:rFonts w:eastAsia="Calibri"/>
            <w:noProof/>
          </w:rPr>
          <w:noBreakHyphen/>
          <w:t>7: MODIS true colour image of the 16th of March 2013 showing waters from the Pioneer River deflected toward the south from their northern Coriolis-induced movement.</w:t>
        </w:r>
        <w:r w:rsidR="00D243CD">
          <w:rPr>
            <w:noProof/>
            <w:webHidden/>
          </w:rPr>
          <w:tab/>
        </w:r>
        <w:r w:rsidR="00D243CD">
          <w:rPr>
            <w:noProof/>
            <w:webHidden/>
          </w:rPr>
          <w:fldChar w:fldCharType="begin"/>
        </w:r>
        <w:r w:rsidR="00D243CD">
          <w:rPr>
            <w:noProof/>
            <w:webHidden/>
          </w:rPr>
          <w:instrText xml:space="preserve"> PAGEREF _Toc434208028 \h </w:instrText>
        </w:r>
        <w:r w:rsidR="00D243CD">
          <w:rPr>
            <w:noProof/>
            <w:webHidden/>
          </w:rPr>
        </w:r>
        <w:r w:rsidR="00D243CD">
          <w:rPr>
            <w:noProof/>
            <w:webHidden/>
          </w:rPr>
          <w:fldChar w:fldCharType="separate"/>
        </w:r>
        <w:r w:rsidR="00B62B50">
          <w:rPr>
            <w:noProof/>
            <w:webHidden/>
          </w:rPr>
          <w:t>23</w:t>
        </w:r>
        <w:r w:rsidR="00D243CD">
          <w:rPr>
            <w:noProof/>
            <w:webHidden/>
          </w:rPr>
          <w:fldChar w:fldCharType="end"/>
        </w:r>
      </w:hyperlink>
    </w:p>
    <w:p w14:paraId="0C3F7A7F" w14:textId="77777777" w:rsidR="00D243CD" w:rsidRDefault="00A2755C">
      <w:pPr>
        <w:pStyle w:val="TableofFigures"/>
        <w:tabs>
          <w:tab w:val="right" w:leader="dot" w:pos="9563"/>
        </w:tabs>
        <w:rPr>
          <w:rFonts w:eastAsiaTheme="minorEastAsia" w:cstheme="minorBidi"/>
          <w:noProof/>
          <w:lang w:val="en-US" w:eastAsia="en-US"/>
        </w:rPr>
      </w:pPr>
      <w:hyperlink w:anchor="_Toc434208029" w:history="1">
        <w:r w:rsidR="00D243CD" w:rsidRPr="001964B2">
          <w:rPr>
            <w:rStyle w:val="Hyperlink"/>
            <w:noProof/>
          </w:rPr>
          <w:t>Figure 4</w:t>
        </w:r>
        <w:r w:rsidR="00D243CD" w:rsidRPr="001964B2">
          <w:rPr>
            <w:rStyle w:val="Hyperlink"/>
            <w:noProof/>
          </w:rPr>
          <w:noBreakHyphen/>
          <w:t>1: Location of the Marine Monitoring Sites sampled in the 2012-2013 wet season under the MMP terrestrial discharge program. Site locations for the two regions sampled (Wet Tropics, Burdekin are identified by colours (see legend).</w:t>
        </w:r>
        <w:r w:rsidR="00D243CD">
          <w:rPr>
            <w:noProof/>
            <w:webHidden/>
          </w:rPr>
          <w:tab/>
        </w:r>
        <w:r w:rsidR="00D243CD">
          <w:rPr>
            <w:noProof/>
            <w:webHidden/>
          </w:rPr>
          <w:fldChar w:fldCharType="begin"/>
        </w:r>
        <w:r w:rsidR="00D243CD">
          <w:rPr>
            <w:noProof/>
            <w:webHidden/>
          </w:rPr>
          <w:instrText xml:space="preserve"> PAGEREF _Toc434208029 \h </w:instrText>
        </w:r>
        <w:r w:rsidR="00D243CD">
          <w:rPr>
            <w:noProof/>
            <w:webHidden/>
          </w:rPr>
        </w:r>
        <w:r w:rsidR="00D243CD">
          <w:rPr>
            <w:noProof/>
            <w:webHidden/>
          </w:rPr>
          <w:fldChar w:fldCharType="separate"/>
        </w:r>
        <w:r w:rsidR="00B62B50">
          <w:rPr>
            <w:noProof/>
            <w:webHidden/>
          </w:rPr>
          <w:t>26</w:t>
        </w:r>
        <w:r w:rsidR="00D243CD">
          <w:rPr>
            <w:noProof/>
            <w:webHidden/>
          </w:rPr>
          <w:fldChar w:fldCharType="end"/>
        </w:r>
      </w:hyperlink>
    </w:p>
    <w:p w14:paraId="0C3F7A80" w14:textId="77777777" w:rsidR="00D243CD" w:rsidRDefault="00A2755C">
      <w:pPr>
        <w:pStyle w:val="TableofFigures"/>
        <w:tabs>
          <w:tab w:val="right" w:leader="dot" w:pos="9563"/>
        </w:tabs>
        <w:rPr>
          <w:rFonts w:eastAsiaTheme="minorEastAsia" w:cstheme="minorBidi"/>
          <w:noProof/>
          <w:lang w:val="en-US" w:eastAsia="en-US"/>
        </w:rPr>
      </w:pPr>
      <w:hyperlink w:anchor="_Toc434208030" w:history="1">
        <w:r w:rsidR="00D243CD" w:rsidRPr="001964B2">
          <w:rPr>
            <w:rStyle w:val="Hyperlink"/>
            <w:noProof/>
          </w:rPr>
          <w:t>Figure 4</w:t>
        </w:r>
        <w:r w:rsidR="00D243CD" w:rsidRPr="001964B2">
          <w:rPr>
            <w:rStyle w:val="Hyperlink"/>
            <w:noProof/>
          </w:rPr>
          <w:noBreakHyphen/>
          <w:t xml:space="preserve">2: Total daily discharge (megalitres/day) for the main NRM Wet Tropics and Burdekin rivers for the 2012-2013 wet season (Source: DNRM, </w:t>
        </w:r>
        <w:r w:rsidR="00D243CD" w:rsidRPr="001964B2">
          <w:rPr>
            <w:rStyle w:val="Hyperlink"/>
            <w:rFonts w:cs="Arial"/>
            <w:noProof/>
          </w:rPr>
          <w:t>http://watermonitoring.dnrm.qld.gov.au/host.htm</w:t>
        </w:r>
        <w:r w:rsidR="00D243CD" w:rsidRPr="001964B2">
          <w:rPr>
            <w:rStyle w:val="Hyperlink"/>
            <w:noProof/>
          </w:rPr>
          <w:t>). Dots indicate the sampling dates and colours stand for sites close to or under influence of a particular river.</w:t>
        </w:r>
        <w:r w:rsidR="00D243CD">
          <w:rPr>
            <w:noProof/>
            <w:webHidden/>
          </w:rPr>
          <w:tab/>
        </w:r>
        <w:r w:rsidR="00D243CD">
          <w:rPr>
            <w:noProof/>
            <w:webHidden/>
          </w:rPr>
          <w:fldChar w:fldCharType="begin"/>
        </w:r>
        <w:r w:rsidR="00D243CD">
          <w:rPr>
            <w:noProof/>
            <w:webHidden/>
          </w:rPr>
          <w:instrText xml:space="preserve"> PAGEREF _Toc434208030 \h </w:instrText>
        </w:r>
        <w:r w:rsidR="00D243CD">
          <w:rPr>
            <w:noProof/>
            <w:webHidden/>
          </w:rPr>
        </w:r>
        <w:r w:rsidR="00D243CD">
          <w:rPr>
            <w:noProof/>
            <w:webHidden/>
          </w:rPr>
          <w:fldChar w:fldCharType="separate"/>
        </w:r>
        <w:r w:rsidR="00B62B50">
          <w:rPr>
            <w:noProof/>
            <w:webHidden/>
          </w:rPr>
          <w:t>27</w:t>
        </w:r>
        <w:r w:rsidR="00D243CD">
          <w:rPr>
            <w:noProof/>
            <w:webHidden/>
          </w:rPr>
          <w:fldChar w:fldCharType="end"/>
        </w:r>
      </w:hyperlink>
    </w:p>
    <w:p w14:paraId="0C3F7A81" w14:textId="77777777" w:rsidR="00D243CD" w:rsidRDefault="00A2755C">
      <w:pPr>
        <w:pStyle w:val="TableofFigures"/>
        <w:tabs>
          <w:tab w:val="right" w:leader="dot" w:pos="9563"/>
        </w:tabs>
        <w:rPr>
          <w:rFonts w:eastAsiaTheme="minorEastAsia" w:cstheme="minorBidi"/>
          <w:noProof/>
          <w:lang w:val="en-US" w:eastAsia="en-US"/>
        </w:rPr>
      </w:pPr>
      <w:hyperlink w:anchor="_Toc434208031" w:history="1">
        <w:r w:rsidR="00D243CD" w:rsidRPr="001964B2">
          <w:rPr>
            <w:rStyle w:val="Hyperlink"/>
            <w:noProof/>
          </w:rPr>
          <w:t>Figure 4</w:t>
        </w:r>
        <w:r w:rsidR="00D243CD" w:rsidRPr="001964B2">
          <w:rPr>
            <w:rStyle w:val="Hyperlink"/>
            <w:noProof/>
          </w:rPr>
          <w:noBreakHyphen/>
          <w:t>3:  Total annual discharge (ML, megalitres), calculated from October, 1</w:t>
        </w:r>
        <w:r w:rsidR="00D243CD" w:rsidRPr="001964B2">
          <w:rPr>
            <w:rStyle w:val="Hyperlink"/>
            <w:noProof/>
            <w:vertAlign w:val="superscript"/>
          </w:rPr>
          <w:t>st</w:t>
        </w:r>
        <w:r w:rsidR="00D243CD" w:rsidRPr="001964B2">
          <w:rPr>
            <w:rStyle w:val="Hyperlink"/>
            <w:noProof/>
          </w:rPr>
          <w:t xml:space="preserve"> to September, 30</w:t>
        </w:r>
        <w:r w:rsidR="00D243CD" w:rsidRPr="001964B2">
          <w:rPr>
            <w:rStyle w:val="Hyperlink"/>
            <w:noProof/>
            <w:vertAlign w:val="superscript"/>
          </w:rPr>
          <w:t>th</w:t>
        </w:r>
        <w:r w:rsidR="00D243CD" w:rsidRPr="001964B2">
          <w:rPr>
            <w:rStyle w:val="Hyperlink"/>
            <w:noProof/>
          </w:rPr>
          <w:t xml:space="preserve">, for the main NRM Wet Tropics and Burdekin rivers (Source: DNRM, </w:t>
        </w:r>
        <w:r w:rsidR="00D243CD" w:rsidRPr="001964B2">
          <w:rPr>
            <w:rStyle w:val="Hyperlink"/>
            <w:rFonts w:cs="Arial"/>
            <w:noProof/>
          </w:rPr>
          <w:t>http://watermonitoring.dnrm.qld.gov.au/host.htm</w:t>
        </w:r>
        <w:r w:rsidR="00D243CD" w:rsidRPr="001964B2">
          <w:rPr>
            <w:rStyle w:val="Hyperlink"/>
            <w:noProof/>
          </w:rPr>
          <w:t>).</w:t>
        </w:r>
        <w:r w:rsidR="00D243CD">
          <w:rPr>
            <w:noProof/>
            <w:webHidden/>
          </w:rPr>
          <w:tab/>
        </w:r>
        <w:r w:rsidR="00D243CD">
          <w:rPr>
            <w:noProof/>
            <w:webHidden/>
          </w:rPr>
          <w:fldChar w:fldCharType="begin"/>
        </w:r>
        <w:r w:rsidR="00D243CD">
          <w:rPr>
            <w:noProof/>
            <w:webHidden/>
          </w:rPr>
          <w:instrText xml:space="preserve"> PAGEREF _Toc434208031 \h </w:instrText>
        </w:r>
        <w:r w:rsidR="00D243CD">
          <w:rPr>
            <w:noProof/>
            <w:webHidden/>
          </w:rPr>
        </w:r>
        <w:r w:rsidR="00D243CD">
          <w:rPr>
            <w:noProof/>
            <w:webHidden/>
          </w:rPr>
          <w:fldChar w:fldCharType="separate"/>
        </w:r>
        <w:r w:rsidR="00B62B50">
          <w:rPr>
            <w:noProof/>
            <w:webHidden/>
          </w:rPr>
          <w:t>28</w:t>
        </w:r>
        <w:r w:rsidR="00D243CD">
          <w:rPr>
            <w:noProof/>
            <w:webHidden/>
          </w:rPr>
          <w:fldChar w:fldCharType="end"/>
        </w:r>
      </w:hyperlink>
    </w:p>
    <w:p w14:paraId="0C3F7A82" w14:textId="77777777" w:rsidR="00D243CD" w:rsidRDefault="00A2755C">
      <w:pPr>
        <w:pStyle w:val="TableofFigures"/>
        <w:tabs>
          <w:tab w:val="right" w:leader="dot" w:pos="9563"/>
        </w:tabs>
        <w:rPr>
          <w:rFonts w:eastAsiaTheme="minorEastAsia" w:cstheme="minorBidi"/>
          <w:noProof/>
          <w:lang w:val="en-US" w:eastAsia="en-US"/>
        </w:rPr>
      </w:pPr>
      <w:hyperlink r:id="rId23" w:anchor="_Toc434208032" w:history="1">
        <w:r w:rsidR="00D243CD" w:rsidRPr="001964B2">
          <w:rPr>
            <w:rStyle w:val="Hyperlink"/>
            <w:noProof/>
          </w:rPr>
          <w:t>Figure 4</w:t>
        </w:r>
        <w:r w:rsidR="00D243CD" w:rsidRPr="001964B2">
          <w:rPr>
            <w:rStyle w:val="Hyperlink"/>
            <w:noProof/>
          </w:rPr>
          <w:noBreakHyphen/>
          <w:t>4a: (i) Sites are colour coded to identify location on maps, (ii) date of sampling relative to river flow over wet season, (iii)mixing plots for DIN in the Burdekin, Herbert and Tully regions for 2012-13.  Freshwater end end were estimed from all samples collected below 5ppt.</w:t>
        </w:r>
        <w:r w:rsidR="00D243CD">
          <w:rPr>
            <w:noProof/>
            <w:webHidden/>
          </w:rPr>
          <w:tab/>
        </w:r>
        <w:r w:rsidR="00D243CD">
          <w:rPr>
            <w:noProof/>
            <w:webHidden/>
          </w:rPr>
          <w:fldChar w:fldCharType="begin"/>
        </w:r>
        <w:r w:rsidR="00D243CD">
          <w:rPr>
            <w:noProof/>
            <w:webHidden/>
          </w:rPr>
          <w:instrText xml:space="preserve"> PAGEREF _Toc434208032 \h </w:instrText>
        </w:r>
        <w:r w:rsidR="00D243CD">
          <w:rPr>
            <w:noProof/>
            <w:webHidden/>
          </w:rPr>
        </w:r>
        <w:r w:rsidR="00D243CD">
          <w:rPr>
            <w:noProof/>
            <w:webHidden/>
          </w:rPr>
          <w:fldChar w:fldCharType="separate"/>
        </w:r>
        <w:r w:rsidR="00B62B50">
          <w:rPr>
            <w:noProof/>
            <w:webHidden/>
          </w:rPr>
          <w:t>35</w:t>
        </w:r>
        <w:r w:rsidR="00D243CD">
          <w:rPr>
            <w:noProof/>
            <w:webHidden/>
          </w:rPr>
          <w:fldChar w:fldCharType="end"/>
        </w:r>
      </w:hyperlink>
    </w:p>
    <w:p w14:paraId="0C3F7A83" w14:textId="77777777" w:rsidR="00D243CD" w:rsidRDefault="00A2755C">
      <w:pPr>
        <w:pStyle w:val="TableofFigures"/>
        <w:tabs>
          <w:tab w:val="right" w:leader="dot" w:pos="9563"/>
        </w:tabs>
        <w:rPr>
          <w:rFonts w:eastAsiaTheme="minorEastAsia" w:cstheme="minorBidi"/>
          <w:noProof/>
          <w:lang w:val="en-US" w:eastAsia="en-US"/>
        </w:rPr>
      </w:pPr>
      <w:hyperlink w:anchor="_Toc434208033" w:history="1">
        <w:r w:rsidR="00D243CD" w:rsidRPr="001964B2">
          <w:rPr>
            <w:rStyle w:val="Hyperlink"/>
            <w:noProof/>
          </w:rPr>
          <w:t>Figure 4</w:t>
        </w:r>
        <w:r w:rsidR="00D243CD" w:rsidRPr="001964B2">
          <w:rPr>
            <w:rStyle w:val="Hyperlink"/>
            <w:noProof/>
          </w:rPr>
          <w:noBreakHyphen/>
          <w:t xml:space="preserve">5: Variation of selected WQ parameters sampled in the Tully region for Kd(PAR), CDOM, TSS, and chl-a, dissolved and particulate nutrients. All water quality parameters are plotted against (a) distance between the sampling site and nearest/influential river mouth (distance), (b) 5-day average river discharge </w:t>
        </w:r>
        <w:r w:rsidR="00D243CD" w:rsidRPr="001964B2">
          <w:rPr>
            <w:rStyle w:val="Hyperlink"/>
            <w:noProof/>
          </w:rPr>
          <w:lastRenderedPageBreak/>
          <w:t>calculated from the sampling date (discharge). Red solid line stands for a non-parametric fitting curve (</w:t>
        </w:r>
        <w:r w:rsidR="00D243CD" w:rsidRPr="001964B2">
          <w:rPr>
            <w:rStyle w:val="Hyperlink"/>
            <w:i/>
            <w:noProof/>
          </w:rPr>
          <w:t>loess</w:t>
        </w:r>
        <w:r w:rsidR="00D243CD" w:rsidRPr="001964B2">
          <w:rPr>
            <w:rStyle w:val="Hyperlink"/>
            <w:noProof/>
          </w:rPr>
          <w:t xml:space="preserve"> model, see Crawley, 2007) and red dashed lines stand for 2 SE.</w:t>
        </w:r>
        <w:r w:rsidR="00D243CD">
          <w:rPr>
            <w:noProof/>
            <w:webHidden/>
          </w:rPr>
          <w:tab/>
        </w:r>
        <w:r w:rsidR="00D243CD">
          <w:rPr>
            <w:noProof/>
            <w:webHidden/>
          </w:rPr>
          <w:fldChar w:fldCharType="begin"/>
        </w:r>
        <w:r w:rsidR="00D243CD">
          <w:rPr>
            <w:noProof/>
            <w:webHidden/>
          </w:rPr>
          <w:instrText xml:space="preserve"> PAGEREF _Toc434208033 \h </w:instrText>
        </w:r>
        <w:r w:rsidR="00D243CD">
          <w:rPr>
            <w:noProof/>
            <w:webHidden/>
          </w:rPr>
        </w:r>
        <w:r w:rsidR="00D243CD">
          <w:rPr>
            <w:noProof/>
            <w:webHidden/>
          </w:rPr>
          <w:fldChar w:fldCharType="separate"/>
        </w:r>
        <w:r w:rsidR="00B62B50">
          <w:rPr>
            <w:noProof/>
            <w:webHidden/>
          </w:rPr>
          <w:t>42</w:t>
        </w:r>
        <w:r w:rsidR="00D243CD">
          <w:rPr>
            <w:noProof/>
            <w:webHidden/>
          </w:rPr>
          <w:fldChar w:fldCharType="end"/>
        </w:r>
      </w:hyperlink>
    </w:p>
    <w:p w14:paraId="0C3F7A84" w14:textId="77777777" w:rsidR="00D243CD" w:rsidRDefault="00A2755C">
      <w:pPr>
        <w:pStyle w:val="TableofFigures"/>
        <w:tabs>
          <w:tab w:val="right" w:leader="dot" w:pos="9563"/>
        </w:tabs>
        <w:rPr>
          <w:rFonts w:eastAsiaTheme="minorEastAsia" w:cstheme="minorBidi"/>
          <w:noProof/>
          <w:lang w:val="en-US" w:eastAsia="en-US"/>
        </w:rPr>
      </w:pPr>
      <w:hyperlink w:anchor="_Toc434208034" w:history="1">
        <w:r w:rsidR="00D243CD" w:rsidRPr="001964B2">
          <w:rPr>
            <w:rStyle w:val="Hyperlink"/>
            <w:noProof/>
          </w:rPr>
          <w:t>Figure 4</w:t>
        </w:r>
        <w:r w:rsidR="00D243CD" w:rsidRPr="001964B2">
          <w:rPr>
            <w:rStyle w:val="Hyperlink"/>
            <w:noProof/>
          </w:rPr>
          <w:noBreakHyphen/>
          <w:t>6: Variation of selected WQ parameters sampled in the Herbert region for Kd(PAR), CDOM, TSS, and chl-a, dissolved and particulate nutrients. All water quality parameters are plotted against (a) distance between the sampling site and nearest/influential river mouth (distance), (b) 5-day average river discharge calculated from the sampling date (discharge). Red solid line stands for a non-parametric fitting curve (</w:t>
        </w:r>
        <w:r w:rsidR="00D243CD" w:rsidRPr="001964B2">
          <w:rPr>
            <w:rStyle w:val="Hyperlink"/>
            <w:i/>
            <w:noProof/>
          </w:rPr>
          <w:t>loess</w:t>
        </w:r>
        <w:r w:rsidR="00D243CD" w:rsidRPr="001964B2">
          <w:rPr>
            <w:rStyle w:val="Hyperlink"/>
            <w:noProof/>
          </w:rPr>
          <w:t xml:space="preserve"> model, see Crawley, 2007) and red dashed lines stand for 2 SE.</w:t>
        </w:r>
        <w:r w:rsidR="00D243CD">
          <w:rPr>
            <w:noProof/>
            <w:webHidden/>
          </w:rPr>
          <w:tab/>
        </w:r>
        <w:r w:rsidR="00D243CD">
          <w:rPr>
            <w:noProof/>
            <w:webHidden/>
          </w:rPr>
          <w:fldChar w:fldCharType="begin"/>
        </w:r>
        <w:r w:rsidR="00D243CD">
          <w:rPr>
            <w:noProof/>
            <w:webHidden/>
          </w:rPr>
          <w:instrText xml:space="preserve"> PAGEREF _Toc434208034 \h </w:instrText>
        </w:r>
        <w:r w:rsidR="00D243CD">
          <w:rPr>
            <w:noProof/>
            <w:webHidden/>
          </w:rPr>
        </w:r>
        <w:r w:rsidR="00D243CD">
          <w:rPr>
            <w:noProof/>
            <w:webHidden/>
          </w:rPr>
          <w:fldChar w:fldCharType="separate"/>
        </w:r>
        <w:r w:rsidR="00B62B50">
          <w:rPr>
            <w:noProof/>
            <w:webHidden/>
          </w:rPr>
          <w:t>43</w:t>
        </w:r>
        <w:r w:rsidR="00D243CD">
          <w:rPr>
            <w:noProof/>
            <w:webHidden/>
          </w:rPr>
          <w:fldChar w:fldCharType="end"/>
        </w:r>
      </w:hyperlink>
    </w:p>
    <w:p w14:paraId="0C3F7A85" w14:textId="77777777" w:rsidR="00D243CD" w:rsidRDefault="00A2755C">
      <w:pPr>
        <w:pStyle w:val="TableofFigures"/>
        <w:tabs>
          <w:tab w:val="right" w:leader="dot" w:pos="9563"/>
        </w:tabs>
        <w:rPr>
          <w:rFonts w:eastAsiaTheme="minorEastAsia" w:cstheme="minorBidi"/>
          <w:noProof/>
          <w:lang w:val="en-US" w:eastAsia="en-US"/>
        </w:rPr>
      </w:pPr>
      <w:hyperlink w:anchor="_Toc434208035" w:history="1">
        <w:r w:rsidR="00D243CD" w:rsidRPr="001964B2">
          <w:rPr>
            <w:rStyle w:val="Hyperlink"/>
            <w:noProof/>
          </w:rPr>
          <w:t>Figure 4</w:t>
        </w:r>
        <w:r w:rsidR="00D243CD" w:rsidRPr="001964B2">
          <w:rPr>
            <w:rStyle w:val="Hyperlink"/>
            <w:noProof/>
          </w:rPr>
          <w:noBreakHyphen/>
          <w:t>7: Variation of selected WQ parameters sampled in the Burdekin region for Kd(PAR), CDOM, TSS, and chl-a, dissolved and particulate nutrients. All water quality parameters are plotted against (a) distance between the sampling site and nearest/influential river mouth (distance), (b) 5-day average river discharge calculated from the sampling date (discharge). Red solid line stands for a non-parametric fitting curve (</w:t>
        </w:r>
        <w:r w:rsidR="00D243CD" w:rsidRPr="001964B2">
          <w:rPr>
            <w:rStyle w:val="Hyperlink"/>
            <w:i/>
            <w:noProof/>
          </w:rPr>
          <w:t>loess</w:t>
        </w:r>
        <w:r w:rsidR="00D243CD" w:rsidRPr="001964B2">
          <w:rPr>
            <w:rStyle w:val="Hyperlink"/>
            <w:noProof/>
          </w:rPr>
          <w:t xml:space="preserve"> model, see Crawley, 2007) and red dashed lines stand for 2 SE.</w:t>
        </w:r>
        <w:r w:rsidR="00D243CD">
          <w:rPr>
            <w:noProof/>
            <w:webHidden/>
          </w:rPr>
          <w:tab/>
        </w:r>
        <w:r w:rsidR="00D243CD">
          <w:rPr>
            <w:noProof/>
            <w:webHidden/>
          </w:rPr>
          <w:fldChar w:fldCharType="begin"/>
        </w:r>
        <w:r w:rsidR="00D243CD">
          <w:rPr>
            <w:noProof/>
            <w:webHidden/>
          </w:rPr>
          <w:instrText xml:space="preserve"> PAGEREF _Toc434208035 \h </w:instrText>
        </w:r>
        <w:r w:rsidR="00D243CD">
          <w:rPr>
            <w:noProof/>
            <w:webHidden/>
          </w:rPr>
        </w:r>
        <w:r w:rsidR="00D243CD">
          <w:rPr>
            <w:noProof/>
            <w:webHidden/>
          </w:rPr>
          <w:fldChar w:fldCharType="separate"/>
        </w:r>
        <w:r w:rsidR="00B62B50">
          <w:rPr>
            <w:noProof/>
            <w:webHidden/>
          </w:rPr>
          <w:t>45</w:t>
        </w:r>
        <w:r w:rsidR="00D243CD">
          <w:rPr>
            <w:noProof/>
            <w:webHidden/>
          </w:rPr>
          <w:fldChar w:fldCharType="end"/>
        </w:r>
      </w:hyperlink>
    </w:p>
    <w:p w14:paraId="0C3F7A86" w14:textId="77777777" w:rsidR="00D243CD" w:rsidRDefault="00A2755C">
      <w:pPr>
        <w:pStyle w:val="TableofFigures"/>
        <w:tabs>
          <w:tab w:val="right" w:leader="dot" w:pos="9563"/>
        </w:tabs>
        <w:rPr>
          <w:rFonts w:eastAsiaTheme="minorEastAsia" w:cstheme="minorBidi"/>
          <w:noProof/>
          <w:lang w:val="en-US" w:eastAsia="en-US"/>
        </w:rPr>
      </w:pPr>
      <w:hyperlink w:anchor="_Toc434208036" w:history="1">
        <w:r w:rsidR="00D243CD" w:rsidRPr="001964B2">
          <w:rPr>
            <w:rStyle w:val="Hyperlink"/>
            <w:noProof/>
          </w:rPr>
          <w:t>Figure 4</w:t>
        </w:r>
        <w:r w:rsidR="00D243CD" w:rsidRPr="001964B2">
          <w:rPr>
            <w:rStyle w:val="Hyperlink"/>
            <w:noProof/>
          </w:rPr>
          <w:noBreakHyphen/>
          <w:t>8a:</w:t>
        </w:r>
        <w:r w:rsidR="00D243CD" w:rsidRPr="001964B2">
          <w:rPr>
            <w:rStyle w:val="Hyperlink"/>
            <w:rFonts w:cs="Courier New"/>
            <w:noProof/>
          </w:rPr>
          <w:t>GAMM analysis for Kd, /m, left column), CDOM, /m, mid column) and TSS, mg/L, right column) collected from December, 2005 to April, 2013 (inclusive). First four plots in each column are for the partial effect plots and last pot is the temporal analysis (see text for explanation). Shade area stands for ±1 SE and rubs on x-axis stand for data density.</w:t>
        </w:r>
        <w:r w:rsidR="00D243CD">
          <w:rPr>
            <w:noProof/>
            <w:webHidden/>
          </w:rPr>
          <w:tab/>
        </w:r>
        <w:r w:rsidR="00D243CD">
          <w:rPr>
            <w:noProof/>
            <w:webHidden/>
          </w:rPr>
          <w:fldChar w:fldCharType="begin"/>
        </w:r>
        <w:r w:rsidR="00D243CD">
          <w:rPr>
            <w:noProof/>
            <w:webHidden/>
          </w:rPr>
          <w:instrText xml:space="preserve"> PAGEREF _Toc434208036 \h </w:instrText>
        </w:r>
        <w:r w:rsidR="00D243CD">
          <w:rPr>
            <w:noProof/>
            <w:webHidden/>
          </w:rPr>
        </w:r>
        <w:r w:rsidR="00D243CD">
          <w:rPr>
            <w:noProof/>
            <w:webHidden/>
          </w:rPr>
          <w:fldChar w:fldCharType="separate"/>
        </w:r>
        <w:r w:rsidR="00B62B50">
          <w:rPr>
            <w:noProof/>
            <w:webHidden/>
          </w:rPr>
          <w:t>52</w:t>
        </w:r>
        <w:r w:rsidR="00D243CD">
          <w:rPr>
            <w:noProof/>
            <w:webHidden/>
          </w:rPr>
          <w:fldChar w:fldCharType="end"/>
        </w:r>
      </w:hyperlink>
    </w:p>
    <w:p w14:paraId="0C3F7A87" w14:textId="77777777" w:rsidR="00D243CD" w:rsidRDefault="00A2755C">
      <w:pPr>
        <w:pStyle w:val="TableofFigures"/>
        <w:tabs>
          <w:tab w:val="right" w:leader="dot" w:pos="9563"/>
        </w:tabs>
        <w:rPr>
          <w:rFonts w:eastAsiaTheme="minorEastAsia" w:cstheme="minorBidi"/>
          <w:noProof/>
          <w:lang w:val="en-US" w:eastAsia="en-US"/>
        </w:rPr>
      </w:pPr>
      <w:hyperlink w:anchor="_Toc434208037" w:history="1">
        <w:r w:rsidR="00D243CD" w:rsidRPr="001964B2">
          <w:rPr>
            <w:rStyle w:val="Hyperlink"/>
            <w:noProof/>
          </w:rPr>
          <w:t>Figure 5</w:t>
        </w:r>
        <w:r w:rsidR="00D243CD" w:rsidRPr="001964B2">
          <w:rPr>
            <w:rStyle w:val="Hyperlink"/>
            <w:noProof/>
          </w:rPr>
          <w:noBreakHyphen/>
          <w:t xml:space="preserve">1: </w:t>
        </w:r>
        <w:r w:rsidR="00D243CD" w:rsidRPr="001964B2">
          <w:rPr>
            <w:rStyle w:val="Hyperlink"/>
            <w:rFonts w:eastAsia="Calibri"/>
            <w:noProof/>
          </w:rPr>
          <w:t>Remote sensing products designed in order to model the risk of GBR ecosystems due to river plumes during the wet season.</w:t>
        </w:r>
        <w:r w:rsidR="00D243CD">
          <w:rPr>
            <w:noProof/>
            <w:webHidden/>
          </w:rPr>
          <w:tab/>
        </w:r>
        <w:r w:rsidR="00D243CD">
          <w:rPr>
            <w:noProof/>
            <w:webHidden/>
          </w:rPr>
          <w:fldChar w:fldCharType="begin"/>
        </w:r>
        <w:r w:rsidR="00D243CD">
          <w:rPr>
            <w:noProof/>
            <w:webHidden/>
          </w:rPr>
          <w:instrText xml:space="preserve"> PAGEREF _Toc434208037 \h </w:instrText>
        </w:r>
        <w:r w:rsidR="00D243CD">
          <w:rPr>
            <w:noProof/>
            <w:webHidden/>
          </w:rPr>
        </w:r>
        <w:r w:rsidR="00D243CD">
          <w:rPr>
            <w:noProof/>
            <w:webHidden/>
          </w:rPr>
          <w:fldChar w:fldCharType="separate"/>
        </w:r>
        <w:r w:rsidR="00B62B50">
          <w:rPr>
            <w:noProof/>
            <w:webHidden/>
          </w:rPr>
          <w:t>58</w:t>
        </w:r>
        <w:r w:rsidR="00D243CD">
          <w:rPr>
            <w:noProof/>
            <w:webHidden/>
          </w:rPr>
          <w:fldChar w:fldCharType="end"/>
        </w:r>
      </w:hyperlink>
    </w:p>
    <w:p w14:paraId="0C3F7A88" w14:textId="77777777" w:rsidR="00D243CD" w:rsidRDefault="00A2755C">
      <w:pPr>
        <w:pStyle w:val="TableofFigures"/>
        <w:tabs>
          <w:tab w:val="right" w:leader="dot" w:pos="9563"/>
        </w:tabs>
        <w:rPr>
          <w:rFonts w:eastAsiaTheme="minorEastAsia" w:cstheme="minorBidi"/>
          <w:noProof/>
          <w:lang w:val="en-US" w:eastAsia="en-US"/>
        </w:rPr>
      </w:pPr>
      <w:hyperlink w:anchor="_Toc434208038" w:history="1">
        <w:r w:rsidR="00D243CD" w:rsidRPr="001964B2">
          <w:rPr>
            <w:rStyle w:val="Hyperlink"/>
            <w:noProof/>
          </w:rPr>
          <w:t>Figure 5</w:t>
        </w:r>
        <w:r w:rsidR="00D243CD" w:rsidRPr="001964B2">
          <w:rPr>
            <w:rStyle w:val="Hyperlink"/>
            <w:noProof/>
          </w:rPr>
          <w:noBreakHyphen/>
          <w:t xml:space="preserve">2: </w:t>
        </w:r>
        <w:r w:rsidR="00D243CD" w:rsidRPr="001964B2">
          <w:rPr>
            <w:rStyle w:val="Hyperlink"/>
            <w:rFonts w:eastAsia="Calibri"/>
            <w:noProof/>
          </w:rPr>
          <w:t>Marine boundaries used for the GBR Marine Park (a), each NRM region and the coral reefs ecosystems. Coral Reef and NRM layers derived from: GBRMPA, 2013, GBR feature shapefiles and enlargements around (b) the Tully-Herbert Rivers and (c) the Burdekin river.</w:t>
        </w:r>
        <w:r w:rsidR="00D243CD">
          <w:rPr>
            <w:noProof/>
            <w:webHidden/>
          </w:rPr>
          <w:tab/>
        </w:r>
        <w:r w:rsidR="00D243CD">
          <w:rPr>
            <w:noProof/>
            <w:webHidden/>
          </w:rPr>
          <w:fldChar w:fldCharType="begin"/>
        </w:r>
        <w:r w:rsidR="00D243CD">
          <w:rPr>
            <w:noProof/>
            <w:webHidden/>
          </w:rPr>
          <w:instrText xml:space="preserve"> PAGEREF _Toc434208038 \h </w:instrText>
        </w:r>
        <w:r w:rsidR="00D243CD">
          <w:rPr>
            <w:noProof/>
            <w:webHidden/>
          </w:rPr>
        </w:r>
        <w:r w:rsidR="00D243CD">
          <w:rPr>
            <w:noProof/>
            <w:webHidden/>
          </w:rPr>
          <w:fldChar w:fldCharType="separate"/>
        </w:r>
        <w:r w:rsidR="00B62B50">
          <w:rPr>
            <w:noProof/>
            <w:webHidden/>
          </w:rPr>
          <w:t>61</w:t>
        </w:r>
        <w:r w:rsidR="00D243CD">
          <w:rPr>
            <w:noProof/>
            <w:webHidden/>
          </w:rPr>
          <w:fldChar w:fldCharType="end"/>
        </w:r>
      </w:hyperlink>
    </w:p>
    <w:p w14:paraId="0C3F7A89" w14:textId="77777777" w:rsidR="00D243CD" w:rsidRDefault="00A2755C">
      <w:pPr>
        <w:pStyle w:val="TableofFigures"/>
        <w:tabs>
          <w:tab w:val="right" w:leader="dot" w:pos="9563"/>
        </w:tabs>
        <w:rPr>
          <w:rFonts w:eastAsiaTheme="minorEastAsia" w:cstheme="minorBidi"/>
          <w:noProof/>
          <w:lang w:val="en-US" w:eastAsia="en-US"/>
        </w:rPr>
      </w:pPr>
      <w:hyperlink w:anchor="_Toc434208039" w:history="1">
        <w:r w:rsidR="00D243CD" w:rsidRPr="001964B2">
          <w:rPr>
            <w:rStyle w:val="Hyperlink"/>
            <w:rFonts w:eastAsia="Calibri"/>
            <w:noProof/>
          </w:rPr>
          <w:t>Figure 5</w:t>
        </w:r>
        <w:r w:rsidR="00D243CD" w:rsidRPr="001964B2">
          <w:rPr>
            <w:rStyle w:val="Hyperlink"/>
            <w:rFonts w:eastAsia="Calibri"/>
            <w:noProof/>
          </w:rPr>
          <w:noBreakHyphen/>
          <w:t xml:space="preserve">3: Marine boundaries used for the GBR Marine Park (a), each NRM region and the coral reefs ecosystems. NRM layers derived from: GBRMPA, 2013, GBR feature shapefiles and seagrass layers from DAFF, Feb. 2013; and enlargements around (b) the Tully-Herbert rivers and (c) the Burdekin rivers. Spatial distribution of the surveyed seagrasses bed is an historical layer composed from all meadows examined between 1984 and 2008 (see reports at: </w:t>
        </w:r>
        <w:r w:rsidR="00D243CD" w:rsidRPr="001964B2">
          <w:rPr>
            <w:rStyle w:val="Hyperlink"/>
            <w:rFonts w:eastAsia="Calibri"/>
            <w:bCs/>
            <w:noProof/>
          </w:rPr>
          <w:t>http://www.seagrasswatch.org/meg.html</w:t>
        </w:r>
        <w:r w:rsidR="00D243CD" w:rsidRPr="001964B2">
          <w:rPr>
            <w:rStyle w:val="Hyperlink"/>
            <w:rFonts w:eastAsia="Calibri"/>
            <w:noProof/>
          </w:rPr>
          <w:t>).</w:t>
        </w:r>
        <w:r w:rsidR="00D243CD">
          <w:rPr>
            <w:noProof/>
            <w:webHidden/>
          </w:rPr>
          <w:tab/>
        </w:r>
        <w:r w:rsidR="00D243CD">
          <w:rPr>
            <w:noProof/>
            <w:webHidden/>
          </w:rPr>
          <w:fldChar w:fldCharType="begin"/>
        </w:r>
        <w:r w:rsidR="00D243CD">
          <w:rPr>
            <w:noProof/>
            <w:webHidden/>
          </w:rPr>
          <w:instrText xml:space="preserve"> PAGEREF _Toc434208039 \h </w:instrText>
        </w:r>
        <w:r w:rsidR="00D243CD">
          <w:rPr>
            <w:noProof/>
            <w:webHidden/>
          </w:rPr>
        </w:r>
        <w:r w:rsidR="00D243CD">
          <w:rPr>
            <w:noProof/>
            <w:webHidden/>
          </w:rPr>
          <w:fldChar w:fldCharType="separate"/>
        </w:r>
        <w:r w:rsidR="00B62B50">
          <w:rPr>
            <w:noProof/>
            <w:webHidden/>
          </w:rPr>
          <w:t>61</w:t>
        </w:r>
        <w:r w:rsidR="00D243CD">
          <w:rPr>
            <w:noProof/>
            <w:webHidden/>
          </w:rPr>
          <w:fldChar w:fldCharType="end"/>
        </w:r>
      </w:hyperlink>
    </w:p>
    <w:p w14:paraId="0C3F7A8A" w14:textId="77777777" w:rsidR="00D243CD" w:rsidRDefault="00A2755C">
      <w:pPr>
        <w:pStyle w:val="TableofFigures"/>
        <w:tabs>
          <w:tab w:val="right" w:leader="dot" w:pos="9563"/>
        </w:tabs>
        <w:rPr>
          <w:rFonts w:eastAsiaTheme="minorEastAsia" w:cstheme="minorBidi"/>
          <w:noProof/>
          <w:lang w:val="en-US" w:eastAsia="en-US"/>
        </w:rPr>
      </w:pPr>
      <w:hyperlink w:anchor="_Toc434208040" w:history="1">
        <w:r w:rsidR="00D243CD" w:rsidRPr="001964B2">
          <w:rPr>
            <w:rStyle w:val="Hyperlink"/>
            <w:rFonts w:eastAsia="Calibri"/>
            <w:noProof/>
          </w:rPr>
          <w:t>Figure 5</w:t>
        </w:r>
        <w:r w:rsidR="00D243CD" w:rsidRPr="001964B2">
          <w:rPr>
            <w:rStyle w:val="Hyperlink"/>
            <w:rFonts w:eastAsia="Calibri"/>
            <w:noProof/>
          </w:rPr>
          <w:noBreakHyphen/>
          <w:t>4: a) Secondary plume waters areas recorded for the GBR, the Tully-Herbert and the Burdekin subsets and b) cumulative weekly river discharge measured for the Tully-Herbert and Burdekin rivers.</w:t>
        </w:r>
        <w:r w:rsidR="00D243CD">
          <w:rPr>
            <w:noProof/>
            <w:webHidden/>
          </w:rPr>
          <w:tab/>
        </w:r>
        <w:r w:rsidR="00D243CD">
          <w:rPr>
            <w:noProof/>
            <w:webHidden/>
          </w:rPr>
          <w:fldChar w:fldCharType="begin"/>
        </w:r>
        <w:r w:rsidR="00D243CD">
          <w:rPr>
            <w:noProof/>
            <w:webHidden/>
          </w:rPr>
          <w:instrText xml:space="preserve"> PAGEREF _Toc434208040 \h </w:instrText>
        </w:r>
        <w:r w:rsidR="00D243CD">
          <w:rPr>
            <w:noProof/>
            <w:webHidden/>
          </w:rPr>
        </w:r>
        <w:r w:rsidR="00D243CD">
          <w:rPr>
            <w:noProof/>
            <w:webHidden/>
          </w:rPr>
          <w:fldChar w:fldCharType="separate"/>
        </w:r>
        <w:r w:rsidR="00B62B50">
          <w:rPr>
            <w:noProof/>
            <w:webHidden/>
          </w:rPr>
          <w:t>62</w:t>
        </w:r>
        <w:r w:rsidR="00D243CD">
          <w:rPr>
            <w:noProof/>
            <w:webHidden/>
          </w:rPr>
          <w:fldChar w:fldCharType="end"/>
        </w:r>
      </w:hyperlink>
    </w:p>
    <w:p w14:paraId="0C3F7A8B" w14:textId="77777777" w:rsidR="00D243CD" w:rsidRDefault="00A2755C">
      <w:pPr>
        <w:pStyle w:val="TableofFigures"/>
        <w:tabs>
          <w:tab w:val="right" w:leader="dot" w:pos="9563"/>
        </w:tabs>
        <w:rPr>
          <w:rFonts w:eastAsiaTheme="minorEastAsia" w:cstheme="minorBidi"/>
          <w:noProof/>
          <w:lang w:val="en-US" w:eastAsia="en-US"/>
        </w:rPr>
      </w:pPr>
      <w:hyperlink w:anchor="_Toc434208041" w:history="1">
        <w:r w:rsidR="00D243CD" w:rsidRPr="001964B2">
          <w:rPr>
            <w:rStyle w:val="Hyperlink"/>
            <w:rFonts w:eastAsia="Calibri"/>
            <w:noProof/>
          </w:rPr>
          <w:t>Figure 5</w:t>
        </w:r>
        <w:r w:rsidR="00D243CD" w:rsidRPr="001964B2">
          <w:rPr>
            <w:rStyle w:val="Hyperlink"/>
            <w:rFonts w:eastAsia="Calibri"/>
            <w:noProof/>
          </w:rPr>
          <w:noBreakHyphen/>
          <w:t>5: Secondary plume weekly composites of the Tully-Herbert marine region</w:t>
        </w:r>
        <w:r w:rsidR="00D243CD">
          <w:rPr>
            <w:noProof/>
            <w:webHidden/>
          </w:rPr>
          <w:tab/>
        </w:r>
        <w:r w:rsidR="00D243CD">
          <w:rPr>
            <w:noProof/>
            <w:webHidden/>
          </w:rPr>
          <w:fldChar w:fldCharType="begin"/>
        </w:r>
        <w:r w:rsidR="00D243CD">
          <w:rPr>
            <w:noProof/>
            <w:webHidden/>
          </w:rPr>
          <w:instrText xml:space="preserve"> PAGEREF _Toc434208041 \h </w:instrText>
        </w:r>
        <w:r w:rsidR="00D243CD">
          <w:rPr>
            <w:noProof/>
            <w:webHidden/>
          </w:rPr>
        </w:r>
        <w:r w:rsidR="00D243CD">
          <w:rPr>
            <w:noProof/>
            <w:webHidden/>
          </w:rPr>
          <w:fldChar w:fldCharType="separate"/>
        </w:r>
        <w:r w:rsidR="00B62B50">
          <w:rPr>
            <w:noProof/>
            <w:webHidden/>
          </w:rPr>
          <w:t>63</w:t>
        </w:r>
        <w:r w:rsidR="00D243CD">
          <w:rPr>
            <w:noProof/>
            <w:webHidden/>
          </w:rPr>
          <w:fldChar w:fldCharType="end"/>
        </w:r>
      </w:hyperlink>
    </w:p>
    <w:p w14:paraId="0C3F7A8C" w14:textId="77777777" w:rsidR="00D243CD" w:rsidRDefault="00A2755C">
      <w:pPr>
        <w:pStyle w:val="TableofFigures"/>
        <w:tabs>
          <w:tab w:val="right" w:leader="dot" w:pos="9563"/>
        </w:tabs>
        <w:rPr>
          <w:rFonts w:eastAsiaTheme="minorEastAsia" w:cstheme="minorBidi"/>
          <w:noProof/>
          <w:lang w:val="en-US" w:eastAsia="en-US"/>
        </w:rPr>
      </w:pPr>
      <w:hyperlink w:anchor="_Toc434208042" w:history="1">
        <w:r w:rsidR="00D243CD" w:rsidRPr="001964B2">
          <w:rPr>
            <w:rStyle w:val="Hyperlink"/>
            <w:rFonts w:eastAsia="Calibri"/>
            <w:noProof/>
          </w:rPr>
          <w:t>Figure 5</w:t>
        </w:r>
        <w:r w:rsidR="00D243CD" w:rsidRPr="001964B2">
          <w:rPr>
            <w:rStyle w:val="Hyperlink"/>
            <w:rFonts w:eastAsia="Calibri"/>
            <w:noProof/>
          </w:rPr>
          <w:noBreakHyphen/>
          <w:t>6: Secondary plume weekly composites of the Burdekin marine region</w:t>
        </w:r>
        <w:r w:rsidR="00D243CD">
          <w:rPr>
            <w:noProof/>
            <w:webHidden/>
          </w:rPr>
          <w:tab/>
        </w:r>
        <w:r w:rsidR="00D243CD">
          <w:rPr>
            <w:noProof/>
            <w:webHidden/>
          </w:rPr>
          <w:fldChar w:fldCharType="begin"/>
        </w:r>
        <w:r w:rsidR="00D243CD">
          <w:rPr>
            <w:noProof/>
            <w:webHidden/>
          </w:rPr>
          <w:instrText xml:space="preserve"> PAGEREF _Toc434208042 \h </w:instrText>
        </w:r>
        <w:r w:rsidR="00D243CD">
          <w:rPr>
            <w:noProof/>
            <w:webHidden/>
          </w:rPr>
        </w:r>
        <w:r w:rsidR="00D243CD">
          <w:rPr>
            <w:noProof/>
            <w:webHidden/>
          </w:rPr>
          <w:fldChar w:fldCharType="separate"/>
        </w:r>
        <w:r w:rsidR="00B62B50">
          <w:rPr>
            <w:noProof/>
            <w:webHidden/>
          </w:rPr>
          <w:t>64</w:t>
        </w:r>
        <w:r w:rsidR="00D243CD">
          <w:rPr>
            <w:noProof/>
            <w:webHidden/>
          </w:rPr>
          <w:fldChar w:fldCharType="end"/>
        </w:r>
      </w:hyperlink>
    </w:p>
    <w:p w14:paraId="0C3F7A8D" w14:textId="77777777" w:rsidR="00D243CD" w:rsidRDefault="00A2755C">
      <w:pPr>
        <w:pStyle w:val="TableofFigures"/>
        <w:tabs>
          <w:tab w:val="right" w:leader="dot" w:pos="9563"/>
        </w:tabs>
        <w:rPr>
          <w:rFonts w:eastAsiaTheme="minorEastAsia" w:cstheme="minorBidi"/>
          <w:noProof/>
          <w:lang w:val="en-US" w:eastAsia="en-US"/>
        </w:rPr>
      </w:pPr>
      <w:hyperlink w:anchor="_Toc434208043" w:history="1">
        <w:r w:rsidR="00D243CD" w:rsidRPr="001964B2">
          <w:rPr>
            <w:rStyle w:val="Hyperlink"/>
            <w:rFonts w:eastAsia="Calibri"/>
            <w:noProof/>
          </w:rPr>
          <w:t>Figure 5</w:t>
        </w:r>
        <w:r w:rsidR="00D243CD" w:rsidRPr="001964B2">
          <w:rPr>
            <w:rStyle w:val="Hyperlink"/>
            <w:rFonts w:eastAsia="Calibri"/>
            <w:noProof/>
          </w:rPr>
          <w:noBreakHyphen/>
          <w:t>7: Frequency of occurrence of river plume recorded in 2013 in the Tully-Herbert region by a) and b) the TC method and c) and d) the L2 method. Maps a) and c) show all areas that have been classified as least one day over the wet season 2012-13 as river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_Toc434208043 \h </w:instrText>
        </w:r>
        <w:r w:rsidR="00D243CD">
          <w:rPr>
            <w:noProof/>
            <w:webHidden/>
          </w:rPr>
        </w:r>
        <w:r w:rsidR="00D243CD">
          <w:rPr>
            <w:noProof/>
            <w:webHidden/>
          </w:rPr>
          <w:fldChar w:fldCharType="separate"/>
        </w:r>
        <w:r w:rsidR="00B62B50">
          <w:rPr>
            <w:noProof/>
            <w:webHidden/>
          </w:rPr>
          <w:t>66</w:t>
        </w:r>
        <w:r w:rsidR="00D243CD">
          <w:rPr>
            <w:noProof/>
            <w:webHidden/>
          </w:rPr>
          <w:fldChar w:fldCharType="end"/>
        </w:r>
      </w:hyperlink>
    </w:p>
    <w:p w14:paraId="0C3F7A8E" w14:textId="77777777" w:rsidR="00D243CD" w:rsidRDefault="00A2755C">
      <w:pPr>
        <w:pStyle w:val="TableofFigures"/>
        <w:tabs>
          <w:tab w:val="right" w:leader="dot" w:pos="9563"/>
        </w:tabs>
        <w:rPr>
          <w:rFonts w:eastAsiaTheme="minorEastAsia" w:cstheme="minorBidi"/>
          <w:noProof/>
          <w:lang w:val="en-US" w:eastAsia="en-US"/>
        </w:rPr>
      </w:pPr>
      <w:hyperlink w:anchor="_Toc434208044" w:history="1">
        <w:r w:rsidR="00D243CD" w:rsidRPr="001964B2">
          <w:rPr>
            <w:rStyle w:val="Hyperlink"/>
            <w:rFonts w:eastAsia="Calibri"/>
            <w:noProof/>
          </w:rPr>
          <w:t>Figure 5</w:t>
        </w:r>
        <w:r w:rsidR="00D243CD" w:rsidRPr="001964B2">
          <w:rPr>
            <w:rStyle w:val="Hyperlink"/>
            <w:rFonts w:eastAsia="Calibri"/>
            <w:noProof/>
          </w:rPr>
          <w:noBreakHyphen/>
          <w:t>8: Frequency of occurrence of river plume recorded in 2013 in the Burdekin region by a) and b) the TC method and c) and d) the L2 method. Maps a) and c) show all areas that have been classified as least one day over the wet season 2012-13 as river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_Toc434208044 \h </w:instrText>
        </w:r>
        <w:r w:rsidR="00D243CD">
          <w:rPr>
            <w:noProof/>
            <w:webHidden/>
          </w:rPr>
        </w:r>
        <w:r w:rsidR="00D243CD">
          <w:rPr>
            <w:noProof/>
            <w:webHidden/>
          </w:rPr>
          <w:fldChar w:fldCharType="separate"/>
        </w:r>
        <w:r w:rsidR="00B62B50">
          <w:rPr>
            <w:noProof/>
            <w:webHidden/>
          </w:rPr>
          <w:t>67</w:t>
        </w:r>
        <w:r w:rsidR="00D243CD">
          <w:rPr>
            <w:noProof/>
            <w:webHidden/>
          </w:rPr>
          <w:fldChar w:fldCharType="end"/>
        </w:r>
      </w:hyperlink>
    </w:p>
    <w:p w14:paraId="0C3F7A8F" w14:textId="77777777" w:rsidR="00D243CD" w:rsidRDefault="00A2755C">
      <w:pPr>
        <w:pStyle w:val="TableofFigures"/>
        <w:tabs>
          <w:tab w:val="right" w:leader="dot" w:pos="9563"/>
        </w:tabs>
        <w:rPr>
          <w:rFonts w:eastAsiaTheme="minorEastAsia" w:cstheme="minorBidi"/>
          <w:noProof/>
          <w:lang w:val="en-US" w:eastAsia="en-US"/>
        </w:rPr>
      </w:pPr>
      <w:hyperlink w:anchor="_Toc434208045" w:history="1">
        <w:r w:rsidR="00D243CD" w:rsidRPr="001964B2">
          <w:rPr>
            <w:rStyle w:val="Hyperlink"/>
            <w:rFonts w:eastAsia="Calibri"/>
            <w:noProof/>
          </w:rPr>
          <w:t>Figure 5</w:t>
        </w:r>
        <w:r w:rsidR="00D243CD" w:rsidRPr="001964B2">
          <w:rPr>
            <w:rStyle w:val="Hyperlink"/>
            <w:rFonts w:eastAsia="Calibri"/>
            <w:noProof/>
          </w:rPr>
          <w:noBreakHyphen/>
          <w:t>9: Frequency of occurrence of Primary plume waters recorded in 2013 in the Tully-Herbert region by a) and b) the TC method and c) and d) the L2 method. Maps a) and c) show all areas that have been classified as least one day over the wet season 2012-13 as Primary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_Toc434208045 \h </w:instrText>
        </w:r>
        <w:r w:rsidR="00D243CD">
          <w:rPr>
            <w:noProof/>
            <w:webHidden/>
          </w:rPr>
        </w:r>
        <w:r w:rsidR="00D243CD">
          <w:rPr>
            <w:noProof/>
            <w:webHidden/>
          </w:rPr>
          <w:fldChar w:fldCharType="separate"/>
        </w:r>
        <w:r w:rsidR="00B62B50">
          <w:rPr>
            <w:noProof/>
            <w:webHidden/>
          </w:rPr>
          <w:t>68</w:t>
        </w:r>
        <w:r w:rsidR="00D243CD">
          <w:rPr>
            <w:noProof/>
            <w:webHidden/>
          </w:rPr>
          <w:fldChar w:fldCharType="end"/>
        </w:r>
      </w:hyperlink>
    </w:p>
    <w:p w14:paraId="0C3F7A90" w14:textId="77777777" w:rsidR="00D243CD" w:rsidRDefault="00A2755C">
      <w:pPr>
        <w:pStyle w:val="TableofFigures"/>
        <w:tabs>
          <w:tab w:val="right" w:leader="dot" w:pos="9563"/>
        </w:tabs>
        <w:rPr>
          <w:rFonts w:eastAsiaTheme="minorEastAsia" w:cstheme="minorBidi"/>
          <w:noProof/>
          <w:lang w:val="en-US" w:eastAsia="en-US"/>
        </w:rPr>
      </w:pPr>
      <w:hyperlink w:anchor="_Toc434208046" w:history="1">
        <w:r w:rsidR="00D243CD" w:rsidRPr="001964B2">
          <w:rPr>
            <w:rStyle w:val="Hyperlink"/>
            <w:rFonts w:eastAsia="Calibri"/>
            <w:noProof/>
          </w:rPr>
          <w:t>Figure 5</w:t>
        </w:r>
        <w:r w:rsidR="00D243CD" w:rsidRPr="001964B2">
          <w:rPr>
            <w:rStyle w:val="Hyperlink"/>
            <w:rFonts w:eastAsia="Calibri"/>
            <w:noProof/>
          </w:rPr>
          <w:noBreakHyphen/>
          <w:t>10: Frequency of occurrence of Primary plume waters recorded in 2013 in the Burdekin region by a) and b) the TC method and c) and d) the L2 method. Maps a) and c) show all areas that have been classified as least one day over the wet season 2012-13 as Primary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_Toc434208046 \h </w:instrText>
        </w:r>
        <w:r w:rsidR="00D243CD">
          <w:rPr>
            <w:noProof/>
            <w:webHidden/>
          </w:rPr>
        </w:r>
        <w:r w:rsidR="00D243CD">
          <w:rPr>
            <w:noProof/>
            <w:webHidden/>
          </w:rPr>
          <w:fldChar w:fldCharType="separate"/>
        </w:r>
        <w:r w:rsidR="00B62B50">
          <w:rPr>
            <w:noProof/>
            <w:webHidden/>
          </w:rPr>
          <w:t>69</w:t>
        </w:r>
        <w:r w:rsidR="00D243CD">
          <w:rPr>
            <w:noProof/>
            <w:webHidden/>
          </w:rPr>
          <w:fldChar w:fldCharType="end"/>
        </w:r>
      </w:hyperlink>
    </w:p>
    <w:p w14:paraId="0C3F7A91" w14:textId="77777777" w:rsidR="00D243CD" w:rsidRDefault="00A2755C">
      <w:pPr>
        <w:pStyle w:val="TableofFigures"/>
        <w:tabs>
          <w:tab w:val="right" w:leader="dot" w:pos="9563"/>
        </w:tabs>
        <w:rPr>
          <w:rFonts w:eastAsiaTheme="minorEastAsia" w:cstheme="minorBidi"/>
          <w:noProof/>
          <w:lang w:val="en-US" w:eastAsia="en-US"/>
        </w:rPr>
      </w:pPr>
      <w:hyperlink w:anchor="_Toc434208047" w:history="1">
        <w:r w:rsidR="00D243CD" w:rsidRPr="001964B2">
          <w:rPr>
            <w:rStyle w:val="Hyperlink"/>
            <w:rFonts w:eastAsia="Calibri"/>
            <w:noProof/>
          </w:rPr>
          <w:t>Figure 5</w:t>
        </w:r>
        <w:r w:rsidR="00D243CD" w:rsidRPr="001964B2">
          <w:rPr>
            <w:rStyle w:val="Hyperlink"/>
            <w:rFonts w:eastAsia="Calibri"/>
            <w:noProof/>
          </w:rPr>
          <w:noBreakHyphen/>
          <w:t>11: Frequency of occurrence of Secondary plume waters recorded in 2013 in the Tully-Herbert region by a) and b) the TC method and c) and d) the L2 method. Maps a) and c) show all areas that have been classified as least one day over the wet season 2012-13 as Secondary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_Toc434208047 \h </w:instrText>
        </w:r>
        <w:r w:rsidR="00D243CD">
          <w:rPr>
            <w:noProof/>
            <w:webHidden/>
          </w:rPr>
        </w:r>
        <w:r w:rsidR="00D243CD">
          <w:rPr>
            <w:noProof/>
            <w:webHidden/>
          </w:rPr>
          <w:fldChar w:fldCharType="separate"/>
        </w:r>
        <w:r w:rsidR="00B62B50">
          <w:rPr>
            <w:noProof/>
            <w:webHidden/>
          </w:rPr>
          <w:t>70</w:t>
        </w:r>
        <w:r w:rsidR="00D243CD">
          <w:rPr>
            <w:noProof/>
            <w:webHidden/>
          </w:rPr>
          <w:fldChar w:fldCharType="end"/>
        </w:r>
      </w:hyperlink>
    </w:p>
    <w:p w14:paraId="0C3F7A92" w14:textId="77777777" w:rsidR="00D243CD" w:rsidRDefault="00A2755C">
      <w:pPr>
        <w:pStyle w:val="TableofFigures"/>
        <w:tabs>
          <w:tab w:val="right" w:leader="dot" w:pos="9563"/>
        </w:tabs>
        <w:rPr>
          <w:rFonts w:eastAsiaTheme="minorEastAsia" w:cstheme="minorBidi"/>
          <w:noProof/>
          <w:lang w:val="en-US" w:eastAsia="en-US"/>
        </w:rPr>
      </w:pPr>
      <w:hyperlink w:anchor="_Toc434208048" w:history="1">
        <w:r w:rsidR="00D243CD" w:rsidRPr="001964B2">
          <w:rPr>
            <w:rStyle w:val="Hyperlink"/>
            <w:rFonts w:eastAsia="Calibri"/>
            <w:noProof/>
          </w:rPr>
          <w:t>Figure 5</w:t>
        </w:r>
        <w:r w:rsidR="00D243CD" w:rsidRPr="001964B2">
          <w:rPr>
            <w:rStyle w:val="Hyperlink"/>
            <w:rFonts w:eastAsia="Calibri"/>
            <w:noProof/>
          </w:rPr>
          <w:noBreakHyphen/>
          <w:t>12: Frequency of occurrence of Secondary plume waters recorded in 2013 in the Burdekin region by a) and b) the TC method and c) and d) the L2 method. Maps a) and c) show all areas that have been classified as least one day over the wet season 2012-13 as Secondary plume waters.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_Toc434208048 \h </w:instrText>
        </w:r>
        <w:r w:rsidR="00D243CD">
          <w:rPr>
            <w:noProof/>
            <w:webHidden/>
          </w:rPr>
        </w:r>
        <w:r w:rsidR="00D243CD">
          <w:rPr>
            <w:noProof/>
            <w:webHidden/>
          </w:rPr>
          <w:fldChar w:fldCharType="separate"/>
        </w:r>
        <w:r w:rsidR="00B62B50">
          <w:rPr>
            <w:noProof/>
            <w:webHidden/>
          </w:rPr>
          <w:t>71</w:t>
        </w:r>
        <w:r w:rsidR="00D243CD">
          <w:rPr>
            <w:noProof/>
            <w:webHidden/>
          </w:rPr>
          <w:fldChar w:fldCharType="end"/>
        </w:r>
      </w:hyperlink>
    </w:p>
    <w:p w14:paraId="0C3F7A93" w14:textId="77777777" w:rsidR="00D243CD" w:rsidRDefault="00A2755C">
      <w:pPr>
        <w:pStyle w:val="TableofFigures"/>
        <w:tabs>
          <w:tab w:val="right" w:leader="dot" w:pos="9563"/>
        </w:tabs>
        <w:rPr>
          <w:rFonts w:eastAsiaTheme="minorEastAsia" w:cstheme="minorBidi"/>
          <w:noProof/>
          <w:lang w:val="en-US" w:eastAsia="en-US"/>
        </w:rPr>
      </w:pPr>
      <w:hyperlink w:anchor="_Toc434208049" w:history="1">
        <w:r w:rsidR="00D243CD" w:rsidRPr="001964B2">
          <w:rPr>
            <w:rStyle w:val="Hyperlink"/>
            <w:rFonts w:eastAsia="Calibri"/>
            <w:noProof/>
          </w:rPr>
          <w:t>Figure 5</w:t>
        </w:r>
        <w:r w:rsidR="00D243CD" w:rsidRPr="001964B2">
          <w:rPr>
            <w:rStyle w:val="Hyperlink"/>
            <w:rFonts w:eastAsia="Calibri"/>
            <w:noProof/>
          </w:rPr>
          <w:noBreakHyphen/>
          <w:t>13: Frequency of occurrence of Tertiary plume waters recorded in 2013 in the Tully-Herbert region by a) and b) the TC method and c) and d) the L2 method. Maps a) and c) show all areas that have been classified as least one day over the wet season 2012-13 as Tertiary plume water.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_Toc434208049 \h </w:instrText>
        </w:r>
        <w:r w:rsidR="00D243CD">
          <w:rPr>
            <w:noProof/>
            <w:webHidden/>
          </w:rPr>
        </w:r>
        <w:r w:rsidR="00D243CD">
          <w:rPr>
            <w:noProof/>
            <w:webHidden/>
          </w:rPr>
          <w:fldChar w:fldCharType="separate"/>
        </w:r>
        <w:r w:rsidR="00B62B50">
          <w:rPr>
            <w:noProof/>
            <w:webHidden/>
          </w:rPr>
          <w:t>72</w:t>
        </w:r>
        <w:r w:rsidR="00D243CD">
          <w:rPr>
            <w:noProof/>
            <w:webHidden/>
          </w:rPr>
          <w:fldChar w:fldCharType="end"/>
        </w:r>
      </w:hyperlink>
    </w:p>
    <w:p w14:paraId="0C3F7A94" w14:textId="77777777" w:rsidR="00D243CD" w:rsidRDefault="00A2755C">
      <w:pPr>
        <w:pStyle w:val="TableofFigures"/>
        <w:tabs>
          <w:tab w:val="right" w:leader="dot" w:pos="9563"/>
        </w:tabs>
        <w:rPr>
          <w:rFonts w:eastAsiaTheme="minorEastAsia" w:cstheme="minorBidi"/>
          <w:noProof/>
          <w:lang w:val="en-US" w:eastAsia="en-US"/>
        </w:rPr>
      </w:pPr>
      <w:hyperlink w:anchor="_Toc434208050" w:history="1">
        <w:r w:rsidR="00D243CD" w:rsidRPr="001964B2">
          <w:rPr>
            <w:rStyle w:val="Hyperlink"/>
            <w:rFonts w:eastAsia="Calibri"/>
            <w:noProof/>
          </w:rPr>
          <w:t>Figure 5</w:t>
        </w:r>
        <w:r w:rsidR="00D243CD" w:rsidRPr="001964B2">
          <w:rPr>
            <w:rStyle w:val="Hyperlink"/>
            <w:rFonts w:eastAsia="Calibri"/>
            <w:noProof/>
          </w:rPr>
          <w:noBreakHyphen/>
          <w:t>14: Frequency of occurrence of Tertiary plume waters recorded in 2013 in the Burdekin region by a) and b) the TC method and c) and d) the L2 method. Maps a) and c) show all areas that have been classified as least one day over the wet season 2012-13 as Tertiary plume water. Maps b) and d) show same maps reclassified into frequency breaks.</w:t>
        </w:r>
        <w:r w:rsidR="00D243CD">
          <w:rPr>
            <w:noProof/>
            <w:webHidden/>
          </w:rPr>
          <w:tab/>
        </w:r>
        <w:r w:rsidR="00D243CD">
          <w:rPr>
            <w:noProof/>
            <w:webHidden/>
          </w:rPr>
          <w:fldChar w:fldCharType="begin"/>
        </w:r>
        <w:r w:rsidR="00D243CD">
          <w:rPr>
            <w:noProof/>
            <w:webHidden/>
          </w:rPr>
          <w:instrText xml:space="preserve"> PAGEREF _Toc434208050 \h </w:instrText>
        </w:r>
        <w:r w:rsidR="00D243CD">
          <w:rPr>
            <w:noProof/>
            <w:webHidden/>
          </w:rPr>
        </w:r>
        <w:r w:rsidR="00D243CD">
          <w:rPr>
            <w:noProof/>
            <w:webHidden/>
          </w:rPr>
          <w:fldChar w:fldCharType="separate"/>
        </w:r>
        <w:r w:rsidR="00B62B50">
          <w:rPr>
            <w:noProof/>
            <w:webHidden/>
          </w:rPr>
          <w:t>73</w:t>
        </w:r>
        <w:r w:rsidR="00D243CD">
          <w:rPr>
            <w:noProof/>
            <w:webHidden/>
          </w:rPr>
          <w:fldChar w:fldCharType="end"/>
        </w:r>
      </w:hyperlink>
    </w:p>
    <w:p w14:paraId="0C3F7A95" w14:textId="77777777" w:rsidR="00D243CD" w:rsidRDefault="00A2755C">
      <w:pPr>
        <w:pStyle w:val="TableofFigures"/>
        <w:tabs>
          <w:tab w:val="right" w:leader="dot" w:pos="9563"/>
        </w:tabs>
        <w:rPr>
          <w:rFonts w:eastAsiaTheme="minorEastAsia" w:cstheme="minorBidi"/>
          <w:noProof/>
          <w:lang w:val="en-US" w:eastAsia="en-US"/>
        </w:rPr>
      </w:pPr>
      <w:hyperlink w:anchor="_Toc434208051" w:history="1">
        <w:r w:rsidR="00D243CD" w:rsidRPr="001964B2">
          <w:rPr>
            <w:rStyle w:val="Hyperlink"/>
            <w:rFonts w:eastAsia="Calibri"/>
            <w:noProof/>
          </w:rPr>
          <w:t>Figure 5</w:t>
        </w:r>
        <w:r w:rsidR="00D243CD" w:rsidRPr="001964B2">
          <w:rPr>
            <w:rStyle w:val="Hyperlink"/>
            <w:rFonts w:eastAsia="Calibri"/>
            <w:noProof/>
          </w:rPr>
          <w:noBreakHyphen/>
          <w:t>15: Mean concentrations of in-situ WQ measurements within each plume type. WQ data were assigned to plume water type based on dominant frequency (frequency &gt; 0.5). Data are reported for (a) total suspended solids (TSS), with higher values in the Primary plume zone, (b) KdPAR, with higher values in the Primary plume zone, and (c) chl-a, with highest values in the Secondary plume zone (modified from Devlin et al., 2013b).</w:t>
        </w:r>
        <w:r w:rsidR="00D243CD">
          <w:rPr>
            <w:noProof/>
            <w:webHidden/>
          </w:rPr>
          <w:tab/>
        </w:r>
        <w:r w:rsidR="00D243CD">
          <w:rPr>
            <w:noProof/>
            <w:webHidden/>
          </w:rPr>
          <w:fldChar w:fldCharType="begin"/>
        </w:r>
        <w:r w:rsidR="00D243CD">
          <w:rPr>
            <w:noProof/>
            <w:webHidden/>
          </w:rPr>
          <w:instrText xml:space="preserve"> PAGEREF _Toc434208051 \h </w:instrText>
        </w:r>
        <w:r w:rsidR="00D243CD">
          <w:rPr>
            <w:noProof/>
            <w:webHidden/>
          </w:rPr>
        </w:r>
        <w:r w:rsidR="00D243CD">
          <w:rPr>
            <w:noProof/>
            <w:webHidden/>
          </w:rPr>
          <w:fldChar w:fldCharType="separate"/>
        </w:r>
        <w:r w:rsidR="00B62B50">
          <w:rPr>
            <w:noProof/>
            <w:webHidden/>
          </w:rPr>
          <w:t>74</w:t>
        </w:r>
        <w:r w:rsidR="00D243CD">
          <w:rPr>
            <w:noProof/>
            <w:webHidden/>
          </w:rPr>
          <w:fldChar w:fldCharType="end"/>
        </w:r>
      </w:hyperlink>
    </w:p>
    <w:p w14:paraId="0C3F7A96" w14:textId="77777777" w:rsidR="00D243CD" w:rsidRDefault="00A2755C">
      <w:pPr>
        <w:pStyle w:val="TableofFigures"/>
        <w:tabs>
          <w:tab w:val="right" w:leader="dot" w:pos="9563"/>
        </w:tabs>
        <w:rPr>
          <w:rFonts w:eastAsiaTheme="minorEastAsia" w:cstheme="minorBidi"/>
          <w:noProof/>
          <w:lang w:val="en-US" w:eastAsia="en-US"/>
        </w:rPr>
      </w:pPr>
      <w:hyperlink w:anchor="_Toc434208052" w:history="1">
        <w:r w:rsidR="00D243CD" w:rsidRPr="001964B2">
          <w:rPr>
            <w:rStyle w:val="Hyperlink"/>
            <w:rFonts w:eastAsia="Calibri"/>
            <w:bCs/>
            <w:noProof/>
          </w:rPr>
          <w:t>Figure 5</w:t>
        </w:r>
        <w:r w:rsidR="00D243CD" w:rsidRPr="001964B2">
          <w:rPr>
            <w:rStyle w:val="Hyperlink"/>
            <w:rFonts w:eastAsia="Calibri"/>
            <w:bCs/>
            <w:noProof/>
          </w:rPr>
          <w:noBreakHyphen/>
          <w:t>16</w:t>
        </w:r>
        <w:r w:rsidR="00D243CD" w:rsidRPr="001964B2">
          <w:rPr>
            <w:rStyle w:val="Hyperlink"/>
            <w:rFonts w:eastAsia="Calibri"/>
            <w:noProof/>
          </w:rPr>
          <w:t>: mean concentrations of in-situ WQ measurements (CDOM, TSS, Chl-a and Kd(PAR)) within each plume water type. WQ data assigned to plume water when the difference between in-situ collection and the satellite over passes is within ±2 h. Number of data is indicated in italic (modified from Petus et al., in press).</w:t>
        </w:r>
        <w:r w:rsidR="00D243CD">
          <w:rPr>
            <w:noProof/>
            <w:webHidden/>
          </w:rPr>
          <w:tab/>
        </w:r>
        <w:r w:rsidR="00D243CD">
          <w:rPr>
            <w:noProof/>
            <w:webHidden/>
          </w:rPr>
          <w:fldChar w:fldCharType="begin"/>
        </w:r>
        <w:r w:rsidR="00D243CD">
          <w:rPr>
            <w:noProof/>
            <w:webHidden/>
          </w:rPr>
          <w:instrText xml:space="preserve"> PAGEREF _Toc434208052 \h </w:instrText>
        </w:r>
        <w:r w:rsidR="00D243CD">
          <w:rPr>
            <w:noProof/>
            <w:webHidden/>
          </w:rPr>
        </w:r>
        <w:r w:rsidR="00D243CD">
          <w:rPr>
            <w:noProof/>
            <w:webHidden/>
          </w:rPr>
          <w:fldChar w:fldCharType="separate"/>
        </w:r>
        <w:r w:rsidR="00B62B50">
          <w:rPr>
            <w:noProof/>
            <w:webHidden/>
          </w:rPr>
          <w:t>75</w:t>
        </w:r>
        <w:r w:rsidR="00D243CD">
          <w:rPr>
            <w:noProof/>
            <w:webHidden/>
          </w:rPr>
          <w:fldChar w:fldCharType="end"/>
        </w:r>
      </w:hyperlink>
    </w:p>
    <w:p w14:paraId="0C3F7A97" w14:textId="77777777" w:rsidR="00D243CD" w:rsidRDefault="00A2755C">
      <w:pPr>
        <w:pStyle w:val="TableofFigures"/>
        <w:tabs>
          <w:tab w:val="right" w:leader="dot" w:pos="9563"/>
        </w:tabs>
        <w:rPr>
          <w:rFonts w:eastAsiaTheme="minorEastAsia" w:cstheme="minorBidi"/>
          <w:noProof/>
          <w:lang w:val="en-US" w:eastAsia="en-US"/>
        </w:rPr>
      </w:pPr>
      <w:hyperlink w:anchor="_Toc434208053" w:history="1">
        <w:r w:rsidR="00D243CD" w:rsidRPr="001964B2">
          <w:rPr>
            <w:rStyle w:val="Hyperlink"/>
            <w:rFonts w:eastAsia="Calibri"/>
            <w:noProof/>
          </w:rPr>
          <w:t>Figure 5</w:t>
        </w:r>
        <w:r w:rsidR="00D243CD" w:rsidRPr="001964B2">
          <w:rPr>
            <w:rStyle w:val="Hyperlink"/>
            <w:rFonts w:eastAsia="Calibri"/>
            <w:noProof/>
          </w:rPr>
          <w:noBreakHyphen/>
          <w:t>17: 2012-13 “potential” river plume risk maps of (left) the GBR; (middle) the Tully Herbert region and (right) the Burdekin region produced by a) the TC method and b) the L2 method. Maps have been smoothed twice with a 4 pixel majority filter (ArcGIS).</w:t>
        </w:r>
        <w:r w:rsidR="00D243CD">
          <w:rPr>
            <w:noProof/>
            <w:webHidden/>
          </w:rPr>
          <w:tab/>
        </w:r>
        <w:r w:rsidR="00D243CD">
          <w:rPr>
            <w:noProof/>
            <w:webHidden/>
          </w:rPr>
          <w:fldChar w:fldCharType="begin"/>
        </w:r>
        <w:r w:rsidR="00D243CD">
          <w:rPr>
            <w:noProof/>
            <w:webHidden/>
          </w:rPr>
          <w:instrText xml:space="preserve"> PAGEREF _Toc434208053 \h </w:instrText>
        </w:r>
        <w:r w:rsidR="00D243CD">
          <w:rPr>
            <w:noProof/>
            <w:webHidden/>
          </w:rPr>
        </w:r>
        <w:r w:rsidR="00D243CD">
          <w:rPr>
            <w:noProof/>
            <w:webHidden/>
          </w:rPr>
          <w:fldChar w:fldCharType="separate"/>
        </w:r>
        <w:r w:rsidR="00B62B50">
          <w:rPr>
            <w:noProof/>
            <w:webHidden/>
          </w:rPr>
          <w:t>77</w:t>
        </w:r>
        <w:r w:rsidR="00D243CD">
          <w:rPr>
            <w:noProof/>
            <w:webHidden/>
          </w:rPr>
          <w:fldChar w:fldCharType="end"/>
        </w:r>
      </w:hyperlink>
    </w:p>
    <w:p w14:paraId="0C3F7A98" w14:textId="77777777" w:rsidR="00D243CD" w:rsidRDefault="00A2755C">
      <w:pPr>
        <w:pStyle w:val="TableofFigures"/>
        <w:tabs>
          <w:tab w:val="right" w:leader="dot" w:pos="9563"/>
        </w:tabs>
        <w:rPr>
          <w:rFonts w:eastAsiaTheme="minorEastAsia" w:cstheme="minorBidi"/>
          <w:noProof/>
          <w:lang w:val="en-US" w:eastAsia="en-US"/>
        </w:rPr>
      </w:pPr>
      <w:hyperlink w:anchor="_Toc434208054" w:history="1">
        <w:r w:rsidR="00D243CD" w:rsidRPr="001964B2">
          <w:rPr>
            <w:rStyle w:val="Hyperlink"/>
            <w:rFonts w:eastAsia="Calibri"/>
            <w:noProof/>
          </w:rPr>
          <w:t>Figure 5</w:t>
        </w:r>
        <w:r w:rsidR="00D243CD" w:rsidRPr="001964B2">
          <w:rPr>
            <w:rStyle w:val="Hyperlink"/>
            <w:rFonts w:eastAsia="Calibri"/>
            <w:noProof/>
          </w:rPr>
          <w:noBreakHyphen/>
          <w:t>18: Areas (km</w:t>
        </w:r>
        <w:r w:rsidR="00D243CD" w:rsidRPr="001964B2">
          <w:rPr>
            <w:rStyle w:val="Hyperlink"/>
            <w:rFonts w:eastAsia="Calibri"/>
            <w:noProof/>
            <w:vertAlign w:val="superscript"/>
          </w:rPr>
          <w:t>2</w:t>
        </w:r>
        <w:r w:rsidR="00D243CD" w:rsidRPr="001964B2">
          <w:rPr>
            <w:rStyle w:val="Hyperlink"/>
            <w:rFonts w:eastAsia="Calibri"/>
            <w:noProof/>
          </w:rPr>
          <w:t>) and percentage (%) of the a) GBR lagoon, b) coral reefs and c) seagrass beds (c1: surveyed; c2: deep and c3) total (surveyed + deep) seagrass beds) exposed to different categories of river plume risk within each NRM and during the wet season 2012-13.</w:t>
        </w:r>
        <w:r w:rsidR="00D243CD">
          <w:rPr>
            <w:noProof/>
            <w:webHidden/>
          </w:rPr>
          <w:tab/>
        </w:r>
        <w:r w:rsidR="00D243CD">
          <w:rPr>
            <w:noProof/>
            <w:webHidden/>
          </w:rPr>
          <w:fldChar w:fldCharType="begin"/>
        </w:r>
        <w:r w:rsidR="00D243CD">
          <w:rPr>
            <w:noProof/>
            <w:webHidden/>
          </w:rPr>
          <w:instrText xml:space="preserve"> PAGEREF _Toc434208054 \h </w:instrText>
        </w:r>
        <w:r w:rsidR="00D243CD">
          <w:rPr>
            <w:noProof/>
            <w:webHidden/>
          </w:rPr>
        </w:r>
        <w:r w:rsidR="00D243CD">
          <w:rPr>
            <w:noProof/>
            <w:webHidden/>
          </w:rPr>
          <w:fldChar w:fldCharType="separate"/>
        </w:r>
        <w:r w:rsidR="00B62B50">
          <w:rPr>
            <w:noProof/>
            <w:webHidden/>
          </w:rPr>
          <w:t>81</w:t>
        </w:r>
        <w:r w:rsidR="00D243CD">
          <w:rPr>
            <w:noProof/>
            <w:webHidden/>
          </w:rPr>
          <w:fldChar w:fldCharType="end"/>
        </w:r>
      </w:hyperlink>
    </w:p>
    <w:p w14:paraId="0C3F7A99" w14:textId="77777777" w:rsidR="00D243CD" w:rsidRDefault="00A2755C">
      <w:pPr>
        <w:pStyle w:val="TableofFigures"/>
        <w:tabs>
          <w:tab w:val="right" w:leader="dot" w:pos="9563"/>
        </w:tabs>
        <w:rPr>
          <w:rFonts w:eastAsiaTheme="minorEastAsia" w:cstheme="minorBidi"/>
          <w:noProof/>
          <w:lang w:val="en-US" w:eastAsia="en-US"/>
        </w:rPr>
      </w:pPr>
      <w:hyperlink w:anchor="_Toc434208055" w:history="1">
        <w:r w:rsidR="00D243CD" w:rsidRPr="001964B2">
          <w:rPr>
            <w:rStyle w:val="Hyperlink"/>
            <w:rFonts w:eastAsia="Calibri"/>
            <w:noProof/>
          </w:rPr>
          <w:t>Figure 5</w:t>
        </w:r>
        <w:r w:rsidR="00D243CD" w:rsidRPr="001964B2">
          <w:rPr>
            <w:rStyle w:val="Hyperlink"/>
            <w:rFonts w:eastAsia="Calibri"/>
            <w:noProof/>
          </w:rPr>
          <w:noBreakHyphen/>
          <w:t>19: “potential” river plume risk maps of (left) the GBR; (middle) the Tully Herbert region and (right) the Burdekin region produced by a) the TC method in a) 2007, b) 2008, c) 2009. Maps have been smoothed twice with a 4 pixel majority filter (ArcGIS).</w:t>
        </w:r>
        <w:r w:rsidR="00D243CD">
          <w:rPr>
            <w:noProof/>
            <w:webHidden/>
          </w:rPr>
          <w:tab/>
        </w:r>
        <w:r w:rsidR="00D243CD">
          <w:rPr>
            <w:noProof/>
            <w:webHidden/>
          </w:rPr>
          <w:fldChar w:fldCharType="begin"/>
        </w:r>
        <w:r w:rsidR="00D243CD">
          <w:rPr>
            <w:noProof/>
            <w:webHidden/>
          </w:rPr>
          <w:instrText xml:space="preserve"> PAGEREF _Toc434208055 \h </w:instrText>
        </w:r>
        <w:r w:rsidR="00D243CD">
          <w:rPr>
            <w:noProof/>
            <w:webHidden/>
          </w:rPr>
        </w:r>
        <w:r w:rsidR="00D243CD">
          <w:rPr>
            <w:noProof/>
            <w:webHidden/>
          </w:rPr>
          <w:fldChar w:fldCharType="separate"/>
        </w:r>
        <w:r w:rsidR="00B62B50">
          <w:rPr>
            <w:noProof/>
            <w:webHidden/>
          </w:rPr>
          <w:t>83</w:t>
        </w:r>
        <w:r w:rsidR="00D243CD">
          <w:rPr>
            <w:noProof/>
            <w:webHidden/>
          </w:rPr>
          <w:fldChar w:fldCharType="end"/>
        </w:r>
      </w:hyperlink>
    </w:p>
    <w:p w14:paraId="0C3F7A9A" w14:textId="77777777" w:rsidR="00D243CD" w:rsidRDefault="00A2755C">
      <w:pPr>
        <w:pStyle w:val="TableofFigures"/>
        <w:tabs>
          <w:tab w:val="right" w:leader="dot" w:pos="9563"/>
        </w:tabs>
        <w:rPr>
          <w:rFonts w:eastAsiaTheme="minorEastAsia" w:cstheme="minorBidi"/>
          <w:noProof/>
          <w:lang w:val="en-US" w:eastAsia="en-US"/>
        </w:rPr>
      </w:pPr>
      <w:hyperlink w:anchor="_Toc434208056" w:history="1">
        <w:r w:rsidR="00D243CD" w:rsidRPr="001964B2">
          <w:rPr>
            <w:rStyle w:val="Hyperlink"/>
            <w:rFonts w:eastAsia="Calibri"/>
            <w:noProof/>
          </w:rPr>
          <w:t>Figure 5</w:t>
        </w:r>
        <w:r w:rsidR="00D243CD" w:rsidRPr="001964B2">
          <w:rPr>
            <w:rStyle w:val="Hyperlink"/>
            <w:rFonts w:eastAsia="Calibri"/>
            <w:noProof/>
          </w:rPr>
          <w:noBreakHyphen/>
          <w:t>20: “Potential” river plume risk maps of (left) the GBR; (middle) the Tully Herbert region and (right) the Burdekin region produced by a) the TC method in a) 2010, b) 2011, c) 2012. Maps have been smoothed twice with a 4 pixel majority filter (ArcGIS).</w:t>
        </w:r>
        <w:r w:rsidR="00D243CD">
          <w:rPr>
            <w:noProof/>
            <w:webHidden/>
          </w:rPr>
          <w:tab/>
        </w:r>
        <w:r w:rsidR="00D243CD">
          <w:rPr>
            <w:noProof/>
            <w:webHidden/>
          </w:rPr>
          <w:fldChar w:fldCharType="begin"/>
        </w:r>
        <w:r w:rsidR="00D243CD">
          <w:rPr>
            <w:noProof/>
            <w:webHidden/>
          </w:rPr>
          <w:instrText xml:space="preserve"> PAGEREF _Toc434208056 \h </w:instrText>
        </w:r>
        <w:r w:rsidR="00D243CD">
          <w:rPr>
            <w:noProof/>
            <w:webHidden/>
          </w:rPr>
        </w:r>
        <w:r w:rsidR="00D243CD">
          <w:rPr>
            <w:noProof/>
            <w:webHidden/>
          </w:rPr>
          <w:fldChar w:fldCharType="separate"/>
        </w:r>
        <w:r w:rsidR="00B62B50">
          <w:rPr>
            <w:noProof/>
            <w:webHidden/>
          </w:rPr>
          <w:t>84</w:t>
        </w:r>
        <w:r w:rsidR="00D243CD">
          <w:rPr>
            <w:noProof/>
            <w:webHidden/>
          </w:rPr>
          <w:fldChar w:fldCharType="end"/>
        </w:r>
      </w:hyperlink>
    </w:p>
    <w:p w14:paraId="0C3F7A9B" w14:textId="77777777" w:rsidR="00D243CD" w:rsidRDefault="00A2755C">
      <w:pPr>
        <w:pStyle w:val="TableofFigures"/>
        <w:tabs>
          <w:tab w:val="right" w:leader="dot" w:pos="9563"/>
        </w:tabs>
        <w:rPr>
          <w:rFonts w:eastAsiaTheme="minorEastAsia" w:cstheme="minorBidi"/>
          <w:noProof/>
          <w:lang w:val="en-US" w:eastAsia="en-US"/>
        </w:rPr>
      </w:pPr>
      <w:hyperlink w:anchor="_Toc434208057" w:history="1">
        <w:r w:rsidR="00D243CD" w:rsidRPr="001964B2">
          <w:rPr>
            <w:rStyle w:val="Hyperlink"/>
            <w:rFonts w:eastAsia="Calibri"/>
            <w:noProof/>
          </w:rPr>
          <w:t>Figure 5</w:t>
        </w:r>
        <w:r w:rsidR="00D243CD" w:rsidRPr="001964B2">
          <w:rPr>
            <w:rStyle w:val="Hyperlink"/>
            <w:rFonts w:eastAsia="Calibri"/>
            <w:noProof/>
          </w:rPr>
          <w:noBreakHyphen/>
          <w:t>21: relationships between the total GBR areas exposed to to the highest potential risk categories (III and IV, red line) to river plume and the total GBR river discharge (blue line, calculated as the sum of the Normanby, Daintree, Barron, Russell, Mulgrave, North Johnstone, South Johnstone, Tully, Herbert, Burdekin, O'Connell, Pioneer, Proserpine, Plane, Fitzroy, Burnett and Mary-river discharges for the whole hydrological year (i.e., from Oct-1 to Sep-30).</w:t>
        </w:r>
        <w:r w:rsidR="00D243CD">
          <w:rPr>
            <w:noProof/>
            <w:webHidden/>
          </w:rPr>
          <w:tab/>
        </w:r>
        <w:r w:rsidR="00D243CD">
          <w:rPr>
            <w:noProof/>
            <w:webHidden/>
          </w:rPr>
          <w:fldChar w:fldCharType="begin"/>
        </w:r>
        <w:r w:rsidR="00D243CD">
          <w:rPr>
            <w:noProof/>
            <w:webHidden/>
          </w:rPr>
          <w:instrText xml:space="preserve"> PAGEREF _Toc434208057 \h </w:instrText>
        </w:r>
        <w:r w:rsidR="00D243CD">
          <w:rPr>
            <w:noProof/>
            <w:webHidden/>
          </w:rPr>
        </w:r>
        <w:r w:rsidR="00D243CD">
          <w:rPr>
            <w:noProof/>
            <w:webHidden/>
          </w:rPr>
          <w:fldChar w:fldCharType="separate"/>
        </w:r>
        <w:r w:rsidR="00B62B50">
          <w:rPr>
            <w:noProof/>
            <w:webHidden/>
          </w:rPr>
          <w:t>84</w:t>
        </w:r>
        <w:r w:rsidR="00D243CD">
          <w:rPr>
            <w:noProof/>
            <w:webHidden/>
          </w:rPr>
          <w:fldChar w:fldCharType="end"/>
        </w:r>
      </w:hyperlink>
    </w:p>
    <w:p w14:paraId="0C3F7A9C" w14:textId="77777777" w:rsidR="00D243CD" w:rsidRDefault="00A2755C">
      <w:pPr>
        <w:pStyle w:val="TableofFigures"/>
        <w:tabs>
          <w:tab w:val="right" w:leader="dot" w:pos="9563"/>
        </w:tabs>
        <w:rPr>
          <w:rFonts w:eastAsiaTheme="minorEastAsia" w:cstheme="minorBidi"/>
          <w:noProof/>
          <w:lang w:val="en-US" w:eastAsia="en-US"/>
        </w:rPr>
      </w:pPr>
      <w:hyperlink w:anchor="_Toc434208058" w:history="1">
        <w:r w:rsidR="00D243CD" w:rsidRPr="001964B2">
          <w:rPr>
            <w:rStyle w:val="Hyperlink"/>
            <w:rFonts w:eastAsia="Calibri"/>
            <w:noProof/>
          </w:rPr>
          <w:t>Figure 5</w:t>
        </w:r>
        <w:r w:rsidR="00D243CD" w:rsidRPr="001964B2">
          <w:rPr>
            <w:rStyle w:val="Hyperlink"/>
            <w:rFonts w:eastAsia="Calibri"/>
            <w:noProof/>
          </w:rPr>
          <w:noBreakHyphen/>
          <w:t>22: Multi-annual (2007-2013) “potential” river plume risk maps of (left) the GBR; (middle) the Tully Herbert region and (right) the Burdekin region produced by a) the TC method. Maps have been smoothed twice with a 4 pixel majority filter (ArcGIS).</w:t>
        </w:r>
        <w:r w:rsidR="00D243CD">
          <w:rPr>
            <w:noProof/>
            <w:webHidden/>
          </w:rPr>
          <w:tab/>
        </w:r>
        <w:r w:rsidR="00D243CD">
          <w:rPr>
            <w:noProof/>
            <w:webHidden/>
          </w:rPr>
          <w:fldChar w:fldCharType="begin"/>
        </w:r>
        <w:r w:rsidR="00D243CD">
          <w:rPr>
            <w:noProof/>
            <w:webHidden/>
          </w:rPr>
          <w:instrText xml:space="preserve"> PAGEREF _Toc434208058 \h </w:instrText>
        </w:r>
        <w:r w:rsidR="00D243CD">
          <w:rPr>
            <w:noProof/>
            <w:webHidden/>
          </w:rPr>
        </w:r>
        <w:r w:rsidR="00D243CD">
          <w:rPr>
            <w:noProof/>
            <w:webHidden/>
          </w:rPr>
          <w:fldChar w:fldCharType="separate"/>
        </w:r>
        <w:r w:rsidR="00B62B50">
          <w:rPr>
            <w:noProof/>
            <w:webHidden/>
          </w:rPr>
          <w:t>85</w:t>
        </w:r>
        <w:r w:rsidR="00D243CD">
          <w:rPr>
            <w:noProof/>
            <w:webHidden/>
          </w:rPr>
          <w:fldChar w:fldCharType="end"/>
        </w:r>
      </w:hyperlink>
    </w:p>
    <w:p w14:paraId="0C3F7A9D" w14:textId="77777777" w:rsidR="00D243CD" w:rsidRDefault="00A2755C">
      <w:pPr>
        <w:pStyle w:val="TableofFigures"/>
        <w:tabs>
          <w:tab w:val="right" w:leader="dot" w:pos="9563"/>
        </w:tabs>
        <w:rPr>
          <w:rFonts w:eastAsiaTheme="minorEastAsia" w:cstheme="minorBidi"/>
          <w:noProof/>
          <w:lang w:val="en-US" w:eastAsia="en-US"/>
        </w:rPr>
      </w:pPr>
      <w:hyperlink w:anchor="_Toc434208059" w:history="1">
        <w:r w:rsidR="00D243CD" w:rsidRPr="001964B2">
          <w:rPr>
            <w:rStyle w:val="Hyperlink"/>
            <w:rFonts w:eastAsia="Calibri"/>
            <w:noProof/>
          </w:rPr>
          <w:t>Figure 5</w:t>
        </w:r>
        <w:r w:rsidR="00D243CD" w:rsidRPr="001964B2">
          <w:rPr>
            <w:rStyle w:val="Hyperlink"/>
            <w:rFonts w:eastAsia="Calibri"/>
            <w:noProof/>
          </w:rPr>
          <w:noBreakHyphen/>
          <w:t>23: mean multiannual (2007-2013) percentage (%, in grey) and areas (km</w:t>
        </w:r>
        <w:r w:rsidR="00D243CD" w:rsidRPr="001964B2">
          <w:rPr>
            <w:rStyle w:val="Hyperlink"/>
            <w:rFonts w:eastAsia="Calibri"/>
            <w:noProof/>
            <w:vertAlign w:val="superscript"/>
          </w:rPr>
          <w:t>2</w:t>
        </w:r>
        <w:r w:rsidR="00D243CD" w:rsidRPr="001964B2">
          <w:rPr>
            <w:rStyle w:val="Hyperlink"/>
            <w:rFonts w:eastAsia="Calibri"/>
            <w:noProof/>
          </w:rPr>
          <w:t>, in black) of a) coral reefs and b) total seagrass exposed to potential risk categories I</w:t>
        </w:r>
        <w:r w:rsidR="00D243CD">
          <w:rPr>
            <w:noProof/>
            <w:webHidden/>
          </w:rPr>
          <w:tab/>
        </w:r>
        <w:r w:rsidR="00D243CD">
          <w:rPr>
            <w:noProof/>
            <w:webHidden/>
          </w:rPr>
          <w:fldChar w:fldCharType="begin"/>
        </w:r>
        <w:r w:rsidR="00D243CD">
          <w:rPr>
            <w:noProof/>
            <w:webHidden/>
          </w:rPr>
          <w:instrText xml:space="preserve"> PAGEREF _Toc434208059 \h </w:instrText>
        </w:r>
        <w:r w:rsidR="00D243CD">
          <w:rPr>
            <w:noProof/>
            <w:webHidden/>
          </w:rPr>
        </w:r>
        <w:r w:rsidR="00D243CD">
          <w:rPr>
            <w:noProof/>
            <w:webHidden/>
          </w:rPr>
          <w:fldChar w:fldCharType="separate"/>
        </w:r>
        <w:r w:rsidR="00B62B50">
          <w:rPr>
            <w:noProof/>
            <w:webHidden/>
          </w:rPr>
          <w:t>86</w:t>
        </w:r>
        <w:r w:rsidR="00D243CD">
          <w:rPr>
            <w:noProof/>
            <w:webHidden/>
          </w:rPr>
          <w:fldChar w:fldCharType="end"/>
        </w:r>
      </w:hyperlink>
    </w:p>
    <w:p w14:paraId="0C3F7A9E" w14:textId="77777777" w:rsidR="007315EF" w:rsidRDefault="007315EF" w:rsidP="003D35D0">
      <w:pPr>
        <w:jc w:val="left"/>
        <w:rPr>
          <w:b/>
          <w:sz w:val="28"/>
          <w:szCs w:val="28"/>
        </w:rPr>
      </w:pPr>
      <w:r>
        <w:rPr>
          <w:b/>
          <w:sz w:val="28"/>
          <w:szCs w:val="28"/>
        </w:rPr>
        <w:fldChar w:fldCharType="end"/>
      </w:r>
      <w:r>
        <w:rPr>
          <w:b/>
          <w:sz w:val="28"/>
          <w:szCs w:val="28"/>
        </w:rPr>
        <w:br w:type="page"/>
      </w:r>
      <w:r>
        <w:rPr>
          <w:b/>
          <w:sz w:val="28"/>
          <w:szCs w:val="28"/>
        </w:rPr>
        <w:lastRenderedPageBreak/>
        <w:t>LIST OF TABLES</w:t>
      </w:r>
    </w:p>
    <w:p w14:paraId="0C3F7A9F" w14:textId="77777777" w:rsidR="00D243CD" w:rsidRDefault="007315EF">
      <w:pPr>
        <w:pStyle w:val="TableofFigures"/>
        <w:tabs>
          <w:tab w:val="right" w:leader="dot" w:pos="9563"/>
        </w:tabs>
        <w:rPr>
          <w:rFonts w:eastAsiaTheme="minorEastAsia" w:cstheme="minorBidi"/>
          <w:noProof/>
          <w:lang w:val="en-US" w:eastAsia="en-US"/>
        </w:rPr>
      </w:pPr>
      <w:r>
        <w:rPr>
          <w:b/>
          <w:sz w:val="28"/>
          <w:szCs w:val="28"/>
        </w:rPr>
        <w:fldChar w:fldCharType="begin"/>
      </w:r>
      <w:r>
        <w:rPr>
          <w:b/>
          <w:sz w:val="28"/>
          <w:szCs w:val="28"/>
        </w:rPr>
        <w:instrText xml:space="preserve"> TOC \h \z \c "Table" </w:instrText>
      </w:r>
      <w:r>
        <w:rPr>
          <w:b/>
          <w:sz w:val="28"/>
          <w:szCs w:val="28"/>
        </w:rPr>
        <w:fldChar w:fldCharType="separate"/>
      </w:r>
      <w:hyperlink w:anchor="_Toc434208060" w:history="1">
        <w:r w:rsidR="00D243CD" w:rsidRPr="00AE5AB4">
          <w:rPr>
            <w:rStyle w:val="Hyperlink"/>
            <w:noProof/>
          </w:rPr>
          <w:t>Table 1</w:t>
        </w:r>
        <w:r w:rsidR="00D243CD" w:rsidRPr="00AE5AB4">
          <w:rPr>
            <w:rStyle w:val="Hyperlink"/>
            <w:noProof/>
          </w:rPr>
          <w:noBreakHyphen/>
          <w:t>1: Summary of the sampling effort carried out in the 2012-13 wet season campaign by NRM, presenting the number of field trips per River/transect, sites sampled and the sampling period. Data in italics (Daintree – Mossman, Barron,Cape York, Burnett Mary) are not described in this report.</w:t>
        </w:r>
        <w:r w:rsidR="00D243CD">
          <w:rPr>
            <w:noProof/>
            <w:webHidden/>
          </w:rPr>
          <w:tab/>
        </w:r>
        <w:r w:rsidR="00D243CD">
          <w:rPr>
            <w:noProof/>
            <w:webHidden/>
          </w:rPr>
          <w:fldChar w:fldCharType="begin"/>
        </w:r>
        <w:r w:rsidR="00D243CD">
          <w:rPr>
            <w:noProof/>
            <w:webHidden/>
          </w:rPr>
          <w:instrText xml:space="preserve"> PAGEREF _Toc434208060 \h </w:instrText>
        </w:r>
        <w:r w:rsidR="00D243CD">
          <w:rPr>
            <w:noProof/>
            <w:webHidden/>
          </w:rPr>
        </w:r>
        <w:r w:rsidR="00D243CD">
          <w:rPr>
            <w:noProof/>
            <w:webHidden/>
          </w:rPr>
          <w:fldChar w:fldCharType="separate"/>
        </w:r>
        <w:r w:rsidR="00B62B50">
          <w:rPr>
            <w:noProof/>
            <w:webHidden/>
          </w:rPr>
          <w:t>2</w:t>
        </w:r>
        <w:r w:rsidR="00D243CD">
          <w:rPr>
            <w:noProof/>
            <w:webHidden/>
          </w:rPr>
          <w:fldChar w:fldCharType="end"/>
        </w:r>
      </w:hyperlink>
    </w:p>
    <w:p w14:paraId="0C3F7AA0" w14:textId="77777777" w:rsidR="00D243CD" w:rsidRDefault="00A2755C">
      <w:pPr>
        <w:pStyle w:val="TableofFigures"/>
        <w:tabs>
          <w:tab w:val="right" w:leader="dot" w:pos="9563"/>
        </w:tabs>
        <w:rPr>
          <w:rFonts w:eastAsiaTheme="minorEastAsia" w:cstheme="minorBidi"/>
          <w:noProof/>
          <w:lang w:val="en-US" w:eastAsia="en-US"/>
        </w:rPr>
      </w:pPr>
      <w:hyperlink w:anchor="_Toc434208061" w:history="1">
        <w:r w:rsidR="00D243CD" w:rsidRPr="00AE5AB4">
          <w:rPr>
            <w:rStyle w:val="Hyperlink"/>
            <w:noProof/>
          </w:rPr>
          <w:t>Table 1</w:t>
        </w:r>
        <w:r w:rsidR="00D243CD" w:rsidRPr="00AE5AB4">
          <w:rPr>
            <w:rStyle w:val="Hyperlink"/>
            <w:noProof/>
          </w:rPr>
          <w:noBreakHyphen/>
          <w:t>2: List of all water quality parameters collected as part of the MMP wet season water quality program.</w:t>
        </w:r>
        <w:r w:rsidR="00D243CD">
          <w:rPr>
            <w:noProof/>
            <w:webHidden/>
          </w:rPr>
          <w:tab/>
        </w:r>
        <w:r w:rsidR="00D243CD">
          <w:rPr>
            <w:noProof/>
            <w:webHidden/>
          </w:rPr>
          <w:fldChar w:fldCharType="begin"/>
        </w:r>
        <w:r w:rsidR="00D243CD">
          <w:rPr>
            <w:noProof/>
            <w:webHidden/>
          </w:rPr>
          <w:instrText xml:space="preserve"> PAGEREF _Toc434208061 \h </w:instrText>
        </w:r>
        <w:r w:rsidR="00D243CD">
          <w:rPr>
            <w:noProof/>
            <w:webHidden/>
          </w:rPr>
        </w:r>
        <w:r w:rsidR="00D243CD">
          <w:rPr>
            <w:noProof/>
            <w:webHidden/>
          </w:rPr>
          <w:fldChar w:fldCharType="separate"/>
        </w:r>
        <w:r w:rsidR="00B62B50">
          <w:rPr>
            <w:noProof/>
            <w:webHidden/>
          </w:rPr>
          <w:t>2</w:t>
        </w:r>
        <w:r w:rsidR="00D243CD">
          <w:rPr>
            <w:noProof/>
            <w:webHidden/>
          </w:rPr>
          <w:fldChar w:fldCharType="end"/>
        </w:r>
      </w:hyperlink>
    </w:p>
    <w:p w14:paraId="0C3F7AA1" w14:textId="77777777" w:rsidR="00D243CD" w:rsidRDefault="00A2755C">
      <w:pPr>
        <w:pStyle w:val="TableofFigures"/>
        <w:tabs>
          <w:tab w:val="right" w:leader="dot" w:pos="9563"/>
        </w:tabs>
        <w:rPr>
          <w:rFonts w:eastAsiaTheme="minorEastAsia" w:cstheme="minorBidi"/>
          <w:noProof/>
          <w:lang w:val="en-US" w:eastAsia="en-US"/>
        </w:rPr>
      </w:pPr>
      <w:hyperlink w:anchor="_Toc434208062" w:history="1">
        <w:r w:rsidR="00D243CD" w:rsidRPr="00AE5AB4">
          <w:rPr>
            <w:rStyle w:val="Hyperlink"/>
            <w:noProof/>
          </w:rPr>
          <w:t>Table 1</w:t>
        </w:r>
        <w:r w:rsidR="00D243CD" w:rsidRPr="00AE5AB4">
          <w:rPr>
            <w:rStyle w:val="Hyperlink"/>
            <w:noProof/>
          </w:rPr>
          <w:noBreakHyphen/>
          <w:t>3: Spearman’s rank correlation coefficients for the parameters for the Wet Tropics, Burdekin. All highlighted values are significant at p &lt; 0.01 and represent a correlation &gt;0.6 or &lt;-.06. Parameters listed in the table are surface salinity (Sal.), 5-day average discharge (Disch.), distance between the river mouth and the sampling site (Dist.), TSS, chlorophyll-a, TN, TDN, DIN, TP, TDP, DIP, PN, PP and Si.</w:t>
        </w:r>
        <w:r w:rsidR="00D243CD">
          <w:rPr>
            <w:noProof/>
            <w:webHidden/>
          </w:rPr>
          <w:tab/>
        </w:r>
        <w:r w:rsidR="00D243CD">
          <w:rPr>
            <w:noProof/>
            <w:webHidden/>
          </w:rPr>
          <w:fldChar w:fldCharType="begin"/>
        </w:r>
        <w:r w:rsidR="00D243CD">
          <w:rPr>
            <w:noProof/>
            <w:webHidden/>
          </w:rPr>
          <w:instrText xml:space="preserve"> PAGEREF _Toc434208062 \h </w:instrText>
        </w:r>
        <w:r w:rsidR="00D243CD">
          <w:rPr>
            <w:noProof/>
            <w:webHidden/>
          </w:rPr>
        </w:r>
        <w:r w:rsidR="00D243CD">
          <w:rPr>
            <w:noProof/>
            <w:webHidden/>
          </w:rPr>
          <w:fldChar w:fldCharType="separate"/>
        </w:r>
        <w:r w:rsidR="00B62B50">
          <w:rPr>
            <w:noProof/>
            <w:webHidden/>
          </w:rPr>
          <w:t>3</w:t>
        </w:r>
        <w:r w:rsidR="00D243CD">
          <w:rPr>
            <w:noProof/>
            <w:webHidden/>
          </w:rPr>
          <w:fldChar w:fldCharType="end"/>
        </w:r>
      </w:hyperlink>
    </w:p>
    <w:p w14:paraId="0C3F7AA2" w14:textId="77777777" w:rsidR="00D243CD" w:rsidRDefault="00A2755C">
      <w:pPr>
        <w:pStyle w:val="TableofFigures"/>
        <w:tabs>
          <w:tab w:val="right" w:leader="dot" w:pos="9563"/>
        </w:tabs>
        <w:rPr>
          <w:rFonts w:eastAsiaTheme="minorEastAsia" w:cstheme="minorBidi"/>
          <w:noProof/>
          <w:lang w:val="en-US" w:eastAsia="en-US"/>
        </w:rPr>
      </w:pPr>
      <w:hyperlink w:anchor="_Toc434208063" w:history="1">
        <w:r w:rsidR="00D243CD" w:rsidRPr="00AE5AB4">
          <w:rPr>
            <w:rStyle w:val="Hyperlink"/>
            <w:noProof/>
          </w:rPr>
          <w:t>Table 1</w:t>
        </w:r>
        <w:r w:rsidR="00D243CD" w:rsidRPr="00AE5AB4">
          <w:rPr>
            <w:rStyle w:val="Hyperlink"/>
            <w:noProof/>
          </w:rPr>
          <w:noBreakHyphen/>
          <w:t>4: Characteristics of Remote sensed products developed partly through MMP funding described against management outcomes.</w:t>
        </w:r>
        <w:r w:rsidR="00D243CD">
          <w:rPr>
            <w:noProof/>
            <w:webHidden/>
          </w:rPr>
          <w:tab/>
        </w:r>
        <w:r w:rsidR="00D243CD">
          <w:rPr>
            <w:noProof/>
            <w:webHidden/>
          </w:rPr>
          <w:fldChar w:fldCharType="begin"/>
        </w:r>
        <w:r w:rsidR="00D243CD">
          <w:rPr>
            <w:noProof/>
            <w:webHidden/>
          </w:rPr>
          <w:instrText xml:space="preserve"> PAGEREF _Toc434208063 \h </w:instrText>
        </w:r>
        <w:r w:rsidR="00D243CD">
          <w:rPr>
            <w:noProof/>
            <w:webHidden/>
          </w:rPr>
        </w:r>
        <w:r w:rsidR="00D243CD">
          <w:rPr>
            <w:noProof/>
            <w:webHidden/>
          </w:rPr>
          <w:fldChar w:fldCharType="separate"/>
        </w:r>
        <w:r w:rsidR="00B62B50">
          <w:rPr>
            <w:noProof/>
            <w:webHidden/>
          </w:rPr>
          <w:t>4</w:t>
        </w:r>
        <w:r w:rsidR="00D243CD">
          <w:rPr>
            <w:noProof/>
            <w:webHidden/>
          </w:rPr>
          <w:fldChar w:fldCharType="end"/>
        </w:r>
      </w:hyperlink>
    </w:p>
    <w:p w14:paraId="0C3F7AA3" w14:textId="77777777" w:rsidR="00D243CD" w:rsidRDefault="00A2755C">
      <w:pPr>
        <w:pStyle w:val="TableofFigures"/>
        <w:tabs>
          <w:tab w:val="right" w:leader="dot" w:pos="9563"/>
        </w:tabs>
        <w:rPr>
          <w:rFonts w:eastAsiaTheme="minorEastAsia" w:cstheme="minorBidi"/>
          <w:noProof/>
          <w:lang w:val="en-US" w:eastAsia="en-US"/>
        </w:rPr>
      </w:pPr>
      <w:hyperlink w:anchor="_Toc434208064" w:history="1">
        <w:r w:rsidR="00D243CD" w:rsidRPr="00AE5AB4">
          <w:rPr>
            <w:rStyle w:val="Hyperlink"/>
            <w:noProof/>
          </w:rPr>
          <w:t>Table 1</w:t>
        </w:r>
        <w:r w:rsidR="00D243CD" w:rsidRPr="00AE5AB4">
          <w:rPr>
            <w:rStyle w:val="Hyperlink"/>
            <w:noProof/>
          </w:rPr>
          <w:noBreakHyphen/>
          <w:t>5: Risk matrix in function of the magnitude and the likelihood of the river plume risk. Risk categories (I, II, III, IV, V)</w:t>
        </w:r>
        <w:r w:rsidR="00D243CD">
          <w:rPr>
            <w:noProof/>
            <w:webHidden/>
          </w:rPr>
          <w:tab/>
        </w:r>
        <w:r w:rsidR="00D243CD">
          <w:rPr>
            <w:noProof/>
            <w:webHidden/>
          </w:rPr>
          <w:fldChar w:fldCharType="begin"/>
        </w:r>
        <w:r w:rsidR="00D243CD">
          <w:rPr>
            <w:noProof/>
            <w:webHidden/>
          </w:rPr>
          <w:instrText xml:space="preserve"> PAGEREF _Toc434208064 \h </w:instrText>
        </w:r>
        <w:r w:rsidR="00D243CD">
          <w:rPr>
            <w:noProof/>
            <w:webHidden/>
          </w:rPr>
        </w:r>
        <w:r w:rsidR="00D243CD">
          <w:rPr>
            <w:noProof/>
            <w:webHidden/>
          </w:rPr>
          <w:fldChar w:fldCharType="separate"/>
        </w:r>
        <w:r w:rsidR="00B62B50">
          <w:rPr>
            <w:noProof/>
            <w:webHidden/>
          </w:rPr>
          <w:t>5</w:t>
        </w:r>
        <w:r w:rsidR="00D243CD">
          <w:rPr>
            <w:noProof/>
            <w:webHidden/>
          </w:rPr>
          <w:fldChar w:fldCharType="end"/>
        </w:r>
      </w:hyperlink>
    </w:p>
    <w:p w14:paraId="0C3F7AA4" w14:textId="77777777" w:rsidR="00D243CD" w:rsidRDefault="00A2755C">
      <w:pPr>
        <w:pStyle w:val="TableofFigures"/>
        <w:tabs>
          <w:tab w:val="right" w:leader="dot" w:pos="9563"/>
        </w:tabs>
        <w:rPr>
          <w:rFonts w:eastAsiaTheme="minorEastAsia" w:cstheme="minorBidi"/>
          <w:noProof/>
          <w:lang w:val="en-US" w:eastAsia="en-US"/>
        </w:rPr>
      </w:pPr>
      <w:hyperlink w:anchor="_Toc434208065" w:history="1">
        <w:r w:rsidR="00D243CD" w:rsidRPr="00AE5AB4">
          <w:rPr>
            <w:rStyle w:val="Hyperlink"/>
            <w:noProof/>
          </w:rPr>
          <w:t>Table 2</w:t>
        </w:r>
        <w:r w:rsidR="00D243CD" w:rsidRPr="00AE5AB4">
          <w:rPr>
            <w:rStyle w:val="Hyperlink"/>
            <w:noProof/>
          </w:rPr>
          <w:noBreakHyphen/>
          <w:t>1: Description of outputs related to the aims of the MMP wet season monitoring program.</w:t>
        </w:r>
        <w:r w:rsidR="00D243CD">
          <w:rPr>
            <w:noProof/>
            <w:webHidden/>
          </w:rPr>
          <w:tab/>
        </w:r>
        <w:r w:rsidR="00D243CD">
          <w:rPr>
            <w:noProof/>
            <w:webHidden/>
          </w:rPr>
          <w:fldChar w:fldCharType="begin"/>
        </w:r>
        <w:r w:rsidR="00D243CD">
          <w:rPr>
            <w:noProof/>
            <w:webHidden/>
          </w:rPr>
          <w:instrText xml:space="preserve"> PAGEREF _Toc434208065 \h </w:instrText>
        </w:r>
        <w:r w:rsidR="00D243CD">
          <w:rPr>
            <w:noProof/>
            <w:webHidden/>
          </w:rPr>
        </w:r>
        <w:r w:rsidR="00D243CD">
          <w:rPr>
            <w:noProof/>
            <w:webHidden/>
          </w:rPr>
          <w:fldChar w:fldCharType="separate"/>
        </w:r>
        <w:r w:rsidR="00B62B50">
          <w:rPr>
            <w:noProof/>
            <w:webHidden/>
          </w:rPr>
          <w:t>12</w:t>
        </w:r>
        <w:r w:rsidR="00D243CD">
          <w:rPr>
            <w:noProof/>
            <w:webHidden/>
          </w:rPr>
          <w:fldChar w:fldCharType="end"/>
        </w:r>
      </w:hyperlink>
    </w:p>
    <w:p w14:paraId="0C3F7AA5" w14:textId="77777777" w:rsidR="00D243CD" w:rsidRDefault="00A2755C">
      <w:pPr>
        <w:pStyle w:val="TableofFigures"/>
        <w:tabs>
          <w:tab w:val="right" w:leader="dot" w:pos="9563"/>
        </w:tabs>
        <w:rPr>
          <w:rFonts w:eastAsiaTheme="minorEastAsia" w:cstheme="minorBidi"/>
          <w:noProof/>
          <w:lang w:val="en-US" w:eastAsia="en-US"/>
        </w:rPr>
      </w:pPr>
      <w:hyperlink w:anchor="_Toc434208066" w:history="1">
        <w:r w:rsidR="00D243CD" w:rsidRPr="00AE5AB4">
          <w:rPr>
            <w:rStyle w:val="Hyperlink"/>
            <w:noProof/>
          </w:rPr>
          <w:t>Table 3</w:t>
        </w:r>
        <w:r w:rsidR="00D243CD" w:rsidRPr="00AE5AB4">
          <w:rPr>
            <w:rStyle w:val="Hyperlink"/>
            <w:noProof/>
          </w:rPr>
          <w:noBreakHyphen/>
          <w:t xml:space="preserve">1: Long term river discharge (ML) statistics of GBR rivers for the 2012-2013 hydrological year (c.a., Oct-1 to Sep-30), compared against the previous three hydrological years, and long-term (LT) medians, means and standard deviations (SD). Colours indicate levels above the long-term median: yellow for 1.5 to 2 times; orange for 2 to 3 times, and red for greater than 3 times. Long term statistics were calculated based on a hydrological year taking into account measurements from 1915 to 2000. (Data source: DNRM). </w:t>
        </w:r>
        <w:r w:rsidR="00D243CD" w:rsidRPr="00AE5AB4">
          <w:rPr>
            <w:rStyle w:val="Hyperlink"/>
            <w:rFonts w:cs="Arial"/>
            <w:noProof/>
          </w:rPr>
          <w:t>Discharge for Tully at Euramo station (113006A) for the dry season was estimated as 3.5941 times the Tully discharge at Gorge National Park station (113015A), based on a long-term discharge comparison for flows &lt; 20,000 ML/day (r-sq = 0.802).</w:t>
        </w:r>
        <w:r w:rsidR="00D243CD">
          <w:rPr>
            <w:noProof/>
            <w:webHidden/>
          </w:rPr>
          <w:tab/>
        </w:r>
        <w:r w:rsidR="00D243CD">
          <w:rPr>
            <w:noProof/>
            <w:webHidden/>
          </w:rPr>
          <w:fldChar w:fldCharType="begin"/>
        </w:r>
        <w:r w:rsidR="00D243CD">
          <w:rPr>
            <w:noProof/>
            <w:webHidden/>
          </w:rPr>
          <w:instrText xml:space="preserve"> PAGEREF _Toc434208066 \h </w:instrText>
        </w:r>
        <w:r w:rsidR="00D243CD">
          <w:rPr>
            <w:noProof/>
            <w:webHidden/>
          </w:rPr>
        </w:r>
        <w:r w:rsidR="00D243CD">
          <w:rPr>
            <w:noProof/>
            <w:webHidden/>
          </w:rPr>
          <w:fldChar w:fldCharType="separate"/>
        </w:r>
        <w:r w:rsidR="00B62B50">
          <w:rPr>
            <w:noProof/>
            <w:webHidden/>
          </w:rPr>
          <w:t>15</w:t>
        </w:r>
        <w:r w:rsidR="00D243CD">
          <w:rPr>
            <w:noProof/>
            <w:webHidden/>
          </w:rPr>
          <w:fldChar w:fldCharType="end"/>
        </w:r>
      </w:hyperlink>
    </w:p>
    <w:p w14:paraId="0C3F7AA6" w14:textId="77777777" w:rsidR="00D243CD" w:rsidRDefault="00A2755C">
      <w:pPr>
        <w:pStyle w:val="TableofFigures"/>
        <w:tabs>
          <w:tab w:val="right" w:leader="dot" w:pos="9563"/>
        </w:tabs>
        <w:rPr>
          <w:rFonts w:eastAsiaTheme="minorEastAsia" w:cstheme="minorBidi"/>
          <w:noProof/>
          <w:lang w:val="en-US" w:eastAsia="en-US"/>
        </w:rPr>
      </w:pPr>
      <w:hyperlink w:anchor="_Toc434208067" w:history="1">
        <w:r w:rsidR="00D243CD" w:rsidRPr="00AE5AB4">
          <w:rPr>
            <w:rStyle w:val="Hyperlink"/>
            <w:noProof/>
          </w:rPr>
          <w:t>Table 3</w:t>
        </w:r>
        <w:r w:rsidR="00D243CD" w:rsidRPr="00AE5AB4">
          <w:rPr>
            <w:rStyle w:val="Hyperlink"/>
            <w:noProof/>
          </w:rPr>
          <w:noBreakHyphen/>
          <w:t>2: The 75</w:t>
        </w:r>
        <w:r w:rsidR="00D243CD" w:rsidRPr="00AE5AB4">
          <w:rPr>
            <w:rStyle w:val="Hyperlink"/>
            <w:noProof/>
            <w:vertAlign w:val="superscript"/>
          </w:rPr>
          <w:t>th</w:t>
        </w:r>
        <w:r w:rsidR="00D243CD" w:rsidRPr="00AE5AB4">
          <w:rPr>
            <w:rStyle w:val="Hyperlink"/>
            <w:noProof/>
          </w:rPr>
          <w:t xml:space="preserve"> and 95</w:t>
        </w:r>
        <w:r w:rsidR="00D243CD" w:rsidRPr="00AE5AB4">
          <w:rPr>
            <w:rStyle w:val="Hyperlink"/>
            <w:noProof/>
            <w:vertAlign w:val="superscript"/>
          </w:rPr>
          <w:t>th</w:t>
        </w:r>
        <w:r w:rsidR="00D243CD" w:rsidRPr="00AE5AB4">
          <w:rPr>
            <w:rStyle w:val="Hyperlink"/>
            <w:noProof/>
          </w:rPr>
          <w:t xml:space="preserve"> percentile flow (ML/day) for the major GBR rivers (based on flow between the beginning of the station to 2012-09-30 obtained from DNRM).</w:t>
        </w:r>
        <w:r w:rsidR="00D243CD">
          <w:rPr>
            <w:noProof/>
            <w:webHidden/>
          </w:rPr>
          <w:tab/>
        </w:r>
        <w:r w:rsidR="00D243CD">
          <w:rPr>
            <w:noProof/>
            <w:webHidden/>
          </w:rPr>
          <w:fldChar w:fldCharType="begin"/>
        </w:r>
        <w:r w:rsidR="00D243CD">
          <w:rPr>
            <w:noProof/>
            <w:webHidden/>
          </w:rPr>
          <w:instrText xml:space="preserve"> PAGEREF _Toc434208067 \h </w:instrText>
        </w:r>
        <w:r w:rsidR="00D243CD">
          <w:rPr>
            <w:noProof/>
            <w:webHidden/>
          </w:rPr>
        </w:r>
        <w:r w:rsidR="00D243CD">
          <w:rPr>
            <w:noProof/>
            <w:webHidden/>
          </w:rPr>
          <w:fldChar w:fldCharType="separate"/>
        </w:r>
        <w:r w:rsidR="00B62B50">
          <w:rPr>
            <w:noProof/>
            <w:webHidden/>
          </w:rPr>
          <w:t>16</w:t>
        </w:r>
        <w:r w:rsidR="00D243CD">
          <w:rPr>
            <w:noProof/>
            <w:webHidden/>
          </w:rPr>
          <w:fldChar w:fldCharType="end"/>
        </w:r>
      </w:hyperlink>
    </w:p>
    <w:p w14:paraId="0C3F7AA7" w14:textId="77777777" w:rsidR="00D243CD" w:rsidRDefault="00A2755C">
      <w:pPr>
        <w:pStyle w:val="TableofFigures"/>
        <w:tabs>
          <w:tab w:val="right" w:leader="dot" w:pos="9563"/>
        </w:tabs>
        <w:rPr>
          <w:rFonts w:eastAsiaTheme="minorEastAsia" w:cstheme="minorBidi"/>
          <w:noProof/>
          <w:lang w:val="en-US" w:eastAsia="en-US"/>
        </w:rPr>
      </w:pPr>
      <w:hyperlink w:anchor="_Toc434208068" w:history="1">
        <w:r w:rsidR="00D243CD" w:rsidRPr="00AE5AB4">
          <w:rPr>
            <w:rStyle w:val="Hyperlink"/>
            <w:noProof/>
          </w:rPr>
          <w:t>Table 4</w:t>
        </w:r>
        <w:r w:rsidR="00D243CD" w:rsidRPr="00AE5AB4">
          <w:rPr>
            <w:rStyle w:val="Hyperlink"/>
            <w:noProof/>
          </w:rPr>
          <w:noBreakHyphen/>
          <w:t>1: Summary of the sampling effort carried out in the 2012-13 wet season campaign by NRM, presenting the number of field trips, sites sampled and the sampling period for each river visited within each NRMs.</w:t>
        </w:r>
        <w:r w:rsidR="00D243CD">
          <w:rPr>
            <w:noProof/>
            <w:webHidden/>
          </w:rPr>
          <w:tab/>
        </w:r>
        <w:r w:rsidR="00D243CD">
          <w:rPr>
            <w:noProof/>
            <w:webHidden/>
          </w:rPr>
          <w:fldChar w:fldCharType="begin"/>
        </w:r>
        <w:r w:rsidR="00D243CD">
          <w:rPr>
            <w:noProof/>
            <w:webHidden/>
          </w:rPr>
          <w:instrText xml:space="preserve"> PAGEREF _Toc434208068 \h </w:instrText>
        </w:r>
        <w:r w:rsidR="00D243CD">
          <w:rPr>
            <w:noProof/>
            <w:webHidden/>
          </w:rPr>
        </w:r>
        <w:r w:rsidR="00D243CD">
          <w:rPr>
            <w:noProof/>
            <w:webHidden/>
          </w:rPr>
          <w:fldChar w:fldCharType="separate"/>
        </w:r>
        <w:r w:rsidR="00B62B50">
          <w:rPr>
            <w:noProof/>
            <w:webHidden/>
          </w:rPr>
          <w:t>25</w:t>
        </w:r>
        <w:r w:rsidR="00D243CD">
          <w:rPr>
            <w:noProof/>
            <w:webHidden/>
          </w:rPr>
          <w:fldChar w:fldCharType="end"/>
        </w:r>
      </w:hyperlink>
    </w:p>
    <w:p w14:paraId="0C3F7AA8" w14:textId="77777777" w:rsidR="00D243CD" w:rsidRDefault="00A2755C">
      <w:pPr>
        <w:pStyle w:val="TableofFigures"/>
        <w:tabs>
          <w:tab w:val="right" w:leader="dot" w:pos="9563"/>
        </w:tabs>
        <w:rPr>
          <w:rFonts w:eastAsiaTheme="minorEastAsia" w:cstheme="minorBidi"/>
          <w:noProof/>
          <w:lang w:val="en-US" w:eastAsia="en-US"/>
        </w:rPr>
      </w:pPr>
      <w:hyperlink w:anchor="_Toc434208069" w:history="1">
        <w:r w:rsidR="00D243CD" w:rsidRPr="00AE5AB4">
          <w:rPr>
            <w:rStyle w:val="Hyperlink"/>
            <w:noProof/>
          </w:rPr>
          <w:t>Table 4</w:t>
        </w:r>
        <w:r w:rsidR="00D243CD" w:rsidRPr="00AE5AB4">
          <w:rPr>
            <w:rStyle w:val="Hyperlink"/>
            <w:noProof/>
          </w:rPr>
          <w:noBreakHyphen/>
          <w:t>2: Summary of chemical and biological parameters sampled for the MMP flood plume monitoring.</w:t>
        </w:r>
        <w:r w:rsidR="00D243CD">
          <w:rPr>
            <w:noProof/>
            <w:webHidden/>
          </w:rPr>
          <w:tab/>
        </w:r>
        <w:r w:rsidR="00D243CD">
          <w:rPr>
            <w:noProof/>
            <w:webHidden/>
          </w:rPr>
          <w:fldChar w:fldCharType="begin"/>
        </w:r>
        <w:r w:rsidR="00D243CD">
          <w:rPr>
            <w:noProof/>
            <w:webHidden/>
          </w:rPr>
          <w:instrText xml:space="preserve"> PAGEREF _Toc434208069 \h </w:instrText>
        </w:r>
        <w:r w:rsidR="00D243CD">
          <w:rPr>
            <w:noProof/>
            <w:webHidden/>
          </w:rPr>
        </w:r>
        <w:r w:rsidR="00D243CD">
          <w:rPr>
            <w:noProof/>
            <w:webHidden/>
          </w:rPr>
          <w:fldChar w:fldCharType="separate"/>
        </w:r>
        <w:r w:rsidR="00B62B50">
          <w:rPr>
            <w:noProof/>
            <w:webHidden/>
          </w:rPr>
          <w:t>29</w:t>
        </w:r>
        <w:r w:rsidR="00D243CD">
          <w:rPr>
            <w:noProof/>
            <w:webHidden/>
          </w:rPr>
          <w:fldChar w:fldCharType="end"/>
        </w:r>
      </w:hyperlink>
    </w:p>
    <w:p w14:paraId="0C3F7AA9" w14:textId="77777777" w:rsidR="00D243CD" w:rsidRDefault="00A2755C">
      <w:pPr>
        <w:pStyle w:val="TableofFigures"/>
        <w:tabs>
          <w:tab w:val="right" w:leader="dot" w:pos="9563"/>
        </w:tabs>
        <w:rPr>
          <w:rFonts w:eastAsiaTheme="minorEastAsia" w:cstheme="minorBidi"/>
          <w:noProof/>
          <w:lang w:val="en-US" w:eastAsia="en-US"/>
        </w:rPr>
      </w:pPr>
      <w:hyperlink w:anchor="_Toc434208070" w:history="1">
        <w:r w:rsidR="00D243CD" w:rsidRPr="00AE5AB4">
          <w:rPr>
            <w:rStyle w:val="Hyperlink"/>
            <w:noProof/>
          </w:rPr>
          <w:t>Table 4</w:t>
        </w:r>
        <w:r w:rsidR="00D243CD" w:rsidRPr="00AE5AB4">
          <w:rPr>
            <w:rStyle w:val="Hyperlink"/>
            <w:noProof/>
          </w:rPr>
          <w:noBreakHyphen/>
          <w:t>3: Summary of statistical analysis techniques exploring spatial variation applied to the WQ parameters sampled within the wet 2012-2013 wet season.</w:t>
        </w:r>
        <w:r w:rsidR="00D243CD">
          <w:rPr>
            <w:noProof/>
            <w:webHidden/>
          </w:rPr>
          <w:tab/>
        </w:r>
        <w:r w:rsidR="00D243CD">
          <w:rPr>
            <w:noProof/>
            <w:webHidden/>
          </w:rPr>
          <w:fldChar w:fldCharType="begin"/>
        </w:r>
        <w:r w:rsidR="00D243CD">
          <w:rPr>
            <w:noProof/>
            <w:webHidden/>
          </w:rPr>
          <w:instrText xml:space="preserve"> PAGEREF _Toc434208070 \h </w:instrText>
        </w:r>
        <w:r w:rsidR="00D243CD">
          <w:rPr>
            <w:noProof/>
            <w:webHidden/>
          </w:rPr>
        </w:r>
        <w:r w:rsidR="00D243CD">
          <w:rPr>
            <w:noProof/>
            <w:webHidden/>
          </w:rPr>
          <w:fldChar w:fldCharType="separate"/>
        </w:r>
        <w:r w:rsidR="00B62B50">
          <w:rPr>
            <w:noProof/>
            <w:webHidden/>
          </w:rPr>
          <w:t>30</w:t>
        </w:r>
        <w:r w:rsidR="00D243CD">
          <w:rPr>
            <w:noProof/>
            <w:webHidden/>
          </w:rPr>
          <w:fldChar w:fldCharType="end"/>
        </w:r>
      </w:hyperlink>
    </w:p>
    <w:p w14:paraId="0C3F7AAA" w14:textId="77777777" w:rsidR="00D243CD" w:rsidRDefault="00A2755C">
      <w:pPr>
        <w:pStyle w:val="TableofFigures"/>
        <w:tabs>
          <w:tab w:val="right" w:leader="dot" w:pos="9563"/>
        </w:tabs>
        <w:rPr>
          <w:rFonts w:eastAsiaTheme="minorEastAsia" w:cstheme="minorBidi"/>
          <w:noProof/>
          <w:lang w:val="en-US" w:eastAsia="en-US"/>
        </w:rPr>
      </w:pPr>
      <w:hyperlink w:anchor="_Toc434208071" w:history="1">
        <w:r w:rsidR="00D243CD" w:rsidRPr="00AE5AB4">
          <w:rPr>
            <w:rStyle w:val="Hyperlink"/>
            <w:noProof/>
          </w:rPr>
          <w:t>Table 4</w:t>
        </w:r>
        <w:r w:rsidR="00D243CD" w:rsidRPr="00AE5AB4">
          <w:rPr>
            <w:rStyle w:val="Hyperlink"/>
            <w:noProof/>
          </w:rPr>
          <w:noBreakHyphen/>
          <w:t>4: Long term wet season river discharge (ML, megalitre) statistics of five GBR rivers for the last 8 years (c.a., Nov-1 to Apr-30), compared against their long-term (LT) median. Colours indicate levels above the long term median: yellow for 1.5 to 2 times; orange for 2 to 3 times, and red for greater than 3 times. Long term statistics were calculated based on a hydrological year taking into account measurements from 1915 to 2000 (where data available). (Data source: DNRM).</w:t>
        </w:r>
        <w:r w:rsidR="00D243CD">
          <w:rPr>
            <w:noProof/>
            <w:webHidden/>
          </w:rPr>
          <w:tab/>
        </w:r>
        <w:r w:rsidR="00D243CD">
          <w:rPr>
            <w:noProof/>
            <w:webHidden/>
          </w:rPr>
          <w:fldChar w:fldCharType="begin"/>
        </w:r>
        <w:r w:rsidR="00D243CD">
          <w:rPr>
            <w:noProof/>
            <w:webHidden/>
          </w:rPr>
          <w:instrText xml:space="preserve"> PAGEREF _Toc434208071 \h </w:instrText>
        </w:r>
        <w:r w:rsidR="00D243CD">
          <w:rPr>
            <w:noProof/>
            <w:webHidden/>
          </w:rPr>
        </w:r>
        <w:r w:rsidR="00D243CD">
          <w:rPr>
            <w:noProof/>
            <w:webHidden/>
          </w:rPr>
          <w:fldChar w:fldCharType="separate"/>
        </w:r>
        <w:r w:rsidR="00B62B50">
          <w:rPr>
            <w:noProof/>
            <w:webHidden/>
          </w:rPr>
          <w:t>31</w:t>
        </w:r>
        <w:r w:rsidR="00D243CD">
          <w:rPr>
            <w:noProof/>
            <w:webHidden/>
          </w:rPr>
          <w:fldChar w:fldCharType="end"/>
        </w:r>
      </w:hyperlink>
    </w:p>
    <w:p w14:paraId="0C3F7AAB" w14:textId="77777777" w:rsidR="00D243CD" w:rsidRDefault="00A2755C">
      <w:pPr>
        <w:pStyle w:val="TableofFigures"/>
        <w:tabs>
          <w:tab w:val="right" w:leader="dot" w:pos="9563"/>
        </w:tabs>
        <w:rPr>
          <w:rFonts w:eastAsiaTheme="minorEastAsia" w:cstheme="minorBidi"/>
          <w:noProof/>
          <w:lang w:val="en-US" w:eastAsia="en-US"/>
        </w:rPr>
      </w:pPr>
      <w:hyperlink w:anchor="_Toc434208072" w:history="1">
        <w:r w:rsidR="00D243CD" w:rsidRPr="00AE5AB4">
          <w:rPr>
            <w:rStyle w:val="Hyperlink"/>
            <w:noProof/>
          </w:rPr>
          <w:t>Table 4</w:t>
        </w:r>
        <w:r w:rsidR="00D243CD" w:rsidRPr="00AE5AB4">
          <w:rPr>
            <w:rStyle w:val="Hyperlink"/>
            <w:noProof/>
          </w:rPr>
          <w:noBreakHyphen/>
          <w:t>5: Summary of transects that were completed and including in this report during the 2012-2013 wet season under the MMP program. Minimum (min), maximum (max), mean, standard deviation (SD) and the number of samples are calculated over multiple sites and multiple dates within each river plume water surface and are provided as a guidance of the range of values within each sampling transect.</w:t>
        </w:r>
        <w:r w:rsidR="00D243CD">
          <w:rPr>
            <w:noProof/>
            <w:webHidden/>
          </w:rPr>
          <w:tab/>
        </w:r>
        <w:r w:rsidR="00D243CD">
          <w:rPr>
            <w:noProof/>
            <w:webHidden/>
          </w:rPr>
          <w:fldChar w:fldCharType="begin"/>
        </w:r>
        <w:r w:rsidR="00D243CD">
          <w:rPr>
            <w:noProof/>
            <w:webHidden/>
          </w:rPr>
          <w:instrText xml:space="preserve"> PAGEREF _Toc434208072 \h </w:instrText>
        </w:r>
        <w:r w:rsidR="00D243CD">
          <w:rPr>
            <w:noProof/>
            <w:webHidden/>
          </w:rPr>
        </w:r>
        <w:r w:rsidR="00D243CD">
          <w:rPr>
            <w:noProof/>
            <w:webHidden/>
          </w:rPr>
          <w:fldChar w:fldCharType="separate"/>
        </w:r>
        <w:r w:rsidR="00B62B50">
          <w:rPr>
            <w:noProof/>
            <w:webHidden/>
          </w:rPr>
          <w:t>33</w:t>
        </w:r>
        <w:r w:rsidR="00D243CD">
          <w:rPr>
            <w:noProof/>
            <w:webHidden/>
          </w:rPr>
          <w:fldChar w:fldCharType="end"/>
        </w:r>
      </w:hyperlink>
    </w:p>
    <w:p w14:paraId="0C3F7AAC" w14:textId="77777777" w:rsidR="00D243CD" w:rsidRDefault="00A2755C">
      <w:pPr>
        <w:pStyle w:val="TableofFigures"/>
        <w:tabs>
          <w:tab w:val="right" w:leader="dot" w:pos="9563"/>
        </w:tabs>
        <w:rPr>
          <w:rFonts w:eastAsiaTheme="minorEastAsia" w:cstheme="minorBidi"/>
          <w:noProof/>
          <w:lang w:val="en-US" w:eastAsia="en-US"/>
        </w:rPr>
      </w:pPr>
      <w:hyperlink w:anchor="_Toc434208073" w:history="1">
        <w:r w:rsidR="00D243CD" w:rsidRPr="00AE5AB4">
          <w:rPr>
            <w:rStyle w:val="Hyperlink"/>
            <w:noProof/>
          </w:rPr>
          <w:t>Table 4</w:t>
        </w:r>
        <w:r w:rsidR="00D243CD" w:rsidRPr="00AE5AB4">
          <w:rPr>
            <w:rStyle w:val="Hyperlink"/>
            <w:noProof/>
          </w:rPr>
          <w:noBreakHyphen/>
          <w:t>6: Spearman’s rank correlation coefficients for the parameters from the Wet Tropics region. All highlighted values are significant at p &lt; 0.01 and represent a correlation &gt;0.6 or &lt;-.06. Parameter on the table are surface salinity (Sal.), 5-day average discharge (Disch.), distance between the river mouth and the sampling site (Dist.), TSS, chl-a TN, TDN, DIN, TP, TDP, DIP, PN, PP and Si.</w:t>
        </w:r>
        <w:r w:rsidR="00D243CD">
          <w:rPr>
            <w:noProof/>
            <w:webHidden/>
          </w:rPr>
          <w:tab/>
        </w:r>
        <w:r w:rsidR="00D243CD">
          <w:rPr>
            <w:noProof/>
            <w:webHidden/>
          </w:rPr>
          <w:fldChar w:fldCharType="begin"/>
        </w:r>
        <w:r w:rsidR="00D243CD">
          <w:rPr>
            <w:noProof/>
            <w:webHidden/>
          </w:rPr>
          <w:instrText xml:space="preserve"> PAGEREF _Toc434208073 \h </w:instrText>
        </w:r>
        <w:r w:rsidR="00D243CD">
          <w:rPr>
            <w:noProof/>
            <w:webHidden/>
          </w:rPr>
        </w:r>
        <w:r w:rsidR="00D243CD">
          <w:rPr>
            <w:noProof/>
            <w:webHidden/>
          </w:rPr>
          <w:fldChar w:fldCharType="separate"/>
        </w:r>
        <w:r w:rsidR="00B62B50">
          <w:rPr>
            <w:noProof/>
            <w:webHidden/>
          </w:rPr>
          <w:t>46</w:t>
        </w:r>
        <w:r w:rsidR="00D243CD">
          <w:rPr>
            <w:noProof/>
            <w:webHidden/>
          </w:rPr>
          <w:fldChar w:fldCharType="end"/>
        </w:r>
      </w:hyperlink>
    </w:p>
    <w:p w14:paraId="0C3F7AAD" w14:textId="77777777" w:rsidR="00D243CD" w:rsidRDefault="00A2755C">
      <w:pPr>
        <w:pStyle w:val="TableofFigures"/>
        <w:tabs>
          <w:tab w:val="right" w:leader="dot" w:pos="9563"/>
        </w:tabs>
        <w:rPr>
          <w:rFonts w:eastAsiaTheme="minorEastAsia" w:cstheme="minorBidi"/>
          <w:noProof/>
          <w:lang w:val="en-US" w:eastAsia="en-US"/>
        </w:rPr>
      </w:pPr>
      <w:hyperlink w:anchor="_Toc434208074" w:history="1">
        <w:r w:rsidR="00D243CD" w:rsidRPr="00AE5AB4">
          <w:rPr>
            <w:rStyle w:val="Hyperlink"/>
            <w:noProof/>
          </w:rPr>
          <w:t>Table 4</w:t>
        </w:r>
        <w:r w:rsidR="00D243CD" w:rsidRPr="00AE5AB4">
          <w:rPr>
            <w:rStyle w:val="Hyperlink"/>
            <w:noProof/>
          </w:rPr>
          <w:noBreakHyphen/>
          <w:t>7:  Spearman’s rank correlation coefficients for the parameters from Tully and Herbert rivers sampled more than 20 times in the Wet Tropics in the 2012-2013 wet season. All highlighted values are significant at p &lt; 0.01 and represent a correlation &gt;0.6 or &lt;-.06. Parameters listed in the table are surface salinity (Sal.), 5-day average discharge (Disch.), distance between the river mouth and the sampling site Dist.), TSS, chl-a TN, TDN, DIN, TP, TDP, DIP, PN, PP and Si.</w:t>
        </w:r>
        <w:r w:rsidR="00D243CD">
          <w:rPr>
            <w:noProof/>
            <w:webHidden/>
          </w:rPr>
          <w:tab/>
        </w:r>
        <w:r w:rsidR="00D243CD">
          <w:rPr>
            <w:noProof/>
            <w:webHidden/>
          </w:rPr>
          <w:fldChar w:fldCharType="begin"/>
        </w:r>
        <w:r w:rsidR="00D243CD">
          <w:rPr>
            <w:noProof/>
            <w:webHidden/>
          </w:rPr>
          <w:instrText xml:space="preserve"> PAGEREF _Toc434208074 \h </w:instrText>
        </w:r>
        <w:r w:rsidR="00D243CD">
          <w:rPr>
            <w:noProof/>
            <w:webHidden/>
          </w:rPr>
        </w:r>
        <w:r w:rsidR="00D243CD">
          <w:rPr>
            <w:noProof/>
            <w:webHidden/>
          </w:rPr>
          <w:fldChar w:fldCharType="separate"/>
        </w:r>
        <w:r w:rsidR="00B62B50">
          <w:rPr>
            <w:noProof/>
            <w:webHidden/>
          </w:rPr>
          <w:t>46</w:t>
        </w:r>
        <w:r w:rsidR="00D243CD">
          <w:rPr>
            <w:noProof/>
            <w:webHidden/>
          </w:rPr>
          <w:fldChar w:fldCharType="end"/>
        </w:r>
      </w:hyperlink>
    </w:p>
    <w:p w14:paraId="0C3F7AAE" w14:textId="77777777" w:rsidR="00D243CD" w:rsidRDefault="00A2755C">
      <w:pPr>
        <w:pStyle w:val="TableofFigures"/>
        <w:tabs>
          <w:tab w:val="right" w:leader="dot" w:pos="9563"/>
        </w:tabs>
        <w:rPr>
          <w:rFonts w:eastAsiaTheme="minorEastAsia" w:cstheme="minorBidi"/>
          <w:noProof/>
          <w:lang w:val="en-US" w:eastAsia="en-US"/>
        </w:rPr>
      </w:pPr>
      <w:hyperlink w:anchor="_Toc434208075" w:history="1">
        <w:r w:rsidR="00D243CD" w:rsidRPr="00AE5AB4">
          <w:rPr>
            <w:rStyle w:val="Hyperlink"/>
            <w:noProof/>
          </w:rPr>
          <w:t>Table 4</w:t>
        </w:r>
        <w:r w:rsidR="00D243CD" w:rsidRPr="00AE5AB4">
          <w:rPr>
            <w:rStyle w:val="Hyperlink"/>
            <w:noProof/>
          </w:rPr>
          <w:noBreakHyphen/>
          <w:t>8: Spearman’s rank correlation coefficients for the parameters from the Burdekin region. All highlighted values are significant at p &lt; 0.01 and represent a correlation &gt;0.6 or &lt;-.06. Parameter on the table are surface salinity (Sal.), 5-day average discharge (Disch.), distance between the river mouth and the sampling site (Dist.), TSS, chl-a, TN, TDN), DIN, TP, TDP, DIP, PN, PP and Si.</w:t>
        </w:r>
        <w:r w:rsidR="00D243CD">
          <w:rPr>
            <w:noProof/>
            <w:webHidden/>
          </w:rPr>
          <w:tab/>
        </w:r>
        <w:r w:rsidR="00D243CD">
          <w:rPr>
            <w:noProof/>
            <w:webHidden/>
          </w:rPr>
          <w:fldChar w:fldCharType="begin"/>
        </w:r>
        <w:r w:rsidR="00D243CD">
          <w:rPr>
            <w:noProof/>
            <w:webHidden/>
          </w:rPr>
          <w:instrText xml:space="preserve"> PAGEREF _Toc434208075 \h </w:instrText>
        </w:r>
        <w:r w:rsidR="00D243CD">
          <w:rPr>
            <w:noProof/>
            <w:webHidden/>
          </w:rPr>
        </w:r>
        <w:r w:rsidR="00D243CD">
          <w:rPr>
            <w:noProof/>
            <w:webHidden/>
          </w:rPr>
          <w:fldChar w:fldCharType="separate"/>
        </w:r>
        <w:r w:rsidR="00B62B50">
          <w:rPr>
            <w:noProof/>
            <w:webHidden/>
          </w:rPr>
          <w:t>47</w:t>
        </w:r>
        <w:r w:rsidR="00D243CD">
          <w:rPr>
            <w:noProof/>
            <w:webHidden/>
          </w:rPr>
          <w:fldChar w:fldCharType="end"/>
        </w:r>
      </w:hyperlink>
    </w:p>
    <w:p w14:paraId="0C3F7AAF" w14:textId="77777777" w:rsidR="00D243CD" w:rsidRDefault="00A2755C">
      <w:pPr>
        <w:pStyle w:val="TableofFigures"/>
        <w:tabs>
          <w:tab w:val="right" w:leader="dot" w:pos="9563"/>
        </w:tabs>
        <w:rPr>
          <w:rFonts w:eastAsiaTheme="minorEastAsia" w:cstheme="minorBidi"/>
          <w:noProof/>
          <w:lang w:val="en-US" w:eastAsia="en-US"/>
        </w:rPr>
      </w:pPr>
      <w:hyperlink w:anchor="_Toc434208076" w:history="1">
        <w:r w:rsidR="00D243CD" w:rsidRPr="00AE5AB4">
          <w:rPr>
            <w:rStyle w:val="Hyperlink"/>
            <w:noProof/>
          </w:rPr>
          <w:t>Table 4</w:t>
        </w:r>
        <w:r w:rsidR="00D243CD" w:rsidRPr="00AE5AB4">
          <w:rPr>
            <w:rStyle w:val="Hyperlink"/>
            <w:noProof/>
          </w:rPr>
          <w:noBreakHyphen/>
          <w:t>9: Mean, maximum and minimum WQ parameters concentrations measured at 4 of the most often sampled transects (i.e., Franklins, Tully to Sisters, Burdekin to Palm Island, and Fitzroy to Keppels) over the last 8 wet seasons (2006 – 2013). WQ parameters include TSS, chl-a TN, TP, DIN, DIP, PN, PP.</w:t>
        </w:r>
        <w:r w:rsidR="00D243CD">
          <w:rPr>
            <w:noProof/>
            <w:webHidden/>
          </w:rPr>
          <w:tab/>
        </w:r>
        <w:r w:rsidR="00D243CD">
          <w:rPr>
            <w:noProof/>
            <w:webHidden/>
          </w:rPr>
          <w:fldChar w:fldCharType="begin"/>
        </w:r>
        <w:r w:rsidR="00D243CD">
          <w:rPr>
            <w:noProof/>
            <w:webHidden/>
          </w:rPr>
          <w:instrText xml:space="preserve"> PAGEREF _Toc434208076 \h </w:instrText>
        </w:r>
        <w:r w:rsidR="00D243CD">
          <w:rPr>
            <w:noProof/>
            <w:webHidden/>
          </w:rPr>
        </w:r>
        <w:r w:rsidR="00D243CD">
          <w:rPr>
            <w:noProof/>
            <w:webHidden/>
          </w:rPr>
          <w:fldChar w:fldCharType="separate"/>
        </w:r>
        <w:r w:rsidR="00B62B50">
          <w:rPr>
            <w:noProof/>
            <w:webHidden/>
          </w:rPr>
          <w:t>48</w:t>
        </w:r>
        <w:r w:rsidR="00D243CD">
          <w:rPr>
            <w:noProof/>
            <w:webHidden/>
          </w:rPr>
          <w:fldChar w:fldCharType="end"/>
        </w:r>
      </w:hyperlink>
    </w:p>
    <w:p w14:paraId="0C3F7AB0" w14:textId="77777777" w:rsidR="00D243CD" w:rsidRDefault="00A2755C">
      <w:pPr>
        <w:pStyle w:val="TableofFigures"/>
        <w:tabs>
          <w:tab w:val="right" w:leader="dot" w:pos="9563"/>
        </w:tabs>
        <w:rPr>
          <w:rFonts w:eastAsiaTheme="minorEastAsia" w:cstheme="minorBidi"/>
          <w:noProof/>
          <w:lang w:val="en-US" w:eastAsia="en-US"/>
        </w:rPr>
      </w:pPr>
      <w:hyperlink w:anchor="_Toc434208077" w:history="1">
        <w:r w:rsidR="00D243CD" w:rsidRPr="00AE5AB4">
          <w:rPr>
            <w:rStyle w:val="Hyperlink"/>
            <w:noProof/>
          </w:rPr>
          <w:t>Table 4</w:t>
        </w:r>
        <w:r w:rsidR="00D243CD" w:rsidRPr="00AE5AB4">
          <w:rPr>
            <w:rStyle w:val="Hyperlink"/>
            <w:noProof/>
          </w:rPr>
          <w:noBreakHyphen/>
          <w:t>10: Spearman’s rank correlation coefficients form the four most frequent sampled transects over the GRB wide in the last 8 wet seasons. Values stand for correlation coefficient between the total wet season river discharge and the WQ parameters: include TSS, chl-a TN, TP, DIN, DIP, PN, PP. Highlighted values are significant at p &lt; 0.01.</w:t>
        </w:r>
        <w:r w:rsidR="00D243CD">
          <w:rPr>
            <w:noProof/>
            <w:webHidden/>
          </w:rPr>
          <w:tab/>
        </w:r>
        <w:r w:rsidR="00D243CD">
          <w:rPr>
            <w:noProof/>
            <w:webHidden/>
          </w:rPr>
          <w:fldChar w:fldCharType="begin"/>
        </w:r>
        <w:r w:rsidR="00D243CD">
          <w:rPr>
            <w:noProof/>
            <w:webHidden/>
          </w:rPr>
          <w:instrText xml:space="preserve"> PAGEREF _Toc434208077 \h </w:instrText>
        </w:r>
        <w:r w:rsidR="00D243CD">
          <w:rPr>
            <w:noProof/>
            <w:webHidden/>
          </w:rPr>
        </w:r>
        <w:r w:rsidR="00D243CD">
          <w:rPr>
            <w:noProof/>
            <w:webHidden/>
          </w:rPr>
          <w:fldChar w:fldCharType="separate"/>
        </w:r>
        <w:r w:rsidR="00B62B50">
          <w:rPr>
            <w:noProof/>
            <w:webHidden/>
          </w:rPr>
          <w:t>49</w:t>
        </w:r>
        <w:r w:rsidR="00D243CD">
          <w:rPr>
            <w:noProof/>
            <w:webHidden/>
          </w:rPr>
          <w:fldChar w:fldCharType="end"/>
        </w:r>
      </w:hyperlink>
    </w:p>
    <w:p w14:paraId="0C3F7AB1" w14:textId="77777777" w:rsidR="00D243CD" w:rsidRDefault="00A2755C">
      <w:pPr>
        <w:pStyle w:val="TableofFigures"/>
        <w:tabs>
          <w:tab w:val="right" w:leader="dot" w:pos="9563"/>
        </w:tabs>
        <w:rPr>
          <w:rFonts w:eastAsiaTheme="minorEastAsia" w:cstheme="minorBidi"/>
          <w:noProof/>
          <w:lang w:val="en-US" w:eastAsia="en-US"/>
        </w:rPr>
      </w:pPr>
      <w:hyperlink w:anchor="_Toc434208078" w:history="1">
        <w:r w:rsidR="00D243CD" w:rsidRPr="00AE5AB4">
          <w:rPr>
            <w:rStyle w:val="Hyperlink"/>
            <w:noProof/>
          </w:rPr>
          <w:t>Table 4</w:t>
        </w:r>
        <w:r w:rsidR="00D243CD" w:rsidRPr="00AE5AB4">
          <w:rPr>
            <w:rStyle w:val="Hyperlink"/>
            <w:noProof/>
          </w:rPr>
          <w:noBreakHyphen/>
          <w:t xml:space="preserve">11: </w:t>
        </w:r>
        <w:r w:rsidR="00D243CD" w:rsidRPr="00AE5AB4">
          <w:rPr>
            <w:rStyle w:val="Hyperlink"/>
            <w:rFonts w:cs="Courier New"/>
            <w:noProof/>
          </w:rPr>
          <w:t>Statistical summary of the multiple regression analysis. Number of data points, the general model r-squared and its p-value for each WQ component are shown in the left site of the table. The p-value and the percentage of contribution to the total r-squared for each predictor from the relative importance (number in brackets) are in the right side of the table. WQ components are sorted by general model r-squared, and numbers in bold stand for predictors not included in the GAMM analysis.</w:t>
        </w:r>
        <w:r w:rsidR="00D243CD">
          <w:rPr>
            <w:noProof/>
            <w:webHidden/>
          </w:rPr>
          <w:tab/>
        </w:r>
        <w:r w:rsidR="00D243CD">
          <w:rPr>
            <w:noProof/>
            <w:webHidden/>
          </w:rPr>
          <w:fldChar w:fldCharType="begin"/>
        </w:r>
        <w:r w:rsidR="00D243CD">
          <w:rPr>
            <w:noProof/>
            <w:webHidden/>
          </w:rPr>
          <w:instrText xml:space="preserve"> PAGEREF _Toc434208078 \h </w:instrText>
        </w:r>
        <w:r w:rsidR="00D243CD">
          <w:rPr>
            <w:noProof/>
            <w:webHidden/>
          </w:rPr>
        </w:r>
        <w:r w:rsidR="00D243CD">
          <w:rPr>
            <w:noProof/>
            <w:webHidden/>
          </w:rPr>
          <w:fldChar w:fldCharType="separate"/>
        </w:r>
        <w:r w:rsidR="00B62B50">
          <w:rPr>
            <w:noProof/>
            <w:webHidden/>
          </w:rPr>
          <w:t>51</w:t>
        </w:r>
        <w:r w:rsidR="00D243CD">
          <w:rPr>
            <w:noProof/>
            <w:webHidden/>
          </w:rPr>
          <w:fldChar w:fldCharType="end"/>
        </w:r>
      </w:hyperlink>
    </w:p>
    <w:p w14:paraId="0C3F7AB2" w14:textId="77777777" w:rsidR="00D243CD" w:rsidRDefault="00A2755C">
      <w:pPr>
        <w:pStyle w:val="TableofFigures"/>
        <w:tabs>
          <w:tab w:val="right" w:leader="dot" w:pos="9563"/>
        </w:tabs>
        <w:rPr>
          <w:rFonts w:eastAsiaTheme="minorEastAsia" w:cstheme="minorBidi"/>
          <w:noProof/>
          <w:lang w:val="en-US" w:eastAsia="en-US"/>
        </w:rPr>
      </w:pPr>
      <w:hyperlink w:anchor="_Toc434208079" w:history="1">
        <w:r w:rsidR="00D243CD" w:rsidRPr="00AE5AB4">
          <w:rPr>
            <w:rStyle w:val="Hyperlink"/>
            <w:noProof/>
          </w:rPr>
          <w:t>Table 5</w:t>
        </w:r>
        <w:r w:rsidR="00D243CD" w:rsidRPr="00AE5AB4">
          <w:rPr>
            <w:rStyle w:val="Hyperlink"/>
            <w:noProof/>
          </w:rPr>
          <w:noBreakHyphen/>
          <w:t xml:space="preserve">1: </w:t>
        </w:r>
        <w:r w:rsidR="00D243CD" w:rsidRPr="00AE5AB4">
          <w:rPr>
            <w:rStyle w:val="Hyperlink"/>
            <w:rFonts w:eastAsia="Calibri"/>
            <w:noProof/>
          </w:rPr>
          <w:t>Risk categories (I, II, III, and IV) in function of the magnitude and the likelihood of the river plume risk (modified from Petus et al., 2014b).</w:t>
        </w:r>
        <w:r w:rsidR="00D243CD">
          <w:rPr>
            <w:noProof/>
            <w:webHidden/>
          </w:rPr>
          <w:tab/>
        </w:r>
        <w:r w:rsidR="00D243CD">
          <w:rPr>
            <w:noProof/>
            <w:webHidden/>
          </w:rPr>
          <w:fldChar w:fldCharType="begin"/>
        </w:r>
        <w:r w:rsidR="00D243CD">
          <w:rPr>
            <w:noProof/>
            <w:webHidden/>
          </w:rPr>
          <w:instrText xml:space="preserve"> PAGEREF _Toc434208079 \h </w:instrText>
        </w:r>
        <w:r w:rsidR="00D243CD">
          <w:rPr>
            <w:noProof/>
            <w:webHidden/>
          </w:rPr>
        </w:r>
        <w:r w:rsidR="00D243CD">
          <w:rPr>
            <w:noProof/>
            <w:webHidden/>
          </w:rPr>
          <w:fldChar w:fldCharType="separate"/>
        </w:r>
        <w:r w:rsidR="00B62B50">
          <w:rPr>
            <w:noProof/>
            <w:webHidden/>
          </w:rPr>
          <w:t>59</w:t>
        </w:r>
        <w:r w:rsidR="00D243CD">
          <w:rPr>
            <w:noProof/>
            <w:webHidden/>
          </w:rPr>
          <w:fldChar w:fldCharType="end"/>
        </w:r>
      </w:hyperlink>
    </w:p>
    <w:p w14:paraId="0C3F7AB3" w14:textId="77777777" w:rsidR="00D243CD" w:rsidRDefault="00A2755C">
      <w:pPr>
        <w:pStyle w:val="TableofFigures"/>
        <w:tabs>
          <w:tab w:val="right" w:leader="dot" w:pos="9563"/>
        </w:tabs>
        <w:rPr>
          <w:rFonts w:eastAsiaTheme="minorEastAsia" w:cstheme="minorBidi"/>
          <w:noProof/>
          <w:lang w:val="en-US" w:eastAsia="en-US"/>
        </w:rPr>
      </w:pPr>
      <w:hyperlink w:anchor="_Toc434208080" w:history="1">
        <w:r w:rsidR="00D243CD" w:rsidRPr="00AE5AB4">
          <w:rPr>
            <w:rStyle w:val="Hyperlink"/>
            <w:noProof/>
          </w:rPr>
          <w:t>Table 5</w:t>
        </w:r>
        <w:r w:rsidR="00D243CD" w:rsidRPr="00AE5AB4">
          <w:rPr>
            <w:rStyle w:val="Hyperlink"/>
            <w:noProof/>
          </w:rPr>
          <w:noBreakHyphen/>
          <w:t xml:space="preserve">2: </w:t>
        </w:r>
        <w:r w:rsidR="00D243CD" w:rsidRPr="00AE5AB4">
          <w:rPr>
            <w:rStyle w:val="Hyperlink"/>
            <w:rFonts w:eastAsia="Calibri"/>
            <w:noProof/>
          </w:rPr>
          <w:t>inter-annual (2007-2012) areas (km</w:t>
        </w:r>
        <w:r w:rsidR="00D243CD" w:rsidRPr="00AE5AB4">
          <w:rPr>
            <w:rStyle w:val="Hyperlink"/>
            <w:rFonts w:eastAsia="Calibri"/>
            <w:noProof/>
            <w:vertAlign w:val="superscript"/>
          </w:rPr>
          <w:t>2</w:t>
        </w:r>
        <w:r w:rsidR="00D243CD" w:rsidRPr="00AE5AB4">
          <w:rPr>
            <w:rStyle w:val="Hyperlink"/>
            <w:rFonts w:eastAsia="Calibri"/>
            <w:noProof/>
          </w:rPr>
          <w:t>, left table) and percentage (%, right table) of the GBR under potential risk from river plume exposure.</w:t>
        </w:r>
        <w:r w:rsidR="00D243CD">
          <w:rPr>
            <w:noProof/>
            <w:webHidden/>
          </w:rPr>
          <w:tab/>
        </w:r>
        <w:r w:rsidR="00D243CD">
          <w:rPr>
            <w:noProof/>
            <w:webHidden/>
          </w:rPr>
          <w:fldChar w:fldCharType="begin"/>
        </w:r>
        <w:r w:rsidR="00D243CD">
          <w:rPr>
            <w:noProof/>
            <w:webHidden/>
          </w:rPr>
          <w:instrText xml:space="preserve"> PAGEREF _Toc434208080 \h </w:instrText>
        </w:r>
        <w:r w:rsidR="00D243CD">
          <w:rPr>
            <w:noProof/>
            <w:webHidden/>
          </w:rPr>
        </w:r>
        <w:r w:rsidR="00D243CD">
          <w:rPr>
            <w:noProof/>
            <w:webHidden/>
          </w:rPr>
          <w:fldChar w:fldCharType="separate"/>
        </w:r>
        <w:r w:rsidR="00B62B50">
          <w:rPr>
            <w:noProof/>
            <w:webHidden/>
          </w:rPr>
          <w:t>84</w:t>
        </w:r>
        <w:r w:rsidR="00D243CD">
          <w:rPr>
            <w:noProof/>
            <w:webHidden/>
          </w:rPr>
          <w:fldChar w:fldCharType="end"/>
        </w:r>
      </w:hyperlink>
    </w:p>
    <w:p w14:paraId="0C3F7AB4" w14:textId="77777777" w:rsidR="008F76C2" w:rsidRDefault="007315EF" w:rsidP="007315EF">
      <w:pPr>
        <w:sectPr w:rsidR="008F76C2" w:rsidSect="00571B6D">
          <w:headerReference w:type="first" r:id="rId24"/>
          <w:footerReference w:type="first" r:id="rId25"/>
          <w:pgSz w:w="11907" w:h="16840" w:code="9"/>
          <w:pgMar w:top="1418" w:right="1134" w:bottom="1134" w:left="1200" w:header="680" w:footer="851" w:gutter="0"/>
          <w:pgNumType w:fmt="lowerRoman" w:start="1"/>
          <w:cols w:space="708"/>
          <w:docGrid w:linePitch="326"/>
        </w:sectPr>
      </w:pPr>
      <w:r>
        <w:rPr>
          <w:b/>
          <w:sz w:val="28"/>
          <w:szCs w:val="28"/>
        </w:rPr>
        <w:fldChar w:fldCharType="end"/>
      </w:r>
    </w:p>
    <w:p w14:paraId="0C3F7AB5" w14:textId="77777777" w:rsidR="001758C6" w:rsidRPr="001758C6" w:rsidRDefault="001758C6" w:rsidP="001758C6">
      <w:pPr>
        <w:rPr>
          <w:b/>
          <w:sz w:val="32"/>
          <w:szCs w:val="32"/>
        </w:rPr>
      </w:pPr>
      <w:r w:rsidRPr="001758C6">
        <w:rPr>
          <w:b/>
          <w:sz w:val="32"/>
          <w:szCs w:val="32"/>
        </w:rPr>
        <w:lastRenderedPageBreak/>
        <w:t>Acronyms and Abbreviations</w:t>
      </w:r>
    </w:p>
    <w:p w14:paraId="0C3F7AB6" w14:textId="77777777" w:rsidR="001758C6" w:rsidRPr="00F339E7" w:rsidRDefault="001758C6" w:rsidP="001758C6">
      <w:r w:rsidRPr="00F339E7">
        <w:t xml:space="preserve">AIMS </w:t>
      </w:r>
      <w:r w:rsidRPr="00F339E7">
        <w:tab/>
        <w:t xml:space="preserve"> Australian Institute of Marine Science</w:t>
      </w:r>
    </w:p>
    <w:p w14:paraId="0C3F7AB7" w14:textId="77777777" w:rsidR="001758C6" w:rsidRPr="00F339E7" w:rsidRDefault="001758C6" w:rsidP="001758C6">
      <w:r w:rsidRPr="00F339E7">
        <w:t xml:space="preserve">CDOM </w:t>
      </w:r>
      <w:r w:rsidRPr="00F339E7">
        <w:tab/>
        <w:t xml:space="preserve"> Coloured Dissolved Organic Matter</w:t>
      </w:r>
    </w:p>
    <w:p w14:paraId="0C3F7AB8" w14:textId="77777777" w:rsidR="001758C6" w:rsidRPr="00F339E7" w:rsidRDefault="001758C6" w:rsidP="001758C6">
      <w:r w:rsidRPr="00F339E7">
        <w:t xml:space="preserve">Chl a </w:t>
      </w:r>
      <w:r w:rsidRPr="00F339E7">
        <w:tab/>
        <w:t xml:space="preserve">  a</w:t>
      </w:r>
    </w:p>
    <w:p w14:paraId="0C3F7AB9" w14:textId="77777777" w:rsidR="001758C6" w:rsidRPr="00F339E7" w:rsidRDefault="001758C6" w:rsidP="001758C6">
      <w:r w:rsidRPr="00F339E7">
        <w:t xml:space="preserve">CSIRO </w:t>
      </w:r>
      <w:r w:rsidRPr="00F339E7">
        <w:tab/>
        <w:t xml:space="preserve"> Commonwealth Scientific and Industrial Research Organisation</w:t>
      </w:r>
    </w:p>
    <w:p w14:paraId="0C3F7ABA" w14:textId="77777777" w:rsidR="001758C6" w:rsidRPr="00F339E7" w:rsidRDefault="001758C6" w:rsidP="001758C6">
      <w:r w:rsidRPr="00F339E7">
        <w:t xml:space="preserve">DNRM </w:t>
      </w:r>
      <w:r w:rsidRPr="00F339E7">
        <w:tab/>
        <w:t xml:space="preserve"> Queensland Department of Natural Resources and Mines</w:t>
      </w:r>
    </w:p>
    <w:p w14:paraId="0C3F7ABB" w14:textId="77777777" w:rsidR="001758C6" w:rsidRPr="00F339E7" w:rsidRDefault="001758C6" w:rsidP="001758C6">
      <w:r w:rsidRPr="00F339E7">
        <w:t xml:space="preserve">DIN </w:t>
      </w:r>
      <w:r w:rsidRPr="00F339E7">
        <w:tab/>
        <w:t xml:space="preserve"> Dissolved inorganic nitrogen</w:t>
      </w:r>
    </w:p>
    <w:p w14:paraId="0C3F7ABC" w14:textId="77777777" w:rsidR="001758C6" w:rsidRPr="00F339E7" w:rsidRDefault="001758C6" w:rsidP="001758C6">
      <w:r w:rsidRPr="00F339E7">
        <w:t xml:space="preserve">DIP </w:t>
      </w:r>
      <w:r w:rsidRPr="00F339E7">
        <w:tab/>
        <w:t xml:space="preserve"> Dissolved inorganic phosphorus</w:t>
      </w:r>
    </w:p>
    <w:p w14:paraId="0C3F7ABD" w14:textId="77777777" w:rsidR="001758C6" w:rsidRPr="00F339E7" w:rsidRDefault="001758C6" w:rsidP="001758C6">
      <w:r w:rsidRPr="00F339E7">
        <w:t xml:space="preserve">EnTox </w:t>
      </w:r>
      <w:r w:rsidRPr="00F339E7">
        <w:tab/>
        <w:t xml:space="preserve"> National Research Centre for Environmental Toxicology, University of Queensland</w:t>
      </w:r>
    </w:p>
    <w:p w14:paraId="0C3F7ABE" w14:textId="77777777" w:rsidR="001758C6" w:rsidRPr="00F339E7" w:rsidRDefault="001758C6" w:rsidP="001758C6">
      <w:r w:rsidRPr="00F339E7">
        <w:t xml:space="preserve">GBR </w:t>
      </w:r>
      <w:r w:rsidRPr="00F339E7">
        <w:tab/>
        <w:t xml:space="preserve"> Great Barrier Reef</w:t>
      </w:r>
    </w:p>
    <w:p w14:paraId="0C3F7ABF" w14:textId="77777777" w:rsidR="001758C6" w:rsidRPr="00F339E7" w:rsidRDefault="001758C6" w:rsidP="001758C6">
      <w:r w:rsidRPr="00F339E7">
        <w:t xml:space="preserve">GBRMPA </w:t>
      </w:r>
      <w:r w:rsidRPr="00F339E7">
        <w:tab/>
        <w:t xml:space="preserve"> Great Barrier Reef Marine Park Authority</w:t>
      </w:r>
    </w:p>
    <w:p w14:paraId="0C3F7AC0" w14:textId="77777777" w:rsidR="001758C6" w:rsidRPr="00F339E7" w:rsidRDefault="001758C6" w:rsidP="001758C6">
      <w:r w:rsidRPr="00F339E7">
        <w:t xml:space="preserve">JCU </w:t>
      </w:r>
      <w:r w:rsidRPr="00F339E7">
        <w:tab/>
        <w:t xml:space="preserve"> James Cook University</w:t>
      </w:r>
    </w:p>
    <w:p w14:paraId="0C3F7AC1" w14:textId="77777777" w:rsidR="00F339E7" w:rsidRPr="00F339E7" w:rsidRDefault="00F339E7" w:rsidP="00F339E7">
      <w:r w:rsidRPr="00F339E7">
        <w:t>Kd(PAR)</w:t>
      </w:r>
      <w:r w:rsidRPr="00F339E7">
        <w:tab/>
        <w:t>Diffuse vertical light attenuation coefficient in the Photosynthetically Active Radiation</w:t>
      </w:r>
    </w:p>
    <w:p w14:paraId="0C3F7AC2" w14:textId="77777777" w:rsidR="001758C6" w:rsidRPr="00F339E7" w:rsidRDefault="001758C6" w:rsidP="001758C6">
      <w:r w:rsidRPr="00F339E7">
        <w:t xml:space="preserve">ML </w:t>
      </w:r>
      <w:r w:rsidRPr="00F339E7">
        <w:tab/>
        <w:t xml:space="preserve"> Mega-litres</w:t>
      </w:r>
    </w:p>
    <w:p w14:paraId="0C3F7AC3" w14:textId="77777777" w:rsidR="001758C6" w:rsidRPr="00F339E7" w:rsidRDefault="001758C6" w:rsidP="001758C6">
      <w:r w:rsidRPr="00F339E7">
        <w:t xml:space="preserve">NASA </w:t>
      </w:r>
      <w:r w:rsidRPr="00F339E7">
        <w:tab/>
        <w:t xml:space="preserve"> National Aeronautics and Space Administration</w:t>
      </w:r>
    </w:p>
    <w:p w14:paraId="0C3F7AC4" w14:textId="77777777" w:rsidR="001758C6" w:rsidRPr="00F339E7" w:rsidRDefault="001758C6" w:rsidP="001758C6">
      <w:r w:rsidRPr="00F339E7">
        <w:t xml:space="preserve">NRM </w:t>
      </w:r>
      <w:r w:rsidRPr="00F339E7">
        <w:tab/>
        <w:t xml:space="preserve"> Natural Resource Management</w:t>
      </w:r>
    </w:p>
    <w:p w14:paraId="0C3F7AC5" w14:textId="77777777" w:rsidR="001758C6" w:rsidRPr="00F339E7" w:rsidRDefault="001758C6" w:rsidP="001758C6">
      <w:r w:rsidRPr="00F339E7">
        <w:t xml:space="preserve">NTU </w:t>
      </w:r>
      <w:r w:rsidRPr="00F339E7">
        <w:tab/>
        <w:t xml:space="preserve"> Nephelometric Turbidity Units</w:t>
      </w:r>
    </w:p>
    <w:p w14:paraId="0C3F7AC6" w14:textId="77777777" w:rsidR="001758C6" w:rsidRPr="00F339E7" w:rsidRDefault="001758C6" w:rsidP="001758C6">
      <w:r w:rsidRPr="00F339E7">
        <w:t xml:space="preserve">PN </w:t>
      </w:r>
      <w:r w:rsidRPr="00F339E7">
        <w:tab/>
        <w:t xml:space="preserve"> Particulate Nitrogen</w:t>
      </w:r>
    </w:p>
    <w:p w14:paraId="0C3F7AC7" w14:textId="77777777" w:rsidR="001758C6" w:rsidRPr="00F339E7" w:rsidRDefault="001758C6" w:rsidP="001758C6">
      <w:r w:rsidRPr="00F339E7">
        <w:t xml:space="preserve">PP </w:t>
      </w:r>
      <w:r w:rsidRPr="00F339E7">
        <w:tab/>
        <w:t xml:space="preserve"> Particulate Phosphorous</w:t>
      </w:r>
    </w:p>
    <w:p w14:paraId="0C3F7AC8" w14:textId="77777777" w:rsidR="001758C6" w:rsidRPr="00F339E7" w:rsidRDefault="001758C6" w:rsidP="001758C6">
      <w:r w:rsidRPr="00F339E7">
        <w:t xml:space="preserve">PSII herbicide </w:t>
      </w:r>
      <w:r w:rsidRPr="00F339E7">
        <w:tab/>
        <w:t xml:space="preserve"> Photosystem II inhibiting herbicide</w:t>
      </w:r>
    </w:p>
    <w:p w14:paraId="0C3F7AC9" w14:textId="77777777" w:rsidR="001758C6" w:rsidRPr="00F339E7" w:rsidRDefault="001758C6" w:rsidP="001758C6">
      <w:r w:rsidRPr="00F339E7">
        <w:t xml:space="preserve">PSII-HEq </w:t>
      </w:r>
      <w:r w:rsidRPr="00F339E7">
        <w:tab/>
        <w:t xml:space="preserve"> PSII – Herbicide Equivalent</w:t>
      </w:r>
    </w:p>
    <w:p w14:paraId="0C3F7ACA" w14:textId="77777777" w:rsidR="001758C6" w:rsidRPr="00F339E7" w:rsidRDefault="001758C6" w:rsidP="001758C6">
      <w:r w:rsidRPr="00F339E7">
        <w:t xml:space="preserve">QLD </w:t>
      </w:r>
      <w:r w:rsidRPr="00F339E7">
        <w:tab/>
        <w:t xml:space="preserve"> Queensland</w:t>
      </w:r>
    </w:p>
    <w:p w14:paraId="0C3F7ACB" w14:textId="77777777" w:rsidR="001758C6" w:rsidRPr="00F339E7" w:rsidRDefault="001758C6" w:rsidP="001758C6">
      <w:r w:rsidRPr="00F339E7">
        <w:t xml:space="preserve">SE </w:t>
      </w:r>
      <w:r w:rsidRPr="00F339E7">
        <w:tab/>
        <w:t xml:space="preserve"> Standard Error</w:t>
      </w:r>
    </w:p>
    <w:p w14:paraId="0C3F7ACC" w14:textId="77777777" w:rsidR="001758C6" w:rsidRPr="00F339E7" w:rsidRDefault="001758C6" w:rsidP="001758C6">
      <w:r w:rsidRPr="00F339E7">
        <w:t xml:space="preserve">SPM </w:t>
      </w:r>
      <w:r w:rsidRPr="00F339E7">
        <w:tab/>
        <w:t xml:space="preserve"> Suspended particulate matter</w:t>
      </w:r>
    </w:p>
    <w:p w14:paraId="0C3F7ACD" w14:textId="77777777" w:rsidR="001758C6" w:rsidRPr="00F339E7" w:rsidRDefault="001758C6" w:rsidP="001758C6">
      <w:r w:rsidRPr="00F339E7">
        <w:t xml:space="preserve">TSS </w:t>
      </w:r>
      <w:r w:rsidRPr="00F339E7">
        <w:tab/>
        <w:t xml:space="preserve"> Total suspended solids</w:t>
      </w:r>
    </w:p>
    <w:p w14:paraId="0C3F7ACE" w14:textId="77777777" w:rsidR="001758C6" w:rsidRPr="00F339E7" w:rsidRDefault="001758C6" w:rsidP="001758C6">
      <w:r w:rsidRPr="00F339E7">
        <w:t xml:space="preserve">OAC’s </w:t>
      </w:r>
      <w:r w:rsidRPr="00F339E7">
        <w:tab/>
        <w:t xml:space="preserve"> Optically active components</w:t>
      </w:r>
    </w:p>
    <w:p w14:paraId="0C3F7ACF" w14:textId="77777777" w:rsidR="008D3A01" w:rsidRPr="002C6A6F" w:rsidRDefault="008D3A01" w:rsidP="008D3A01">
      <w:pPr>
        <w:pStyle w:val="Heading1"/>
        <w:spacing w:after="240" w:line="80" w:lineRule="atLeast"/>
        <w:ind w:left="431" w:hanging="431"/>
      </w:pPr>
      <w:bookmarkStart w:id="1" w:name="_Toc410584186"/>
      <w:bookmarkStart w:id="2" w:name="_Toc416533837"/>
      <w:bookmarkStart w:id="3" w:name="_Toc434207975"/>
      <w:r>
        <w:lastRenderedPageBreak/>
        <w:t>About this Report</w:t>
      </w:r>
      <w:bookmarkEnd w:id="1"/>
      <w:bookmarkEnd w:id="2"/>
      <w:bookmarkEnd w:id="3"/>
    </w:p>
    <w:p w14:paraId="0C3F7AD0" w14:textId="77777777" w:rsidR="008D3A01" w:rsidRPr="002C6A6F" w:rsidRDefault="008D3A01" w:rsidP="008D3A01">
      <w:r w:rsidRPr="00F339E7">
        <w:t>This report</w:t>
      </w:r>
      <w:r w:rsidR="002453C9" w:rsidRPr="00F339E7">
        <w:t xml:space="preserve"> provides a </w:t>
      </w:r>
      <w:r w:rsidRPr="00F339E7">
        <w:t>synthesis of the key findings of research conducted</w:t>
      </w:r>
      <w:r w:rsidR="002453C9" w:rsidRPr="00F339E7">
        <w:t xml:space="preserve"> on </w:t>
      </w:r>
      <w:r w:rsidR="00F339E7" w:rsidRPr="00F339E7">
        <w:t xml:space="preserve">water quality collected through the 2012/20-13 wet season </w:t>
      </w:r>
      <w:r w:rsidR="002453C9" w:rsidRPr="00F339E7">
        <w:t xml:space="preserve">s in the Great Barrier Reef </w:t>
      </w:r>
      <w:r w:rsidR="00DC1820" w:rsidRPr="00F339E7">
        <w:t xml:space="preserve">(GBR) </w:t>
      </w:r>
      <w:r w:rsidR="002453C9" w:rsidRPr="00F339E7">
        <w:t>and is designed</w:t>
      </w:r>
      <w:r w:rsidR="00A01C78" w:rsidRPr="00F339E7">
        <w:t xml:space="preserve"> to update the previous </w:t>
      </w:r>
      <w:r w:rsidR="00F339E7" w:rsidRPr="00F339E7">
        <w:t>reports submitted under the Marine Monitoring Program.</w:t>
      </w:r>
      <w:r w:rsidR="002453C9" w:rsidRPr="00F339E7">
        <w:t xml:space="preserve"> The report was commissioned and supported by </w:t>
      </w:r>
      <w:r w:rsidR="00F339E7" w:rsidRPr="00F339E7">
        <w:t>Government funding under the Australian Government Reef Program and m</w:t>
      </w:r>
      <w:r w:rsidR="00F339E7">
        <w:t>anaged by</w:t>
      </w:r>
      <w:r w:rsidR="00F339E7" w:rsidRPr="00F339E7">
        <w:t xml:space="preserve"> the Great Barrier Reef Marine Park Authority.</w:t>
      </w:r>
      <w:r w:rsidR="00F339E7">
        <w:t xml:space="preserve"> </w:t>
      </w:r>
    </w:p>
    <w:p w14:paraId="0C3F7AD1" w14:textId="77777777" w:rsidR="008D3A01" w:rsidRPr="00FD22CB" w:rsidRDefault="008D3A01" w:rsidP="008D3A01">
      <w:pPr>
        <w:pStyle w:val="Heading1"/>
        <w:sectPr w:rsidR="008D3A01" w:rsidRPr="00FD22CB" w:rsidSect="00F40529">
          <w:footerReference w:type="even" r:id="rId26"/>
          <w:footerReference w:type="default" r:id="rId27"/>
          <w:pgSz w:w="11907" w:h="16840" w:code="9"/>
          <w:pgMar w:top="1418" w:right="1418" w:bottom="1418" w:left="1418" w:header="720" w:footer="720" w:gutter="0"/>
          <w:pgNumType w:fmt="lowerRoman"/>
          <w:cols w:space="720"/>
          <w:docGrid w:linePitch="360"/>
        </w:sectPr>
      </w:pPr>
    </w:p>
    <w:p w14:paraId="0C3F7AD2" w14:textId="77777777" w:rsidR="008D3A01" w:rsidRDefault="008D3A01" w:rsidP="00A76577">
      <w:pPr>
        <w:pStyle w:val="Heading1"/>
        <w:numPr>
          <w:ilvl w:val="0"/>
          <w:numId w:val="3"/>
        </w:numPr>
        <w:spacing w:after="240" w:line="80" w:lineRule="atLeast"/>
      </w:pPr>
      <w:bookmarkStart w:id="4" w:name="_Toc410584187"/>
      <w:bookmarkStart w:id="5" w:name="_Toc416533838"/>
      <w:bookmarkStart w:id="6" w:name="_Toc434207976"/>
      <w:r>
        <w:lastRenderedPageBreak/>
        <w:t>Executive summary</w:t>
      </w:r>
      <w:bookmarkEnd w:id="4"/>
      <w:bookmarkEnd w:id="5"/>
      <w:bookmarkEnd w:id="6"/>
    </w:p>
    <w:p w14:paraId="0C3F7AD3" w14:textId="77777777" w:rsidR="008D3A01" w:rsidRPr="008D3A01" w:rsidRDefault="008D3A01" w:rsidP="00A76577">
      <w:pPr>
        <w:pStyle w:val="Heading2"/>
        <w:keepNext/>
        <w:numPr>
          <w:ilvl w:val="1"/>
          <w:numId w:val="3"/>
        </w:numPr>
        <w:spacing w:line="80" w:lineRule="atLeast"/>
      </w:pPr>
      <w:bookmarkStart w:id="7" w:name="_Toc416533839"/>
      <w:bookmarkStart w:id="8" w:name="_Toc434207977"/>
      <w:r>
        <w:t>Scope of report</w:t>
      </w:r>
      <w:bookmarkEnd w:id="7"/>
      <w:bookmarkEnd w:id="8"/>
    </w:p>
    <w:p w14:paraId="0C3F7AD4" w14:textId="77777777" w:rsidR="00E838DF" w:rsidRPr="008926B3" w:rsidRDefault="00E838DF" w:rsidP="00E838DF">
      <w:bookmarkStart w:id="9" w:name="_Toc410584188"/>
      <w:r w:rsidRPr="008926B3">
        <w:t xml:space="preserve">The </w:t>
      </w:r>
      <w:r w:rsidR="00F339E7" w:rsidRPr="00F339E7">
        <w:t xml:space="preserve">Australian Government Reef Program </w:t>
      </w:r>
      <w:r w:rsidRPr="008926B3">
        <w:t xml:space="preserve">Marine Monitoring Program (herein referred to as the MMP) undertaken in the Great Barrier Reef (GBR) lagoon assesses the long-term effectiveness of the Australian and Queensland Government’s Reef Water Quality Protection Plan and the Australian Government Reef </w:t>
      </w:r>
      <w:r w:rsidR="007E5BBF">
        <w:t>Programme</w:t>
      </w:r>
      <w:r w:rsidRPr="008926B3">
        <w:t xml:space="preserve"> 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supported through Reef Plan. This report details the sampling that has taken place under the Marine Monitoring Program: Terrestrial dischar</w:t>
      </w:r>
      <w:r w:rsidR="007E5614">
        <w:t xml:space="preserve">ge into the Great Barrier Reef </w:t>
      </w:r>
      <w:r w:rsidRPr="008926B3">
        <w:t>for the 2012/13 sampling year, led by James Cook University (JCU). The sampling in the 2012-2013 wet season was carried out in conjunction with CSIRO and</w:t>
      </w:r>
      <w:r w:rsidR="007E5614">
        <w:t xml:space="preserve"> the</w:t>
      </w:r>
      <w:r w:rsidRPr="008926B3">
        <w:t xml:space="preserve"> eReefs</w:t>
      </w:r>
      <w:r w:rsidR="007E5614">
        <w:t xml:space="preserve"> program </w:t>
      </w:r>
      <w:r w:rsidRPr="008926B3">
        <w:t xml:space="preserve">which allowed us to sample with increased frequency over much larger spatial scales </w:t>
      </w:r>
    </w:p>
    <w:p w14:paraId="0C3F7AD5" w14:textId="77777777" w:rsidR="00E838DF" w:rsidRPr="003B4D09" w:rsidRDefault="00E838DF" w:rsidP="00E838DF">
      <w:r w:rsidRPr="003B4D09">
        <w:t>The main objective of wet season monitoring under the Marine Monitoring Program (MMP) is to describe water quality (WQ) concentrations within wet season conditions</w:t>
      </w:r>
      <w:r>
        <w:t xml:space="preserve">, characterise the spatial and temporal variability associated with flood plumes and </w:t>
      </w:r>
      <w:r w:rsidRPr="003B4D09">
        <w:t>produce maps of river plumes</w:t>
      </w:r>
      <w:r>
        <w:t xml:space="preserve"> and </w:t>
      </w:r>
      <w:r w:rsidRPr="003B4D09">
        <w:t>models that summarize land-sourced contaminants transport</w:t>
      </w:r>
      <w:r>
        <w:t>. Ultimately the integration of all these methods in a</w:t>
      </w:r>
      <w:r w:rsidRPr="003B4D09">
        <w:t xml:space="preserve"> single risk assessment framework </w:t>
      </w:r>
      <w:r>
        <w:t>would provide a baseline to</w:t>
      </w:r>
      <w:r w:rsidRPr="003B4D09">
        <w:t xml:space="preserve"> evaluate the susceptibility of GBR key ecosystems to the river plume/pollutants exposure i.e., to model the risk of GBR ecosystem due to exposure to river plumes</w:t>
      </w:r>
      <w:r>
        <w:t xml:space="preserve"> and acute water quality conditions</w:t>
      </w:r>
      <w:r w:rsidRPr="003B4D09">
        <w:t>.</w:t>
      </w:r>
    </w:p>
    <w:p w14:paraId="0C3F7AD6" w14:textId="77777777" w:rsidR="008D3A01" w:rsidRDefault="007315EF" w:rsidP="00A76577">
      <w:pPr>
        <w:pStyle w:val="Heading2"/>
        <w:keepNext/>
        <w:numPr>
          <w:ilvl w:val="1"/>
          <w:numId w:val="3"/>
        </w:numPr>
        <w:spacing w:line="80" w:lineRule="atLeast"/>
      </w:pPr>
      <w:bookmarkStart w:id="10" w:name="_Toc434207978"/>
      <w:bookmarkEnd w:id="9"/>
      <w:r>
        <w:t>Characteristics of the 2012-2013 Wet Season</w:t>
      </w:r>
      <w:bookmarkEnd w:id="10"/>
    </w:p>
    <w:p w14:paraId="0C3F7AD7" w14:textId="77777777" w:rsidR="00E838DF" w:rsidRPr="00FE18E3" w:rsidRDefault="00E838DF" w:rsidP="00E838DF">
      <w:r w:rsidRPr="00FE18E3">
        <w:t>The wet season 2013 was characterised by neutral (neither El Niño nor La Niña) to borderline El Niño climatic conditions and tropical cyclone activity for the 2012-12 wet season was slightly below the typical cyclone season activity of Queensland. Two main flood periods were recorded in the river hydrographs: around the 25</w:t>
      </w:r>
      <w:r w:rsidRPr="00E838DF">
        <w:rPr>
          <w:vertAlign w:val="superscript"/>
        </w:rPr>
        <w:t>th</w:t>
      </w:r>
      <w:r w:rsidRPr="00FE18E3">
        <w:t xml:space="preserve"> of January and the 11</w:t>
      </w:r>
      <w:r w:rsidRPr="00E838DF">
        <w:rPr>
          <w:vertAlign w:val="superscript"/>
        </w:rPr>
        <w:t>th</w:t>
      </w:r>
      <w:r w:rsidRPr="00FE18E3">
        <w:t xml:space="preserve"> of February under the influence of Tropical Cyclone Oswald and around the 24th of February and 18</w:t>
      </w:r>
      <w:r w:rsidRPr="00E838DF">
        <w:rPr>
          <w:vertAlign w:val="superscript"/>
        </w:rPr>
        <w:t>th</w:t>
      </w:r>
      <w:r w:rsidRPr="00FE18E3">
        <w:t xml:space="preserve"> of March. Maximum river plume aerial extents were recorded between these dates.</w:t>
      </w:r>
    </w:p>
    <w:p w14:paraId="0C3F7AD8" w14:textId="77777777" w:rsidR="008D3A01" w:rsidRDefault="008D3A01" w:rsidP="00A76577">
      <w:pPr>
        <w:pStyle w:val="Heading2"/>
        <w:keepNext/>
        <w:numPr>
          <w:ilvl w:val="1"/>
          <w:numId w:val="3"/>
        </w:numPr>
        <w:spacing w:line="80" w:lineRule="atLeast"/>
      </w:pPr>
      <w:r>
        <w:rPr>
          <w:rFonts w:ascii="Arial" w:hAnsi="Arial" w:cs="Arial"/>
        </w:rPr>
        <w:t xml:space="preserve"> </w:t>
      </w:r>
      <w:bookmarkStart w:id="11" w:name="_Toc434207979"/>
      <w:r w:rsidR="00E838DF" w:rsidRPr="00E838DF">
        <w:rPr>
          <w:i/>
        </w:rPr>
        <w:t>In-Situ</w:t>
      </w:r>
      <w:r w:rsidR="00E838DF">
        <w:t xml:space="preserve"> Water Quality</w:t>
      </w:r>
      <w:bookmarkEnd w:id="11"/>
    </w:p>
    <w:p w14:paraId="0C3F7AD9" w14:textId="77777777" w:rsidR="00E838DF" w:rsidRDefault="00E838DF" w:rsidP="00E838DF">
      <w:r w:rsidRPr="007E554A">
        <w:t>Sampling of flood plumes was successfully conducted during the 201</w:t>
      </w:r>
      <w:r>
        <w:t>2</w:t>
      </w:r>
      <w:r w:rsidRPr="007E554A">
        <w:t>-1</w:t>
      </w:r>
      <w:r>
        <w:t>3</w:t>
      </w:r>
      <w:r w:rsidRPr="007E554A">
        <w:t xml:space="preserve"> wet season </w:t>
      </w:r>
      <w:r>
        <w:t xml:space="preserve">with four </w:t>
      </w:r>
      <w:r w:rsidRPr="007E5614">
        <w:rPr>
          <w:rStyle w:val="Emphasis"/>
          <w:i w:val="0"/>
        </w:rPr>
        <w:t>Natural Resource Management</w:t>
      </w:r>
      <w:r w:rsidRPr="007E5614">
        <w:rPr>
          <w:rStyle w:val="st"/>
          <w:i/>
        </w:rPr>
        <w:t xml:space="preserve"> (</w:t>
      </w:r>
      <w:r w:rsidRPr="007E5614">
        <w:rPr>
          <w:rStyle w:val="Emphasis"/>
          <w:i w:val="0"/>
        </w:rPr>
        <w:t>NRM</w:t>
      </w:r>
      <w:r w:rsidRPr="007E5614">
        <w:rPr>
          <w:rStyle w:val="st"/>
        </w:rPr>
        <w:t xml:space="preserve">) areas sampled </w:t>
      </w:r>
      <w:r w:rsidRPr="007E5614">
        <w:t xml:space="preserve">over the GBR: Cape York, Wet Tropics, Burdekin and Burnett-Mary. A total of 201 sites were visited in the 2012-13 wet season with 63 sampled in the Cape York, 90 in the Wet Tropics, 36 in the Burdekin and 12 sites in the Burnett-Mary region (Table </w:t>
      </w:r>
      <w:r w:rsidR="005F5C7F">
        <w:t>1</w:t>
      </w:r>
      <w:r w:rsidRPr="007E5614">
        <w:t xml:space="preserve">-1). The data from the Wet Tropics and Burdekin are described in this report, with data collected in Cape York analysed and reported in a </w:t>
      </w:r>
      <w:r w:rsidR="00362A9F" w:rsidRPr="007E5614">
        <w:t>standalone</w:t>
      </w:r>
      <w:r w:rsidRPr="007E5614">
        <w:t xml:space="preserve"> report </w:t>
      </w:r>
      <w:r w:rsidR="00F339E7" w:rsidRPr="007E5614">
        <w:t>(Howley et al., 2015</w:t>
      </w:r>
      <w:r w:rsidRPr="007E5614">
        <w:t>) and the Burnett-Mary data collected and reported to the Burnett Mary Regional Group (da Silva et al., 2015).</w:t>
      </w:r>
    </w:p>
    <w:p w14:paraId="0C3F7ADA" w14:textId="77777777" w:rsidR="00E838DF" w:rsidRDefault="00E838DF" w:rsidP="00E838DF">
      <w:r w:rsidRPr="007E554A">
        <w:t xml:space="preserve">Sampling within water associated with </w:t>
      </w:r>
      <w:r>
        <w:t>the formation and transport of river</w:t>
      </w:r>
      <w:r w:rsidRPr="007E554A">
        <w:t xml:space="preserve"> flood plumes included the collection of water samples</w:t>
      </w:r>
      <w:r>
        <w:t xml:space="preserve"> listed in Table </w:t>
      </w:r>
      <w:r w:rsidR="005F5C7F">
        <w:t>1-2</w:t>
      </w:r>
      <w:r>
        <w:t>. Terminology for each parameter is listed in this table and will be used for the remainder of the report. Some parameters listed in Table</w:t>
      </w:r>
      <w:r w:rsidR="009C4D9F">
        <w:t xml:space="preserve"> 1-2</w:t>
      </w:r>
      <w:r>
        <w:t xml:space="preserve"> were not reported on in this </w:t>
      </w:r>
      <w:r w:rsidR="007E5614">
        <w:t>report, including phytoplankton</w:t>
      </w:r>
      <w:r w:rsidR="009C4D9F">
        <w:t>,</w:t>
      </w:r>
      <w:r>
        <w:t xml:space="preserve"> due to limited number of samples</w:t>
      </w:r>
      <w:r w:rsidR="009C4D9F">
        <w:t>,</w:t>
      </w:r>
      <w:r w:rsidR="007E5614">
        <w:t xml:space="preserve"> and </w:t>
      </w:r>
      <w:r>
        <w:t xml:space="preserve">PSII </w:t>
      </w:r>
      <w:r w:rsidRPr="005F5C7F">
        <w:t>herbicides, reported in</w:t>
      </w:r>
      <w:r w:rsidR="007E5614" w:rsidRPr="005F5C7F">
        <w:t xml:space="preserve"> detail in </w:t>
      </w:r>
      <w:r w:rsidR="005F5C7F">
        <w:t>Gallen</w:t>
      </w:r>
      <w:r w:rsidR="005031BD" w:rsidRPr="005F5C7F">
        <w:t xml:space="preserve"> et al.</w:t>
      </w:r>
      <w:r w:rsidR="00D23397">
        <w:t xml:space="preserve"> (</w:t>
      </w:r>
      <w:r w:rsidR="005031BD" w:rsidRPr="005F5C7F">
        <w:t>201</w:t>
      </w:r>
      <w:r w:rsidR="005F5C7F" w:rsidRPr="005F5C7F">
        <w:t>3</w:t>
      </w:r>
      <w:r w:rsidR="00D23397">
        <w:t>).</w:t>
      </w:r>
    </w:p>
    <w:p w14:paraId="0C3F7ADB" w14:textId="77777777" w:rsidR="00110A7F" w:rsidRDefault="00110A7F" w:rsidP="00110A7F">
      <w:pPr>
        <w:pStyle w:val="Caption"/>
      </w:pPr>
      <w:bookmarkStart w:id="12" w:name="_Toc434208060"/>
      <w:r w:rsidRPr="00E838DF">
        <w:lastRenderedPageBreak/>
        <w:t xml:space="preserve">Table </w:t>
      </w:r>
      <w:r w:rsidR="00AE4287">
        <w:fldChar w:fldCharType="begin"/>
      </w:r>
      <w:r w:rsidR="00AE4287">
        <w:instrText xml:space="preserve"> STYLEREF 1 \s </w:instrText>
      </w:r>
      <w:r w:rsidR="00AE4287">
        <w:fldChar w:fldCharType="separate"/>
      </w:r>
      <w:r w:rsidR="00B62B50">
        <w:rPr>
          <w:noProof/>
        </w:rPr>
        <w:t>1</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1</w:t>
      </w:r>
      <w:r w:rsidR="00AE4287">
        <w:fldChar w:fldCharType="end"/>
      </w:r>
      <w:r w:rsidRPr="00E838DF">
        <w:t>: Summary of the sampling effort carried out in the 2012-13 wet season campaign by NRM, presenting the number of field trips per River/transect, sites sampled and the sampling period. Data in italics (</w:t>
      </w:r>
      <w:r w:rsidR="009C4D9F">
        <w:t>Daintree – Mossman, Barron,</w:t>
      </w:r>
      <w:r w:rsidRPr="00E838DF">
        <w:t>Cape York, Burnett Mary</w:t>
      </w:r>
      <w:r w:rsidR="009C4D9F">
        <w:t>)</w:t>
      </w:r>
      <w:r w:rsidRPr="00E838DF">
        <w:t xml:space="preserve"> are not described in this report</w:t>
      </w:r>
      <w:r w:rsidR="009C4D9F">
        <w:t>.</w:t>
      </w:r>
      <w:bookmarkEnd w:id="12"/>
    </w:p>
    <w:tbl>
      <w:tblPr>
        <w:tblW w:w="9306" w:type="dxa"/>
        <w:tblInd w:w="93" w:type="dxa"/>
        <w:tblLook w:val="04A0" w:firstRow="1" w:lastRow="0" w:firstColumn="1" w:lastColumn="0" w:noHBand="0" w:noVBand="1"/>
      </w:tblPr>
      <w:tblGrid>
        <w:gridCol w:w="1240"/>
        <w:gridCol w:w="2678"/>
        <w:gridCol w:w="1120"/>
        <w:gridCol w:w="1189"/>
        <w:gridCol w:w="1618"/>
        <w:gridCol w:w="1461"/>
      </w:tblGrid>
      <w:tr w:rsidR="00E838DF" w:rsidRPr="00E838DF" w14:paraId="0C3F7AE2" w14:textId="77777777" w:rsidTr="00E838DF">
        <w:trPr>
          <w:trHeight w:val="20"/>
        </w:trPr>
        <w:tc>
          <w:tcPr>
            <w:tcW w:w="1240" w:type="dxa"/>
            <w:tcBorders>
              <w:top w:val="single" w:sz="4" w:space="0" w:color="auto"/>
              <w:left w:val="nil"/>
              <w:bottom w:val="single" w:sz="4" w:space="0" w:color="auto"/>
              <w:right w:val="nil"/>
            </w:tcBorders>
            <w:shd w:val="clear" w:color="auto" w:fill="auto"/>
            <w:noWrap/>
            <w:vAlign w:val="center"/>
            <w:hideMark/>
          </w:tcPr>
          <w:p w14:paraId="0C3F7ADC" w14:textId="77777777" w:rsidR="00E838DF" w:rsidRPr="00E838DF" w:rsidRDefault="00E838DF" w:rsidP="00E838DF">
            <w:pPr>
              <w:spacing w:before="0" w:after="0"/>
              <w:rPr>
                <w:rStyle w:val="BookTitle"/>
              </w:rPr>
            </w:pPr>
            <w:r w:rsidRPr="00E838DF">
              <w:rPr>
                <w:rStyle w:val="BookTitle"/>
              </w:rPr>
              <w:t>NRM</w:t>
            </w:r>
          </w:p>
        </w:tc>
        <w:tc>
          <w:tcPr>
            <w:tcW w:w="2678" w:type="dxa"/>
            <w:tcBorders>
              <w:top w:val="single" w:sz="4" w:space="0" w:color="auto"/>
              <w:left w:val="nil"/>
              <w:bottom w:val="single" w:sz="4" w:space="0" w:color="auto"/>
              <w:right w:val="nil"/>
            </w:tcBorders>
            <w:shd w:val="clear" w:color="auto" w:fill="auto"/>
            <w:noWrap/>
            <w:vAlign w:val="center"/>
            <w:hideMark/>
          </w:tcPr>
          <w:p w14:paraId="0C3F7ADD" w14:textId="77777777" w:rsidR="00E838DF" w:rsidRPr="00E838DF" w:rsidRDefault="00E838DF" w:rsidP="00E838DF">
            <w:pPr>
              <w:spacing w:before="0" w:after="0"/>
              <w:rPr>
                <w:rStyle w:val="BookTitle"/>
              </w:rPr>
            </w:pPr>
            <w:r w:rsidRPr="00E838DF">
              <w:rPr>
                <w:rStyle w:val="BookTitle"/>
              </w:rPr>
              <w:t>River/transect</w:t>
            </w:r>
          </w:p>
        </w:tc>
        <w:tc>
          <w:tcPr>
            <w:tcW w:w="1120" w:type="dxa"/>
            <w:tcBorders>
              <w:top w:val="single" w:sz="4" w:space="0" w:color="auto"/>
              <w:left w:val="nil"/>
              <w:bottom w:val="single" w:sz="4" w:space="0" w:color="auto"/>
              <w:right w:val="nil"/>
            </w:tcBorders>
            <w:shd w:val="clear" w:color="auto" w:fill="auto"/>
            <w:vAlign w:val="center"/>
            <w:hideMark/>
          </w:tcPr>
          <w:p w14:paraId="0C3F7ADE" w14:textId="77777777" w:rsidR="00E838DF" w:rsidRPr="00E838DF" w:rsidRDefault="00E838DF" w:rsidP="00E838DF">
            <w:pPr>
              <w:spacing w:before="0" w:after="0"/>
              <w:rPr>
                <w:rStyle w:val="BookTitle"/>
              </w:rPr>
            </w:pPr>
            <w:r w:rsidRPr="00E838DF">
              <w:rPr>
                <w:rStyle w:val="BookTitle"/>
              </w:rPr>
              <w:t>No. of Field Trips</w:t>
            </w:r>
          </w:p>
        </w:tc>
        <w:tc>
          <w:tcPr>
            <w:tcW w:w="1189" w:type="dxa"/>
            <w:tcBorders>
              <w:top w:val="single" w:sz="4" w:space="0" w:color="auto"/>
              <w:left w:val="nil"/>
              <w:bottom w:val="single" w:sz="4" w:space="0" w:color="auto"/>
              <w:right w:val="nil"/>
            </w:tcBorders>
            <w:shd w:val="clear" w:color="auto" w:fill="auto"/>
            <w:vAlign w:val="center"/>
            <w:hideMark/>
          </w:tcPr>
          <w:p w14:paraId="0C3F7ADF" w14:textId="77777777" w:rsidR="00E838DF" w:rsidRPr="00E838DF" w:rsidRDefault="00E838DF" w:rsidP="00E838DF">
            <w:pPr>
              <w:spacing w:before="0" w:after="0"/>
              <w:rPr>
                <w:rStyle w:val="BookTitle"/>
              </w:rPr>
            </w:pPr>
            <w:r w:rsidRPr="00E838DF">
              <w:rPr>
                <w:rStyle w:val="BookTitle"/>
              </w:rPr>
              <w:t>Total No. of Samples</w:t>
            </w:r>
          </w:p>
        </w:tc>
        <w:tc>
          <w:tcPr>
            <w:tcW w:w="1618" w:type="dxa"/>
            <w:tcBorders>
              <w:top w:val="single" w:sz="4" w:space="0" w:color="auto"/>
              <w:left w:val="nil"/>
              <w:bottom w:val="single" w:sz="4" w:space="0" w:color="auto"/>
              <w:right w:val="nil"/>
            </w:tcBorders>
            <w:shd w:val="clear" w:color="auto" w:fill="auto"/>
            <w:vAlign w:val="center"/>
            <w:hideMark/>
          </w:tcPr>
          <w:p w14:paraId="0C3F7AE0" w14:textId="77777777" w:rsidR="00E838DF" w:rsidRPr="00E838DF" w:rsidRDefault="00E838DF" w:rsidP="00E838DF">
            <w:pPr>
              <w:spacing w:before="0" w:after="0"/>
              <w:rPr>
                <w:rStyle w:val="BookTitle"/>
              </w:rPr>
            </w:pPr>
            <w:r w:rsidRPr="00E838DF">
              <w:rPr>
                <w:rStyle w:val="BookTitle"/>
              </w:rPr>
              <w:t>Start Date</w:t>
            </w:r>
          </w:p>
        </w:tc>
        <w:tc>
          <w:tcPr>
            <w:tcW w:w="1461" w:type="dxa"/>
            <w:tcBorders>
              <w:top w:val="single" w:sz="4" w:space="0" w:color="auto"/>
              <w:left w:val="nil"/>
              <w:bottom w:val="single" w:sz="4" w:space="0" w:color="auto"/>
              <w:right w:val="nil"/>
            </w:tcBorders>
            <w:shd w:val="clear" w:color="auto" w:fill="auto"/>
            <w:vAlign w:val="center"/>
            <w:hideMark/>
          </w:tcPr>
          <w:p w14:paraId="0C3F7AE1" w14:textId="77777777" w:rsidR="00E838DF" w:rsidRPr="00E838DF" w:rsidRDefault="00E838DF" w:rsidP="00E838DF">
            <w:pPr>
              <w:spacing w:before="0" w:after="0"/>
              <w:rPr>
                <w:rStyle w:val="BookTitle"/>
              </w:rPr>
            </w:pPr>
            <w:r w:rsidRPr="00E838DF">
              <w:rPr>
                <w:rStyle w:val="BookTitle"/>
              </w:rPr>
              <w:t>End Date</w:t>
            </w:r>
          </w:p>
        </w:tc>
      </w:tr>
      <w:tr w:rsidR="00E838DF" w:rsidRPr="00E838DF" w14:paraId="0C3F7AE9" w14:textId="77777777" w:rsidTr="00E838DF">
        <w:trPr>
          <w:trHeight w:val="20"/>
        </w:trPr>
        <w:tc>
          <w:tcPr>
            <w:tcW w:w="1240" w:type="dxa"/>
            <w:vMerge w:val="restart"/>
            <w:tcBorders>
              <w:top w:val="nil"/>
              <w:left w:val="nil"/>
              <w:right w:val="nil"/>
            </w:tcBorders>
            <w:shd w:val="clear" w:color="auto" w:fill="auto"/>
            <w:noWrap/>
            <w:vAlign w:val="center"/>
            <w:hideMark/>
          </w:tcPr>
          <w:p w14:paraId="0C3F7AE3" w14:textId="77777777" w:rsidR="00E838DF" w:rsidRPr="009C4D9F" w:rsidRDefault="00E838DF" w:rsidP="00E838DF">
            <w:pPr>
              <w:spacing w:before="0" w:after="0"/>
              <w:rPr>
                <w:rStyle w:val="BookTitle"/>
                <w:i/>
              </w:rPr>
            </w:pPr>
            <w:r w:rsidRPr="009C4D9F">
              <w:rPr>
                <w:rStyle w:val="BookTitle"/>
                <w:i/>
              </w:rPr>
              <w:t>Cape York</w:t>
            </w:r>
          </w:p>
        </w:tc>
        <w:tc>
          <w:tcPr>
            <w:tcW w:w="2678" w:type="dxa"/>
            <w:tcBorders>
              <w:top w:val="nil"/>
              <w:left w:val="nil"/>
              <w:right w:val="nil"/>
            </w:tcBorders>
            <w:shd w:val="clear" w:color="auto" w:fill="auto"/>
            <w:noWrap/>
            <w:vAlign w:val="center"/>
            <w:hideMark/>
          </w:tcPr>
          <w:p w14:paraId="0C3F7AE4" w14:textId="77777777" w:rsidR="00E838DF" w:rsidRPr="009C4D9F" w:rsidRDefault="00E838DF" w:rsidP="00E838DF">
            <w:pPr>
              <w:spacing w:before="0" w:after="0"/>
              <w:rPr>
                <w:rStyle w:val="BookTitle"/>
                <w:i/>
              </w:rPr>
            </w:pPr>
            <w:r w:rsidRPr="009C4D9F">
              <w:rPr>
                <w:rStyle w:val="BookTitle"/>
                <w:i/>
              </w:rPr>
              <w:t>Pascoe</w:t>
            </w:r>
          </w:p>
        </w:tc>
        <w:tc>
          <w:tcPr>
            <w:tcW w:w="1120" w:type="dxa"/>
            <w:tcBorders>
              <w:top w:val="nil"/>
              <w:left w:val="nil"/>
              <w:right w:val="nil"/>
            </w:tcBorders>
            <w:shd w:val="clear" w:color="auto" w:fill="auto"/>
            <w:noWrap/>
            <w:vAlign w:val="center"/>
            <w:hideMark/>
          </w:tcPr>
          <w:p w14:paraId="0C3F7AE5" w14:textId="77777777" w:rsidR="00E838DF" w:rsidRPr="009C4D9F" w:rsidRDefault="00E838DF" w:rsidP="00E838DF">
            <w:pPr>
              <w:spacing w:before="0" w:after="0"/>
              <w:rPr>
                <w:rStyle w:val="BookTitle"/>
                <w:i/>
              </w:rPr>
            </w:pPr>
            <w:r w:rsidRPr="009C4D9F">
              <w:rPr>
                <w:rStyle w:val="BookTitle"/>
                <w:i/>
              </w:rPr>
              <w:t>1</w:t>
            </w:r>
          </w:p>
        </w:tc>
        <w:tc>
          <w:tcPr>
            <w:tcW w:w="1189" w:type="dxa"/>
            <w:tcBorders>
              <w:top w:val="nil"/>
              <w:left w:val="nil"/>
              <w:right w:val="nil"/>
            </w:tcBorders>
            <w:shd w:val="clear" w:color="auto" w:fill="auto"/>
            <w:noWrap/>
            <w:vAlign w:val="center"/>
            <w:hideMark/>
          </w:tcPr>
          <w:p w14:paraId="0C3F7AE6" w14:textId="77777777" w:rsidR="00E838DF" w:rsidRPr="009C4D9F" w:rsidRDefault="00593896" w:rsidP="00E838DF">
            <w:pPr>
              <w:spacing w:before="0" w:after="0"/>
              <w:rPr>
                <w:rStyle w:val="BookTitle"/>
                <w:i/>
              </w:rPr>
            </w:pPr>
            <w:r>
              <w:rPr>
                <w:rStyle w:val="BookTitle"/>
                <w:i/>
              </w:rPr>
              <w:t>9</w:t>
            </w:r>
          </w:p>
        </w:tc>
        <w:tc>
          <w:tcPr>
            <w:tcW w:w="1618" w:type="dxa"/>
            <w:tcBorders>
              <w:top w:val="nil"/>
              <w:left w:val="nil"/>
              <w:right w:val="nil"/>
            </w:tcBorders>
            <w:shd w:val="clear" w:color="auto" w:fill="auto"/>
            <w:noWrap/>
            <w:vAlign w:val="center"/>
            <w:hideMark/>
          </w:tcPr>
          <w:p w14:paraId="0C3F7AE7" w14:textId="77777777" w:rsidR="00E838DF" w:rsidRPr="009C4D9F" w:rsidRDefault="00E838DF" w:rsidP="00E838DF">
            <w:pPr>
              <w:spacing w:before="0" w:after="0"/>
              <w:rPr>
                <w:rStyle w:val="BookTitle"/>
                <w:i/>
              </w:rPr>
            </w:pPr>
            <w:r w:rsidRPr="009C4D9F">
              <w:rPr>
                <w:rStyle w:val="BookTitle"/>
                <w:i/>
              </w:rPr>
              <w:t>01/12/2012</w:t>
            </w:r>
          </w:p>
        </w:tc>
        <w:tc>
          <w:tcPr>
            <w:tcW w:w="1461" w:type="dxa"/>
            <w:tcBorders>
              <w:top w:val="nil"/>
              <w:left w:val="nil"/>
              <w:right w:val="nil"/>
            </w:tcBorders>
            <w:shd w:val="clear" w:color="auto" w:fill="auto"/>
            <w:noWrap/>
            <w:vAlign w:val="center"/>
            <w:hideMark/>
          </w:tcPr>
          <w:p w14:paraId="0C3F7AE8" w14:textId="77777777" w:rsidR="00E838DF" w:rsidRPr="009C4D9F" w:rsidRDefault="00E838DF" w:rsidP="00E838DF">
            <w:pPr>
              <w:spacing w:before="0" w:after="0"/>
              <w:rPr>
                <w:rStyle w:val="BookTitle"/>
                <w:i/>
              </w:rPr>
            </w:pPr>
            <w:r w:rsidRPr="009C4D9F">
              <w:rPr>
                <w:rStyle w:val="BookTitle"/>
                <w:i/>
              </w:rPr>
              <w:t>04/12/2012</w:t>
            </w:r>
          </w:p>
        </w:tc>
      </w:tr>
      <w:tr w:rsidR="00E838DF" w:rsidRPr="00E838DF" w14:paraId="0C3F7AF0" w14:textId="77777777" w:rsidTr="00E838DF">
        <w:trPr>
          <w:trHeight w:val="20"/>
        </w:trPr>
        <w:tc>
          <w:tcPr>
            <w:tcW w:w="1240" w:type="dxa"/>
            <w:vMerge/>
            <w:tcBorders>
              <w:left w:val="nil"/>
              <w:right w:val="nil"/>
            </w:tcBorders>
            <w:vAlign w:val="center"/>
            <w:hideMark/>
          </w:tcPr>
          <w:p w14:paraId="0C3F7AEA" w14:textId="77777777" w:rsidR="00E838DF" w:rsidRPr="009C4D9F" w:rsidRDefault="00E838DF" w:rsidP="00E838DF">
            <w:pPr>
              <w:spacing w:before="0" w:after="0"/>
              <w:rPr>
                <w:rStyle w:val="BookTitle"/>
                <w:i/>
              </w:rPr>
            </w:pPr>
          </w:p>
        </w:tc>
        <w:tc>
          <w:tcPr>
            <w:tcW w:w="2678" w:type="dxa"/>
            <w:tcBorders>
              <w:top w:val="nil"/>
              <w:left w:val="nil"/>
              <w:right w:val="nil"/>
            </w:tcBorders>
            <w:shd w:val="clear" w:color="auto" w:fill="auto"/>
            <w:noWrap/>
            <w:vAlign w:val="center"/>
            <w:hideMark/>
          </w:tcPr>
          <w:p w14:paraId="0C3F7AEB" w14:textId="77777777" w:rsidR="00E838DF" w:rsidRPr="009C4D9F" w:rsidRDefault="00E838DF" w:rsidP="00E838DF">
            <w:pPr>
              <w:spacing w:before="0" w:after="0"/>
              <w:rPr>
                <w:rStyle w:val="BookTitle"/>
                <w:i/>
              </w:rPr>
            </w:pPr>
            <w:r w:rsidRPr="009C4D9F">
              <w:rPr>
                <w:rStyle w:val="BookTitle"/>
                <w:i/>
              </w:rPr>
              <w:t>Stewart/Normanby</w:t>
            </w:r>
          </w:p>
        </w:tc>
        <w:tc>
          <w:tcPr>
            <w:tcW w:w="1120" w:type="dxa"/>
            <w:tcBorders>
              <w:top w:val="nil"/>
              <w:left w:val="nil"/>
              <w:right w:val="nil"/>
            </w:tcBorders>
            <w:shd w:val="clear" w:color="auto" w:fill="auto"/>
            <w:noWrap/>
            <w:vAlign w:val="center"/>
            <w:hideMark/>
          </w:tcPr>
          <w:p w14:paraId="0C3F7AEC" w14:textId="77777777" w:rsidR="00E838DF" w:rsidRPr="009C4D9F" w:rsidRDefault="00E838DF" w:rsidP="00E838DF">
            <w:pPr>
              <w:spacing w:before="0" w:after="0"/>
              <w:rPr>
                <w:rStyle w:val="BookTitle"/>
                <w:i/>
              </w:rPr>
            </w:pPr>
            <w:r w:rsidRPr="009C4D9F">
              <w:rPr>
                <w:rStyle w:val="BookTitle"/>
                <w:i/>
              </w:rPr>
              <w:t>2</w:t>
            </w:r>
          </w:p>
        </w:tc>
        <w:tc>
          <w:tcPr>
            <w:tcW w:w="1189" w:type="dxa"/>
            <w:tcBorders>
              <w:top w:val="nil"/>
              <w:left w:val="nil"/>
              <w:right w:val="nil"/>
            </w:tcBorders>
            <w:shd w:val="clear" w:color="auto" w:fill="auto"/>
            <w:noWrap/>
            <w:vAlign w:val="center"/>
            <w:hideMark/>
          </w:tcPr>
          <w:p w14:paraId="0C3F7AED" w14:textId="77777777" w:rsidR="00E838DF" w:rsidRPr="009C4D9F" w:rsidRDefault="00593896" w:rsidP="00E838DF">
            <w:pPr>
              <w:spacing w:before="0" w:after="0"/>
              <w:rPr>
                <w:rStyle w:val="BookTitle"/>
                <w:i/>
              </w:rPr>
            </w:pPr>
            <w:r>
              <w:rPr>
                <w:rStyle w:val="BookTitle"/>
                <w:i/>
              </w:rPr>
              <w:t>23</w:t>
            </w:r>
          </w:p>
        </w:tc>
        <w:tc>
          <w:tcPr>
            <w:tcW w:w="1618" w:type="dxa"/>
            <w:tcBorders>
              <w:top w:val="nil"/>
              <w:left w:val="nil"/>
              <w:right w:val="nil"/>
            </w:tcBorders>
            <w:shd w:val="clear" w:color="auto" w:fill="auto"/>
            <w:noWrap/>
            <w:vAlign w:val="center"/>
            <w:hideMark/>
          </w:tcPr>
          <w:p w14:paraId="0C3F7AEE" w14:textId="77777777" w:rsidR="00E838DF" w:rsidRPr="009C4D9F" w:rsidRDefault="00E838DF" w:rsidP="00E838DF">
            <w:pPr>
              <w:spacing w:before="0" w:after="0"/>
              <w:rPr>
                <w:rStyle w:val="BookTitle"/>
                <w:i/>
              </w:rPr>
            </w:pPr>
            <w:r w:rsidRPr="009C4D9F">
              <w:rPr>
                <w:rStyle w:val="BookTitle"/>
                <w:i/>
              </w:rPr>
              <w:t>01/12/2012</w:t>
            </w:r>
          </w:p>
        </w:tc>
        <w:tc>
          <w:tcPr>
            <w:tcW w:w="1461" w:type="dxa"/>
            <w:tcBorders>
              <w:top w:val="nil"/>
              <w:left w:val="nil"/>
              <w:right w:val="nil"/>
            </w:tcBorders>
            <w:shd w:val="clear" w:color="auto" w:fill="auto"/>
            <w:noWrap/>
            <w:vAlign w:val="center"/>
            <w:hideMark/>
          </w:tcPr>
          <w:p w14:paraId="0C3F7AEF" w14:textId="77777777" w:rsidR="00E838DF" w:rsidRPr="009C4D9F" w:rsidRDefault="00E838DF" w:rsidP="00E838DF">
            <w:pPr>
              <w:spacing w:before="0" w:after="0"/>
              <w:rPr>
                <w:rStyle w:val="BookTitle"/>
                <w:i/>
              </w:rPr>
            </w:pPr>
            <w:r w:rsidRPr="009C4D9F">
              <w:rPr>
                <w:rStyle w:val="BookTitle"/>
                <w:i/>
              </w:rPr>
              <w:t>01/02/2013</w:t>
            </w:r>
          </w:p>
        </w:tc>
      </w:tr>
      <w:tr w:rsidR="00E838DF" w:rsidRPr="00E838DF" w14:paraId="0C3F7AF7" w14:textId="77777777" w:rsidTr="00E838DF">
        <w:trPr>
          <w:trHeight w:val="20"/>
        </w:trPr>
        <w:tc>
          <w:tcPr>
            <w:tcW w:w="1240" w:type="dxa"/>
            <w:vMerge/>
            <w:tcBorders>
              <w:left w:val="nil"/>
              <w:bottom w:val="single" w:sz="4" w:space="0" w:color="000000"/>
              <w:right w:val="nil"/>
            </w:tcBorders>
            <w:vAlign w:val="center"/>
          </w:tcPr>
          <w:p w14:paraId="0C3F7AF1" w14:textId="77777777" w:rsidR="00E838DF" w:rsidRPr="009C4D9F" w:rsidRDefault="00E838DF" w:rsidP="00E838DF">
            <w:pPr>
              <w:spacing w:before="0" w:after="0"/>
              <w:rPr>
                <w:rStyle w:val="BookTitle"/>
                <w:i/>
              </w:rPr>
            </w:pPr>
          </w:p>
        </w:tc>
        <w:tc>
          <w:tcPr>
            <w:tcW w:w="2678" w:type="dxa"/>
            <w:tcBorders>
              <w:left w:val="nil"/>
              <w:bottom w:val="single" w:sz="4" w:space="0" w:color="auto"/>
              <w:right w:val="nil"/>
            </w:tcBorders>
            <w:shd w:val="clear" w:color="auto" w:fill="auto"/>
            <w:noWrap/>
            <w:vAlign w:val="center"/>
          </w:tcPr>
          <w:p w14:paraId="0C3F7AF2" w14:textId="77777777" w:rsidR="00E838DF" w:rsidRPr="009C4D9F" w:rsidRDefault="00E838DF" w:rsidP="00E838DF">
            <w:pPr>
              <w:spacing w:before="0" w:after="0"/>
              <w:rPr>
                <w:rStyle w:val="BookTitle"/>
                <w:i/>
              </w:rPr>
            </w:pPr>
          </w:p>
        </w:tc>
        <w:tc>
          <w:tcPr>
            <w:tcW w:w="1120" w:type="dxa"/>
            <w:tcBorders>
              <w:left w:val="nil"/>
              <w:bottom w:val="single" w:sz="4" w:space="0" w:color="auto"/>
              <w:right w:val="nil"/>
            </w:tcBorders>
            <w:shd w:val="clear" w:color="auto" w:fill="auto"/>
            <w:noWrap/>
            <w:vAlign w:val="center"/>
          </w:tcPr>
          <w:p w14:paraId="0C3F7AF3" w14:textId="77777777" w:rsidR="00E838DF" w:rsidRPr="009C4D9F" w:rsidRDefault="00E838DF" w:rsidP="00E838DF">
            <w:pPr>
              <w:spacing w:before="0" w:after="0"/>
              <w:rPr>
                <w:rStyle w:val="BookTitle"/>
                <w:i/>
              </w:rPr>
            </w:pPr>
          </w:p>
        </w:tc>
        <w:tc>
          <w:tcPr>
            <w:tcW w:w="1189" w:type="dxa"/>
            <w:tcBorders>
              <w:left w:val="nil"/>
              <w:bottom w:val="single" w:sz="4" w:space="0" w:color="auto"/>
              <w:right w:val="nil"/>
            </w:tcBorders>
            <w:shd w:val="clear" w:color="auto" w:fill="auto"/>
            <w:noWrap/>
            <w:vAlign w:val="center"/>
          </w:tcPr>
          <w:p w14:paraId="0C3F7AF4" w14:textId="77777777" w:rsidR="00E838DF" w:rsidRPr="009C4D9F" w:rsidRDefault="00E838DF" w:rsidP="00E838DF">
            <w:pPr>
              <w:spacing w:before="0" w:after="0"/>
              <w:rPr>
                <w:rStyle w:val="BookTitle"/>
                <w:i/>
              </w:rPr>
            </w:pPr>
          </w:p>
        </w:tc>
        <w:tc>
          <w:tcPr>
            <w:tcW w:w="1618" w:type="dxa"/>
            <w:tcBorders>
              <w:left w:val="nil"/>
              <w:bottom w:val="single" w:sz="4" w:space="0" w:color="auto"/>
              <w:right w:val="nil"/>
            </w:tcBorders>
            <w:shd w:val="clear" w:color="auto" w:fill="auto"/>
            <w:noWrap/>
            <w:vAlign w:val="center"/>
          </w:tcPr>
          <w:p w14:paraId="0C3F7AF5" w14:textId="77777777" w:rsidR="00E838DF" w:rsidRPr="009C4D9F" w:rsidRDefault="00E838DF" w:rsidP="00E838DF">
            <w:pPr>
              <w:spacing w:before="0" w:after="0"/>
              <w:rPr>
                <w:rStyle w:val="BookTitle"/>
                <w:i/>
              </w:rPr>
            </w:pPr>
          </w:p>
        </w:tc>
        <w:tc>
          <w:tcPr>
            <w:tcW w:w="1461" w:type="dxa"/>
            <w:tcBorders>
              <w:left w:val="nil"/>
              <w:bottom w:val="single" w:sz="4" w:space="0" w:color="auto"/>
              <w:right w:val="nil"/>
            </w:tcBorders>
            <w:shd w:val="clear" w:color="auto" w:fill="auto"/>
            <w:noWrap/>
            <w:vAlign w:val="center"/>
          </w:tcPr>
          <w:p w14:paraId="0C3F7AF6" w14:textId="77777777" w:rsidR="00E838DF" w:rsidRPr="009C4D9F" w:rsidRDefault="00E838DF" w:rsidP="00E838DF">
            <w:pPr>
              <w:spacing w:before="0" w:after="0"/>
              <w:rPr>
                <w:rStyle w:val="BookTitle"/>
                <w:i/>
              </w:rPr>
            </w:pPr>
          </w:p>
        </w:tc>
      </w:tr>
      <w:tr w:rsidR="00E838DF" w:rsidRPr="00E838DF" w14:paraId="0C3F7AFE" w14:textId="77777777" w:rsidTr="00E838DF">
        <w:trPr>
          <w:trHeight w:val="20"/>
        </w:trPr>
        <w:tc>
          <w:tcPr>
            <w:tcW w:w="1240" w:type="dxa"/>
            <w:vMerge w:val="restart"/>
            <w:tcBorders>
              <w:top w:val="nil"/>
              <w:left w:val="nil"/>
              <w:bottom w:val="single" w:sz="4" w:space="0" w:color="000000"/>
              <w:right w:val="nil"/>
            </w:tcBorders>
            <w:shd w:val="clear" w:color="auto" w:fill="auto"/>
            <w:noWrap/>
            <w:vAlign w:val="center"/>
            <w:hideMark/>
          </w:tcPr>
          <w:p w14:paraId="0C3F7AF8" w14:textId="77777777" w:rsidR="00E838DF" w:rsidRPr="00E838DF" w:rsidRDefault="00E838DF" w:rsidP="00E838DF">
            <w:pPr>
              <w:spacing w:before="0" w:after="0"/>
              <w:rPr>
                <w:rStyle w:val="BookTitle"/>
              </w:rPr>
            </w:pPr>
            <w:r w:rsidRPr="00E838DF">
              <w:rPr>
                <w:rStyle w:val="BookTitle"/>
              </w:rPr>
              <w:t>Wet Tropics</w:t>
            </w:r>
          </w:p>
        </w:tc>
        <w:tc>
          <w:tcPr>
            <w:tcW w:w="2678" w:type="dxa"/>
            <w:tcBorders>
              <w:top w:val="nil"/>
              <w:left w:val="nil"/>
              <w:bottom w:val="nil"/>
              <w:right w:val="nil"/>
            </w:tcBorders>
            <w:shd w:val="clear" w:color="auto" w:fill="auto"/>
            <w:noWrap/>
            <w:vAlign w:val="center"/>
            <w:hideMark/>
          </w:tcPr>
          <w:p w14:paraId="0C3F7AF9" w14:textId="77777777" w:rsidR="00E838DF" w:rsidRPr="009C4D9F" w:rsidRDefault="00E838DF" w:rsidP="00E838DF">
            <w:pPr>
              <w:spacing w:before="0" w:after="0"/>
              <w:rPr>
                <w:rStyle w:val="BookTitle"/>
                <w:i/>
              </w:rPr>
            </w:pPr>
            <w:r w:rsidRPr="009C4D9F">
              <w:rPr>
                <w:rStyle w:val="BookTitle"/>
                <w:i/>
              </w:rPr>
              <w:t>Daintree/Mossman</w:t>
            </w:r>
          </w:p>
        </w:tc>
        <w:tc>
          <w:tcPr>
            <w:tcW w:w="1120" w:type="dxa"/>
            <w:tcBorders>
              <w:top w:val="nil"/>
              <w:left w:val="nil"/>
              <w:bottom w:val="nil"/>
              <w:right w:val="nil"/>
            </w:tcBorders>
            <w:shd w:val="clear" w:color="auto" w:fill="auto"/>
            <w:noWrap/>
            <w:vAlign w:val="center"/>
            <w:hideMark/>
          </w:tcPr>
          <w:p w14:paraId="0C3F7AFA" w14:textId="77777777" w:rsidR="00E838DF" w:rsidRPr="009C4D9F" w:rsidRDefault="00E838DF" w:rsidP="00E838DF">
            <w:pPr>
              <w:spacing w:before="0" w:after="0"/>
              <w:rPr>
                <w:rStyle w:val="BookTitle"/>
                <w:i/>
              </w:rPr>
            </w:pPr>
            <w:r w:rsidRPr="009C4D9F">
              <w:rPr>
                <w:rStyle w:val="BookTitle"/>
                <w:i/>
              </w:rPr>
              <w:t>1</w:t>
            </w:r>
          </w:p>
        </w:tc>
        <w:tc>
          <w:tcPr>
            <w:tcW w:w="1189" w:type="dxa"/>
            <w:tcBorders>
              <w:top w:val="nil"/>
              <w:left w:val="nil"/>
              <w:bottom w:val="nil"/>
              <w:right w:val="nil"/>
            </w:tcBorders>
            <w:shd w:val="clear" w:color="auto" w:fill="auto"/>
            <w:noWrap/>
            <w:vAlign w:val="center"/>
            <w:hideMark/>
          </w:tcPr>
          <w:p w14:paraId="0C3F7AFB" w14:textId="77777777" w:rsidR="00E838DF" w:rsidRPr="009C4D9F" w:rsidRDefault="00E838DF" w:rsidP="00E838DF">
            <w:pPr>
              <w:spacing w:before="0" w:after="0"/>
              <w:rPr>
                <w:rStyle w:val="BookTitle"/>
                <w:i/>
              </w:rPr>
            </w:pPr>
            <w:r w:rsidRPr="009C4D9F">
              <w:rPr>
                <w:rStyle w:val="BookTitle"/>
                <w:i/>
              </w:rPr>
              <w:t>5</w:t>
            </w:r>
          </w:p>
        </w:tc>
        <w:tc>
          <w:tcPr>
            <w:tcW w:w="1618" w:type="dxa"/>
            <w:tcBorders>
              <w:top w:val="nil"/>
              <w:left w:val="nil"/>
              <w:bottom w:val="nil"/>
              <w:right w:val="nil"/>
            </w:tcBorders>
            <w:shd w:val="clear" w:color="auto" w:fill="auto"/>
            <w:noWrap/>
            <w:vAlign w:val="center"/>
            <w:hideMark/>
          </w:tcPr>
          <w:p w14:paraId="0C3F7AFC" w14:textId="77777777" w:rsidR="00E838DF" w:rsidRPr="009C4D9F" w:rsidRDefault="00E838DF" w:rsidP="00E838DF">
            <w:pPr>
              <w:spacing w:before="0" w:after="0"/>
              <w:rPr>
                <w:rStyle w:val="BookTitle"/>
                <w:i/>
              </w:rPr>
            </w:pPr>
            <w:r w:rsidRPr="009C4D9F">
              <w:rPr>
                <w:rStyle w:val="BookTitle"/>
                <w:i/>
              </w:rPr>
              <w:t>30/11/2012</w:t>
            </w:r>
          </w:p>
        </w:tc>
        <w:tc>
          <w:tcPr>
            <w:tcW w:w="1461" w:type="dxa"/>
            <w:tcBorders>
              <w:top w:val="nil"/>
              <w:left w:val="nil"/>
              <w:bottom w:val="nil"/>
              <w:right w:val="nil"/>
            </w:tcBorders>
            <w:shd w:val="clear" w:color="auto" w:fill="auto"/>
            <w:noWrap/>
            <w:vAlign w:val="center"/>
            <w:hideMark/>
          </w:tcPr>
          <w:p w14:paraId="0C3F7AFD" w14:textId="77777777" w:rsidR="00E838DF" w:rsidRPr="009C4D9F" w:rsidRDefault="00E838DF" w:rsidP="00E838DF">
            <w:pPr>
              <w:spacing w:before="0" w:after="0"/>
              <w:rPr>
                <w:rStyle w:val="BookTitle"/>
                <w:i/>
              </w:rPr>
            </w:pPr>
            <w:r w:rsidRPr="009C4D9F">
              <w:rPr>
                <w:rStyle w:val="BookTitle"/>
                <w:i/>
              </w:rPr>
              <w:t>02/02/2013</w:t>
            </w:r>
          </w:p>
        </w:tc>
      </w:tr>
      <w:tr w:rsidR="00E838DF" w:rsidRPr="00E838DF" w14:paraId="0C3F7B05" w14:textId="77777777" w:rsidTr="00E838DF">
        <w:trPr>
          <w:trHeight w:val="20"/>
        </w:trPr>
        <w:tc>
          <w:tcPr>
            <w:tcW w:w="1240" w:type="dxa"/>
            <w:vMerge/>
            <w:tcBorders>
              <w:top w:val="nil"/>
              <w:left w:val="nil"/>
              <w:bottom w:val="single" w:sz="4" w:space="0" w:color="000000"/>
              <w:right w:val="nil"/>
            </w:tcBorders>
            <w:vAlign w:val="center"/>
            <w:hideMark/>
          </w:tcPr>
          <w:p w14:paraId="0C3F7AFF" w14:textId="77777777" w:rsidR="00E838DF" w:rsidRPr="00E838DF" w:rsidRDefault="00E838DF" w:rsidP="00E838DF">
            <w:pPr>
              <w:spacing w:before="0" w:after="0"/>
              <w:rPr>
                <w:rStyle w:val="BookTitle"/>
              </w:rPr>
            </w:pPr>
          </w:p>
        </w:tc>
        <w:tc>
          <w:tcPr>
            <w:tcW w:w="2678" w:type="dxa"/>
            <w:tcBorders>
              <w:top w:val="nil"/>
              <w:left w:val="nil"/>
              <w:bottom w:val="nil"/>
              <w:right w:val="nil"/>
            </w:tcBorders>
            <w:shd w:val="clear" w:color="auto" w:fill="auto"/>
            <w:noWrap/>
            <w:vAlign w:val="center"/>
            <w:hideMark/>
          </w:tcPr>
          <w:p w14:paraId="0C3F7B00" w14:textId="77777777" w:rsidR="00E838DF" w:rsidRPr="009C4D9F" w:rsidRDefault="00E838DF" w:rsidP="00E838DF">
            <w:pPr>
              <w:spacing w:before="0" w:after="0"/>
              <w:rPr>
                <w:rStyle w:val="BookTitle"/>
                <w:i/>
              </w:rPr>
            </w:pPr>
            <w:r w:rsidRPr="009C4D9F">
              <w:rPr>
                <w:rStyle w:val="BookTitle"/>
                <w:i/>
              </w:rPr>
              <w:t>Barron</w:t>
            </w:r>
          </w:p>
        </w:tc>
        <w:tc>
          <w:tcPr>
            <w:tcW w:w="1120" w:type="dxa"/>
            <w:tcBorders>
              <w:top w:val="nil"/>
              <w:left w:val="nil"/>
              <w:bottom w:val="nil"/>
              <w:right w:val="nil"/>
            </w:tcBorders>
            <w:shd w:val="clear" w:color="auto" w:fill="auto"/>
            <w:noWrap/>
            <w:vAlign w:val="center"/>
            <w:hideMark/>
          </w:tcPr>
          <w:p w14:paraId="0C3F7B01" w14:textId="77777777" w:rsidR="00E838DF" w:rsidRPr="009C4D9F" w:rsidRDefault="00E838DF" w:rsidP="00E838DF">
            <w:pPr>
              <w:spacing w:before="0" w:after="0"/>
              <w:rPr>
                <w:rStyle w:val="BookTitle"/>
                <w:i/>
              </w:rPr>
            </w:pPr>
            <w:r w:rsidRPr="009C4D9F">
              <w:rPr>
                <w:rStyle w:val="BookTitle"/>
                <w:i/>
              </w:rPr>
              <w:t>1</w:t>
            </w:r>
          </w:p>
        </w:tc>
        <w:tc>
          <w:tcPr>
            <w:tcW w:w="1189" w:type="dxa"/>
            <w:tcBorders>
              <w:top w:val="nil"/>
              <w:left w:val="nil"/>
              <w:bottom w:val="nil"/>
              <w:right w:val="nil"/>
            </w:tcBorders>
            <w:shd w:val="clear" w:color="auto" w:fill="auto"/>
            <w:noWrap/>
            <w:vAlign w:val="center"/>
            <w:hideMark/>
          </w:tcPr>
          <w:p w14:paraId="0C3F7B02" w14:textId="77777777" w:rsidR="00E838DF" w:rsidRPr="009C4D9F" w:rsidRDefault="00E838DF" w:rsidP="00E838DF">
            <w:pPr>
              <w:spacing w:before="0" w:after="0"/>
              <w:rPr>
                <w:rStyle w:val="BookTitle"/>
                <w:i/>
              </w:rPr>
            </w:pPr>
            <w:r w:rsidRPr="009C4D9F">
              <w:rPr>
                <w:rStyle w:val="BookTitle"/>
                <w:i/>
              </w:rPr>
              <w:t>5</w:t>
            </w:r>
          </w:p>
        </w:tc>
        <w:tc>
          <w:tcPr>
            <w:tcW w:w="1618" w:type="dxa"/>
            <w:tcBorders>
              <w:top w:val="nil"/>
              <w:left w:val="nil"/>
              <w:bottom w:val="nil"/>
              <w:right w:val="nil"/>
            </w:tcBorders>
            <w:shd w:val="clear" w:color="auto" w:fill="auto"/>
            <w:noWrap/>
            <w:vAlign w:val="center"/>
            <w:hideMark/>
          </w:tcPr>
          <w:p w14:paraId="0C3F7B03" w14:textId="77777777" w:rsidR="00E838DF" w:rsidRPr="009C4D9F" w:rsidRDefault="00E838DF" w:rsidP="00E838DF">
            <w:pPr>
              <w:spacing w:before="0" w:after="0"/>
              <w:rPr>
                <w:rStyle w:val="BookTitle"/>
                <w:i/>
              </w:rPr>
            </w:pPr>
            <w:r w:rsidRPr="009C4D9F">
              <w:rPr>
                <w:rStyle w:val="BookTitle"/>
                <w:i/>
              </w:rPr>
              <w:t>05/12/2012</w:t>
            </w:r>
          </w:p>
        </w:tc>
        <w:tc>
          <w:tcPr>
            <w:tcW w:w="1461" w:type="dxa"/>
            <w:tcBorders>
              <w:top w:val="nil"/>
              <w:left w:val="nil"/>
              <w:bottom w:val="nil"/>
              <w:right w:val="nil"/>
            </w:tcBorders>
            <w:shd w:val="clear" w:color="auto" w:fill="auto"/>
            <w:noWrap/>
            <w:vAlign w:val="center"/>
            <w:hideMark/>
          </w:tcPr>
          <w:p w14:paraId="0C3F7B04" w14:textId="77777777" w:rsidR="00E838DF" w:rsidRPr="009C4D9F" w:rsidRDefault="00E838DF" w:rsidP="00E838DF">
            <w:pPr>
              <w:spacing w:before="0" w:after="0"/>
              <w:rPr>
                <w:rStyle w:val="BookTitle"/>
                <w:i/>
              </w:rPr>
            </w:pPr>
            <w:r w:rsidRPr="009C4D9F">
              <w:rPr>
                <w:rStyle w:val="BookTitle"/>
                <w:i/>
              </w:rPr>
              <w:t>03/02/2013</w:t>
            </w:r>
          </w:p>
        </w:tc>
      </w:tr>
      <w:tr w:rsidR="00E838DF" w:rsidRPr="00E838DF" w14:paraId="0C3F7B0C" w14:textId="77777777" w:rsidTr="00E838DF">
        <w:trPr>
          <w:trHeight w:val="20"/>
        </w:trPr>
        <w:tc>
          <w:tcPr>
            <w:tcW w:w="1240" w:type="dxa"/>
            <w:vMerge/>
            <w:tcBorders>
              <w:top w:val="nil"/>
              <w:left w:val="nil"/>
              <w:bottom w:val="single" w:sz="4" w:space="0" w:color="000000"/>
              <w:right w:val="nil"/>
            </w:tcBorders>
            <w:vAlign w:val="center"/>
            <w:hideMark/>
          </w:tcPr>
          <w:p w14:paraId="0C3F7B06" w14:textId="77777777" w:rsidR="00E838DF" w:rsidRPr="00E838DF" w:rsidRDefault="00E838DF" w:rsidP="00E838DF">
            <w:pPr>
              <w:spacing w:before="0" w:after="0"/>
              <w:rPr>
                <w:rStyle w:val="BookTitle"/>
              </w:rPr>
            </w:pPr>
          </w:p>
        </w:tc>
        <w:tc>
          <w:tcPr>
            <w:tcW w:w="2678" w:type="dxa"/>
            <w:tcBorders>
              <w:top w:val="nil"/>
              <w:left w:val="nil"/>
              <w:bottom w:val="nil"/>
              <w:right w:val="nil"/>
            </w:tcBorders>
            <w:shd w:val="clear" w:color="auto" w:fill="auto"/>
            <w:noWrap/>
            <w:vAlign w:val="center"/>
            <w:hideMark/>
          </w:tcPr>
          <w:p w14:paraId="0C3F7B07" w14:textId="77777777" w:rsidR="00E838DF" w:rsidRPr="00E838DF" w:rsidRDefault="00E838DF" w:rsidP="00E838DF">
            <w:pPr>
              <w:spacing w:before="0" w:after="0"/>
              <w:rPr>
                <w:rStyle w:val="BookTitle"/>
              </w:rPr>
            </w:pPr>
            <w:r w:rsidRPr="00E838DF">
              <w:rPr>
                <w:rStyle w:val="BookTitle"/>
              </w:rPr>
              <w:t>Russell/Mulgrave</w:t>
            </w:r>
          </w:p>
        </w:tc>
        <w:tc>
          <w:tcPr>
            <w:tcW w:w="1120" w:type="dxa"/>
            <w:tcBorders>
              <w:top w:val="nil"/>
              <w:left w:val="nil"/>
              <w:bottom w:val="nil"/>
              <w:right w:val="nil"/>
            </w:tcBorders>
            <w:shd w:val="clear" w:color="auto" w:fill="auto"/>
            <w:noWrap/>
            <w:vAlign w:val="center"/>
            <w:hideMark/>
          </w:tcPr>
          <w:p w14:paraId="0C3F7B08" w14:textId="77777777" w:rsidR="00E838DF" w:rsidRPr="00E838DF" w:rsidRDefault="00E838DF" w:rsidP="00E838DF">
            <w:pPr>
              <w:spacing w:before="0" w:after="0"/>
              <w:rPr>
                <w:rStyle w:val="BookTitle"/>
              </w:rPr>
            </w:pPr>
            <w:r w:rsidRPr="00E838DF">
              <w:rPr>
                <w:rStyle w:val="BookTitle"/>
              </w:rPr>
              <w:t>1</w:t>
            </w:r>
          </w:p>
        </w:tc>
        <w:tc>
          <w:tcPr>
            <w:tcW w:w="1189" w:type="dxa"/>
            <w:tcBorders>
              <w:top w:val="nil"/>
              <w:left w:val="nil"/>
              <w:bottom w:val="nil"/>
              <w:right w:val="nil"/>
            </w:tcBorders>
            <w:shd w:val="clear" w:color="auto" w:fill="auto"/>
            <w:noWrap/>
            <w:vAlign w:val="center"/>
            <w:hideMark/>
          </w:tcPr>
          <w:p w14:paraId="0C3F7B09" w14:textId="77777777" w:rsidR="00E838DF" w:rsidRPr="00E838DF" w:rsidRDefault="00D23397" w:rsidP="00E838DF">
            <w:pPr>
              <w:spacing w:before="0" w:after="0"/>
              <w:rPr>
                <w:rStyle w:val="BookTitle"/>
              </w:rPr>
            </w:pPr>
            <w:r>
              <w:rPr>
                <w:rStyle w:val="BookTitle"/>
              </w:rPr>
              <w:t>7</w:t>
            </w:r>
          </w:p>
        </w:tc>
        <w:tc>
          <w:tcPr>
            <w:tcW w:w="1618" w:type="dxa"/>
            <w:tcBorders>
              <w:top w:val="nil"/>
              <w:left w:val="nil"/>
              <w:bottom w:val="nil"/>
              <w:right w:val="nil"/>
            </w:tcBorders>
            <w:shd w:val="clear" w:color="auto" w:fill="auto"/>
            <w:noWrap/>
            <w:vAlign w:val="center"/>
            <w:hideMark/>
          </w:tcPr>
          <w:p w14:paraId="0C3F7B0A" w14:textId="77777777" w:rsidR="00E838DF" w:rsidRPr="00E838DF" w:rsidRDefault="00E838DF" w:rsidP="00E838DF">
            <w:pPr>
              <w:spacing w:before="0" w:after="0"/>
              <w:rPr>
                <w:rStyle w:val="BookTitle"/>
              </w:rPr>
            </w:pPr>
            <w:r w:rsidRPr="00E838DF">
              <w:rPr>
                <w:rStyle w:val="BookTitle"/>
              </w:rPr>
              <w:t>10/12/2012</w:t>
            </w:r>
          </w:p>
        </w:tc>
        <w:tc>
          <w:tcPr>
            <w:tcW w:w="1461" w:type="dxa"/>
            <w:tcBorders>
              <w:top w:val="nil"/>
              <w:left w:val="nil"/>
              <w:bottom w:val="nil"/>
              <w:right w:val="nil"/>
            </w:tcBorders>
            <w:shd w:val="clear" w:color="auto" w:fill="auto"/>
            <w:noWrap/>
            <w:vAlign w:val="center"/>
            <w:hideMark/>
          </w:tcPr>
          <w:p w14:paraId="0C3F7B0B" w14:textId="77777777" w:rsidR="00E838DF" w:rsidRPr="00E838DF" w:rsidRDefault="00E838DF" w:rsidP="00E838DF">
            <w:pPr>
              <w:spacing w:before="0" w:after="0"/>
              <w:rPr>
                <w:rStyle w:val="BookTitle"/>
              </w:rPr>
            </w:pPr>
            <w:r w:rsidRPr="00E838DF">
              <w:rPr>
                <w:rStyle w:val="BookTitle"/>
              </w:rPr>
              <w:t>03/02/2013</w:t>
            </w:r>
          </w:p>
        </w:tc>
      </w:tr>
      <w:tr w:rsidR="00E838DF" w:rsidRPr="00E838DF" w14:paraId="0C3F7B13" w14:textId="77777777" w:rsidTr="00E838DF">
        <w:trPr>
          <w:trHeight w:val="20"/>
        </w:trPr>
        <w:tc>
          <w:tcPr>
            <w:tcW w:w="1240" w:type="dxa"/>
            <w:vMerge/>
            <w:tcBorders>
              <w:top w:val="nil"/>
              <w:left w:val="nil"/>
              <w:bottom w:val="single" w:sz="4" w:space="0" w:color="000000"/>
              <w:right w:val="nil"/>
            </w:tcBorders>
            <w:vAlign w:val="center"/>
            <w:hideMark/>
          </w:tcPr>
          <w:p w14:paraId="0C3F7B0D" w14:textId="77777777" w:rsidR="00E838DF" w:rsidRPr="00E838DF" w:rsidRDefault="00E838DF" w:rsidP="00E838DF">
            <w:pPr>
              <w:spacing w:before="0" w:after="0"/>
              <w:rPr>
                <w:rStyle w:val="BookTitle"/>
              </w:rPr>
            </w:pPr>
          </w:p>
        </w:tc>
        <w:tc>
          <w:tcPr>
            <w:tcW w:w="2678" w:type="dxa"/>
            <w:tcBorders>
              <w:top w:val="nil"/>
              <w:left w:val="nil"/>
              <w:bottom w:val="nil"/>
              <w:right w:val="nil"/>
            </w:tcBorders>
            <w:shd w:val="clear" w:color="auto" w:fill="auto"/>
            <w:noWrap/>
            <w:vAlign w:val="center"/>
            <w:hideMark/>
          </w:tcPr>
          <w:p w14:paraId="0C3F7B0E" w14:textId="77777777" w:rsidR="00E838DF" w:rsidRPr="00E838DF" w:rsidRDefault="00E838DF" w:rsidP="00E838DF">
            <w:pPr>
              <w:spacing w:before="0" w:after="0"/>
              <w:rPr>
                <w:rStyle w:val="BookTitle"/>
              </w:rPr>
            </w:pPr>
            <w:r w:rsidRPr="00E838DF">
              <w:rPr>
                <w:rStyle w:val="BookTitle"/>
              </w:rPr>
              <w:t>Tully</w:t>
            </w:r>
          </w:p>
        </w:tc>
        <w:tc>
          <w:tcPr>
            <w:tcW w:w="1120" w:type="dxa"/>
            <w:tcBorders>
              <w:top w:val="nil"/>
              <w:left w:val="nil"/>
              <w:bottom w:val="nil"/>
              <w:right w:val="nil"/>
            </w:tcBorders>
            <w:shd w:val="clear" w:color="auto" w:fill="auto"/>
            <w:noWrap/>
            <w:vAlign w:val="center"/>
            <w:hideMark/>
          </w:tcPr>
          <w:p w14:paraId="0C3F7B0F" w14:textId="77777777" w:rsidR="00E838DF" w:rsidRPr="00E838DF" w:rsidRDefault="00E838DF" w:rsidP="00E838DF">
            <w:pPr>
              <w:spacing w:before="0" w:after="0"/>
              <w:rPr>
                <w:rStyle w:val="BookTitle"/>
              </w:rPr>
            </w:pPr>
            <w:r w:rsidRPr="00E838DF">
              <w:rPr>
                <w:rStyle w:val="BookTitle"/>
              </w:rPr>
              <w:t>4</w:t>
            </w:r>
          </w:p>
        </w:tc>
        <w:tc>
          <w:tcPr>
            <w:tcW w:w="1189" w:type="dxa"/>
            <w:tcBorders>
              <w:top w:val="nil"/>
              <w:left w:val="nil"/>
              <w:bottom w:val="nil"/>
              <w:right w:val="nil"/>
            </w:tcBorders>
            <w:shd w:val="clear" w:color="auto" w:fill="auto"/>
            <w:noWrap/>
            <w:vAlign w:val="center"/>
            <w:hideMark/>
          </w:tcPr>
          <w:p w14:paraId="0C3F7B10" w14:textId="77777777" w:rsidR="00E838DF" w:rsidRPr="00E838DF" w:rsidRDefault="00D23397" w:rsidP="00D23397">
            <w:pPr>
              <w:spacing w:before="0" w:after="0"/>
              <w:rPr>
                <w:rStyle w:val="BookTitle"/>
              </w:rPr>
            </w:pPr>
            <w:r w:rsidRPr="00E838DF">
              <w:rPr>
                <w:rStyle w:val="BookTitle"/>
              </w:rPr>
              <w:t>4</w:t>
            </w:r>
            <w:r>
              <w:rPr>
                <w:rStyle w:val="BookTitle"/>
              </w:rPr>
              <w:t>3</w:t>
            </w:r>
          </w:p>
        </w:tc>
        <w:tc>
          <w:tcPr>
            <w:tcW w:w="1618" w:type="dxa"/>
            <w:tcBorders>
              <w:top w:val="nil"/>
              <w:left w:val="nil"/>
              <w:bottom w:val="nil"/>
              <w:right w:val="nil"/>
            </w:tcBorders>
            <w:shd w:val="clear" w:color="auto" w:fill="auto"/>
            <w:noWrap/>
            <w:vAlign w:val="center"/>
            <w:hideMark/>
          </w:tcPr>
          <w:p w14:paraId="0C3F7B11" w14:textId="77777777" w:rsidR="00E838DF" w:rsidRPr="00E838DF" w:rsidRDefault="00E838DF" w:rsidP="00E838DF">
            <w:pPr>
              <w:spacing w:before="0" w:after="0"/>
              <w:rPr>
                <w:rStyle w:val="BookTitle"/>
              </w:rPr>
            </w:pPr>
            <w:r w:rsidRPr="00E838DF">
              <w:rPr>
                <w:rStyle w:val="BookTitle"/>
              </w:rPr>
              <w:t>10/11/2012</w:t>
            </w:r>
          </w:p>
        </w:tc>
        <w:tc>
          <w:tcPr>
            <w:tcW w:w="1461" w:type="dxa"/>
            <w:tcBorders>
              <w:top w:val="nil"/>
              <w:left w:val="nil"/>
              <w:bottom w:val="nil"/>
              <w:right w:val="nil"/>
            </w:tcBorders>
            <w:shd w:val="clear" w:color="auto" w:fill="auto"/>
            <w:noWrap/>
            <w:vAlign w:val="center"/>
            <w:hideMark/>
          </w:tcPr>
          <w:p w14:paraId="0C3F7B12" w14:textId="77777777" w:rsidR="00E838DF" w:rsidRPr="00E838DF" w:rsidRDefault="00E838DF" w:rsidP="00E838DF">
            <w:pPr>
              <w:spacing w:before="0" w:after="0"/>
              <w:rPr>
                <w:rStyle w:val="BookTitle"/>
              </w:rPr>
            </w:pPr>
            <w:r w:rsidRPr="00E838DF">
              <w:rPr>
                <w:rStyle w:val="BookTitle"/>
              </w:rPr>
              <w:t>16/04/2013</w:t>
            </w:r>
          </w:p>
        </w:tc>
      </w:tr>
      <w:tr w:rsidR="00E838DF" w:rsidRPr="00E838DF" w14:paraId="0C3F7B1A" w14:textId="77777777" w:rsidTr="00E838DF">
        <w:trPr>
          <w:trHeight w:val="20"/>
        </w:trPr>
        <w:tc>
          <w:tcPr>
            <w:tcW w:w="1240" w:type="dxa"/>
            <w:vMerge/>
            <w:tcBorders>
              <w:top w:val="nil"/>
              <w:left w:val="nil"/>
              <w:bottom w:val="single" w:sz="4" w:space="0" w:color="000000"/>
              <w:right w:val="nil"/>
            </w:tcBorders>
            <w:vAlign w:val="center"/>
            <w:hideMark/>
          </w:tcPr>
          <w:p w14:paraId="0C3F7B14" w14:textId="77777777" w:rsidR="00E838DF" w:rsidRPr="00E838DF" w:rsidRDefault="00E838DF" w:rsidP="00E838DF">
            <w:pPr>
              <w:spacing w:before="0" w:after="0"/>
              <w:rPr>
                <w:rStyle w:val="BookTitle"/>
              </w:rPr>
            </w:pPr>
          </w:p>
        </w:tc>
        <w:tc>
          <w:tcPr>
            <w:tcW w:w="2678" w:type="dxa"/>
            <w:tcBorders>
              <w:top w:val="nil"/>
              <w:left w:val="nil"/>
              <w:right w:val="nil"/>
            </w:tcBorders>
            <w:shd w:val="clear" w:color="auto" w:fill="auto"/>
            <w:noWrap/>
            <w:vAlign w:val="center"/>
            <w:hideMark/>
          </w:tcPr>
          <w:p w14:paraId="0C3F7B15" w14:textId="77777777" w:rsidR="00E838DF" w:rsidRPr="00E838DF" w:rsidRDefault="00E838DF" w:rsidP="00E838DF">
            <w:pPr>
              <w:spacing w:before="0" w:after="0"/>
              <w:rPr>
                <w:rStyle w:val="BookTitle"/>
              </w:rPr>
            </w:pPr>
            <w:r w:rsidRPr="00E838DF">
              <w:rPr>
                <w:rStyle w:val="BookTitle"/>
              </w:rPr>
              <w:t>Northern Herbert</w:t>
            </w:r>
          </w:p>
        </w:tc>
        <w:tc>
          <w:tcPr>
            <w:tcW w:w="1120" w:type="dxa"/>
            <w:tcBorders>
              <w:top w:val="nil"/>
              <w:left w:val="nil"/>
              <w:right w:val="nil"/>
            </w:tcBorders>
            <w:shd w:val="clear" w:color="auto" w:fill="auto"/>
            <w:noWrap/>
            <w:vAlign w:val="center"/>
            <w:hideMark/>
          </w:tcPr>
          <w:p w14:paraId="0C3F7B16" w14:textId="77777777" w:rsidR="00E838DF" w:rsidRPr="00E838DF" w:rsidRDefault="00E838DF" w:rsidP="00E838DF">
            <w:pPr>
              <w:spacing w:before="0" w:after="0"/>
              <w:rPr>
                <w:rStyle w:val="BookTitle"/>
              </w:rPr>
            </w:pPr>
            <w:r w:rsidRPr="00E838DF">
              <w:rPr>
                <w:rStyle w:val="BookTitle"/>
              </w:rPr>
              <w:t>2</w:t>
            </w:r>
          </w:p>
        </w:tc>
        <w:tc>
          <w:tcPr>
            <w:tcW w:w="1189" w:type="dxa"/>
            <w:tcBorders>
              <w:top w:val="nil"/>
              <w:left w:val="nil"/>
              <w:right w:val="nil"/>
            </w:tcBorders>
            <w:shd w:val="clear" w:color="auto" w:fill="auto"/>
            <w:noWrap/>
            <w:vAlign w:val="center"/>
            <w:hideMark/>
          </w:tcPr>
          <w:p w14:paraId="0C3F7B17" w14:textId="77777777" w:rsidR="00E838DF" w:rsidRPr="00E838DF" w:rsidRDefault="00E838DF" w:rsidP="00E838DF">
            <w:pPr>
              <w:spacing w:before="0" w:after="0"/>
              <w:rPr>
                <w:rStyle w:val="BookTitle"/>
              </w:rPr>
            </w:pPr>
            <w:r w:rsidRPr="00E838DF">
              <w:rPr>
                <w:rStyle w:val="BookTitle"/>
              </w:rPr>
              <w:t>12</w:t>
            </w:r>
          </w:p>
        </w:tc>
        <w:tc>
          <w:tcPr>
            <w:tcW w:w="1618" w:type="dxa"/>
            <w:tcBorders>
              <w:top w:val="nil"/>
              <w:left w:val="nil"/>
              <w:right w:val="nil"/>
            </w:tcBorders>
            <w:shd w:val="clear" w:color="auto" w:fill="auto"/>
            <w:noWrap/>
            <w:vAlign w:val="center"/>
            <w:hideMark/>
          </w:tcPr>
          <w:p w14:paraId="0C3F7B18" w14:textId="77777777" w:rsidR="00E838DF" w:rsidRPr="00E838DF" w:rsidRDefault="00E838DF" w:rsidP="00E838DF">
            <w:pPr>
              <w:spacing w:before="0" w:after="0"/>
              <w:rPr>
                <w:rStyle w:val="BookTitle"/>
              </w:rPr>
            </w:pPr>
            <w:r w:rsidRPr="00E838DF">
              <w:rPr>
                <w:rStyle w:val="BookTitle"/>
              </w:rPr>
              <w:t>16/01/2013</w:t>
            </w:r>
          </w:p>
        </w:tc>
        <w:tc>
          <w:tcPr>
            <w:tcW w:w="1461" w:type="dxa"/>
            <w:tcBorders>
              <w:top w:val="nil"/>
              <w:left w:val="nil"/>
              <w:right w:val="nil"/>
            </w:tcBorders>
            <w:shd w:val="clear" w:color="auto" w:fill="auto"/>
            <w:noWrap/>
            <w:vAlign w:val="center"/>
            <w:hideMark/>
          </w:tcPr>
          <w:p w14:paraId="0C3F7B19" w14:textId="77777777" w:rsidR="00E838DF" w:rsidRPr="00E838DF" w:rsidRDefault="00E838DF" w:rsidP="00E838DF">
            <w:pPr>
              <w:spacing w:before="0" w:after="0"/>
              <w:rPr>
                <w:rStyle w:val="BookTitle"/>
              </w:rPr>
            </w:pPr>
            <w:r w:rsidRPr="00E838DF">
              <w:rPr>
                <w:rStyle w:val="BookTitle"/>
              </w:rPr>
              <w:t>25/03/2013</w:t>
            </w:r>
          </w:p>
        </w:tc>
      </w:tr>
      <w:tr w:rsidR="00E838DF" w:rsidRPr="00E838DF" w14:paraId="0C3F7B21" w14:textId="77777777" w:rsidTr="00E838DF">
        <w:trPr>
          <w:trHeight w:val="20"/>
        </w:trPr>
        <w:tc>
          <w:tcPr>
            <w:tcW w:w="1240" w:type="dxa"/>
            <w:vMerge/>
            <w:tcBorders>
              <w:top w:val="nil"/>
              <w:left w:val="nil"/>
              <w:bottom w:val="single" w:sz="4" w:space="0" w:color="000000"/>
              <w:right w:val="nil"/>
            </w:tcBorders>
            <w:vAlign w:val="center"/>
            <w:hideMark/>
          </w:tcPr>
          <w:p w14:paraId="0C3F7B1B" w14:textId="77777777" w:rsidR="00E838DF" w:rsidRPr="00E838DF" w:rsidRDefault="00E838DF" w:rsidP="00E838DF">
            <w:pPr>
              <w:spacing w:before="0" w:after="0"/>
              <w:rPr>
                <w:rStyle w:val="BookTitle"/>
              </w:rPr>
            </w:pPr>
          </w:p>
        </w:tc>
        <w:tc>
          <w:tcPr>
            <w:tcW w:w="2678" w:type="dxa"/>
            <w:tcBorders>
              <w:top w:val="nil"/>
              <w:left w:val="nil"/>
              <w:bottom w:val="single" w:sz="4" w:space="0" w:color="auto"/>
              <w:right w:val="nil"/>
            </w:tcBorders>
            <w:shd w:val="clear" w:color="auto" w:fill="auto"/>
            <w:noWrap/>
            <w:vAlign w:val="center"/>
            <w:hideMark/>
          </w:tcPr>
          <w:p w14:paraId="0C3F7B1C" w14:textId="77777777" w:rsidR="00E838DF" w:rsidRPr="00E838DF" w:rsidRDefault="00E838DF" w:rsidP="00E838DF">
            <w:pPr>
              <w:spacing w:before="0" w:after="0"/>
              <w:rPr>
                <w:rStyle w:val="BookTitle"/>
              </w:rPr>
            </w:pPr>
            <w:r w:rsidRPr="00E838DF">
              <w:rPr>
                <w:rStyle w:val="BookTitle"/>
              </w:rPr>
              <w:t>Southern Herbert</w:t>
            </w:r>
          </w:p>
        </w:tc>
        <w:tc>
          <w:tcPr>
            <w:tcW w:w="1120" w:type="dxa"/>
            <w:tcBorders>
              <w:top w:val="nil"/>
              <w:left w:val="nil"/>
              <w:bottom w:val="single" w:sz="4" w:space="0" w:color="auto"/>
              <w:right w:val="nil"/>
            </w:tcBorders>
            <w:shd w:val="clear" w:color="auto" w:fill="auto"/>
            <w:noWrap/>
            <w:vAlign w:val="center"/>
            <w:hideMark/>
          </w:tcPr>
          <w:p w14:paraId="0C3F7B1D" w14:textId="77777777" w:rsidR="00E838DF" w:rsidRPr="00E838DF" w:rsidRDefault="00E838DF" w:rsidP="00E838DF">
            <w:pPr>
              <w:spacing w:before="0" w:after="0"/>
              <w:rPr>
                <w:rStyle w:val="BookTitle"/>
              </w:rPr>
            </w:pPr>
            <w:r w:rsidRPr="00E838DF">
              <w:rPr>
                <w:rStyle w:val="BookTitle"/>
              </w:rPr>
              <w:t>2</w:t>
            </w:r>
          </w:p>
        </w:tc>
        <w:tc>
          <w:tcPr>
            <w:tcW w:w="1189" w:type="dxa"/>
            <w:tcBorders>
              <w:top w:val="nil"/>
              <w:left w:val="nil"/>
              <w:bottom w:val="single" w:sz="4" w:space="0" w:color="auto"/>
              <w:right w:val="nil"/>
            </w:tcBorders>
            <w:shd w:val="clear" w:color="auto" w:fill="auto"/>
            <w:noWrap/>
            <w:vAlign w:val="center"/>
            <w:hideMark/>
          </w:tcPr>
          <w:p w14:paraId="0C3F7B1E" w14:textId="77777777" w:rsidR="00E838DF" w:rsidRPr="00E838DF" w:rsidRDefault="00E838DF" w:rsidP="00E838DF">
            <w:pPr>
              <w:spacing w:before="0" w:after="0"/>
              <w:rPr>
                <w:rStyle w:val="BookTitle"/>
              </w:rPr>
            </w:pPr>
            <w:r w:rsidRPr="00E838DF">
              <w:rPr>
                <w:rStyle w:val="BookTitle"/>
              </w:rPr>
              <w:t>14</w:t>
            </w:r>
          </w:p>
        </w:tc>
        <w:tc>
          <w:tcPr>
            <w:tcW w:w="1618" w:type="dxa"/>
            <w:tcBorders>
              <w:top w:val="nil"/>
              <w:left w:val="nil"/>
              <w:bottom w:val="single" w:sz="4" w:space="0" w:color="auto"/>
              <w:right w:val="nil"/>
            </w:tcBorders>
            <w:shd w:val="clear" w:color="auto" w:fill="auto"/>
            <w:noWrap/>
            <w:vAlign w:val="center"/>
            <w:hideMark/>
          </w:tcPr>
          <w:p w14:paraId="0C3F7B1F" w14:textId="77777777" w:rsidR="00E838DF" w:rsidRPr="00E838DF" w:rsidRDefault="00E838DF" w:rsidP="00E838DF">
            <w:pPr>
              <w:spacing w:before="0" w:after="0"/>
              <w:rPr>
                <w:rStyle w:val="BookTitle"/>
              </w:rPr>
            </w:pPr>
            <w:r w:rsidRPr="00E838DF">
              <w:rPr>
                <w:rStyle w:val="BookTitle"/>
              </w:rPr>
              <w:t>17/01/2013</w:t>
            </w:r>
          </w:p>
        </w:tc>
        <w:tc>
          <w:tcPr>
            <w:tcW w:w="1461" w:type="dxa"/>
            <w:tcBorders>
              <w:top w:val="nil"/>
              <w:left w:val="nil"/>
              <w:bottom w:val="single" w:sz="4" w:space="0" w:color="auto"/>
              <w:right w:val="nil"/>
            </w:tcBorders>
            <w:shd w:val="clear" w:color="auto" w:fill="auto"/>
            <w:noWrap/>
            <w:vAlign w:val="center"/>
            <w:hideMark/>
          </w:tcPr>
          <w:p w14:paraId="0C3F7B20" w14:textId="77777777" w:rsidR="00E838DF" w:rsidRPr="00E838DF" w:rsidRDefault="00E838DF" w:rsidP="00E838DF">
            <w:pPr>
              <w:spacing w:before="0" w:after="0"/>
              <w:rPr>
                <w:rStyle w:val="BookTitle"/>
              </w:rPr>
            </w:pPr>
            <w:r w:rsidRPr="00E838DF">
              <w:rPr>
                <w:rStyle w:val="BookTitle"/>
              </w:rPr>
              <w:t>25/03/2013</w:t>
            </w:r>
          </w:p>
        </w:tc>
      </w:tr>
      <w:tr w:rsidR="00E838DF" w:rsidRPr="00E838DF" w14:paraId="0C3F7B28" w14:textId="77777777" w:rsidTr="00E838DF">
        <w:trPr>
          <w:trHeight w:val="20"/>
        </w:trPr>
        <w:tc>
          <w:tcPr>
            <w:tcW w:w="1240" w:type="dxa"/>
            <w:vMerge w:val="restart"/>
            <w:tcBorders>
              <w:top w:val="nil"/>
              <w:left w:val="nil"/>
              <w:right w:val="nil"/>
            </w:tcBorders>
            <w:shd w:val="clear" w:color="auto" w:fill="auto"/>
            <w:noWrap/>
            <w:vAlign w:val="center"/>
            <w:hideMark/>
          </w:tcPr>
          <w:p w14:paraId="0C3F7B22" w14:textId="77777777" w:rsidR="00E838DF" w:rsidRPr="00E838DF" w:rsidRDefault="00E838DF" w:rsidP="00E838DF">
            <w:pPr>
              <w:spacing w:before="0" w:after="0"/>
              <w:rPr>
                <w:rStyle w:val="BookTitle"/>
              </w:rPr>
            </w:pPr>
            <w:r w:rsidRPr="00E838DF">
              <w:rPr>
                <w:rStyle w:val="BookTitle"/>
              </w:rPr>
              <w:t>Burdekin</w:t>
            </w:r>
          </w:p>
        </w:tc>
        <w:tc>
          <w:tcPr>
            <w:tcW w:w="2678" w:type="dxa"/>
            <w:tcBorders>
              <w:top w:val="single" w:sz="4" w:space="0" w:color="auto"/>
              <w:left w:val="nil"/>
              <w:right w:val="nil"/>
            </w:tcBorders>
            <w:shd w:val="clear" w:color="auto" w:fill="auto"/>
            <w:noWrap/>
            <w:vAlign w:val="center"/>
            <w:hideMark/>
          </w:tcPr>
          <w:p w14:paraId="0C3F7B23" w14:textId="77777777" w:rsidR="00E838DF" w:rsidRPr="00E838DF" w:rsidRDefault="00E838DF" w:rsidP="00E838DF">
            <w:pPr>
              <w:spacing w:before="0" w:after="0"/>
              <w:rPr>
                <w:rStyle w:val="BookTitle"/>
              </w:rPr>
            </w:pPr>
            <w:r w:rsidRPr="00E838DF">
              <w:rPr>
                <w:rStyle w:val="BookTitle"/>
              </w:rPr>
              <w:t>Burdekin</w:t>
            </w:r>
          </w:p>
        </w:tc>
        <w:tc>
          <w:tcPr>
            <w:tcW w:w="1120" w:type="dxa"/>
            <w:tcBorders>
              <w:top w:val="single" w:sz="4" w:space="0" w:color="auto"/>
              <w:left w:val="nil"/>
              <w:right w:val="nil"/>
            </w:tcBorders>
            <w:shd w:val="clear" w:color="auto" w:fill="auto"/>
            <w:noWrap/>
            <w:vAlign w:val="center"/>
            <w:hideMark/>
          </w:tcPr>
          <w:p w14:paraId="0C3F7B24" w14:textId="77777777" w:rsidR="00E838DF" w:rsidRPr="00E838DF" w:rsidRDefault="00E838DF" w:rsidP="00E838DF">
            <w:pPr>
              <w:spacing w:before="0" w:after="0"/>
              <w:rPr>
                <w:rStyle w:val="BookTitle"/>
              </w:rPr>
            </w:pPr>
            <w:r w:rsidRPr="00E838DF">
              <w:rPr>
                <w:rStyle w:val="BookTitle"/>
              </w:rPr>
              <w:t>1</w:t>
            </w:r>
          </w:p>
        </w:tc>
        <w:tc>
          <w:tcPr>
            <w:tcW w:w="1189" w:type="dxa"/>
            <w:tcBorders>
              <w:top w:val="single" w:sz="4" w:space="0" w:color="auto"/>
              <w:left w:val="nil"/>
              <w:right w:val="nil"/>
            </w:tcBorders>
            <w:shd w:val="clear" w:color="auto" w:fill="auto"/>
            <w:noWrap/>
            <w:vAlign w:val="center"/>
            <w:hideMark/>
          </w:tcPr>
          <w:p w14:paraId="0C3F7B25" w14:textId="77777777" w:rsidR="00E838DF" w:rsidRPr="00E838DF" w:rsidRDefault="00E838DF" w:rsidP="00E838DF">
            <w:pPr>
              <w:spacing w:before="0" w:after="0"/>
              <w:rPr>
                <w:rStyle w:val="BookTitle"/>
              </w:rPr>
            </w:pPr>
            <w:r w:rsidRPr="00E838DF">
              <w:rPr>
                <w:rStyle w:val="BookTitle"/>
              </w:rPr>
              <w:t>36</w:t>
            </w:r>
          </w:p>
        </w:tc>
        <w:tc>
          <w:tcPr>
            <w:tcW w:w="1618" w:type="dxa"/>
            <w:tcBorders>
              <w:top w:val="single" w:sz="4" w:space="0" w:color="auto"/>
              <w:left w:val="nil"/>
              <w:right w:val="nil"/>
            </w:tcBorders>
            <w:shd w:val="clear" w:color="auto" w:fill="auto"/>
            <w:noWrap/>
            <w:vAlign w:val="center"/>
            <w:hideMark/>
          </w:tcPr>
          <w:p w14:paraId="0C3F7B26" w14:textId="77777777" w:rsidR="00E838DF" w:rsidRPr="00E838DF" w:rsidRDefault="00E838DF" w:rsidP="00E838DF">
            <w:pPr>
              <w:spacing w:before="0" w:after="0"/>
              <w:rPr>
                <w:rStyle w:val="BookTitle"/>
              </w:rPr>
            </w:pPr>
            <w:r w:rsidRPr="00E838DF">
              <w:rPr>
                <w:rStyle w:val="BookTitle"/>
              </w:rPr>
              <w:t>13/03/2013</w:t>
            </w:r>
          </w:p>
        </w:tc>
        <w:tc>
          <w:tcPr>
            <w:tcW w:w="1461" w:type="dxa"/>
            <w:tcBorders>
              <w:top w:val="single" w:sz="4" w:space="0" w:color="auto"/>
              <w:left w:val="nil"/>
              <w:right w:val="nil"/>
            </w:tcBorders>
            <w:shd w:val="clear" w:color="auto" w:fill="auto"/>
            <w:noWrap/>
            <w:vAlign w:val="center"/>
            <w:hideMark/>
          </w:tcPr>
          <w:p w14:paraId="0C3F7B27" w14:textId="77777777" w:rsidR="00E838DF" w:rsidRPr="00E838DF" w:rsidRDefault="00E838DF" w:rsidP="00E838DF">
            <w:pPr>
              <w:spacing w:before="0" w:after="0"/>
              <w:rPr>
                <w:rStyle w:val="BookTitle"/>
              </w:rPr>
            </w:pPr>
            <w:r w:rsidRPr="00E838DF">
              <w:rPr>
                <w:rStyle w:val="BookTitle"/>
              </w:rPr>
              <w:t>18/03/2013</w:t>
            </w:r>
          </w:p>
        </w:tc>
      </w:tr>
      <w:tr w:rsidR="00E838DF" w:rsidRPr="00E838DF" w14:paraId="0C3F7B2F" w14:textId="77777777" w:rsidTr="00E838DF">
        <w:trPr>
          <w:trHeight w:val="20"/>
        </w:trPr>
        <w:tc>
          <w:tcPr>
            <w:tcW w:w="1240" w:type="dxa"/>
            <w:vMerge/>
            <w:tcBorders>
              <w:left w:val="nil"/>
              <w:bottom w:val="single" w:sz="4" w:space="0" w:color="auto"/>
              <w:right w:val="nil"/>
            </w:tcBorders>
            <w:shd w:val="clear" w:color="auto" w:fill="auto"/>
            <w:noWrap/>
            <w:vAlign w:val="center"/>
          </w:tcPr>
          <w:p w14:paraId="0C3F7B29" w14:textId="77777777" w:rsidR="00E838DF" w:rsidRPr="00E838DF" w:rsidRDefault="00E838DF" w:rsidP="00E838DF">
            <w:pPr>
              <w:spacing w:before="0" w:after="0"/>
              <w:rPr>
                <w:rStyle w:val="BookTitle"/>
              </w:rPr>
            </w:pPr>
          </w:p>
        </w:tc>
        <w:tc>
          <w:tcPr>
            <w:tcW w:w="2678" w:type="dxa"/>
            <w:tcBorders>
              <w:top w:val="nil"/>
              <w:left w:val="nil"/>
              <w:bottom w:val="single" w:sz="4" w:space="0" w:color="auto"/>
              <w:right w:val="nil"/>
            </w:tcBorders>
            <w:shd w:val="clear" w:color="auto" w:fill="auto"/>
            <w:noWrap/>
            <w:vAlign w:val="center"/>
          </w:tcPr>
          <w:p w14:paraId="0C3F7B2A" w14:textId="77777777" w:rsidR="00E838DF" w:rsidRPr="00E838DF" w:rsidRDefault="00E838DF" w:rsidP="00E838DF">
            <w:pPr>
              <w:spacing w:before="0" w:after="0"/>
              <w:rPr>
                <w:rStyle w:val="BookTitle"/>
              </w:rPr>
            </w:pPr>
            <w:r w:rsidRPr="00E838DF">
              <w:rPr>
                <w:rStyle w:val="BookTitle"/>
              </w:rPr>
              <w:t>Don</w:t>
            </w:r>
          </w:p>
        </w:tc>
        <w:tc>
          <w:tcPr>
            <w:tcW w:w="1120" w:type="dxa"/>
            <w:tcBorders>
              <w:top w:val="nil"/>
              <w:left w:val="nil"/>
              <w:bottom w:val="single" w:sz="4" w:space="0" w:color="auto"/>
              <w:right w:val="nil"/>
            </w:tcBorders>
            <w:shd w:val="clear" w:color="auto" w:fill="auto"/>
            <w:noWrap/>
            <w:vAlign w:val="center"/>
          </w:tcPr>
          <w:p w14:paraId="0C3F7B2B" w14:textId="77777777" w:rsidR="00E838DF" w:rsidRPr="00E838DF" w:rsidRDefault="00E838DF" w:rsidP="00E838DF">
            <w:pPr>
              <w:spacing w:before="0" w:after="0"/>
              <w:rPr>
                <w:rStyle w:val="BookTitle"/>
              </w:rPr>
            </w:pPr>
            <w:r w:rsidRPr="00E838DF">
              <w:rPr>
                <w:rStyle w:val="BookTitle"/>
              </w:rPr>
              <w:t>1</w:t>
            </w:r>
          </w:p>
        </w:tc>
        <w:tc>
          <w:tcPr>
            <w:tcW w:w="1189" w:type="dxa"/>
            <w:tcBorders>
              <w:top w:val="nil"/>
              <w:left w:val="nil"/>
              <w:bottom w:val="single" w:sz="4" w:space="0" w:color="auto"/>
              <w:right w:val="nil"/>
            </w:tcBorders>
            <w:shd w:val="clear" w:color="auto" w:fill="auto"/>
            <w:noWrap/>
            <w:vAlign w:val="center"/>
          </w:tcPr>
          <w:p w14:paraId="0C3F7B2C" w14:textId="77777777" w:rsidR="00E838DF" w:rsidRPr="00E838DF" w:rsidRDefault="00E838DF" w:rsidP="00E838DF">
            <w:pPr>
              <w:spacing w:before="0" w:after="0"/>
              <w:rPr>
                <w:rStyle w:val="BookTitle"/>
              </w:rPr>
            </w:pPr>
            <w:r w:rsidRPr="00E838DF">
              <w:rPr>
                <w:rStyle w:val="BookTitle"/>
              </w:rPr>
              <w:t>11</w:t>
            </w:r>
          </w:p>
        </w:tc>
        <w:tc>
          <w:tcPr>
            <w:tcW w:w="1618" w:type="dxa"/>
            <w:tcBorders>
              <w:top w:val="nil"/>
              <w:left w:val="nil"/>
              <w:bottom w:val="single" w:sz="4" w:space="0" w:color="auto"/>
              <w:right w:val="nil"/>
            </w:tcBorders>
            <w:shd w:val="clear" w:color="auto" w:fill="auto"/>
            <w:noWrap/>
            <w:vAlign w:val="center"/>
          </w:tcPr>
          <w:p w14:paraId="0C3F7B2D" w14:textId="77777777" w:rsidR="00E838DF" w:rsidRPr="00E838DF" w:rsidRDefault="00E838DF" w:rsidP="00E838DF">
            <w:pPr>
              <w:spacing w:before="0" w:after="0"/>
              <w:rPr>
                <w:rStyle w:val="BookTitle"/>
              </w:rPr>
            </w:pPr>
            <w:r w:rsidRPr="00E838DF">
              <w:rPr>
                <w:rStyle w:val="BookTitle"/>
              </w:rPr>
              <w:t>14/03/2013</w:t>
            </w:r>
          </w:p>
        </w:tc>
        <w:tc>
          <w:tcPr>
            <w:tcW w:w="1461" w:type="dxa"/>
            <w:tcBorders>
              <w:top w:val="nil"/>
              <w:left w:val="nil"/>
              <w:bottom w:val="single" w:sz="4" w:space="0" w:color="auto"/>
              <w:right w:val="nil"/>
            </w:tcBorders>
            <w:shd w:val="clear" w:color="auto" w:fill="auto"/>
            <w:noWrap/>
            <w:vAlign w:val="center"/>
          </w:tcPr>
          <w:p w14:paraId="0C3F7B2E" w14:textId="77777777" w:rsidR="00E838DF" w:rsidRPr="00E838DF" w:rsidRDefault="00E838DF" w:rsidP="00E838DF">
            <w:pPr>
              <w:spacing w:before="0" w:after="0"/>
              <w:rPr>
                <w:rStyle w:val="BookTitle"/>
              </w:rPr>
            </w:pPr>
            <w:r w:rsidRPr="00E838DF">
              <w:rPr>
                <w:rStyle w:val="BookTitle"/>
              </w:rPr>
              <w:t>16/03/2013</w:t>
            </w:r>
          </w:p>
        </w:tc>
      </w:tr>
      <w:tr w:rsidR="00E838DF" w:rsidRPr="00E838DF" w14:paraId="0C3F7B36" w14:textId="77777777" w:rsidTr="00E838DF">
        <w:trPr>
          <w:trHeight w:val="20"/>
        </w:trPr>
        <w:tc>
          <w:tcPr>
            <w:tcW w:w="1240" w:type="dxa"/>
            <w:tcBorders>
              <w:top w:val="nil"/>
              <w:left w:val="nil"/>
              <w:bottom w:val="single" w:sz="4" w:space="0" w:color="auto"/>
              <w:right w:val="nil"/>
            </w:tcBorders>
            <w:shd w:val="clear" w:color="auto" w:fill="auto"/>
            <w:noWrap/>
            <w:vAlign w:val="center"/>
            <w:hideMark/>
          </w:tcPr>
          <w:p w14:paraId="0C3F7B30" w14:textId="77777777" w:rsidR="00E838DF" w:rsidRPr="009C4D9F" w:rsidRDefault="00E838DF" w:rsidP="00E838DF">
            <w:pPr>
              <w:spacing w:before="0" w:after="0"/>
              <w:rPr>
                <w:rStyle w:val="BookTitle"/>
                <w:i/>
              </w:rPr>
            </w:pPr>
            <w:r w:rsidRPr="009C4D9F">
              <w:rPr>
                <w:rStyle w:val="BookTitle"/>
                <w:i/>
              </w:rPr>
              <w:t>Burnet-Mary</w:t>
            </w:r>
          </w:p>
        </w:tc>
        <w:tc>
          <w:tcPr>
            <w:tcW w:w="2678" w:type="dxa"/>
            <w:tcBorders>
              <w:top w:val="single" w:sz="4" w:space="0" w:color="auto"/>
              <w:left w:val="nil"/>
              <w:bottom w:val="single" w:sz="4" w:space="0" w:color="auto"/>
              <w:right w:val="nil"/>
            </w:tcBorders>
            <w:shd w:val="clear" w:color="auto" w:fill="auto"/>
            <w:noWrap/>
            <w:vAlign w:val="center"/>
            <w:hideMark/>
          </w:tcPr>
          <w:p w14:paraId="0C3F7B31" w14:textId="77777777" w:rsidR="00E838DF" w:rsidRPr="009C4D9F" w:rsidRDefault="00E838DF" w:rsidP="00E838DF">
            <w:pPr>
              <w:spacing w:before="0" w:after="0"/>
              <w:rPr>
                <w:rStyle w:val="BookTitle"/>
                <w:i/>
              </w:rPr>
            </w:pPr>
            <w:r w:rsidRPr="009C4D9F">
              <w:rPr>
                <w:rStyle w:val="BookTitle"/>
                <w:i/>
              </w:rPr>
              <w:t>Mary</w:t>
            </w:r>
          </w:p>
        </w:tc>
        <w:tc>
          <w:tcPr>
            <w:tcW w:w="1120" w:type="dxa"/>
            <w:tcBorders>
              <w:top w:val="single" w:sz="4" w:space="0" w:color="auto"/>
              <w:left w:val="nil"/>
              <w:bottom w:val="single" w:sz="4" w:space="0" w:color="auto"/>
              <w:right w:val="nil"/>
            </w:tcBorders>
            <w:shd w:val="clear" w:color="auto" w:fill="auto"/>
            <w:noWrap/>
            <w:vAlign w:val="center"/>
            <w:hideMark/>
          </w:tcPr>
          <w:p w14:paraId="0C3F7B32" w14:textId="77777777" w:rsidR="00E838DF" w:rsidRPr="009C4D9F" w:rsidRDefault="00E838DF" w:rsidP="00E838DF">
            <w:pPr>
              <w:spacing w:before="0" w:after="0"/>
              <w:rPr>
                <w:rStyle w:val="BookTitle"/>
                <w:i/>
              </w:rPr>
            </w:pPr>
            <w:r w:rsidRPr="009C4D9F">
              <w:rPr>
                <w:rStyle w:val="BookTitle"/>
                <w:i/>
              </w:rPr>
              <w:t>1</w:t>
            </w:r>
          </w:p>
        </w:tc>
        <w:tc>
          <w:tcPr>
            <w:tcW w:w="1189" w:type="dxa"/>
            <w:tcBorders>
              <w:top w:val="single" w:sz="4" w:space="0" w:color="auto"/>
              <w:left w:val="nil"/>
              <w:bottom w:val="single" w:sz="4" w:space="0" w:color="auto"/>
              <w:right w:val="nil"/>
            </w:tcBorders>
            <w:shd w:val="clear" w:color="auto" w:fill="auto"/>
            <w:noWrap/>
            <w:vAlign w:val="center"/>
            <w:hideMark/>
          </w:tcPr>
          <w:p w14:paraId="0C3F7B33" w14:textId="77777777" w:rsidR="00E838DF" w:rsidRPr="009C4D9F" w:rsidRDefault="00E838DF" w:rsidP="00E838DF">
            <w:pPr>
              <w:spacing w:before="0" w:after="0"/>
              <w:rPr>
                <w:rStyle w:val="BookTitle"/>
                <w:i/>
              </w:rPr>
            </w:pPr>
            <w:r w:rsidRPr="009C4D9F">
              <w:rPr>
                <w:rStyle w:val="BookTitle"/>
                <w:i/>
              </w:rPr>
              <w:t>12</w:t>
            </w:r>
          </w:p>
        </w:tc>
        <w:tc>
          <w:tcPr>
            <w:tcW w:w="1618" w:type="dxa"/>
            <w:tcBorders>
              <w:top w:val="single" w:sz="4" w:space="0" w:color="auto"/>
              <w:left w:val="nil"/>
              <w:bottom w:val="single" w:sz="4" w:space="0" w:color="auto"/>
              <w:right w:val="nil"/>
            </w:tcBorders>
            <w:shd w:val="clear" w:color="auto" w:fill="auto"/>
            <w:noWrap/>
            <w:vAlign w:val="center"/>
            <w:hideMark/>
          </w:tcPr>
          <w:p w14:paraId="0C3F7B34" w14:textId="77777777" w:rsidR="00E838DF" w:rsidRPr="009C4D9F" w:rsidRDefault="00E838DF" w:rsidP="00E838DF">
            <w:pPr>
              <w:spacing w:before="0" w:after="0"/>
              <w:rPr>
                <w:rStyle w:val="BookTitle"/>
                <w:i/>
              </w:rPr>
            </w:pPr>
            <w:r w:rsidRPr="009C4D9F">
              <w:rPr>
                <w:rStyle w:val="BookTitle"/>
                <w:i/>
              </w:rPr>
              <w:t>08/02/2013</w:t>
            </w:r>
          </w:p>
        </w:tc>
        <w:tc>
          <w:tcPr>
            <w:tcW w:w="1461" w:type="dxa"/>
            <w:tcBorders>
              <w:top w:val="single" w:sz="4" w:space="0" w:color="auto"/>
              <w:left w:val="nil"/>
              <w:bottom w:val="single" w:sz="4" w:space="0" w:color="auto"/>
              <w:right w:val="nil"/>
            </w:tcBorders>
            <w:shd w:val="clear" w:color="auto" w:fill="auto"/>
            <w:noWrap/>
            <w:vAlign w:val="center"/>
            <w:hideMark/>
          </w:tcPr>
          <w:p w14:paraId="0C3F7B35" w14:textId="77777777" w:rsidR="00E838DF" w:rsidRPr="009C4D9F" w:rsidRDefault="00E838DF" w:rsidP="00E838DF">
            <w:pPr>
              <w:spacing w:before="0" w:after="0"/>
              <w:rPr>
                <w:rStyle w:val="BookTitle"/>
                <w:i/>
              </w:rPr>
            </w:pPr>
            <w:r w:rsidRPr="009C4D9F">
              <w:rPr>
                <w:rStyle w:val="BookTitle"/>
                <w:i/>
              </w:rPr>
              <w:t>09/02/2013</w:t>
            </w:r>
          </w:p>
        </w:tc>
      </w:tr>
    </w:tbl>
    <w:p w14:paraId="0C3F7B37" w14:textId="77777777" w:rsidR="00E838DF" w:rsidRDefault="00E838DF" w:rsidP="00E838DF"/>
    <w:p w14:paraId="0C3F7B38" w14:textId="77777777" w:rsidR="00E838DF" w:rsidRDefault="00110A7F" w:rsidP="00110A7F">
      <w:pPr>
        <w:pStyle w:val="Caption"/>
      </w:pPr>
      <w:bookmarkStart w:id="13" w:name="_Toc434208061"/>
      <w:r>
        <w:t xml:space="preserve">Table </w:t>
      </w:r>
      <w:r w:rsidR="00AE4287">
        <w:fldChar w:fldCharType="begin"/>
      </w:r>
      <w:r w:rsidR="00AE4287">
        <w:instrText xml:space="preserve"> STYLEREF 1 \s </w:instrText>
      </w:r>
      <w:r w:rsidR="00AE4287">
        <w:fldChar w:fldCharType="separate"/>
      </w:r>
      <w:r w:rsidR="00B62B50">
        <w:rPr>
          <w:noProof/>
        </w:rPr>
        <w:t>1</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2</w:t>
      </w:r>
      <w:r w:rsidR="00AE4287">
        <w:fldChar w:fldCharType="end"/>
      </w:r>
      <w:r>
        <w:t xml:space="preserve">: </w:t>
      </w:r>
      <w:r w:rsidR="00E838DF">
        <w:t>List of all water quality parameters collected as part of the MMP wet season water quality program</w:t>
      </w:r>
      <w:r w:rsidR="00D23397">
        <w:t>.</w:t>
      </w:r>
      <w:bookmarkEnd w:id="13"/>
    </w:p>
    <w:tbl>
      <w:tblPr>
        <w:tblStyle w:val="TableGrid"/>
        <w:tblW w:w="9198" w:type="dxa"/>
        <w:tblLook w:val="04A0" w:firstRow="1" w:lastRow="0" w:firstColumn="1" w:lastColumn="0" w:noHBand="0" w:noVBand="1"/>
        <w:tblCaption w:val="List of all water quality parameters collected as part of the MMP wet season water quality program."/>
        <w:tblDescription w:val="List of all water quality parameters collected as part of the MMP wet season water quality program."/>
      </w:tblPr>
      <w:tblGrid>
        <w:gridCol w:w="1908"/>
        <w:gridCol w:w="3780"/>
        <w:gridCol w:w="1620"/>
        <w:gridCol w:w="1890"/>
      </w:tblGrid>
      <w:tr w:rsidR="00E838DF" w:rsidRPr="00E838DF" w14:paraId="0C3F7B3D" w14:textId="77777777" w:rsidTr="00110A7F">
        <w:tc>
          <w:tcPr>
            <w:tcW w:w="1908" w:type="dxa"/>
            <w:tcBorders>
              <w:top w:val="single" w:sz="4" w:space="0" w:color="auto"/>
              <w:left w:val="nil"/>
              <w:bottom w:val="single" w:sz="4" w:space="0" w:color="auto"/>
              <w:right w:val="nil"/>
            </w:tcBorders>
          </w:tcPr>
          <w:p w14:paraId="0C3F7B39" w14:textId="77777777" w:rsidR="00E838DF" w:rsidRPr="00E838DF" w:rsidRDefault="00E838DF" w:rsidP="00E838DF">
            <w:pPr>
              <w:spacing w:before="0" w:after="0"/>
              <w:rPr>
                <w:rStyle w:val="BookTitle"/>
              </w:rPr>
            </w:pPr>
            <w:r w:rsidRPr="00E838DF">
              <w:rPr>
                <w:rStyle w:val="BookTitle"/>
              </w:rPr>
              <w:t>Condition</w:t>
            </w:r>
          </w:p>
        </w:tc>
        <w:tc>
          <w:tcPr>
            <w:tcW w:w="3780" w:type="dxa"/>
            <w:tcBorders>
              <w:top w:val="single" w:sz="4" w:space="0" w:color="auto"/>
              <w:left w:val="nil"/>
              <w:bottom w:val="single" w:sz="4" w:space="0" w:color="auto"/>
              <w:right w:val="nil"/>
            </w:tcBorders>
          </w:tcPr>
          <w:p w14:paraId="0C3F7B3A" w14:textId="77777777" w:rsidR="00E838DF" w:rsidRPr="00E838DF" w:rsidRDefault="00E838DF" w:rsidP="00E838DF">
            <w:pPr>
              <w:spacing w:before="0" w:after="0"/>
              <w:rPr>
                <w:rStyle w:val="BookTitle"/>
              </w:rPr>
            </w:pPr>
            <w:r w:rsidRPr="00E838DF">
              <w:rPr>
                <w:rStyle w:val="BookTitle"/>
              </w:rPr>
              <w:t>Parameter</w:t>
            </w:r>
          </w:p>
        </w:tc>
        <w:tc>
          <w:tcPr>
            <w:tcW w:w="1620" w:type="dxa"/>
            <w:tcBorders>
              <w:top w:val="single" w:sz="4" w:space="0" w:color="auto"/>
              <w:left w:val="nil"/>
              <w:bottom w:val="single" w:sz="4" w:space="0" w:color="auto"/>
              <w:right w:val="nil"/>
            </w:tcBorders>
          </w:tcPr>
          <w:p w14:paraId="0C3F7B3B" w14:textId="77777777" w:rsidR="00E838DF" w:rsidRPr="00E838DF" w:rsidRDefault="00E838DF" w:rsidP="00E838DF">
            <w:pPr>
              <w:spacing w:before="0" w:after="0"/>
              <w:rPr>
                <w:rStyle w:val="BookTitle"/>
              </w:rPr>
            </w:pPr>
            <w:r w:rsidRPr="00E838DF">
              <w:rPr>
                <w:rStyle w:val="BookTitle"/>
              </w:rPr>
              <w:t>Terminology</w:t>
            </w:r>
          </w:p>
        </w:tc>
        <w:tc>
          <w:tcPr>
            <w:tcW w:w="1890" w:type="dxa"/>
            <w:tcBorders>
              <w:top w:val="single" w:sz="4" w:space="0" w:color="auto"/>
              <w:left w:val="nil"/>
              <w:bottom w:val="single" w:sz="4" w:space="0" w:color="auto"/>
              <w:right w:val="nil"/>
            </w:tcBorders>
          </w:tcPr>
          <w:p w14:paraId="0C3F7B3C" w14:textId="77777777" w:rsidR="00E838DF" w:rsidRPr="00E838DF" w:rsidRDefault="00E838DF" w:rsidP="00E838DF">
            <w:pPr>
              <w:spacing w:before="0" w:after="0"/>
              <w:rPr>
                <w:rStyle w:val="BookTitle"/>
              </w:rPr>
            </w:pPr>
            <w:r w:rsidRPr="00E838DF">
              <w:rPr>
                <w:rStyle w:val="BookTitle"/>
              </w:rPr>
              <w:t>Units of Measure</w:t>
            </w:r>
          </w:p>
        </w:tc>
      </w:tr>
      <w:tr w:rsidR="00E838DF" w:rsidRPr="00E838DF" w14:paraId="0C3F7B42" w14:textId="77777777" w:rsidTr="00110A7F">
        <w:tc>
          <w:tcPr>
            <w:tcW w:w="1908" w:type="dxa"/>
            <w:tcBorders>
              <w:top w:val="single" w:sz="4" w:space="0" w:color="auto"/>
              <w:left w:val="nil"/>
              <w:bottom w:val="nil"/>
              <w:right w:val="nil"/>
            </w:tcBorders>
          </w:tcPr>
          <w:p w14:paraId="0C3F7B3E" w14:textId="77777777" w:rsidR="00E838DF" w:rsidRPr="00E838DF" w:rsidRDefault="00E838DF" w:rsidP="00E838DF">
            <w:pPr>
              <w:spacing w:before="0" w:after="0"/>
              <w:rPr>
                <w:rStyle w:val="BookTitle"/>
              </w:rPr>
            </w:pPr>
            <w:r w:rsidRPr="00E838DF">
              <w:rPr>
                <w:rStyle w:val="BookTitle"/>
              </w:rPr>
              <w:t>Physico-chemical</w:t>
            </w:r>
          </w:p>
        </w:tc>
        <w:tc>
          <w:tcPr>
            <w:tcW w:w="3780" w:type="dxa"/>
            <w:tcBorders>
              <w:top w:val="single" w:sz="4" w:space="0" w:color="auto"/>
              <w:left w:val="nil"/>
              <w:bottom w:val="nil"/>
              <w:right w:val="nil"/>
            </w:tcBorders>
          </w:tcPr>
          <w:p w14:paraId="0C3F7B3F" w14:textId="77777777" w:rsidR="00E838DF" w:rsidRPr="00E838DF" w:rsidRDefault="00E838DF" w:rsidP="00E838DF">
            <w:pPr>
              <w:spacing w:before="0" w:after="0"/>
              <w:rPr>
                <w:rStyle w:val="BookTitle"/>
              </w:rPr>
            </w:pPr>
            <w:r w:rsidRPr="00E838DF">
              <w:rPr>
                <w:rStyle w:val="BookTitle"/>
              </w:rPr>
              <w:t>Salinity</w:t>
            </w:r>
          </w:p>
        </w:tc>
        <w:tc>
          <w:tcPr>
            <w:tcW w:w="1620" w:type="dxa"/>
            <w:tcBorders>
              <w:top w:val="single" w:sz="4" w:space="0" w:color="auto"/>
              <w:left w:val="nil"/>
              <w:bottom w:val="nil"/>
              <w:right w:val="nil"/>
            </w:tcBorders>
          </w:tcPr>
          <w:p w14:paraId="0C3F7B40" w14:textId="77777777" w:rsidR="00E838DF" w:rsidRPr="00E838DF" w:rsidRDefault="00E838DF" w:rsidP="00E838DF">
            <w:pPr>
              <w:spacing w:before="0" w:after="0"/>
              <w:rPr>
                <w:rStyle w:val="BookTitle"/>
              </w:rPr>
            </w:pPr>
            <w:r w:rsidRPr="00E838DF">
              <w:rPr>
                <w:rStyle w:val="BookTitle"/>
              </w:rPr>
              <w:t>Salinity</w:t>
            </w:r>
          </w:p>
        </w:tc>
        <w:tc>
          <w:tcPr>
            <w:tcW w:w="1890" w:type="dxa"/>
            <w:tcBorders>
              <w:top w:val="single" w:sz="4" w:space="0" w:color="auto"/>
              <w:left w:val="nil"/>
              <w:bottom w:val="nil"/>
              <w:right w:val="nil"/>
            </w:tcBorders>
          </w:tcPr>
          <w:p w14:paraId="0C3F7B41" w14:textId="77777777" w:rsidR="00E838DF" w:rsidRPr="00E838DF" w:rsidRDefault="00D23397" w:rsidP="00E838DF">
            <w:pPr>
              <w:spacing w:before="0" w:after="0"/>
              <w:rPr>
                <w:rStyle w:val="BookTitle"/>
              </w:rPr>
            </w:pPr>
            <w:r>
              <w:rPr>
                <w:rStyle w:val="BookTitle"/>
              </w:rPr>
              <w:t>PSU</w:t>
            </w:r>
          </w:p>
        </w:tc>
      </w:tr>
      <w:tr w:rsidR="00E838DF" w:rsidRPr="00E838DF" w14:paraId="0C3F7B47" w14:textId="77777777" w:rsidTr="00E838DF">
        <w:trPr>
          <w:trHeight w:val="233"/>
        </w:trPr>
        <w:tc>
          <w:tcPr>
            <w:tcW w:w="1908" w:type="dxa"/>
            <w:tcBorders>
              <w:top w:val="nil"/>
              <w:left w:val="nil"/>
              <w:bottom w:val="nil"/>
              <w:right w:val="nil"/>
            </w:tcBorders>
          </w:tcPr>
          <w:p w14:paraId="0C3F7B43" w14:textId="77777777" w:rsidR="00E838DF" w:rsidRPr="00E838DF" w:rsidRDefault="00E838DF" w:rsidP="00E838DF">
            <w:pPr>
              <w:spacing w:before="0" w:after="0"/>
              <w:rPr>
                <w:rStyle w:val="BookTitle"/>
              </w:rPr>
            </w:pPr>
          </w:p>
        </w:tc>
        <w:tc>
          <w:tcPr>
            <w:tcW w:w="3780" w:type="dxa"/>
            <w:tcBorders>
              <w:top w:val="nil"/>
              <w:left w:val="nil"/>
              <w:bottom w:val="nil"/>
              <w:right w:val="nil"/>
            </w:tcBorders>
          </w:tcPr>
          <w:p w14:paraId="0C3F7B44" w14:textId="77777777" w:rsidR="00E838DF" w:rsidRPr="00E838DF" w:rsidRDefault="00E838DF" w:rsidP="00E838DF">
            <w:pPr>
              <w:spacing w:before="0" w:after="0"/>
              <w:rPr>
                <w:rStyle w:val="BookTitle"/>
              </w:rPr>
            </w:pPr>
            <w:r w:rsidRPr="00E838DF">
              <w:rPr>
                <w:rStyle w:val="BookTitle"/>
              </w:rPr>
              <w:t>Temperature</w:t>
            </w:r>
          </w:p>
        </w:tc>
        <w:tc>
          <w:tcPr>
            <w:tcW w:w="1620" w:type="dxa"/>
            <w:tcBorders>
              <w:top w:val="nil"/>
              <w:left w:val="nil"/>
              <w:bottom w:val="nil"/>
              <w:right w:val="nil"/>
            </w:tcBorders>
          </w:tcPr>
          <w:p w14:paraId="0C3F7B45" w14:textId="77777777" w:rsidR="00E838DF" w:rsidRPr="00E838DF" w:rsidRDefault="00E838DF" w:rsidP="00E838DF">
            <w:pPr>
              <w:spacing w:before="0" w:after="0"/>
              <w:rPr>
                <w:rStyle w:val="BookTitle"/>
              </w:rPr>
            </w:pPr>
            <w:r w:rsidRPr="00E838DF">
              <w:rPr>
                <w:rStyle w:val="BookTitle"/>
              </w:rPr>
              <w:t>Temperature</w:t>
            </w:r>
          </w:p>
        </w:tc>
        <w:tc>
          <w:tcPr>
            <w:tcW w:w="1890" w:type="dxa"/>
            <w:tcBorders>
              <w:top w:val="nil"/>
              <w:left w:val="nil"/>
              <w:bottom w:val="nil"/>
              <w:right w:val="nil"/>
            </w:tcBorders>
          </w:tcPr>
          <w:p w14:paraId="0C3F7B46" w14:textId="77777777" w:rsidR="00E838DF" w:rsidRPr="00E838DF" w:rsidRDefault="00D23397" w:rsidP="00E838DF">
            <w:pPr>
              <w:spacing w:before="0" w:after="0"/>
              <w:rPr>
                <w:rStyle w:val="BookTitle"/>
              </w:rPr>
            </w:pPr>
            <w:r>
              <w:rPr>
                <w:rStyle w:val="BookTitle"/>
              </w:rPr>
              <w:t>Celsius degree</w:t>
            </w:r>
          </w:p>
        </w:tc>
      </w:tr>
      <w:tr w:rsidR="00E838DF" w:rsidRPr="00E838DF" w14:paraId="0C3F7B4C" w14:textId="77777777" w:rsidTr="00110A7F">
        <w:tc>
          <w:tcPr>
            <w:tcW w:w="1908" w:type="dxa"/>
            <w:tcBorders>
              <w:top w:val="nil"/>
              <w:left w:val="nil"/>
              <w:bottom w:val="single" w:sz="4" w:space="0" w:color="auto"/>
              <w:right w:val="nil"/>
            </w:tcBorders>
          </w:tcPr>
          <w:p w14:paraId="0C3F7B48" w14:textId="77777777" w:rsidR="00E838DF" w:rsidRPr="00E838DF" w:rsidRDefault="00E838DF" w:rsidP="00E838DF">
            <w:pPr>
              <w:spacing w:before="0" w:after="0"/>
              <w:rPr>
                <w:rStyle w:val="BookTitle"/>
              </w:rPr>
            </w:pPr>
          </w:p>
        </w:tc>
        <w:tc>
          <w:tcPr>
            <w:tcW w:w="3780" w:type="dxa"/>
            <w:tcBorders>
              <w:top w:val="nil"/>
              <w:left w:val="nil"/>
              <w:bottom w:val="single" w:sz="4" w:space="0" w:color="auto"/>
              <w:right w:val="nil"/>
            </w:tcBorders>
          </w:tcPr>
          <w:p w14:paraId="0C3F7B49" w14:textId="77777777" w:rsidR="00E838DF" w:rsidRPr="00E838DF" w:rsidRDefault="00E838DF" w:rsidP="00E838DF">
            <w:pPr>
              <w:spacing w:before="0" w:after="0"/>
              <w:rPr>
                <w:rStyle w:val="BookTitle"/>
              </w:rPr>
            </w:pPr>
            <w:r w:rsidRPr="00E838DF">
              <w:rPr>
                <w:rStyle w:val="BookTitle"/>
              </w:rPr>
              <w:t>Dissolved Oxygen</w:t>
            </w:r>
          </w:p>
        </w:tc>
        <w:tc>
          <w:tcPr>
            <w:tcW w:w="1620" w:type="dxa"/>
            <w:tcBorders>
              <w:top w:val="nil"/>
              <w:left w:val="nil"/>
              <w:bottom w:val="single" w:sz="4" w:space="0" w:color="auto"/>
              <w:right w:val="nil"/>
            </w:tcBorders>
          </w:tcPr>
          <w:p w14:paraId="0C3F7B4A" w14:textId="77777777" w:rsidR="00E838DF" w:rsidRPr="00E838DF" w:rsidRDefault="00E838DF" w:rsidP="00E838DF">
            <w:pPr>
              <w:spacing w:before="0" w:after="0"/>
              <w:rPr>
                <w:rStyle w:val="BookTitle"/>
              </w:rPr>
            </w:pPr>
            <w:r w:rsidRPr="00E838DF">
              <w:rPr>
                <w:rStyle w:val="BookTitle"/>
              </w:rPr>
              <w:t>DO</w:t>
            </w:r>
          </w:p>
        </w:tc>
        <w:tc>
          <w:tcPr>
            <w:tcW w:w="1890" w:type="dxa"/>
            <w:tcBorders>
              <w:top w:val="nil"/>
              <w:left w:val="nil"/>
              <w:bottom w:val="single" w:sz="4" w:space="0" w:color="auto"/>
              <w:right w:val="nil"/>
            </w:tcBorders>
          </w:tcPr>
          <w:p w14:paraId="0C3F7B4B" w14:textId="77777777" w:rsidR="00E838DF" w:rsidRPr="00E838DF" w:rsidRDefault="00D23397" w:rsidP="00E838DF">
            <w:pPr>
              <w:spacing w:before="0" w:after="0"/>
              <w:rPr>
                <w:rStyle w:val="BookTitle"/>
              </w:rPr>
            </w:pPr>
            <w:r>
              <w:rPr>
                <w:rStyle w:val="BookTitle"/>
              </w:rPr>
              <w:t>m</w:t>
            </w:r>
            <w:r w:rsidRPr="00E838DF">
              <w:rPr>
                <w:rStyle w:val="BookTitle"/>
              </w:rPr>
              <w:t>g/L</w:t>
            </w:r>
          </w:p>
        </w:tc>
      </w:tr>
      <w:tr w:rsidR="00E838DF" w:rsidRPr="00E838DF" w14:paraId="0C3F7B51" w14:textId="77777777" w:rsidTr="00110A7F">
        <w:tc>
          <w:tcPr>
            <w:tcW w:w="1908" w:type="dxa"/>
            <w:tcBorders>
              <w:top w:val="single" w:sz="4" w:space="0" w:color="auto"/>
              <w:left w:val="nil"/>
              <w:bottom w:val="nil"/>
              <w:right w:val="nil"/>
            </w:tcBorders>
          </w:tcPr>
          <w:p w14:paraId="0C3F7B4D" w14:textId="77777777" w:rsidR="00E838DF" w:rsidRPr="00E838DF" w:rsidRDefault="00E838DF" w:rsidP="00E838DF">
            <w:pPr>
              <w:spacing w:before="0" w:after="0"/>
              <w:rPr>
                <w:rStyle w:val="BookTitle"/>
              </w:rPr>
            </w:pPr>
            <w:r w:rsidRPr="00E838DF">
              <w:rPr>
                <w:rStyle w:val="BookTitle"/>
              </w:rPr>
              <w:t>Turbidity</w:t>
            </w:r>
          </w:p>
        </w:tc>
        <w:tc>
          <w:tcPr>
            <w:tcW w:w="3780" w:type="dxa"/>
            <w:tcBorders>
              <w:top w:val="single" w:sz="4" w:space="0" w:color="auto"/>
              <w:left w:val="nil"/>
              <w:bottom w:val="nil"/>
              <w:right w:val="nil"/>
            </w:tcBorders>
          </w:tcPr>
          <w:p w14:paraId="0C3F7B4E" w14:textId="77777777" w:rsidR="00E838DF" w:rsidRPr="00E838DF" w:rsidRDefault="00E838DF" w:rsidP="00E838DF">
            <w:pPr>
              <w:spacing w:before="0" w:after="0"/>
              <w:rPr>
                <w:rStyle w:val="BookTitle"/>
              </w:rPr>
            </w:pPr>
            <w:r w:rsidRPr="00E838DF">
              <w:rPr>
                <w:rStyle w:val="BookTitle"/>
              </w:rPr>
              <w:t xml:space="preserve">Total Suspended Sediment </w:t>
            </w:r>
          </w:p>
        </w:tc>
        <w:tc>
          <w:tcPr>
            <w:tcW w:w="1620" w:type="dxa"/>
            <w:tcBorders>
              <w:top w:val="single" w:sz="4" w:space="0" w:color="auto"/>
              <w:left w:val="nil"/>
              <w:bottom w:val="nil"/>
              <w:right w:val="nil"/>
            </w:tcBorders>
          </w:tcPr>
          <w:p w14:paraId="0C3F7B4F" w14:textId="77777777" w:rsidR="00E838DF" w:rsidRPr="00E838DF" w:rsidRDefault="00E838DF" w:rsidP="00E838DF">
            <w:pPr>
              <w:spacing w:before="0" w:after="0"/>
              <w:rPr>
                <w:rStyle w:val="BookTitle"/>
              </w:rPr>
            </w:pPr>
            <w:r w:rsidRPr="00E838DF">
              <w:rPr>
                <w:rStyle w:val="BookTitle"/>
              </w:rPr>
              <w:t>TSS</w:t>
            </w:r>
          </w:p>
        </w:tc>
        <w:tc>
          <w:tcPr>
            <w:tcW w:w="1890" w:type="dxa"/>
            <w:tcBorders>
              <w:top w:val="single" w:sz="4" w:space="0" w:color="auto"/>
              <w:left w:val="nil"/>
              <w:bottom w:val="nil"/>
              <w:right w:val="nil"/>
            </w:tcBorders>
          </w:tcPr>
          <w:p w14:paraId="0C3F7B50" w14:textId="77777777" w:rsidR="00E838DF" w:rsidRPr="00E838DF" w:rsidRDefault="00E838DF" w:rsidP="00E838DF">
            <w:pPr>
              <w:spacing w:before="0" w:after="0"/>
              <w:rPr>
                <w:rStyle w:val="BookTitle"/>
              </w:rPr>
            </w:pPr>
            <w:r w:rsidRPr="00E838DF">
              <w:rPr>
                <w:rStyle w:val="BookTitle"/>
              </w:rPr>
              <w:t>mg/L</w:t>
            </w:r>
          </w:p>
        </w:tc>
      </w:tr>
      <w:tr w:rsidR="00E838DF" w:rsidRPr="00E838DF" w14:paraId="0C3F7B56" w14:textId="77777777" w:rsidTr="00110A7F">
        <w:tc>
          <w:tcPr>
            <w:tcW w:w="1908" w:type="dxa"/>
            <w:tcBorders>
              <w:top w:val="nil"/>
              <w:left w:val="nil"/>
              <w:bottom w:val="nil"/>
              <w:right w:val="nil"/>
            </w:tcBorders>
          </w:tcPr>
          <w:p w14:paraId="0C3F7B52" w14:textId="77777777" w:rsidR="00E838DF" w:rsidRPr="00E838DF" w:rsidRDefault="00E838DF" w:rsidP="00E838DF">
            <w:pPr>
              <w:spacing w:before="0" w:after="0"/>
              <w:rPr>
                <w:rStyle w:val="BookTitle"/>
              </w:rPr>
            </w:pPr>
          </w:p>
        </w:tc>
        <w:tc>
          <w:tcPr>
            <w:tcW w:w="3780" w:type="dxa"/>
            <w:tcBorders>
              <w:top w:val="nil"/>
              <w:left w:val="nil"/>
              <w:bottom w:val="nil"/>
              <w:right w:val="nil"/>
            </w:tcBorders>
          </w:tcPr>
          <w:p w14:paraId="0C3F7B53" w14:textId="77777777" w:rsidR="00E838DF" w:rsidRPr="00E838DF" w:rsidRDefault="00E838DF" w:rsidP="00E838DF">
            <w:pPr>
              <w:spacing w:before="0" w:after="0"/>
              <w:rPr>
                <w:rStyle w:val="BookTitle"/>
              </w:rPr>
            </w:pPr>
            <w:r w:rsidRPr="00E838DF">
              <w:rPr>
                <w:rStyle w:val="BookTitle"/>
              </w:rPr>
              <w:t>Light Attenuation</w:t>
            </w:r>
          </w:p>
        </w:tc>
        <w:tc>
          <w:tcPr>
            <w:tcW w:w="1620" w:type="dxa"/>
            <w:tcBorders>
              <w:top w:val="nil"/>
              <w:left w:val="nil"/>
              <w:bottom w:val="nil"/>
              <w:right w:val="nil"/>
            </w:tcBorders>
          </w:tcPr>
          <w:p w14:paraId="0C3F7B54" w14:textId="77777777" w:rsidR="00E838DF" w:rsidRPr="00E838DF" w:rsidRDefault="00362A9F" w:rsidP="00E838DF">
            <w:pPr>
              <w:spacing w:before="0" w:after="0"/>
              <w:rPr>
                <w:rStyle w:val="BookTitle"/>
              </w:rPr>
            </w:pPr>
            <w:r>
              <w:rPr>
                <w:rStyle w:val="BookTitle"/>
              </w:rPr>
              <w:t>Kd(PAR)</w:t>
            </w:r>
          </w:p>
        </w:tc>
        <w:tc>
          <w:tcPr>
            <w:tcW w:w="1890" w:type="dxa"/>
            <w:tcBorders>
              <w:top w:val="nil"/>
              <w:left w:val="nil"/>
              <w:bottom w:val="nil"/>
              <w:right w:val="nil"/>
            </w:tcBorders>
          </w:tcPr>
          <w:p w14:paraId="0C3F7B55" w14:textId="77777777" w:rsidR="00E838DF" w:rsidRPr="00E838DF" w:rsidRDefault="00E838DF" w:rsidP="00E838DF">
            <w:pPr>
              <w:spacing w:before="0" w:after="0"/>
              <w:rPr>
                <w:rStyle w:val="BookTitle"/>
              </w:rPr>
            </w:pPr>
            <w:r w:rsidRPr="00E838DF">
              <w:rPr>
                <w:rStyle w:val="BookTitle"/>
              </w:rPr>
              <w:t>m</w:t>
            </w:r>
            <w:r w:rsidRPr="00935052">
              <w:rPr>
                <w:rStyle w:val="BookTitle"/>
                <w:vertAlign w:val="superscript"/>
              </w:rPr>
              <w:t>-1</w:t>
            </w:r>
          </w:p>
        </w:tc>
      </w:tr>
      <w:tr w:rsidR="00E838DF" w:rsidRPr="00E838DF" w14:paraId="0C3F7B5B" w14:textId="77777777" w:rsidTr="00110A7F">
        <w:tc>
          <w:tcPr>
            <w:tcW w:w="1908" w:type="dxa"/>
            <w:tcBorders>
              <w:top w:val="nil"/>
              <w:left w:val="nil"/>
              <w:bottom w:val="single" w:sz="4" w:space="0" w:color="auto"/>
              <w:right w:val="nil"/>
            </w:tcBorders>
          </w:tcPr>
          <w:p w14:paraId="0C3F7B57" w14:textId="77777777" w:rsidR="00E838DF" w:rsidRPr="00E838DF" w:rsidRDefault="00E838DF" w:rsidP="00E838DF">
            <w:pPr>
              <w:spacing w:before="0" w:after="0"/>
              <w:rPr>
                <w:rStyle w:val="BookTitle"/>
              </w:rPr>
            </w:pPr>
          </w:p>
        </w:tc>
        <w:tc>
          <w:tcPr>
            <w:tcW w:w="3780" w:type="dxa"/>
            <w:tcBorders>
              <w:top w:val="nil"/>
              <w:left w:val="nil"/>
              <w:bottom w:val="single" w:sz="4" w:space="0" w:color="auto"/>
              <w:right w:val="nil"/>
            </w:tcBorders>
          </w:tcPr>
          <w:p w14:paraId="0C3F7B58" w14:textId="77777777" w:rsidR="00E838DF" w:rsidRPr="00E838DF" w:rsidRDefault="00E838DF" w:rsidP="00E838DF">
            <w:pPr>
              <w:spacing w:before="0" w:after="0"/>
              <w:rPr>
                <w:rStyle w:val="BookTitle"/>
              </w:rPr>
            </w:pPr>
            <w:r w:rsidRPr="00E838DF">
              <w:rPr>
                <w:rStyle w:val="BookTitle"/>
              </w:rPr>
              <w:t>Coloured Dissolved Organic Matter</w:t>
            </w:r>
          </w:p>
        </w:tc>
        <w:tc>
          <w:tcPr>
            <w:tcW w:w="1620" w:type="dxa"/>
            <w:tcBorders>
              <w:top w:val="nil"/>
              <w:left w:val="nil"/>
              <w:bottom w:val="single" w:sz="4" w:space="0" w:color="auto"/>
              <w:right w:val="nil"/>
            </w:tcBorders>
          </w:tcPr>
          <w:p w14:paraId="0C3F7B59" w14:textId="77777777" w:rsidR="00E838DF" w:rsidRPr="00E838DF" w:rsidRDefault="00E838DF" w:rsidP="00E838DF">
            <w:pPr>
              <w:spacing w:before="0" w:after="0"/>
              <w:rPr>
                <w:rStyle w:val="BookTitle"/>
              </w:rPr>
            </w:pPr>
            <w:r w:rsidRPr="00E838DF">
              <w:rPr>
                <w:rStyle w:val="BookTitle"/>
              </w:rPr>
              <w:t>CDOM</w:t>
            </w:r>
          </w:p>
        </w:tc>
        <w:tc>
          <w:tcPr>
            <w:tcW w:w="1890" w:type="dxa"/>
            <w:tcBorders>
              <w:top w:val="nil"/>
              <w:left w:val="nil"/>
              <w:bottom w:val="single" w:sz="4" w:space="0" w:color="auto"/>
              <w:right w:val="nil"/>
            </w:tcBorders>
          </w:tcPr>
          <w:p w14:paraId="0C3F7B5A" w14:textId="77777777" w:rsidR="00E838DF" w:rsidRPr="00E838DF" w:rsidRDefault="00D23397" w:rsidP="00E838DF">
            <w:pPr>
              <w:spacing w:before="0" w:after="0"/>
              <w:rPr>
                <w:rStyle w:val="BookTitle"/>
              </w:rPr>
            </w:pPr>
            <w:r>
              <w:rPr>
                <w:rStyle w:val="BookTitle"/>
              </w:rPr>
              <w:t>m</w:t>
            </w:r>
            <w:r w:rsidR="00E838DF" w:rsidRPr="00935052">
              <w:rPr>
                <w:rStyle w:val="BookTitle"/>
                <w:vertAlign w:val="superscript"/>
              </w:rPr>
              <w:t>-1</w:t>
            </w:r>
          </w:p>
        </w:tc>
      </w:tr>
      <w:tr w:rsidR="00E838DF" w:rsidRPr="00E838DF" w14:paraId="0C3F7B60" w14:textId="77777777" w:rsidTr="00110A7F">
        <w:tc>
          <w:tcPr>
            <w:tcW w:w="1908" w:type="dxa"/>
            <w:tcBorders>
              <w:top w:val="single" w:sz="4" w:space="0" w:color="auto"/>
              <w:left w:val="nil"/>
              <w:bottom w:val="nil"/>
              <w:right w:val="nil"/>
            </w:tcBorders>
          </w:tcPr>
          <w:p w14:paraId="0C3F7B5C" w14:textId="77777777" w:rsidR="00E838DF" w:rsidRPr="00E838DF" w:rsidRDefault="00E838DF" w:rsidP="00E838DF">
            <w:pPr>
              <w:spacing w:before="0" w:after="0"/>
              <w:rPr>
                <w:rStyle w:val="BookTitle"/>
              </w:rPr>
            </w:pPr>
            <w:r w:rsidRPr="00E838DF">
              <w:rPr>
                <w:rStyle w:val="BookTitle"/>
              </w:rPr>
              <w:t>Nutrients</w:t>
            </w:r>
          </w:p>
        </w:tc>
        <w:tc>
          <w:tcPr>
            <w:tcW w:w="3780" w:type="dxa"/>
            <w:tcBorders>
              <w:top w:val="single" w:sz="4" w:space="0" w:color="auto"/>
              <w:left w:val="nil"/>
              <w:bottom w:val="nil"/>
              <w:right w:val="nil"/>
            </w:tcBorders>
          </w:tcPr>
          <w:p w14:paraId="0C3F7B5D" w14:textId="77777777" w:rsidR="00E838DF" w:rsidRPr="00E838DF" w:rsidRDefault="00E838DF" w:rsidP="00E838DF">
            <w:pPr>
              <w:spacing w:before="0" w:after="0"/>
              <w:rPr>
                <w:rStyle w:val="BookTitle"/>
              </w:rPr>
            </w:pPr>
            <w:r w:rsidRPr="00E838DF">
              <w:rPr>
                <w:rStyle w:val="BookTitle"/>
              </w:rPr>
              <w:t>Ammonia as N</w:t>
            </w:r>
          </w:p>
        </w:tc>
        <w:tc>
          <w:tcPr>
            <w:tcW w:w="1620" w:type="dxa"/>
            <w:tcBorders>
              <w:top w:val="single" w:sz="4" w:space="0" w:color="auto"/>
              <w:left w:val="nil"/>
              <w:bottom w:val="nil"/>
              <w:right w:val="nil"/>
            </w:tcBorders>
          </w:tcPr>
          <w:p w14:paraId="0C3F7B5E" w14:textId="77777777" w:rsidR="00E838DF" w:rsidRPr="00E838DF" w:rsidRDefault="00E838DF" w:rsidP="00E838DF">
            <w:pPr>
              <w:spacing w:before="0" w:after="0"/>
              <w:rPr>
                <w:rStyle w:val="BookTitle"/>
              </w:rPr>
            </w:pPr>
            <w:r w:rsidRPr="00E838DF">
              <w:rPr>
                <w:rStyle w:val="BookTitle"/>
              </w:rPr>
              <w:t>NH4</w:t>
            </w:r>
          </w:p>
        </w:tc>
        <w:tc>
          <w:tcPr>
            <w:tcW w:w="1890" w:type="dxa"/>
            <w:tcBorders>
              <w:top w:val="single" w:sz="4" w:space="0" w:color="auto"/>
              <w:left w:val="nil"/>
              <w:bottom w:val="nil"/>
              <w:right w:val="nil"/>
            </w:tcBorders>
          </w:tcPr>
          <w:p w14:paraId="0C3F7B5F" w14:textId="77777777" w:rsidR="00E838DF" w:rsidRPr="00E838DF" w:rsidRDefault="00E838DF" w:rsidP="00E838DF">
            <w:pPr>
              <w:spacing w:before="0" w:after="0"/>
              <w:rPr>
                <w:rStyle w:val="BookTitle"/>
              </w:rPr>
            </w:pPr>
            <w:r w:rsidRPr="00E838DF">
              <w:rPr>
                <w:rStyle w:val="BookTitle"/>
              </w:rPr>
              <w:t>µM</w:t>
            </w:r>
          </w:p>
        </w:tc>
      </w:tr>
      <w:tr w:rsidR="00E838DF" w:rsidRPr="00E838DF" w14:paraId="0C3F7B65" w14:textId="77777777" w:rsidTr="00110A7F">
        <w:tc>
          <w:tcPr>
            <w:tcW w:w="1908" w:type="dxa"/>
            <w:tcBorders>
              <w:top w:val="nil"/>
              <w:left w:val="nil"/>
              <w:bottom w:val="nil"/>
              <w:right w:val="nil"/>
            </w:tcBorders>
          </w:tcPr>
          <w:p w14:paraId="0C3F7B61" w14:textId="77777777" w:rsidR="00E838DF" w:rsidRPr="00E838DF" w:rsidRDefault="00E838DF" w:rsidP="00E838DF">
            <w:pPr>
              <w:spacing w:before="0" w:after="0"/>
              <w:rPr>
                <w:rStyle w:val="BookTitle"/>
              </w:rPr>
            </w:pPr>
          </w:p>
        </w:tc>
        <w:tc>
          <w:tcPr>
            <w:tcW w:w="3780" w:type="dxa"/>
            <w:tcBorders>
              <w:top w:val="nil"/>
              <w:left w:val="nil"/>
              <w:bottom w:val="nil"/>
              <w:right w:val="nil"/>
            </w:tcBorders>
          </w:tcPr>
          <w:p w14:paraId="0C3F7B62" w14:textId="77777777" w:rsidR="00E838DF" w:rsidRPr="00E838DF" w:rsidRDefault="00E838DF" w:rsidP="00E838DF">
            <w:pPr>
              <w:spacing w:before="0" w:after="0"/>
              <w:rPr>
                <w:rStyle w:val="BookTitle"/>
              </w:rPr>
            </w:pPr>
            <w:r w:rsidRPr="00E838DF">
              <w:rPr>
                <w:rStyle w:val="BookTitle"/>
              </w:rPr>
              <w:t>Nitrate</w:t>
            </w:r>
          </w:p>
        </w:tc>
        <w:tc>
          <w:tcPr>
            <w:tcW w:w="1620" w:type="dxa"/>
            <w:tcBorders>
              <w:top w:val="nil"/>
              <w:left w:val="nil"/>
              <w:bottom w:val="nil"/>
              <w:right w:val="nil"/>
            </w:tcBorders>
          </w:tcPr>
          <w:p w14:paraId="0C3F7B63" w14:textId="77777777" w:rsidR="00E838DF" w:rsidRPr="00E838DF" w:rsidRDefault="00E838DF" w:rsidP="00E838DF">
            <w:pPr>
              <w:spacing w:before="0" w:after="0"/>
              <w:rPr>
                <w:rStyle w:val="BookTitle"/>
              </w:rPr>
            </w:pPr>
            <w:r w:rsidRPr="00E838DF">
              <w:rPr>
                <w:rStyle w:val="BookTitle"/>
              </w:rPr>
              <w:t>N03</w:t>
            </w:r>
          </w:p>
        </w:tc>
        <w:tc>
          <w:tcPr>
            <w:tcW w:w="1890" w:type="dxa"/>
            <w:tcBorders>
              <w:top w:val="nil"/>
              <w:left w:val="nil"/>
              <w:bottom w:val="nil"/>
              <w:right w:val="nil"/>
            </w:tcBorders>
          </w:tcPr>
          <w:p w14:paraId="0C3F7B64" w14:textId="77777777" w:rsidR="00E838DF" w:rsidRPr="00E838DF" w:rsidRDefault="00E838DF" w:rsidP="00E838DF">
            <w:pPr>
              <w:spacing w:before="0" w:after="0"/>
              <w:rPr>
                <w:rStyle w:val="BookTitle"/>
              </w:rPr>
            </w:pPr>
            <w:r w:rsidRPr="00E838DF">
              <w:rPr>
                <w:rStyle w:val="BookTitle"/>
              </w:rPr>
              <w:t>µM</w:t>
            </w:r>
          </w:p>
        </w:tc>
      </w:tr>
      <w:tr w:rsidR="00E838DF" w:rsidRPr="00E838DF" w14:paraId="0C3F7B6A" w14:textId="77777777" w:rsidTr="00110A7F">
        <w:tc>
          <w:tcPr>
            <w:tcW w:w="1908" w:type="dxa"/>
            <w:tcBorders>
              <w:top w:val="nil"/>
              <w:left w:val="nil"/>
              <w:bottom w:val="nil"/>
              <w:right w:val="nil"/>
            </w:tcBorders>
          </w:tcPr>
          <w:p w14:paraId="0C3F7B66" w14:textId="77777777" w:rsidR="00E838DF" w:rsidRPr="00E838DF" w:rsidRDefault="00E838DF" w:rsidP="00E838DF">
            <w:pPr>
              <w:spacing w:before="0" w:after="0"/>
              <w:rPr>
                <w:rStyle w:val="BookTitle"/>
              </w:rPr>
            </w:pPr>
          </w:p>
        </w:tc>
        <w:tc>
          <w:tcPr>
            <w:tcW w:w="3780" w:type="dxa"/>
            <w:tcBorders>
              <w:top w:val="nil"/>
              <w:left w:val="nil"/>
              <w:bottom w:val="nil"/>
              <w:right w:val="nil"/>
            </w:tcBorders>
          </w:tcPr>
          <w:p w14:paraId="0C3F7B67" w14:textId="77777777" w:rsidR="00E838DF" w:rsidRPr="00E838DF" w:rsidRDefault="00E838DF" w:rsidP="00E838DF">
            <w:pPr>
              <w:spacing w:before="0" w:after="0"/>
              <w:rPr>
                <w:rStyle w:val="BookTitle"/>
              </w:rPr>
            </w:pPr>
            <w:r w:rsidRPr="00E838DF">
              <w:rPr>
                <w:rStyle w:val="BookTitle"/>
              </w:rPr>
              <w:t>Nitrite</w:t>
            </w:r>
          </w:p>
        </w:tc>
        <w:tc>
          <w:tcPr>
            <w:tcW w:w="1620" w:type="dxa"/>
            <w:tcBorders>
              <w:top w:val="nil"/>
              <w:left w:val="nil"/>
              <w:bottom w:val="nil"/>
              <w:right w:val="nil"/>
            </w:tcBorders>
          </w:tcPr>
          <w:p w14:paraId="0C3F7B68" w14:textId="77777777" w:rsidR="00E838DF" w:rsidRPr="00E838DF" w:rsidRDefault="00E838DF" w:rsidP="00E838DF">
            <w:pPr>
              <w:spacing w:before="0" w:after="0"/>
              <w:rPr>
                <w:rStyle w:val="BookTitle"/>
              </w:rPr>
            </w:pPr>
            <w:r w:rsidRPr="00E838DF">
              <w:rPr>
                <w:rStyle w:val="BookTitle"/>
              </w:rPr>
              <w:t>NO2</w:t>
            </w:r>
          </w:p>
        </w:tc>
        <w:tc>
          <w:tcPr>
            <w:tcW w:w="1890" w:type="dxa"/>
            <w:tcBorders>
              <w:top w:val="nil"/>
              <w:left w:val="nil"/>
              <w:bottom w:val="nil"/>
              <w:right w:val="nil"/>
            </w:tcBorders>
          </w:tcPr>
          <w:p w14:paraId="0C3F7B69" w14:textId="77777777" w:rsidR="00E838DF" w:rsidRPr="00E838DF" w:rsidRDefault="00E838DF" w:rsidP="00E838DF">
            <w:pPr>
              <w:spacing w:before="0" w:after="0"/>
              <w:rPr>
                <w:rStyle w:val="BookTitle"/>
              </w:rPr>
            </w:pPr>
            <w:r w:rsidRPr="00E838DF">
              <w:rPr>
                <w:rStyle w:val="BookTitle"/>
              </w:rPr>
              <w:t>µM</w:t>
            </w:r>
          </w:p>
        </w:tc>
      </w:tr>
      <w:tr w:rsidR="00E838DF" w:rsidRPr="00E838DF" w14:paraId="0C3F7B6F" w14:textId="77777777" w:rsidTr="00110A7F">
        <w:tc>
          <w:tcPr>
            <w:tcW w:w="1908" w:type="dxa"/>
            <w:tcBorders>
              <w:top w:val="nil"/>
              <w:left w:val="nil"/>
              <w:bottom w:val="nil"/>
              <w:right w:val="nil"/>
            </w:tcBorders>
          </w:tcPr>
          <w:p w14:paraId="0C3F7B6B" w14:textId="77777777" w:rsidR="00E838DF" w:rsidRPr="00E838DF" w:rsidRDefault="00E838DF" w:rsidP="00E838DF">
            <w:pPr>
              <w:spacing w:before="0" w:after="0"/>
              <w:rPr>
                <w:rStyle w:val="BookTitle"/>
              </w:rPr>
            </w:pPr>
          </w:p>
        </w:tc>
        <w:tc>
          <w:tcPr>
            <w:tcW w:w="3780" w:type="dxa"/>
            <w:tcBorders>
              <w:top w:val="nil"/>
              <w:left w:val="nil"/>
              <w:bottom w:val="nil"/>
              <w:right w:val="nil"/>
            </w:tcBorders>
          </w:tcPr>
          <w:p w14:paraId="0C3F7B6C" w14:textId="77777777" w:rsidR="00E838DF" w:rsidRPr="00E838DF" w:rsidRDefault="00E838DF" w:rsidP="00E838DF">
            <w:pPr>
              <w:spacing w:before="0" w:after="0"/>
              <w:rPr>
                <w:rStyle w:val="BookTitle"/>
              </w:rPr>
            </w:pPr>
            <w:r w:rsidRPr="00E838DF">
              <w:rPr>
                <w:rStyle w:val="BookTitle"/>
              </w:rPr>
              <w:t>Dissolved Inorganic Nitrogen</w:t>
            </w:r>
          </w:p>
        </w:tc>
        <w:tc>
          <w:tcPr>
            <w:tcW w:w="1620" w:type="dxa"/>
            <w:tcBorders>
              <w:top w:val="nil"/>
              <w:left w:val="nil"/>
              <w:bottom w:val="nil"/>
              <w:right w:val="nil"/>
            </w:tcBorders>
          </w:tcPr>
          <w:p w14:paraId="0C3F7B6D" w14:textId="77777777" w:rsidR="00E838DF" w:rsidRPr="00E838DF" w:rsidRDefault="00E838DF" w:rsidP="00E838DF">
            <w:pPr>
              <w:spacing w:before="0" w:after="0"/>
              <w:rPr>
                <w:rStyle w:val="BookTitle"/>
              </w:rPr>
            </w:pPr>
            <w:r w:rsidRPr="00E838DF">
              <w:rPr>
                <w:rStyle w:val="BookTitle"/>
              </w:rPr>
              <w:t>DIN</w:t>
            </w:r>
          </w:p>
        </w:tc>
        <w:tc>
          <w:tcPr>
            <w:tcW w:w="1890" w:type="dxa"/>
            <w:tcBorders>
              <w:top w:val="nil"/>
              <w:left w:val="nil"/>
              <w:bottom w:val="nil"/>
              <w:right w:val="nil"/>
            </w:tcBorders>
          </w:tcPr>
          <w:p w14:paraId="0C3F7B6E" w14:textId="77777777" w:rsidR="00E838DF" w:rsidRPr="00E838DF" w:rsidRDefault="00E838DF" w:rsidP="00E838DF">
            <w:pPr>
              <w:spacing w:before="0" w:after="0"/>
              <w:rPr>
                <w:rStyle w:val="BookTitle"/>
              </w:rPr>
            </w:pPr>
            <w:r w:rsidRPr="00E838DF">
              <w:rPr>
                <w:rStyle w:val="BookTitle"/>
              </w:rPr>
              <w:t>µM</w:t>
            </w:r>
          </w:p>
        </w:tc>
      </w:tr>
      <w:tr w:rsidR="00E838DF" w:rsidRPr="00E838DF" w14:paraId="0C3F7B74" w14:textId="77777777" w:rsidTr="00110A7F">
        <w:tc>
          <w:tcPr>
            <w:tcW w:w="1908" w:type="dxa"/>
            <w:tcBorders>
              <w:top w:val="nil"/>
              <w:left w:val="nil"/>
              <w:bottom w:val="single" w:sz="4" w:space="0" w:color="auto"/>
              <w:right w:val="nil"/>
            </w:tcBorders>
          </w:tcPr>
          <w:p w14:paraId="0C3F7B70" w14:textId="77777777" w:rsidR="00E838DF" w:rsidRPr="00E838DF" w:rsidRDefault="00E838DF" w:rsidP="00E838DF">
            <w:pPr>
              <w:spacing w:before="0" w:after="0"/>
              <w:rPr>
                <w:rStyle w:val="BookTitle"/>
              </w:rPr>
            </w:pPr>
          </w:p>
        </w:tc>
        <w:tc>
          <w:tcPr>
            <w:tcW w:w="3780" w:type="dxa"/>
            <w:tcBorders>
              <w:top w:val="nil"/>
              <w:left w:val="nil"/>
              <w:bottom w:val="single" w:sz="4" w:space="0" w:color="auto"/>
              <w:right w:val="nil"/>
            </w:tcBorders>
          </w:tcPr>
          <w:p w14:paraId="0C3F7B71" w14:textId="77777777" w:rsidR="00E838DF" w:rsidRPr="00E838DF" w:rsidRDefault="00E838DF" w:rsidP="00E838DF">
            <w:pPr>
              <w:spacing w:before="0" w:after="0"/>
              <w:rPr>
                <w:rStyle w:val="BookTitle"/>
              </w:rPr>
            </w:pPr>
            <w:r w:rsidRPr="00E838DF">
              <w:rPr>
                <w:rStyle w:val="BookTitle"/>
              </w:rPr>
              <w:t>Dissolved Inorganic Phosphate</w:t>
            </w:r>
          </w:p>
        </w:tc>
        <w:tc>
          <w:tcPr>
            <w:tcW w:w="1620" w:type="dxa"/>
            <w:tcBorders>
              <w:top w:val="nil"/>
              <w:left w:val="nil"/>
              <w:bottom w:val="single" w:sz="4" w:space="0" w:color="auto"/>
              <w:right w:val="nil"/>
            </w:tcBorders>
          </w:tcPr>
          <w:p w14:paraId="0C3F7B72" w14:textId="77777777" w:rsidR="00E838DF" w:rsidRPr="00E838DF" w:rsidRDefault="00E838DF" w:rsidP="00E838DF">
            <w:pPr>
              <w:spacing w:before="0" w:after="0"/>
              <w:rPr>
                <w:rStyle w:val="BookTitle"/>
              </w:rPr>
            </w:pPr>
            <w:r w:rsidRPr="00E838DF">
              <w:rPr>
                <w:rStyle w:val="BookTitle"/>
              </w:rPr>
              <w:t>DIP</w:t>
            </w:r>
          </w:p>
        </w:tc>
        <w:tc>
          <w:tcPr>
            <w:tcW w:w="1890" w:type="dxa"/>
            <w:tcBorders>
              <w:top w:val="nil"/>
              <w:left w:val="nil"/>
              <w:bottom w:val="single" w:sz="4" w:space="0" w:color="auto"/>
              <w:right w:val="nil"/>
            </w:tcBorders>
          </w:tcPr>
          <w:p w14:paraId="0C3F7B73" w14:textId="77777777" w:rsidR="00E838DF" w:rsidRPr="00E838DF" w:rsidRDefault="00E838DF" w:rsidP="00E838DF">
            <w:pPr>
              <w:spacing w:before="0" w:after="0"/>
              <w:rPr>
                <w:rStyle w:val="BookTitle"/>
              </w:rPr>
            </w:pPr>
            <w:r w:rsidRPr="00E838DF">
              <w:rPr>
                <w:rStyle w:val="BookTitle"/>
              </w:rPr>
              <w:t>µM</w:t>
            </w:r>
          </w:p>
        </w:tc>
      </w:tr>
      <w:tr w:rsidR="00E838DF" w:rsidRPr="00E838DF" w14:paraId="0C3F7B79" w14:textId="77777777" w:rsidTr="00110A7F">
        <w:tc>
          <w:tcPr>
            <w:tcW w:w="1908" w:type="dxa"/>
            <w:tcBorders>
              <w:top w:val="single" w:sz="4" w:space="0" w:color="auto"/>
              <w:left w:val="nil"/>
              <w:bottom w:val="nil"/>
              <w:right w:val="nil"/>
            </w:tcBorders>
          </w:tcPr>
          <w:p w14:paraId="0C3F7B75" w14:textId="77777777" w:rsidR="00E838DF" w:rsidRPr="00E838DF" w:rsidRDefault="00E838DF" w:rsidP="00E838DF">
            <w:pPr>
              <w:spacing w:before="0" w:after="0"/>
              <w:rPr>
                <w:rStyle w:val="BookTitle"/>
              </w:rPr>
            </w:pPr>
            <w:r w:rsidRPr="00E838DF">
              <w:rPr>
                <w:rStyle w:val="BookTitle"/>
              </w:rPr>
              <w:t>Productivity</w:t>
            </w:r>
          </w:p>
        </w:tc>
        <w:tc>
          <w:tcPr>
            <w:tcW w:w="3780" w:type="dxa"/>
            <w:tcBorders>
              <w:top w:val="single" w:sz="4" w:space="0" w:color="auto"/>
              <w:left w:val="nil"/>
              <w:bottom w:val="nil"/>
              <w:right w:val="nil"/>
            </w:tcBorders>
          </w:tcPr>
          <w:p w14:paraId="0C3F7B76" w14:textId="77777777" w:rsidR="00E838DF" w:rsidRPr="00E838DF" w:rsidRDefault="00D23397" w:rsidP="00E838DF">
            <w:pPr>
              <w:spacing w:before="0" w:after="0"/>
              <w:rPr>
                <w:rStyle w:val="BookTitle"/>
              </w:rPr>
            </w:pPr>
            <w:r>
              <w:rPr>
                <w:rStyle w:val="BookTitle"/>
              </w:rPr>
              <w:t>Chlorophyll</w:t>
            </w:r>
            <w:r w:rsidR="00E838DF" w:rsidRPr="00E838DF">
              <w:rPr>
                <w:rStyle w:val="BookTitle"/>
              </w:rPr>
              <w:t>-a</w:t>
            </w:r>
          </w:p>
        </w:tc>
        <w:tc>
          <w:tcPr>
            <w:tcW w:w="1620" w:type="dxa"/>
            <w:tcBorders>
              <w:top w:val="single" w:sz="4" w:space="0" w:color="auto"/>
              <w:left w:val="nil"/>
              <w:bottom w:val="nil"/>
              <w:right w:val="nil"/>
            </w:tcBorders>
          </w:tcPr>
          <w:p w14:paraId="0C3F7B77" w14:textId="77777777" w:rsidR="00E838DF" w:rsidRPr="00E838DF" w:rsidRDefault="00D23397" w:rsidP="00E838DF">
            <w:pPr>
              <w:spacing w:before="0" w:after="0"/>
              <w:rPr>
                <w:rStyle w:val="BookTitle"/>
              </w:rPr>
            </w:pPr>
            <w:r>
              <w:rPr>
                <w:rStyle w:val="BookTitle"/>
              </w:rPr>
              <w:t>Chl</w:t>
            </w:r>
            <w:r w:rsidR="00E838DF" w:rsidRPr="00E838DF">
              <w:rPr>
                <w:rStyle w:val="BookTitle"/>
              </w:rPr>
              <w:t>-a</w:t>
            </w:r>
          </w:p>
        </w:tc>
        <w:tc>
          <w:tcPr>
            <w:tcW w:w="1890" w:type="dxa"/>
            <w:tcBorders>
              <w:top w:val="single" w:sz="4" w:space="0" w:color="auto"/>
              <w:left w:val="nil"/>
              <w:bottom w:val="nil"/>
              <w:right w:val="nil"/>
            </w:tcBorders>
          </w:tcPr>
          <w:p w14:paraId="0C3F7B78" w14:textId="77777777" w:rsidR="00E838DF" w:rsidRPr="00E838DF" w:rsidRDefault="00E838DF" w:rsidP="00E838DF">
            <w:pPr>
              <w:spacing w:before="0" w:after="0"/>
              <w:rPr>
                <w:rStyle w:val="BookTitle"/>
              </w:rPr>
            </w:pPr>
            <w:r w:rsidRPr="00E838DF">
              <w:rPr>
                <w:rStyle w:val="BookTitle"/>
              </w:rPr>
              <w:t>µg/L</w:t>
            </w:r>
          </w:p>
        </w:tc>
      </w:tr>
      <w:tr w:rsidR="00E838DF" w:rsidRPr="00E838DF" w14:paraId="0C3F7B7E" w14:textId="77777777" w:rsidTr="00110A7F">
        <w:tc>
          <w:tcPr>
            <w:tcW w:w="1908" w:type="dxa"/>
            <w:tcBorders>
              <w:top w:val="nil"/>
              <w:left w:val="nil"/>
              <w:bottom w:val="single" w:sz="4" w:space="0" w:color="auto"/>
              <w:right w:val="nil"/>
            </w:tcBorders>
          </w:tcPr>
          <w:p w14:paraId="0C3F7B7A" w14:textId="77777777" w:rsidR="00E838DF" w:rsidRPr="00E838DF" w:rsidRDefault="00E838DF" w:rsidP="00E838DF">
            <w:pPr>
              <w:spacing w:before="0" w:after="0"/>
              <w:rPr>
                <w:rStyle w:val="BookTitle"/>
              </w:rPr>
            </w:pPr>
          </w:p>
        </w:tc>
        <w:tc>
          <w:tcPr>
            <w:tcW w:w="3780" w:type="dxa"/>
            <w:tcBorders>
              <w:top w:val="nil"/>
              <w:left w:val="nil"/>
              <w:bottom w:val="single" w:sz="4" w:space="0" w:color="auto"/>
              <w:right w:val="nil"/>
            </w:tcBorders>
          </w:tcPr>
          <w:p w14:paraId="0C3F7B7B" w14:textId="77777777" w:rsidR="00E838DF" w:rsidRPr="00E838DF" w:rsidRDefault="00E838DF" w:rsidP="00E838DF">
            <w:pPr>
              <w:spacing w:before="0" w:after="0"/>
              <w:rPr>
                <w:rStyle w:val="BookTitle"/>
              </w:rPr>
            </w:pPr>
            <w:r w:rsidRPr="00E838DF">
              <w:rPr>
                <w:rStyle w:val="BookTitle"/>
              </w:rPr>
              <w:t>Phytoplankton counts</w:t>
            </w:r>
          </w:p>
        </w:tc>
        <w:tc>
          <w:tcPr>
            <w:tcW w:w="1620" w:type="dxa"/>
            <w:tcBorders>
              <w:top w:val="nil"/>
              <w:left w:val="nil"/>
              <w:bottom w:val="single" w:sz="4" w:space="0" w:color="auto"/>
              <w:right w:val="nil"/>
            </w:tcBorders>
          </w:tcPr>
          <w:p w14:paraId="0C3F7B7C" w14:textId="77777777" w:rsidR="00E838DF" w:rsidRPr="00E838DF" w:rsidRDefault="00E838DF" w:rsidP="00E838DF">
            <w:pPr>
              <w:spacing w:before="0" w:after="0"/>
              <w:rPr>
                <w:rStyle w:val="BookTitle"/>
              </w:rPr>
            </w:pPr>
            <w:r w:rsidRPr="00E838DF">
              <w:rPr>
                <w:rStyle w:val="BookTitle"/>
              </w:rPr>
              <w:t>PP</w:t>
            </w:r>
          </w:p>
        </w:tc>
        <w:tc>
          <w:tcPr>
            <w:tcW w:w="1890" w:type="dxa"/>
            <w:tcBorders>
              <w:top w:val="nil"/>
              <w:left w:val="nil"/>
              <w:bottom w:val="single" w:sz="4" w:space="0" w:color="auto"/>
              <w:right w:val="nil"/>
            </w:tcBorders>
          </w:tcPr>
          <w:p w14:paraId="0C3F7B7D" w14:textId="77777777" w:rsidR="00E838DF" w:rsidRPr="00E838DF" w:rsidRDefault="00E838DF" w:rsidP="00E838DF">
            <w:pPr>
              <w:spacing w:before="0" w:after="0"/>
              <w:rPr>
                <w:rStyle w:val="BookTitle"/>
              </w:rPr>
            </w:pPr>
            <w:r w:rsidRPr="00E838DF">
              <w:rPr>
                <w:rStyle w:val="BookTitle"/>
              </w:rPr>
              <w:t>Cells/L</w:t>
            </w:r>
          </w:p>
        </w:tc>
      </w:tr>
      <w:tr w:rsidR="00E838DF" w:rsidRPr="00E838DF" w14:paraId="0C3F7B83" w14:textId="77777777" w:rsidTr="00110A7F">
        <w:tc>
          <w:tcPr>
            <w:tcW w:w="1908" w:type="dxa"/>
            <w:tcBorders>
              <w:top w:val="single" w:sz="4" w:space="0" w:color="auto"/>
              <w:left w:val="nil"/>
              <w:bottom w:val="nil"/>
              <w:right w:val="nil"/>
            </w:tcBorders>
          </w:tcPr>
          <w:p w14:paraId="0C3F7B7F" w14:textId="77777777" w:rsidR="00E838DF" w:rsidRPr="00E838DF" w:rsidRDefault="00E838DF" w:rsidP="00E838DF">
            <w:pPr>
              <w:spacing w:before="0" w:after="0"/>
              <w:rPr>
                <w:rStyle w:val="BookTitle"/>
              </w:rPr>
            </w:pPr>
            <w:r w:rsidRPr="00E838DF">
              <w:rPr>
                <w:rStyle w:val="BookTitle"/>
              </w:rPr>
              <w:t>Pesticides</w:t>
            </w:r>
          </w:p>
        </w:tc>
        <w:tc>
          <w:tcPr>
            <w:tcW w:w="3780" w:type="dxa"/>
            <w:tcBorders>
              <w:top w:val="single" w:sz="4" w:space="0" w:color="auto"/>
              <w:left w:val="nil"/>
              <w:bottom w:val="nil"/>
              <w:right w:val="nil"/>
            </w:tcBorders>
          </w:tcPr>
          <w:p w14:paraId="0C3F7B80" w14:textId="77777777" w:rsidR="00E838DF" w:rsidRPr="00E838DF" w:rsidRDefault="00E838DF" w:rsidP="00E838DF">
            <w:pPr>
              <w:spacing w:before="0" w:after="0"/>
              <w:rPr>
                <w:rStyle w:val="BookTitle"/>
              </w:rPr>
            </w:pPr>
            <w:r w:rsidRPr="00E838DF">
              <w:rPr>
                <w:rStyle w:val="BookTitle"/>
              </w:rPr>
              <w:t>photosystem II inhibiting herbicide</w:t>
            </w:r>
          </w:p>
        </w:tc>
        <w:tc>
          <w:tcPr>
            <w:tcW w:w="1620" w:type="dxa"/>
            <w:tcBorders>
              <w:top w:val="single" w:sz="4" w:space="0" w:color="auto"/>
              <w:left w:val="nil"/>
              <w:bottom w:val="nil"/>
              <w:right w:val="nil"/>
            </w:tcBorders>
          </w:tcPr>
          <w:p w14:paraId="0C3F7B81" w14:textId="77777777" w:rsidR="00E838DF" w:rsidRPr="00E838DF" w:rsidRDefault="00E838DF" w:rsidP="00E838DF">
            <w:pPr>
              <w:spacing w:before="0" w:after="0"/>
              <w:rPr>
                <w:rStyle w:val="BookTitle"/>
              </w:rPr>
            </w:pPr>
            <w:r w:rsidRPr="00E838DF">
              <w:rPr>
                <w:rStyle w:val="BookTitle"/>
              </w:rPr>
              <w:t>PSII herbicides</w:t>
            </w:r>
          </w:p>
        </w:tc>
        <w:tc>
          <w:tcPr>
            <w:tcW w:w="1890" w:type="dxa"/>
            <w:tcBorders>
              <w:top w:val="single" w:sz="4" w:space="0" w:color="auto"/>
              <w:left w:val="nil"/>
              <w:bottom w:val="nil"/>
              <w:right w:val="nil"/>
            </w:tcBorders>
          </w:tcPr>
          <w:p w14:paraId="0C3F7B82" w14:textId="77777777" w:rsidR="00E838DF" w:rsidRPr="00E838DF" w:rsidRDefault="00D23397" w:rsidP="00E838DF">
            <w:pPr>
              <w:spacing w:before="0" w:after="0"/>
              <w:rPr>
                <w:rStyle w:val="BookTitle"/>
              </w:rPr>
            </w:pPr>
            <w:r>
              <w:rPr>
                <w:rStyle w:val="BookTitle"/>
              </w:rPr>
              <w:t>ng/L</w:t>
            </w:r>
          </w:p>
        </w:tc>
      </w:tr>
      <w:tr w:rsidR="00E838DF" w:rsidRPr="00E838DF" w14:paraId="0C3F7B88" w14:textId="77777777" w:rsidTr="00110A7F">
        <w:tc>
          <w:tcPr>
            <w:tcW w:w="1908" w:type="dxa"/>
            <w:tcBorders>
              <w:top w:val="nil"/>
              <w:left w:val="nil"/>
              <w:bottom w:val="single" w:sz="4" w:space="0" w:color="auto"/>
              <w:right w:val="nil"/>
            </w:tcBorders>
          </w:tcPr>
          <w:p w14:paraId="0C3F7B84" w14:textId="77777777" w:rsidR="00E838DF" w:rsidRPr="00E838DF" w:rsidRDefault="00E838DF" w:rsidP="00E838DF">
            <w:pPr>
              <w:spacing w:before="0" w:after="0"/>
              <w:rPr>
                <w:rStyle w:val="BookTitle"/>
              </w:rPr>
            </w:pPr>
          </w:p>
        </w:tc>
        <w:tc>
          <w:tcPr>
            <w:tcW w:w="3780" w:type="dxa"/>
            <w:tcBorders>
              <w:top w:val="nil"/>
              <w:left w:val="nil"/>
              <w:bottom w:val="single" w:sz="4" w:space="0" w:color="auto"/>
              <w:right w:val="nil"/>
            </w:tcBorders>
          </w:tcPr>
          <w:p w14:paraId="0C3F7B85" w14:textId="77777777" w:rsidR="00E838DF" w:rsidRPr="00E838DF" w:rsidRDefault="00E838DF" w:rsidP="00E838DF">
            <w:pPr>
              <w:spacing w:before="0" w:after="0"/>
              <w:rPr>
                <w:rStyle w:val="BookTitle"/>
              </w:rPr>
            </w:pPr>
          </w:p>
        </w:tc>
        <w:tc>
          <w:tcPr>
            <w:tcW w:w="1620" w:type="dxa"/>
            <w:tcBorders>
              <w:top w:val="nil"/>
              <w:left w:val="nil"/>
              <w:bottom w:val="single" w:sz="4" w:space="0" w:color="auto"/>
              <w:right w:val="nil"/>
            </w:tcBorders>
          </w:tcPr>
          <w:p w14:paraId="0C3F7B86" w14:textId="77777777" w:rsidR="00E838DF" w:rsidRPr="00E838DF" w:rsidRDefault="00E838DF" w:rsidP="00E838DF">
            <w:pPr>
              <w:spacing w:before="0" w:after="0"/>
              <w:rPr>
                <w:rStyle w:val="BookTitle"/>
              </w:rPr>
            </w:pPr>
          </w:p>
        </w:tc>
        <w:tc>
          <w:tcPr>
            <w:tcW w:w="1890" w:type="dxa"/>
            <w:tcBorders>
              <w:top w:val="nil"/>
              <w:left w:val="nil"/>
              <w:bottom w:val="single" w:sz="4" w:space="0" w:color="auto"/>
              <w:right w:val="nil"/>
            </w:tcBorders>
          </w:tcPr>
          <w:p w14:paraId="0C3F7B87" w14:textId="77777777" w:rsidR="00E838DF" w:rsidRPr="00E838DF" w:rsidRDefault="00E838DF" w:rsidP="00E838DF">
            <w:pPr>
              <w:spacing w:before="0" w:after="0"/>
              <w:rPr>
                <w:rStyle w:val="BookTitle"/>
              </w:rPr>
            </w:pPr>
          </w:p>
        </w:tc>
      </w:tr>
    </w:tbl>
    <w:p w14:paraId="0C3F7B89" w14:textId="77777777" w:rsidR="00E838DF" w:rsidRDefault="00E838DF" w:rsidP="00E838DF">
      <w:pPr>
        <w:rPr>
          <w:lang w:eastAsia="en-US"/>
        </w:rPr>
      </w:pPr>
    </w:p>
    <w:p w14:paraId="0C3F7B8A" w14:textId="77777777" w:rsidR="00E838DF" w:rsidRDefault="0064679C" w:rsidP="00E838DF">
      <w:r>
        <w:t>Analysis of s</w:t>
      </w:r>
      <w:r w:rsidR="00E838DF">
        <w:t xml:space="preserve">patial variation across all WQ parameters, considering the factors of salinity, distance and </w:t>
      </w:r>
      <w:r w:rsidR="00D23397">
        <w:t>5-</w:t>
      </w:r>
      <w:r w:rsidR="00E838DF">
        <w:t xml:space="preserve">day </w:t>
      </w:r>
      <w:r>
        <w:t xml:space="preserve">average flow was performed on </w:t>
      </w:r>
      <w:r w:rsidR="00E838DF" w:rsidRPr="0064679C">
        <w:t xml:space="preserve">Tully and Herbert in the Wet Tropics; </w:t>
      </w:r>
      <w:r>
        <w:t xml:space="preserve">and the </w:t>
      </w:r>
      <w:r w:rsidR="00E838DF" w:rsidRPr="0064679C">
        <w:t>Burdekin region</w:t>
      </w:r>
      <w:r>
        <w:t>.</w:t>
      </w:r>
      <w:r w:rsidR="00E838DF" w:rsidRPr="0064679C">
        <w:t xml:space="preserve"> Table </w:t>
      </w:r>
      <w:r w:rsidRPr="0064679C">
        <w:t>1-3</w:t>
      </w:r>
      <w:r w:rsidR="00E838DF" w:rsidRPr="0064679C">
        <w:t xml:space="preserve"> presents the outputs of the Spearman’s analysis on correlative co-factors for rivers sampled more than 20 times in the 2012-2013 wet season. Highlighted cells identify variables which are positively or negatively correlated with each other.  Salinity in the Tully and</w:t>
      </w:r>
      <w:r w:rsidR="00E838DF">
        <w:t xml:space="preserve"> Herbert is correlated with most of the forms of nitrogen and phosphorous, excluding the dissolved forms. River discharge correlates with DIN and Si for the Tully River samples and with TP for the Herbert. Distance did not presented any significant correlation, indicating that linear dilution processes are not occurring in these regions. Dissolved nutrients are not </w:t>
      </w:r>
      <w:r>
        <w:t xml:space="preserve">strongly </w:t>
      </w:r>
      <w:r w:rsidR="00E838DF">
        <w:t>correlated with any factor, indicating th</w:t>
      </w:r>
      <w:r>
        <w:t xml:space="preserve">at both coastal hydrodynamic, </w:t>
      </w:r>
      <w:r w:rsidR="00E838DF">
        <w:t>biological processes</w:t>
      </w:r>
      <w:r>
        <w:t xml:space="preserve"> and </w:t>
      </w:r>
      <w:r w:rsidR="00D23397">
        <w:t>dilution</w:t>
      </w:r>
      <w:r w:rsidR="00E838DF">
        <w:t xml:space="preserve"> are influencing the transport and uptake of </w:t>
      </w:r>
      <w:r w:rsidR="00E838DF">
        <w:lastRenderedPageBreak/>
        <w:t xml:space="preserve">the WQ parameters in these regions. </w:t>
      </w:r>
      <w:r>
        <w:t>Note that these processes are examined over the whole of the wet season and individual events over single dates show a greater correlation with distance and salinity.</w:t>
      </w:r>
    </w:p>
    <w:p w14:paraId="0C3F7B8B" w14:textId="77777777" w:rsidR="00E838DF" w:rsidRDefault="0064679C" w:rsidP="00E838DF">
      <w:r>
        <w:t>The water quality</w:t>
      </w:r>
      <w:r w:rsidR="00E838DF">
        <w:t xml:space="preserve"> samples form the Burdekin River exhibit </w:t>
      </w:r>
      <w:r>
        <w:t>little</w:t>
      </w:r>
      <w:r w:rsidR="00E838DF">
        <w:t xml:space="preserve"> correlation with the three factors. This may relate more to the low flow conditions for central GBR for 2012/2013, with flow being confounded by other condition</w:t>
      </w:r>
      <w:r>
        <w:t>s such as tidal factors, wind resuspension and wind direction</w:t>
      </w:r>
      <w:r w:rsidR="00E838DF">
        <w:t xml:space="preserve">. </w:t>
      </w:r>
    </w:p>
    <w:p w14:paraId="0C3F7B8C" w14:textId="77777777" w:rsidR="00E838DF" w:rsidRDefault="00110A7F" w:rsidP="00110A7F">
      <w:pPr>
        <w:pStyle w:val="Caption"/>
      </w:pPr>
      <w:bookmarkStart w:id="14" w:name="_Toc434208062"/>
      <w:r>
        <w:t xml:space="preserve">Table </w:t>
      </w:r>
      <w:r w:rsidR="00AE4287">
        <w:fldChar w:fldCharType="begin"/>
      </w:r>
      <w:r w:rsidR="00AE4287">
        <w:instrText xml:space="preserve"> STYLEREF 1 \s </w:instrText>
      </w:r>
      <w:r w:rsidR="00AE4287">
        <w:fldChar w:fldCharType="separate"/>
      </w:r>
      <w:r w:rsidR="00B62B50">
        <w:rPr>
          <w:noProof/>
        </w:rPr>
        <w:t>1</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3</w:t>
      </w:r>
      <w:r w:rsidR="00AE4287">
        <w:fldChar w:fldCharType="end"/>
      </w:r>
      <w:r>
        <w:t xml:space="preserve">: </w:t>
      </w:r>
      <w:r w:rsidR="00E838DF" w:rsidRPr="0089419E">
        <w:t xml:space="preserve">Spearman’s </w:t>
      </w:r>
      <w:r w:rsidR="00E838DF">
        <w:t xml:space="preserve">rank </w:t>
      </w:r>
      <w:r w:rsidR="00E838DF" w:rsidRPr="0089419E">
        <w:t xml:space="preserve">correlation coefficients </w:t>
      </w:r>
      <w:r w:rsidR="00E838DF">
        <w:t xml:space="preserve">for the parameters for </w:t>
      </w:r>
      <w:r w:rsidR="00D23397">
        <w:t>the</w:t>
      </w:r>
      <w:r w:rsidR="00E838DF">
        <w:t xml:space="preserve"> Wet Tropics, Burdekin. A</w:t>
      </w:r>
      <w:r w:rsidR="00E838DF" w:rsidRPr="0089419E">
        <w:t xml:space="preserve">ll </w:t>
      </w:r>
      <w:r w:rsidR="00E838DF">
        <w:t xml:space="preserve">highlighted values </w:t>
      </w:r>
      <w:r w:rsidR="00E838DF" w:rsidRPr="0089419E">
        <w:t xml:space="preserve">are </w:t>
      </w:r>
      <w:r w:rsidR="00D23397">
        <w:t>significant</w:t>
      </w:r>
      <w:r w:rsidR="00D23397" w:rsidRPr="0089419E">
        <w:t xml:space="preserve"> </w:t>
      </w:r>
      <w:r w:rsidR="00E838DF" w:rsidRPr="0089419E">
        <w:t>at p &lt; 0.01</w:t>
      </w:r>
      <w:r w:rsidR="00E838DF">
        <w:t xml:space="preserve"> and represent a correlation &gt;0.6 or &lt;-.06</w:t>
      </w:r>
      <w:r w:rsidR="00E838DF" w:rsidRPr="0089419E">
        <w:t>.</w:t>
      </w:r>
      <w:r w:rsidR="00E838DF">
        <w:t xml:space="preserve"> Parameters listed in</w:t>
      </w:r>
      <w:r w:rsidR="00D23397">
        <w:t xml:space="preserve"> </w:t>
      </w:r>
      <w:r w:rsidR="00E838DF">
        <w:t xml:space="preserve">the table are surface salinity (Sal.), 5-day average discharge (Disch.), distance between the river mouth and the sampling site (Dist.), TSS, </w:t>
      </w:r>
      <w:r w:rsidR="00D23397">
        <w:t>chlorophyll</w:t>
      </w:r>
      <w:r w:rsidR="00E838DF">
        <w:t>-a</w:t>
      </w:r>
      <w:r w:rsidR="00D23397">
        <w:t xml:space="preserve">, </w:t>
      </w:r>
      <w:r w:rsidR="00E838DF">
        <w:t>TN, TDN, DIN,</w:t>
      </w:r>
      <w:r w:rsidR="00E838DF" w:rsidRPr="00405A8D">
        <w:t xml:space="preserve"> </w:t>
      </w:r>
      <w:r w:rsidR="00E838DF">
        <w:t xml:space="preserve">TP, TDP, DIP, PN, PP </w:t>
      </w:r>
      <w:r w:rsidR="00D23397">
        <w:t>and Si.</w:t>
      </w:r>
      <w:bookmarkEnd w:id="14"/>
    </w:p>
    <w:p w14:paraId="0C3F7B8D" w14:textId="77777777" w:rsidR="00E838DF" w:rsidRPr="00070A26" w:rsidRDefault="00E838DF" w:rsidP="00E838DF">
      <w:pPr>
        <w:rPr>
          <w:rFonts w:ascii="Calibri" w:hAnsi="Calibri" w:cs="Times New Roman"/>
          <w:color w:val="000000"/>
          <w:sz w:val="18"/>
          <w:szCs w:val="18"/>
        </w:rPr>
      </w:pPr>
    </w:p>
    <w:tbl>
      <w:tblPr>
        <w:tblW w:w="5000" w:type="pct"/>
        <w:tblLook w:val="04A0" w:firstRow="1" w:lastRow="0" w:firstColumn="1" w:lastColumn="0" w:noHBand="0" w:noVBand="1"/>
      </w:tblPr>
      <w:tblGrid>
        <w:gridCol w:w="740"/>
        <w:gridCol w:w="597"/>
        <w:gridCol w:w="739"/>
        <w:gridCol w:w="606"/>
        <w:gridCol w:w="597"/>
        <w:gridCol w:w="597"/>
        <w:gridCol w:w="597"/>
        <w:gridCol w:w="597"/>
        <w:gridCol w:w="597"/>
        <w:gridCol w:w="597"/>
        <w:gridCol w:w="597"/>
        <w:gridCol w:w="597"/>
        <w:gridCol w:w="597"/>
        <w:gridCol w:w="597"/>
        <w:gridCol w:w="590"/>
      </w:tblGrid>
      <w:tr w:rsidR="00E838DF" w:rsidRPr="002E2F6B" w14:paraId="0C3F7B8F" w14:textId="77777777" w:rsidTr="00E838DF">
        <w:trPr>
          <w:trHeight w:val="20"/>
        </w:trPr>
        <w:tc>
          <w:tcPr>
            <w:tcW w:w="5000" w:type="pct"/>
            <w:gridSpan w:val="15"/>
            <w:tcBorders>
              <w:top w:val="single" w:sz="4" w:space="0" w:color="auto"/>
              <w:left w:val="nil"/>
              <w:bottom w:val="single" w:sz="4" w:space="0" w:color="auto"/>
              <w:right w:val="nil"/>
            </w:tcBorders>
            <w:shd w:val="clear" w:color="auto" w:fill="auto"/>
            <w:noWrap/>
            <w:vAlign w:val="center"/>
          </w:tcPr>
          <w:p w14:paraId="0C3F7B8E" w14:textId="77777777" w:rsidR="00E838DF" w:rsidRPr="002E2F6B" w:rsidRDefault="00E838DF" w:rsidP="00110A7F">
            <w:pPr>
              <w:spacing w:before="0" w:after="0"/>
              <w:rPr>
                <w:sz w:val="16"/>
                <w:szCs w:val="16"/>
              </w:rPr>
            </w:pPr>
            <w:r w:rsidRPr="002E2F6B">
              <w:rPr>
                <w:sz w:val="16"/>
                <w:szCs w:val="16"/>
              </w:rPr>
              <w:t>Wet Tropics</w:t>
            </w:r>
          </w:p>
        </w:tc>
      </w:tr>
      <w:tr w:rsidR="00E838DF" w:rsidRPr="002E2F6B" w14:paraId="0C3F7B9F" w14:textId="77777777" w:rsidTr="00E838DF">
        <w:trPr>
          <w:trHeight w:val="20"/>
        </w:trPr>
        <w:tc>
          <w:tcPr>
            <w:tcW w:w="400" w:type="pct"/>
            <w:tcBorders>
              <w:top w:val="single" w:sz="4" w:space="0" w:color="auto"/>
              <w:left w:val="nil"/>
              <w:bottom w:val="single" w:sz="4" w:space="0" w:color="auto"/>
              <w:right w:val="nil"/>
            </w:tcBorders>
            <w:shd w:val="clear" w:color="auto" w:fill="auto"/>
            <w:noWrap/>
            <w:vAlign w:val="center"/>
            <w:hideMark/>
          </w:tcPr>
          <w:p w14:paraId="0C3F7B90" w14:textId="77777777" w:rsidR="00E838DF" w:rsidRPr="002E2F6B" w:rsidRDefault="00E838DF" w:rsidP="00110A7F">
            <w:pPr>
              <w:spacing w:before="0" w:after="0"/>
              <w:rPr>
                <w:bCs/>
                <w:sz w:val="16"/>
                <w:szCs w:val="16"/>
              </w:rPr>
            </w:pPr>
            <w:r w:rsidRPr="002E2F6B">
              <w:rPr>
                <w:bCs/>
                <w:sz w:val="16"/>
                <w:szCs w:val="16"/>
              </w:rPr>
              <w:t> </w:t>
            </w:r>
          </w:p>
        </w:tc>
        <w:tc>
          <w:tcPr>
            <w:tcW w:w="323" w:type="pct"/>
            <w:tcBorders>
              <w:top w:val="single" w:sz="4" w:space="0" w:color="auto"/>
              <w:left w:val="nil"/>
              <w:bottom w:val="single" w:sz="4" w:space="0" w:color="auto"/>
              <w:right w:val="nil"/>
            </w:tcBorders>
            <w:shd w:val="clear" w:color="auto" w:fill="auto"/>
            <w:noWrap/>
            <w:vAlign w:val="center"/>
            <w:hideMark/>
          </w:tcPr>
          <w:p w14:paraId="0C3F7B91" w14:textId="77777777" w:rsidR="00E838DF" w:rsidRPr="002E2F6B" w:rsidRDefault="00E838DF" w:rsidP="00110A7F">
            <w:pPr>
              <w:spacing w:before="0" w:after="0"/>
              <w:rPr>
                <w:sz w:val="16"/>
                <w:szCs w:val="16"/>
              </w:rPr>
            </w:pPr>
            <w:r w:rsidRPr="002E2F6B">
              <w:rPr>
                <w:sz w:val="16"/>
                <w:szCs w:val="16"/>
              </w:rPr>
              <w:t>Sal.</w:t>
            </w:r>
          </w:p>
        </w:tc>
        <w:tc>
          <w:tcPr>
            <w:tcW w:w="400" w:type="pct"/>
            <w:tcBorders>
              <w:top w:val="single" w:sz="4" w:space="0" w:color="auto"/>
              <w:left w:val="nil"/>
              <w:bottom w:val="single" w:sz="4" w:space="0" w:color="auto"/>
              <w:right w:val="nil"/>
            </w:tcBorders>
            <w:shd w:val="clear" w:color="auto" w:fill="auto"/>
            <w:noWrap/>
            <w:vAlign w:val="center"/>
            <w:hideMark/>
          </w:tcPr>
          <w:p w14:paraId="0C3F7B92" w14:textId="77777777" w:rsidR="00E838DF" w:rsidRPr="002E2F6B" w:rsidRDefault="00E838DF" w:rsidP="00110A7F">
            <w:pPr>
              <w:spacing w:before="0" w:after="0"/>
              <w:rPr>
                <w:sz w:val="16"/>
                <w:szCs w:val="16"/>
              </w:rPr>
            </w:pPr>
            <w:r w:rsidRPr="002E2F6B">
              <w:rPr>
                <w:sz w:val="16"/>
                <w:szCs w:val="16"/>
              </w:rPr>
              <w:t>Disch.</w:t>
            </w:r>
          </w:p>
        </w:tc>
        <w:tc>
          <w:tcPr>
            <w:tcW w:w="328" w:type="pct"/>
            <w:tcBorders>
              <w:top w:val="single" w:sz="4" w:space="0" w:color="auto"/>
              <w:left w:val="nil"/>
              <w:bottom w:val="single" w:sz="4" w:space="0" w:color="auto"/>
              <w:right w:val="nil"/>
            </w:tcBorders>
            <w:shd w:val="clear" w:color="auto" w:fill="auto"/>
            <w:noWrap/>
            <w:vAlign w:val="center"/>
            <w:hideMark/>
          </w:tcPr>
          <w:p w14:paraId="0C3F7B93" w14:textId="77777777" w:rsidR="00E838DF" w:rsidRPr="002E2F6B" w:rsidRDefault="00E838DF" w:rsidP="00110A7F">
            <w:pPr>
              <w:spacing w:before="0" w:after="0"/>
              <w:rPr>
                <w:sz w:val="16"/>
                <w:szCs w:val="16"/>
              </w:rPr>
            </w:pPr>
            <w:r w:rsidRPr="002E2F6B">
              <w:rPr>
                <w:sz w:val="16"/>
                <w:szCs w:val="16"/>
              </w:rPr>
              <w:t>Dist.</w:t>
            </w:r>
          </w:p>
        </w:tc>
        <w:tc>
          <w:tcPr>
            <w:tcW w:w="323" w:type="pct"/>
            <w:tcBorders>
              <w:top w:val="single" w:sz="4" w:space="0" w:color="auto"/>
              <w:left w:val="nil"/>
              <w:bottom w:val="single" w:sz="4" w:space="0" w:color="auto"/>
              <w:right w:val="nil"/>
            </w:tcBorders>
            <w:shd w:val="clear" w:color="auto" w:fill="auto"/>
            <w:noWrap/>
            <w:vAlign w:val="center"/>
            <w:hideMark/>
          </w:tcPr>
          <w:p w14:paraId="0C3F7B94" w14:textId="77777777" w:rsidR="00E838DF" w:rsidRPr="002E2F6B" w:rsidRDefault="00E838DF" w:rsidP="00110A7F">
            <w:pPr>
              <w:spacing w:before="0" w:after="0"/>
              <w:rPr>
                <w:sz w:val="16"/>
                <w:szCs w:val="16"/>
              </w:rPr>
            </w:pPr>
            <w:r w:rsidRPr="002E2F6B">
              <w:rPr>
                <w:sz w:val="16"/>
                <w:szCs w:val="16"/>
              </w:rPr>
              <w:t>TSS</w:t>
            </w:r>
          </w:p>
        </w:tc>
        <w:tc>
          <w:tcPr>
            <w:tcW w:w="323" w:type="pct"/>
            <w:tcBorders>
              <w:top w:val="single" w:sz="4" w:space="0" w:color="auto"/>
              <w:left w:val="nil"/>
              <w:bottom w:val="single" w:sz="4" w:space="0" w:color="auto"/>
              <w:right w:val="nil"/>
            </w:tcBorders>
            <w:shd w:val="clear" w:color="auto" w:fill="auto"/>
            <w:noWrap/>
            <w:vAlign w:val="center"/>
            <w:hideMark/>
          </w:tcPr>
          <w:p w14:paraId="0C3F7B95" w14:textId="77777777" w:rsidR="00E838DF" w:rsidRPr="002E2F6B" w:rsidRDefault="00E838DF" w:rsidP="00110A7F">
            <w:pPr>
              <w:spacing w:before="0" w:after="0"/>
              <w:rPr>
                <w:sz w:val="16"/>
                <w:szCs w:val="16"/>
              </w:rPr>
            </w:pPr>
            <w:r w:rsidRPr="002E2F6B">
              <w:rPr>
                <w:sz w:val="16"/>
                <w:szCs w:val="16"/>
              </w:rPr>
              <w:t>chl-a</w:t>
            </w:r>
          </w:p>
        </w:tc>
        <w:tc>
          <w:tcPr>
            <w:tcW w:w="323" w:type="pct"/>
            <w:tcBorders>
              <w:top w:val="single" w:sz="4" w:space="0" w:color="auto"/>
              <w:left w:val="nil"/>
              <w:bottom w:val="single" w:sz="4" w:space="0" w:color="auto"/>
              <w:right w:val="nil"/>
            </w:tcBorders>
            <w:shd w:val="clear" w:color="auto" w:fill="auto"/>
            <w:noWrap/>
            <w:vAlign w:val="center"/>
            <w:hideMark/>
          </w:tcPr>
          <w:p w14:paraId="0C3F7B96" w14:textId="77777777" w:rsidR="00E838DF" w:rsidRPr="002E2F6B" w:rsidRDefault="00E838DF" w:rsidP="00110A7F">
            <w:pPr>
              <w:spacing w:before="0" w:after="0"/>
              <w:rPr>
                <w:sz w:val="16"/>
                <w:szCs w:val="16"/>
              </w:rPr>
            </w:pPr>
            <w:r w:rsidRPr="002E2F6B">
              <w:rPr>
                <w:sz w:val="16"/>
                <w:szCs w:val="16"/>
              </w:rPr>
              <w:t>TN</w:t>
            </w:r>
          </w:p>
        </w:tc>
        <w:tc>
          <w:tcPr>
            <w:tcW w:w="323" w:type="pct"/>
            <w:tcBorders>
              <w:top w:val="single" w:sz="4" w:space="0" w:color="auto"/>
              <w:left w:val="nil"/>
              <w:bottom w:val="single" w:sz="4" w:space="0" w:color="auto"/>
              <w:right w:val="nil"/>
            </w:tcBorders>
            <w:shd w:val="clear" w:color="auto" w:fill="auto"/>
            <w:noWrap/>
            <w:vAlign w:val="center"/>
            <w:hideMark/>
          </w:tcPr>
          <w:p w14:paraId="0C3F7B97" w14:textId="77777777" w:rsidR="00E838DF" w:rsidRPr="002E2F6B" w:rsidRDefault="00E838DF" w:rsidP="00110A7F">
            <w:pPr>
              <w:spacing w:before="0" w:after="0"/>
              <w:rPr>
                <w:sz w:val="16"/>
                <w:szCs w:val="16"/>
              </w:rPr>
            </w:pPr>
            <w:r w:rsidRPr="002E2F6B">
              <w:rPr>
                <w:sz w:val="16"/>
                <w:szCs w:val="16"/>
              </w:rPr>
              <w:t>TDN</w:t>
            </w:r>
          </w:p>
        </w:tc>
        <w:tc>
          <w:tcPr>
            <w:tcW w:w="323" w:type="pct"/>
            <w:tcBorders>
              <w:top w:val="single" w:sz="4" w:space="0" w:color="auto"/>
              <w:left w:val="nil"/>
              <w:bottom w:val="single" w:sz="4" w:space="0" w:color="auto"/>
              <w:right w:val="nil"/>
            </w:tcBorders>
            <w:shd w:val="clear" w:color="auto" w:fill="auto"/>
            <w:noWrap/>
            <w:vAlign w:val="center"/>
            <w:hideMark/>
          </w:tcPr>
          <w:p w14:paraId="0C3F7B98" w14:textId="77777777" w:rsidR="00E838DF" w:rsidRPr="002E2F6B" w:rsidRDefault="00E838DF" w:rsidP="00110A7F">
            <w:pPr>
              <w:spacing w:before="0" w:after="0"/>
              <w:rPr>
                <w:sz w:val="16"/>
                <w:szCs w:val="16"/>
              </w:rPr>
            </w:pPr>
            <w:r w:rsidRPr="002E2F6B">
              <w:rPr>
                <w:sz w:val="16"/>
                <w:szCs w:val="16"/>
              </w:rPr>
              <w:t>DIN</w:t>
            </w:r>
          </w:p>
        </w:tc>
        <w:tc>
          <w:tcPr>
            <w:tcW w:w="323" w:type="pct"/>
            <w:tcBorders>
              <w:top w:val="single" w:sz="4" w:space="0" w:color="auto"/>
              <w:left w:val="nil"/>
              <w:bottom w:val="single" w:sz="4" w:space="0" w:color="auto"/>
              <w:right w:val="nil"/>
            </w:tcBorders>
            <w:shd w:val="clear" w:color="auto" w:fill="auto"/>
            <w:noWrap/>
            <w:vAlign w:val="center"/>
            <w:hideMark/>
          </w:tcPr>
          <w:p w14:paraId="0C3F7B99" w14:textId="77777777" w:rsidR="00E838DF" w:rsidRPr="002E2F6B" w:rsidRDefault="00E838DF" w:rsidP="00110A7F">
            <w:pPr>
              <w:spacing w:before="0" w:after="0"/>
              <w:rPr>
                <w:sz w:val="16"/>
                <w:szCs w:val="16"/>
              </w:rPr>
            </w:pPr>
            <w:r w:rsidRPr="002E2F6B">
              <w:rPr>
                <w:sz w:val="16"/>
                <w:szCs w:val="16"/>
              </w:rPr>
              <w:t>TP</w:t>
            </w:r>
          </w:p>
        </w:tc>
        <w:tc>
          <w:tcPr>
            <w:tcW w:w="323" w:type="pct"/>
            <w:tcBorders>
              <w:top w:val="single" w:sz="4" w:space="0" w:color="auto"/>
              <w:left w:val="nil"/>
              <w:bottom w:val="single" w:sz="4" w:space="0" w:color="auto"/>
              <w:right w:val="nil"/>
            </w:tcBorders>
            <w:shd w:val="clear" w:color="auto" w:fill="auto"/>
            <w:noWrap/>
            <w:vAlign w:val="center"/>
            <w:hideMark/>
          </w:tcPr>
          <w:p w14:paraId="0C3F7B9A" w14:textId="77777777" w:rsidR="00E838DF" w:rsidRPr="002E2F6B" w:rsidRDefault="00E838DF" w:rsidP="00110A7F">
            <w:pPr>
              <w:spacing w:before="0" w:after="0"/>
              <w:rPr>
                <w:sz w:val="16"/>
                <w:szCs w:val="16"/>
              </w:rPr>
            </w:pPr>
            <w:r w:rsidRPr="002E2F6B">
              <w:rPr>
                <w:sz w:val="16"/>
                <w:szCs w:val="16"/>
              </w:rPr>
              <w:t>TDP</w:t>
            </w:r>
          </w:p>
        </w:tc>
        <w:tc>
          <w:tcPr>
            <w:tcW w:w="323" w:type="pct"/>
            <w:tcBorders>
              <w:top w:val="single" w:sz="4" w:space="0" w:color="auto"/>
              <w:left w:val="nil"/>
              <w:bottom w:val="single" w:sz="4" w:space="0" w:color="auto"/>
              <w:right w:val="nil"/>
            </w:tcBorders>
            <w:shd w:val="clear" w:color="auto" w:fill="auto"/>
            <w:noWrap/>
            <w:vAlign w:val="center"/>
            <w:hideMark/>
          </w:tcPr>
          <w:p w14:paraId="0C3F7B9B" w14:textId="77777777" w:rsidR="00E838DF" w:rsidRPr="002E2F6B" w:rsidRDefault="00E838DF" w:rsidP="00110A7F">
            <w:pPr>
              <w:spacing w:before="0" w:after="0"/>
              <w:rPr>
                <w:sz w:val="16"/>
                <w:szCs w:val="16"/>
              </w:rPr>
            </w:pPr>
            <w:r w:rsidRPr="002E2F6B">
              <w:rPr>
                <w:sz w:val="16"/>
                <w:szCs w:val="16"/>
              </w:rPr>
              <w:t>DIP</w:t>
            </w:r>
          </w:p>
        </w:tc>
        <w:tc>
          <w:tcPr>
            <w:tcW w:w="323" w:type="pct"/>
            <w:tcBorders>
              <w:top w:val="single" w:sz="4" w:space="0" w:color="auto"/>
              <w:left w:val="nil"/>
              <w:bottom w:val="single" w:sz="4" w:space="0" w:color="auto"/>
              <w:right w:val="nil"/>
            </w:tcBorders>
            <w:shd w:val="clear" w:color="auto" w:fill="auto"/>
            <w:noWrap/>
            <w:vAlign w:val="center"/>
            <w:hideMark/>
          </w:tcPr>
          <w:p w14:paraId="0C3F7B9C" w14:textId="77777777" w:rsidR="00E838DF" w:rsidRPr="002E2F6B" w:rsidRDefault="00E838DF" w:rsidP="00110A7F">
            <w:pPr>
              <w:spacing w:before="0" w:after="0"/>
              <w:rPr>
                <w:sz w:val="16"/>
                <w:szCs w:val="16"/>
              </w:rPr>
            </w:pPr>
            <w:r w:rsidRPr="002E2F6B">
              <w:rPr>
                <w:sz w:val="16"/>
                <w:szCs w:val="16"/>
              </w:rPr>
              <w:t>PN</w:t>
            </w:r>
          </w:p>
        </w:tc>
        <w:tc>
          <w:tcPr>
            <w:tcW w:w="323" w:type="pct"/>
            <w:tcBorders>
              <w:top w:val="single" w:sz="4" w:space="0" w:color="auto"/>
              <w:left w:val="nil"/>
              <w:bottom w:val="single" w:sz="4" w:space="0" w:color="auto"/>
              <w:right w:val="nil"/>
            </w:tcBorders>
            <w:shd w:val="clear" w:color="auto" w:fill="auto"/>
            <w:noWrap/>
            <w:vAlign w:val="center"/>
            <w:hideMark/>
          </w:tcPr>
          <w:p w14:paraId="0C3F7B9D" w14:textId="77777777" w:rsidR="00E838DF" w:rsidRPr="002E2F6B" w:rsidRDefault="00E838DF" w:rsidP="00110A7F">
            <w:pPr>
              <w:spacing w:before="0" w:after="0"/>
              <w:rPr>
                <w:sz w:val="16"/>
                <w:szCs w:val="16"/>
              </w:rPr>
            </w:pPr>
            <w:r w:rsidRPr="002E2F6B">
              <w:rPr>
                <w:sz w:val="16"/>
                <w:szCs w:val="16"/>
              </w:rPr>
              <w:t>PP</w:t>
            </w:r>
          </w:p>
        </w:tc>
        <w:tc>
          <w:tcPr>
            <w:tcW w:w="320" w:type="pct"/>
            <w:tcBorders>
              <w:top w:val="single" w:sz="4" w:space="0" w:color="auto"/>
              <w:left w:val="nil"/>
              <w:bottom w:val="single" w:sz="4" w:space="0" w:color="auto"/>
              <w:right w:val="nil"/>
            </w:tcBorders>
            <w:shd w:val="clear" w:color="auto" w:fill="auto"/>
            <w:noWrap/>
            <w:vAlign w:val="center"/>
            <w:hideMark/>
          </w:tcPr>
          <w:p w14:paraId="0C3F7B9E" w14:textId="77777777" w:rsidR="00E838DF" w:rsidRPr="002E2F6B" w:rsidRDefault="00E838DF" w:rsidP="00110A7F">
            <w:pPr>
              <w:spacing w:before="0" w:after="0"/>
              <w:rPr>
                <w:sz w:val="16"/>
                <w:szCs w:val="16"/>
              </w:rPr>
            </w:pPr>
            <w:r w:rsidRPr="002E2F6B">
              <w:rPr>
                <w:sz w:val="16"/>
                <w:szCs w:val="16"/>
              </w:rPr>
              <w:t>Si</w:t>
            </w:r>
          </w:p>
        </w:tc>
      </w:tr>
      <w:tr w:rsidR="00E838DF" w:rsidRPr="002E2F6B" w14:paraId="0C3F7BAF" w14:textId="77777777" w:rsidTr="00E838DF">
        <w:trPr>
          <w:trHeight w:val="20"/>
        </w:trPr>
        <w:tc>
          <w:tcPr>
            <w:tcW w:w="400" w:type="pct"/>
            <w:tcBorders>
              <w:top w:val="nil"/>
              <w:left w:val="nil"/>
              <w:bottom w:val="nil"/>
              <w:right w:val="nil"/>
            </w:tcBorders>
            <w:shd w:val="clear" w:color="auto" w:fill="auto"/>
            <w:noWrap/>
            <w:vAlign w:val="center"/>
            <w:hideMark/>
          </w:tcPr>
          <w:p w14:paraId="0C3F7BA0" w14:textId="77777777" w:rsidR="00E838DF" w:rsidRPr="002E2F6B" w:rsidRDefault="00E838DF" w:rsidP="00110A7F">
            <w:pPr>
              <w:spacing w:before="0" w:after="0"/>
              <w:rPr>
                <w:sz w:val="16"/>
                <w:szCs w:val="16"/>
              </w:rPr>
            </w:pPr>
            <w:r w:rsidRPr="002E2F6B">
              <w:rPr>
                <w:sz w:val="16"/>
                <w:szCs w:val="16"/>
              </w:rPr>
              <w:t>Sal.</w:t>
            </w:r>
          </w:p>
        </w:tc>
        <w:tc>
          <w:tcPr>
            <w:tcW w:w="323" w:type="pct"/>
            <w:tcBorders>
              <w:top w:val="nil"/>
              <w:left w:val="nil"/>
              <w:bottom w:val="nil"/>
              <w:right w:val="nil"/>
            </w:tcBorders>
            <w:shd w:val="clear" w:color="auto" w:fill="auto"/>
            <w:noWrap/>
            <w:vAlign w:val="center"/>
            <w:hideMark/>
          </w:tcPr>
          <w:p w14:paraId="0C3F7BA1" w14:textId="77777777" w:rsidR="00E838DF" w:rsidRPr="002E2F6B" w:rsidRDefault="00E838DF" w:rsidP="00110A7F">
            <w:pPr>
              <w:spacing w:before="0" w:after="0"/>
              <w:rPr>
                <w:sz w:val="16"/>
                <w:szCs w:val="16"/>
              </w:rPr>
            </w:pPr>
            <w:r w:rsidRPr="002E2F6B">
              <w:rPr>
                <w:sz w:val="16"/>
                <w:szCs w:val="16"/>
              </w:rPr>
              <w:t>1</w:t>
            </w:r>
          </w:p>
        </w:tc>
        <w:tc>
          <w:tcPr>
            <w:tcW w:w="400" w:type="pct"/>
            <w:tcBorders>
              <w:top w:val="nil"/>
              <w:left w:val="nil"/>
              <w:bottom w:val="nil"/>
              <w:right w:val="nil"/>
            </w:tcBorders>
            <w:shd w:val="clear" w:color="auto" w:fill="auto"/>
            <w:noWrap/>
            <w:vAlign w:val="center"/>
            <w:hideMark/>
          </w:tcPr>
          <w:p w14:paraId="0C3F7BA2" w14:textId="77777777" w:rsidR="00E838DF" w:rsidRPr="002E2F6B" w:rsidRDefault="00E838DF" w:rsidP="00110A7F">
            <w:pPr>
              <w:spacing w:before="0" w:after="0"/>
              <w:rPr>
                <w:sz w:val="16"/>
                <w:szCs w:val="16"/>
              </w:rPr>
            </w:pPr>
            <w:r w:rsidRPr="002E2F6B">
              <w:rPr>
                <w:sz w:val="16"/>
                <w:szCs w:val="16"/>
              </w:rPr>
              <w:t>-0.58</w:t>
            </w:r>
          </w:p>
        </w:tc>
        <w:tc>
          <w:tcPr>
            <w:tcW w:w="328" w:type="pct"/>
            <w:tcBorders>
              <w:top w:val="nil"/>
              <w:left w:val="nil"/>
              <w:bottom w:val="nil"/>
              <w:right w:val="nil"/>
            </w:tcBorders>
            <w:shd w:val="clear" w:color="auto" w:fill="auto"/>
            <w:noWrap/>
            <w:vAlign w:val="center"/>
            <w:hideMark/>
          </w:tcPr>
          <w:p w14:paraId="0C3F7BA3"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BA4" w14:textId="77777777" w:rsidR="00E838DF" w:rsidRPr="002E2F6B" w:rsidRDefault="00E838DF" w:rsidP="00110A7F">
            <w:pPr>
              <w:spacing w:before="0" w:after="0"/>
              <w:rPr>
                <w:sz w:val="16"/>
                <w:szCs w:val="16"/>
              </w:rPr>
            </w:pPr>
            <w:r w:rsidRPr="002E2F6B">
              <w:rPr>
                <w:sz w:val="16"/>
                <w:szCs w:val="16"/>
              </w:rPr>
              <w:t>-0.30</w:t>
            </w:r>
          </w:p>
        </w:tc>
        <w:tc>
          <w:tcPr>
            <w:tcW w:w="323" w:type="pct"/>
            <w:tcBorders>
              <w:top w:val="nil"/>
              <w:left w:val="nil"/>
              <w:bottom w:val="nil"/>
              <w:right w:val="nil"/>
            </w:tcBorders>
            <w:shd w:val="clear" w:color="auto" w:fill="auto"/>
            <w:noWrap/>
            <w:vAlign w:val="center"/>
            <w:hideMark/>
          </w:tcPr>
          <w:p w14:paraId="0C3F7BA5"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BA6" w14:textId="77777777" w:rsidR="00E838DF" w:rsidRPr="002E2F6B" w:rsidRDefault="00E838DF" w:rsidP="00110A7F">
            <w:pPr>
              <w:spacing w:before="0" w:after="0"/>
              <w:rPr>
                <w:sz w:val="16"/>
                <w:szCs w:val="16"/>
              </w:rPr>
            </w:pPr>
            <w:r w:rsidRPr="002E2F6B">
              <w:rPr>
                <w:sz w:val="16"/>
                <w:szCs w:val="16"/>
              </w:rPr>
              <w:t>-0.41</w:t>
            </w:r>
          </w:p>
        </w:tc>
        <w:tc>
          <w:tcPr>
            <w:tcW w:w="323" w:type="pct"/>
            <w:tcBorders>
              <w:top w:val="nil"/>
              <w:left w:val="nil"/>
              <w:bottom w:val="nil"/>
              <w:right w:val="nil"/>
            </w:tcBorders>
            <w:shd w:val="clear" w:color="auto" w:fill="auto"/>
            <w:noWrap/>
            <w:vAlign w:val="center"/>
            <w:hideMark/>
          </w:tcPr>
          <w:p w14:paraId="0C3F7BA7" w14:textId="77777777" w:rsidR="00E838DF" w:rsidRPr="002E2F6B" w:rsidRDefault="00E838DF" w:rsidP="00110A7F">
            <w:pPr>
              <w:spacing w:before="0" w:after="0"/>
              <w:rPr>
                <w:sz w:val="16"/>
                <w:szCs w:val="16"/>
              </w:rPr>
            </w:pPr>
            <w:r w:rsidRPr="002E2F6B">
              <w:rPr>
                <w:sz w:val="16"/>
                <w:szCs w:val="16"/>
              </w:rPr>
              <w:t>-0.57</w:t>
            </w:r>
          </w:p>
        </w:tc>
        <w:tc>
          <w:tcPr>
            <w:tcW w:w="323" w:type="pct"/>
            <w:tcBorders>
              <w:top w:val="nil"/>
              <w:left w:val="nil"/>
              <w:bottom w:val="nil"/>
              <w:right w:val="nil"/>
            </w:tcBorders>
            <w:shd w:val="clear" w:color="auto" w:fill="auto"/>
            <w:noWrap/>
            <w:vAlign w:val="center"/>
            <w:hideMark/>
          </w:tcPr>
          <w:p w14:paraId="0C3F7BA8" w14:textId="77777777" w:rsidR="00E838DF" w:rsidRPr="002E2F6B" w:rsidRDefault="00E838DF" w:rsidP="00110A7F">
            <w:pPr>
              <w:spacing w:before="0" w:after="0"/>
              <w:rPr>
                <w:sz w:val="16"/>
                <w:szCs w:val="16"/>
              </w:rPr>
            </w:pPr>
            <w:r w:rsidRPr="002E2F6B">
              <w:rPr>
                <w:sz w:val="16"/>
                <w:szCs w:val="16"/>
              </w:rPr>
              <w:t>-0.46</w:t>
            </w:r>
          </w:p>
        </w:tc>
        <w:tc>
          <w:tcPr>
            <w:tcW w:w="323" w:type="pct"/>
            <w:tcBorders>
              <w:top w:val="nil"/>
              <w:left w:val="nil"/>
              <w:bottom w:val="nil"/>
              <w:right w:val="nil"/>
            </w:tcBorders>
            <w:shd w:val="clear" w:color="auto" w:fill="auto"/>
            <w:noWrap/>
            <w:vAlign w:val="center"/>
            <w:hideMark/>
          </w:tcPr>
          <w:p w14:paraId="0C3F7BA9" w14:textId="77777777" w:rsidR="00E838DF" w:rsidRPr="002E2F6B" w:rsidRDefault="00E838DF" w:rsidP="00110A7F">
            <w:pPr>
              <w:spacing w:before="0" w:after="0"/>
              <w:rPr>
                <w:sz w:val="16"/>
                <w:szCs w:val="16"/>
              </w:rPr>
            </w:pPr>
            <w:r w:rsidRPr="002E2F6B">
              <w:rPr>
                <w:sz w:val="16"/>
                <w:szCs w:val="16"/>
              </w:rPr>
              <w:t>-0.59</w:t>
            </w:r>
          </w:p>
        </w:tc>
        <w:tc>
          <w:tcPr>
            <w:tcW w:w="323" w:type="pct"/>
            <w:tcBorders>
              <w:top w:val="nil"/>
              <w:left w:val="nil"/>
              <w:bottom w:val="nil"/>
              <w:right w:val="nil"/>
            </w:tcBorders>
            <w:shd w:val="clear" w:color="000000" w:fill="FFFF00"/>
            <w:noWrap/>
            <w:vAlign w:val="center"/>
            <w:hideMark/>
          </w:tcPr>
          <w:p w14:paraId="0C3F7BAA" w14:textId="77777777" w:rsidR="00E838DF" w:rsidRPr="002E2F6B" w:rsidRDefault="00E838DF" w:rsidP="00110A7F">
            <w:pPr>
              <w:spacing w:before="0" w:after="0"/>
              <w:rPr>
                <w:sz w:val="16"/>
                <w:szCs w:val="16"/>
              </w:rPr>
            </w:pPr>
            <w:r w:rsidRPr="002E2F6B">
              <w:rPr>
                <w:sz w:val="16"/>
                <w:szCs w:val="16"/>
              </w:rPr>
              <w:t>-0.61</w:t>
            </w:r>
          </w:p>
        </w:tc>
        <w:tc>
          <w:tcPr>
            <w:tcW w:w="323" w:type="pct"/>
            <w:tcBorders>
              <w:top w:val="nil"/>
              <w:left w:val="nil"/>
              <w:bottom w:val="nil"/>
              <w:right w:val="nil"/>
            </w:tcBorders>
            <w:shd w:val="clear" w:color="auto" w:fill="auto"/>
            <w:noWrap/>
            <w:vAlign w:val="center"/>
            <w:hideMark/>
          </w:tcPr>
          <w:p w14:paraId="0C3F7BAB" w14:textId="77777777" w:rsidR="00E838DF" w:rsidRPr="002E2F6B" w:rsidRDefault="00E838DF" w:rsidP="00110A7F">
            <w:pPr>
              <w:spacing w:before="0" w:after="0"/>
              <w:rPr>
                <w:sz w:val="16"/>
                <w:szCs w:val="16"/>
              </w:rPr>
            </w:pPr>
            <w:r w:rsidRPr="002E2F6B">
              <w:rPr>
                <w:sz w:val="16"/>
                <w:szCs w:val="16"/>
              </w:rPr>
              <w:t>-0.40</w:t>
            </w:r>
          </w:p>
        </w:tc>
        <w:tc>
          <w:tcPr>
            <w:tcW w:w="323" w:type="pct"/>
            <w:tcBorders>
              <w:top w:val="nil"/>
              <w:left w:val="nil"/>
              <w:bottom w:val="nil"/>
              <w:right w:val="nil"/>
            </w:tcBorders>
            <w:shd w:val="clear" w:color="auto" w:fill="auto"/>
            <w:noWrap/>
            <w:vAlign w:val="center"/>
            <w:hideMark/>
          </w:tcPr>
          <w:p w14:paraId="0C3F7BAC"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BAD" w14:textId="77777777" w:rsidR="00E838DF" w:rsidRPr="002E2F6B" w:rsidRDefault="00E838DF" w:rsidP="00110A7F">
            <w:pPr>
              <w:spacing w:before="0" w:after="0"/>
              <w:rPr>
                <w:sz w:val="16"/>
                <w:szCs w:val="16"/>
              </w:rPr>
            </w:pPr>
            <w:r w:rsidRPr="002E2F6B">
              <w:rPr>
                <w:sz w:val="16"/>
                <w:szCs w:val="16"/>
              </w:rPr>
              <w:t>-0.33</w:t>
            </w:r>
          </w:p>
        </w:tc>
        <w:tc>
          <w:tcPr>
            <w:tcW w:w="320" w:type="pct"/>
            <w:tcBorders>
              <w:top w:val="nil"/>
              <w:left w:val="nil"/>
              <w:bottom w:val="nil"/>
              <w:right w:val="nil"/>
            </w:tcBorders>
            <w:shd w:val="clear" w:color="000000" w:fill="FFFF00"/>
            <w:noWrap/>
            <w:vAlign w:val="center"/>
            <w:hideMark/>
          </w:tcPr>
          <w:p w14:paraId="0C3F7BAE" w14:textId="77777777" w:rsidR="00E838DF" w:rsidRPr="002E2F6B" w:rsidRDefault="00E838DF" w:rsidP="00110A7F">
            <w:pPr>
              <w:spacing w:before="0" w:after="0"/>
              <w:rPr>
                <w:sz w:val="16"/>
                <w:szCs w:val="16"/>
              </w:rPr>
            </w:pPr>
            <w:r w:rsidRPr="002E2F6B">
              <w:rPr>
                <w:sz w:val="16"/>
                <w:szCs w:val="16"/>
              </w:rPr>
              <w:t>-0.67</w:t>
            </w:r>
          </w:p>
        </w:tc>
      </w:tr>
      <w:tr w:rsidR="00E838DF" w:rsidRPr="002E2F6B" w14:paraId="0C3F7BBF" w14:textId="77777777" w:rsidTr="00E838DF">
        <w:trPr>
          <w:trHeight w:val="20"/>
        </w:trPr>
        <w:tc>
          <w:tcPr>
            <w:tcW w:w="400" w:type="pct"/>
            <w:tcBorders>
              <w:top w:val="nil"/>
              <w:left w:val="nil"/>
              <w:bottom w:val="nil"/>
              <w:right w:val="nil"/>
            </w:tcBorders>
            <w:shd w:val="clear" w:color="auto" w:fill="auto"/>
            <w:noWrap/>
            <w:vAlign w:val="center"/>
            <w:hideMark/>
          </w:tcPr>
          <w:p w14:paraId="0C3F7BB0" w14:textId="77777777" w:rsidR="00E838DF" w:rsidRPr="002E2F6B" w:rsidRDefault="00E838DF" w:rsidP="00110A7F">
            <w:pPr>
              <w:spacing w:before="0" w:after="0"/>
              <w:rPr>
                <w:sz w:val="16"/>
                <w:szCs w:val="16"/>
              </w:rPr>
            </w:pPr>
            <w:r w:rsidRPr="002E2F6B">
              <w:rPr>
                <w:sz w:val="16"/>
                <w:szCs w:val="16"/>
              </w:rPr>
              <w:t>Disch.</w:t>
            </w:r>
          </w:p>
        </w:tc>
        <w:tc>
          <w:tcPr>
            <w:tcW w:w="323" w:type="pct"/>
            <w:tcBorders>
              <w:top w:val="nil"/>
              <w:left w:val="nil"/>
              <w:bottom w:val="nil"/>
              <w:right w:val="nil"/>
            </w:tcBorders>
            <w:shd w:val="clear" w:color="auto" w:fill="auto"/>
            <w:noWrap/>
            <w:vAlign w:val="center"/>
            <w:hideMark/>
          </w:tcPr>
          <w:p w14:paraId="0C3F7BB1" w14:textId="77777777" w:rsidR="00E838DF" w:rsidRPr="002E2F6B" w:rsidRDefault="00E838DF" w:rsidP="00110A7F">
            <w:pPr>
              <w:spacing w:before="0" w:after="0"/>
              <w:rPr>
                <w:sz w:val="16"/>
                <w:szCs w:val="16"/>
              </w:rPr>
            </w:pPr>
            <w:r w:rsidRPr="002E2F6B">
              <w:rPr>
                <w:sz w:val="16"/>
                <w:szCs w:val="16"/>
              </w:rPr>
              <w:t>-0.58</w:t>
            </w:r>
          </w:p>
        </w:tc>
        <w:tc>
          <w:tcPr>
            <w:tcW w:w="400" w:type="pct"/>
            <w:tcBorders>
              <w:top w:val="nil"/>
              <w:left w:val="nil"/>
              <w:bottom w:val="nil"/>
              <w:right w:val="nil"/>
            </w:tcBorders>
            <w:shd w:val="clear" w:color="auto" w:fill="auto"/>
            <w:noWrap/>
            <w:vAlign w:val="center"/>
            <w:hideMark/>
          </w:tcPr>
          <w:p w14:paraId="0C3F7BB2" w14:textId="77777777" w:rsidR="00E838DF" w:rsidRPr="002E2F6B" w:rsidRDefault="00E838DF" w:rsidP="00110A7F">
            <w:pPr>
              <w:spacing w:before="0" w:after="0"/>
              <w:rPr>
                <w:sz w:val="16"/>
                <w:szCs w:val="16"/>
              </w:rPr>
            </w:pPr>
            <w:r w:rsidRPr="002E2F6B">
              <w:rPr>
                <w:sz w:val="16"/>
                <w:szCs w:val="16"/>
              </w:rPr>
              <w:t>1</w:t>
            </w:r>
          </w:p>
        </w:tc>
        <w:tc>
          <w:tcPr>
            <w:tcW w:w="328" w:type="pct"/>
            <w:tcBorders>
              <w:top w:val="nil"/>
              <w:left w:val="nil"/>
              <w:bottom w:val="nil"/>
              <w:right w:val="nil"/>
            </w:tcBorders>
            <w:shd w:val="clear" w:color="auto" w:fill="auto"/>
            <w:noWrap/>
            <w:vAlign w:val="center"/>
            <w:hideMark/>
          </w:tcPr>
          <w:p w14:paraId="0C3F7BB3"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BB4"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BB5"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BB6" w14:textId="77777777" w:rsidR="00E838DF" w:rsidRPr="002E2F6B" w:rsidRDefault="00E838DF" w:rsidP="00110A7F">
            <w:pPr>
              <w:spacing w:before="0" w:after="0"/>
              <w:rPr>
                <w:sz w:val="16"/>
                <w:szCs w:val="16"/>
              </w:rPr>
            </w:pPr>
            <w:r w:rsidRPr="002E2F6B">
              <w:rPr>
                <w:sz w:val="16"/>
                <w:szCs w:val="16"/>
              </w:rPr>
              <w:t>-0.03</w:t>
            </w:r>
          </w:p>
        </w:tc>
        <w:tc>
          <w:tcPr>
            <w:tcW w:w="323" w:type="pct"/>
            <w:tcBorders>
              <w:top w:val="nil"/>
              <w:left w:val="nil"/>
              <w:bottom w:val="nil"/>
              <w:right w:val="nil"/>
            </w:tcBorders>
            <w:shd w:val="clear" w:color="auto" w:fill="auto"/>
            <w:noWrap/>
            <w:vAlign w:val="center"/>
            <w:hideMark/>
          </w:tcPr>
          <w:p w14:paraId="0C3F7BB7"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BB8" w14:textId="77777777" w:rsidR="00E838DF" w:rsidRPr="002E2F6B" w:rsidRDefault="00E838DF" w:rsidP="00110A7F">
            <w:pPr>
              <w:spacing w:before="0" w:after="0"/>
              <w:rPr>
                <w:sz w:val="16"/>
                <w:szCs w:val="16"/>
              </w:rPr>
            </w:pPr>
            <w:r w:rsidRPr="002E2F6B">
              <w:rPr>
                <w:sz w:val="16"/>
                <w:szCs w:val="16"/>
              </w:rPr>
              <w:t>0.48</w:t>
            </w:r>
          </w:p>
        </w:tc>
        <w:tc>
          <w:tcPr>
            <w:tcW w:w="323" w:type="pct"/>
            <w:tcBorders>
              <w:top w:val="nil"/>
              <w:left w:val="nil"/>
              <w:bottom w:val="nil"/>
              <w:right w:val="nil"/>
            </w:tcBorders>
            <w:shd w:val="clear" w:color="auto" w:fill="auto"/>
            <w:noWrap/>
            <w:vAlign w:val="center"/>
            <w:hideMark/>
          </w:tcPr>
          <w:p w14:paraId="0C3F7BB9" w14:textId="77777777" w:rsidR="00E838DF" w:rsidRPr="002E2F6B" w:rsidRDefault="00E838DF" w:rsidP="00110A7F">
            <w:pPr>
              <w:spacing w:before="0" w:after="0"/>
              <w:rPr>
                <w:sz w:val="16"/>
                <w:szCs w:val="16"/>
              </w:rPr>
            </w:pPr>
            <w:r w:rsidRPr="002E2F6B">
              <w:rPr>
                <w:sz w:val="16"/>
                <w:szCs w:val="16"/>
              </w:rPr>
              <w:t>0.28</w:t>
            </w:r>
          </w:p>
        </w:tc>
        <w:tc>
          <w:tcPr>
            <w:tcW w:w="323" w:type="pct"/>
            <w:tcBorders>
              <w:top w:val="nil"/>
              <w:left w:val="nil"/>
              <w:bottom w:val="nil"/>
              <w:right w:val="nil"/>
            </w:tcBorders>
            <w:shd w:val="clear" w:color="auto" w:fill="auto"/>
            <w:noWrap/>
            <w:vAlign w:val="center"/>
            <w:hideMark/>
          </w:tcPr>
          <w:p w14:paraId="0C3F7BBA" w14:textId="77777777" w:rsidR="00E838DF" w:rsidRPr="002E2F6B" w:rsidRDefault="00E838DF" w:rsidP="00110A7F">
            <w:pPr>
              <w:spacing w:before="0" w:after="0"/>
              <w:rPr>
                <w:sz w:val="16"/>
                <w:szCs w:val="16"/>
              </w:rPr>
            </w:pPr>
            <w:r w:rsidRPr="002E2F6B">
              <w:rPr>
                <w:sz w:val="16"/>
                <w:szCs w:val="16"/>
              </w:rPr>
              <w:t>0.28</w:t>
            </w:r>
          </w:p>
        </w:tc>
        <w:tc>
          <w:tcPr>
            <w:tcW w:w="323" w:type="pct"/>
            <w:tcBorders>
              <w:top w:val="nil"/>
              <w:left w:val="nil"/>
              <w:bottom w:val="nil"/>
              <w:right w:val="nil"/>
            </w:tcBorders>
            <w:shd w:val="clear" w:color="auto" w:fill="auto"/>
            <w:noWrap/>
            <w:vAlign w:val="center"/>
            <w:hideMark/>
          </w:tcPr>
          <w:p w14:paraId="0C3F7BBB"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BBC" w14:textId="77777777" w:rsidR="00E838DF" w:rsidRPr="002E2F6B" w:rsidRDefault="00E838DF" w:rsidP="00110A7F">
            <w:pPr>
              <w:spacing w:before="0" w:after="0"/>
              <w:rPr>
                <w:sz w:val="16"/>
                <w:szCs w:val="16"/>
              </w:rPr>
            </w:pPr>
            <w:r w:rsidRPr="002E2F6B">
              <w:rPr>
                <w:sz w:val="16"/>
                <w:szCs w:val="16"/>
              </w:rPr>
              <w:t>-0.39</w:t>
            </w:r>
          </w:p>
        </w:tc>
        <w:tc>
          <w:tcPr>
            <w:tcW w:w="323" w:type="pct"/>
            <w:tcBorders>
              <w:top w:val="nil"/>
              <w:left w:val="nil"/>
              <w:bottom w:val="nil"/>
              <w:right w:val="nil"/>
            </w:tcBorders>
            <w:shd w:val="clear" w:color="auto" w:fill="auto"/>
            <w:noWrap/>
            <w:vAlign w:val="center"/>
            <w:hideMark/>
          </w:tcPr>
          <w:p w14:paraId="0C3F7BBD" w14:textId="77777777" w:rsidR="00E838DF" w:rsidRPr="002E2F6B" w:rsidRDefault="00E838DF" w:rsidP="00110A7F">
            <w:pPr>
              <w:spacing w:before="0" w:after="0"/>
              <w:rPr>
                <w:sz w:val="16"/>
                <w:szCs w:val="16"/>
              </w:rPr>
            </w:pPr>
            <w:r w:rsidRPr="002E2F6B">
              <w:rPr>
                <w:sz w:val="16"/>
                <w:szCs w:val="16"/>
              </w:rPr>
              <w:t>0.10</w:t>
            </w:r>
          </w:p>
        </w:tc>
        <w:tc>
          <w:tcPr>
            <w:tcW w:w="320" w:type="pct"/>
            <w:tcBorders>
              <w:top w:val="nil"/>
              <w:left w:val="nil"/>
              <w:bottom w:val="nil"/>
              <w:right w:val="nil"/>
            </w:tcBorders>
            <w:shd w:val="clear" w:color="000000" w:fill="FFFF00"/>
            <w:noWrap/>
            <w:vAlign w:val="center"/>
            <w:hideMark/>
          </w:tcPr>
          <w:p w14:paraId="0C3F7BBE" w14:textId="77777777" w:rsidR="00E838DF" w:rsidRPr="002E2F6B" w:rsidRDefault="00E838DF" w:rsidP="00110A7F">
            <w:pPr>
              <w:spacing w:before="0" w:after="0"/>
              <w:rPr>
                <w:sz w:val="16"/>
                <w:szCs w:val="16"/>
              </w:rPr>
            </w:pPr>
            <w:r w:rsidRPr="002E2F6B">
              <w:rPr>
                <w:sz w:val="16"/>
                <w:szCs w:val="16"/>
              </w:rPr>
              <w:t>0.68</w:t>
            </w:r>
          </w:p>
        </w:tc>
      </w:tr>
      <w:tr w:rsidR="00E838DF" w:rsidRPr="002E2F6B" w14:paraId="0C3F7BCF" w14:textId="77777777" w:rsidTr="00E838DF">
        <w:trPr>
          <w:trHeight w:val="20"/>
        </w:trPr>
        <w:tc>
          <w:tcPr>
            <w:tcW w:w="400" w:type="pct"/>
            <w:tcBorders>
              <w:top w:val="nil"/>
              <w:left w:val="nil"/>
              <w:bottom w:val="nil"/>
              <w:right w:val="nil"/>
            </w:tcBorders>
            <w:shd w:val="clear" w:color="auto" w:fill="auto"/>
            <w:noWrap/>
            <w:vAlign w:val="center"/>
            <w:hideMark/>
          </w:tcPr>
          <w:p w14:paraId="0C3F7BC0" w14:textId="77777777" w:rsidR="00E838DF" w:rsidRPr="002E2F6B" w:rsidRDefault="00E838DF" w:rsidP="00110A7F">
            <w:pPr>
              <w:spacing w:before="0" w:after="0"/>
              <w:rPr>
                <w:sz w:val="16"/>
                <w:szCs w:val="16"/>
              </w:rPr>
            </w:pPr>
            <w:r w:rsidRPr="002E2F6B">
              <w:rPr>
                <w:sz w:val="16"/>
                <w:szCs w:val="16"/>
              </w:rPr>
              <w:t>Dist.</w:t>
            </w:r>
          </w:p>
        </w:tc>
        <w:tc>
          <w:tcPr>
            <w:tcW w:w="323" w:type="pct"/>
            <w:tcBorders>
              <w:top w:val="nil"/>
              <w:left w:val="nil"/>
              <w:bottom w:val="nil"/>
              <w:right w:val="nil"/>
            </w:tcBorders>
            <w:shd w:val="clear" w:color="auto" w:fill="auto"/>
            <w:noWrap/>
            <w:vAlign w:val="center"/>
            <w:hideMark/>
          </w:tcPr>
          <w:p w14:paraId="0C3F7BC1" w14:textId="77777777" w:rsidR="00E838DF" w:rsidRPr="002E2F6B" w:rsidRDefault="00E838DF" w:rsidP="00110A7F">
            <w:pPr>
              <w:spacing w:before="0" w:after="0"/>
              <w:rPr>
                <w:sz w:val="16"/>
                <w:szCs w:val="16"/>
              </w:rPr>
            </w:pPr>
            <w:r w:rsidRPr="002E2F6B">
              <w:rPr>
                <w:sz w:val="16"/>
                <w:szCs w:val="16"/>
              </w:rPr>
              <w:t>0.11</w:t>
            </w:r>
          </w:p>
        </w:tc>
        <w:tc>
          <w:tcPr>
            <w:tcW w:w="400" w:type="pct"/>
            <w:tcBorders>
              <w:top w:val="nil"/>
              <w:left w:val="nil"/>
              <w:bottom w:val="nil"/>
              <w:right w:val="nil"/>
            </w:tcBorders>
            <w:shd w:val="clear" w:color="auto" w:fill="auto"/>
            <w:noWrap/>
            <w:vAlign w:val="center"/>
            <w:hideMark/>
          </w:tcPr>
          <w:p w14:paraId="0C3F7BC2" w14:textId="77777777" w:rsidR="00E838DF" w:rsidRPr="002E2F6B" w:rsidRDefault="00E838DF" w:rsidP="00110A7F">
            <w:pPr>
              <w:spacing w:before="0" w:after="0"/>
              <w:rPr>
                <w:sz w:val="16"/>
                <w:szCs w:val="16"/>
              </w:rPr>
            </w:pPr>
            <w:r w:rsidRPr="002E2F6B">
              <w:rPr>
                <w:sz w:val="16"/>
                <w:szCs w:val="16"/>
              </w:rPr>
              <w:t>0.11</w:t>
            </w:r>
          </w:p>
        </w:tc>
        <w:tc>
          <w:tcPr>
            <w:tcW w:w="328" w:type="pct"/>
            <w:tcBorders>
              <w:top w:val="nil"/>
              <w:left w:val="nil"/>
              <w:bottom w:val="nil"/>
              <w:right w:val="nil"/>
            </w:tcBorders>
            <w:shd w:val="clear" w:color="auto" w:fill="auto"/>
            <w:noWrap/>
            <w:vAlign w:val="center"/>
            <w:hideMark/>
          </w:tcPr>
          <w:p w14:paraId="0C3F7BC3"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BC4"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BC5" w14:textId="77777777" w:rsidR="00E838DF" w:rsidRPr="002E2F6B" w:rsidRDefault="00E838DF" w:rsidP="00110A7F">
            <w:pPr>
              <w:spacing w:before="0" w:after="0"/>
              <w:rPr>
                <w:sz w:val="16"/>
                <w:szCs w:val="16"/>
              </w:rPr>
            </w:pPr>
            <w:r w:rsidRPr="002E2F6B">
              <w:rPr>
                <w:sz w:val="16"/>
                <w:szCs w:val="16"/>
              </w:rPr>
              <w:t>-0.08</w:t>
            </w:r>
          </w:p>
        </w:tc>
        <w:tc>
          <w:tcPr>
            <w:tcW w:w="323" w:type="pct"/>
            <w:tcBorders>
              <w:top w:val="nil"/>
              <w:left w:val="nil"/>
              <w:bottom w:val="nil"/>
              <w:right w:val="nil"/>
            </w:tcBorders>
            <w:shd w:val="clear" w:color="auto" w:fill="auto"/>
            <w:noWrap/>
            <w:vAlign w:val="center"/>
            <w:hideMark/>
          </w:tcPr>
          <w:p w14:paraId="0C3F7BC6" w14:textId="77777777" w:rsidR="00E838DF" w:rsidRPr="002E2F6B" w:rsidRDefault="00E838DF" w:rsidP="00110A7F">
            <w:pPr>
              <w:spacing w:before="0" w:after="0"/>
              <w:rPr>
                <w:sz w:val="16"/>
                <w:szCs w:val="16"/>
              </w:rPr>
            </w:pPr>
            <w:r w:rsidRPr="002E2F6B">
              <w:rPr>
                <w:sz w:val="16"/>
                <w:szCs w:val="16"/>
              </w:rPr>
              <w:t>-0.39</w:t>
            </w:r>
          </w:p>
        </w:tc>
        <w:tc>
          <w:tcPr>
            <w:tcW w:w="323" w:type="pct"/>
            <w:tcBorders>
              <w:top w:val="nil"/>
              <w:left w:val="nil"/>
              <w:bottom w:val="nil"/>
              <w:right w:val="nil"/>
            </w:tcBorders>
            <w:shd w:val="clear" w:color="auto" w:fill="auto"/>
            <w:noWrap/>
            <w:vAlign w:val="center"/>
            <w:hideMark/>
          </w:tcPr>
          <w:p w14:paraId="0C3F7BC7"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BC8"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BC9"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BCA"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BCB"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BCC"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BCD" w14:textId="77777777" w:rsidR="00E838DF" w:rsidRPr="002E2F6B" w:rsidRDefault="00E838DF" w:rsidP="00110A7F">
            <w:pPr>
              <w:spacing w:before="0" w:after="0"/>
              <w:rPr>
                <w:sz w:val="16"/>
                <w:szCs w:val="16"/>
              </w:rPr>
            </w:pPr>
            <w:r w:rsidRPr="002E2F6B">
              <w:rPr>
                <w:sz w:val="16"/>
                <w:szCs w:val="16"/>
              </w:rPr>
              <w:t>-0.25</w:t>
            </w:r>
          </w:p>
        </w:tc>
        <w:tc>
          <w:tcPr>
            <w:tcW w:w="320" w:type="pct"/>
            <w:tcBorders>
              <w:top w:val="nil"/>
              <w:left w:val="nil"/>
              <w:bottom w:val="nil"/>
              <w:right w:val="nil"/>
            </w:tcBorders>
            <w:shd w:val="clear" w:color="auto" w:fill="auto"/>
            <w:noWrap/>
            <w:vAlign w:val="center"/>
            <w:hideMark/>
          </w:tcPr>
          <w:p w14:paraId="0C3F7BCE" w14:textId="77777777" w:rsidR="00E838DF" w:rsidRPr="002E2F6B" w:rsidRDefault="00E838DF" w:rsidP="00110A7F">
            <w:pPr>
              <w:spacing w:before="0" w:after="0"/>
              <w:rPr>
                <w:sz w:val="16"/>
                <w:szCs w:val="16"/>
              </w:rPr>
            </w:pPr>
            <w:r w:rsidRPr="002E2F6B">
              <w:rPr>
                <w:sz w:val="16"/>
                <w:szCs w:val="16"/>
              </w:rPr>
              <w:t>-0.32</w:t>
            </w:r>
          </w:p>
        </w:tc>
      </w:tr>
      <w:tr w:rsidR="00E838DF" w:rsidRPr="002E2F6B" w14:paraId="0C3F7BDF" w14:textId="77777777" w:rsidTr="00E838DF">
        <w:trPr>
          <w:trHeight w:val="20"/>
        </w:trPr>
        <w:tc>
          <w:tcPr>
            <w:tcW w:w="400" w:type="pct"/>
            <w:tcBorders>
              <w:top w:val="nil"/>
              <w:left w:val="nil"/>
              <w:bottom w:val="nil"/>
              <w:right w:val="nil"/>
            </w:tcBorders>
            <w:shd w:val="clear" w:color="auto" w:fill="auto"/>
            <w:noWrap/>
            <w:vAlign w:val="center"/>
            <w:hideMark/>
          </w:tcPr>
          <w:p w14:paraId="0C3F7BD0" w14:textId="77777777" w:rsidR="00E838DF" w:rsidRPr="002E2F6B" w:rsidRDefault="00E838DF" w:rsidP="00110A7F">
            <w:pPr>
              <w:spacing w:before="0" w:after="0"/>
              <w:rPr>
                <w:sz w:val="16"/>
                <w:szCs w:val="16"/>
              </w:rPr>
            </w:pPr>
            <w:r w:rsidRPr="002E2F6B">
              <w:rPr>
                <w:sz w:val="16"/>
                <w:szCs w:val="16"/>
              </w:rPr>
              <w:t>TSS</w:t>
            </w:r>
          </w:p>
        </w:tc>
        <w:tc>
          <w:tcPr>
            <w:tcW w:w="323" w:type="pct"/>
            <w:tcBorders>
              <w:top w:val="nil"/>
              <w:left w:val="nil"/>
              <w:bottom w:val="nil"/>
              <w:right w:val="nil"/>
            </w:tcBorders>
            <w:shd w:val="clear" w:color="auto" w:fill="auto"/>
            <w:noWrap/>
            <w:vAlign w:val="center"/>
            <w:hideMark/>
          </w:tcPr>
          <w:p w14:paraId="0C3F7BD1" w14:textId="77777777" w:rsidR="00E838DF" w:rsidRPr="002E2F6B" w:rsidRDefault="00E838DF" w:rsidP="00110A7F">
            <w:pPr>
              <w:spacing w:before="0" w:after="0"/>
              <w:rPr>
                <w:sz w:val="16"/>
                <w:szCs w:val="16"/>
              </w:rPr>
            </w:pPr>
            <w:r w:rsidRPr="002E2F6B">
              <w:rPr>
                <w:sz w:val="16"/>
                <w:szCs w:val="16"/>
              </w:rPr>
              <w:t>-0.30</w:t>
            </w:r>
          </w:p>
        </w:tc>
        <w:tc>
          <w:tcPr>
            <w:tcW w:w="400" w:type="pct"/>
            <w:tcBorders>
              <w:top w:val="nil"/>
              <w:left w:val="nil"/>
              <w:bottom w:val="nil"/>
              <w:right w:val="nil"/>
            </w:tcBorders>
            <w:shd w:val="clear" w:color="auto" w:fill="auto"/>
            <w:noWrap/>
            <w:vAlign w:val="center"/>
            <w:hideMark/>
          </w:tcPr>
          <w:p w14:paraId="0C3F7BD2" w14:textId="77777777" w:rsidR="00E838DF" w:rsidRPr="002E2F6B" w:rsidRDefault="00E838DF" w:rsidP="00110A7F">
            <w:pPr>
              <w:spacing w:before="0" w:after="0"/>
              <w:rPr>
                <w:sz w:val="16"/>
                <w:szCs w:val="16"/>
              </w:rPr>
            </w:pPr>
            <w:r w:rsidRPr="002E2F6B">
              <w:rPr>
                <w:sz w:val="16"/>
                <w:szCs w:val="16"/>
              </w:rPr>
              <w:t>0.15</w:t>
            </w:r>
          </w:p>
        </w:tc>
        <w:tc>
          <w:tcPr>
            <w:tcW w:w="328" w:type="pct"/>
            <w:tcBorders>
              <w:top w:val="nil"/>
              <w:left w:val="nil"/>
              <w:bottom w:val="nil"/>
              <w:right w:val="nil"/>
            </w:tcBorders>
            <w:shd w:val="clear" w:color="auto" w:fill="auto"/>
            <w:noWrap/>
            <w:vAlign w:val="center"/>
            <w:hideMark/>
          </w:tcPr>
          <w:p w14:paraId="0C3F7BD3"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BD4"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BD5" w14:textId="77777777" w:rsidR="00E838DF" w:rsidRPr="002E2F6B" w:rsidRDefault="00E838DF" w:rsidP="00110A7F">
            <w:pPr>
              <w:spacing w:before="0" w:after="0"/>
              <w:rPr>
                <w:sz w:val="16"/>
                <w:szCs w:val="16"/>
              </w:rPr>
            </w:pPr>
            <w:r w:rsidRPr="002E2F6B">
              <w:rPr>
                <w:sz w:val="16"/>
                <w:szCs w:val="16"/>
              </w:rPr>
              <w:t>0.52</w:t>
            </w:r>
          </w:p>
        </w:tc>
        <w:tc>
          <w:tcPr>
            <w:tcW w:w="323" w:type="pct"/>
            <w:tcBorders>
              <w:top w:val="nil"/>
              <w:left w:val="nil"/>
              <w:bottom w:val="nil"/>
              <w:right w:val="nil"/>
            </w:tcBorders>
            <w:shd w:val="clear" w:color="auto" w:fill="auto"/>
            <w:noWrap/>
            <w:vAlign w:val="center"/>
            <w:hideMark/>
          </w:tcPr>
          <w:p w14:paraId="0C3F7BD6" w14:textId="77777777" w:rsidR="00E838DF" w:rsidRPr="002E2F6B" w:rsidRDefault="00E838DF" w:rsidP="00110A7F">
            <w:pPr>
              <w:spacing w:before="0" w:after="0"/>
              <w:rPr>
                <w:sz w:val="16"/>
                <w:szCs w:val="16"/>
              </w:rPr>
            </w:pPr>
            <w:r w:rsidRPr="002E2F6B">
              <w:rPr>
                <w:sz w:val="16"/>
                <w:szCs w:val="16"/>
              </w:rPr>
              <w:t>0.31</w:t>
            </w:r>
          </w:p>
        </w:tc>
        <w:tc>
          <w:tcPr>
            <w:tcW w:w="323" w:type="pct"/>
            <w:tcBorders>
              <w:top w:val="nil"/>
              <w:left w:val="nil"/>
              <w:bottom w:val="nil"/>
              <w:right w:val="nil"/>
            </w:tcBorders>
            <w:shd w:val="clear" w:color="auto" w:fill="auto"/>
            <w:noWrap/>
            <w:vAlign w:val="center"/>
            <w:hideMark/>
          </w:tcPr>
          <w:p w14:paraId="0C3F7BD7"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BD8"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BD9"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BDA"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BDB" w14:textId="77777777" w:rsidR="00E838DF" w:rsidRPr="002E2F6B" w:rsidRDefault="00E838DF" w:rsidP="00110A7F">
            <w:pPr>
              <w:spacing w:before="0" w:after="0"/>
              <w:rPr>
                <w:sz w:val="16"/>
                <w:szCs w:val="16"/>
              </w:rPr>
            </w:pPr>
            <w:r w:rsidRPr="002E2F6B">
              <w:rPr>
                <w:sz w:val="16"/>
                <w:szCs w:val="16"/>
              </w:rPr>
              <w:t>-0.08</w:t>
            </w:r>
          </w:p>
        </w:tc>
        <w:tc>
          <w:tcPr>
            <w:tcW w:w="323" w:type="pct"/>
            <w:tcBorders>
              <w:top w:val="nil"/>
              <w:left w:val="nil"/>
              <w:bottom w:val="nil"/>
              <w:right w:val="nil"/>
            </w:tcBorders>
            <w:shd w:val="clear" w:color="auto" w:fill="auto"/>
            <w:noWrap/>
            <w:vAlign w:val="center"/>
            <w:hideMark/>
          </w:tcPr>
          <w:p w14:paraId="0C3F7BDC"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BDD" w14:textId="77777777" w:rsidR="00E838DF" w:rsidRPr="002E2F6B" w:rsidRDefault="00E838DF" w:rsidP="00110A7F">
            <w:pPr>
              <w:spacing w:before="0" w:after="0"/>
              <w:rPr>
                <w:sz w:val="16"/>
                <w:szCs w:val="16"/>
              </w:rPr>
            </w:pPr>
            <w:r w:rsidRPr="002E2F6B">
              <w:rPr>
                <w:sz w:val="16"/>
                <w:szCs w:val="16"/>
              </w:rPr>
              <w:t>0.15</w:t>
            </w:r>
          </w:p>
        </w:tc>
        <w:tc>
          <w:tcPr>
            <w:tcW w:w="320" w:type="pct"/>
            <w:tcBorders>
              <w:top w:val="nil"/>
              <w:left w:val="nil"/>
              <w:bottom w:val="nil"/>
              <w:right w:val="nil"/>
            </w:tcBorders>
            <w:shd w:val="clear" w:color="auto" w:fill="auto"/>
            <w:noWrap/>
            <w:vAlign w:val="center"/>
            <w:hideMark/>
          </w:tcPr>
          <w:p w14:paraId="0C3F7BDE" w14:textId="77777777" w:rsidR="00E838DF" w:rsidRPr="002E2F6B" w:rsidRDefault="00E838DF" w:rsidP="00110A7F">
            <w:pPr>
              <w:spacing w:before="0" w:after="0"/>
              <w:rPr>
                <w:sz w:val="16"/>
                <w:szCs w:val="16"/>
              </w:rPr>
            </w:pPr>
            <w:r w:rsidRPr="002E2F6B">
              <w:rPr>
                <w:sz w:val="16"/>
                <w:szCs w:val="16"/>
              </w:rPr>
              <w:t>0.27</w:t>
            </w:r>
          </w:p>
        </w:tc>
      </w:tr>
      <w:tr w:rsidR="00E838DF" w:rsidRPr="002E2F6B" w14:paraId="0C3F7BEF" w14:textId="77777777" w:rsidTr="00E838DF">
        <w:trPr>
          <w:trHeight w:val="20"/>
        </w:trPr>
        <w:tc>
          <w:tcPr>
            <w:tcW w:w="400" w:type="pct"/>
            <w:tcBorders>
              <w:top w:val="nil"/>
              <w:left w:val="nil"/>
              <w:bottom w:val="nil"/>
              <w:right w:val="nil"/>
            </w:tcBorders>
            <w:shd w:val="clear" w:color="auto" w:fill="auto"/>
            <w:noWrap/>
            <w:vAlign w:val="center"/>
            <w:hideMark/>
          </w:tcPr>
          <w:p w14:paraId="0C3F7BE0" w14:textId="77777777" w:rsidR="00E838DF" w:rsidRPr="002E2F6B" w:rsidRDefault="00E838DF" w:rsidP="00110A7F">
            <w:pPr>
              <w:spacing w:before="0" w:after="0"/>
              <w:rPr>
                <w:sz w:val="16"/>
                <w:szCs w:val="16"/>
              </w:rPr>
            </w:pPr>
            <w:r w:rsidRPr="002E2F6B">
              <w:rPr>
                <w:sz w:val="16"/>
                <w:szCs w:val="16"/>
              </w:rPr>
              <w:t>chl-a</w:t>
            </w:r>
          </w:p>
        </w:tc>
        <w:tc>
          <w:tcPr>
            <w:tcW w:w="323" w:type="pct"/>
            <w:tcBorders>
              <w:top w:val="nil"/>
              <w:left w:val="nil"/>
              <w:bottom w:val="nil"/>
              <w:right w:val="nil"/>
            </w:tcBorders>
            <w:shd w:val="clear" w:color="auto" w:fill="auto"/>
            <w:noWrap/>
            <w:vAlign w:val="center"/>
            <w:hideMark/>
          </w:tcPr>
          <w:p w14:paraId="0C3F7BE1" w14:textId="77777777" w:rsidR="00E838DF" w:rsidRPr="002E2F6B" w:rsidRDefault="00E838DF" w:rsidP="00110A7F">
            <w:pPr>
              <w:spacing w:before="0" w:after="0"/>
              <w:rPr>
                <w:sz w:val="16"/>
                <w:szCs w:val="16"/>
              </w:rPr>
            </w:pPr>
            <w:r w:rsidRPr="002E2F6B">
              <w:rPr>
                <w:sz w:val="16"/>
                <w:szCs w:val="16"/>
              </w:rPr>
              <w:t>-0.15</w:t>
            </w:r>
          </w:p>
        </w:tc>
        <w:tc>
          <w:tcPr>
            <w:tcW w:w="400" w:type="pct"/>
            <w:tcBorders>
              <w:top w:val="nil"/>
              <w:left w:val="nil"/>
              <w:bottom w:val="nil"/>
              <w:right w:val="nil"/>
            </w:tcBorders>
            <w:shd w:val="clear" w:color="auto" w:fill="auto"/>
            <w:noWrap/>
            <w:vAlign w:val="center"/>
            <w:hideMark/>
          </w:tcPr>
          <w:p w14:paraId="0C3F7BE2" w14:textId="77777777" w:rsidR="00E838DF" w:rsidRPr="002E2F6B" w:rsidRDefault="00E838DF" w:rsidP="00110A7F">
            <w:pPr>
              <w:spacing w:before="0" w:after="0"/>
              <w:rPr>
                <w:sz w:val="16"/>
                <w:szCs w:val="16"/>
              </w:rPr>
            </w:pPr>
            <w:r w:rsidRPr="002E2F6B">
              <w:rPr>
                <w:sz w:val="16"/>
                <w:szCs w:val="16"/>
              </w:rPr>
              <w:t>0.18</w:t>
            </w:r>
          </w:p>
        </w:tc>
        <w:tc>
          <w:tcPr>
            <w:tcW w:w="328" w:type="pct"/>
            <w:tcBorders>
              <w:top w:val="nil"/>
              <w:left w:val="nil"/>
              <w:bottom w:val="nil"/>
              <w:right w:val="nil"/>
            </w:tcBorders>
            <w:shd w:val="clear" w:color="auto" w:fill="auto"/>
            <w:noWrap/>
            <w:vAlign w:val="center"/>
            <w:hideMark/>
          </w:tcPr>
          <w:p w14:paraId="0C3F7BE3" w14:textId="77777777" w:rsidR="00E838DF" w:rsidRPr="002E2F6B" w:rsidRDefault="00E838DF" w:rsidP="00110A7F">
            <w:pPr>
              <w:spacing w:before="0" w:after="0"/>
              <w:rPr>
                <w:sz w:val="16"/>
                <w:szCs w:val="16"/>
              </w:rPr>
            </w:pPr>
            <w:r w:rsidRPr="002E2F6B">
              <w:rPr>
                <w:sz w:val="16"/>
                <w:szCs w:val="16"/>
              </w:rPr>
              <w:t>-0.08</w:t>
            </w:r>
          </w:p>
        </w:tc>
        <w:tc>
          <w:tcPr>
            <w:tcW w:w="323" w:type="pct"/>
            <w:tcBorders>
              <w:top w:val="nil"/>
              <w:left w:val="nil"/>
              <w:bottom w:val="nil"/>
              <w:right w:val="nil"/>
            </w:tcBorders>
            <w:shd w:val="clear" w:color="auto" w:fill="auto"/>
            <w:noWrap/>
            <w:vAlign w:val="center"/>
            <w:hideMark/>
          </w:tcPr>
          <w:p w14:paraId="0C3F7BE4" w14:textId="77777777" w:rsidR="00E838DF" w:rsidRPr="002E2F6B" w:rsidRDefault="00E838DF" w:rsidP="00110A7F">
            <w:pPr>
              <w:spacing w:before="0" w:after="0"/>
              <w:rPr>
                <w:sz w:val="16"/>
                <w:szCs w:val="16"/>
              </w:rPr>
            </w:pPr>
            <w:r w:rsidRPr="002E2F6B">
              <w:rPr>
                <w:sz w:val="16"/>
                <w:szCs w:val="16"/>
              </w:rPr>
              <w:t>0.52</w:t>
            </w:r>
          </w:p>
        </w:tc>
        <w:tc>
          <w:tcPr>
            <w:tcW w:w="323" w:type="pct"/>
            <w:tcBorders>
              <w:top w:val="nil"/>
              <w:left w:val="nil"/>
              <w:bottom w:val="nil"/>
              <w:right w:val="nil"/>
            </w:tcBorders>
            <w:shd w:val="clear" w:color="auto" w:fill="auto"/>
            <w:noWrap/>
            <w:vAlign w:val="center"/>
            <w:hideMark/>
          </w:tcPr>
          <w:p w14:paraId="0C3F7BE5"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BE6"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BE7"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BE8" w14:textId="77777777" w:rsidR="00E838DF" w:rsidRPr="002E2F6B" w:rsidRDefault="00E838DF" w:rsidP="00110A7F">
            <w:pPr>
              <w:spacing w:before="0" w:after="0"/>
              <w:rPr>
                <w:sz w:val="16"/>
                <w:szCs w:val="16"/>
              </w:rPr>
            </w:pPr>
            <w:r w:rsidRPr="002E2F6B">
              <w:rPr>
                <w:sz w:val="16"/>
                <w:szCs w:val="16"/>
              </w:rPr>
              <w:t>0.06</w:t>
            </w:r>
          </w:p>
        </w:tc>
        <w:tc>
          <w:tcPr>
            <w:tcW w:w="323" w:type="pct"/>
            <w:tcBorders>
              <w:top w:val="nil"/>
              <w:left w:val="nil"/>
              <w:bottom w:val="nil"/>
              <w:right w:val="nil"/>
            </w:tcBorders>
            <w:shd w:val="clear" w:color="auto" w:fill="auto"/>
            <w:noWrap/>
            <w:vAlign w:val="center"/>
            <w:hideMark/>
          </w:tcPr>
          <w:p w14:paraId="0C3F7BE9"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BEA"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BEB"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BEC" w14:textId="77777777" w:rsidR="00E838DF" w:rsidRPr="002E2F6B" w:rsidRDefault="00E838DF" w:rsidP="00110A7F">
            <w:pPr>
              <w:spacing w:before="0" w:after="0"/>
              <w:rPr>
                <w:sz w:val="16"/>
                <w:szCs w:val="16"/>
              </w:rPr>
            </w:pPr>
            <w:r w:rsidRPr="002E2F6B">
              <w:rPr>
                <w:sz w:val="16"/>
                <w:szCs w:val="16"/>
              </w:rPr>
              <w:t>0.23</w:t>
            </w:r>
          </w:p>
        </w:tc>
        <w:tc>
          <w:tcPr>
            <w:tcW w:w="323" w:type="pct"/>
            <w:tcBorders>
              <w:top w:val="nil"/>
              <w:left w:val="nil"/>
              <w:bottom w:val="nil"/>
              <w:right w:val="nil"/>
            </w:tcBorders>
            <w:shd w:val="clear" w:color="auto" w:fill="auto"/>
            <w:noWrap/>
            <w:vAlign w:val="center"/>
            <w:hideMark/>
          </w:tcPr>
          <w:p w14:paraId="0C3F7BED" w14:textId="77777777" w:rsidR="00E838DF" w:rsidRPr="002E2F6B" w:rsidRDefault="00E838DF" w:rsidP="00110A7F">
            <w:pPr>
              <w:spacing w:before="0" w:after="0"/>
              <w:rPr>
                <w:sz w:val="16"/>
                <w:szCs w:val="16"/>
              </w:rPr>
            </w:pPr>
            <w:r w:rsidRPr="002E2F6B">
              <w:rPr>
                <w:sz w:val="16"/>
                <w:szCs w:val="16"/>
              </w:rPr>
              <w:t>0.18</w:t>
            </w:r>
          </w:p>
        </w:tc>
        <w:tc>
          <w:tcPr>
            <w:tcW w:w="320" w:type="pct"/>
            <w:tcBorders>
              <w:top w:val="nil"/>
              <w:left w:val="nil"/>
              <w:bottom w:val="nil"/>
              <w:right w:val="nil"/>
            </w:tcBorders>
            <w:shd w:val="clear" w:color="auto" w:fill="auto"/>
            <w:noWrap/>
            <w:vAlign w:val="center"/>
            <w:hideMark/>
          </w:tcPr>
          <w:p w14:paraId="0C3F7BEE" w14:textId="77777777" w:rsidR="00E838DF" w:rsidRPr="002E2F6B" w:rsidRDefault="00E838DF" w:rsidP="00110A7F">
            <w:pPr>
              <w:spacing w:before="0" w:after="0"/>
              <w:rPr>
                <w:sz w:val="16"/>
                <w:szCs w:val="16"/>
              </w:rPr>
            </w:pPr>
            <w:r w:rsidRPr="002E2F6B">
              <w:rPr>
                <w:sz w:val="16"/>
                <w:szCs w:val="16"/>
              </w:rPr>
              <w:t>0.21</w:t>
            </w:r>
          </w:p>
        </w:tc>
      </w:tr>
      <w:tr w:rsidR="00E838DF" w:rsidRPr="002E2F6B" w14:paraId="0C3F7BFF" w14:textId="77777777" w:rsidTr="00E838DF">
        <w:trPr>
          <w:trHeight w:val="20"/>
        </w:trPr>
        <w:tc>
          <w:tcPr>
            <w:tcW w:w="400" w:type="pct"/>
            <w:tcBorders>
              <w:top w:val="nil"/>
              <w:left w:val="nil"/>
              <w:bottom w:val="nil"/>
              <w:right w:val="nil"/>
            </w:tcBorders>
            <w:shd w:val="clear" w:color="auto" w:fill="auto"/>
            <w:noWrap/>
            <w:vAlign w:val="center"/>
            <w:hideMark/>
          </w:tcPr>
          <w:p w14:paraId="0C3F7BF0" w14:textId="77777777" w:rsidR="00E838DF" w:rsidRPr="002E2F6B" w:rsidRDefault="00E838DF" w:rsidP="00110A7F">
            <w:pPr>
              <w:spacing w:before="0" w:after="0"/>
              <w:rPr>
                <w:sz w:val="16"/>
                <w:szCs w:val="16"/>
              </w:rPr>
            </w:pPr>
            <w:r w:rsidRPr="002E2F6B">
              <w:rPr>
                <w:sz w:val="16"/>
                <w:szCs w:val="16"/>
              </w:rPr>
              <w:t>TN</w:t>
            </w:r>
          </w:p>
        </w:tc>
        <w:tc>
          <w:tcPr>
            <w:tcW w:w="323" w:type="pct"/>
            <w:tcBorders>
              <w:top w:val="nil"/>
              <w:left w:val="nil"/>
              <w:bottom w:val="nil"/>
              <w:right w:val="nil"/>
            </w:tcBorders>
            <w:shd w:val="clear" w:color="auto" w:fill="auto"/>
            <w:noWrap/>
            <w:vAlign w:val="center"/>
            <w:hideMark/>
          </w:tcPr>
          <w:p w14:paraId="0C3F7BF1" w14:textId="77777777" w:rsidR="00E838DF" w:rsidRPr="002E2F6B" w:rsidRDefault="00E838DF" w:rsidP="00110A7F">
            <w:pPr>
              <w:spacing w:before="0" w:after="0"/>
              <w:rPr>
                <w:sz w:val="16"/>
                <w:szCs w:val="16"/>
              </w:rPr>
            </w:pPr>
            <w:r w:rsidRPr="002E2F6B">
              <w:rPr>
                <w:sz w:val="16"/>
                <w:szCs w:val="16"/>
              </w:rPr>
              <w:t>-0.41</w:t>
            </w:r>
          </w:p>
        </w:tc>
        <w:tc>
          <w:tcPr>
            <w:tcW w:w="400" w:type="pct"/>
            <w:tcBorders>
              <w:top w:val="nil"/>
              <w:left w:val="nil"/>
              <w:bottom w:val="nil"/>
              <w:right w:val="nil"/>
            </w:tcBorders>
            <w:shd w:val="clear" w:color="auto" w:fill="auto"/>
            <w:noWrap/>
            <w:vAlign w:val="center"/>
            <w:hideMark/>
          </w:tcPr>
          <w:p w14:paraId="0C3F7BF2" w14:textId="77777777" w:rsidR="00E838DF" w:rsidRPr="002E2F6B" w:rsidRDefault="00E838DF" w:rsidP="00110A7F">
            <w:pPr>
              <w:spacing w:before="0" w:after="0"/>
              <w:rPr>
                <w:sz w:val="16"/>
                <w:szCs w:val="16"/>
              </w:rPr>
            </w:pPr>
            <w:r w:rsidRPr="002E2F6B">
              <w:rPr>
                <w:sz w:val="16"/>
                <w:szCs w:val="16"/>
              </w:rPr>
              <w:t>-0.03</w:t>
            </w:r>
          </w:p>
        </w:tc>
        <w:tc>
          <w:tcPr>
            <w:tcW w:w="328" w:type="pct"/>
            <w:tcBorders>
              <w:top w:val="nil"/>
              <w:left w:val="nil"/>
              <w:bottom w:val="nil"/>
              <w:right w:val="nil"/>
            </w:tcBorders>
            <w:shd w:val="clear" w:color="auto" w:fill="auto"/>
            <w:noWrap/>
            <w:vAlign w:val="center"/>
            <w:hideMark/>
          </w:tcPr>
          <w:p w14:paraId="0C3F7BF3" w14:textId="77777777" w:rsidR="00E838DF" w:rsidRPr="002E2F6B" w:rsidRDefault="00E838DF" w:rsidP="00110A7F">
            <w:pPr>
              <w:spacing w:before="0" w:after="0"/>
              <w:rPr>
                <w:sz w:val="16"/>
                <w:szCs w:val="16"/>
              </w:rPr>
            </w:pPr>
            <w:r w:rsidRPr="002E2F6B">
              <w:rPr>
                <w:sz w:val="16"/>
                <w:szCs w:val="16"/>
              </w:rPr>
              <w:t>-0.39</w:t>
            </w:r>
          </w:p>
        </w:tc>
        <w:tc>
          <w:tcPr>
            <w:tcW w:w="323" w:type="pct"/>
            <w:tcBorders>
              <w:top w:val="nil"/>
              <w:left w:val="nil"/>
              <w:bottom w:val="nil"/>
              <w:right w:val="nil"/>
            </w:tcBorders>
            <w:shd w:val="clear" w:color="auto" w:fill="auto"/>
            <w:noWrap/>
            <w:vAlign w:val="center"/>
            <w:hideMark/>
          </w:tcPr>
          <w:p w14:paraId="0C3F7BF4" w14:textId="77777777" w:rsidR="00E838DF" w:rsidRPr="002E2F6B" w:rsidRDefault="00E838DF" w:rsidP="00110A7F">
            <w:pPr>
              <w:spacing w:before="0" w:after="0"/>
              <w:rPr>
                <w:sz w:val="16"/>
                <w:szCs w:val="16"/>
              </w:rPr>
            </w:pPr>
            <w:r w:rsidRPr="002E2F6B">
              <w:rPr>
                <w:sz w:val="16"/>
                <w:szCs w:val="16"/>
              </w:rPr>
              <w:t>0.31</w:t>
            </w:r>
          </w:p>
        </w:tc>
        <w:tc>
          <w:tcPr>
            <w:tcW w:w="323" w:type="pct"/>
            <w:tcBorders>
              <w:top w:val="nil"/>
              <w:left w:val="nil"/>
              <w:bottom w:val="nil"/>
              <w:right w:val="nil"/>
            </w:tcBorders>
            <w:shd w:val="clear" w:color="auto" w:fill="auto"/>
            <w:noWrap/>
            <w:vAlign w:val="center"/>
            <w:hideMark/>
          </w:tcPr>
          <w:p w14:paraId="0C3F7BF5"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BF6"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000000" w:fill="FFFF00"/>
            <w:noWrap/>
            <w:vAlign w:val="center"/>
            <w:hideMark/>
          </w:tcPr>
          <w:p w14:paraId="0C3F7BF7" w14:textId="77777777" w:rsidR="00E838DF" w:rsidRPr="002E2F6B" w:rsidRDefault="00E838DF" w:rsidP="00110A7F">
            <w:pPr>
              <w:spacing w:before="0" w:after="0"/>
              <w:rPr>
                <w:sz w:val="16"/>
                <w:szCs w:val="16"/>
              </w:rPr>
            </w:pPr>
            <w:r w:rsidRPr="002E2F6B">
              <w:rPr>
                <w:sz w:val="16"/>
                <w:szCs w:val="16"/>
              </w:rPr>
              <w:t>0.79</w:t>
            </w:r>
          </w:p>
        </w:tc>
        <w:tc>
          <w:tcPr>
            <w:tcW w:w="323" w:type="pct"/>
            <w:tcBorders>
              <w:top w:val="nil"/>
              <w:left w:val="nil"/>
              <w:bottom w:val="nil"/>
              <w:right w:val="nil"/>
            </w:tcBorders>
            <w:shd w:val="clear" w:color="auto" w:fill="auto"/>
            <w:noWrap/>
            <w:vAlign w:val="center"/>
            <w:hideMark/>
          </w:tcPr>
          <w:p w14:paraId="0C3F7BF8"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000000" w:fill="FFFF00"/>
            <w:noWrap/>
            <w:vAlign w:val="center"/>
            <w:hideMark/>
          </w:tcPr>
          <w:p w14:paraId="0C3F7BF9" w14:textId="77777777" w:rsidR="00E838DF" w:rsidRPr="002E2F6B" w:rsidRDefault="00E838DF" w:rsidP="00110A7F">
            <w:pPr>
              <w:spacing w:before="0" w:after="0"/>
              <w:rPr>
                <w:sz w:val="16"/>
                <w:szCs w:val="16"/>
              </w:rPr>
            </w:pPr>
            <w:r w:rsidRPr="002E2F6B">
              <w:rPr>
                <w:sz w:val="16"/>
                <w:szCs w:val="16"/>
              </w:rPr>
              <w:t>0.65</w:t>
            </w:r>
          </w:p>
        </w:tc>
        <w:tc>
          <w:tcPr>
            <w:tcW w:w="323" w:type="pct"/>
            <w:tcBorders>
              <w:top w:val="nil"/>
              <w:left w:val="nil"/>
              <w:bottom w:val="nil"/>
              <w:right w:val="nil"/>
            </w:tcBorders>
            <w:shd w:val="clear" w:color="auto" w:fill="auto"/>
            <w:noWrap/>
            <w:vAlign w:val="center"/>
            <w:hideMark/>
          </w:tcPr>
          <w:p w14:paraId="0C3F7BFA" w14:textId="77777777" w:rsidR="00E838DF" w:rsidRPr="002E2F6B" w:rsidRDefault="00E838DF" w:rsidP="00110A7F">
            <w:pPr>
              <w:spacing w:before="0" w:after="0"/>
              <w:rPr>
                <w:sz w:val="16"/>
                <w:szCs w:val="16"/>
              </w:rPr>
            </w:pPr>
            <w:r w:rsidRPr="002E2F6B">
              <w:rPr>
                <w:sz w:val="16"/>
                <w:szCs w:val="16"/>
              </w:rPr>
              <w:t>0.54</w:t>
            </w:r>
          </w:p>
        </w:tc>
        <w:tc>
          <w:tcPr>
            <w:tcW w:w="323" w:type="pct"/>
            <w:tcBorders>
              <w:top w:val="nil"/>
              <w:left w:val="nil"/>
              <w:bottom w:val="nil"/>
              <w:right w:val="nil"/>
            </w:tcBorders>
            <w:shd w:val="clear" w:color="auto" w:fill="auto"/>
            <w:noWrap/>
            <w:vAlign w:val="center"/>
            <w:hideMark/>
          </w:tcPr>
          <w:p w14:paraId="0C3F7BFB" w14:textId="77777777" w:rsidR="00E838DF" w:rsidRPr="002E2F6B" w:rsidRDefault="00E838DF" w:rsidP="00110A7F">
            <w:pPr>
              <w:spacing w:before="0" w:after="0"/>
              <w:rPr>
                <w:sz w:val="16"/>
                <w:szCs w:val="16"/>
              </w:rPr>
            </w:pPr>
            <w:r w:rsidRPr="002E2F6B">
              <w:rPr>
                <w:sz w:val="16"/>
                <w:szCs w:val="16"/>
              </w:rPr>
              <w:t>0.36</w:t>
            </w:r>
          </w:p>
        </w:tc>
        <w:tc>
          <w:tcPr>
            <w:tcW w:w="323" w:type="pct"/>
            <w:tcBorders>
              <w:top w:val="nil"/>
              <w:left w:val="nil"/>
              <w:bottom w:val="nil"/>
              <w:right w:val="nil"/>
            </w:tcBorders>
            <w:shd w:val="clear" w:color="auto" w:fill="auto"/>
            <w:noWrap/>
            <w:vAlign w:val="center"/>
            <w:hideMark/>
          </w:tcPr>
          <w:p w14:paraId="0C3F7BFC"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BFD" w14:textId="77777777" w:rsidR="00E838DF" w:rsidRPr="002E2F6B" w:rsidRDefault="00E838DF" w:rsidP="00110A7F">
            <w:pPr>
              <w:spacing w:before="0" w:after="0"/>
              <w:rPr>
                <w:sz w:val="16"/>
                <w:szCs w:val="16"/>
              </w:rPr>
            </w:pPr>
            <w:r w:rsidRPr="002E2F6B">
              <w:rPr>
                <w:sz w:val="16"/>
                <w:szCs w:val="16"/>
              </w:rPr>
              <w:t>0.44</w:t>
            </w:r>
          </w:p>
        </w:tc>
        <w:tc>
          <w:tcPr>
            <w:tcW w:w="320" w:type="pct"/>
            <w:tcBorders>
              <w:top w:val="nil"/>
              <w:left w:val="nil"/>
              <w:bottom w:val="nil"/>
              <w:right w:val="nil"/>
            </w:tcBorders>
            <w:shd w:val="clear" w:color="auto" w:fill="auto"/>
            <w:noWrap/>
            <w:vAlign w:val="center"/>
            <w:hideMark/>
          </w:tcPr>
          <w:p w14:paraId="0C3F7BFE" w14:textId="77777777" w:rsidR="00E838DF" w:rsidRPr="002E2F6B" w:rsidRDefault="00E838DF" w:rsidP="00110A7F">
            <w:pPr>
              <w:spacing w:before="0" w:after="0"/>
              <w:rPr>
                <w:sz w:val="16"/>
                <w:szCs w:val="16"/>
              </w:rPr>
            </w:pPr>
            <w:r w:rsidRPr="002E2F6B">
              <w:rPr>
                <w:sz w:val="16"/>
                <w:szCs w:val="16"/>
              </w:rPr>
              <w:t>0.20</w:t>
            </w:r>
          </w:p>
        </w:tc>
      </w:tr>
      <w:tr w:rsidR="00E838DF" w:rsidRPr="002E2F6B" w14:paraId="0C3F7C0F" w14:textId="77777777" w:rsidTr="00E838DF">
        <w:trPr>
          <w:trHeight w:val="20"/>
        </w:trPr>
        <w:tc>
          <w:tcPr>
            <w:tcW w:w="400" w:type="pct"/>
            <w:tcBorders>
              <w:top w:val="nil"/>
              <w:left w:val="nil"/>
              <w:bottom w:val="nil"/>
              <w:right w:val="nil"/>
            </w:tcBorders>
            <w:shd w:val="clear" w:color="auto" w:fill="auto"/>
            <w:noWrap/>
            <w:vAlign w:val="center"/>
            <w:hideMark/>
          </w:tcPr>
          <w:p w14:paraId="0C3F7C00" w14:textId="77777777" w:rsidR="00E838DF" w:rsidRPr="002E2F6B" w:rsidRDefault="00E838DF" w:rsidP="00110A7F">
            <w:pPr>
              <w:spacing w:before="0" w:after="0"/>
              <w:rPr>
                <w:sz w:val="16"/>
                <w:szCs w:val="16"/>
              </w:rPr>
            </w:pPr>
            <w:r w:rsidRPr="002E2F6B">
              <w:rPr>
                <w:sz w:val="16"/>
                <w:szCs w:val="16"/>
              </w:rPr>
              <w:t>TDN</w:t>
            </w:r>
          </w:p>
        </w:tc>
        <w:tc>
          <w:tcPr>
            <w:tcW w:w="323" w:type="pct"/>
            <w:tcBorders>
              <w:top w:val="nil"/>
              <w:left w:val="nil"/>
              <w:bottom w:val="nil"/>
              <w:right w:val="nil"/>
            </w:tcBorders>
            <w:shd w:val="clear" w:color="auto" w:fill="auto"/>
            <w:noWrap/>
            <w:vAlign w:val="center"/>
            <w:hideMark/>
          </w:tcPr>
          <w:p w14:paraId="0C3F7C01" w14:textId="77777777" w:rsidR="00E838DF" w:rsidRPr="002E2F6B" w:rsidRDefault="00E838DF" w:rsidP="00110A7F">
            <w:pPr>
              <w:spacing w:before="0" w:after="0"/>
              <w:rPr>
                <w:sz w:val="16"/>
                <w:szCs w:val="16"/>
              </w:rPr>
            </w:pPr>
            <w:r w:rsidRPr="002E2F6B">
              <w:rPr>
                <w:sz w:val="16"/>
                <w:szCs w:val="16"/>
              </w:rPr>
              <w:t>-0.57</w:t>
            </w:r>
          </w:p>
        </w:tc>
        <w:tc>
          <w:tcPr>
            <w:tcW w:w="400" w:type="pct"/>
            <w:tcBorders>
              <w:top w:val="nil"/>
              <w:left w:val="nil"/>
              <w:bottom w:val="nil"/>
              <w:right w:val="nil"/>
            </w:tcBorders>
            <w:shd w:val="clear" w:color="auto" w:fill="auto"/>
            <w:noWrap/>
            <w:vAlign w:val="center"/>
            <w:hideMark/>
          </w:tcPr>
          <w:p w14:paraId="0C3F7C02" w14:textId="77777777" w:rsidR="00E838DF" w:rsidRPr="002E2F6B" w:rsidRDefault="00E838DF" w:rsidP="00110A7F">
            <w:pPr>
              <w:spacing w:before="0" w:after="0"/>
              <w:rPr>
                <w:sz w:val="16"/>
                <w:szCs w:val="16"/>
              </w:rPr>
            </w:pPr>
            <w:r w:rsidRPr="002E2F6B">
              <w:rPr>
                <w:sz w:val="16"/>
                <w:szCs w:val="16"/>
              </w:rPr>
              <w:t>0.25</w:t>
            </w:r>
          </w:p>
        </w:tc>
        <w:tc>
          <w:tcPr>
            <w:tcW w:w="328" w:type="pct"/>
            <w:tcBorders>
              <w:top w:val="nil"/>
              <w:left w:val="nil"/>
              <w:bottom w:val="nil"/>
              <w:right w:val="nil"/>
            </w:tcBorders>
            <w:shd w:val="clear" w:color="auto" w:fill="auto"/>
            <w:noWrap/>
            <w:vAlign w:val="center"/>
            <w:hideMark/>
          </w:tcPr>
          <w:p w14:paraId="0C3F7C03"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C04"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C05"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000000" w:fill="FFFF00"/>
            <w:noWrap/>
            <w:vAlign w:val="center"/>
            <w:hideMark/>
          </w:tcPr>
          <w:p w14:paraId="0C3F7C06" w14:textId="77777777" w:rsidR="00E838DF" w:rsidRPr="002E2F6B" w:rsidRDefault="00E838DF" w:rsidP="00110A7F">
            <w:pPr>
              <w:spacing w:before="0" w:after="0"/>
              <w:rPr>
                <w:sz w:val="16"/>
                <w:szCs w:val="16"/>
              </w:rPr>
            </w:pPr>
            <w:r w:rsidRPr="002E2F6B">
              <w:rPr>
                <w:sz w:val="16"/>
                <w:szCs w:val="16"/>
              </w:rPr>
              <w:t>0.79</w:t>
            </w:r>
          </w:p>
        </w:tc>
        <w:tc>
          <w:tcPr>
            <w:tcW w:w="323" w:type="pct"/>
            <w:tcBorders>
              <w:top w:val="nil"/>
              <w:left w:val="nil"/>
              <w:bottom w:val="nil"/>
              <w:right w:val="nil"/>
            </w:tcBorders>
            <w:shd w:val="clear" w:color="auto" w:fill="auto"/>
            <w:noWrap/>
            <w:vAlign w:val="center"/>
            <w:hideMark/>
          </w:tcPr>
          <w:p w14:paraId="0C3F7C07"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08"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000000" w:fill="FFFF00"/>
            <w:noWrap/>
            <w:vAlign w:val="center"/>
            <w:hideMark/>
          </w:tcPr>
          <w:p w14:paraId="0C3F7C09" w14:textId="77777777" w:rsidR="00E838DF" w:rsidRPr="002E2F6B" w:rsidRDefault="00E838DF" w:rsidP="00110A7F">
            <w:pPr>
              <w:spacing w:before="0" w:after="0"/>
              <w:rPr>
                <w:sz w:val="16"/>
                <w:szCs w:val="16"/>
              </w:rPr>
            </w:pPr>
            <w:r w:rsidRPr="002E2F6B">
              <w:rPr>
                <w:sz w:val="16"/>
                <w:szCs w:val="16"/>
              </w:rPr>
              <w:t>0.60</w:t>
            </w:r>
          </w:p>
        </w:tc>
        <w:tc>
          <w:tcPr>
            <w:tcW w:w="323" w:type="pct"/>
            <w:tcBorders>
              <w:top w:val="nil"/>
              <w:left w:val="nil"/>
              <w:bottom w:val="nil"/>
              <w:right w:val="nil"/>
            </w:tcBorders>
            <w:shd w:val="clear" w:color="auto" w:fill="auto"/>
            <w:noWrap/>
            <w:vAlign w:val="center"/>
            <w:hideMark/>
          </w:tcPr>
          <w:p w14:paraId="0C3F7C0A" w14:textId="77777777" w:rsidR="00E838DF" w:rsidRPr="002E2F6B" w:rsidRDefault="00E838DF" w:rsidP="00110A7F">
            <w:pPr>
              <w:spacing w:before="0" w:after="0"/>
              <w:rPr>
                <w:sz w:val="16"/>
                <w:szCs w:val="16"/>
              </w:rPr>
            </w:pPr>
            <w:r w:rsidRPr="002E2F6B">
              <w:rPr>
                <w:sz w:val="16"/>
                <w:szCs w:val="16"/>
              </w:rPr>
              <w:t>0.57</w:t>
            </w:r>
          </w:p>
        </w:tc>
        <w:tc>
          <w:tcPr>
            <w:tcW w:w="323" w:type="pct"/>
            <w:tcBorders>
              <w:top w:val="nil"/>
              <w:left w:val="nil"/>
              <w:bottom w:val="nil"/>
              <w:right w:val="nil"/>
            </w:tcBorders>
            <w:shd w:val="clear" w:color="auto" w:fill="auto"/>
            <w:noWrap/>
            <w:vAlign w:val="center"/>
            <w:hideMark/>
          </w:tcPr>
          <w:p w14:paraId="0C3F7C0B" w14:textId="77777777" w:rsidR="00E838DF" w:rsidRPr="002E2F6B" w:rsidRDefault="00E838DF" w:rsidP="00110A7F">
            <w:pPr>
              <w:spacing w:before="0" w:after="0"/>
              <w:rPr>
                <w:sz w:val="16"/>
                <w:szCs w:val="16"/>
              </w:rPr>
            </w:pPr>
            <w:r w:rsidRPr="002E2F6B">
              <w:rPr>
                <w:sz w:val="16"/>
                <w:szCs w:val="16"/>
              </w:rPr>
              <w:t>0.43</w:t>
            </w:r>
          </w:p>
        </w:tc>
        <w:tc>
          <w:tcPr>
            <w:tcW w:w="323" w:type="pct"/>
            <w:tcBorders>
              <w:top w:val="nil"/>
              <w:left w:val="nil"/>
              <w:bottom w:val="nil"/>
              <w:right w:val="nil"/>
            </w:tcBorders>
            <w:shd w:val="clear" w:color="auto" w:fill="auto"/>
            <w:noWrap/>
            <w:vAlign w:val="center"/>
            <w:hideMark/>
          </w:tcPr>
          <w:p w14:paraId="0C3F7C0C" w14:textId="77777777" w:rsidR="00E838DF" w:rsidRPr="002E2F6B" w:rsidRDefault="00E838DF" w:rsidP="00110A7F">
            <w:pPr>
              <w:spacing w:before="0" w:after="0"/>
              <w:rPr>
                <w:sz w:val="16"/>
                <w:szCs w:val="16"/>
              </w:rPr>
            </w:pPr>
            <w:r w:rsidRPr="002E2F6B">
              <w:rPr>
                <w:sz w:val="16"/>
                <w:szCs w:val="16"/>
              </w:rPr>
              <w:t>-0.33</w:t>
            </w:r>
          </w:p>
        </w:tc>
        <w:tc>
          <w:tcPr>
            <w:tcW w:w="323" w:type="pct"/>
            <w:tcBorders>
              <w:top w:val="nil"/>
              <w:left w:val="nil"/>
              <w:bottom w:val="nil"/>
              <w:right w:val="nil"/>
            </w:tcBorders>
            <w:shd w:val="clear" w:color="auto" w:fill="auto"/>
            <w:noWrap/>
            <w:vAlign w:val="center"/>
            <w:hideMark/>
          </w:tcPr>
          <w:p w14:paraId="0C3F7C0D" w14:textId="77777777" w:rsidR="00E838DF" w:rsidRPr="002E2F6B" w:rsidRDefault="00E838DF" w:rsidP="00110A7F">
            <w:pPr>
              <w:spacing w:before="0" w:after="0"/>
              <w:rPr>
                <w:sz w:val="16"/>
                <w:szCs w:val="16"/>
              </w:rPr>
            </w:pPr>
            <w:r w:rsidRPr="002E2F6B">
              <w:rPr>
                <w:sz w:val="16"/>
                <w:szCs w:val="16"/>
              </w:rPr>
              <w:t>0.33</w:t>
            </w:r>
          </w:p>
        </w:tc>
        <w:tc>
          <w:tcPr>
            <w:tcW w:w="320" w:type="pct"/>
            <w:tcBorders>
              <w:top w:val="nil"/>
              <w:left w:val="nil"/>
              <w:bottom w:val="nil"/>
              <w:right w:val="nil"/>
            </w:tcBorders>
            <w:shd w:val="clear" w:color="auto" w:fill="auto"/>
            <w:noWrap/>
            <w:vAlign w:val="center"/>
            <w:hideMark/>
          </w:tcPr>
          <w:p w14:paraId="0C3F7C0E" w14:textId="77777777" w:rsidR="00E838DF" w:rsidRPr="002E2F6B" w:rsidRDefault="00E838DF" w:rsidP="00110A7F">
            <w:pPr>
              <w:spacing w:before="0" w:after="0"/>
              <w:rPr>
                <w:sz w:val="16"/>
                <w:szCs w:val="16"/>
              </w:rPr>
            </w:pPr>
            <w:r w:rsidRPr="002E2F6B">
              <w:rPr>
                <w:sz w:val="16"/>
                <w:szCs w:val="16"/>
              </w:rPr>
              <w:t>0.31</w:t>
            </w:r>
          </w:p>
        </w:tc>
      </w:tr>
      <w:tr w:rsidR="00E838DF" w:rsidRPr="002E2F6B" w14:paraId="0C3F7C1F" w14:textId="77777777" w:rsidTr="00E838DF">
        <w:trPr>
          <w:trHeight w:val="20"/>
        </w:trPr>
        <w:tc>
          <w:tcPr>
            <w:tcW w:w="400" w:type="pct"/>
            <w:tcBorders>
              <w:top w:val="nil"/>
              <w:left w:val="nil"/>
              <w:bottom w:val="nil"/>
              <w:right w:val="nil"/>
            </w:tcBorders>
            <w:shd w:val="clear" w:color="auto" w:fill="auto"/>
            <w:noWrap/>
            <w:vAlign w:val="center"/>
            <w:hideMark/>
          </w:tcPr>
          <w:p w14:paraId="0C3F7C10" w14:textId="77777777" w:rsidR="00E838DF" w:rsidRPr="002E2F6B" w:rsidRDefault="00E838DF" w:rsidP="00110A7F">
            <w:pPr>
              <w:spacing w:before="0" w:after="0"/>
              <w:rPr>
                <w:sz w:val="16"/>
                <w:szCs w:val="16"/>
              </w:rPr>
            </w:pPr>
            <w:r w:rsidRPr="002E2F6B">
              <w:rPr>
                <w:sz w:val="16"/>
                <w:szCs w:val="16"/>
              </w:rPr>
              <w:t>DIN</w:t>
            </w:r>
          </w:p>
        </w:tc>
        <w:tc>
          <w:tcPr>
            <w:tcW w:w="323" w:type="pct"/>
            <w:tcBorders>
              <w:top w:val="nil"/>
              <w:left w:val="nil"/>
              <w:bottom w:val="nil"/>
              <w:right w:val="nil"/>
            </w:tcBorders>
            <w:shd w:val="clear" w:color="auto" w:fill="auto"/>
            <w:noWrap/>
            <w:vAlign w:val="center"/>
            <w:hideMark/>
          </w:tcPr>
          <w:p w14:paraId="0C3F7C11" w14:textId="77777777" w:rsidR="00E838DF" w:rsidRPr="002E2F6B" w:rsidRDefault="00E838DF" w:rsidP="00110A7F">
            <w:pPr>
              <w:spacing w:before="0" w:after="0"/>
              <w:rPr>
                <w:sz w:val="16"/>
                <w:szCs w:val="16"/>
              </w:rPr>
            </w:pPr>
            <w:r w:rsidRPr="002E2F6B">
              <w:rPr>
                <w:sz w:val="16"/>
                <w:szCs w:val="16"/>
              </w:rPr>
              <w:t>-0.46</w:t>
            </w:r>
          </w:p>
        </w:tc>
        <w:tc>
          <w:tcPr>
            <w:tcW w:w="400" w:type="pct"/>
            <w:tcBorders>
              <w:top w:val="nil"/>
              <w:left w:val="nil"/>
              <w:bottom w:val="nil"/>
              <w:right w:val="nil"/>
            </w:tcBorders>
            <w:shd w:val="clear" w:color="auto" w:fill="auto"/>
            <w:noWrap/>
            <w:vAlign w:val="center"/>
            <w:hideMark/>
          </w:tcPr>
          <w:p w14:paraId="0C3F7C12" w14:textId="77777777" w:rsidR="00E838DF" w:rsidRPr="002E2F6B" w:rsidRDefault="00E838DF" w:rsidP="00110A7F">
            <w:pPr>
              <w:spacing w:before="0" w:after="0"/>
              <w:rPr>
                <w:sz w:val="16"/>
                <w:szCs w:val="16"/>
              </w:rPr>
            </w:pPr>
            <w:r w:rsidRPr="002E2F6B">
              <w:rPr>
                <w:sz w:val="16"/>
                <w:szCs w:val="16"/>
              </w:rPr>
              <w:t>0.48</w:t>
            </w:r>
          </w:p>
        </w:tc>
        <w:tc>
          <w:tcPr>
            <w:tcW w:w="328" w:type="pct"/>
            <w:tcBorders>
              <w:top w:val="nil"/>
              <w:left w:val="nil"/>
              <w:bottom w:val="nil"/>
              <w:right w:val="nil"/>
            </w:tcBorders>
            <w:shd w:val="clear" w:color="auto" w:fill="auto"/>
            <w:noWrap/>
            <w:vAlign w:val="center"/>
            <w:hideMark/>
          </w:tcPr>
          <w:p w14:paraId="0C3F7C13"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C14"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15" w14:textId="77777777" w:rsidR="00E838DF" w:rsidRPr="002E2F6B" w:rsidRDefault="00E838DF" w:rsidP="00110A7F">
            <w:pPr>
              <w:spacing w:before="0" w:after="0"/>
              <w:rPr>
                <w:sz w:val="16"/>
                <w:szCs w:val="16"/>
              </w:rPr>
            </w:pPr>
            <w:r w:rsidRPr="002E2F6B">
              <w:rPr>
                <w:sz w:val="16"/>
                <w:szCs w:val="16"/>
              </w:rPr>
              <w:t>0.06</w:t>
            </w:r>
          </w:p>
        </w:tc>
        <w:tc>
          <w:tcPr>
            <w:tcW w:w="323" w:type="pct"/>
            <w:tcBorders>
              <w:top w:val="nil"/>
              <w:left w:val="nil"/>
              <w:bottom w:val="nil"/>
              <w:right w:val="nil"/>
            </w:tcBorders>
            <w:shd w:val="clear" w:color="auto" w:fill="auto"/>
            <w:noWrap/>
            <w:vAlign w:val="center"/>
            <w:hideMark/>
          </w:tcPr>
          <w:p w14:paraId="0C3F7C16"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C17"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C18"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19"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C1A" w14:textId="77777777" w:rsidR="00E838DF" w:rsidRPr="002E2F6B" w:rsidRDefault="00E838DF" w:rsidP="00110A7F">
            <w:pPr>
              <w:spacing w:before="0" w:after="0"/>
              <w:rPr>
                <w:sz w:val="16"/>
                <w:szCs w:val="16"/>
              </w:rPr>
            </w:pPr>
            <w:r w:rsidRPr="002E2F6B">
              <w:rPr>
                <w:sz w:val="16"/>
                <w:szCs w:val="16"/>
              </w:rPr>
              <w:t>0.26</w:t>
            </w:r>
          </w:p>
        </w:tc>
        <w:tc>
          <w:tcPr>
            <w:tcW w:w="323" w:type="pct"/>
            <w:tcBorders>
              <w:top w:val="nil"/>
              <w:left w:val="nil"/>
              <w:bottom w:val="nil"/>
              <w:right w:val="nil"/>
            </w:tcBorders>
            <w:shd w:val="clear" w:color="auto" w:fill="auto"/>
            <w:noWrap/>
            <w:vAlign w:val="center"/>
            <w:hideMark/>
          </w:tcPr>
          <w:p w14:paraId="0C3F7C1B" w14:textId="77777777" w:rsidR="00E838DF" w:rsidRPr="002E2F6B" w:rsidRDefault="00E838DF" w:rsidP="00110A7F">
            <w:pPr>
              <w:spacing w:before="0" w:after="0"/>
              <w:rPr>
                <w:sz w:val="16"/>
                <w:szCs w:val="16"/>
              </w:rPr>
            </w:pPr>
            <w:r w:rsidRPr="002E2F6B">
              <w:rPr>
                <w:sz w:val="16"/>
                <w:szCs w:val="16"/>
              </w:rPr>
              <w:t>0.37</w:t>
            </w:r>
          </w:p>
        </w:tc>
        <w:tc>
          <w:tcPr>
            <w:tcW w:w="323" w:type="pct"/>
            <w:tcBorders>
              <w:top w:val="nil"/>
              <w:left w:val="nil"/>
              <w:bottom w:val="nil"/>
              <w:right w:val="nil"/>
            </w:tcBorders>
            <w:shd w:val="clear" w:color="auto" w:fill="auto"/>
            <w:noWrap/>
            <w:vAlign w:val="center"/>
            <w:hideMark/>
          </w:tcPr>
          <w:p w14:paraId="0C3F7C1C"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C1D" w14:textId="77777777" w:rsidR="00E838DF" w:rsidRPr="002E2F6B" w:rsidRDefault="00E838DF" w:rsidP="00110A7F">
            <w:pPr>
              <w:spacing w:before="0" w:after="0"/>
              <w:rPr>
                <w:sz w:val="16"/>
                <w:szCs w:val="16"/>
              </w:rPr>
            </w:pPr>
            <w:r w:rsidRPr="002E2F6B">
              <w:rPr>
                <w:sz w:val="16"/>
                <w:szCs w:val="16"/>
              </w:rPr>
              <w:t>0.13</w:t>
            </w:r>
          </w:p>
        </w:tc>
        <w:tc>
          <w:tcPr>
            <w:tcW w:w="320" w:type="pct"/>
            <w:tcBorders>
              <w:top w:val="nil"/>
              <w:left w:val="nil"/>
              <w:bottom w:val="nil"/>
              <w:right w:val="nil"/>
            </w:tcBorders>
            <w:shd w:val="clear" w:color="auto" w:fill="auto"/>
            <w:noWrap/>
            <w:vAlign w:val="center"/>
            <w:hideMark/>
          </w:tcPr>
          <w:p w14:paraId="0C3F7C1E" w14:textId="77777777" w:rsidR="00E838DF" w:rsidRPr="002E2F6B" w:rsidRDefault="00E838DF" w:rsidP="00110A7F">
            <w:pPr>
              <w:spacing w:before="0" w:after="0"/>
              <w:rPr>
                <w:sz w:val="16"/>
                <w:szCs w:val="16"/>
              </w:rPr>
            </w:pPr>
            <w:r w:rsidRPr="002E2F6B">
              <w:rPr>
                <w:sz w:val="16"/>
                <w:szCs w:val="16"/>
              </w:rPr>
              <w:t>0.56</w:t>
            </w:r>
          </w:p>
        </w:tc>
      </w:tr>
      <w:tr w:rsidR="00E838DF" w:rsidRPr="002E2F6B" w14:paraId="0C3F7C2F" w14:textId="77777777" w:rsidTr="00E838DF">
        <w:trPr>
          <w:trHeight w:val="20"/>
        </w:trPr>
        <w:tc>
          <w:tcPr>
            <w:tcW w:w="400" w:type="pct"/>
            <w:tcBorders>
              <w:top w:val="nil"/>
              <w:left w:val="nil"/>
              <w:bottom w:val="nil"/>
              <w:right w:val="nil"/>
            </w:tcBorders>
            <w:shd w:val="clear" w:color="auto" w:fill="auto"/>
            <w:noWrap/>
            <w:vAlign w:val="center"/>
            <w:hideMark/>
          </w:tcPr>
          <w:p w14:paraId="0C3F7C20" w14:textId="77777777" w:rsidR="00E838DF" w:rsidRPr="002E2F6B" w:rsidRDefault="00E838DF" w:rsidP="00110A7F">
            <w:pPr>
              <w:spacing w:before="0" w:after="0"/>
              <w:rPr>
                <w:sz w:val="16"/>
                <w:szCs w:val="16"/>
              </w:rPr>
            </w:pPr>
            <w:r w:rsidRPr="002E2F6B">
              <w:rPr>
                <w:sz w:val="16"/>
                <w:szCs w:val="16"/>
              </w:rPr>
              <w:t>TP</w:t>
            </w:r>
          </w:p>
        </w:tc>
        <w:tc>
          <w:tcPr>
            <w:tcW w:w="323" w:type="pct"/>
            <w:tcBorders>
              <w:top w:val="nil"/>
              <w:left w:val="nil"/>
              <w:bottom w:val="nil"/>
              <w:right w:val="nil"/>
            </w:tcBorders>
            <w:shd w:val="clear" w:color="auto" w:fill="auto"/>
            <w:noWrap/>
            <w:vAlign w:val="center"/>
            <w:hideMark/>
          </w:tcPr>
          <w:p w14:paraId="0C3F7C21" w14:textId="77777777" w:rsidR="00E838DF" w:rsidRPr="002E2F6B" w:rsidRDefault="00E838DF" w:rsidP="00110A7F">
            <w:pPr>
              <w:spacing w:before="0" w:after="0"/>
              <w:rPr>
                <w:sz w:val="16"/>
                <w:szCs w:val="16"/>
              </w:rPr>
            </w:pPr>
            <w:r w:rsidRPr="002E2F6B">
              <w:rPr>
                <w:sz w:val="16"/>
                <w:szCs w:val="16"/>
              </w:rPr>
              <w:t>-0.59</w:t>
            </w:r>
          </w:p>
        </w:tc>
        <w:tc>
          <w:tcPr>
            <w:tcW w:w="400" w:type="pct"/>
            <w:tcBorders>
              <w:top w:val="nil"/>
              <w:left w:val="nil"/>
              <w:bottom w:val="nil"/>
              <w:right w:val="nil"/>
            </w:tcBorders>
            <w:shd w:val="clear" w:color="auto" w:fill="auto"/>
            <w:noWrap/>
            <w:vAlign w:val="center"/>
            <w:hideMark/>
          </w:tcPr>
          <w:p w14:paraId="0C3F7C22" w14:textId="77777777" w:rsidR="00E838DF" w:rsidRPr="002E2F6B" w:rsidRDefault="00E838DF" w:rsidP="00110A7F">
            <w:pPr>
              <w:spacing w:before="0" w:after="0"/>
              <w:rPr>
                <w:sz w:val="16"/>
                <w:szCs w:val="16"/>
              </w:rPr>
            </w:pPr>
            <w:r w:rsidRPr="002E2F6B">
              <w:rPr>
                <w:sz w:val="16"/>
                <w:szCs w:val="16"/>
              </w:rPr>
              <w:t>0.28</w:t>
            </w:r>
          </w:p>
        </w:tc>
        <w:tc>
          <w:tcPr>
            <w:tcW w:w="328" w:type="pct"/>
            <w:tcBorders>
              <w:top w:val="nil"/>
              <w:left w:val="nil"/>
              <w:bottom w:val="nil"/>
              <w:right w:val="nil"/>
            </w:tcBorders>
            <w:shd w:val="clear" w:color="auto" w:fill="auto"/>
            <w:noWrap/>
            <w:vAlign w:val="center"/>
            <w:hideMark/>
          </w:tcPr>
          <w:p w14:paraId="0C3F7C23"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C24"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C25"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000000" w:fill="FFFF00"/>
            <w:noWrap/>
            <w:vAlign w:val="center"/>
            <w:hideMark/>
          </w:tcPr>
          <w:p w14:paraId="0C3F7C26" w14:textId="77777777" w:rsidR="00E838DF" w:rsidRPr="002E2F6B" w:rsidRDefault="00E838DF" w:rsidP="00110A7F">
            <w:pPr>
              <w:spacing w:before="0" w:after="0"/>
              <w:rPr>
                <w:sz w:val="16"/>
                <w:szCs w:val="16"/>
              </w:rPr>
            </w:pPr>
            <w:r w:rsidRPr="002E2F6B">
              <w:rPr>
                <w:sz w:val="16"/>
                <w:szCs w:val="16"/>
              </w:rPr>
              <w:t>0.65</w:t>
            </w:r>
          </w:p>
        </w:tc>
        <w:tc>
          <w:tcPr>
            <w:tcW w:w="323" w:type="pct"/>
            <w:tcBorders>
              <w:top w:val="nil"/>
              <w:left w:val="nil"/>
              <w:bottom w:val="nil"/>
              <w:right w:val="nil"/>
            </w:tcBorders>
            <w:shd w:val="clear" w:color="000000" w:fill="FFFF00"/>
            <w:noWrap/>
            <w:vAlign w:val="center"/>
            <w:hideMark/>
          </w:tcPr>
          <w:p w14:paraId="0C3F7C27" w14:textId="77777777" w:rsidR="00E838DF" w:rsidRPr="002E2F6B" w:rsidRDefault="00E838DF" w:rsidP="00110A7F">
            <w:pPr>
              <w:spacing w:before="0" w:after="0"/>
              <w:rPr>
                <w:sz w:val="16"/>
                <w:szCs w:val="16"/>
              </w:rPr>
            </w:pPr>
            <w:r w:rsidRPr="002E2F6B">
              <w:rPr>
                <w:sz w:val="16"/>
                <w:szCs w:val="16"/>
              </w:rPr>
              <w:t>0.60</w:t>
            </w:r>
          </w:p>
        </w:tc>
        <w:tc>
          <w:tcPr>
            <w:tcW w:w="323" w:type="pct"/>
            <w:tcBorders>
              <w:top w:val="nil"/>
              <w:left w:val="nil"/>
              <w:bottom w:val="nil"/>
              <w:right w:val="nil"/>
            </w:tcBorders>
            <w:shd w:val="clear" w:color="auto" w:fill="auto"/>
            <w:noWrap/>
            <w:vAlign w:val="center"/>
            <w:hideMark/>
          </w:tcPr>
          <w:p w14:paraId="0C3F7C28"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C29"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000000" w:fill="FFFF00"/>
            <w:noWrap/>
            <w:vAlign w:val="center"/>
            <w:hideMark/>
          </w:tcPr>
          <w:p w14:paraId="0C3F7C2A" w14:textId="77777777" w:rsidR="00E838DF" w:rsidRPr="002E2F6B" w:rsidRDefault="00E838DF" w:rsidP="00110A7F">
            <w:pPr>
              <w:spacing w:before="0" w:after="0"/>
              <w:rPr>
                <w:sz w:val="16"/>
                <w:szCs w:val="16"/>
              </w:rPr>
            </w:pPr>
            <w:r w:rsidRPr="002E2F6B">
              <w:rPr>
                <w:sz w:val="16"/>
                <w:szCs w:val="16"/>
              </w:rPr>
              <w:t>0.82</w:t>
            </w:r>
          </w:p>
        </w:tc>
        <w:tc>
          <w:tcPr>
            <w:tcW w:w="323" w:type="pct"/>
            <w:tcBorders>
              <w:top w:val="nil"/>
              <w:left w:val="nil"/>
              <w:bottom w:val="nil"/>
              <w:right w:val="nil"/>
            </w:tcBorders>
            <w:shd w:val="clear" w:color="auto" w:fill="auto"/>
            <w:noWrap/>
            <w:vAlign w:val="center"/>
            <w:hideMark/>
          </w:tcPr>
          <w:p w14:paraId="0C3F7C2B" w14:textId="77777777" w:rsidR="00E838DF" w:rsidRPr="002E2F6B" w:rsidRDefault="00E838DF" w:rsidP="00110A7F">
            <w:pPr>
              <w:spacing w:before="0" w:after="0"/>
              <w:rPr>
                <w:sz w:val="16"/>
                <w:szCs w:val="16"/>
              </w:rPr>
            </w:pPr>
            <w:r w:rsidRPr="002E2F6B">
              <w:rPr>
                <w:sz w:val="16"/>
                <w:szCs w:val="16"/>
              </w:rPr>
              <w:t>0.49</w:t>
            </w:r>
          </w:p>
        </w:tc>
        <w:tc>
          <w:tcPr>
            <w:tcW w:w="323" w:type="pct"/>
            <w:tcBorders>
              <w:top w:val="nil"/>
              <w:left w:val="nil"/>
              <w:bottom w:val="nil"/>
              <w:right w:val="nil"/>
            </w:tcBorders>
            <w:shd w:val="clear" w:color="auto" w:fill="auto"/>
            <w:noWrap/>
            <w:vAlign w:val="center"/>
            <w:hideMark/>
          </w:tcPr>
          <w:p w14:paraId="0C3F7C2C"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000000" w:fill="FFFF00"/>
            <w:noWrap/>
            <w:vAlign w:val="center"/>
            <w:hideMark/>
          </w:tcPr>
          <w:p w14:paraId="0C3F7C2D" w14:textId="77777777" w:rsidR="00E838DF" w:rsidRPr="002E2F6B" w:rsidRDefault="00E838DF" w:rsidP="00110A7F">
            <w:pPr>
              <w:spacing w:before="0" w:after="0"/>
              <w:rPr>
                <w:sz w:val="16"/>
                <w:szCs w:val="16"/>
              </w:rPr>
            </w:pPr>
            <w:r w:rsidRPr="002E2F6B">
              <w:rPr>
                <w:sz w:val="16"/>
                <w:szCs w:val="16"/>
              </w:rPr>
              <w:t>0.75</w:t>
            </w:r>
          </w:p>
        </w:tc>
        <w:tc>
          <w:tcPr>
            <w:tcW w:w="320" w:type="pct"/>
            <w:tcBorders>
              <w:top w:val="nil"/>
              <w:left w:val="nil"/>
              <w:bottom w:val="nil"/>
              <w:right w:val="nil"/>
            </w:tcBorders>
            <w:shd w:val="clear" w:color="auto" w:fill="auto"/>
            <w:noWrap/>
            <w:vAlign w:val="center"/>
            <w:hideMark/>
          </w:tcPr>
          <w:p w14:paraId="0C3F7C2E" w14:textId="77777777" w:rsidR="00E838DF" w:rsidRPr="002E2F6B" w:rsidRDefault="00E838DF" w:rsidP="00110A7F">
            <w:pPr>
              <w:spacing w:before="0" w:after="0"/>
              <w:rPr>
                <w:sz w:val="16"/>
                <w:szCs w:val="16"/>
              </w:rPr>
            </w:pPr>
            <w:r w:rsidRPr="002E2F6B">
              <w:rPr>
                <w:sz w:val="16"/>
                <w:szCs w:val="16"/>
              </w:rPr>
              <w:t>0.41</w:t>
            </w:r>
          </w:p>
        </w:tc>
      </w:tr>
      <w:tr w:rsidR="00E838DF" w:rsidRPr="002E2F6B" w14:paraId="0C3F7C3F" w14:textId="77777777" w:rsidTr="00E838DF">
        <w:trPr>
          <w:trHeight w:val="20"/>
        </w:trPr>
        <w:tc>
          <w:tcPr>
            <w:tcW w:w="400" w:type="pct"/>
            <w:tcBorders>
              <w:top w:val="nil"/>
              <w:left w:val="nil"/>
              <w:bottom w:val="nil"/>
              <w:right w:val="nil"/>
            </w:tcBorders>
            <w:shd w:val="clear" w:color="auto" w:fill="auto"/>
            <w:noWrap/>
            <w:vAlign w:val="center"/>
            <w:hideMark/>
          </w:tcPr>
          <w:p w14:paraId="0C3F7C30" w14:textId="77777777" w:rsidR="00E838DF" w:rsidRPr="002E2F6B" w:rsidRDefault="00E838DF" w:rsidP="00110A7F">
            <w:pPr>
              <w:spacing w:before="0" w:after="0"/>
              <w:rPr>
                <w:sz w:val="16"/>
                <w:szCs w:val="16"/>
              </w:rPr>
            </w:pPr>
            <w:r w:rsidRPr="002E2F6B">
              <w:rPr>
                <w:sz w:val="16"/>
                <w:szCs w:val="16"/>
              </w:rPr>
              <w:t>TDP</w:t>
            </w:r>
          </w:p>
        </w:tc>
        <w:tc>
          <w:tcPr>
            <w:tcW w:w="323" w:type="pct"/>
            <w:tcBorders>
              <w:top w:val="nil"/>
              <w:left w:val="nil"/>
              <w:bottom w:val="nil"/>
              <w:right w:val="nil"/>
            </w:tcBorders>
            <w:shd w:val="clear" w:color="000000" w:fill="FFFF00"/>
            <w:noWrap/>
            <w:vAlign w:val="center"/>
            <w:hideMark/>
          </w:tcPr>
          <w:p w14:paraId="0C3F7C31" w14:textId="77777777" w:rsidR="00E838DF" w:rsidRPr="002E2F6B" w:rsidRDefault="00E838DF" w:rsidP="00110A7F">
            <w:pPr>
              <w:spacing w:before="0" w:after="0"/>
              <w:rPr>
                <w:sz w:val="16"/>
                <w:szCs w:val="16"/>
              </w:rPr>
            </w:pPr>
            <w:r w:rsidRPr="002E2F6B">
              <w:rPr>
                <w:sz w:val="16"/>
                <w:szCs w:val="16"/>
              </w:rPr>
              <w:t>-0.61</w:t>
            </w:r>
          </w:p>
        </w:tc>
        <w:tc>
          <w:tcPr>
            <w:tcW w:w="400" w:type="pct"/>
            <w:tcBorders>
              <w:top w:val="nil"/>
              <w:left w:val="nil"/>
              <w:bottom w:val="nil"/>
              <w:right w:val="nil"/>
            </w:tcBorders>
            <w:shd w:val="clear" w:color="auto" w:fill="auto"/>
            <w:noWrap/>
            <w:vAlign w:val="center"/>
            <w:hideMark/>
          </w:tcPr>
          <w:p w14:paraId="0C3F7C32" w14:textId="77777777" w:rsidR="00E838DF" w:rsidRPr="002E2F6B" w:rsidRDefault="00E838DF" w:rsidP="00110A7F">
            <w:pPr>
              <w:spacing w:before="0" w:after="0"/>
              <w:rPr>
                <w:sz w:val="16"/>
                <w:szCs w:val="16"/>
              </w:rPr>
            </w:pPr>
            <w:r w:rsidRPr="002E2F6B">
              <w:rPr>
                <w:sz w:val="16"/>
                <w:szCs w:val="16"/>
              </w:rPr>
              <w:t>0.28</w:t>
            </w:r>
          </w:p>
        </w:tc>
        <w:tc>
          <w:tcPr>
            <w:tcW w:w="328" w:type="pct"/>
            <w:tcBorders>
              <w:top w:val="nil"/>
              <w:left w:val="nil"/>
              <w:bottom w:val="nil"/>
              <w:right w:val="nil"/>
            </w:tcBorders>
            <w:shd w:val="clear" w:color="auto" w:fill="auto"/>
            <w:noWrap/>
            <w:vAlign w:val="center"/>
            <w:hideMark/>
          </w:tcPr>
          <w:p w14:paraId="0C3F7C33"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C34"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35"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36" w14:textId="77777777" w:rsidR="00E838DF" w:rsidRPr="002E2F6B" w:rsidRDefault="00E838DF" w:rsidP="00110A7F">
            <w:pPr>
              <w:spacing w:before="0" w:after="0"/>
              <w:rPr>
                <w:sz w:val="16"/>
                <w:szCs w:val="16"/>
              </w:rPr>
            </w:pPr>
            <w:r w:rsidRPr="002E2F6B">
              <w:rPr>
                <w:sz w:val="16"/>
                <w:szCs w:val="16"/>
              </w:rPr>
              <w:t>0.54</w:t>
            </w:r>
          </w:p>
        </w:tc>
        <w:tc>
          <w:tcPr>
            <w:tcW w:w="323" w:type="pct"/>
            <w:tcBorders>
              <w:top w:val="nil"/>
              <w:left w:val="nil"/>
              <w:bottom w:val="nil"/>
              <w:right w:val="nil"/>
            </w:tcBorders>
            <w:shd w:val="clear" w:color="auto" w:fill="auto"/>
            <w:noWrap/>
            <w:vAlign w:val="center"/>
            <w:hideMark/>
          </w:tcPr>
          <w:p w14:paraId="0C3F7C37" w14:textId="77777777" w:rsidR="00E838DF" w:rsidRPr="002E2F6B" w:rsidRDefault="00E838DF" w:rsidP="00110A7F">
            <w:pPr>
              <w:spacing w:before="0" w:after="0"/>
              <w:rPr>
                <w:sz w:val="16"/>
                <w:szCs w:val="16"/>
              </w:rPr>
            </w:pPr>
            <w:r w:rsidRPr="002E2F6B">
              <w:rPr>
                <w:sz w:val="16"/>
                <w:szCs w:val="16"/>
              </w:rPr>
              <w:t>0.57</w:t>
            </w:r>
          </w:p>
        </w:tc>
        <w:tc>
          <w:tcPr>
            <w:tcW w:w="323" w:type="pct"/>
            <w:tcBorders>
              <w:top w:val="nil"/>
              <w:left w:val="nil"/>
              <w:bottom w:val="nil"/>
              <w:right w:val="nil"/>
            </w:tcBorders>
            <w:shd w:val="clear" w:color="auto" w:fill="auto"/>
            <w:noWrap/>
            <w:vAlign w:val="center"/>
            <w:hideMark/>
          </w:tcPr>
          <w:p w14:paraId="0C3F7C38" w14:textId="77777777" w:rsidR="00E838DF" w:rsidRPr="002E2F6B" w:rsidRDefault="00E838DF" w:rsidP="00110A7F">
            <w:pPr>
              <w:spacing w:before="0" w:after="0"/>
              <w:rPr>
                <w:sz w:val="16"/>
                <w:szCs w:val="16"/>
              </w:rPr>
            </w:pPr>
            <w:r w:rsidRPr="002E2F6B">
              <w:rPr>
                <w:sz w:val="16"/>
                <w:szCs w:val="16"/>
              </w:rPr>
              <w:t>0.26</w:t>
            </w:r>
          </w:p>
        </w:tc>
        <w:tc>
          <w:tcPr>
            <w:tcW w:w="323" w:type="pct"/>
            <w:tcBorders>
              <w:top w:val="nil"/>
              <w:left w:val="nil"/>
              <w:bottom w:val="nil"/>
              <w:right w:val="nil"/>
            </w:tcBorders>
            <w:shd w:val="clear" w:color="000000" w:fill="FFFF00"/>
            <w:noWrap/>
            <w:vAlign w:val="center"/>
            <w:hideMark/>
          </w:tcPr>
          <w:p w14:paraId="0C3F7C39" w14:textId="77777777" w:rsidR="00E838DF" w:rsidRPr="002E2F6B" w:rsidRDefault="00E838DF" w:rsidP="00110A7F">
            <w:pPr>
              <w:spacing w:before="0" w:after="0"/>
              <w:rPr>
                <w:sz w:val="16"/>
                <w:szCs w:val="16"/>
              </w:rPr>
            </w:pPr>
            <w:r w:rsidRPr="002E2F6B">
              <w:rPr>
                <w:sz w:val="16"/>
                <w:szCs w:val="16"/>
              </w:rPr>
              <w:t>0.82</w:t>
            </w:r>
          </w:p>
        </w:tc>
        <w:tc>
          <w:tcPr>
            <w:tcW w:w="323" w:type="pct"/>
            <w:tcBorders>
              <w:top w:val="nil"/>
              <w:left w:val="nil"/>
              <w:bottom w:val="nil"/>
              <w:right w:val="nil"/>
            </w:tcBorders>
            <w:shd w:val="clear" w:color="auto" w:fill="auto"/>
            <w:noWrap/>
            <w:vAlign w:val="center"/>
            <w:hideMark/>
          </w:tcPr>
          <w:p w14:paraId="0C3F7C3A"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3B" w14:textId="77777777" w:rsidR="00E838DF" w:rsidRPr="002E2F6B" w:rsidRDefault="00E838DF" w:rsidP="00110A7F">
            <w:pPr>
              <w:spacing w:before="0" w:after="0"/>
              <w:rPr>
                <w:sz w:val="16"/>
                <w:szCs w:val="16"/>
              </w:rPr>
            </w:pPr>
            <w:r w:rsidRPr="002E2F6B">
              <w:rPr>
                <w:sz w:val="16"/>
                <w:szCs w:val="16"/>
              </w:rPr>
              <w:t>0.57</w:t>
            </w:r>
          </w:p>
        </w:tc>
        <w:tc>
          <w:tcPr>
            <w:tcW w:w="323" w:type="pct"/>
            <w:tcBorders>
              <w:top w:val="nil"/>
              <w:left w:val="nil"/>
              <w:bottom w:val="nil"/>
              <w:right w:val="nil"/>
            </w:tcBorders>
            <w:shd w:val="clear" w:color="auto" w:fill="auto"/>
            <w:noWrap/>
            <w:vAlign w:val="center"/>
            <w:hideMark/>
          </w:tcPr>
          <w:p w14:paraId="0C3F7C3C" w14:textId="77777777" w:rsidR="00E838DF" w:rsidRPr="002E2F6B" w:rsidRDefault="00E838DF" w:rsidP="00110A7F">
            <w:pPr>
              <w:spacing w:before="0" w:after="0"/>
              <w:rPr>
                <w:sz w:val="16"/>
                <w:szCs w:val="16"/>
              </w:rPr>
            </w:pPr>
            <w:r w:rsidRPr="002E2F6B">
              <w:rPr>
                <w:sz w:val="16"/>
                <w:szCs w:val="16"/>
              </w:rPr>
              <w:t>-0.26</w:t>
            </w:r>
          </w:p>
        </w:tc>
        <w:tc>
          <w:tcPr>
            <w:tcW w:w="323" w:type="pct"/>
            <w:tcBorders>
              <w:top w:val="nil"/>
              <w:left w:val="nil"/>
              <w:bottom w:val="nil"/>
              <w:right w:val="nil"/>
            </w:tcBorders>
            <w:shd w:val="clear" w:color="auto" w:fill="auto"/>
            <w:noWrap/>
            <w:vAlign w:val="center"/>
            <w:hideMark/>
          </w:tcPr>
          <w:p w14:paraId="0C3F7C3D" w14:textId="77777777" w:rsidR="00E838DF" w:rsidRPr="002E2F6B" w:rsidRDefault="00E838DF" w:rsidP="00110A7F">
            <w:pPr>
              <w:spacing w:before="0" w:after="0"/>
              <w:rPr>
                <w:sz w:val="16"/>
                <w:szCs w:val="16"/>
              </w:rPr>
            </w:pPr>
            <w:r w:rsidRPr="002E2F6B">
              <w:rPr>
                <w:sz w:val="16"/>
                <w:szCs w:val="16"/>
              </w:rPr>
              <w:t>0.30</w:t>
            </w:r>
          </w:p>
        </w:tc>
        <w:tc>
          <w:tcPr>
            <w:tcW w:w="320" w:type="pct"/>
            <w:tcBorders>
              <w:top w:val="nil"/>
              <w:left w:val="nil"/>
              <w:bottom w:val="nil"/>
              <w:right w:val="nil"/>
            </w:tcBorders>
            <w:shd w:val="clear" w:color="auto" w:fill="auto"/>
            <w:noWrap/>
            <w:vAlign w:val="center"/>
            <w:hideMark/>
          </w:tcPr>
          <w:p w14:paraId="0C3F7C3E" w14:textId="77777777" w:rsidR="00E838DF" w:rsidRPr="002E2F6B" w:rsidRDefault="00E838DF" w:rsidP="00110A7F">
            <w:pPr>
              <w:spacing w:before="0" w:after="0"/>
              <w:rPr>
                <w:sz w:val="16"/>
                <w:szCs w:val="16"/>
              </w:rPr>
            </w:pPr>
            <w:r w:rsidRPr="002E2F6B">
              <w:rPr>
                <w:sz w:val="16"/>
                <w:szCs w:val="16"/>
              </w:rPr>
              <w:t>0.47</w:t>
            </w:r>
          </w:p>
        </w:tc>
      </w:tr>
      <w:tr w:rsidR="00E838DF" w:rsidRPr="002E2F6B" w14:paraId="0C3F7C4F" w14:textId="77777777" w:rsidTr="00E838DF">
        <w:trPr>
          <w:trHeight w:val="20"/>
        </w:trPr>
        <w:tc>
          <w:tcPr>
            <w:tcW w:w="400" w:type="pct"/>
            <w:tcBorders>
              <w:top w:val="nil"/>
              <w:left w:val="nil"/>
              <w:bottom w:val="nil"/>
              <w:right w:val="nil"/>
            </w:tcBorders>
            <w:shd w:val="clear" w:color="auto" w:fill="auto"/>
            <w:noWrap/>
            <w:vAlign w:val="center"/>
            <w:hideMark/>
          </w:tcPr>
          <w:p w14:paraId="0C3F7C40" w14:textId="77777777" w:rsidR="00E838DF" w:rsidRPr="002E2F6B" w:rsidRDefault="00E838DF" w:rsidP="00110A7F">
            <w:pPr>
              <w:spacing w:before="0" w:after="0"/>
              <w:rPr>
                <w:sz w:val="16"/>
                <w:szCs w:val="16"/>
              </w:rPr>
            </w:pPr>
            <w:r w:rsidRPr="002E2F6B">
              <w:rPr>
                <w:sz w:val="16"/>
                <w:szCs w:val="16"/>
              </w:rPr>
              <w:t>DIP</w:t>
            </w:r>
          </w:p>
        </w:tc>
        <w:tc>
          <w:tcPr>
            <w:tcW w:w="323" w:type="pct"/>
            <w:tcBorders>
              <w:top w:val="nil"/>
              <w:left w:val="nil"/>
              <w:bottom w:val="nil"/>
              <w:right w:val="nil"/>
            </w:tcBorders>
            <w:shd w:val="clear" w:color="auto" w:fill="auto"/>
            <w:noWrap/>
            <w:vAlign w:val="center"/>
            <w:hideMark/>
          </w:tcPr>
          <w:p w14:paraId="0C3F7C41" w14:textId="77777777" w:rsidR="00E838DF" w:rsidRPr="002E2F6B" w:rsidRDefault="00E838DF" w:rsidP="00110A7F">
            <w:pPr>
              <w:spacing w:before="0" w:after="0"/>
              <w:rPr>
                <w:sz w:val="16"/>
                <w:szCs w:val="16"/>
              </w:rPr>
            </w:pPr>
            <w:r w:rsidRPr="002E2F6B">
              <w:rPr>
                <w:sz w:val="16"/>
                <w:szCs w:val="16"/>
              </w:rPr>
              <w:t>-0.40</w:t>
            </w:r>
          </w:p>
        </w:tc>
        <w:tc>
          <w:tcPr>
            <w:tcW w:w="400" w:type="pct"/>
            <w:tcBorders>
              <w:top w:val="nil"/>
              <w:left w:val="nil"/>
              <w:bottom w:val="nil"/>
              <w:right w:val="nil"/>
            </w:tcBorders>
            <w:shd w:val="clear" w:color="auto" w:fill="auto"/>
            <w:noWrap/>
            <w:vAlign w:val="center"/>
            <w:hideMark/>
          </w:tcPr>
          <w:p w14:paraId="0C3F7C42" w14:textId="77777777" w:rsidR="00E838DF" w:rsidRPr="002E2F6B" w:rsidRDefault="00E838DF" w:rsidP="00110A7F">
            <w:pPr>
              <w:spacing w:before="0" w:after="0"/>
              <w:rPr>
                <w:sz w:val="16"/>
                <w:szCs w:val="16"/>
              </w:rPr>
            </w:pPr>
            <w:r w:rsidRPr="002E2F6B">
              <w:rPr>
                <w:sz w:val="16"/>
                <w:szCs w:val="16"/>
              </w:rPr>
              <w:t>0.27</w:t>
            </w:r>
          </w:p>
        </w:tc>
        <w:tc>
          <w:tcPr>
            <w:tcW w:w="328" w:type="pct"/>
            <w:tcBorders>
              <w:top w:val="nil"/>
              <w:left w:val="nil"/>
              <w:bottom w:val="nil"/>
              <w:right w:val="nil"/>
            </w:tcBorders>
            <w:shd w:val="clear" w:color="auto" w:fill="auto"/>
            <w:noWrap/>
            <w:vAlign w:val="center"/>
            <w:hideMark/>
          </w:tcPr>
          <w:p w14:paraId="0C3F7C43"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C44" w14:textId="77777777" w:rsidR="00E838DF" w:rsidRPr="002E2F6B" w:rsidRDefault="00E838DF" w:rsidP="00110A7F">
            <w:pPr>
              <w:spacing w:before="0" w:after="0"/>
              <w:rPr>
                <w:sz w:val="16"/>
                <w:szCs w:val="16"/>
              </w:rPr>
            </w:pPr>
            <w:r w:rsidRPr="002E2F6B">
              <w:rPr>
                <w:sz w:val="16"/>
                <w:szCs w:val="16"/>
              </w:rPr>
              <w:t>-0.08</w:t>
            </w:r>
          </w:p>
        </w:tc>
        <w:tc>
          <w:tcPr>
            <w:tcW w:w="323" w:type="pct"/>
            <w:tcBorders>
              <w:top w:val="nil"/>
              <w:left w:val="nil"/>
              <w:bottom w:val="nil"/>
              <w:right w:val="nil"/>
            </w:tcBorders>
            <w:shd w:val="clear" w:color="auto" w:fill="auto"/>
            <w:noWrap/>
            <w:vAlign w:val="center"/>
            <w:hideMark/>
          </w:tcPr>
          <w:p w14:paraId="0C3F7C45"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C46" w14:textId="77777777" w:rsidR="00E838DF" w:rsidRPr="002E2F6B" w:rsidRDefault="00E838DF" w:rsidP="00110A7F">
            <w:pPr>
              <w:spacing w:before="0" w:after="0"/>
              <w:rPr>
                <w:sz w:val="16"/>
                <w:szCs w:val="16"/>
              </w:rPr>
            </w:pPr>
            <w:r w:rsidRPr="002E2F6B">
              <w:rPr>
                <w:sz w:val="16"/>
                <w:szCs w:val="16"/>
              </w:rPr>
              <w:t>0.36</w:t>
            </w:r>
          </w:p>
        </w:tc>
        <w:tc>
          <w:tcPr>
            <w:tcW w:w="323" w:type="pct"/>
            <w:tcBorders>
              <w:top w:val="nil"/>
              <w:left w:val="nil"/>
              <w:bottom w:val="nil"/>
              <w:right w:val="nil"/>
            </w:tcBorders>
            <w:shd w:val="clear" w:color="auto" w:fill="auto"/>
            <w:noWrap/>
            <w:vAlign w:val="center"/>
            <w:hideMark/>
          </w:tcPr>
          <w:p w14:paraId="0C3F7C47" w14:textId="77777777" w:rsidR="00E838DF" w:rsidRPr="002E2F6B" w:rsidRDefault="00E838DF" w:rsidP="00110A7F">
            <w:pPr>
              <w:spacing w:before="0" w:after="0"/>
              <w:rPr>
                <w:sz w:val="16"/>
                <w:szCs w:val="16"/>
              </w:rPr>
            </w:pPr>
            <w:r w:rsidRPr="002E2F6B">
              <w:rPr>
                <w:sz w:val="16"/>
                <w:szCs w:val="16"/>
              </w:rPr>
              <w:t>0.43</w:t>
            </w:r>
          </w:p>
        </w:tc>
        <w:tc>
          <w:tcPr>
            <w:tcW w:w="323" w:type="pct"/>
            <w:tcBorders>
              <w:top w:val="nil"/>
              <w:left w:val="nil"/>
              <w:bottom w:val="nil"/>
              <w:right w:val="nil"/>
            </w:tcBorders>
            <w:shd w:val="clear" w:color="auto" w:fill="auto"/>
            <w:noWrap/>
            <w:vAlign w:val="center"/>
            <w:hideMark/>
          </w:tcPr>
          <w:p w14:paraId="0C3F7C48" w14:textId="77777777" w:rsidR="00E838DF" w:rsidRPr="002E2F6B" w:rsidRDefault="00E838DF" w:rsidP="00110A7F">
            <w:pPr>
              <w:spacing w:before="0" w:after="0"/>
              <w:rPr>
                <w:sz w:val="16"/>
                <w:szCs w:val="16"/>
              </w:rPr>
            </w:pPr>
            <w:r w:rsidRPr="002E2F6B">
              <w:rPr>
                <w:sz w:val="16"/>
                <w:szCs w:val="16"/>
              </w:rPr>
              <w:t>0.37</w:t>
            </w:r>
          </w:p>
        </w:tc>
        <w:tc>
          <w:tcPr>
            <w:tcW w:w="323" w:type="pct"/>
            <w:tcBorders>
              <w:top w:val="nil"/>
              <w:left w:val="nil"/>
              <w:bottom w:val="nil"/>
              <w:right w:val="nil"/>
            </w:tcBorders>
            <w:shd w:val="clear" w:color="auto" w:fill="auto"/>
            <w:noWrap/>
            <w:vAlign w:val="center"/>
            <w:hideMark/>
          </w:tcPr>
          <w:p w14:paraId="0C3F7C49" w14:textId="77777777" w:rsidR="00E838DF" w:rsidRPr="002E2F6B" w:rsidRDefault="00E838DF" w:rsidP="00110A7F">
            <w:pPr>
              <w:spacing w:before="0" w:after="0"/>
              <w:rPr>
                <w:sz w:val="16"/>
                <w:szCs w:val="16"/>
              </w:rPr>
            </w:pPr>
            <w:r w:rsidRPr="002E2F6B">
              <w:rPr>
                <w:sz w:val="16"/>
                <w:szCs w:val="16"/>
              </w:rPr>
              <w:t>0.49</w:t>
            </w:r>
          </w:p>
        </w:tc>
        <w:tc>
          <w:tcPr>
            <w:tcW w:w="323" w:type="pct"/>
            <w:tcBorders>
              <w:top w:val="nil"/>
              <w:left w:val="nil"/>
              <w:bottom w:val="nil"/>
              <w:right w:val="nil"/>
            </w:tcBorders>
            <w:shd w:val="clear" w:color="auto" w:fill="auto"/>
            <w:noWrap/>
            <w:vAlign w:val="center"/>
            <w:hideMark/>
          </w:tcPr>
          <w:p w14:paraId="0C3F7C4A" w14:textId="77777777" w:rsidR="00E838DF" w:rsidRPr="002E2F6B" w:rsidRDefault="00E838DF" w:rsidP="00110A7F">
            <w:pPr>
              <w:spacing w:before="0" w:after="0"/>
              <w:rPr>
                <w:sz w:val="16"/>
                <w:szCs w:val="16"/>
              </w:rPr>
            </w:pPr>
            <w:r w:rsidRPr="002E2F6B">
              <w:rPr>
                <w:sz w:val="16"/>
                <w:szCs w:val="16"/>
              </w:rPr>
              <w:t>0.57</w:t>
            </w:r>
          </w:p>
        </w:tc>
        <w:tc>
          <w:tcPr>
            <w:tcW w:w="323" w:type="pct"/>
            <w:tcBorders>
              <w:top w:val="nil"/>
              <w:left w:val="nil"/>
              <w:bottom w:val="nil"/>
              <w:right w:val="nil"/>
            </w:tcBorders>
            <w:shd w:val="clear" w:color="auto" w:fill="auto"/>
            <w:noWrap/>
            <w:vAlign w:val="center"/>
            <w:hideMark/>
          </w:tcPr>
          <w:p w14:paraId="0C3F7C4B"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4C"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C4D" w14:textId="77777777" w:rsidR="00E838DF" w:rsidRPr="002E2F6B" w:rsidRDefault="00E838DF" w:rsidP="00110A7F">
            <w:pPr>
              <w:spacing w:before="0" w:after="0"/>
              <w:rPr>
                <w:sz w:val="16"/>
                <w:szCs w:val="16"/>
              </w:rPr>
            </w:pPr>
            <w:r w:rsidRPr="002E2F6B">
              <w:rPr>
                <w:sz w:val="16"/>
                <w:szCs w:val="16"/>
              </w:rPr>
              <w:t>0.16</w:t>
            </w:r>
          </w:p>
        </w:tc>
        <w:tc>
          <w:tcPr>
            <w:tcW w:w="320" w:type="pct"/>
            <w:tcBorders>
              <w:top w:val="nil"/>
              <w:left w:val="nil"/>
              <w:bottom w:val="nil"/>
              <w:right w:val="nil"/>
            </w:tcBorders>
            <w:shd w:val="clear" w:color="auto" w:fill="auto"/>
            <w:noWrap/>
            <w:vAlign w:val="center"/>
            <w:hideMark/>
          </w:tcPr>
          <w:p w14:paraId="0C3F7C4E" w14:textId="77777777" w:rsidR="00E838DF" w:rsidRPr="002E2F6B" w:rsidRDefault="00E838DF" w:rsidP="00110A7F">
            <w:pPr>
              <w:spacing w:before="0" w:after="0"/>
              <w:rPr>
                <w:sz w:val="16"/>
                <w:szCs w:val="16"/>
              </w:rPr>
            </w:pPr>
            <w:r w:rsidRPr="002E2F6B">
              <w:rPr>
                <w:sz w:val="16"/>
                <w:szCs w:val="16"/>
              </w:rPr>
              <w:t>0.55</w:t>
            </w:r>
          </w:p>
        </w:tc>
      </w:tr>
      <w:tr w:rsidR="00E838DF" w:rsidRPr="002E2F6B" w14:paraId="0C3F7C5F" w14:textId="77777777" w:rsidTr="00E838DF">
        <w:trPr>
          <w:trHeight w:val="20"/>
        </w:trPr>
        <w:tc>
          <w:tcPr>
            <w:tcW w:w="400" w:type="pct"/>
            <w:tcBorders>
              <w:top w:val="nil"/>
              <w:left w:val="nil"/>
              <w:bottom w:val="nil"/>
              <w:right w:val="nil"/>
            </w:tcBorders>
            <w:shd w:val="clear" w:color="auto" w:fill="auto"/>
            <w:noWrap/>
            <w:vAlign w:val="center"/>
            <w:hideMark/>
          </w:tcPr>
          <w:p w14:paraId="0C3F7C50" w14:textId="77777777" w:rsidR="00E838DF" w:rsidRPr="002E2F6B" w:rsidRDefault="00E838DF" w:rsidP="00110A7F">
            <w:pPr>
              <w:spacing w:before="0" w:after="0"/>
              <w:rPr>
                <w:sz w:val="16"/>
                <w:szCs w:val="16"/>
              </w:rPr>
            </w:pPr>
            <w:r w:rsidRPr="002E2F6B">
              <w:rPr>
                <w:sz w:val="16"/>
                <w:szCs w:val="16"/>
              </w:rPr>
              <w:t>PN</w:t>
            </w:r>
          </w:p>
        </w:tc>
        <w:tc>
          <w:tcPr>
            <w:tcW w:w="323" w:type="pct"/>
            <w:tcBorders>
              <w:top w:val="nil"/>
              <w:left w:val="nil"/>
              <w:bottom w:val="nil"/>
              <w:right w:val="nil"/>
            </w:tcBorders>
            <w:shd w:val="clear" w:color="auto" w:fill="auto"/>
            <w:noWrap/>
            <w:vAlign w:val="center"/>
            <w:hideMark/>
          </w:tcPr>
          <w:p w14:paraId="0C3F7C51" w14:textId="77777777" w:rsidR="00E838DF" w:rsidRPr="002E2F6B" w:rsidRDefault="00E838DF" w:rsidP="00110A7F">
            <w:pPr>
              <w:spacing w:before="0" w:after="0"/>
              <w:rPr>
                <w:sz w:val="16"/>
                <w:szCs w:val="16"/>
              </w:rPr>
            </w:pPr>
            <w:r w:rsidRPr="002E2F6B">
              <w:rPr>
                <w:sz w:val="16"/>
                <w:szCs w:val="16"/>
              </w:rPr>
              <w:t>0.29</w:t>
            </w:r>
          </w:p>
        </w:tc>
        <w:tc>
          <w:tcPr>
            <w:tcW w:w="400" w:type="pct"/>
            <w:tcBorders>
              <w:top w:val="nil"/>
              <w:left w:val="nil"/>
              <w:bottom w:val="nil"/>
              <w:right w:val="nil"/>
            </w:tcBorders>
            <w:shd w:val="clear" w:color="auto" w:fill="auto"/>
            <w:noWrap/>
            <w:vAlign w:val="center"/>
            <w:hideMark/>
          </w:tcPr>
          <w:p w14:paraId="0C3F7C52" w14:textId="77777777" w:rsidR="00E838DF" w:rsidRPr="002E2F6B" w:rsidRDefault="00E838DF" w:rsidP="00110A7F">
            <w:pPr>
              <w:spacing w:before="0" w:after="0"/>
              <w:rPr>
                <w:sz w:val="16"/>
                <w:szCs w:val="16"/>
              </w:rPr>
            </w:pPr>
            <w:r w:rsidRPr="002E2F6B">
              <w:rPr>
                <w:sz w:val="16"/>
                <w:szCs w:val="16"/>
              </w:rPr>
              <w:t>-0.39</w:t>
            </w:r>
          </w:p>
        </w:tc>
        <w:tc>
          <w:tcPr>
            <w:tcW w:w="328" w:type="pct"/>
            <w:tcBorders>
              <w:top w:val="nil"/>
              <w:left w:val="nil"/>
              <w:bottom w:val="nil"/>
              <w:right w:val="nil"/>
            </w:tcBorders>
            <w:shd w:val="clear" w:color="auto" w:fill="auto"/>
            <w:noWrap/>
            <w:vAlign w:val="center"/>
            <w:hideMark/>
          </w:tcPr>
          <w:p w14:paraId="0C3F7C53"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C54"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C55" w14:textId="77777777" w:rsidR="00E838DF" w:rsidRPr="002E2F6B" w:rsidRDefault="00E838DF" w:rsidP="00110A7F">
            <w:pPr>
              <w:spacing w:before="0" w:after="0"/>
              <w:rPr>
                <w:sz w:val="16"/>
                <w:szCs w:val="16"/>
              </w:rPr>
            </w:pPr>
            <w:r w:rsidRPr="002E2F6B">
              <w:rPr>
                <w:sz w:val="16"/>
                <w:szCs w:val="16"/>
              </w:rPr>
              <w:t>0.23</w:t>
            </w:r>
          </w:p>
        </w:tc>
        <w:tc>
          <w:tcPr>
            <w:tcW w:w="323" w:type="pct"/>
            <w:tcBorders>
              <w:top w:val="nil"/>
              <w:left w:val="nil"/>
              <w:bottom w:val="nil"/>
              <w:right w:val="nil"/>
            </w:tcBorders>
            <w:shd w:val="clear" w:color="auto" w:fill="auto"/>
            <w:noWrap/>
            <w:vAlign w:val="center"/>
            <w:hideMark/>
          </w:tcPr>
          <w:p w14:paraId="0C3F7C56"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C57" w14:textId="77777777" w:rsidR="00E838DF" w:rsidRPr="002E2F6B" w:rsidRDefault="00E838DF" w:rsidP="00110A7F">
            <w:pPr>
              <w:spacing w:before="0" w:after="0"/>
              <w:rPr>
                <w:sz w:val="16"/>
                <w:szCs w:val="16"/>
              </w:rPr>
            </w:pPr>
            <w:r w:rsidRPr="002E2F6B">
              <w:rPr>
                <w:sz w:val="16"/>
                <w:szCs w:val="16"/>
              </w:rPr>
              <w:t>-0.33</w:t>
            </w:r>
          </w:p>
        </w:tc>
        <w:tc>
          <w:tcPr>
            <w:tcW w:w="323" w:type="pct"/>
            <w:tcBorders>
              <w:top w:val="nil"/>
              <w:left w:val="nil"/>
              <w:bottom w:val="nil"/>
              <w:right w:val="nil"/>
            </w:tcBorders>
            <w:shd w:val="clear" w:color="auto" w:fill="auto"/>
            <w:noWrap/>
            <w:vAlign w:val="center"/>
            <w:hideMark/>
          </w:tcPr>
          <w:p w14:paraId="0C3F7C58"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nil"/>
              <w:right w:val="nil"/>
            </w:tcBorders>
            <w:shd w:val="clear" w:color="auto" w:fill="auto"/>
            <w:noWrap/>
            <w:vAlign w:val="center"/>
            <w:hideMark/>
          </w:tcPr>
          <w:p w14:paraId="0C3F7C59"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C5A" w14:textId="77777777" w:rsidR="00E838DF" w:rsidRPr="002E2F6B" w:rsidRDefault="00E838DF" w:rsidP="00110A7F">
            <w:pPr>
              <w:spacing w:before="0" w:after="0"/>
              <w:rPr>
                <w:sz w:val="16"/>
                <w:szCs w:val="16"/>
              </w:rPr>
            </w:pPr>
            <w:r w:rsidRPr="002E2F6B">
              <w:rPr>
                <w:sz w:val="16"/>
                <w:szCs w:val="16"/>
              </w:rPr>
              <w:t>-0.26</w:t>
            </w:r>
          </w:p>
        </w:tc>
        <w:tc>
          <w:tcPr>
            <w:tcW w:w="323" w:type="pct"/>
            <w:tcBorders>
              <w:top w:val="nil"/>
              <w:left w:val="nil"/>
              <w:bottom w:val="nil"/>
              <w:right w:val="nil"/>
            </w:tcBorders>
            <w:shd w:val="clear" w:color="auto" w:fill="auto"/>
            <w:noWrap/>
            <w:vAlign w:val="center"/>
            <w:hideMark/>
          </w:tcPr>
          <w:p w14:paraId="0C3F7C5B"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C5C"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5D" w14:textId="77777777" w:rsidR="00E838DF" w:rsidRPr="002E2F6B" w:rsidRDefault="00E838DF" w:rsidP="00110A7F">
            <w:pPr>
              <w:spacing w:before="0" w:after="0"/>
              <w:rPr>
                <w:sz w:val="16"/>
                <w:szCs w:val="16"/>
              </w:rPr>
            </w:pPr>
            <w:r w:rsidRPr="002E2F6B">
              <w:rPr>
                <w:sz w:val="16"/>
                <w:szCs w:val="16"/>
              </w:rPr>
              <w:t>0.06</w:t>
            </w:r>
          </w:p>
        </w:tc>
        <w:tc>
          <w:tcPr>
            <w:tcW w:w="320" w:type="pct"/>
            <w:tcBorders>
              <w:top w:val="nil"/>
              <w:left w:val="nil"/>
              <w:bottom w:val="nil"/>
              <w:right w:val="nil"/>
            </w:tcBorders>
            <w:shd w:val="clear" w:color="auto" w:fill="auto"/>
            <w:noWrap/>
            <w:vAlign w:val="center"/>
            <w:hideMark/>
          </w:tcPr>
          <w:p w14:paraId="0C3F7C5E" w14:textId="77777777" w:rsidR="00E838DF" w:rsidRPr="002E2F6B" w:rsidRDefault="00E838DF" w:rsidP="00110A7F">
            <w:pPr>
              <w:spacing w:before="0" w:after="0"/>
              <w:rPr>
                <w:sz w:val="16"/>
                <w:szCs w:val="16"/>
              </w:rPr>
            </w:pPr>
            <w:r w:rsidRPr="002E2F6B">
              <w:rPr>
                <w:sz w:val="16"/>
                <w:szCs w:val="16"/>
              </w:rPr>
              <w:t>-0.20</w:t>
            </w:r>
          </w:p>
        </w:tc>
      </w:tr>
      <w:tr w:rsidR="00E838DF" w:rsidRPr="002E2F6B" w14:paraId="0C3F7C6F" w14:textId="77777777" w:rsidTr="00E838DF">
        <w:trPr>
          <w:trHeight w:val="20"/>
        </w:trPr>
        <w:tc>
          <w:tcPr>
            <w:tcW w:w="400" w:type="pct"/>
            <w:tcBorders>
              <w:top w:val="nil"/>
              <w:left w:val="nil"/>
              <w:bottom w:val="nil"/>
              <w:right w:val="nil"/>
            </w:tcBorders>
            <w:shd w:val="clear" w:color="auto" w:fill="auto"/>
            <w:noWrap/>
            <w:vAlign w:val="center"/>
            <w:hideMark/>
          </w:tcPr>
          <w:p w14:paraId="0C3F7C60" w14:textId="77777777" w:rsidR="00E838DF" w:rsidRPr="002E2F6B" w:rsidRDefault="00E838DF" w:rsidP="00110A7F">
            <w:pPr>
              <w:spacing w:before="0" w:after="0"/>
              <w:rPr>
                <w:sz w:val="16"/>
                <w:szCs w:val="16"/>
              </w:rPr>
            </w:pPr>
            <w:r w:rsidRPr="002E2F6B">
              <w:rPr>
                <w:sz w:val="16"/>
                <w:szCs w:val="16"/>
              </w:rPr>
              <w:t>PP</w:t>
            </w:r>
          </w:p>
        </w:tc>
        <w:tc>
          <w:tcPr>
            <w:tcW w:w="323" w:type="pct"/>
            <w:tcBorders>
              <w:top w:val="nil"/>
              <w:left w:val="nil"/>
              <w:bottom w:val="nil"/>
              <w:right w:val="nil"/>
            </w:tcBorders>
            <w:shd w:val="clear" w:color="auto" w:fill="auto"/>
            <w:noWrap/>
            <w:vAlign w:val="center"/>
            <w:hideMark/>
          </w:tcPr>
          <w:p w14:paraId="0C3F7C61" w14:textId="77777777" w:rsidR="00E838DF" w:rsidRPr="002E2F6B" w:rsidRDefault="00E838DF" w:rsidP="00110A7F">
            <w:pPr>
              <w:spacing w:before="0" w:after="0"/>
              <w:rPr>
                <w:sz w:val="16"/>
                <w:szCs w:val="16"/>
              </w:rPr>
            </w:pPr>
            <w:r w:rsidRPr="002E2F6B">
              <w:rPr>
                <w:sz w:val="16"/>
                <w:szCs w:val="16"/>
              </w:rPr>
              <w:t>-0.33</w:t>
            </w:r>
          </w:p>
        </w:tc>
        <w:tc>
          <w:tcPr>
            <w:tcW w:w="400" w:type="pct"/>
            <w:tcBorders>
              <w:top w:val="nil"/>
              <w:left w:val="nil"/>
              <w:bottom w:val="nil"/>
              <w:right w:val="nil"/>
            </w:tcBorders>
            <w:shd w:val="clear" w:color="auto" w:fill="auto"/>
            <w:noWrap/>
            <w:vAlign w:val="center"/>
            <w:hideMark/>
          </w:tcPr>
          <w:p w14:paraId="0C3F7C62" w14:textId="77777777" w:rsidR="00E838DF" w:rsidRPr="002E2F6B" w:rsidRDefault="00E838DF" w:rsidP="00110A7F">
            <w:pPr>
              <w:spacing w:before="0" w:after="0"/>
              <w:rPr>
                <w:sz w:val="16"/>
                <w:szCs w:val="16"/>
              </w:rPr>
            </w:pPr>
            <w:r w:rsidRPr="002E2F6B">
              <w:rPr>
                <w:sz w:val="16"/>
                <w:szCs w:val="16"/>
              </w:rPr>
              <w:t>0.10</w:t>
            </w:r>
          </w:p>
        </w:tc>
        <w:tc>
          <w:tcPr>
            <w:tcW w:w="328" w:type="pct"/>
            <w:tcBorders>
              <w:top w:val="nil"/>
              <w:left w:val="nil"/>
              <w:bottom w:val="nil"/>
              <w:right w:val="nil"/>
            </w:tcBorders>
            <w:shd w:val="clear" w:color="auto" w:fill="auto"/>
            <w:noWrap/>
            <w:vAlign w:val="center"/>
            <w:hideMark/>
          </w:tcPr>
          <w:p w14:paraId="0C3F7C63"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C64"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C65"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C66" w14:textId="77777777" w:rsidR="00E838DF" w:rsidRPr="002E2F6B" w:rsidRDefault="00E838DF" w:rsidP="00110A7F">
            <w:pPr>
              <w:spacing w:before="0" w:after="0"/>
              <w:rPr>
                <w:sz w:val="16"/>
                <w:szCs w:val="16"/>
              </w:rPr>
            </w:pPr>
            <w:r w:rsidRPr="002E2F6B">
              <w:rPr>
                <w:sz w:val="16"/>
                <w:szCs w:val="16"/>
              </w:rPr>
              <w:t>0.44</w:t>
            </w:r>
          </w:p>
        </w:tc>
        <w:tc>
          <w:tcPr>
            <w:tcW w:w="323" w:type="pct"/>
            <w:tcBorders>
              <w:top w:val="nil"/>
              <w:left w:val="nil"/>
              <w:bottom w:val="nil"/>
              <w:right w:val="nil"/>
            </w:tcBorders>
            <w:shd w:val="clear" w:color="auto" w:fill="auto"/>
            <w:noWrap/>
            <w:vAlign w:val="center"/>
            <w:hideMark/>
          </w:tcPr>
          <w:p w14:paraId="0C3F7C67" w14:textId="77777777" w:rsidR="00E838DF" w:rsidRPr="002E2F6B" w:rsidRDefault="00E838DF" w:rsidP="00110A7F">
            <w:pPr>
              <w:spacing w:before="0" w:after="0"/>
              <w:rPr>
                <w:sz w:val="16"/>
                <w:szCs w:val="16"/>
              </w:rPr>
            </w:pPr>
            <w:r w:rsidRPr="002E2F6B">
              <w:rPr>
                <w:sz w:val="16"/>
                <w:szCs w:val="16"/>
              </w:rPr>
              <w:t>0.33</w:t>
            </w:r>
          </w:p>
        </w:tc>
        <w:tc>
          <w:tcPr>
            <w:tcW w:w="323" w:type="pct"/>
            <w:tcBorders>
              <w:top w:val="nil"/>
              <w:left w:val="nil"/>
              <w:bottom w:val="nil"/>
              <w:right w:val="nil"/>
            </w:tcBorders>
            <w:shd w:val="clear" w:color="auto" w:fill="auto"/>
            <w:noWrap/>
            <w:vAlign w:val="center"/>
            <w:hideMark/>
          </w:tcPr>
          <w:p w14:paraId="0C3F7C68"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000000" w:fill="FFFF00"/>
            <w:noWrap/>
            <w:vAlign w:val="center"/>
            <w:hideMark/>
          </w:tcPr>
          <w:p w14:paraId="0C3F7C69" w14:textId="77777777" w:rsidR="00E838DF" w:rsidRPr="002E2F6B" w:rsidRDefault="00E838DF" w:rsidP="00110A7F">
            <w:pPr>
              <w:spacing w:before="0" w:after="0"/>
              <w:rPr>
                <w:sz w:val="16"/>
                <w:szCs w:val="16"/>
              </w:rPr>
            </w:pPr>
            <w:r w:rsidRPr="002E2F6B">
              <w:rPr>
                <w:sz w:val="16"/>
                <w:szCs w:val="16"/>
              </w:rPr>
              <w:t>0.75</w:t>
            </w:r>
          </w:p>
        </w:tc>
        <w:tc>
          <w:tcPr>
            <w:tcW w:w="323" w:type="pct"/>
            <w:tcBorders>
              <w:top w:val="nil"/>
              <w:left w:val="nil"/>
              <w:bottom w:val="nil"/>
              <w:right w:val="nil"/>
            </w:tcBorders>
            <w:shd w:val="clear" w:color="auto" w:fill="auto"/>
            <w:noWrap/>
            <w:vAlign w:val="center"/>
            <w:hideMark/>
          </w:tcPr>
          <w:p w14:paraId="0C3F7C6A" w14:textId="77777777" w:rsidR="00E838DF" w:rsidRPr="002E2F6B" w:rsidRDefault="00E838DF" w:rsidP="00110A7F">
            <w:pPr>
              <w:spacing w:before="0" w:after="0"/>
              <w:rPr>
                <w:sz w:val="16"/>
                <w:szCs w:val="16"/>
              </w:rPr>
            </w:pPr>
            <w:r w:rsidRPr="002E2F6B">
              <w:rPr>
                <w:sz w:val="16"/>
                <w:szCs w:val="16"/>
              </w:rPr>
              <w:t>0.30</w:t>
            </w:r>
          </w:p>
        </w:tc>
        <w:tc>
          <w:tcPr>
            <w:tcW w:w="323" w:type="pct"/>
            <w:tcBorders>
              <w:top w:val="nil"/>
              <w:left w:val="nil"/>
              <w:bottom w:val="nil"/>
              <w:right w:val="nil"/>
            </w:tcBorders>
            <w:shd w:val="clear" w:color="auto" w:fill="auto"/>
            <w:noWrap/>
            <w:vAlign w:val="center"/>
            <w:hideMark/>
          </w:tcPr>
          <w:p w14:paraId="0C3F7C6B"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6C" w14:textId="77777777" w:rsidR="00E838DF" w:rsidRPr="002E2F6B" w:rsidRDefault="00E838DF" w:rsidP="00110A7F">
            <w:pPr>
              <w:spacing w:before="0" w:after="0"/>
              <w:rPr>
                <w:sz w:val="16"/>
                <w:szCs w:val="16"/>
              </w:rPr>
            </w:pPr>
            <w:r w:rsidRPr="002E2F6B">
              <w:rPr>
                <w:sz w:val="16"/>
                <w:szCs w:val="16"/>
              </w:rPr>
              <w:t>0.06</w:t>
            </w:r>
          </w:p>
        </w:tc>
        <w:tc>
          <w:tcPr>
            <w:tcW w:w="323" w:type="pct"/>
            <w:tcBorders>
              <w:top w:val="nil"/>
              <w:left w:val="nil"/>
              <w:bottom w:val="nil"/>
              <w:right w:val="nil"/>
            </w:tcBorders>
            <w:shd w:val="clear" w:color="auto" w:fill="auto"/>
            <w:noWrap/>
            <w:vAlign w:val="center"/>
            <w:hideMark/>
          </w:tcPr>
          <w:p w14:paraId="0C3F7C6D" w14:textId="77777777" w:rsidR="00E838DF" w:rsidRPr="002E2F6B" w:rsidRDefault="00E838DF" w:rsidP="00110A7F">
            <w:pPr>
              <w:spacing w:before="0" w:after="0"/>
              <w:rPr>
                <w:sz w:val="16"/>
                <w:szCs w:val="16"/>
              </w:rPr>
            </w:pPr>
            <w:r w:rsidRPr="002E2F6B">
              <w:rPr>
                <w:sz w:val="16"/>
                <w:szCs w:val="16"/>
              </w:rPr>
              <w:t>1</w:t>
            </w:r>
          </w:p>
        </w:tc>
        <w:tc>
          <w:tcPr>
            <w:tcW w:w="320" w:type="pct"/>
            <w:tcBorders>
              <w:top w:val="nil"/>
              <w:left w:val="nil"/>
              <w:bottom w:val="nil"/>
              <w:right w:val="nil"/>
            </w:tcBorders>
            <w:shd w:val="clear" w:color="auto" w:fill="auto"/>
            <w:noWrap/>
            <w:vAlign w:val="center"/>
            <w:hideMark/>
          </w:tcPr>
          <w:p w14:paraId="0C3F7C6E" w14:textId="77777777" w:rsidR="00E838DF" w:rsidRPr="002E2F6B" w:rsidRDefault="00E838DF" w:rsidP="00110A7F">
            <w:pPr>
              <w:spacing w:before="0" w:after="0"/>
              <w:rPr>
                <w:sz w:val="16"/>
                <w:szCs w:val="16"/>
              </w:rPr>
            </w:pPr>
            <w:r w:rsidRPr="002E2F6B">
              <w:rPr>
                <w:sz w:val="16"/>
                <w:szCs w:val="16"/>
              </w:rPr>
              <w:t>0.18</w:t>
            </w:r>
          </w:p>
        </w:tc>
      </w:tr>
      <w:tr w:rsidR="00E838DF" w:rsidRPr="002E2F6B" w14:paraId="0C3F7C7F" w14:textId="77777777" w:rsidTr="00E838DF">
        <w:trPr>
          <w:trHeight w:val="20"/>
        </w:trPr>
        <w:tc>
          <w:tcPr>
            <w:tcW w:w="400" w:type="pct"/>
            <w:tcBorders>
              <w:top w:val="nil"/>
              <w:left w:val="nil"/>
              <w:bottom w:val="single" w:sz="4" w:space="0" w:color="auto"/>
              <w:right w:val="nil"/>
            </w:tcBorders>
            <w:shd w:val="clear" w:color="auto" w:fill="auto"/>
            <w:noWrap/>
            <w:vAlign w:val="center"/>
            <w:hideMark/>
          </w:tcPr>
          <w:p w14:paraId="0C3F7C70" w14:textId="77777777" w:rsidR="00E838DF" w:rsidRPr="002E2F6B" w:rsidRDefault="00E838DF" w:rsidP="00110A7F">
            <w:pPr>
              <w:spacing w:before="0" w:after="0"/>
              <w:rPr>
                <w:sz w:val="16"/>
                <w:szCs w:val="16"/>
              </w:rPr>
            </w:pPr>
            <w:r w:rsidRPr="002E2F6B">
              <w:rPr>
                <w:sz w:val="16"/>
                <w:szCs w:val="16"/>
              </w:rPr>
              <w:t>Si</w:t>
            </w:r>
          </w:p>
        </w:tc>
        <w:tc>
          <w:tcPr>
            <w:tcW w:w="323" w:type="pct"/>
            <w:tcBorders>
              <w:top w:val="nil"/>
              <w:left w:val="nil"/>
              <w:bottom w:val="single" w:sz="4" w:space="0" w:color="auto"/>
              <w:right w:val="nil"/>
            </w:tcBorders>
            <w:shd w:val="clear" w:color="000000" w:fill="FFFF00"/>
            <w:noWrap/>
            <w:vAlign w:val="center"/>
            <w:hideMark/>
          </w:tcPr>
          <w:p w14:paraId="0C3F7C71" w14:textId="77777777" w:rsidR="00E838DF" w:rsidRPr="002E2F6B" w:rsidRDefault="00E838DF" w:rsidP="00110A7F">
            <w:pPr>
              <w:spacing w:before="0" w:after="0"/>
              <w:rPr>
                <w:sz w:val="16"/>
                <w:szCs w:val="16"/>
              </w:rPr>
            </w:pPr>
            <w:r w:rsidRPr="002E2F6B">
              <w:rPr>
                <w:sz w:val="16"/>
                <w:szCs w:val="16"/>
              </w:rPr>
              <w:t>-0.67</w:t>
            </w:r>
          </w:p>
        </w:tc>
        <w:tc>
          <w:tcPr>
            <w:tcW w:w="400" w:type="pct"/>
            <w:tcBorders>
              <w:top w:val="nil"/>
              <w:left w:val="nil"/>
              <w:bottom w:val="single" w:sz="4" w:space="0" w:color="auto"/>
              <w:right w:val="nil"/>
            </w:tcBorders>
            <w:shd w:val="clear" w:color="000000" w:fill="FFFF00"/>
            <w:noWrap/>
            <w:vAlign w:val="center"/>
            <w:hideMark/>
          </w:tcPr>
          <w:p w14:paraId="0C3F7C72" w14:textId="77777777" w:rsidR="00E838DF" w:rsidRPr="002E2F6B" w:rsidRDefault="00E838DF" w:rsidP="00110A7F">
            <w:pPr>
              <w:spacing w:before="0" w:after="0"/>
              <w:rPr>
                <w:sz w:val="16"/>
                <w:szCs w:val="16"/>
              </w:rPr>
            </w:pPr>
            <w:r w:rsidRPr="002E2F6B">
              <w:rPr>
                <w:sz w:val="16"/>
                <w:szCs w:val="16"/>
              </w:rPr>
              <w:t>0.68</w:t>
            </w:r>
          </w:p>
        </w:tc>
        <w:tc>
          <w:tcPr>
            <w:tcW w:w="328" w:type="pct"/>
            <w:tcBorders>
              <w:top w:val="nil"/>
              <w:left w:val="nil"/>
              <w:bottom w:val="single" w:sz="4" w:space="0" w:color="auto"/>
              <w:right w:val="nil"/>
            </w:tcBorders>
            <w:shd w:val="clear" w:color="auto" w:fill="auto"/>
            <w:noWrap/>
            <w:vAlign w:val="center"/>
            <w:hideMark/>
          </w:tcPr>
          <w:p w14:paraId="0C3F7C73" w14:textId="77777777" w:rsidR="00E838DF" w:rsidRPr="002E2F6B" w:rsidRDefault="00E838DF" w:rsidP="00110A7F">
            <w:pPr>
              <w:spacing w:before="0" w:after="0"/>
              <w:rPr>
                <w:sz w:val="16"/>
                <w:szCs w:val="16"/>
              </w:rPr>
            </w:pPr>
            <w:r w:rsidRPr="002E2F6B">
              <w:rPr>
                <w:sz w:val="16"/>
                <w:szCs w:val="16"/>
              </w:rPr>
              <w:t>-0.32</w:t>
            </w:r>
          </w:p>
        </w:tc>
        <w:tc>
          <w:tcPr>
            <w:tcW w:w="323" w:type="pct"/>
            <w:tcBorders>
              <w:top w:val="nil"/>
              <w:left w:val="nil"/>
              <w:bottom w:val="single" w:sz="4" w:space="0" w:color="auto"/>
              <w:right w:val="nil"/>
            </w:tcBorders>
            <w:shd w:val="clear" w:color="auto" w:fill="auto"/>
            <w:noWrap/>
            <w:vAlign w:val="center"/>
            <w:hideMark/>
          </w:tcPr>
          <w:p w14:paraId="0C3F7C74"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single" w:sz="4" w:space="0" w:color="auto"/>
              <w:right w:val="nil"/>
            </w:tcBorders>
            <w:shd w:val="clear" w:color="auto" w:fill="auto"/>
            <w:noWrap/>
            <w:vAlign w:val="center"/>
            <w:hideMark/>
          </w:tcPr>
          <w:p w14:paraId="0C3F7C75"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single" w:sz="4" w:space="0" w:color="auto"/>
              <w:right w:val="nil"/>
            </w:tcBorders>
            <w:shd w:val="clear" w:color="auto" w:fill="auto"/>
            <w:noWrap/>
            <w:vAlign w:val="center"/>
            <w:hideMark/>
          </w:tcPr>
          <w:p w14:paraId="0C3F7C76"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single" w:sz="4" w:space="0" w:color="auto"/>
              <w:right w:val="nil"/>
            </w:tcBorders>
            <w:shd w:val="clear" w:color="auto" w:fill="auto"/>
            <w:noWrap/>
            <w:vAlign w:val="center"/>
            <w:hideMark/>
          </w:tcPr>
          <w:p w14:paraId="0C3F7C77" w14:textId="77777777" w:rsidR="00E838DF" w:rsidRPr="002E2F6B" w:rsidRDefault="00E838DF" w:rsidP="00110A7F">
            <w:pPr>
              <w:spacing w:before="0" w:after="0"/>
              <w:rPr>
                <w:sz w:val="16"/>
                <w:szCs w:val="16"/>
              </w:rPr>
            </w:pPr>
            <w:r w:rsidRPr="002E2F6B">
              <w:rPr>
                <w:sz w:val="16"/>
                <w:szCs w:val="16"/>
              </w:rPr>
              <w:t>0.31</w:t>
            </w:r>
          </w:p>
        </w:tc>
        <w:tc>
          <w:tcPr>
            <w:tcW w:w="323" w:type="pct"/>
            <w:tcBorders>
              <w:top w:val="nil"/>
              <w:left w:val="nil"/>
              <w:bottom w:val="single" w:sz="4" w:space="0" w:color="auto"/>
              <w:right w:val="nil"/>
            </w:tcBorders>
            <w:shd w:val="clear" w:color="auto" w:fill="auto"/>
            <w:noWrap/>
            <w:vAlign w:val="center"/>
            <w:hideMark/>
          </w:tcPr>
          <w:p w14:paraId="0C3F7C78" w14:textId="77777777" w:rsidR="00E838DF" w:rsidRPr="002E2F6B" w:rsidRDefault="00E838DF" w:rsidP="00110A7F">
            <w:pPr>
              <w:spacing w:before="0" w:after="0"/>
              <w:rPr>
                <w:sz w:val="16"/>
                <w:szCs w:val="16"/>
              </w:rPr>
            </w:pPr>
            <w:r w:rsidRPr="002E2F6B">
              <w:rPr>
                <w:sz w:val="16"/>
                <w:szCs w:val="16"/>
              </w:rPr>
              <w:t>0.56</w:t>
            </w:r>
          </w:p>
        </w:tc>
        <w:tc>
          <w:tcPr>
            <w:tcW w:w="323" w:type="pct"/>
            <w:tcBorders>
              <w:top w:val="nil"/>
              <w:left w:val="nil"/>
              <w:bottom w:val="single" w:sz="4" w:space="0" w:color="auto"/>
              <w:right w:val="nil"/>
            </w:tcBorders>
            <w:shd w:val="clear" w:color="auto" w:fill="auto"/>
            <w:noWrap/>
            <w:vAlign w:val="center"/>
            <w:hideMark/>
          </w:tcPr>
          <w:p w14:paraId="0C3F7C79" w14:textId="77777777" w:rsidR="00E838DF" w:rsidRPr="002E2F6B" w:rsidRDefault="00E838DF" w:rsidP="00110A7F">
            <w:pPr>
              <w:spacing w:before="0" w:after="0"/>
              <w:rPr>
                <w:sz w:val="16"/>
                <w:szCs w:val="16"/>
              </w:rPr>
            </w:pPr>
            <w:r w:rsidRPr="002E2F6B">
              <w:rPr>
                <w:sz w:val="16"/>
                <w:szCs w:val="16"/>
              </w:rPr>
              <w:t>0.41</w:t>
            </w:r>
          </w:p>
        </w:tc>
        <w:tc>
          <w:tcPr>
            <w:tcW w:w="323" w:type="pct"/>
            <w:tcBorders>
              <w:top w:val="nil"/>
              <w:left w:val="nil"/>
              <w:bottom w:val="single" w:sz="4" w:space="0" w:color="auto"/>
              <w:right w:val="nil"/>
            </w:tcBorders>
            <w:shd w:val="clear" w:color="auto" w:fill="auto"/>
            <w:noWrap/>
            <w:vAlign w:val="center"/>
            <w:hideMark/>
          </w:tcPr>
          <w:p w14:paraId="0C3F7C7A" w14:textId="77777777" w:rsidR="00E838DF" w:rsidRPr="002E2F6B" w:rsidRDefault="00E838DF" w:rsidP="00110A7F">
            <w:pPr>
              <w:spacing w:before="0" w:after="0"/>
              <w:rPr>
                <w:sz w:val="16"/>
                <w:szCs w:val="16"/>
              </w:rPr>
            </w:pPr>
            <w:r w:rsidRPr="002E2F6B">
              <w:rPr>
                <w:sz w:val="16"/>
                <w:szCs w:val="16"/>
              </w:rPr>
              <w:t>0.47</w:t>
            </w:r>
          </w:p>
        </w:tc>
        <w:tc>
          <w:tcPr>
            <w:tcW w:w="323" w:type="pct"/>
            <w:tcBorders>
              <w:top w:val="nil"/>
              <w:left w:val="nil"/>
              <w:bottom w:val="single" w:sz="4" w:space="0" w:color="auto"/>
              <w:right w:val="nil"/>
            </w:tcBorders>
            <w:shd w:val="clear" w:color="auto" w:fill="auto"/>
            <w:noWrap/>
            <w:vAlign w:val="center"/>
            <w:hideMark/>
          </w:tcPr>
          <w:p w14:paraId="0C3F7C7B" w14:textId="77777777" w:rsidR="00E838DF" w:rsidRPr="002E2F6B" w:rsidRDefault="00E838DF" w:rsidP="00110A7F">
            <w:pPr>
              <w:spacing w:before="0" w:after="0"/>
              <w:rPr>
                <w:sz w:val="16"/>
                <w:szCs w:val="16"/>
              </w:rPr>
            </w:pPr>
            <w:r w:rsidRPr="002E2F6B">
              <w:rPr>
                <w:sz w:val="16"/>
                <w:szCs w:val="16"/>
              </w:rPr>
              <w:t>0.55</w:t>
            </w:r>
          </w:p>
        </w:tc>
        <w:tc>
          <w:tcPr>
            <w:tcW w:w="323" w:type="pct"/>
            <w:tcBorders>
              <w:top w:val="nil"/>
              <w:left w:val="nil"/>
              <w:bottom w:val="single" w:sz="4" w:space="0" w:color="auto"/>
              <w:right w:val="nil"/>
            </w:tcBorders>
            <w:shd w:val="clear" w:color="auto" w:fill="auto"/>
            <w:noWrap/>
            <w:vAlign w:val="center"/>
            <w:hideMark/>
          </w:tcPr>
          <w:p w14:paraId="0C3F7C7C" w14:textId="77777777" w:rsidR="00E838DF" w:rsidRPr="002E2F6B" w:rsidRDefault="00E838DF" w:rsidP="00110A7F">
            <w:pPr>
              <w:spacing w:before="0" w:after="0"/>
              <w:rPr>
                <w:sz w:val="16"/>
                <w:szCs w:val="16"/>
              </w:rPr>
            </w:pPr>
            <w:r w:rsidRPr="002E2F6B">
              <w:rPr>
                <w:sz w:val="16"/>
                <w:szCs w:val="16"/>
              </w:rPr>
              <w:t>-0.20</w:t>
            </w:r>
          </w:p>
        </w:tc>
        <w:tc>
          <w:tcPr>
            <w:tcW w:w="323" w:type="pct"/>
            <w:tcBorders>
              <w:top w:val="nil"/>
              <w:left w:val="nil"/>
              <w:bottom w:val="single" w:sz="4" w:space="0" w:color="auto"/>
              <w:right w:val="nil"/>
            </w:tcBorders>
            <w:shd w:val="clear" w:color="auto" w:fill="auto"/>
            <w:noWrap/>
            <w:vAlign w:val="center"/>
            <w:hideMark/>
          </w:tcPr>
          <w:p w14:paraId="0C3F7C7D" w14:textId="77777777" w:rsidR="00E838DF" w:rsidRPr="002E2F6B" w:rsidRDefault="00E838DF" w:rsidP="00110A7F">
            <w:pPr>
              <w:spacing w:before="0" w:after="0"/>
              <w:rPr>
                <w:sz w:val="16"/>
                <w:szCs w:val="16"/>
              </w:rPr>
            </w:pPr>
            <w:r w:rsidRPr="002E2F6B">
              <w:rPr>
                <w:sz w:val="16"/>
                <w:szCs w:val="16"/>
              </w:rPr>
              <w:t>0.18</w:t>
            </w:r>
          </w:p>
        </w:tc>
        <w:tc>
          <w:tcPr>
            <w:tcW w:w="320" w:type="pct"/>
            <w:tcBorders>
              <w:top w:val="nil"/>
              <w:left w:val="nil"/>
              <w:bottom w:val="single" w:sz="4" w:space="0" w:color="auto"/>
              <w:right w:val="nil"/>
            </w:tcBorders>
            <w:shd w:val="clear" w:color="auto" w:fill="auto"/>
            <w:noWrap/>
            <w:vAlign w:val="center"/>
            <w:hideMark/>
          </w:tcPr>
          <w:p w14:paraId="0C3F7C7E" w14:textId="77777777" w:rsidR="00E838DF" w:rsidRPr="002E2F6B" w:rsidRDefault="00E838DF" w:rsidP="00110A7F">
            <w:pPr>
              <w:spacing w:before="0" w:after="0"/>
              <w:rPr>
                <w:sz w:val="16"/>
                <w:szCs w:val="16"/>
              </w:rPr>
            </w:pPr>
            <w:r w:rsidRPr="002E2F6B">
              <w:rPr>
                <w:sz w:val="16"/>
                <w:szCs w:val="16"/>
              </w:rPr>
              <w:t>1</w:t>
            </w:r>
          </w:p>
        </w:tc>
      </w:tr>
      <w:tr w:rsidR="00E838DF" w:rsidRPr="002E2F6B" w14:paraId="0C3F7C81" w14:textId="77777777" w:rsidTr="00E838DF">
        <w:trPr>
          <w:trHeight w:val="20"/>
        </w:trPr>
        <w:tc>
          <w:tcPr>
            <w:tcW w:w="5000" w:type="pct"/>
            <w:gridSpan w:val="15"/>
            <w:tcBorders>
              <w:top w:val="single" w:sz="4" w:space="0" w:color="auto"/>
              <w:left w:val="nil"/>
              <w:bottom w:val="single" w:sz="4" w:space="0" w:color="auto"/>
              <w:right w:val="nil"/>
            </w:tcBorders>
            <w:shd w:val="clear" w:color="auto" w:fill="D9D9D9" w:themeFill="background1" w:themeFillShade="D9"/>
            <w:noWrap/>
            <w:vAlign w:val="center"/>
          </w:tcPr>
          <w:p w14:paraId="0C3F7C80" w14:textId="77777777" w:rsidR="00E838DF" w:rsidRPr="002E2F6B" w:rsidRDefault="00E838DF" w:rsidP="00110A7F">
            <w:pPr>
              <w:spacing w:before="0" w:after="0"/>
              <w:rPr>
                <w:sz w:val="16"/>
                <w:szCs w:val="16"/>
              </w:rPr>
            </w:pPr>
            <w:r w:rsidRPr="002E2F6B">
              <w:rPr>
                <w:sz w:val="16"/>
                <w:szCs w:val="16"/>
              </w:rPr>
              <w:t>Burdekin</w:t>
            </w:r>
          </w:p>
        </w:tc>
      </w:tr>
      <w:tr w:rsidR="00E838DF" w:rsidRPr="002E2F6B" w14:paraId="0C3F7C91" w14:textId="77777777" w:rsidTr="00E838DF">
        <w:trPr>
          <w:trHeight w:val="20"/>
        </w:trPr>
        <w:tc>
          <w:tcPr>
            <w:tcW w:w="400" w:type="pct"/>
            <w:tcBorders>
              <w:top w:val="single" w:sz="4" w:space="0" w:color="auto"/>
              <w:left w:val="nil"/>
              <w:bottom w:val="single" w:sz="4" w:space="0" w:color="auto"/>
              <w:right w:val="nil"/>
            </w:tcBorders>
            <w:shd w:val="clear" w:color="auto" w:fill="auto"/>
            <w:noWrap/>
            <w:vAlign w:val="center"/>
            <w:hideMark/>
          </w:tcPr>
          <w:p w14:paraId="0C3F7C82" w14:textId="77777777" w:rsidR="00E838DF" w:rsidRPr="002E2F6B" w:rsidRDefault="00E838DF" w:rsidP="00110A7F">
            <w:pPr>
              <w:spacing w:before="0" w:after="0"/>
              <w:rPr>
                <w:bCs/>
                <w:sz w:val="16"/>
                <w:szCs w:val="16"/>
              </w:rPr>
            </w:pPr>
            <w:r w:rsidRPr="002E2F6B">
              <w:rPr>
                <w:bCs/>
                <w:sz w:val="16"/>
                <w:szCs w:val="16"/>
              </w:rPr>
              <w:t> </w:t>
            </w:r>
          </w:p>
        </w:tc>
        <w:tc>
          <w:tcPr>
            <w:tcW w:w="323" w:type="pct"/>
            <w:tcBorders>
              <w:top w:val="single" w:sz="4" w:space="0" w:color="auto"/>
              <w:left w:val="nil"/>
              <w:bottom w:val="single" w:sz="4" w:space="0" w:color="auto"/>
              <w:right w:val="nil"/>
            </w:tcBorders>
            <w:shd w:val="clear" w:color="auto" w:fill="auto"/>
            <w:noWrap/>
            <w:vAlign w:val="center"/>
            <w:hideMark/>
          </w:tcPr>
          <w:p w14:paraId="0C3F7C83" w14:textId="77777777" w:rsidR="00E838DF" w:rsidRPr="002E2F6B" w:rsidRDefault="00E838DF" w:rsidP="00110A7F">
            <w:pPr>
              <w:spacing w:before="0" w:after="0"/>
              <w:rPr>
                <w:sz w:val="16"/>
                <w:szCs w:val="16"/>
              </w:rPr>
            </w:pPr>
            <w:r w:rsidRPr="002E2F6B">
              <w:rPr>
                <w:sz w:val="16"/>
                <w:szCs w:val="16"/>
              </w:rPr>
              <w:t>Sal.</w:t>
            </w:r>
          </w:p>
        </w:tc>
        <w:tc>
          <w:tcPr>
            <w:tcW w:w="400" w:type="pct"/>
            <w:tcBorders>
              <w:top w:val="single" w:sz="4" w:space="0" w:color="auto"/>
              <w:left w:val="nil"/>
              <w:bottom w:val="single" w:sz="4" w:space="0" w:color="auto"/>
              <w:right w:val="nil"/>
            </w:tcBorders>
            <w:shd w:val="clear" w:color="auto" w:fill="auto"/>
            <w:noWrap/>
            <w:vAlign w:val="center"/>
            <w:hideMark/>
          </w:tcPr>
          <w:p w14:paraId="0C3F7C84" w14:textId="77777777" w:rsidR="00E838DF" w:rsidRPr="002E2F6B" w:rsidRDefault="00E838DF" w:rsidP="00110A7F">
            <w:pPr>
              <w:spacing w:before="0" w:after="0"/>
              <w:rPr>
                <w:sz w:val="16"/>
                <w:szCs w:val="16"/>
              </w:rPr>
            </w:pPr>
            <w:r w:rsidRPr="002E2F6B">
              <w:rPr>
                <w:sz w:val="16"/>
                <w:szCs w:val="16"/>
              </w:rPr>
              <w:t>Disch.</w:t>
            </w:r>
          </w:p>
        </w:tc>
        <w:tc>
          <w:tcPr>
            <w:tcW w:w="328" w:type="pct"/>
            <w:tcBorders>
              <w:top w:val="single" w:sz="4" w:space="0" w:color="auto"/>
              <w:left w:val="nil"/>
              <w:bottom w:val="single" w:sz="4" w:space="0" w:color="auto"/>
              <w:right w:val="nil"/>
            </w:tcBorders>
            <w:shd w:val="clear" w:color="auto" w:fill="auto"/>
            <w:noWrap/>
            <w:vAlign w:val="center"/>
            <w:hideMark/>
          </w:tcPr>
          <w:p w14:paraId="0C3F7C85" w14:textId="77777777" w:rsidR="00E838DF" w:rsidRPr="002E2F6B" w:rsidRDefault="00E838DF" w:rsidP="00110A7F">
            <w:pPr>
              <w:spacing w:before="0" w:after="0"/>
              <w:rPr>
                <w:sz w:val="16"/>
                <w:szCs w:val="16"/>
              </w:rPr>
            </w:pPr>
            <w:r w:rsidRPr="002E2F6B">
              <w:rPr>
                <w:sz w:val="16"/>
                <w:szCs w:val="16"/>
              </w:rPr>
              <w:t>Dist.</w:t>
            </w:r>
          </w:p>
        </w:tc>
        <w:tc>
          <w:tcPr>
            <w:tcW w:w="323" w:type="pct"/>
            <w:tcBorders>
              <w:top w:val="single" w:sz="4" w:space="0" w:color="auto"/>
              <w:left w:val="nil"/>
              <w:bottom w:val="single" w:sz="4" w:space="0" w:color="auto"/>
              <w:right w:val="nil"/>
            </w:tcBorders>
            <w:shd w:val="clear" w:color="auto" w:fill="auto"/>
            <w:noWrap/>
            <w:vAlign w:val="center"/>
            <w:hideMark/>
          </w:tcPr>
          <w:p w14:paraId="0C3F7C86" w14:textId="77777777" w:rsidR="00E838DF" w:rsidRPr="002E2F6B" w:rsidRDefault="00E838DF" w:rsidP="00110A7F">
            <w:pPr>
              <w:spacing w:before="0" w:after="0"/>
              <w:rPr>
                <w:sz w:val="16"/>
                <w:szCs w:val="16"/>
              </w:rPr>
            </w:pPr>
            <w:r w:rsidRPr="002E2F6B">
              <w:rPr>
                <w:sz w:val="16"/>
                <w:szCs w:val="16"/>
              </w:rPr>
              <w:t>TSS</w:t>
            </w:r>
          </w:p>
        </w:tc>
        <w:tc>
          <w:tcPr>
            <w:tcW w:w="323" w:type="pct"/>
            <w:tcBorders>
              <w:top w:val="single" w:sz="4" w:space="0" w:color="auto"/>
              <w:left w:val="nil"/>
              <w:bottom w:val="single" w:sz="4" w:space="0" w:color="auto"/>
              <w:right w:val="nil"/>
            </w:tcBorders>
            <w:shd w:val="clear" w:color="auto" w:fill="auto"/>
            <w:noWrap/>
            <w:vAlign w:val="center"/>
            <w:hideMark/>
          </w:tcPr>
          <w:p w14:paraId="0C3F7C87" w14:textId="77777777" w:rsidR="00E838DF" w:rsidRPr="002E2F6B" w:rsidRDefault="00E838DF" w:rsidP="00110A7F">
            <w:pPr>
              <w:spacing w:before="0" w:after="0"/>
              <w:rPr>
                <w:sz w:val="16"/>
                <w:szCs w:val="16"/>
              </w:rPr>
            </w:pPr>
            <w:r w:rsidRPr="002E2F6B">
              <w:rPr>
                <w:sz w:val="16"/>
                <w:szCs w:val="16"/>
              </w:rPr>
              <w:t>chl-a</w:t>
            </w:r>
          </w:p>
        </w:tc>
        <w:tc>
          <w:tcPr>
            <w:tcW w:w="323" w:type="pct"/>
            <w:tcBorders>
              <w:top w:val="single" w:sz="4" w:space="0" w:color="auto"/>
              <w:left w:val="nil"/>
              <w:bottom w:val="single" w:sz="4" w:space="0" w:color="auto"/>
              <w:right w:val="nil"/>
            </w:tcBorders>
            <w:shd w:val="clear" w:color="auto" w:fill="auto"/>
            <w:noWrap/>
            <w:vAlign w:val="center"/>
            <w:hideMark/>
          </w:tcPr>
          <w:p w14:paraId="0C3F7C88" w14:textId="77777777" w:rsidR="00E838DF" w:rsidRPr="002E2F6B" w:rsidRDefault="00E838DF" w:rsidP="00110A7F">
            <w:pPr>
              <w:spacing w:before="0" w:after="0"/>
              <w:rPr>
                <w:sz w:val="16"/>
                <w:szCs w:val="16"/>
              </w:rPr>
            </w:pPr>
            <w:r w:rsidRPr="002E2F6B">
              <w:rPr>
                <w:sz w:val="16"/>
                <w:szCs w:val="16"/>
              </w:rPr>
              <w:t>TN</w:t>
            </w:r>
          </w:p>
        </w:tc>
        <w:tc>
          <w:tcPr>
            <w:tcW w:w="323" w:type="pct"/>
            <w:tcBorders>
              <w:top w:val="single" w:sz="4" w:space="0" w:color="auto"/>
              <w:left w:val="nil"/>
              <w:bottom w:val="single" w:sz="4" w:space="0" w:color="auto"/>
              <w:right w:val="nil"/>
            </w:tcBorders>
            <w:shd w:val="clear" w:color="auto" w:fill="auto"/>
            <w:noWrap/>
            <w:vAlign w:val="center"/>
            <w:hideMark/>
          </w:tcPr>
          <w:p w14:paraId="0C3F7C89" w14:textId="77777777" w:rsidR="00E838DF" w:rsidRPr="002E2F6B" w:rsidRDefault="00E838DF" w:rsidP="00110A7F">
            <w:pPr>
              <w:spacing w:before="0" w:after="0"/>
              <w:rPr>
                <w:sz w:val="16"/>
                <w:szCs w:val="16"/>
              </w:rPr>
            </w:pPr>
            <w:r w:rsidRPr="002E2F6B">
              <w:rPr>
                <w:sz w:val="16"/>
                <w:szCs w:val="16"/>
              </w:rPr>
              <w:t>TDN</w:t>
            </w:r>
          </w:p>
        </w:tc>
        <w:tc>
          <w:tcPr>
            <w:tcW w:w="323" w:type="pct"/>
            <w:tcBorders>
              <w:top w:val="single" w:sz="4" w:space="0" w:color="auto"/>
              <w:left w:val="nil"/>
              <w:bottom w:val="single" w:sz="4" w:space="0" w:color="auto"/>
              <w:right w:val="nil"/>
            </w:tcBorders>
            <w:shd w:val="clear" w:color="auto" w:fill="auto"/>
            <w:noWrap/>
            <w:vAlign w:val="center"/>
            <w:hideMark/>
          </w:tcPr>
          <w:p w14:paraId="0C3F7C8A" w14:textId="77777777" w:rsidR="00E838DF" w:rsidRPr="002E2F6B" w:rsidRDefault="00E838DF" w:rsidP="00110A7F">
            <w:pPr>
              <w:spacing w:before="0" w:after="0"/>
              <w:rPr>
                <w:sz w:val="16"/>
                <w:szCs w:val="16"/>
              </w:rPr>
            </w:pPr>
            <w:r w:rsidRPr="002E2F6B">
              <w:rPr>
                <w:sz w:val="16"/>
                <w:szCs w:val="16"/>
              </w:rPr>
              <w:t>DIN</w:t>
            </w:r>
          </w:p>
        </w:tc>
        <w:tc>
          <w:tcPr>
            <w:tcW w:w="323" w:type="pct"/>
            <w:tcBorders>
              <w:top w:val="single" w:sz="4" w:space="0" w:color="auto"/>
              <w:left w:val="nil"/>
              <w:bottom w:val="single" w:sz="4" w:space="0" w:color="auto"/>
              <w:right w:val="nil"/>
            </w:tcBorders>
            <w:shd w:val="clear" w:color="auto" w:fill="auto"/>
            <w:noWrap/>
            <w:vAlign w:val="center"/>
            <w:hideMark/>
          </w:tcPr>
          <w:p w14:paraId="0C3F7C8B" w14:textId="77777777" w:rsidR="00E838DF" w:rsidRPr="002E2F6B" w:rsidRDefault="00E838DF" w:rsidP="00110A7F">
            <w:pPr>
              <w:spacing w:before="0" w:after="0"/>
              <w:rPr>
                <w:sz w:val="16"/>
                <w:szCs w:val="16"/>
              </w:rPr>
            </w:pPr>
            <w:r w:rsidRPr="002E2F6B">
              <w:rPr>
                <w:sz w:val="16"/>
                <w:szCs w:val="16"/>
              </w:rPr>
              <w:t>TP</w:t>
            </w:r>
          </w:p>
        </w:tc>
        <w:tc>
          <w:tcPr>
            <w:tcW w:w="323" w:type="pct"/>
            <w:tcBorders>
              <w:top w:val="single" w:sz="4" w:space="0" w:color="auto"/>
              <w:left w:val="nil"/>
              <w:bottom w:val="single" w:sz="4" w:space="0" w:color="auto"/>
              <w:right w:val="nil"/>
            </w:tcBorders>
            <w:shd w:val="clear" w:color="auto" w:fill="auto"/>
            <w:noWrap/>
            <w:vAlign w:val="center"/>
            <w:hideMark/>
          </w:tcPr>
          <w:p w14:paraId="0C3F7C8C" w14:textId="77777777" w:rsidR="00E838DF" w:rsidRPr="002E2F6B" w:rsidRDefault="00E838DF" w:rsidP="00110A7F">
            <w:pPr>
              <w:spacing w:before="0" w:after="0"/>
              <w:rPr>
                <w:sz w:val="16"/>
                <w:szCs w:val="16"/>
              </w:rPr>
            </w:pPr>
            <w:r w:rsidRPr="002E2F6B">
              <w:rPr>
                <w:sz w:val="16"/>
                <w:szCs w:val="16"/>
              </w:rPr>
              <w:t>TDP</w:t>
            </w:r>
          </w:p>
        </w:tc>
        <w:tc>
          <w:tcPr>
            <w:tcW w:w="323" w:type="pct"/>
            <w:tcBorders>
              <w:top w:val="single" w:sz="4" w:space="0" w:color="auto"/>
              <w:left w:val="nil"/>
              <w:bottom w:val="single" w:sz="4" w:space="0" w:color="auto"/>
              <w:right w:val="nil"/>
            </w:tcBorders>
            <w:shd w:val="clear" w:color="auto" w:fill="auto"/>
            <w:noWrap/>
            <w:vAlign w:val="center"/>
            <w:hideMark/>
          </w:tcPr>
          <w:p w14:paraId="0C3F7C8D" w14:textId="77777777" w:rsidR="00E838DF" w:rsidRPr="002E2F6B" w:rsidRDefault="00E838DF" w:rsidP="00110A7F">
            <w:pPr>
              <w:spacing w:before="0" w:after="0"/>
              <w:rPr>
                <w:sz w:val="16"/>
                <w:szCs w:val="16"/>
              </w:rPr>
            </w:pPr>
            <w:r w:rsidRPr="002E2F6B">
              <w:rPr>
                <w:sz w:val="16"/>
                <w:szCs w:val="16"/>
              </w:rPr>
              <w:t>DIP</w:t>
            </w:r>
          </w:p>
        </w:tc>
        <w:tc>
          <w:tcPr>
            <w:tcW w:w="323" w:type="pct"/>
            <w:tcBorders>
              <w:top w:val="single" w:sz="4" w:space="0" w:color="auto"/>
              <w:left w:val="nil"/>
              <w:bottom w:val="single" w:sz="4" w:space="0" w:color="auto"/>
              <w:right w:val="nil"/>
            </w:tcBorders>
            <w:shd w:val="clear" w:color="auto" w:fill="auto"/>
            <w:noWrap/>
            <w:vAlign w:val="center"/>
            <w:hideMark/>
          </w:tcPr>
          <w:p w14:paraId="0C3F7C8E" w14:textId="77777777" w:rsidR="00E838DF" w:rsidRPr="002E2F6B" w:rsidRDefault="00E838DF" w:rsidP="00110A7F">
            <w:pPr>
              <w:spacing w:before="0" w:after="0"/>
              <w:rPr>
                <w:sz w:val="16"/>
                <w:szCs w:val="16"/>
              </w:rPr>
            </w:pPr>
            <w:r w:rsidRPr="002E2F6B">
              <w:rPr>
                <w:sz w:val="16"/>
                <w:szCs w:val="16"/>
              </w:rPr>
              <w:t>PN</w:t>
            </w:r>
          </w:p>
        </w:tc>
        <w:tc>
          <w:tcPr>
            <w:tcW w:w="323" w:type="pct"/>
            <w:tcBorders>
              <w:top w:val="single" w:sz="4" w:space="0" w:color="auto"/>
              <w:left w:val="nil"/>
              <w:bottom w:val="single" w:sz="4" w:space="0" w:color="auto"/>
              <w:right w:val="nil"/>
            </w:tcBorders>
            <w:shd w:val="clear" w:color="auto" w:fill="auto"/>
            <w:noWrap/>
            <w:vAlign w:val="center"/>
            <w:hideMark/>
          </w:tcPr>
          <w:p w14:paraId="0C3F7C8F" w14:textId="77777777" w:rsidR="00E838DF" w:rsidRPr="002E2F6B" w:rsidRDefault="00E838DF" w:rsidP="00110A7F">
            <w:pPr>
              <w:spacing w:before="0" w:after="0"/>
              <w:rPr>
                <w:sz w:val="16"/>
                <w:szCs w:val="16"/>
              </w:rPr>
            </w:pPr>
            <w:r w:rsidRPr="002E2F6B">
              <w:rPr>
                <w:sz w:val="16"/>
                <w:szCs w:val="16"/>
              </w:rPr>
              <w:t>PP</w:t>
            </w:r>
          </w:p>
        </w:tc>
        <w:tc>
          <w:tcPr>
            <w:tcW w:w="320" w:type="pct"/>
            <w:tcBorders>
              <w:top w:val="single" w:sz="4" w:space="0" w:color="auto"/>
              <w:left w:val="nil"/>
              <w:bottom w:val="single" w:sz="4" w:space="0" w:color="auto"/>
              <w:right w:val="nil"/>
            </w:tcBorders>
            <w:shd w:val="clear" w:color="auto" w:fill="auto"/>
            <w:noWrap/>
            <w:vAlign w:val="center"/>
            <w:hideMark/>
          </w:tcPr>
          <w:p w14:paraId="0C3F7C90" w14:textId="77777777" w:rsidR="00E838DF" w:rsidRPr="002E2F6B" w:rsidRDefault="00E838DF" w:rsidP="00110A7F">
            <w:pPr>
              <w:spacing w:before="0" w:after="0"/>
              <w:rPr>
                <w:sz w:val="16"/>
                <w:szCs w:val="16"/>
              </w:rPr>
            </w:pPr>
            <w:r w:rsidRPr="002E2F6B">
              <w:rPr>
                <w:sz w:val="16"/>
                <w:szCs w:val="16"/>
              </w:rPr>
              <w:t>Si</w:t>
            </w:r>
          </w:p>
        </w:tc>
      </w:tr>
      <w:tr w:rsidR="00E838DF" w:rsidRPr="002E2F6B" w14:paraId="0C3F7CA1" w14:textId="77777777" w:rsidTr="00E838DF">
        <w:trPr>
          <w:trHeight w:val="20"/>
        </w:trPr>
        <w:tc>
          <w:tcPr>
            <w:tcW w:w="400" w:type="pct"/>
            <w:tcBorders>
              <w:top w:val="nil"/>
              <w:left w:val="nil"/>
              <w:bottom w:val="nil"/>
              <w:right w:val="nil"/>
            </w:tcBorders>
            <w:shd w:val="clear" w:color="auto" w:fill="auto"/>
            <w:noWrap/>
            <w:vAlign w:val="center"/>
            <w:hideMark/>
          </w:tcPr>
          <w:p w14:paraId="0C3F7C92" w14:textId="77777777" w:rsidR="00E838DF" w:rsidRPr="002E2F6B" w:rsidRDefault="00E838DF" w:rsidP="00110A7F">
            <w:pPr>
              <w:spacing w:before="0" w:after="0"/>
              <w:rPr>
                <w:sz w:val="16"/>
                <w:szCs w:val="16"/>
              </w:rPr>
            </w:pPr>
            <w:r w:rsidRPr="002E2F6B">
              <w:rPr>
                <w:sz w:val="16"/>
                <w:szCs w:val="16"/>
              </w:rPr>
              <w:t>Sal.</w:t>
            </w:r>
          </w:p>
        </w:tc>
        <w:tc>
          <w:tcPr>
            <w:tcW w:w="323" w:type="pct"/>
            <w:tcBorders>
              <w:top w:val="nil"/>
              <w:left w:val="nil"/>
              <w:bottom w:val="nil"/>
              <w:right w:val="nil"/>
            </w:tcBorders>
            <w:shd w:val="clear" w:color="auto" w:fill="auto"/>
            <w:noWrap/>
            <w:vAlign w:val="center"/>
            <w:hideMark/>
          </w:tcPr>
          <w:p w14:paraId="0C3F7C93" w14:textId="77777777" w:rsidR="00E838DF" w:rsidRPr="002E2F6B" w:rsidRDefault="00E838DF" w:rsidP="00110A7F">
            <w:pPr>
              <w:spacing w:before="0" w:after="0"/>
              <w:rPr>
                <w:sz w:val="16"/>
                <w:szCs w:val="16"/>
              </w:rPr>
            </w:pPr>
            <w:r w:rsidRPr="002E2F6B">
              <w:rPr>
                <w:sz w:val="16"/>
                <w:szCs w:val="16"/>
              </w:rPr>
              <w:t>1</w:t>
            </w:r>
          </w:p>
        </w:tc>
        <w:tc>
          <w:tcPr>
            <w:tcW w:w="400" w:type="pct"/>
            <w:tcBorders>
              <w:top w:val="nil"/>
              <w:left w:val="nil"/>
              <w:bottom w:val="nil"/>
              <w:right w:val="nil"/>
            </w:tcBorders>
            <w:shd w:val="clear" w:color="auto" w:fill="auto"/>
            <w:noWrap/>
            <w:vAlign w:val="center"/>
            <w:hideMark/>
          </w:tcPr>
          <w:p w14:paraId="0C3F7C94" w14:textId="77777777" w:rsidR="00E838DF" w:rsidRPr="002E2F6B" w:rsidRDefault="00E838DF" w:rsidP="00110A7F">
            <w:pPr>
              <w:spacing w:before="0" w:after="0"/>
              <w:rPr>
                <w:sz w:val="16"/>
                <w:szCs w:val="16"/>
              </w:rPr>
            </w:pPr>
            <w:r w:rsidRPr="002E2F6B">
              <w:rPr>
                <w:sz w:val="16"/>
                <w:szCs w:val="16"/>
              </w:rPr>
              <w:t>0.19</w:t>
            </w:r>
          </w:p>
        </w:tc>
        <w:tc>
          <w:tcPr>
            <w:tcW w:w="328" w:type="pct"/>
            <w:tcBorders>
              <w:top w:val="nil"/>
              <w:left w:val="nil"/>
              <w:bottom w:val="nil"/>
              <w:right w:val="nil"/>
            </w:tcBorders>
            <w:shd w:val="clear" w:color="auto" w:fill="auto"/>
            <w:noWrap/>
            <w:vAlign w:val="center"/>
            <w:hideMark/>
          </w:tcPr>
          <w:p w14:paraId="0C3F7C95"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C96"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97"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98"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C99"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C9A"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C9B" w14:textId="77777777" w:rsidR="00E838DF" w:rsidRPr="002E2F6B" w:rsidRDefault="00E838DF" w:rsidP="00110A7F">
            <w:pPr>
              <w:spacing w:before="0" w:after="0"/>
              <w:rPr>
                <w:sz w:val="16"/>
                <w:szCs w:val="16"/>
              </w:rPr>
            </w:pPr>
            <w:r w:rsidRPr="002E2F6B">
              <w:rPr>
                <w:sz w:val="16"/>
                <w:szCs w:val="16"/>
              </w:rPr>
              <w:t>-0.39</w:t>
            </w:r>
          </w:p>
        </w:tc>
        <w:tc>
          <w:tcPr>
            <w:tcW w:w="323" w:type="pct"/>
            <w:tcBorders>
              <w:top w:val="nil"/>
              <w:left w:val="nil"/>
              <w:bottom w:val="nil"/>
              <w:right w:val="nil"/>
            </w:tcBorders>
            <w:shd w:val="clear" w:color="auto" w:fill="auto"/>
            <w:noWrap/>
            <w:vAlign w:val="center"/>
            <w:hideMark/>
          </w:tcPr>
          <w:p w14:paraId="0C3F7C9C"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C9D"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C9E" w14:textId="77777777" w:rsidR="00E838DF" w:rsidRPr="002E2F6B" w:rsidRDefault="00E838DF" w:rsidP="00110A7F">
            <w:pPr>
              <w:spacing w:before="0" w:after="0"/>
              <w:rPr>
                <w:sz w:val="16"/>
                <w:szCs w:val="16"/>
              </w:rPr>
            </w:pPr>
            <w:r w:rsidRPr="002E2F6B">
              <w:rPr>
                <w:sz w:val="16"/>
                <w:szCs w:val="16"/>
              </w:rPr>
              <w:t>0.28</w:t>
            </w:r>
          </w:p>
        </w:tc>
        <w:tc>
          <w:tcPr>
            <w:tcW w:w="323" w:type="pct"/>
            <w:tcBorders>
              <w:top w:val="nil"/>
              <w:left w:val="nil"/>
              <w:bottom w:val="nil"/>
              <w:right w:val="nil"/>
            </w:tcBorders>
            <w:shd w:val="clear" w:color="auto" w:fill="auto"/>
            <w:noWrap/>
            <w:vAlign w:val="center"/>
            <w:hideMark/>
          </w:tcPr>
          <w:p w14:paraId="0C3F7C9F" w14:textId="77777777" w:rsidR="00E838DF" w:rsidRPr="002E2F6B" w:rsidRDefault="00E838DF" w:rsidP="00110A7F">
            <w:pPr>
              <w:spacing w:before="0" w:after="0"/>
              <w:rPr>
                <w:sz w:val="16"/>
                <w:szCs w:val="16"/>
              </w:rPr>
            </w:pPr>
            <w:r w:rsidRPr="002E2F6B">
              <w:rPr>
                <w:sz w:val="16"/>
                <w:szCs w:val="16"/>
              </w:rPr>
              <w:t>-0.08</w:t>
            </w:r>
          </w:p>
        </w:tc>
        <w:tc>
          <w:tcPr>
            <w:tcW w:w="320" w:type="pct"/>
            <w:tcBorders>
              <w:top w:val="nil"/>
              <w:left w:val="nil"/>
              <w:bottom w:val="nil"/>
              <w:right w:val="nil"/>
            </w:tcBorders>
            <w:shd w:val="clear" w:color="auto" w:fill="auto"/>
            <w:noWrap/>
            <w:vAlign w:val="center"/>
            <w:hideMark/>
          </w:tcPr>
          <w:p w14:paraId="0C3F7CA0" w14:textId="77777777" w:rsidR="00E838DF" w:rsidRPr="002E2F6B" w:rsidRDefault="00E838DF" w:rsidP="00110A7F">
            <w:pPr>
              <w:spacing w:before="0" w:after="0"/>
              <w:rPr>
                <w:sz w:val="16"/>
                <w:szCs w:val="16"/>
              </w:rPr>
            </w:pPr>
            <w:r w:rsidRPr="002E2F6B">
              <w:rPr>
                <w:sz w:val="16"/>
                <w:szCs w:val="16"/>
              </w:rPr>
              <w:t>-0.07</w:t>
            </w:r>
          </w:p>
        </w:tc>
      </w:tr>
      <w:tr w:rsidR="00E838DF" w:rsidRPr="002E2F6B" w14:paraId="0C3F7CB1" w14:textId="77777777" w:rsidTr="00E838DF">
        <w:trPr>
          <w:trHeight w:val="20"/>
        </w:trPr>
        <w:tc>
          <w:tcPr>
            <w:tcW w:w="400" w:type="pct"/>
            <w:tcBorders>
              <w:top w:val="nil"/>
              <w:left w:val="nil"/>
              <w:bottom w:val="nil"/>
              <w:right w:val="nil"/>
            </w:tcBorders>
            <w:shd w:val="clear" w:color="auto" w:fill="auto"/>
            <w:noWrap/>
            <w:vAlign w:val="center"/>
            <w:hideMark/>
          </w:tcPr>
          <w:p w14:paraId="0C3F7CA2" w14:textId="77777777" w:rsidR="00E838DF" w:rsidRPr="002E2F6B" w:rsidRDefault="00E838DF" w:rsidP="00110A7F">
            <w:pPr>
              <w:spacing w:before="0" w:after="0"/>
              <w:rPr>
                <w:sz w:val="16"/>
                <w:szCs w:val="16"/>
              </w:rPr>
            </w:pPr>
            <w:r w:rsidRPr="002E2F6B">
              <w:rPr>
                <w:sz w:val="16"/>
                <w:szCs w:val="16"/>
              </w:rPr>
              <w:t>Disch.</w:t>
            </w:r>
          </w:p>
        </w:tc>
        <w:tc>
          <w:tcPr>
            <w:tcW w:w="323" w:type="pct"/>
            <w:tcBorders>
              <w:top w:val="nil"/>
              <w:left w:val="nil"/>
              <w:bottom w:val="nil"/>
              <w:right w:val="nil"/>
            </w:tcBorders>
            <w:shd w:val="clear" w:color="auto" w:fill="auto"/>
            <w:noWrap/>
            <w:vAlign w:val="center"/>
            <w:hideMark/>
          </w:tcPr>
          <w:p w14:paraId="0C3F7CA3" w14:textId="77777777" w:rsidR="00E838DF" w:rsidRPr="002E2F6B" w:rsidRDefault="00E838DF" w:rsidP="00110A7F">
            <w:pPr>
              <w:spacing w:before="0" w:after="0"/>
              <w:rPr>
                <w:sz w:val="16"/>
                <w:szCs w:val="16"/>
              </w:rPr>
            </w:pPr>
            <w:r w:rsidRPr="002E2F6B">
              <w:rPr>
                <w:sz w:val="16"/>
                <w:szCs w:val="16"/>
              </w:rPr>
              <w:t>0.19</w:t>
            </w:r>
          </w:p>
        </w:tc>
        <w:tc>
          <w:tcPr>
            <w:tcW w:w="400" w:type="pct"/>
            <w:tcBorders>
              <w:top w:val="nil"/>
              <w:left w:val="nil"/>
              <w:bottom w:val="nil"/>
              <w:right w:val="nil"/>
            </w:tcBorders>
            <w:shd w:val="clear" w:color="auto" w:fill="auto"/>
            <w:noWrap/>
            <w:vAlign w:val="center"/>
            <w:hideMark/>
          </w:tcPr>
          <w:p w14:paraId="0C3F7CA4" w14:textId="77777777" w:rsidR="00E838DF" w:rsidRPr="002E2F6B" w:rsidRDefault="00E838DF" w:rsidP="00110A7F">
            <w:pPr>
              <w:spacing w:before="0" w:after="0"/>
              <w:rPr>
                <w:sz w:val="16"/>
                <w:szCs w:val="16"/>
              </w:rPr>
            </w:pPr>
            <w:r w:rsidRPr="002E2F6B">
              <w:rPr>
                <w:sz w:val="16"/>
                <w:szCs w:val="16"/>
              </w:rPr>
              <w:t>1</w:t>
            </w:r>
          </w:p>
        </w:tc>
        <w:tc>
          <w:tcPr>
            <w:tcW w:w="328" w:type="pct"/>
            <w:tcBorders>
              <w:top w:val="nil"/>
              <w:left w:val="nil"/>
              <w:bottom w:val="nil"/>
              <w:right w:val="nil"/>
            </w:tcBorders>
            <w:shd w:val="clear" w:color="auto" w:fill="auto"/>
            <w:noWrap/>
            <w:vAlign w:val="center"/>
            <w:hideMark/>
          </w:tcPr>
          <w:p w14:paraId="0C3F7CA5" w14:textId="77777777" w:rsidR="00E838DF" w:rsidRPr="002E2F6B" w:rsidRDefault="00E838DF" w:rsidP="00110A7F">
            <w:pPr>
              <w:spacing w:before="0" w:after="0"/>
              <w:rPr>
                <w:sz w:val="16"/>
                <w:szCs w:val="16"/>
              </w:rPr>
            </w:pPr>
            <w:r w:rsidRPr="002E2F6B">
              <w:rPr>
                <w:sz w:val="16"/>
                <w:szCs w:val="16"/>
              </w:rPr>
              <w:t>0.60</w:t>
            </w:r>
          </w:p>
        </w:tc>
        <w:tc>
          <w:tcPr>
            <w:tcW w:w="323" w:type="pct"/>
            <w:tcBorders>
              <w:top w:val="nil"/>
              <w:left w:val="nil"/>
              <w:bottom w:val="nil"/>
              <w:right w:val="nil"/>
            </w:tcBorders>
            <w:shd w:val="clear" w:color="auto" w:fill="auto"/>
            <w:noWrap/>
            <w:vAlign w:val="center"/>
            <w:hideMark/>
          </w:tcPr>
          <w:p w14:paraId="0C3F7CA6" w14:textId="77777777" w:rsidR="00E838DF" w:rsidRPr="002E2F6B" w:rsidRDefault="00E838DF" w:rsidP="00110A7F">
            <w:pPr>
              <w:spacing w:before="0" w:after="0"/>
              <w:rPr>
                <w:sz w:val="16"/>
                <w:szCs w:val="16"/>
              </w:rPr>
            </w:pPr>
            <w:r w:rsidRPr="002E2F6B">
              <w:rPr>
                <w:sz w:val="16"/>
                <w:szCs w:val="16"/>
              </w:rPr>
              <w:t>0.24</w:t>
            </w:r>
          </w:p>
        </w:tc>
        <w:tc>
          <w:tcPr>
            <w:tcW w:w="323" w:type="pct"/>
            <w:tcBorders>
              <w:top w:val="nil"/>
              <w:left w:val="nil"/>
              <w:bottom w:val="nil"/>
              <w:right w:val="nil"/>
            </w:tcBorders>
            <w:shd w:val="clear" w:color="auto" w:fill="auto"/>
            <w:noWrap/>
            <w:vAlign w:val="center"/>
            <w:hideMark/>
          </w:tcPr>
          <w:p w14:paraId="0C3F7CA7" w14:textId="77777777" w:rsidR="00E838DF" w:rsidRPr="002E2F6B" w:rsidRDefault="00E838DF" w:rsidP="00110A7F">
            <w:pPr>
              <w:spacing w:before="0" w:after="0"/>
              <w:rPr>
                <w:sz w:val="16"/>
                <w:szCs w:val="16"/>
              </w:rPr>
            </w:pPr>
            <w:r w:rsidRPr="002E2F6B">
              <w:rPr>
                <w:sz w:val="16"/>
                <w:szCs w:val="16"/>
              </w:rPr>
              <w:t>0.33</w:t>
            </w:r>
          </w:p>
        </w:tc>
        <w:tc>
          <w:tcPr>
            <w:tcW w:w="323" w:type="pct"/>
            <w:tcBorders>
              <w:top w:val="nil"/>
              <w:left w:val="nil"/>
              <w:bottom w:val="nil"/>
              <w:right w:val="nil"/>
            </w:tcBorders>
            <w:shd w:val="clear" w:color="auto" w:fill="auto"/>
            <w:noWrap/>
            <w:vAlign w:val="center"/>
            <w:hideMark/>
          </w:tcPr>
          <w:p w14:paraId="0C3F7CA8"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CA9"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CAA"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AB" w14:textId="77777777" w:rsidR="00E838DF" w:rsidRPr="002E2F6B" w:rsidRDefault="00E838DF" w:rsidP="00110A7F">
            <w:pPr>
              <w:spacing w:before="0" w:after="0"/>
              <w:rPr>
                <w:sz w:val="16"/>
                <w:szCs w:val="16"/>
              </w:rPr>
            </w:pPr>
            <w:r w:rsidRPr="002E2F6B">
              <w:rPr>
                <w:sz w:val="16"/>
                <w:szCs w:val="16"/>
              </w:rPr>
              <w:t>-0.27</w:t>
            </w:r>
          </w:p>
        </w:tc>
        <w:tc>
          <w:tcPr>
            <w:tcW w:w="323" w:type="pct"/>
            <w:tcBorders>
              <w:top w:val="nil"/>
              <w:left w:val="nil"/>
              <w:bottom w:val="nil"/>
              <w:right w:val="nil"/>
            </w:tcBorders>
            <w:shd w:val="clear" w:color="auto" w:fill="auto"/>
            <w:noWrap/>
            <w:vAlign w:val="center"/>
            <w:hideMark/>
          </w:tcPr>
          <w:p w14:paraId="0C3F7CAC"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CAD" w14:textId="77777777" w:rsidR="00E838DF" w:rsidRPr="002E2F6B" w:rsidRDefault="00E838DF" w:rsidP="00110A7F">
            <w:pPr>
              <w:spacing w:before="0" w:after="0"/>
              <w:rPr>
                <w:sz w:val="16"/>
                <w:szCs w:val="16"/>
              </w:rPr>
            </w:pPr>
            <w:r w:rsidRPr="002E2F6B">
              <w:rPr>
                <w:sz w:val="16"/>
                <w:szCs w:val="16"/>
              </w:rPr>
              <w:t>-0.10</w:t>
            </w:r>
          </w:p>
        </w:tc>
        <w:tc>
          <w:tcPr>
            <w:tcW w:w="323" w:type="pct"/>
            <w:tcBorders>
              <w:top w:val="nil"/>
              <w:left w:val="nil"/>
              <w:bottom w:val="nil"/>
              <w:right w:val="nil"/>
            </w:tcBorders>
            <w:shd w:val="clear" w:color="auto" w:fill="auto"/>
            <w:noWrap/>
            <w:vAlign w:val="center"/>
            <w:hideMark/>
          </w:tcPr>
          <w:p w14:paraId="0C3F7CAE" w14:textId="77777777" w:rsidR="00E838DF" w:rsidRPr="002E2F6B" w:rsidRDefault="00E838DF" w:rsidP="00110A7F">
            <w:pPr>
              <w:spacing w:before="0" w:after="0"/>
              <w:rPr>
                <w:sz w:val="16"/>
                <w:szCs w:val="16"/>
              </w:rPr>
            </w:pPr>
            <w:r w:rsidRPr="002E2F6B">
              <w:rPr>
                <w:sz w:val="16"/>
                <w:szCs w:val="16"/>
              </w:rPr>
              <w:t>0.28</w:t>
            </w:r>
          </w:p>
        </w:tc>
        <w:tc>
          <w:tcPr>
            <w:tcW w:w="323" w:type="pct"/>
            <w:tcBorders>
              <w:top w:val="nil"/>
              <w:left w:val="nil"/>
              <w:bottom w:val="nil"/>
              <w:right w:val="nil"/>
            </w:tcBorders>
            <w:shd w:val="clear" w:color="auto" w:fill="auto"/>
            <w:noWrap/>
            <w:vAlign w:val="center"/>
            <w:hideMark/>
          </w:tcPr>
          <w:p w14:paraId="0C3F7CAF" w14:textId="77777777" w:rsidR="00E838DF" w:rsidRPr="002E2F6B" w:rsidRDefault="00E838DF" w:rsidP="00110A7F">
            <w:pPr>
              <w:spacing w:before="0" w:after="0"/>
              <w:rPr>
                <w:sz w:val="16"/>
                <w:szCs w:val="16"/>
              </w:rPr>
            </w:pPr>
            <w:r w:rsidRPr="002E2F6B">
              <w:rPr>
                <w:sz w:val="16"/>
                <w:szCs w:val="16"/>
              </w:rPr>
              <w:t>-0.09</w:t>
            </w:r>
          </w:p>
        </w:tc>
        <w:tc>
          <w:tcPr>
            <w:tcW w:w="320" w:type="pct"/>
            <w:tcBorders>
              <w:top w:val="nil"/>
              <w:left w:val="nil"/>
              <w:bottom w:val="nil"/>
              <w:right w:val="nil"/>
            </w:tcBorders>
            <w:shd w:val="clear" w:color="auto" w:fill="auto"/>
            <w:noWrap/>
            <w:vAlign w:val="center"/>
            <w:hideMark/>
          </w:tcPr>
          <w:p w14:paraId="0C3F7CB0" w14:textId="77777777" w:rsidR="00E838DF" w:rsidRPr="002E2F6B" w:rsidRDefault="00E838DF" w:rsidP="00110A7F">
            <w:pPr>
              <w:spacing w:before="0" w:after="0"/>
              <w:rPr>
                <w:sz w:val="16"/>
                <w:szCs w:val="16"/>
              </w:rPr>
            </w:pPr>
            <w:r w:rsidRPr="002E2F6B">
              <w:rPr>
                <w:sz w:val="16"/>
                <w:szCs w:val="16"/>
              </w:rPr>
              <w:t>-0.44</w:t>
            </w:r>
          </w:p>
        </w:tc>
      </w:tr>
      <w:tr w:rsidR="00E838DF" w:rsidRPr="002E2F6B" w14:paraId="0C3F7CC1" w14:textId="77777777" w:rsidTr="00E838DF">
        <w:trPr>
          <w:trHeight w:val="20"/>
        </w:trPr>
        <w:tc>
          <w:tcPr>
            <w:tcW w:w="400" w:type="pct"/>
            <w:tcBorders>
              <w:top w:val="nil"/>
              <w:left w:val="nil"/>
              <w:bottom w:val="nil"/>
              <w:right w:val="nil"/>
            </w:tcBorders>
            <w:shd w:val="clear" w:color="auto" w:fill="auto"/>
            <w:noWrap/>
            <w:vAlign w:val="center"/>
            <w:hideMark/>
          </w:tcPr>
          <w:p w14:paraId="0C3F7CB2" w14:textId="77777777" w:rsidR="00E838DF" w:rsidRPr="002E2F6B" w:rsidRDefault="00E838DF" w:rsidP="00110A7F">
            <w:pPr>
              <w:spacing w:before="0" w:after="0"/>
              <w:rPr>
                <w:sz w:val="16"/>
                <w:szCs w:val="16"/>
              </w:rPr>
            </w:pPr>
            <w:r w:rsidRPr="002E2F6B">
              <w:rPr>
                <w:sz w:val="16"/>
                <w:szCs w:val="16"/>
              </w:rPr>
              <w:t>Dist.</w:t>
            </w:r>
          </w:p>
        </w:tc>
        <w:tc>
          <w:tcPr>
            <w:tcW w:w="323" w:type="pct"/>
            <w:tcBorders>
              <w:top w:val="nil"/>
              <w:left w:val="nil"/>
              <w:bottom w:val="nil"/>
              <w:right w:val="nil"/>
            </w:tcBorders>
            <w:shd w:val="clear" w:color="auto" w:fill="auto"/>
            <w:noWrap/>
            <w:vAlign w:val="center"/>
            <w:hideMark/>
          </w:tcPr>
          <w:p w14:paraId="0C3F7CB3" w14:textId="77777777" w:rsidR="00E838DF" w:rsidRPr="002E2F6B" w:rsidRDefault="00E838DF" w:rsidP="00110A7F">
            <w:pPr>
              <w:spacing w:before="0" w:after="0"/>
              <w:rPr>
                <w:sz w:val="16"/>
                <w:szCs w:val="16"/>
              </w:rPr>
            </w:pPr>
            <w:r w:rsidRPr="002E2F6B">
              <w:rPr>
                <w:sz w:val="16"/>
                <w:szCs w:val="16"/>
              </w:rPr>
              <w:t>0.29</w:t>
            </w:r>
          </w:p>
        </w:tc>
        <w:tc>
          <w:tcPr>
            <w:tcW w:w="400" w:type="pct"/>
            <w:tcBorders>
              <w:top w:val="nil"/>
              <w:left w:val="nil"/>
              <w:bottom w:val="nil"/>
              <w:right w:val="nil"/>
            </w:tcBorders>
            <w:shd w:val="clear" w:color="auto" w:fill="auto"/>
            <w:noWrap/>
            <w:vAlign w:val="center"/>
            <w:hideMark/>
          </w:tcPr>
          <w:p w14:paraId="0C3F7CB4" w14:textId="77777777" w:rsidR="00E838DF" w:rsidRPr="002E2F6B" w:rsidRDefault="00E838DF" w:rsidP="00110A7F">
            <w:pPr>
              <w:spacing w:before="0" w:after="0"/>
              <w:rPr>
                <w:sz w:val="16"/>
                <w:szCs w:val="16"/>
              </w:rPr>
            </w:pPr>
            <w:r w:rsidRPr="002E2F6B">
              <w:rPr>
                <w:sz w:val="16"/>
                <w:szCs w:val="16"/>
              </w:rPr>
              <w:t>0.60</w:t>
            </w:r>
          </w:p>
        </w:tc>
        <w:tc>
          <w:tcPr>
            <w:tcW w:w="328" w:type="pct"/>
            <w:tcBorders>
              <w:top w:val="nil"/>
              <w:left w:val="nil"/>
              <w:bottom w:val="nil"/>
              <w:right w:val="nil"/>
            </w:tcBorders>
            <w:shd w:val="clear" w:color="auto" w:fill="auto"/>
            <w:noWrap/>
            <w:vAlign w:val="center"/>
            <w:hideMark/>
          </w:tcPr>
          <w:p w14:paraId="0C3F7CB5"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B6"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CB7"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CB8"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B9"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BA"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BB"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BC" w14:textId="77777777" w:rsidR="00E838DF" w:rsidRPr="002E2F6B" w:rsidRDefault="00E838DF" w:rsidP="00110A7F">
            <w:pPr>
              <w:spacing w:before="0" w:after="0"/>
              <w:rPr>
                <w:sz w:val="16"/>
                <w:szCs w:val="16"/>
              </w:rPr>
            </w:pPr>
            <w:r w:rsidRPr="002E2F6B">
              <w:rPr>
                <w:sz w:val="16"/>
                <w:szCs w:val="16"/>
              </w:rPr>
              <w:t>-0.05</w:t>
            </w:r>
          </w:p>
        </w:tc>
        <w:tc>
          <w:tcPr>
            <w:tcW w:w="323" w:type="pct"/>
            <w:tcBorders>
              <w:top w:val="nil"/>
              <w:left w:val="nil"/>
              <w:bottom w:val="nil"/>
              <w:right w:val="nil"/>
            </w:tcBorders>
            <w:shd w:val="clear" w:color="auto" w:fill="auto"/>
            <w:noWrap/>
            <w:vAlign w:val="center"/>
            <w:hideMark/>
          </w:tcPr>
          <w:p w14:paraId="0C3F7CBD" w14:textId="77777777" w:rsidR="00E838DF" w:rsidRPr="002E2F6B" w:rsidRDefault="00E838DF" w:rsidP="00110A7F">
            <w:pPr>
              <w:spacing w:before="0" w:after="0"/>
              <w:rPr>
                <w:sz w:val="16"/>
                <w:szCs w:val="16"/>
              </w:rPr>
            </w:pPr>
            <w:r w:rsidRPr="002E2F6B">
              <w:rPr>
                <w:sz w:val="16"/>
                <w:szCs w:val="16"/>
              </w:rPr>
              <w:t>-0.06</w:t>
            </w:r>
          </w:p>
        </w:tc>
        <w:tc>
          <w:tcPr>
            <w:tcW w:w="323" w:type="pct"/>
            <w:tcBorders>
              <w:top w:val="nil"/>
              <w:left w:val="nil"/>
              <w:bottom w:val="nil"/>
              <w:right w:val="nil"/>
            </w:tcBorders>
            <w:shd w:val="clear" w:color="auto" w:fill="auto"/>
            <w:noWrap/>
            <w:vAlign w:val="center"/>
            <w:hideMark/>
          </w:tcPr>
          <w:p w14:paraId="0C3F7CBE"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CBF" w14:textId="77777777" w:rsidR="00E838DF" w:rsidRPr="002E2F6B" w:rsidRDefault="00E838DF" w:rsidP="00110A7F">
            <w:pPr>
              <w:spacing w:before="0" w:after="0"/>
              <w:rPr>
                <w:sz w:val="16"/>
                <w:szCs w:val="16"/>
              </w:rPr>
            </w:pPr>
            <w:r w:rsidRPr="002E2F6B">
              <w:rPr>
                <w:sz w:val="16"/>
                <w:szCs w:val="16"/>
              </w:rPr>
              <w:t>-0.17</w:t>
            </w:r>
          </w:p>
        </w:tc>
        <w:tc>
          <w:tcPr>
            <w:tcW w:w="320" w:type="pct"/>
            <w:tcBorders>
              <w:top w:val="nil"/>
              <w:left w:val="nil"/>
              <w:bottom w:val="nil"/>
              <w:right w:val="nil"/>
            </w:tcBorders>
            <w:shd w:val="clear" w:color="auto" w:fill="auto"/>
            <w:noWrap/>
            <w:vAlign w:val="center"/>
            <w:hideMark/>
          </w:tcPr>
          <w:p w14:paraId="0C3F7CC0" w14:textId="77777777" w:rsidR="00E838DF" w:rsidRPr="002E2F6B" w:rsidRDefault="00E838DF" w:rsidP="00110A7F">
            <w:pPr>
              <w:spacing w:before="0" w:after="0"/>
              <w:rPr>
                <w:sz w:val="16"/>
                <w:szCs w:val="16"/>
              </w:rPr>
            </w:pPr>
            <w:r w:rsidRPr="002E2F6B">
              <w:rPr>
                <w:sz w:val="16"/>
                <w:szCs w:val="16"/>
              </w:rPr>
              <w:t>-0.49</w:t>
            </w:r>
          </w:p>
        </w:tc>
      </w:tr>
      <w:tr w:rsidR="00E838DF" w:rsidRPr="002E2F6B" w14:paraId="0C3F7CD1" w14:textId="77777777" w:rsidTr="00E838DF">
        <w:trPr>
          <w:trHeight w:val="20"/>
        </w:trPr>
        <w:tc>
          <w:tcPr>
            <w:tcW w:w="400" w:type="pct"/>
            <w:tcBorders>
              <w:top w:val="nil"/>
              <w:left w:val="nil"/>
              <w:bottom w:val="nil"/>
              <w:right w:val="nil"/>
            </w:tcBorders>
            <w:shd w:val="clear" w:color="auto" w:fill="auto"/>
            <w:noWrap/>
            <w:vAlign w:val="center"/>
            <w:hideMark/>
          </w:tcPr>
          <w:p w14:paraId="0C3F7CC2" w14:textId="77777777" w:rsidR="00E838DF" w:rsidRPr="002E2F6B" w:rsidRDefault="00E838DF" w:rsidP="00110A7F">
            <w:pPr>
              <w:spacing w:before="0" w:after="0"/>
              <w:rPr>
                <w:sz w:val="16"/>
                <w:szCs w:val="16"/>
              </w:rPr>
            </w:pPr>
            <w:r w:rsidRPr="002E2F6B">
              <w:rPr>
                <w:sz w:val="16"/>
                <w:szCs w:val="16"/>
              </w:rPr>
              <w:t>TSS</w:t>
            </w:r>
          </w:p>
        </w:tc>
        <w:tc>
          <w:tcPr>
            <w:tcW w:w="323" w:type="pct"/>
            <w:tcBorders>
              <w:top w:val="nil"/>
              <w:left w:val="nil"/>
              <w:bottom w:val="nil"/>
              <w:right w:val="nil"/>
            </w:tcBorders>
            <w:shd w:val="clear" w:color="auto" w:fill="auto"/>
            <w:noWrap/>
            <w:vAlign w:val="center"/>
            <w:hideMark/>
          </w:tcPr>
          <w:p w14:paraId="0C3F7CC3" w14:textId="77777777" w:rsidR="00E838DF" w:rsidRPr="002E2F6B" w:rsidRDefault="00E838DF" w:rsidP="00110A7F">
            <w:pPr>
              <w:spacing w:before="0" w:after="0"/>
              <w:rPr>
                <w:sz w:val="16"/>
                <w:szCs w:val="16"/>
              </w:rPr>
            </w:pPr>
            <w:r w:rsidRPr="002E2F6B">
              <w:rPr>
                <w:sz w:val="16"/>
                <w:szCs w:val="16"/>
              </w:rPr>
              <w:t>0.02</w:t>
            </w:r>
          </w:p>
        </w:tc>
        <w:tc>
          <w:tcPr>
            <w:tcW w:w="400" w:type="pct"/>
            <w:tcBorders>
              <w:top w:val="nil"/>
              <w:left w:val="nil"/>
              <w:bottom w:val="nil"/>
              <w:right w:val="nil"/>
            </w:tcBorders>
            <w:shd w:val="clear" w:color="auto" w:fill="auto"/>
            <w:noWrap/>
            <w:vAlign w:val="center"/>
            <w:hideMark/>
          </w:tcPr>
          <w:p w14:paraId="0C3F7CC4" w14:textId="77777777" w:rsidR="00E838DF" w:rsidRPr="002E2F6B" w:rsidRDefault="00E838DF" w:rsidP="00110A7F">
            <w:pPr>
              <w:spacing w:before="0" w:after="0"/>
              <w:rPr>
                <w:sz w:val="16"/>
                <w:szCs w:val="16"/>
              </w:rPr>
            </w:pPr>
            <w:r w:rsidRPr="002E2F6B">
              <w:rPr>
                <w:sz w:val="16"/>
                <w:szCs w:val="16"/>
              </w:rPr>
              <w:t>0.24</w:t>
            </w:r>
          </w:p>
        </w:tc>
        <w:tc>
          <w:tcPr>
            <w:tcW w:w="328" w:type="pct"/>
            <w:tcBorders>
              <w:top w:val="nil"/>
              <w:left w:val="nil"/>
              <w:bottom w:val="nil"/>
              <w:right w:val="nil"/>
            </w:tcBorders>
            <w:shd w:val="clear" w:color="auto" w:fill="auto"/>
            <w:noWrap/>
            <w:vAlign w:val="center"/>
            <w:hideMark/>
          </w:tcPr>
          <w:p w14:paraId="0C3F7CC5"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CC6"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C7" w14:textId="77777777" w:rsidR="00E838DF" w:rsidRPr="002E2F6B" w:rsidRDefault="00E838DF" w:rsidP="00110A7F">
            <w:pPr>
              <w:spacing w:before="0" w:after="0"/>
              <w:rPr>
                <w:sz w:val="16"/>
                <w:szCs w:val="16"/>
              </w:rPr>
            </w:pPr>
            <w:r w:rsidRPr="002E2F6B">
              <w:rPr>
                <w:sz w:val="16"/>
                <w:szCs w:val="16"/>
              </w:rPr>
              <w:t>0.50</w:t>
            </w:r>
          </w:p>
        </w:tc>
        <w:tc>
          <w:tcPr>
            <w:tcW w:w="323" w:type="pct"/>
            <w:tcBorders>
              <w:top w:val="nil"/>
              <w:left w:val="nil"/>
              <w:bottom w:val="nil"/>
              <w:right w:val="nil"/>
            </w:tcBorders>
            <w:shd w:val="clear" w:color="auto" w:fill="auto"/>
            <w:noWrap/>
            <w:vAlign w:val="center"/>
            <w:hideMark/>
          </w:tcPr>
          <w:p w14:paraId="0C3F7CC8"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CC9"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CA" w14:textId="77777777" w:rsidR="00E838DF" w:rsidRPr="002E2F6B" w:rsidRDefault="00E838DF" w:rsidP="00110A7F">
            <w:pPr>
              <w:spacing w:before="0" w:after="0"/>
              <w:rPr>
                <w:sz w:val="16"/>
                <w:szCs w:val="16"/>
              </w:rPr>
            </w:pPr>
            <w:r w:rsidRPr="002E2F6B">
              <w:rPr>
                <w:sz w:val="16"/>
                <w:szCs w:val="16"/>
              </w:rPr>
              <w:t>0.00</w:t>
            </w:r>
          </w:p>
        </w:tc>
        <w:tc>
          <w:tcPr>
            <w:tcW w:w="323" w:type="pct"/>
            <w:tcBorders>
              <w:top w:val="nil"/>
              <w:left w:val="nil"/>
              <w:bottom w:val="nil"/>
              <w:right w:val="nil"/>
            </w:tcBorders>
            <w:shd w:val="clear" w:color="auto" w:fill="auto"/>
            <w:noWrap/>
            <w:vAlign w:val="center"/>
            <w:hideMark/>
          </w:tcPr>
          <w:p w14:paraId="0C3F7CCB"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CCC"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CD"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CCE"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CCF" w14:textId="77777777" w:rsidR="00E838DF" w:rsidRPr="002E2F6B" w:rsidRDefault="00E838DF" w:rsidP="00110A7F">
            <w:pPr>
              <w:spacing w:before="0" w:after="0"/>
              <w:rPr>
                <w:sz w:val="16"/>
                <w:szCs w:val="16"/>
              </w:rPr>
            </w:pPr>
            <w:r w:rsidRPr="002E2F6B">
              <w:rPr>
                <w:sz w:val="16"/>
                <w:szCs w:val="16"/>
              </w:rPr>
              <w:t>0.13</w:t>
            </w:r>
          </w:p>
        </w:tc>
        <w:tc>
          <w:tcPr>
            <w:tcW w:w="320" w:type="pct"/>
            <w:tcBorders>
              <w:top w:val="nil"/>
              <w:left w:val="nil"/>
              <w:bottom w:val="nil"/>
              <w:right w:val="nil"/>
            </w:tcBorders>
            <w:shd w:val="clear" w:color="auto" w:fill="auto"/>
            <w:noWrap/>
            <w:vAlign w:val="center"/>
            <w:hideMark/>
          </w:tcPr>
          <w:p w14:paraId="0C3F7CD0" w14:textId="77777777" w:rsidR="00E838DF" w:rsidRPr="002E2F6B" w:rsidRDefault="00E838DF" w:rsidP="00110A7F">
            <w:pPr>
              <w:spacing w:before="0" w:after="0"/>
              <w:rPr>
                <w:sz w:val="16"/>
                <w:szCs w:val="16"/>
              </w:rPr>
            </w:pPr>
            <w:r w:rsidRPr="002E2F6B">
              <w:rPr>
                <w:sz w:val="16"/>
                <w:szCs w:val="16"/>
              </w:rPr>
              <w:t>0.30</w:t>
            </w:r>
          </w:p>
        </w:tc>
      </w:tr>
      <w:tr w:rsidR="00E838DF" w:rsidRPr="002E2F6B" w14:paraId="0C3F7CE1" w14:textId="77777777" w:rsidTr="00E838DF">
        <w:trPr>
          <w:trHeight w:val="20"/>
        </w:trPr>
        <w:tc>
          <w:tcPr>
            <w:tcW w:w="400" w:type="pct"/>
            <w:tcBorders>
              <w:top w:val="nil"/>
              <w:left w:val="nil"/>
              <w:bottom w:val="nil"/>
              <w:right w:val="nil"/>
            </w:tcBorders>
            <w:shd w:val="clear" w:color="auto" w:fill="auto"/>
            <w:noWrap/>
            <w:vAlign w:val="center"/>
            <w:hideMark/>
          </w:tcPr>
          <w:p w14:paraId="0C3F7CD2" w14:textId="77777777" w:rsidR="00E838DF" w:rsidRPr="002E2F6B" w:rsidRDefault="00E838DF" w:rsidP="00110A7F">
            <w:pPr>
              <w:spacing w:before="0" w:after="0"/>
              <w:rPr>
                <w:sz w:val="16"/>
                <w:szCs w:val="16"/>
              </w:rPr>
            </w:pPr>
            <w:r w:rsidRPr="002E2F6B">
              <w:rPr>
                <w:sz w:val="16"/>
                <w:szCs w:val="16"/>
              </w:rPr>
              <w:t>chl-a</w:t>
            </w:r>
          </w:p>
        </w:tc>
        <w:tc>
          <w:tcPr>
            <w:tcW w:w="323" w:type="pct"/>
            <w:tcBorders>
              <w:top w:val="nil"/>
              <w:left w:val="nil"/>
              <w:bottom w:val="nil"/>
              <w:right w:val="nil"/>
            </w:tcBorders>
            <w:shd w:val="clear" w:color="auto" w:fill="auto"/>
            <w:noWrap/>
            <w:vAlign w:val="center"/>
            <w:hideMark/>
          </w:tcPr>
          <w:p w14:paraId="0C3F7CD3" w14:textId="77777777" w:rsidR="00E838DF" w:rsidRPr="002E2F6B" w:rsidRDefault="00E838DF" w:rsidP="00110A7F">
            <w:pPr>
              <w:spacing w:before="0" w:after="0"/>
              <w:rPr>
                <w:sz w:val="16"/>
                <w:szCs w:val="16"/>
              </w:rPr>
            </w:pPr>
            <w:r w:rsidRPr="002E2F6B">
              <w:rPr>
                <w:sz w:val="16"/>
                <w:szCs w:val="16"/>
              </w:rPr>
              <w:t>0.02</w:t>
            </w:r>
          </w:p>
        </w:tc>
        <w:tc>
          <w:tcPr>
            <w:tcW w:w="400" w:type="pct"/>
            <w:tcBorders>
              <w:top w:val="nil"/>
              <w:left w:val="nil"/>
              <w:bottom w:val="nil"/>
              <w:right w:val="nil"/>
            </w:tcBorders>
            <w:shd w:val="clear" w:color="auto" w:fill="auto"/>
            <w:noWrap/>
            <w:vAlign w:val="center"/>
            <w:hideMark/>
          </w:tcPr>
          <w:p w14:paraId="0C3F7CD4" w14:textId="77777777" w:rsidR="00E838DF" w:rsidRPr="002E2F6B" w:rsidRDefault="00E838DF" w:rsidP="00110A7F">
            <w:pPr>
              <w:spacing w:before="0" w:after="0"/>
              <w:rPr>
                <w:sz w:val="16"/>
                <w:szCs w:val="16"/>
              </w:rPr>
            </w:pPr>
            <w:r w:rsidRPr="002E2F6B">
              <w:rPr>
                <w:sz w:val="16"/>
                <w:szCs w:val="16"/>
              </w:rPr>
              <w:t>0.33</w:t>
            </w:r>
          </w:p>
        </w:tc>
        <w:tc>
          <w:tcPr>
            <w:tcW w:w="328" w:type="pct"/>
            <w:tcBorders>
              <w:top w:val="nil"/>
              <w:left w:val="nil"/>
              <w:bottom w:val="nil"/>
              <w:right w:val="nil"/>
            </w:tcBorders>
            <w:shd w:val="clear" w:color="auto" w:fill="auto"/>
            <w:noWrap/>
            <w:vAlign w:val="center"/>
            <w:hideMark/>
          </w:tcPr>
          <w:p w14:paraId="0C3F7CD5"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CD6" w14:textId="77777777" w:rsidR="00E838DF" w:rsidRPr="002E2F6B" w:rsidRDefault="00E838DF" w:rsidP="00110A7F">
            <w:pPr>
              <w:spacing w:before="0" w:after="0"/>
              <w:rPr>
                <w:sz w:val="16"/>
                <w:szCs w:val="16"/>
              </w:rPr>
            </w:pPr>
            <w:r w:rsidRPr="002E2F6B">
              <w:rPr>
                <w:sz w:val="16"/>
                <w:szCs w:val="16"/>
              </w:rPr>
              <w:t>0.50</w:t>
            </w:r>
          </w:p>
        </w:tc>
        <w:tc>
          <w:tcPr>
            <w:tcW w:w="323" w:type="pct"/>
            <w:tcBorders>
              <w:top w:val="nil"/>
              <w:left w:val="nil"/>
              <w:bottom w:val="nil"/>
              <w:right w:val="nil"/>
            </w:tcBorders>
            <w:shd w:val="clear" w:color="auto" w:fill="auto"/>
            <w:noWrap/>
            <w:vAlign w:val="center"/>
            <w:hideMark/>
          </w:tcPr>
          <w:p w14:paraId="0C3F7CD7"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D8"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D9"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DA"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CDB" w14:textId="77777777" w:rsidR="00E838DF" w:rsidRPr="002E2F6B" w:rsidRDefault="00E838DF" w:rsidP="00110A7F">
            <w:pPr>
              <w:spacing w:before="0" w:after="0"/>
              <w:rPr>
                <w:sz w:val="16"/>
                <w:szCs w:val="16"/>
              </w:rPr>
            </w:pPr>
            <w:r w:rsidRPr="002E2F6B">
              <w:rPr>
                <w:sz w:val="16"/>
                <w:szCs w:val="16"/>
              </w:rPr>
              <w:t>-0.03</w:t>
            </w:r>
          </w:p>
        </w:tc>
        <w:tc>
          <w:tcPr>
            <w:tcW w:w="323" w:type="pct"/>
            <w:tcBorders>
              <w:top w:val="nil"/>
              <w:left w:val="nil"/>
              <w:bottom w:val="nil"/>
              <w:right w:val="nil"/>
            </w:tcBorders>
            <w:shd w:val="clear" w:color="auto" w:fill="auto"/>
            <w:noWrap/>
            <w:vAlign w:val="center"/>
            <w:hideMark/>
          </w:tcPr>
          <w:p w14:paraId="0C3F7CDC"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CDD"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CDE"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CDF" w14:textId="77777777" w:rsidR="00E838DF" w:rsidRPr="002E2F6B" w:rsidRDefault="00E838DF" w:rsidP="00110A7F">
            <w:pPr>
              <w:spacing w:before="0" w:after="0"/>
              <w:rPr>
                <w:sz w:val="16"/>
                <w:szCs w:val="16"/>
              </w:rPr>
            </w:pPr>
            <w:r w:rsidRPr="002E2F6B">
              <w:rPr>
                <w:sz w:val="16"/>
                <w:szCs w:val="16"/>
              </w:rPr>
              <w:t>0.13</w:t>
            </w:r>
          </w:p>
        </w:tc>
        <w:tc>
          <w:tcPr>
            <w:tcW w:w="320" w:type="pct"/>
            <w:tcBorders>
              <w:top w:val="nil"/>
              <w:left w:val="nil"/>
              <w:bottom w:val="nil"/>
              <w:right w:val="nil"/>
            </w:tcBorders>
            <w:shd w:val="clear" w:color="auto" w:fill="auto"/>
            <w:noWrap/>
            <w:vAlign w:val="center"/>
            <w:hideMark/>
          </w:tcPr>
          <w:p w14:paraId="0C3F7CE0" w14:textId="77777777" w:rsidR="00E838DF" w:rsidRPr="002E2F6B" w:rsidRDefault="00E838DF" w:rsidP="00110A7F">
            <w:pPr>
              <w:spacing w:before="0" w:after="0"/>
              <w:rPr>
                <w:sz w:val="16"/>
                <w:szCs w:val="16"/>
              </w:rPr>
            </w:pPr>
            <w:r w:rsidRPr="002E2F6B">
              <w:rPr>
                <w:sz w:val="16"/>
                <w:szCs w:val="16"/>
              </w:rPr>
              <w:t>0.23</w:t>
            </w:r>
          </w:p>
        </w:tc>
      </w:tr>
      <w:tr w:rsidR="00E838DF" w:rsidRPr="002E2F6B" w14:paraId="0C3F7CF1" w14:textId="77777777" w:rsidTr="00E838DF">
        <w:trPr>
          <w:trHeight w:val="20"/>
        </w:trPr>
        <w:tc>
          <w:tcPr>
            <w:tcW w:w="400" w:type="pct"/>
            <w:tcBorders>
              <w:top w:val="nil"/>
              <w:left w:val="nil"/>
              <w:bottom w:val="nil"/>
              <w:right w:val="nil"/>
            </w:tcBorders>
            <w:shd w:val="clear" w:color="auto" w:fill="auto"/>
            <w:noWrap/>
            <w:vAlign w:val="center"/>
            <w:hideMark/>
          </w:tcPr>
          <w:p w14:paraId="0C3F7CE2" w14:textId="77777777" w:rsidR="00E838DF" w:rsidRPr="002E2F6B" w:rsidRDefault="00E838DF" w:rsidP="00110A7F">
            <w:pPr>
              <w:spacing w:before="0" w:after="0"/>
              <w:rPr>
                <w:sz w:val="16"/>
                <w:szCs w:val="16"/>
              </w:rPr>
            </w:pPr>
            <w:r w:rsidRPr="002E2F6B">
              <w:rPr>
                <w:sz w:val="16"/>
                <w:szCs w:val="16"/>
              </w:rPr>
              <w:t>TN</w:t>
            </w:r>
          </w:p>
        </w:tc>
        <w:tc>
          <w:tcPr>
            <w:tcW w:w="323" w:type="pct"/>
            <w:tcBorders>
              <w:top w:val="nil"/>
              <w:left w:val="nil"/>
              <w:bottom w:val="nil"/>
              <w:right w:val="nil"/>
            </w:tcBorders>
            <w:shd w:val="clear" w:color="auto" w:fill="auto"/>
            <w:noWrap/>
            <w:vAlign w:val="center"/>
            <w:hideMark/>
          </w:tcPr>
          <w:p w14:paraId="0C3F7CE3" w14:textId="77777777" w:rsidR="00E838DF" w:rsidRPr="002E2F6B" w:rsidRDefault="00E838DF" w:rsidP="00110A7F">
            <w:pPr>
              <w:spacing w:before="0" w:after="0"/>
              <w:rPr>
                <w:sz w:val="16"/>
                <w:szCs w:val="16"/>
              </w:rPr>
            </w:pPr>
            <w:r w:rsidRPr="002E2F6B">
              <w:rPr>
                <w:sz w:val="16"/>
                <w:szCs w:val="16"/>
              </w:rPr>
              <w:t>0.15</w:t>
            </w:r>
          </w:p>
        </w:tc>
        <w:tc>
          <w:tcPr>
            <w:tcW w:w="400" w:type="pct"/>
            <w:tcBorders>
              <w:top w:val="nil"/>
              <w:left w:val="nil"/>
              <w:bottom w:val="nil"/>
              <w:right w:val="nil"/>
            </w:tcBorders>
            <w:shd w:val="clear" w:color="auto" w:fill="auto"/>
            <w:noWrap/>
            <w:vAlign w:val="center"/>
            <w:hideMark/>
          </w:tcPr>
          <w:p w14:paraId="0C3F7CE4" w14:textId="77777777" w:rsidR="00E838DF" w:rsidRPr="002E2F6B" w:rsidRDefault="00E838DF" w:rsidP="00110A7F">
            <w:pPr>
              <w:spacing w:before="0" w:after="0"/>
              <w:rPr>
                <w:sz w:val="16"/>
                <w:szCs w:val="16"/>
              </w:rPr>
            </w:pPr>
            <w:r w:rsidRPr="002E2F6B">
              <w:rPr>
                <w:sz w:val="16"/>
                <w:szCs w:val="16"/>
              </w:rPr>
              <w:t>0.09</w:t>
            </w:r>
          </w:p>
        </w:tc>
        <w:tc>
          <w:tcPr>
            <w:tcW w:w="328" w:type="pct"/>
            <w:tcBorders>
              <w:top w:val="nil"/>
              <w:left w:val="nil"/>
              <w:bottom w:val="nil"/>
              <w:right w:val="nil"/>
            </w:tcBorders>
            <w:shd w:val="clear" w:color="auto" w:fill="auto"/>
            <w:noWrap/>
            <w:vAlign w:val="center"/>
            <w:hideMark/>
          </w:tcPr>
          <w:p w14:paraId="0C3F7CE5"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E6"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CE7"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E8"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E9" w14:textId="77777777" w:rsidR="00E838DF" w:rsidRPr="002E2F6B" w:rsidRDefault="00E838DF" w:rsidP="00110A7F">
            <w:pPr>
              <w:spacing w:before="0" w:after="0"/>
              <w:rPr>
                <w:sz w:val="16"/>
                <w:szCs w:val="16"/>
              </w:rPr>
            </w:pPr>
            <w:r w:rsidRPr="002E2F6B">
              <w:rPr>
                <w:sz w:val="16"/>
                <w:szCs w:val="16"/>
              </w:rPr>
              <w:t>0.44</w:t>
            </w:r>
          </w:p>
        </w:tc>
        <w:tc>
          <w:tcPr>
            <w:tcW w:w="323" w:type="pct"/>
            <w:tcBorders>
              <w:top w:val="nil"/>
              <w:left w:val="nil"/>
              <w:bottom w:val="nil"/>
              <w:right w:val="nil"/>
            </w:tcBorders>
            <w:shd w:val="clear" w:color="auto" w:fill="auto"/>
            <w:noWrap/>
            <w:vAlign w:val="center"/>
            <w:hideMark/>
          </w:tcPr>
          <w:p w14:paraId="0C3F7CEA" w14:textId="77777777" w:rsidR="00E838DF" w:rsidRPr="002E2F6B" w:rsidRDefault="00E838DF" w:rsidP="00110A7F">
            <w:pPr>
              <w:spacing w:before="0" w:after="0"/>
              <w:rPr>
                <w:sz w:val="16"/>
                <w:szCs w:val="16"/>
              </w:rPr>
            </w:pPr>
            <w:r w:rsidRPr="002E2F6B">
              <w:rPr>
                <w:sz w:val="16"/>
                <w:szCs w:val="16"/>
              </w:rPr>
              <w:t>-0.32</w:t>
            </w:r>
          </w:p>
        </w:tc>
        <w:tc>
          <w:tcPr>
            <w:tcW w:w="323" w:type="pct"/>
            <w:tcBorders>
              <w:top w:val="nil"/>
              <w:left w:val="nil"/>
              <w:bottom w:val="nil"/>
              <w:right w:val="nil"/>
            </w:tcBorders>
            <w:shd w:val="clear" w:color="auto" w:fill="auto"/>
            <w:noWrap/>
            <w:vAlign w:val="center"/>
            <w:hideMark/>
          </w:tcPr>
          <w:p w14:paraId="0C3F7CEB"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CEC"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ED"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000000" w:fill="FFFF00"/>
            <w:noWrap/>
            <w:vAlign w:val="center"/>
            <w:hideMark/>
          </w:tcPr>
          <w:p w14:paraId="0C3F7CEE" w14:textId="77777777" w:rsidR="00E838DF" w:rsidRPr="002E2F6B" w:rsidRDefault="00E838DF" w:rsidP="00110A7F">
            <w:pPr>
              <w:spacing w:before="0" w:after="0"/>
              <w:rPr>
                <w:sz w:val="16"/>
                <w:szCs w:val="16"/>
              </w:rPr>
            </w:pPr>
            <w:r w:rsidRPr="002E2F6B">
              <w:rPr>
                <w:sz w:val="16"/>
                <w:szCs w:val="16"/>
              </w:rPr>
              <w:t>0.67</w:t>
            </w:r>
          </w:p>
        </w:tc>
        <w:tc>
          <w:tcPr>
            <w:tcW w:w="323" w:type="pct"/>
            <w:tcBorders>
              <w:top w:val="nil"/>
              <w:left w:val="nil"/>
              <w:bottom w:val="nil"/>
              <w:right w:val="nil"/>
            </w:tcBorders>
            <w:shd w:val="clear" w:color="auto" w:fill="auto"/>
            <w:noWrap/>
            <w:vAlign w:val="center"/>
            <w:hideMark/>
          </w:tcPr>
          <w:p w14:paraId="0C3F7CEF" w14:textId="77777777" w:rsidR="00E838DF" w:rsidRPr="002E2F6B" w:rsidRDefault="00E838DF" w:rsidP="00110A7F">
            <w:pPr>
              <w:spacing w:before="0" w:after="0"/>
              <w:rPr>
                <w:sz w:val="16"/>
                <w:szCs w:val="16"/>
              </w:rPr>
            </w:pPr>
            <w:r w:rsidRPr="002E2F6B">
              <w:rPr>
                <w:sz w:val="16"/>
                <w:szCs w:val="16"/>
              </w:rPr>
              <w:t>0.09</w:t>
            </w:r>
          </w:p>
        </w:tc>
        <w:tc>
          <w:tcPr>
            <w:tcW w:w="320" w:type="pct"/>
            <w:tcBorders>
              <w:top w:val="nil"/>
              <w:left w:val="nil"/>
              <w:bottom w:val="nil"/>
              <w:right w:val="nil"/>
            </w:tcBorders>
            <w:shd w:val="clear" w:color="auto" w:fill="auto"/>
            <w:noWrap/>
            <w:vAlign w:val="center"/>
            <w:hideMark/>
          </w:tcPr>
          <w:p w14:paraId="0C3F7CF0" w14:textId="77777777" w:rsidR="00E838DF" w:rsidRPr="002E2F6B" w:rsidRDefault="00E838DF" w:rsidP="00110A7F">
            <w:pPr>
              <w:spacing w:before="0" w:after="0"/>
              <w:rPr>
                <w:sz w:val="16"/>
                <w:szCs w:val="16"/>
              </w:rPr>
            </w:pPr>
            <w:r w:rsidRPr="002E2F6B">
              <w:rPr>
                <w:sz w:val="16"/>
                <w:szCs w:val="16"/>
              </w:rPr>
              <w:t>0.03</w:t>
            </w:r>
          </w:p>
        </w:tc>
      </w:tr>
      <w:tr w:rsidR="00E838DF" w:rsidRPr="002E2F6B" w14:paraId="0C3F7D01" w14:textId="77777777" w:rsidTr="00E838DF">
        <w:trPr>
          <w:trHeight w:val="20"/>
        </w:trPr>
        <w:tc>
          <w:tcPr>
            <w:tcW w:w="400" w:type="pct"/>
            <w:tcBorders>
              <w:top w:val="nil"/>
              <w:left w:val="nil"/>
              <w:bottom w:val="nil"/>
              <w:right w:val="nil"/>
            </w:tcBorders>
            <w:shd w:val="clear" w:color="auto" w:fill="auto"/>
            <w:noWrap/>
            <w:vAlign w:val="center"/>
            <w:hideMark/>
          </w:tcPr>
          <w:p w14:paraId="0C3F7CF2" w14:textId="77777777" w:rsidR="00E838DF" w:rsidRPr="002E2F6B" w:rsidRDefault="00E838DF" w:rsidP="00110A7F">
            <w:pPr>
              <w:spacing w:before="0" w:after="0"/>
              <w:rPr>
                <w:sz w:val="16"/>
                <w:szCs w:val="16"/>
              </w:rPr>
            </w:pPr>
            <w:r w:rsidRPr="002E2F6B">
              <w:rPr>
                <w:sz w:val="16"/>
                <w:szCs w:val="16"/>
              </w:rPr>
              <w:t>TDN</w:t>
            </w:r>
          </w:p>
        </w:tc>
        <w:tc>
          <w:tcPr>
            <w:tcW w:w="323" w:type="pct"/>
            <w:tcBorders>
              <w:top w:val="nil"/>
              <w:left w:val="nil"/>
              <w:bottom w:val="nil"/>
              <w:right w:val="nil"/>
            </w:tcBorders>
            <w:shd w:val="clear" w:color="auto" w:fill="auto"/>
            <w:noWrap/>
            <w:vAlign w:val="center"/>
            <w:hideMark/>
          </w:tcPr>
          <w:p w14:paraId="0C3F7CF3" w14:textId="77777777" w:rsidR="00E838DF" w:rsidRPr="002E2F6B" w:rsidRDefault="00E838DF" w:rsidP="00110A7F">
            <w:pPr>
              <w:spacing w:before="0" w:after="0"/>
              <w:rPr>
                <w:sz w:val="16"/>
                <w:szCs w:val="16"/>
              </w:rPr>
            </w:pPr>
            <w:r w:rsidRPr="002E2F6B">
              <w:rPr>
                <w:sz w:val="16"/>
                <w:szCs w:val="16"/>
              </w:rPr>
              <w:t>-0.17</w:t>
            </w:r>
          </w:p>
        </w:tc>
        <w:tc>
          <w:tcPr>
            <w:tcW w:w="400" w:type="pct"/>
            <w:tcBorders>
              <w:top w:val="nil"/>
              <w:left w:val="nil"/>
              <w:bottom w:val="nil"/>
              <w:right w:val="nil"/>
            </w:tcBorders>
            <w:shd w:val="clear" w:color="auto" w:fill="auto"/>
            <w:noWrap/>
            <w:vAlign w:val="center"/>
            <w:hideMark/>
          </w:tcPr>
          <w:p w14:paraId="0C3F7CF4" w14:textId="77777777" w:rsidR="00E838DF" w:rsidRPr="002E2F6B" w:rsidRDefault="00E838DF" w:rsidP="00110A7F">
            <w:pPr>
              <w:spacing w:before="0" w:after="0"/>
              <w:rPr>
                <w:sz w:val="16"/>
                <w:szCs w:val="16"/>
              </w:rPr>
            </w:pPr>
            <w:r w:rsidRPr="002E2F6B">
              <w:rPr>
                <w:sz w:val="16"/>
                <w:szCs w:val="16"/>
              </w:rPr>
              <w:t>-0.27</w:t>
            </w:r>
          </w:p>
        </w:tc>
        <w:tc>
          <w:tcPr>
            <w:tcW w:w="328" w:type="pct"/>
            <w:tcBorders>
              <w:top w:val="nil"/>
              <w:left w:val="nil"/>
              <w:bottom w:val="nil"/>
              <w:right w:val="nil"/>
            </w:tcBorders>
            <w:shd w:val="clear" w:color="auto" w:fill="auto"/>
            <w:noWrap/>
            <w:vAlign w:val="center"/>
            <w:hideMark/>
          </w:tcPr>
          <w:p w14:paraId="0C3F7CF5"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CF6"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CF7" w14:textId="77777777" w:rsidR="00E838DF" w:rsidRPr="002E2F6B" w:rsidRDefault="00E838DF" w:rsidP="00110A7F">
            <w:pPr>
              <w:spacing w:before="0" w:after="0"/>
              <w:rPr>
                <w:sz w:val="16"/>
                <w:szCs w:val="16"/>
              </w:rPr>
            </w:pPr>
            <w:r w:rsidRPr="002E2F6B">
              <w:rPr>
                <w:sz w:val="16"/>
                <w:szCs w:val="16"/>
              </w:rPr>
              <w:t>0.02</w:t>
            </w:r>
          </w:p>
        </w:tc>
        <w:tc>
          <w:tcPr>
            <w:tcW w:w="323" w:type="pct"/>
            <w:tcBorders>
              <w:top w:val="nil"/>
              <w:left w:val="nil"/>
              <w:bottom w:val="nil"/>
              <w:right w:val="nil"/>
            </w:tcBorders>
            <w:shd w:val="clear" w:color="auto" w:fill="auto"/>
            <w:noWrap/>
            <w:vAlign w:val="center"/>
            <w:hideMark/>
          </w:tcPr>
          <w:p w14:paraId="0C3F7CF8" w14:textId="77777777" w:rsidR="00E838DF" w:rsidRPr="002E2F6B" w:rsidRDefault="00E838DF" w:rsidP="00110A7F">
            <w:pPr>
              <w:spacing w:before="0" w:after="0"/>
              <w:rPr>
                <w:sz w:val="16"/>
                <w:szCs w:val="16"/>
              </w:rPr>
            </w:pPr>
            <w:r w:rsidRPr="002E2F6B">
              <w:rPr>
                <w:sz w:val="16"/>
                <w:szCs w:val="16"/>
              </w:rPr>
              <w:t>0.44</w:t>
            </w:r>
          </w:p>
        </w:tc>
        <w:tc>
          <w:tcPr>
            <w:tcW w:w="323" w:type="pct"/>
            <w:tcBorders>
              <w:top w:val="nil"/>
              <w:left w:val="nil"/>
              <w:bottom w:val="nil"/>
              <w:right w:val="nil"/>
            </w:tcBorders>
            <w:shd w:val="clear" w:color="auto" w:fill="auto"/>
            <w:noWrap/>
            <w:vAlign w:val="center"/>
            <w:hideMark/>
          </w:tcPr>
          <w:p w14:paraId="0C3F7CF9"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CFA" w14:textId="77777777" w:rsidR="00E838DF" w:rsidRPr="002E2F6B" w:rsidRDefault="00E838DF" w:rsidP="00110A7F">
            <w:pPr>
              <w:spacing w:before="0" w:after="0"/>
              <w:rPr>
                <w:sz w:val="16"/>
                <w:szCs w:val="16"/>
              </w:rPr>
            </w:pPr>
            <w:r w:rsidRPr="002E2F6B">
              <w:rPr>
                <w:sz w:val="16"/>
                <w:szCs w:val="16"/>
              </w:rPr>
              <w:t>-0.22</w:t>
            </w:r>
          </w:p>
        </w:tc>
        <w:tc>
          <w:tcPr>
            <w:tcW w:w="323" w:type="pct"/>
            <w:tcBorders>
              <w:top w:val="nil"/>
              <w:left w:val="nil"/>
              <w:bottom w:val="nil"/>
              <w:right w:val="nil"/>
            </w:tcBorders>
            <w:shd w:val="clear" w:color="auto" w:fill="auto"/>
            <w:noWrap/>
            <w:vAlign w:val="center"/>
            <w:hideMark/>
          </w:tcPr>
          <w:p w14:paraId="0C3F7CFB" w14:textId="77777777" w:rsidR="00E838DF" w:rsidRPr="002E2F6B" w:rsidRDefault="00E838DF" w:rsidP="00110A7F">
            <w:pPr>
              <w:spacing w:before="0" w:after="0"/>
              <w:rPr>
                <w:sz w:val="16"/>
                <w:szCs w:val="16"/>
              </w:rPr>
            </w:pPr>
            <w:r w:rsidRPr="002E2F6B">
              <w:rPr>
                <w:sz w:val="16"/>
                <w:szCs w:val="16"/>
              </w:rPr>
              <w:t>0.58</w:t>
            </w:r>
          </w:p>
        </w:tc>
        <w:tc>
          <w:tcPr>
            <w:tcW w:w="323" w:type="pct"/>
            <w:tcBorders>
              <w:top w:val="nil"/>
              <w:left w:val="nil"/>
              <w:bottom w:val="nil"/>
              <w:right w:val="nil"/>
            </w:tcBorders>
            <w:shd w:val="clear" w:color="auto" w:fill="auto"/>
            <w:noWrap/>
            <w:vAlign w:val="center"/>
            <w:hideMark/>
          </w:tcPr>
          <w:p w14:paraId="0C3F7CFC" w14:textId="77777777" w:rsidR="00E838DF" w:rsidRPr="002E2F6B" w:rsidRDefault="00E838DF" w:rsidP="00110A7F">
            <w:pPr>
              <w:spacing w:before="0" w:after="0"/>
              <w:rPr>
                <w:sz w:val="16"/>
                <w:szCs w:val="16"/>
              </w:rPr>
            </w:pPr>
            <w:r w:rsidRPr="002E2F6B">
              <w:rPr>
                <w:sz w:val="16"/>
                <w:szCs w:val="16"/>
              </w:rPr>
              <w:t>0.48</w:t>
            </w:r>
          </w:p>
        </w:tc>
        <w:tc>
          <w:tcPr>
            <w:tcW w:w="323" w:type="pct"/>
            <w:tcBorders>
              <w:top w:val="nil"/>
              <w:left w:val="nil"/>
              <w:bottom w:val="nil"/>
              <w:right w:val="nil"/>
            </w:tcBorders>
            <w:shd w:val="clear" w:color="auto" w:fill="auto"/>
            <w:noWrap/>
            <w:vAlign w:val="center"/>
            <w:hideMark/>
          </w:tcPr>
          <w:p w14:paraId="0C3F7CFD"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CFE"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CFF" w14:textId="77777777" w:rsidR="00E838DF" w:rsidRPr="002E2F6B" w:rsidRDefault="00E838DF" w:rsidP="00110A7F">
            <w:pPr>
              <w:spacing w:before="0" w:after="0"/>
              <w:rPr>
                <w:sz w:val="16"/>
                <w:szCs w:val="16"/>
              </w:rPr>
            </w:pPr>
            <w:r w:rsidRPr="002E2F6B">
              <w:rPr>
                <w:sz w:val="16"/>
                <w:szCs w:val="16"/>
              </w:rPr>
              <w:t>0.08</w:t>
            </w:r>
          </w:p>
        </w:tc>
        <w:tc>
          <w:tcPr>
            <w:tcW w:w="320" w:type="pct"/>
            <w:tcBorders>
              <w:top w:val="nil"/>
              <w:left w:val="nil"/>
              <w:bottom w:val="nil"/>
              <w:right w:val="nil"/>
            </w:tcBorders>
            <w:shd w:val="clear" w:color="auto" w:fill="auto"/>
            <w:noWrap/>
            <w:vAlign w:val="center"/>
            <w:hideMark/>
          </w:tcPr>
          <w:p w14:paraId="0C3F7D00" w14:textId="77777777" w:rsidR="00E838DF" w:rsidRPr="002E2F6B" w:rsidRDefault="00E838DF" w:rsidP="00110A7F">
            <w:pPr>
              <w:spacing w:before="0" w:after="0"/>
              <w:rPr>
                <w:sz w:val="16"/>
                <w:szCs w:val="16"/>
              </w:rPr>
            </w:pPr>
            <w:r w:rsidRPr="002E2F6B">
              <w:rPr>
                <w:sz w:val="16"/>
                <w:szCs w:val="16"/>
              </w:rPr>
              <w:t>0.14</w:t>
            </w:r>
          </w:p>
        </w:tc>
      </w:tr>
      <w:tr w:rsidR="00E838DF" w:rsidRPr="002E2F6B" w14:paraId="0C3F7D11" w14:textId="77777777" w:rsidTr="00E838DF">
        <w:trPr>
          <w:trHeight w:val="20"/>
        </w:trPr>
        <w:tc>
          <w:tcPr>
            <w:tcW w:w="400" w:type="pct"/>
            <w:tcBorders>
              <w:top w:val="nil"/>
              <w:left w:val="nil"/>
              <w:bottom w:val="nil"/>
              <w:right w:val="nil"/>
            </w:tcBorders>
            <w:shd w:val="clear" w:color="auto" w:fill="auto"/>
            <w:noWrap/>
            <w:vAlign w:val="center"/>
            <w:hideMark/>
          </w:tcPr>
          <w:p w14:paraId="0C3F7D02" w14:textId="77777777" w:rsidR="00E838DF" w:rsidRPr="002E2F6B" w:rsidRDefault="00E838DF" w:rsidP="00110A7F">
            <w:pPr>
              <w:spacing w:before="0" w:after="0"/>
              <w:rPr>
                <w:sz w:val="16"/>
                <w:szCs w:val="16"/>
              </w:rPr>
            </w:pPr>
            <w:r w:rsidRPr="002E2F6B">
              <w:rPr>
                <w:sz w:val="16"/>
                <w:szCs w:val="16"/>
              </w:rPr>
              <w:t>DIN</w:t>
            </w:r>
          </w:p>
        </w:tc>
        <w:tc>
          <w:tcPr>
            <w:tcW w:w="323" w:type="pct"/>
            <w:tcBorders>
              <w:top w:val="nil"/>
              <w:left w:val="nil"/>
              <w:bottom w:val="nil"/>
              <w:right w:val="nil"/>
            </w:tcBorders>
            <w:shd w:val="clear" w:color="auto" w:fill="auto"/>
            <w:noWrap/>
            <w:vAlign w:val="center"/>
            <w:hideMark/>
          </w:tcPr>
          <w:p w14:paraId="0C3F7D03" w14:textId="77777777" w:rsidR="00E838DF" w:rsidRPr="002E2F6B" w:rsidRDefault="00E838DF" w:rsidP="00110A7F">
            <w:pPr>
              <w:spacing w:before="0" w:after="0"/>
              <w:rPr>
                <w:sz w:val="16"/>
                <w:szCs w:val="16"/>
              </w:rPr>
            </w:pPr>
            <w:r w:rsidRPr="002E2F6B">
              <w:rPr>
                <w:sz w:val="16"/>
                <w:szCs w:val="16"/>
              </w:rPr>
              <w:t>-0.12</w:t>
            </w:r>
          </w:p>
        </w:tc>
        <w:tc>
          <w:tcPr>
            <w:tcW w:w="400" w:type="pct"/>
            <w:tcBorders>
              <w:top w:val="nil"/>
              <w:left w:val="nil"/>
              <w:bottom w:val="nil"/>
              <w:right w:val="nil"/>
            </w:tcBorders>
            <w:shd w:val="clear" w:color="auto" w:fill="auto"/>
            <w:noWrap/>
            <w:vAlign w:val="center"/>
            <w:hideMark/>
          </w:tcPr>
          <w:p w14:paraId="0C3F7D04" w14:textId="77777777" w:rsidR="00E838DF" w:rsidRPr="002E2F6B" w:rsidRDefault="00E838DF" w:rsidP="00110A7F">
            <w:pPr>
              <w:spacing w:before="0" w:after="0"/>
              <w:rPr>
                <w:sz w:val="16"/>
                <w:szCs w:val="16"/>
              </w:rPr>
            </w:pPr>
            <w:r w:rsidRPr="002E2F6B">
              <w:rPr>
                <w:sz w:val="16"/>
                <w:szCs w:val="16"/>
              </w:rPr>
              <w:t>0.04</w:t>
            </w:r>
          </w:p>
        </w:tc>
        <w:tc>
          <w:tcPr>
            <w:tcW w:w="328" w:type="pct"/>
            <w:tcBorders>
              <w:top w:val="nil"/>
              <w:left w:val="nil"/>
              <w:bottom w:val="nil"/>
              <w:right w:val="nil"/>
            </w:tcBorders>
            <w:shd w:val="clear" w:color="auto" w:fill="auto"/>
            <w:noWrap/>
            <w:vAlign w:val="center"/>
            <w:hideMark/>
          </w:tcPr>
          <w:p w14:paraId="0C3F7D05"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D06" w14:textId="77777777" w:rsidR="00E838DF" w:rsidRPr="002E2F6B" w:rsidRDefault="00E838DF" w:rsidP="00110A7F">
            <w:pPr>
              <w:spacing w:before="0" w:after="0"/>
              <w:rPr>
                <w:sz w:val="16"/>
                <w:szCs w:val="16"/>
              </w:rPr>
            </w:pPr>
            <w:r w:rsidRPr="002E2F6B">
              <w:rPr>
                <w:sz w:val="16"/>
                <w:szCs w:val="16"/>
              </w:rPr>
              <w:t>0.00</w:t>
            </w:r>
          </w:p>
        </w:tc>
        <w:tc>
          <w:tcPr>
            <w:tcW w:w="323" w:type="pct"/>
            <w:tcBorders>
              <w:top w:val="nil"/>
              <w:left w:val="nil"/>
              <w:bottom w:val="nil"/>
              <w:right w:val="nil"/>
            </w:tcBorders>
            <w:shd w:val="clear" w:color="auto" w:fill="auto"/>
            <w:noWrap/>
            <w:vAlign w:val="center"/>
            <w:hideMark/>
          </w:tcPr>
          <w:p w14:paraId="0C3F7D07"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D08" w14:textId="77777777" w:rsidR="00E838DF" w:rsidRPr="002E2F6B" w:rsidRDefault="00E838DF" w:rsidP="00110A7F">
            <w:pPr>
              <w:spacing w:before="0" w:after="0"/>
              <w:rPr>
                <w:sz w:val="16"/>
                <w:szCs w:val="16"/>
              </w:rPr>
            </w:pPr>
            <w:r w:rsidRPr="002E2F6B">
              <w:rPr>
                <w:sz w:val="16"/>
                <w:szCs w:val="16"/>
              </w:rPr>
              <w:t>-0.32</w:t>
            </w:r>
          </w:p>
        </w:tc>
        <w:tc>
          <w:tcPr>
            <w:tcW w:w="323" w:type="pct"/>
            <w:tcBorders>
              <w:top w:val="nil"/>
              <w:left w:val="nil"/>
              <w:bottom w:val="nil"/>
              <w:right w:val="nil"/>
            </w:tcBorders>
            <w:shd w:val="clear" w:color="auto" w:fill="auto"/>
            <w:noWrap/>
            <w:vAlign w:val="center"/>
            <w:hideMark/>
          </w:tcPr>
          <w:p w14:paraId="0C3F7D09" w14:textId="77777777" w:rsidR="00E838DF" w:rsidRPr="002E2F6B" w:rsidRDefault="00E838DF" w:rsidP="00110A7F">
            <w:pPr>
              <w:spacing w:before="0" w:after="0"/>
              <w:rPr>
                <w:sz w:val="16"/>
                <w:szCs w:val="16"/>
              </w:rPr>
            </w:pPr>
            <w:r w:rsidRPr="002E2F6B">
              <w:rPr>
                <w:sz w:val="16"/>
                <w:szCs w:val="16"/>
              </w:rPr>
              <w:t>-0.22</w:t>
            </w:r>
          </w:p>
        </w:tc>
        <w:tc>
          <w:tcPr>
            <w:tcW w:w="323" w:type="pct"/>
            <w:tcBorders>
              <w:top w:val="nil"/>
              <w:left w:val="nil"/>
              <w:bottom w:val="nil"/>
              <w:right w:val="nil"/>
            </w:tcBorders>
            <w:shd w:val="clear" w:color="auto" w:fill="auto"/>
            <w:noWrap/>
            <w:vAlign w:val="center"/>
            <w:hideMark/>
          </w:tcPr>
          <w:p w14:paraId="0C3F7D0A"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D0B"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D0C" w14:textId="77777777" w:rsidR="00E838DF" w:rsidRPr="002E2F6B" w:rsidRDefault="00E838DF" w:rsidP="00110A7F">
            <w:pPr>
              <w:spacing w:before="0" w:after="0"/>
              <w:rPr>
                <w:sz w:val="16"/>
                <w:szCs w:val="16"/>
              </w:rPr>
            </w:pPr>
            <w:r w:rsidRPr="002E2F6B">
              <w:rPr>
                <w:sz w:val="16"/>
                <w:szCs w:val="16"/>
              </w:rPr>
              <w:t>-0.01</w:t>
            </w:r>
          </w:p>
        </w:tc>
        <w:tc>
          <w:tcPr>
            <w:tcW w:w="323" w:type="pct"/>
            <w:tcBorders>
              <w:top w:val="nil"/>
              <w:left w:val="nil"/>
              <w:bottom w:val="nil"/>
              <w:right w:val="nil"/>
            </w:tcBorders>
            <w:shd w:val="clear" w:color="auto" w:fill="auto"/>
            <w:noWrap/>
            <w:vAlign w:val="center"/>
            <w:hideMark/>
          </w:tcPr>
          <w:p w14:paraId="0C3F7D0D"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D0E"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D0F" w14:textId="77777777" w:rsidR="00E838DF" w:rsidRPr="002E2F6B" w:rsidRDefault="00E838DF" w:rsidP="00110A7F">
            <w:pPr>
              <w:spacing w:before="0" w:after="0"/>
              <w:rPr>
                <w:sz w:val="16"/>
                <w:szCs w:val="16"/>
              </w:rPr>
            </w:pPr>
            <w:r w:rsidRPr="002E2F6B">
              <w:rPr>
                <w:sz w:val="16"/>
                <w:szCs w:val="16"/>
              </w:rPr>
              <w:t>0.25</w:t>
            </w:r>
          </w:p>
        </w:tc>
        <w:tc>
          <w:tcPr>
            <w:tcW w:w="320" w:type="pct"/>
            <w:tcBorders>
              <w:top w:val="nil"/>
              <w:left w:val="nil"/>
              <w:bottom w:val="nil"/>
              <w:right w:val="nil"/>
            </w:tcBorders>
            <w:shd w:val="clear" w:color="auto" w:fill="auto"/>
            <w:noWrap/>
            <w:vAlign w:val="center"/>
            <w:hideMark/>
          </w:tcPr>
          <w:p w14:paraId="0C3F7D10" w14:textId="77777777" w:rsidR="00E838DF" w:rsidRPr="002E2F6B" w:rsidRDefault="00E838DF" w:rsidP="00110A7F">
            <w:pPr>
              <w:spacing w:before="0" w:after="0"/>
              <w:rPr>
                <w:sz w:val="16"/>
                <w:szCs w:val="16"/>
              </w:rPr>
            </w:pPr>
            <w:r w:rsidRPr="002E2F6B">
              <w:rPr>
                <w:sz w:val="16"/>
                <w:szCs w:val="16"/>
              </w:rPr>
              <w:t>0.23</w:t>
            </w:r>
          </w:p>
        </w:tc>
      </w:tr>
      <w:tr w:rsidR="00E838DF" w:rsidRPr="002E2F6B" w14:paraId="0C3F7D21" w14:textId="77777777" w:rsidTr="00E838DF">
        <w:trPr>
          <w:trHeight w:val="20"/>
        </w:trPr>
        <w:tc>
          <w:tcPr>
            <w:tcW w:w="400" w:type="pct"/>
            <w:tcBorders>
              <w:top w:val="nil"/>
              <w:left w:val="nil"/>
              <w:bottom w:val="nil"/>
              <w:right w:val="nil"/>
            </w:tcBorders>
            <w:shd w:val="clear" w:color="auto" w:fill="auto"/>
            <w:noWrap/>
            <w:vAlign w:val="center"/>
            <w:hideMark/>
          </w:tcPr>
          <w:p w14:paraId="0C3F7D12" w14:textId="77777777" w:rsidR="00E838DF" w:rsidRPr="002E2F6B" w:rsidRDefault="00E838DF" w:rsidP="00110A7F">
            <w:pPr>
              <w:spacing w:before="0" w:after="0"/>
              <w:rPr>
                <w:sz w:val="16"/>
                <w:szCs w:val="16"/>
              </w:rPr>
            </w:pPr>
            <w:r w:rsidRPr="002E2F6B">
              <w:rPr>
                <w:sz w:val="16"/>
                <w:szCs w:val="16"/>
              </w:rPr>
              <w:t>TP</w:t>
            </w:r>
          </w:p>
        </w:tc>
        <w:tc>
          <w:tcPr>
            <w:tcW w:w="323" w:type="pct"/>
            <w:tcBorders>
              <w:top w:val="nil"/>
              <w:left w:val="nil"/>
              <w:bottom w:val="nil"/>
              <w:right w:val="nil"/>
            </w:tcBorders>
            <w:shd w:val="clear" w:color="auto" w:fill="auto"/>
            <w:noWrap/>
            <w:vAlign w:val="center"/>
            <w:hideMark/>
          </w:tcPr>
          <w:p w14:paraId="0C3F7D13" w14:textId="77777777" w:rsidR="00E838DF" w:rsidRPr="002E2F6B" w:rsidRDefault="00E838DF" w:rsidP="00110A7F">
            <w:pPr>
              <w:spacing w:before="0" w:after="0"/>
              <w:rPr>
                <w:sz w:val="16"/>
                <w:szCs w:val="16"/>
              </w:rPr>
            </w:pPr>
            <w:r w:rsidRPr="002E2F6B">
              <w:rPr>
                <w:sz w:val="16"/>
                <w:szCs w:val="16"/>
              </w:rPr>
              <w:t>-0.39</w:t>
            </w:r>
          </w:p>
        </w:tc>
        <w:tc>
          <w:tcPr>
            <w:tcW w:w="400" w:type="pct"/>
            <w:tcBorders>
              <w:top w:val="nil"/>
              <w:left w:val="nil"/>
              <w:bottom w:val="nil"/>
              <w:right w:val="nil"/>
            </w:tcBorders>
            <w:shd w:val="clear" w:color="auto" w:fill="auto"/>
            <w:noWrap/>
            <w:vAlign w:val="center"/>
            <w:hideMark/>
          </w:tcPr>
          <w:p w14:paraId="0C3F7D14" w14:textId="77777777" w:rsidR="00E838DF" w:rsidRPr="002E2F6B" w:rsidRDefault="00E838DF" w:rsidP="00110A7F">
            <w:pPr>
              <w:spacing w:before="0" w:after="0"/>
              <w:rPr>
                <w:sz w:val="16"/>
                <w:szCs w:val="16"/>
              </w:rPr>
            </w:pPr>
            <w:r w:rsidRPr="002E2F6B">
              <w:rPr>
                <w:sz w:val="16"/>
                <w:szCs w:val="16"/>
              </w:rPr>
              <w:t>-0.27</w:t>
            </w:r>
          </w:p>
        </w:tc>
        <w:tc>
          <w:tcPr>
            <w:tcW w:w="328" w:type="pct"/>
            <w:tcBorders>
              <w:top w:val="nil"/>
              <w:left w:val="nil"/>
              <w:bottom w:val="nil"/>
              <w:right w:val="nil"/>
            </w:tcBorders>
            <w:shd w:val="clear" w:color="auto" w:fill="auto"/>
            <w:noWrap/>
            <w:vAlign w:val="center"/>
            <w:hideMark/>
          </w:tcPr>
          <w:p w14:paraId="0C3F7D15" w14:textId="77777777" w:rsidR="00E838DF" w:rsidRPr="002E2F6B" w:rsidRDefault="00E838DF" w:rsidP="00110A7F">
            <w:pPr>
              <w:spacing w:before="0" w:after="0"/>
              <w:rPr>
                <w:sz w:val="16"/>
                <w:szCs w:val="16"/>
              </w:rPr>
            </w:pPr>
            <w:r w:rsidRPr="002E2F6B">
              <w:rPr>
                <w:sz w:val="16"/>
                <w:szCs w:val="16"/>
              </w:rPr>
              <w:t>-0.16</w:t>
            </w:r>
          </w:p>
        </w:tc>
        <w:tc>
          <w:tcPr>
            <w:tcW w:w="323" w:type="pct"/>
            <w:tcBorders>
              <w:top w:val="nil"/>
              <w:left w:val="nil"/>
              <w:bottom w:val="nil"/>
              <w:right w:val="nil"/>
            </w:tcBorders>
            <w:shd w:val="clear" w:color="auto" w:fill="auto"/>
            <w:noWrap/>
            <w:vAlign w:val="center"/>
            <w:hideMark/>
          </w:tcPr>
          <w:p w14:paraId="0C3F7D16"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D17" w14:textId="77777777" w:rsidR="00E838DF" w:rsidRPr="002E2F6B" w:rsidRDefault="00E838DF" w:rsidP="00110A7F">
            <w:pPr>
              <w:spacing w:before="0" w:after="0"/>
              <w:rPr>
                <w:sz w:val="16"/>
                <w:szCs w:val="16"/>
              </w:rPr>
            </w:pPr>
            <w:r w:rsidRPr="002E2F6B">
              <w:rPr>
                <w:sz w:val="16"/>
                <w:szCs w:val="16"/>
              </w:rPr>
              <w:t>-0.03</w:t>
            </w:r>
          </w:p>
        </w:tc>
        <w:tc>
          <w:tcPr>
            <w:tcW w:w="323" w:type="pct"/>
            <w:tcBorders>
              <w:top w:val="nil"/>
              <w:left w:val="nil"/>
              <w:bottom w:val="nil"/>
              <w:right w:val="nil"/>
            </w:tcBorders>
            <w:shd w:val="clear" w:color="auto" w:fill="auto"/>
            <w:noWrap/>
            <w:vAlign w:val="center"/>
            <w:hideMark/>
          </w:tcPr>
          <w:p w14:paraId="0C3F7D18"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D19" w14:textId="77777777" w:rsidR="00E838DF" w:rsidRPr="002E2F6B" w:rsidRDefault="00E838DF" w:rsidP="00110A7F">
            <w:pPr>
              <w:spacing w:before="0" w:after="0"/>
              <w:rPr>
                <w:sz w:val="16"/>
                <w:szCs w:val="16"/>
              </w:rPr>
            </w:pPr>
            <w:r w:rsidRPr="002E2F6B">
              <w:rPr>
                <w:sz w:val="16"/>
                <w:szCs w:val="16"/>
              </w:rPr>
              <w:t>0.58</w:t>
            </w:r>
          </w:p>
        </w:tc>
        <w:tc>
          <w:tcPr>
            <w:tcW w:w="323" w:type="pct"/>
            <w:tcBorders>
              <w:top w:val="nil"/>
              <w:left w:val="nil"/>
              <w:bottom w:val="nil"/>
              <w:right w:val="nil"/>
            </w:tcBorders>
            <w:shd w:val="clear" w:color="auto" w:fill="auto"/>
            <w:noWrap/>
            <w:vAlign w:val="center"/>
            <w:hideMark/>
          </w:tcPr>
          <w:p w14:paraId="0C3F7D1A" w14:textId="77777777" w:rsidR="00E838DF" w:rsidRPr="002E2F6B" w:rsidRDefault="00E838DF" w:rsidP="00110A7F">
            <w:pPr>
              <w:spacing w:before="0" w:after="0"/>
              <w:rPr>
                <w:sz w:val="16"/>
                <w:szCs w:val="16"/>
              </w:rPr>
            </w:pPr>
            <w:r w:rsidRPr="002E2F6B">
              <w:rPr>
                <w:sz w:val="16"/>
                <w:szCs w:val="16"/>
              </w:rPr>
              <w:t>0.21</w:t>
            </w:r>
          </w:p>
        </w:tc>
        <w:tc>
          <w:tcPr>
            <w:tcW w:w="323" w:type="pct"/>
            <w:tcBorders>
              <w:top w:val="nil"/>
              <w:left w:val="nil"/>
              <w:bottom w:val="nil"/>
              <w:right w:val="nil"/>
            </w:tcBorders>
            <w:shd w:val="clear" w:color="auto" w:fill="auto"/>
            <w:noWrap/>
            <w:vAlign w:val="center"/>
            <w:hideMark/>
          </w:tcPr>
          <w:p w14:paraId="0C3F7D1B"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000000" w:fill="FFFF00"/>
            <w:noWrap/>
            <w:vAlign w:val="center"/>
            <w:hideMark/>
          </w:tcPr>
          <w:p w14:paraId="0C3F7D1C" w14:textId="77777777" w:rsidR="00E838DF" w:rsidRPr="002E2F6B" w:rsidRDefault="00E838DF" w:rsidP="00110A7F">
            <w:pPr>
              <w:spacing w:before="0" w:after="0"/>
              <w:rPr>
                <w:sz w:val="16"/>
                <w:szCs w:val="16"/>
              </w:rPr>
            </w:pPr>
            <w:r w:rsidRPr="002E2F6B">
              <w:rPr>
                <w:sz w:val="16"/>
                <w:szCs w:val="16"/>
              </w:rPr>
              <w:t>0.62</w:t>
            </w:r>
          </w:p>
        </w:tc>
        <w:tc>
          <w:tcPr>
            <w:tcW w:w="323" w:type="pct"/>
            <w:tcBorders>
              <w:top w:val="nil"/>
              <w:left w:val="nil"/>
              <w:bottom w:val="nil"/>
              <w:right w:val="nil"/>
            </w:tcBorders>
            <w:shd w:val="clear" w:color="auto" w:fill="auto"/>
            <w:noWrap/>
            <w:vAlign w:val="center"/>
            <w:hideMark/>
          </w:tcPr>
          <w:p w14:paraId="0C3F7D1D"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D1E"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D1F" w14:textId="77777777" w:rsidR="00E838DF" w:rsidRPr="002E2F6B" w:rsidRDefault="00E838DF" w:rsidP="00110A7F">
            <w:pPr>
              <w:spacing w:before="0" w:after="0"/>
              <w:rPr>
                <w:sz w:val="16"/>
                <w:szCs w:val="16"/>
              </w:rPr>
            </w:pPr>
            <w:r w:rsidRPr="002E2F6B">
              <w:rPr>
                <w:sz w:val="16"/>
                <w:szCs w:val="16"/>
              </w:rPr>
              <w:t>0.39</w:t>
            </w:r>
          </w:p>
        </w:tc>
        <w:tc>
          <w:tcPr>
            <w:tcW w:w="320" w:type="pct"/>
            <w:tcBorders>
              <w:top w:val="nil"/>
              <w:left w:val="nil"/>
              <w:bottom w:val="nil"/>
              <w:right w:val="nil"/>
            </w:tcBorders>
            <w:shd w:val="clear" w:color="auto" w:fill="auto"/>
            <w:noWrap/>
            <w:vAlign w:val="center"/>
            <w:hideMark/>
          </w:tcPr>
          <w:p w14:paraId="0C3F7D20" w14:textId="77777777" w:rsidR="00E838DF" w:rsidRPr="002E2F6B" w:rsidRDefault="00E838DF" w:rsidP="00110A7F">
            <w:pPr>
              <w:spacing w:before="0" w:after="0"/>
              <w:rPr>
                <w:sz w:val="16"/>
                <w:szCs w:val="16"/>
              </w:rPr>
            </w:pPr>
            <w:r w:rsidRPr="002E2F6B">
              <w:rPr>
                <w:sz w:val="16"/>
                <w:szCs w:val="16"/>
              </w:rPr>
              <w:t>0.36</w:t>
            </w:r>
          </w:p>
        </w:tc>
      </w:tr>
      <w:tr w:rsidR="00E838DF" w:rsidRPr="002E2F6B" w14:paraId="0C3F7D31" w14:textId="77777777" w:rsidTr="00E838DF">
        <w:trPr>
          <w:trHeight w:val="20"/>
        </w:trPr>
        <w:tc>
          <w:tcPr>
            <w:tcW w:w="400" w:type="pct"/>
            <w:tcBorders>
              <w:top w:val="nil"/>
              <w:left w:val="nil"/>
              <w:bottom w:val="nil"/>
              <w:right w:val="nil"/>
            </w:tcBorders>
            <w:shd w:val="clear" w:color="auto" w:fill="auto"/>
            <w:noWrap/>
            <w:vAlign w:val="center"/>
            <w:hideMark/>
          </w:tcPr>
          <w:p w14:paraId="0C3F7D22" w14:textId="77777777" w:rsidR="00E838DF" w:rsidRPr="002E2F6B" w:rsidRDefault="00E838DF" w:rsidP="00110A7F">
            <w:pPr>
              <w:spacing w:before="0" w:after="0"/>
              <w:rPr>
                <w:sz w:val="16"/>
                <w:szCs w:val="16"/>
              </w:rPr>
            </w:pPr>
            <w:r w:rsidRPr="002E2F6B">
              <w:rPr>
                <w:sz w:val="16"/>
                <w:szCs w:val="16"/>
              </w:rPr>
              <w:t>TDP</w:t>
            </w:r>
          </w:p>
        </w:tc>
        <w:tc>
          <w:tcPr>
            <w:tcW w:w="323" w:type="pct"/>
            <w:tcBorders>
              <w:top w:val="nil"/>
              <w:left w:val="nil"/>
              <w:bottom w:val="nil"/>
              <w:right w:val="nil"/>
            </w:tcBorders>
            <w:shd w:val="clear" w:color="auto" w:fill="auto"/>
            <w:noWrap/>
            <w:vAlign w:val="center"/>
            <w:hideMark/>
          </w:tcPr>
          <w:p w14:paraId="0C3F7D23" w14:textId="77777777" w:rsidR="00E838DF" w:rsidRPr="002E2F6B" w:rsidRDefault="00E838DF" w:rsidP="00110A7F">
            <w:pPr>
              <w:spacing w:before="0" w:after="0"/>
              <w:rPr>
                <w:sz w:val="16"/>
                <w:szCs w:val="16"/>
              </w:rPr>
            </w:pPr>
            <w:r w:rsidRPr="002E2F6B">
              <w:rPr>
                <w:sz w:val="16"/>
                <w:szCs w:val="16"/>
              </w:rPr>
              <w:t>-0.27</w:t>
            </w:r>
          </w:p>
        </w:tc>
        <w:tc>
          <w:tcPr>
            <w:tcW w:w="400" w:type="pct"/>
            <w:tcBorders>
              <w:top w:val="nil"/>
              <w:left w:val="nil"/>
              <w:bottom w:val="nil"/>
              <w:right w:val="nil"/>
            </w:tcBorders>
            <w:shd w:val="clear" w:color="auto" w:fill="auto"/>
            <w:noWrap/>
            <w:vAlign w:val="center"/>
            <w:hideMark/>
          </w:tcPr>
          <w:p w14:paraId="0C3F7D24" w14:textId="77777777" w:rsidR="00E838DF" w:rsidRPr="002E2F6B" w:rsidRDefault="00E838DF" w:rsidP="00110A7F">
            <w:pPr>
              <w:spacing w:before="0" w:after="0"/>
              <w:rPr>
                <w:sz w:val="16"/>
                <w:szCs w:val="16"/>
              </w:rPr>
            </w:pPr>
            <w:r w:rsidRPr="002E2F6B">
              <w:rPr>
                <w:sz w:val="16"/>
                <w:szCs w:val="16"/>
              </w:rPr>
              <w:t>-0.18</w:t>
            </w:r>
          </w:p>
        </w:tc>
        <w:tc>
          <w:tcPr>
            <w:tcW w:w="328" w:type="pct"/>
            <w:tcBorders>
              <w:top w:val="nil"/>
              <w:left w:val="nil"/>
              <w:bottom w:val="nil"/>
              <w:right w:val="nil"/>
            </w:tcBorders>
            <w:shd w:val="clear" w:color="auto" w:fill="auto"/>
            <w:noWrap/>
            <w:vAlign w:val="center"/>
            <w:hideMark/>
          </w:tcPr>
          <w:p w14:paraId="0C3F7D25" w14:textId="77777777" w:rsidR="00E838DF" w:rsidRPr="002E2F6B" w:rsidRDefault="00E838DF" w:rsidP="00110A7F">
            <w:pPr>
              <w:spacing w:before="0" w:after="0"/>
              <w:rPr>
                <w:sz w:val="16"/>
                <w:szCs w:val="16"/>
              </w:rPr>
            </w:pPr>
            <w:r w:rsidRPr="002E2F6B">
              <w:rPr>
                <w:sz w:val="16"/>
                <w:szCs w:val="16"/>
              </w:rPr>
              <w:t>-0.05</w:t>
            </w:r>
          </w:p>
        </w:tc>
        <w:tc>
          <w:tcPr>
            <w:tcW w:w="323" w:type="pct"/>
            <w:tcBorders>
              <w:top w:val="nil"/>
              <w:left w:val="nil"/>
              <w:bottom w:val="nil"/>
              <w:right w:val="nil"/>
            </w:tcBorders>
            <w:shd w:val="clear" w:color="auto" w:fill="auto"/>
            <w:noWrap/>
            <w:vAlign w:val="center"/>
            <w:hideMark/>
          </w:tcPr>
          <w:p w14:paraId="0C3F7D26"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D27" w14:textId="77777777" w:rsidR="00E838DF" w:rsidRPr="002E2F6B" w:rsidRDefault="00E838DF" w:rsidP="00110A7F">
            <w:pPr>
              <w:spacing w:before="0" w:after="0"/>
              <w:rPr>
                <w:sz w:val="16"/>
                <w:szCs w:val="16"/>
              </w:rPr>
            </w:pPr>
            <w:r w:rsidRPr="002E2F6B">
              <w:rPr>
                <w:sz w:val="16"/>
                <w:szCs w:val="16"/>
              </w:rPr>
              <w:t>-0.11</w:t>
            </w:r>
          </w:p>
        </w:tc>
        <w:tc>
          <w:tcPr>
            <w:tcW w:w="323" w:type="pct"/>
            <w:tcBorders>
              <w:top w:val="nil"/>
              <w:left w:val="nil"/>
              <w:bottom w:val="nil"/>
              <w:right w:val="nil"/>
            </w:tcBorders>
            <w:shd w:val="clear" w:color="auto" w:fill="auto"/>
            <w:noWrap/>
            <w:vAlign w:val="center"/>
            <w:hideMark/>
          </w:tcPr>
          <w:p w14:paraId="0C3F7D28" w14:textId="77777777" w:rsidR="00E838DF" w:rsidRPr="002E2F6B" w:rsidRDefault="00E838DF" w:rsidP="00110A7F">
            <w:pPr>
              <w:spacing w:before="0" w:after="0"/>
              <w:rPr>
                <w:sz w:val="16"/>
                <w:szCs w:val="16"/>
              </w:rPr>
            </w:pPr>
            <w:r w:rsidRPr="002E2F6B">
              <w:rPr>
                <w:sz w:val="16"/>
                <w:szCs w:val="16"/>
              </w:rPr>
              <w:t>0.04</w:t>
            </w:r>
          </w:p>
        </w:tc>
        <w:tc>
          <w:tcPr>
            <w:tcW w:w="323" w:type="pct"/>
            <w:tcBorders>
              <w:top w:val="nil"/>
              <w:left w:val="nil"/>
              <w:bottom w:val="nil"/>
              <w:right w:val="nil"/>
            </w:tcBorders>
            <w:shd w:val="clear" w:color="auto" w:fill="auto"/>
            <w:noWrap/>
            <w:vAlign w:val="center"/>
            <w:hideMark/>
          </w:tcPr>
          <w:p w14:paraId="0C3F7D29" w14:textId="77777777" w:rsidR="00E838DF" w:rsidRPr="002E2F6B" w:rsidRDefault="00E838DF" w:rsidP="00110A7F">
            <w:pPr>
              <w:spacing w:before="0" w:after="0"/>
              <w:rPr>
                <w:sz w:val="16"/>
                <w:szCs w:val="16"/>
              </w:rPr>
            </w:pPr>
            <w:r w:rsidRPr="002E2F6B">
              <w:rPr>
                <w:sz w:val="16"/>
                <w:szCs w:val="16"/>
              </w:rPr>
              <w:t>0.48</w:t>
            </w:r>
          </w:p>
        </w:tc>
        <w:tc>
          <w:tcPr>
            <w:tcW w:w="323" w:type="pct"/>
            <w:tcBorders>
              <w:top w:val="nil"/>
              <w:left w:val="nil"/>
              <w:bottom w:val="nil"/>
              <w:right w:val="nil"/>
            </w:tcBorders>
            <w:shd w:val="clear" w:color="auto" w:fill="auto"/>
            <w:noWrap/>
            <w:vAlign w:val="center"/>
            <w:hideMark/>
          </w:tcPr>
          <w:p w14:paraId="0C3F7D2A" w14:textId="77777777" w:rsidR="00E838DF" w:rsidRPr="002E2F6B" w:rsidRDefault="00E838DF" w:rsidP="00110A7F">
            <w:pPr>
              <w:spacing w:before="0" w:after="0"/>
              <w:rPr>
                <w:sz w:val="16"/>
                <w:szCs w:val="16"/>
              </w:rPr>
            </w:pPr>
            <w:r w:rsidRPr="002E2F6B">
              <w:rPr>
                <w:sz w:val="16"/>
                <w:szCs w:val="16"/>
              </w:rPr>
              <w:t>-0.01</w:t>
            </w:r>
          </w:p>
        </w:tc>
        <w:tc>
          <w:tcPr>
            <w:tcW w:w="323" w:type="pct"/>
            <w:tcBorders>
              <w:top w:val="nil"/>
              <w:left w:val="nil"/>
              <w:bottom w:val="nil"/>
              <w:right w:val="nil"/>
            </w:tcBorders>
            <w:shd w:val="clear" w:color="000000" w:fill="FFFF00"/>
            <w:noWrap/>
            <w:vAlign w:val="center"/>
            <w:hideMark/>
          </w:tcPr>
          <w:p w14:paraId="0C3F7D2B" w14:textId="77777777" w:rsidR="00E838DF" w:rsidRPr="002E2F6B" w:rsidRDefault="00E838DF" w:rsidP="00110A7F">
            <w:pPr>
              <w:spacing w:before="0" w:after="0"/>
              <w:rPr>
                <w:sz w:val="16"/>
                <w:szCs w:val="16"/>
              </w:rPr>
            </w:pPr>
            <w:r w:rsidRPr="002E2F6B">
              <w:rPr>
                <w:sz w:val="16"/>
                <w:szCs w:val="16"/>
              </w:rPr>
              <w:t>0.62</w:t>
            </w:r>
          </w:p>
        </w:tc>
        <w:tc>
          <w:tcPr>
            <w:tcW w:w="323" w:type="pct"/>
            <w:tcBorders>
              <w:top w:val="nil"/>
              <w:left w:val="nil"/>
              <w:bottom w:val="nil"/>
              <w:right w:val="nil"/>
            </w:tcBorders>
            <w:shd w:val="clear" w:color="auto" w:fill="auto"/>
            <w:noWrap/>
            <w:vAlign w:val="center"/>
            <w:hideMark/>
          </w:tcPr>
          <w:p w14:paraId="0C3F7D2C"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D2D"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D2E" w14:textId="77777777" w:rsidR="00E838DF" w:rsidRPr="002E2F6B" w:rsidRDefault="00E838DF" w:rsidP="00110A7F">
            <w:pPr>
              <w:spacing w:before="0" w:after="0"/>
              <w:rPr>
                <w:sz w:val="16"/>
                <w:szCs w:val="16"/>
              </w:rPr>
            </w:pPr>
            <w:r w:rsidRPr="002E2F6B">
              <w:rPr>
                <w:sz w:val="16"/>
                <w:szCs w:val="16"/>
              </w:rPr>
              <w:t>-0.36</w:t>
            </w:r>
          </w:p>
        </w:tc>
        <w:tc>
          <w:tcPr>
            <w:tcW w:w="323" w:type="pct"/>
            <w:tcBorders>
              <w:top w:val="nil"/>
              <w:left w:val="nil"/>
              <w:bottom w:val="nil"/>
              <w:right w:val="nil"/>
            </w:tcBorders>
            <w:shd w:val="clear" w:color="auto" w:fill="auto"/>
            <w:noWrap/>
            <w:vAlign w:val="center"/>
            <w:hideMark/>
          </w:tcPr>
          <w:p w14:paraId="0C3F7D2F" w14:textId="77777777" w:rsidR="00E838DF" w:rsidRPr="002E2F6B" w:rsidRDefault="00E838DF" w:rsidP="00110A7F">
            <w:pPr>
              <w:spacing w:before="0" w:after="0"/>
              <w:rPr>
                <w:sz w:val="16"/>
                <w:szCs w:val="16"/>
              </w:rPr>
            </w:pPr>
            <w:r w:rsidRPr="002E2F6B">
              <w:rPr>
                <w:sz w:val="16"/>
                <w:szCs w:val="16"/>
              </w:rPr>
              <w:t>-0.40</w:t>
            </w:r>
          </w:p>
        </w:tc>
        <w:tc>
          <w:tcPr>
            <w:tcW w:w="320" w:type="pct"/>
            <w:tcBorders>
              <w:top w:val="nil"/>
              <w:left w:val="nil"/>
              <w:bottom w:val="nil"/>
              <w:right w:val="nil"/>
            </w:tcBorders>
            <w:shd w:val="clear" w:color="auto" w:fill="auto"/>
            <w:noWrap/>
            <w:vAlign w:val="center"/>
            <w:hideMark/>
          </w:tcPr>
          <w:p w14:paraId="0C3F7D30" w14:textId="77777777" w:rsidR="00E838DF" w:rsidRPr="002E2F6B" w:rsidRDefault="00E838DF" w:rsidP="00110A7F">
            <w:pPr>
              <w:spacing w:before="0" w:after="0"/>
              <w:rPr>
                <w:sz w:val="16"/>
                <w:szCs w:val="16"/>
              </w:rPr>
            </w:pPr>
            <w:r w:rsidRPr="002E2F6B">
              <w:rPr>
                <w:sz w:val="16"/>
                <w:szCs w:val="16"/>
              </w:rPr>
              <w:t>0.12</w:t>
            </w:r>
          </w:p>
        </w:tc>
      </w:tr>
      <w:tr w:rsidR="00E838DF" w:rsidRPr="002E2F6B" w14:paraId="0C3F7D41" w14:textId="77777777" w:rsidTr="00E838DF">
        <w:trPr>
          <w:trHeight w:val="20"/>
        </w:trPr>
        <w:tc>
          <w:tcPr>
            <w:tcW w:w="400" w:type="pct"/>
            <w:tcBorders>
              <w:top w:val="nil"/>
              <w:left w:val="nil"/>
              <w:bottom w:val="nil"/>
              <w:right w:val="nil"/>
            </w:tcBorders>
            <w:shd w:val="clear" w:color="auto" w:fill="auto"/>
            <w:noWrap/>
            <w:vAlign w:val="center"/>
            <w:hideMark/>
          </w:tcPr>
          <w:p w14:paraId="0C3F7D32" w14:textId="77777777" w:rsidR="00E838DF" w:rsidRPr="002E2F6B" w:rsidRDefault="00E838DF" w:rsidP="00110A7F">
            <w:pPr>
              <w:spacing w:before="0" w:after="0"/>
              <w:rPr>
                <w:sz w:val="16"/>
                <w:szCs w:val="16"/>
              </w:rPr>
            </w:pPr>
            <w:r w:rsidRPr="002E2F6B">
              <w:rPr>
                <w:sz w:val="16"/>
                <w:szCs w:val="16"/>
              </w:rPr>
              <w:t>DIP</w:t>
            </w:r>
          </w:p>
        </w:tc>
        <w:tc>
          <w:tcPr>
            <w:tcW w:w="323" w:type="pct"/>
            <w:tcBorders>
              <w:top w:val="nil"/>
              <w:left w:val="nil"/>
              <w:bottom w:val="nil"/>
              <w:right w:val="nil"/>
            </w:tcBorders>
            <w:shd w:val="clear" w:color="auto" w:fill="auto"/>
            <w:noWrap/>
            <w:vAlign w:val="center"/>
            <w:hideMark/>
          </w:tcPr>
          <w:p w14:paraId="0C3F7D33" w14:textId="77777777" w:rsidR="00E838DF" w:rsidRPr="002E2F6B" w:rsidRDefault="00E838DF" w:rsidP="00110A7F">
            <w:pPr>
              <w:spacing w:before="0" w:after="0"/>
              <w:rPr>
                <w:sz w:val="16"/>
                <w:szCs w:val="16"/>
              </w:rPr>
            </w:pPr>
            <w:r w:rsidRPr="002E2F6B">
              <w:rPr>
                <w:sz w:val="16"/>
                <w:szCs w:val="16"/>
              </w:rPr>
              <w:t>-0.09</w:t>
            </w:r>
          </w:p>
        </w:tc>
        <w:tc>
          <w:tcPr>
            <w:tcW w:w="400" w:type="pct"/>
            <w:tcBorders>
              <w:top w:val="nil"/>
              <w:left w:val="nil"/>
              <w:bottom w:val="nil"/>
              <w:right w:val="nil"/>
            </w:tcBorders>
            <w:shd w:val="clear" w:color="auto" w:fill="auto"/>
            <w:noWrap/>
            <w:vAlign w:val="center"/>
            <w:hideMark/>
          </w:tcPr>
          <w:p w14:paraId="0C3F7D34" w14:textId="77777777" w:rsidR="00E838DF" w:rsidRPr="002E2F6B" w:rsidRDefault="00E838DF" w:rsidP="00110A7F">
            <w:pPr>
              <w:spacing w:before="0" w:after="0"/>
              <w:rPr>
                <w:sz w:val="16"/>
                <w:szCs w:val="16"/>
              </w:rPr>
            </w:pPr>
            <w:r w:rsidRPr="002E2F6B">
              <w:rPr>
                <w:sz w:val="16"/>
                <w:szCs w:val="16"/>
              </w:rPr>
              <w:t>-0.10</w:t>
            </w:r>
          </w:p>
        </w:tc>
        <w:tc>
          <w:tcPr>
            <w:tcW w:w="328" w:type="pct"/>
            <w:tcBorders>
              <w:top w:val="nil"/>
              <w:left w:val="nil"/>
              <w:bottom w:val="nil"/>
              <w:right w:val="nil"/>
            </w:tcBorders>
            <w:shd w:val="clear" w:color="auto" w:fill="auto"/>
            <w:noWrap/>
            <w:vAlign w:val="center"/>
            <w:hideMark/>
          </w:tcPr>
          <w:p w14:paraId="0C3F7D35" w14:textId="77777777" w:rsidR="00E838DF" w:rsidRPr="002E2F6B" w:rsidRDefault="00E838DF" w:rsidP="00110A7F">
            <w:pPr>
              <w:spacing w:before="0" w:after="0"/>
              <w:rPr>
                <w:sz w:val="16"/>
                <w:szCs w:val="16"/>
              </w:rPr>
            </w:pPr>
            <w:r w:rsidRPr="002E2F6B">
              <w:rPr>
                <w:sz w:val="16"/>
                <w:szCs w:val="16"/>
              </w:rPr>
              <w:t>-0.06</w:t>
            </w:r>
          </w:p>
        </w:tc>
        <w:tc>
          <w:tcPr>
            <w:tcW w:w="323" w:type="pct"/>
            <w:tcBorders>
              <w:top w:val="nil"/>
              <w:left w:val="nil"/>
              <w:bottom w:val="nil"/>
              <w:right w:val="nil"/>
            </w:tcBorders>
            <w:shd w:val="clear" w:color="auto" w:fill="auto"/>
            <w:noWrap/>
            <w:vAlign w:val="center"/>
            <w:hideMark/>
          </w:tcPr>
          <w:p w14:paraId="0C3F7D36"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D37"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nil"/>
              <w:right w:val="nil"/>
            </w:tcBorders>
            <w:shd w:val="clear" w:color="auto" w:fill="auto"/>
            <w:noWrap/>
            <w:vAlign w:val="center"/>
            <w:hideMark/>
          </w:tcPr>
          <w:p w14:paraId="0C3F7D38"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D39" w14:textId="77777777" w:rsidR="00E838DF" w:rsidRPr="002E2F6B" w:rsidRDefault="00E838DF" w:rsidP="00110A7F">
            <w:pPr>
              <w:spacing w:before="0" w:after="0"/>
              <w:rPr>
                <w:sz w:val="16"/>
                <w:szCs w:val="16"/>
              </w:rPr>
            </w:pPr>
            <w:r w:rsidRPr="002E2F6B">
              <w:rPr>
                <w:sz w:val="16"/>
                <w:szCs w:val="16"/>
              </w:rPr>
              <w:t>0.18</w:t>
            </w:r>
          </w:p>
        </w:tc>
        <w:tc>
          <w:tcPr>
            <w:tcW w:w="323" w:type="pct"/>
            <w:tcBorders>
              <w:top w:val="nil"/>
              <w:left w:val="nil"/>
              <w:bottom w:val="nil"/>
              <w:right w:val="nil"/>
            </w:tcBorders>
            <w:shd w:val="clear" w:color="auto" w:fill="auto"/>
            <w:noWrap/>
            <w:vAlign w:val="center"/>
            <w:hideMark/>
          </w:tcPr>
          <w:p w14:paraId="0C3F7D3A"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D3B"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auto" w:fill="auto"/>
            <w:noWrap/>
            <w:vAlign w:val="center"/>
            <w:hideMark/>
          </w:tcPr>
          <w:p w14:paraId="0C3F7D3C" w14:textId="77777777" w:rsidR="00E838DF" w:rsidRPr="002E2F6B" w:rsidRDefault="00E838DF" w:rsidP="00110A7F">
            <w:pPr>
              <w:spacing w:before="0" w:after="0"/>
              <w:rPr>
                <w:sz w:val="16"/>
                <w:szCs w:val="16"/>
              </w:rPr>
            </w:pPr>
            <w:r w:rsidRPr="002E2F6B">
              <w:rPr>
                <w:sz w:val="16"/>
                <w:szCs w:val="16"/>
              </w:rPr>
              <w:t>0.29</w:t>
            </w:r>
          </w:p>
        </w:tc>
        <w:tc>
          <w:tcPr>
            <w:tcW w:w="323" w:type="pct"/>
            <w:tcBorders>
              <w:top w:val="nil"/>
              <w:left w:val="nil"/>
              <w:bottom w:val="nil"/>
              <w:right w:val="nil"/>
            </w:tcBorders>
            <w:shd w:val="clear" w:color="auto" w:fill="auto"/>
            <w:noWrap/>
            <w:vAlign w:val="center"/>
            <w:hideMark/>
          </w:tcPr>
          <w:p w14:paraId="0C3F7D3D"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D3E" w14:textId="77777777" w:rsidR="00E838DF" w:rsidRPr="002E2F6B" w:rsidRDefault="00E838DF" w:rsidP="00110A7F">
            <w:pPr>
              <w:spacing w:before="0" w:after="0"/>
              <w:rPr>
                <w:sz w:val="16"/>
                <w:szCs w:val="16"/>
              </w:rPr>
            </w:pPr>
            <w:r w:rsidRPr="002E2F6B">
              <w:rPr>
                <w:sz w:val="16"/>
                <w:szCs w:val="16"/>
              </w:rPr>
              <w:t>-0.31</w:t>
            </w:r>
          </w:p>
        </w:tc>
        <w:tc>
          <w:tcPr>
            <w:tcW w:w="323" w:type="pct"/>
            <w:tcBorders>
              <w:top w:val="nil"/>
              <w:left w:val="nil"/>
              <w:bottom w:val="nil"/>
              <w:right w:val="nil"/>
            </w:tcBorders>
            <w:shd w:val="clear" w:color="auto" w:fill="auto"/>
            <w:noWrap/>
            <w:vAlign w:val="center"/>
            <w:hideMark/>
          </w:tcPr>
          <w:p w14:paraId="0C3F7D3F" w14:textId="77777777" w:rsidR="00E838DF" w:rsidRPr="002E2F6B" w:rsidRDefault="00E838DF" w:rsidP="00110A7F">
            <w:pPr>
              <w:spacing w:before="0" w:after="0"/>
              <w:rPr>
                <w:sz w:val="16"/>
                <w:szCs w:val="16"/>
              </w:rPr>
            </w:pPr>
            <w:r w:rsidRPr="002E2F6B">
              <w:rPr>
                <w:sz w:val="16"/>
                <w:szCs w:val="16"/>
              </w:rPr>
              <w:t>-0.15</w:t>
            </w:r>
          </w:p>
        </w:tc>
        <w:tc>
          <w:tcPr>
            <w:tcW w:w="320" w:type="pct"/>
            <w:tcBorders>
              <w:top w:val="nil"/>
              <w:left w:val="nil"/>
              <w:bottom w:val="nil"/>
              <w:right w:val="nil"/>
            </w:tcBorders>
            <w:shd w:val="clear" w:color="auto" w:fill="auto"/>
            <w:noWrap/>
            <w:vAlign w:val="center"/>
            <w:hideMark/>
          </w:tcPr>
          <w:p w14:paraId="0C3F7D40" w14:textId="77777777" w:rsidR="00E838DF" w:rsidRPr="002E2F6B" w:rsidRDefault="00E838DF" w:rsidP="00110A7F">
            <w:pPr>
              <w:spacing w:before="0" w:after="0"/>
              <w:rPr>
                <w:sz w:val="16"/>
                <w:szCs w:val="16"/>
              </w:rPr>
            </w:pPr>
            <w:r w:rsidRPr="002E2F6B">
              <w:rPr>
                <w:sz w:val="16"/>
                <w:szCs w:val="16"/>
              </w:rPr>
              <w:t>-0.07</w:t>
            </w:r>
          </w:p>
        </w:tc>
      </w:tr>
      <w:tr w:rsidR="00E838DF" w:rsidRPr="002E2F6B" w14:paraId="0C3F7D51" w14:textId="77777777" w:rsidTr="00E838DF">
        <w:trPr>
          <w:trHeight w:val="20"/>
        </w:trPr>
        <w:tc>
          <w:tcPr>
            <w:tcW w:w="400" w:type="pct"/>
            <w:tcBorders>
              <w:top w:val="nil"/>
              <w:left w:val="nil"/>
              <w:bottom w:val="nil"/>
              <w:right w:val="nil"/>
            </w:tcBorders>
            <w:shd w:val="clear" w:color="auto" w:fill="auto"/>
            <w:noWrap/>
            <w:vAlign w:val="center"/>
            <w:hideMark/>
          </w:tcPr>
          <w:p w14:paraId="0C3F7D42" w14:textId="77777777" w:rsidR="00E838DF" w:rsidRPr="002E2F6B" w:rsidRDefault="00E838DF" w:rsidP="00110A7F">
            <w:pPr>
              <w:spacing w:before="0" w:after="0"/>
              <w:rPr>
                <w:sz w:val="16"/>
                <w:szCs w:val="16"/>
              </w:rPr>
            </w:pPr>
            <w:r w:rsidRPr="002E2F6B">
              <w:rPr>
                <w:sz w:val="16"/>
                <w:szCs w:val="16"/>
              </w:rPr>
              <w:t>PN</w:t>
            </w:r>
          </w:p>
        </w:tc>
        <w:tc>
          <w:tcPr>
            <w:tcW w:w="323" w:type="pct"/>
            <w:tcBorders>
              <w:top w:val="nil"/>
              <w:left w:val="nil"/>
              <w:bottom w:val="nil"/>
              <w:right w:val="nil"/>
            </w:tcBorders>
            <w:shd w:val="clear" w:color="auto" w:fill="auto"/>
            <w:noWrap/>
            <w:vAlign w:val="center"/>
            <w:hideMark/>
          </w:tcPr>
          <w:p w14:paraId="0C3F7D43" w14:textId="77777777" w:rsidR="00E838DF" w:rsidRPr="002E2F6B" w:rsidRDefault="00E838DF" w:rsidP="00110A7F">
            <w:pPr>
              <w:spacing w:before="0" w:after="0"/>
              <w:rPr>
                <w:sz w:val="16"/>
                <w:szCs w:val="16"/>
              </w:rPr>
            </w:pPr>
            <w:r w:rsidRPr="002E2F6B">
              <w:rPr>
                <w:sz w:val="16"/>
                <w:szCs w:val="16"/>
              </w:rPr>
              <w:t>0.28</w:t>
            </w:r>
          </w:p>
        </w:tc>
        <w:tc>
          <w:tcPr>
            <w:tcW w:w="400" w:type="pct"/>
            <w:tcBorders>
              <w:top w:val="nil"/>
              <w:left w:val="nil"/>
              <w:bottom w:val="nil"/>
              <w:right w:val="nil"/>
            </w:tcBorders>
            <w:shd w:val="clear" w:color="auto" w:fill="auto"/>
            <w:noWrap/>
            <w:vAlign w:val="center"/>
            <w:hideMark/>
          </w:tcPr>
          <w:p w14:paraId="0C3F7D44" w14:textId="77777777" w:rsidR="00E838DF" w:rsidRPr="002E2F6B" w:rsidRDefault="00E838DF" w:rsidP="00110A7F">
            <w:pPr>
              <w:spacing w:before="0" w:after="0"/>
              <w:rPr>
                <w:sz w:val="16"/>
                <w:szCs w:val="16"/>
              </w:rPr>
            </w:pPr>
            <w:r w:rsidRPr="002E2F6B">
              <w:rPr>
                <w:sz w:val="16"/>
                <w:szCs w:val="16"/>
              </w:rPr>
              <w:t>0.28</w:t>
            </w:r>
          </w:p>
        </w:tc>
        <w:tc>
          <w:tcPr>
            <w:tcW w:w="328" w:type="pct"/>
            <w:tcBorders>
              <w:top w:val="nil"/>
              <w:left w:val="nil"/>
              <w:bottom w:val="nil"/>
              <w:right w:val="nil"/>
            </w:tcBorders>
            <w:shd w:val="clear" w:color="auto" w:fill="auto"/>
            <w:noWrap/>
            <w:vAlign w:val="center"/>
            <w:hideMark/>
          </w:tcPr>
          <w:p w14:paraId="0C3F7D45"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D46"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D47"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nil"/>
              <w:right w:val="nil"/>
            </w:tcBorders>
            <w:shd w:val="clear" w:color="000000" w:fill="FFFF00"/>
            <w:noWrap/>
            <w:vAlign w:val="center"/>
            <w:hideMark/>
          </w:tcPr>
          <w:p w14:paraId="0C3F7D48" w14:textId="77777777" w:rsidR="00E838DF" w:rsidRPr="002E2F6B" w:rsidRDefault="00E838DF" w:rsidP="00110A7F">
            <w:pPr>
              <w:spacing w:before="0" w:after="0"/>
              <w:rPr>
                <w:sz w:val="16"/>
                <w:szCs w:val="16"/>
              </w:rPr>
            </w:pPr>
            <w:r w:rsidRPr="002E2F6B">
              <w:rPr>
                <w:sz w:val="16"/>
                <w:szCs w:val="16"/>
              </w:rPr>
              <w:t>0.67</w:t>
            </w:r>
          </w:p>
        </w:tc>
        <w:tc>
          <w:tcPr>
            <w:tcW w:w="323" w:type="pct"/>
            <w:tcBorders>
              <w:top w:val="nil"/>
              <w:left w:val="nil"/>
              <w:bottom w:val="nil"/>
              <w:right w:val="nil"/>
            </w:tcBorders>
            <w:shd w:val="clear" w:color="auto" w:fill="auto"/>
            <w:noWrap/>
            <w:vAlign w:val="center"/>
            <w:hideMark/>
          </w:tcPr>
          <w:p w14:paraId="0C3F7D49"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D4A"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D4B" w14:textId="77777777" w:rsidR="00E838DF" w:rsidRPr="002E2F6B" w:rsidRDefault="00E838DF" w:rsidP="00110A7F">
            <w:pPr>
              <w:spacing w:before="0" w:after="0"/>
              <w:rPr>
                <w:sz w:val="16"/>
                <w:szCs w:val="16"/>
              </w:rPr>
            </w:pPr>
            <w:r w:rsidRPr="002E2F6B">
              <w:rPr>
                <w:sz w:val="16"/>
                <w:szCs w:val="16"/>
              </w:rPr>
              <w:t>-0.19</w:t>
            </w:r>
          </w:p>
        </w:tc>
        <w:tc>
          <w:tcPr>
            <w:tcW w:w="323" w:type="pct"/>
            <w:tcBorders>
              <w:top w:val="nil"/>
              <w:left w:val="nil"/>
              <w:bottom w:val="nil"/>
              <w:right w:val="nil"/>
            </w:tcBorders>
            <w:shd w:val="clear" w:color="auto" w:fill="auto"/>
            <w:noWrap/>
            <w:vAlign w:val="center"/>
            <w:hideMark/>
          </w:tcPr>
          <w:p w14:paraId="0C3F7D4C" w14:textId="77777777" w:rsidR="00E838DF" w:rsidRPr="002E2F6B" w:rsidRDefault="00E838DF" w:rsidP="00110A7F">
            <w:pPr>
              <w:spacing w:before="0" w:after="0"/>
              <w:rPr>
                <w:sz w:val="16"/>
                <w:szCs w:val="16"/>
              </w:rPr>
            </w:pPr>
            <w:r w:rsidRPr="002E2F6B">
              <w:rPr>
                <w:sz w:val="16"/>
                <w:szCs w:val="16"/>
              </w:rPr>
              <w:t>-0.36</w:t>
            </w:r>
          </w:p>
        </w:tc>
        <w:tc>
          <w:tcPr>
            <w:tcW w:w="323" w:type="pct"/>
            <w:tcBorders>
              <w:top w:val="nil"/>
              <w:left w:val="nil"/>
              <w:bottom w:val="nil"/>
              <w:right w:val="nil"/>
            </w:tcBorders>
            <w:shd w:val="clear" w:color="auto" w:fill="auto"/>
            <w:noWrap/>
            <w:vAlign w:val="center"/>
            <w:hideMark/>
          </w:tcPr>
          <w:p w14:paraId="0C3F7D4D" w14:textId="77777777" w:rsidR="00E838DF" w:rsidRPr="002E2F6B" w:rsidRDefault="00E838DF" w:rsidP="00110A7F">
            <w:pPr>
              <w:spacing w:before="0" w:after="0"/>
              <w:rPr>
                <w:sz w:val="16"/>
                <w:szCs w:val="16"/>
              </w:rPr>
            </w:pPr>
            <w:r w:rsidRPr="002E2F6B">
              <w:rPr>
                <w:sz w:val="16"/>
                <w:szCs w:val="16"/>
              </w:rPr>
              <w:t>-0.31</w:t>
            </w:r>
          </w:p>
        </w:tc>
        <w:tc>
          <w:tcPr>
            <w:tcW w:w="323" w:type="pct"/>
            <w:tcBorders>
              <w:top w:val="nil"/>
              <w:left w:val="nil"/>
              <w:bottom w:val="nil"/>
              <w:right w:val="nil"/>
            </w:tcBorders>
            <w:shd w:val="clear" w:color="auto" w:fill="auto"/>
            <w:noWrap/>
            <w:vAlign w:val="center"/>
            <w:hideMark/>
          </w:tcPr>
          <w:p w14:paraId="0C3F7D4E" w14:textId="77777777" w:rsidR="00E838DF" w:rsidRPr="002E2F6B" w:rsidRDefault="00E838DF" w:rsidP="00110A7F">
            <w:pPr>
              <w:spacing w:before="0" w:after="0"/>
              <w:rPr>
                <w:sz w:val="16"/>
                <w:szCs w:val="16"/>
              </w:rPr>
            </w:pPr>
            <w:r w:rsidRPr="002E2F6B">
              <w:rPr>
                <w:sz w:val="16"/>
                <w:szCs w:val="16"/>
              </w:rPr>
              <w:t>1</w:t>
            </w:r>
          </w:p>
        </w:tc>
        <w:tc>
          <w:tcPr>
            <w:tcW w:w="323" w:type="pct"/>
            <w:tcBorders>
              <w:top w:val="nil"/>
              <w:left w:val="nil"/>
              <w:bottom w:val="nil"/>
              <w:right w:val="nil"/>
            </w:tcBorders>
            <w:shd w:val="clear" w:color="auto" w:fill="auto"/>
            <w:noWrap/>
            <w:vAlign w:val="center"/>
            <w:hideMark/>
          </w:tcPr>
          <w:p w14:paraId="0C3F7D4F" w14:textId="77777777" w:rsidR="00E838DF" w:rsidRPr="002E2F6B" w:rsidRDefault="00E838DF" w:rsidP="00110A7F">
            <w:pPr>
              <w:spacing w:before="0" w:after="0"/>
              <w:rPr>
                <w:sz w:val="16"/>
                <w:szCs w:val="16"/>
              </w:rPr>
            </w:pPr>
            <w:r w:rsidRPr="002E2F6B">
              <w:rPr>
                <w:sz w:val="16"/>
                <w:szCs w:val="16"/>
              </w:rPr>
              <w:t>0.13</w:t>
            </w:r>
          </w:p>
        </w:tc>
        <w:tc>
          <w:tcPr>
            <w:tcW w:w="320" w:type="pct"/>
            <w:tcBorders>
              <w:top w:val="nil"/>
              <w:left w:val="nil"/>
              <w:bottom w:val="nil"/>
              <w:right w:val="nil"/>
            </w:tcBorders>
            <w:shd w:val="clear" w:color="auto" w:fill="auto"/>
            <w:noWrap/>
            <w:vAlign w:val="center"/>
            <w:hideMark/>
          </w:tcPr>
          <w:p w14:paraId="0C3F7D50" w14:textId="77777777" w:rsidR="00E838DF" w:rsidRPr="002E2F6B" w:rsidRDefault="00E838DF" w:rsidP="00110A7F">
            <w:pPr>
              <w:spacing w:before="0" w:after="0"/>
              <w:rPr>
                <w:sz w:val="16"/>
                <w:szCs w:val="16"/>
              </w:rPr>
            </w:pPr>
            <w:r w:rsidRPr="002E2F6B">
              <w:rPr>
                <w:sz w:val="16"/>
                <w:szCs w:val="16"/>
              </w:rPr>
              <w:t>-0.05</w:t>
            </w:r>
          </w:p>
        </w:tc>
      </w:tr>
      <w:tr w:rsidR="00E838DF" w:rsidRPr="002E2F6B" w14:paraId="0C3F7D61" w14:textId="77777777" w:rsidTr="00E838DF">
        <w:trPr>
          <w:trHeight w:val="20"/>
        </w:trPr>
        <w:tc>
          <w:tcPr>
            <w:tcW w:w="400" w:type="pct"/>
            <w:tcBorders>
              <w:top w:val="nil"/>
              <w:left w:val="nil"/>
              <w:bottom w:val="nil"/>
              <w:right w:val="nil"/>
            </w:tcBorders>
            <w:shd w:val="clear" w:color="auto" w:fill="auto"/>
            <w:noWrap/>
            <w:vAlign w:val="center"/>
            <w:hideMark/>
          </w:tcPr>
          <w:p w14:paraId="0C3F7D52" w14:textId="77777777" w:rsidR="00E838DF" w:rsidRPr="002E2F6B" w:rsidRDefault="00E838DF" w:rsidP="00110A7F">
            <w:pPr>
              <w:spacing w:before="0" w:after="0"/>
              <w:rPr>
                <w:sz w:val="16"/>
                <w:szCs w:val="16"/>
              </w:rPr>
            </w:pPr>
            <w:r w:rsidRPr="002E2F6B">
              <w:rPr>
                <w:sz w:val="16"/>
                <w:szCs w:val="16"/>
              </w:rPr>
              <w:t>PP</w:t>
            </w:r>
          </w:p>
        </w:tc>
        <w:tc>
          <w:tcPr>
            <w:tcW w:w="323" w:type="pct"/>
            <w:tcBorders>
              <w:top w:val="nil"/>
              <w:left w:val="nil"/>
              <w:bottom w:val="nil"/>
              <w:right w:val="nil"/>
            </w:tcBorders>
            <w:shd w:val="clear" w:color="auto" w:fill="auto"/>
            <w:noWrap/>
            <w:vAlign w:val="center"/>
            <w:hideMark/>
          </w:tcPr>
          <w:p w14:paraId="0C3F7D53" w14:textId="77777777" w:rsidR="00E838DF" w:rsidRPr="002E2F6B" w:rsidRDefault="00E838DF" w:rsidP="00110A7F">
            <w:pPr>
              <w:spacing w:before="0" w:after="0"/>
              <w:rPr>
                <w:sz w:val="16"/>
                <w:szCs w:val="16"/>
              </w:rPr>
            </w:pPr>
            <w:r w:rsidRPr="002E2F6B">
              <w:rPr>
                <w:sz w:val="16"/>
                <w:szCs w:val="16"/>
              </w:rPr>
              <w:t>-0.08</w:t>
            </w:r>
          </w:p>
        </w:tc>
        <w:tc>
          <w:tcPr>
            <w:tcW w:w="400" w:type="pct"/>
            <w:tcBorders>
              <w:top w:val="nil"/>
              <w:left w:val="nil"/>
              <w:bottom w:val="nil"/>
              <w:right w:val="nil"/>
            </w:tcBorders>
            <w:shd w:val="clear" w:color="auto" w:fill="auto"/>
            <w:noWrap/>
            <w:vAlign w:val="center"/>
            <w:hideMark/>
          </w:tcPr>
          <w:p w14:paraId="0C3F7D54" w14:textId="77777777" w:rsidR="00E838DF" w:rsidRPr="002E2F6B" w:rsidRDefault="00E838DF" w:rsidP="00110A7F">
            <w:pPr>
              <w:spacing w:before="0" w:after="0"/>
              <w:rPr>
                <w:sz w:val="16"/>
                <w:szCs w:val="16"/>
              </w:rPr>
            </w:pPr>
            <w:r w:rsidRPr="002E2F6B">
              <w:rPr>
                <w:sz w:val="16"/>
                <w:szCs w:val="16"/>
              </w:rPr>
              <w:t>-0.09</w:t>
            </w:r>
          </w:p>
        </w:tc>
        <w:tc>
          <w:tcPr>
            <w:tcW w:w="328" w:type="pct"/>
            <w:tcBorders>
              <w:top w:val="nil"/>
              <w:left w:val="nil"/>
              <w:bottom w:val="nil"/>
              <w:right w:val="nil"/>
            </w:tcBorders>
            <w:shd w:val="clear" w:color="auto" w:fill="auto"/>
            <w:noWrap/>
            <w:vAlign w:val="center"/>
            <w:hideMark/>
          </w:tcPr>
          <w:p w14:paraId="0C3F7D55" w14:textId="77777777" w:rsidR="00E838DF" w:rsidRPr="002E2F6B" w:rsidRDefault="00E838DF" w:rsidP="00110A7F">
            <w:pPr>
              <w:spacing w:before="0" w:after="0"/>
              <w:rPr>
                <w:sz w:val="16"/>
                <w:szCs w:val="16"/>
              </w:rPr>
            </w:pPr>
            <w:r w:rsidRPr="002E2F6B">
              <w:rPr>
                <w:sz w:val="16"/>
                <w:szCs w:val="16"/>
              </w:rPr>
              <w:t>-0.17</w:t>
            </w:r>
          </w:p>
        </w:tc>
        <w:tc>
          <w:tcPr>
            <w:tcW w:w="323" w:type="pct"/>
            <w:tcBorders>
              <w:top w:val="nil"/>
              <w:left w:val="nil"/>
              <w:bottom w:val="nil"/>
              <w:right w:val="nil"/>
            </w:tcBorders>
            <w:shd w:val="clear" w:color="auto" w:fill="auto"/>
            <w:noWrap/>
            <w:vAlign w:val="center"/>
            <w:hideMark/>
          </w:tcPr>
          <w:p w14:paraId="0C3F7D56"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D57"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D58" w14:textId="77777777" w:rsidR="00E838DF" w:rsidRPr="002E2F6B" w:rsidRDefault="00E838DF" w:rsidP="00110A7F">
            <w:pPr>
              <w:spacing w:before="0" w:after="0"/>
              <w:rPr>
                <w:sz w:val="16"/>
                <w:szCs w:val="16"/>
              </w:rPr>
            </w:pPr>
            <w:r w:rsidRPr="002E2F6B">
              <w:rPr>
                <w:sz w:val="16"/>
                <w:szCs w:val="16"/>
              </w:rPr>
              <w:t>0.09</w:t>
            </w:r>
          </w:p>
        </w:tc>
        <w:tc>
          <w:tcPr>
            <w:tcW w:w="323" w:type="pct"/>
            <w:tcBorders>
              <w:top w:val="nil"/>
              <w:left w:val="nil"/>
              <w:bottom w:val="nil"/>
              <w:right w:val="nil"/>
            </w:tcBorders>
            <w:shd w:val="clear" w:color="auto" w:fill="auto"/>
            <w:noWrap/>
            <w:vAlign w:val="center"/>
            <w:hideMark/>
          </w:tcPr>
          <w:p w14:paraId="0C3F7D59" w14:textId="77777777" w:rsidR="00E838DF" w:rsidRPr="002E2F6B" w:rsidRDefault="00E838DF" w:rsidP="00110A7F">
            <w:pPr>
              <w:spacing w:before="0" w:after="0"/>
              <w:rPr>
                <w:sz w:val="16"/>
                <w:szCs w:val="16"/>
              </w:rPr>
            </w:pPr>
            <w:r w:rsidRPr="002E2F6B">
              <w:rPr>
                <w:sz w:val="16"/>
                <w:szCs w:val="16"/>
              </w:rPr>
              <w:t>0.08</w:t>
            </w:r>
          </w:p>
        </w:tc>
        <w:tc>
          <w:tcPr>
            <w:tcW w:w="323" w:type="pct"/>
            <w:tcBorders>
              <w:top w:val="nil"/>
              <w:left w:val="nil"/>
              <w:bottom w:val="nil"/>
              <w:right w:val="nil"/>
            </w:tcBorders>
            <w:shd w:val="clear" w:color="auto" w:fill="auto"/>
            <w:noWrap/>
            <w:vAlign w:val="center"/>
            <w:hideMark/>
          </w:tcPr>
          <w:p w14:paraId="0C3F7D5A" w14:textId="77777777" w:rsidR="00E838DF" w:rsidRPr="002E2F6B" w:rsidRDefault="00E838DF" w:rsidP="00110A7F">
            <w:pPr>
              <w:spacing w:before="0" w:after="0"/>
              <w:rPr>
                <w:sz w:val="16"/>
                <w:szCs w:val="16"/>
              </w:rPr>
            </w:pPr>
            <w:r w:rsidRPr="002E2F6B">
              <w:rPr>
                <w:sz w:val="16"/>
                <w:szCs w:val="16"/>
              </w:rPr>
              <w:t>0.25</w:t>
            </w:r>
          </w:p>
        </w:tc>
        <w:tc>
          <w:tcPr>
            <w:tcW w:w="323" w:type="pct"/>
            <w:tcBorders>
              <w:top w:val="nil"/>
              <w:left w:val="nil"/>
              <w:bottom w:val="nil"/>
              <w:right w:val="nil"/>
            </w:tcBorders>
            <w:shd w:val="clear" w:color="auto" w:fill="auto"/>
            <w:noWrap/>
            <w:vAlign w:val="center"/>
            <w:hideMark/>
          </w:tcPr>
          <w:p w14:paraId="0C3F7D5B" w14:textId="77777777" w:rsidR="00E838DF" w:rsidRPr="002E2F6B" w:rsidRDefault="00E838DF" w:rsidP="00110A7F">
            <w:pPr>
              <w:spacing w:before="0" w:after="0"/>
              <w:rPr>
                <w:sz w:val="16"/>
                <w:szCs w:val="16"/>
              </w:rPr>
            </w:pPr>
            <w:r w:rsidRPr="002E2F6B">
              <w:rPr>
                <w:sz w:val="16"/>
                <w:szCs w:val="16"/>
              </w:rPr>
              <w:t>0.39</w:t>
            </w:r>
          </w:p>
        </w:tc>
        <w:tc>
          <w:tcPr>
            <w:tcW w:w="323" w:type="pct"/>
            <w:tcBorders>
              <w:top w:val="nil"/>
              <w:left w:val="nil"/>
              <w:bottom w:val="nil"/>
              <w:right w:val="nil"/>
            </w:tcBorders>
            <w:shd w:val="clear" w:color="auto" w:fill="auto"/>
            <w:noWrap/>
            <w:vAlign w:val="center"/>
            <w:hideMark/>
          </w:tcPr>
          <w:p w14:paraId="0C3F7D5C" w14:textId="77777777" w:rsidR="00E838DF" w:rsidRPr="002E2F6B" w:rsidRDefault="00E838DF" w:rsidP="00110A7F">
            <w:pPr>
              <w:spacing w:before="0" w:after="0"/>
              <w:rPr>
                <w:sz w:val="16"/>
                <w:szCs w:val="16"/>
              </w:rPr>
            </w:pPr>
            <w:r w:rsidRPr="002E2F6B">
              <w:rPr>
                <w:sz w:val="16"/>
                <w:szCs w:val="16"/>
              </w:rPr>
              <w:t>-0.40</w:t>
            </w:r>
          </w:p>
        </w:tc>
        <w:tc>
          <w:tcPr>
            <w:tcW w:w="323" w:type="pct"/>
            <w:tcBorders>
              <w:top w:val="nil"/>
              <w:left w:val="nil"/>
              <w:bottom w:val="nil"/>
              <w:right w:val="nil"/>
            </w:tcBorders>
            <w:shd w:val="clear" w:color="auto" w:fill="auto"/>
            <w:noWrap/>
            <w:vAlign w:val="center"/>
            <w:hideMark/>
          </w:tcPr>
          <w:p w14:paraId="0C3F7D5D" w14:textId="77777777" w:rsidR="00E838DF" w:rsidRPr="002E2F6B" w:rsidRDefault="00E838DF" w:rsidP="00110A7F">
            <w:pPr>
              <w:spacing w:before="0" w:after="0"/>
              <w:rPr>
                <w:sz w:val="16"/>
                <w:szCs w:val="16"/>
              </w:rPr>
            </w:pPr>
            <w:r w:rsidRPr="002E2F6B">
              <w:rPr>
                <w:sz w:val="16"/>
                <w:szCs w:val="16"/>
              </w:rPr>
              <w:t>-0.15</w:t>
            </w:r>
          </w:p>
        </w:tc>
        <w:tc>
          <w:tcPr>
            <w:tcW w:w="323" w:type="pct"/>
            <w:tcBorders>
              <w:top w:val="nil"/>
              <w:left w:val="nil"/>
              <w:bottom w:val="nil"/>
              <w:right w:val="nil"/>
            </w:tcBorders>
            <w:shd w:val="clear" w:color="auto" w:fill="auto"/>
            <w:noWrap/>
            <w:vAlign w:val="center"/>
            <w:hideMark/>
          </w:tcPr>
          <w:p w14:paraId="0C3F7D5E" w14:textId="77777777" w:rsidR="00E838DF" w:rsidRPr="002E2F6B" w:rsidRDefault="00E838DF" w:rsidP="00110A7F">
            <w:pPr>
              <w:spacing w:before="0" w:after="0"/>
              <w:rPr>
                <w:sz w:val="16"/>
                <w:szCs w:val="16"/>
              </w:rPr>
            </w:pPr>
            <w:r w:rsidRPr="002E2F6B">
              <w:rPr>
                <w:sz w:val="16"/>
                <w:szCs w:val="16"/>
              </w:rPr>
              <w:t>0.13</w:t>
            </w:r>
          </w:p>
        </w:tc>
        <w:tc>
          <w:tcPr>
            <w:tcW w:w="323" w:type="pct"/>
            <w:tcBorders>
              <w:top w:val="nil"/>
              <w:left w:val="nil"/>
              <w:bottom w:val="nil"/>
              <w:right w:val="nil"/>
            </w:tcBorders>
            <w:shd w:val="clear" w:color="auto" w:fill="auto"/>
            <w:noWrap/>
            <w:vAlign w:val="center"/>
            <w:hideMark/>
          </w:tcPr>
          <w:p w14:paraId="0C3F7D5F" w14:textId="77777777" w:rsidR="00E838DF" w:rsidRPr="002E2F6B" w:rsidRDefault="00E838DF" w:rsidP="00110A7F">
            <w:pPr>
              <w:spacing w:before="0" w:after="0"/>
              <w:rPr>
                <w:sz w:val="16"/>
                <w:szCs w:val="16"/>
              </w:rPr>
            </w:pPr>
            <w:r w:rsidRPr="002E2F6B">
              <w:rPr>
                <w:sz w:val="16"/>
                <w:szCs w:val="16"/>
              </w:rPr>
              <w:t>1</w:t>
            </w:r>
          </w:p>
        </w:tc>
        <w:tc>
          <w:tcPr>
            <w:tcW w:w="320" w:type="pct"/>
            <w:tcBorders>
              <w:top w:val="nil"/>
              <w:left w:val="nil"/>
              <w:bottom w:val="nil"/>
              <w:right w:val="nil"/>
            </w:tcBorders>
            <w:shd w:val="clear" w:color="auto" w:fill="auto"/>
            <w:noWrap/>
            <w:vAlign w:val="center"/>
            <w:hideMark/>
          </w:tcPr>
          <w:p w14:paraId="0C3F7D60" w14:textId="77777777" w:rsidR="00E838DF" w:rsidRPr="002E2F6B" w:rsidRDefault="00E838DF" w:rsidP="00110A7F">
            <w:pPr>
              <w:spacing w:before="0" w:after="0"/>
              <w:rPr>
                <w:sz w:val="16"/>
                <w:szCs w:val="16"/>
              </w:rPr>
            </w:pPr>
            <w:r w:rsidRPr="002E2F6B">
              <w:rPr>
                <w:sz w:val="16"/>
                <w:szCs w:val="16"/>
              </w:rPr>
              <w:t>0.43</w:t>
            </w:r>
          </w:p>
        </w:tc>
      </w:tr>
      <w:tr w:rsidR="00E838DF" w:rsidRPr="002E2F6B" w14:paraId="0C3F7D71" w14:textId="77777777" w:rsidTr="00E838DF">
        <w:trPr>
          <w:trHeight w:val="20"/>
        </w:trPr>
        <w:tc>
          <w:tcPr>
            <w:tcW w:w="400" w:type="pct"/>
            <w:tcBorders>
              <w:top w:val="nil"/>
              <w:left w:val="nil"/>
              <w:bottom w:val="single" w:sz="4" w:space="0" w:color="auto"/>
              <w:right w:val="nil"/>
            </w:tcBorders>
            <w:shd w:val="clear" w:color="auto" w:fill="auto"/>
            <w:noWrap/>
            <w:vAlign w:val="center"/>
            <w:hideMark/>
          </w:tcPr>
          <w:p w14:paraId="0C3F7D62" w14:textId="77777777" w:rsidR="00E838DF" w:rsidRPr="002E2F6B" w:rsidRDefault="00E838DF" w:rsidP="00110A7F">
            <w:pPr>
              <w:spacing w:before="0" w:after="0"/>
              <w:rPr>
                <w:sz w:val="16"/>
                <w:szCs w:val="16"/>
              </w:rPr>
            </w:pPr>
            <w:r w:rsidRPr="002E2F6B">
              <w:rPr>
                <w:sz w:val="16"/>
                <w:szCs w:val="16"/>
              </w:rPr>
              <w:t>Si</w:t>
            </w:r>
          </w:p>
        </w:tc>
        <w:tc>
          <w:tcPr>
            <w:tcW w:w="323" w:type="pct"/>
            <w:tcBorders>
              <w:top w:val="nil"/>
              <w:left w:val="nil"/>
              <w:bottom w:val="single" w:sz="4" w:space="0" w:color="auto"/>
              <w:right w:val="nil"/>
            </w:tcBorders>
            <w:shd w:val="clear" w:color="auto" w:fill="auto"/>
            <w:noWrap/>
            <w:vAlign w:val="center"/>
            <w:hideMark/>
          </w:tcPr>
          <w:p w14:paraId="0C3F7D63" w14:textId="77777777" w:rsidR="00E838DF" w:rsidRPr="002E2F6B" w:rsidRDefault="00E838DF" w:rsidP="00110A7F">
            <w:pPr>
              <w:spacing w:before="0" w:after="0"/>
              <w:rPr>
                <w:sz w:val="16"/>
                <w:szCs w:val="16"/>
              </w:rPr>
            </w:pPr>
            <w:r w:rsidRPr="002E2F6B">
              <w:rPr>
                <w:sz w:val="16"/>
                <w:szCs w:val="16"/>
              </w:rPr>
              <w:t>-0.07</w:t>
            </w:r>
          </w:p>
        </w:tc>
        <w:tc>
          <w:tcPr>
            <w:tcW w:w="400" w:type="pct"/>
            <w:tcBorders>
              <w:top w:val="nil"/>
              <w:left w:val="nil"/>
              <w:bottom w:val="single" w:sz="4" w:space="0" w:color="auto"/>
              <w:right w:val="nil"/>
            </w:tcBorders>
            <w:shd w:val="clear" w:color="auto" w:fill="auto"/>
            <w:noWrap/>
            <w:vAlign w:val="center"/>
            <w:hideMark/>
          </w:tcPr>
          <w:p w14:paraId="0C3F7D64" w14:textId="77777777" w:rsidR="00E838DF" w:rsidRPr="002E2F6B" w:rsidRDefault="00E838DF" w:rsidP="00110A7F">
            <w:pPr>
              <w:spacing w:before="0" w:after="0"/>
              <w:rPr>
                <w:sz w:val="16"/>
                <w:szCs w:val="16"/>
              </w:rPr>
            </w:pPr>
            <w:r w:rsidRPr="002E2F6B">
              <w:rPr>
                <w:sz w:val="16"/>
                <w:szCs w:val="16"/>
              </w:rPr>
              <w:t>-0.44</w:t>
            </w:r>
          </w:p>
        </w:tc>
        <w:tc>
          <w:tcPr>
            <w:tcW w:w="328" w:type="pct"/>
            <w:tcBorders>
              <w:top w:val="nil"/>
              <w:left w:val="nil"/>
              <w:bottom w:val="single" w:sz="4" w:space="0" w:color="auto"/>
              <w:right w:val="nil"/>
            </w:tcBorders>
            <w:shd w:val="clear" w:color="auto" w:fill="auto"/>
            <w:noWrap/>
            <w:vAlign w:val="center"/>
            <w:hideMark/>
          </w:tcPr>
          <w:p w14:paraId="0C3F7D65" w14:textId="77777777" w:rsidR="00E838DF" w:rsidRPr="002E2F6B" w:rsidRDefault="00E838DF" w:rsidP="00110A7F">
            <w:pPr>
              <w:spacing w:before="0" w:after="0"/>
              <w:rPr>
                <w:sz w:val="16"/>
                <w:szCs w:val="16"/>
              </w:rPr>
            </w:pPr>
            <w:r w:rsidRPr="002E2F6B">
              <w:rPr>
                <w:sz w:val="16"/>
                <w:szCs w:val="16"/>
              </w:rPr>
              <w:t>-0.49</w:t>
            </w:r>
          </w:p>
        </w:tc>
        <w:tc>
          <w:tcPr>
            <w:tcW w:w="323" w:type="pct"/>
            <w:tcBorders>
              <w:top w:val="nil"/>
              <w:left w:val="nil"/>
              <w:bottom w:val="single" w:sz="4" w:space="0" w:color="auto"/>
              <w:right w:val="nil"/>
            </w:tcBorders>
            <w:shd w:val="clear" w:color="auto" w:fill="auto"/>
            <w:noWrap/>
            <w:vAlign w:val="center"/>
            <w:hideMark/>
          </w:tcPr>
          <w:p w14:paraId="0C3F7D66" w14:textId="77777777" w:rsidR="00E838DF" w:rsidRPr="002E2F6B" w:rsidRDefault="00E838DF" w:rsidP="00110A7F">
            <w:pPr>
              <w:spacing w:before="0" w:after="0"/>
              <w:rPr>
                <w:sz w:val="16"/>
                <w:szCs w:val="16"/>
              </w:rPr>
            </w:pPr>
            <w:r w:rsidRPr="002E2F6B">
              <w:rPr>
                <w:sz w:val="16"/>
                <w:szCs w:val="16"/>
              </w:rPr>
              <w:t>0.30</w:t>
            </w:r>
          </w:p>
        </w:tc>
        <w:tc>
          <w:tcPr>
            <w:tcW w:w="323" w:type="pct"/>
            <w:tcBorders>
              <w:top w:val="nil"/>
              <w:left w:val="nil"/>
              <w:bottom w:val="single" w:sz="4" w:space="0" w:color="auto"/>
              <w:right w:val="nil"/>
            </w:tcBorders>
            <w:shd w:val="clear" w:color="auto" w:fill="auto"/>
            <w:noWrap/>
            <w:vAlign w:val="center"/>
            <w:hideMark/>
          </w:tcPr>
          <w:p w14:paraId="0C3F7D67" w14:textId="77777777" w:rsidR="00E838DF" w:rsidRPr="002E2F6B" w:rsidRDefault="00E838DF" w:rsidP="00110A7F">
            <w:pPr>
              <w:spacing w:before="0" w:after="0"/>
              <w:rPr>
                <w:sz w:val="16"/>
                <w:szCs w:val="16"/>
              </w:rPr>
            </w:pPr>
            <w:r w:rsidRPr="002E2F6B">
              <w:rPr>
                <w:sz w:val="16"/>
                <w:szCs w:val="16"/>
              </w:rPr>
              <w:t>0.23</w:t>
            </w:r>
          </w:p>
        </w:tc>
        <w:tc>
          <w:tcPr>
            <w:tcW w:w="323" w:type="pct"/>
            <w:tcBorders>
              <w:top w:val="nil"/>
              <w:left w:val="nil"/>
              <w:bottom w:val="single" w:sz="4" w:space="0" w:color="auto"/>
              <w:right w:val="nil"/>
            </w:tcBorders>
            <w:shd w:val="clear" w:color="auto" w:fill="auto"/>
            <w:noWrap/>
            <w:vAlign w:val="center"/>
            <w:hideMark/>
          </w:tcPr>
          <w:p w14:paraId="0C3F7D68" w14:textId="77777777" w:rsidR="00E838DF" w:rsidRPr="002E2F6B" w:rsidRDefault="00E838DF" w:rsidP="00110A7F">
            <w:pPr>
              <w:spacing w:before="0" w:after="0"/>
              <w:rPr>
                <w:sz w:val="16"/>
                <w:szCs w:val="16"/>
              </w:rPr>
            </w:pPr>
            <w:r w:rsidRPr="002E2F6B">
              <w:rPr>
                <w:sz w:val="16"/>
                <w:szCs w:val="16"/>
              </w:rPr>
              <w:t>0.03</w:t>
            </w:r>
          </w:p>
        </w:tc>
        <w:tc>
          <w:tcPr>
            <w:tcW w:w="323" w:type="pct"/>
            <w:tcBorders>
              <w:top w:val="nil"/>
              <w:left w:val="nil"/>
              <w:bottom w:val="single" w:sz="4" w:space="0" w:color="auto"/>
              <w:right w:val="nil"/>
            </w:tcBorders>
            <w:shd w:val="clear" w:color="auto" w:fill="auto"/>
            <w:noWrap/>
            <w:vAlign w:val="center"/>
            <w:hideMark/>
          </w:tcPr>
          <w:p w14:paraId="0C3F7D69" w14:textId="77777777" w:rsidR="00E838DF" w:rsidRPr="002E2F6B" w:rsidRDefault="00E838DF" w:rsidP="00110A7F">
            <w:pPr>
              <w:spacing w:before="0" w:after="0"/>
              <w:rPr>
                <w:sz w:val="16"/>
                <w:szCs w:val="16"/>
              </w:rPr>
            </w:pPr>
            <w:r w:rsidRPr="002E2F6B">
              <w:rPr>
                <w:sz w:val="16"/>
                <w:szCs w:val="16"/>
              </w:rPr>
              <w:t>0.14</w:t>
            </w:r>
          </w:p>
        </w:tc>
        <w:tc>
          <w:tcPr>
            <w:tcW w:w="323" w:type="pct"/>
            <w:tcBorders>
              <w:top w:val="nil"/>
              <w:left w:val="nil"/>
              <w:bottom w:val="single" w:sz="4" w:space="0" w:color="auto"/>
              <w:right w:val="nil"/>
            </w:tcBorders>
            <w:shd w:val="clear" w:color="auto" w:fill="auto"/>
            <w:noWrap/>
            <w:vAlign w:val="center"/>
            <w:hideMark/>
          </w:tcPr>
          <w:p w14:paraId="0C3F7D6A" w14:textId="77777777" w:rsidR="00E838DF" w:rsidRPr="002E2F6B" w:rsidRDefault="00E838DF" w:rsidP="00110A7F">
            <w:pPr>
              <w:spacing w:before="0" w:after="0"/>
              <w:rPr>
                <w:sz w:val="16"/>
                <w:szCs w:val="16"/>
              </w:rPr>
            </w:pPr>
            <w:r w:rsidRPr="002E2F6B">
              <w:rPr>
                <w:sz w:val="16"/>
                <w:szCs w:val="16"/>
              </w:rPr>
              <w:t>0.23</w:t>
            </w:r>
          </w:p>
        </w:tc>
        <w:tc>
          <w:tcPr>
            <w:tcW w:w="323" w:type="pct"/>
            <w:tcBorders>
              <w:top w:val="nil"/>
              <w:left w:val="nil"/>
              <w:bottom w:val="single" w:sz="4" w:space="0" w:color="auto"/>
              <w:right w:val="nil"/>
            </w:tcBorders>
            <w:shd w:val="clear" w:color="auto" w:fill="auto"/>
            <w:noWrap/>
            <w:vAlign w:val="center"/>
            <w:hideMark/>
          </w:tcPr>
          <w:p w14:paraId="0C3F7D6B" w14:textId="77777777" w:rsidR="00E838DF" w:rsidRPr="002E2F6B" w:rsidRDefault="00E838DF" w:rsidP="00110A7F">
            <w:pPr>
              <w:spacing w:before="0" w:after="0"/>
              <w:rPr>
                <w:sz w:val="16"/>
                <w:szCs w:val="16"/>
              </w:rPr>
            </w:pPr>
            <w:r w:rsidRPr="002E2F6B">
              <w:rPr>
                <w:sz w:val="16"/>
                <w:szCs w:val="16"/>
              </w:rPr>
              <w:t>0.36</w:t>
            </w:r>
          </w:p>
        </w:tc>
        <w:tc>
          <w:tcPr>
            <w:tcW w:w="323" w:type="pct"/>
            <w:tcBorders>
              <w:top w:val="nil"/>
              <w:left w:val="nil"/>
              <w:bottom w:val="single" w:sz="4" w:space="0" w:color="auto"/>
              <w:right w:val="nil"/>
            </w:tcBorders>
            <w:shd w:val="clear" w:color="auto" w:fill="auto"/>
            <w:noWrap/>
            <w:vAlign w:val="center"/>
            <w:hideMark/>
          </w:tcPr>
          <w:p w14:paraId="0C3F7D6C" w14:textId="77777777" w:rsidR="00E838DF" w:rsidRPr="002E2F6B" w:rsidRDefault="00E838DF" w:rsidP="00110A7F">
            <w:pPr>
              <w:spacing w:before="0" w:after="0"/>
              <w:rPr>
                <w:sz w:val="16"/>
                <w:szCs w:val="16"/>
              </w:rPr>
            </w:pPr>
            <w:r w:rsidRPr="002E2F6B">
              <w:rPr>
                <w:sz w:val="16"/>
                <w:szCs w:val="16"/>
              </w:rPr>
              <w:t>0.12</w:t>
            </w:r>
          </w:p>
        </w:tc>
        <w:tc>
          <w:tcPr>
            <w:tcW w:w="323" w:type="pct"/>
            <w:tcBorders>
              <w:top w:val="nil"/>
              <w:left w:val="nil"/>
              <w:bottom w:val="single" w:sz="4" w:space="0" w:color="auto"/>
              <w:right w:val="nil"/>
            </w:tcBorders>
            <w:shd w:val="clear" w:color="auto" w:fill="auto"/>
            <w:noWrap/>
            <w:vAlign w:val="center"/>
            <w:hideMark/>
          </w:tcPr>
          <w:p w14:paraId="0C3F7D6D" w14:textId="77777777" w:rsidR="00E838DF" w:rsidRPr="002E2F6B" w:rsidRDefault="00E838DF" w:rsidP="00110A7F">
            <w:pPr>
              <w:spacing w:before="0" w:after="0"/>
              <w:rPr>
                <w:sz w:val="16"/>
                <w:szCs w:val="16"/>
              </w:rPr>
            </w:pPr>
            <w:r w:rsidRPr="002E2F6B">
              <w:rPr>
                <w:sz w:val="16"/>
                <w:szCs w:val="16"/>
              </w:rPr>
              <w:t>-0.07</w:t>
            </w:r>
          </w:p>
        </w:tc>
        <w:tc>
          <w:tcPr>
            <w:tcW w:w="323" w:type="pct"/>
            <w:tcBorders>
              <w:top w:val="nil"/>
              <w:left w:val="nil"/>
              <w:bottom w:val="single" w:sz="4" w:space="0" w:color="auto"/>
              <w:right w:val="nil"/>
            </w:tcBorders>
            <w:shd w:val="clear" w:color="auto" w:fill="auto"/>
            <w:noWrap/>
            <w:vAlign w:val="center"/>
            <w:hideMark/>
          </w:tcPr>
          <w:p w14:paraId="0C3F7D6E" w14:textId="77777777" w:rsidR="00E838DF" w:rsidRPr="002E2F6B" w:rsidRDefault="00E838DF" w:rsidP="00110A7F">
            <w:pPr>
              <w:spacing w:before="0" w:after="0"/>
              <w:rPr>
                <w:sz w:val="16"/>
                <w:szCs w:val="16"/>
              </w:rPr>
            </w:pPr>
            <w:r w:rsidRPr="002E2F6B">
              <w:rPr>
                <w:sz w:val="16"/>
                <w:szCs w:val="16"/>
              </w:rPr>
              <w:t>-0.05</w:t>
            </w:r>
          </w:p>
        </w:tc>
        <w:tc>
          <w:tcPr>
            <w:tcW w:w="323" w:type="pct"/>
            <w:tcBorders>
              <w:top w:val="nil"/>
              <w:left w:val="nil"/>
              <w:bottom w:val="single" w:sz="4" w:space="0" w:color="auto"/>
              <w:right w:val="nil"/>
            </w:tcBorders>
            <w:shd w:val="clear" w:color="auto" w:fill="auto"/>
            <w:noWrap/>
            <w:vAlign w:val="center"/>
            <w:hideMark/>
          </w:tcPr>
          <w:p w14:paraId="0C3F7D6F" w14:textId="77777777" w:rsidR="00E838DF" w:rsidRPr="002E2F6B" w:rsidRDefault="00E838DF" w:rsidP="00110A7F">
            <w:pPr>
              <w:spacing w:before="0" w:after="0"/>
              <w:rPr>
                <w:sz w:val="16"/>
                <w:szCs w:val="16"/>
              </w:rPr>
            </w:pPr>
            <w:r w:rsidRPr="002E2F6B">
              <w:rPr>
                <w:sz w:val="16"/>
                <w:szCs w:val="16"/>
              </w:rPr>
              <w:t>0.43</w:t>
            </w:r>
          </w:p>
        </w:tc>
        <w:tc>
          <w:tcPr>
            <w:tcW w:w="320" w:type="pct"/>
            <w:tcBorders>
              <w:top w:val="nil"/>
              <w:left w:val="nil"/>
              <w:bottom w:val="single" w:sz="4" w:space="0" w:color="auto"/>
              <w:right w:val="nil"/>
            </w:tcBorders>
            <w:shd w:val="clear" w:color="auto" w:fill="auto"/>
            <w:noWrap/>
            <w:vAlign w:val="center"/>
            <w:hideMark/>
          </w:tcPr>
          <w:p w14:paraId="0C3F7D70" w14:textId="77777777" w:rsidR="00E838DF" w:rsidRPr="002E2F6B" w:rsidRDefault="00E838DF" w:rsidP="00110A7F">
            <w:pPr>
              <w:spacing w:before="0" w:after="0"/>
              <w:rPr>
                <w:sz w:val="16"/>
                <w:szCs w:val="16"/>
              </w:rPr>
            </w:pPr>
            <w:r w:rsidRPr="002E2F6B">
              <w:rPr>
                <w:sz w:val="16"/>
                <w:szCs w:val="16"/>
              </w:rPr>
              <w:t>1</w:t>
            </w:r>
          </w:p>
        </w:tc>
      </w:tr>
    </w:tbl>
    <w:p w14:paraId="0C3F7D72" w14:textId="77777777" w:rsidR="00E838DF" w:rsidRDefault="00E838DF" w:rsidP="00E838DF">
      <w:pPr>
        <w:rPr>
          <w:lang w:eastAsia="en-US"/>
        </w:rPr>
      </w:pPr>
    </w:p>
    <w:p w14:paraId="0C3F7D73" w14:textId="77777777" w:rsidR="002C6F22" w:rsidRPr="002C6F22" w:rsidRDefault="002C6F22" w:rsidP="002C6F22">
      <w:pPr>
        <w:rPr>
          <w:rFonts w:cs="Courier New"/>
        </w:rPr>
      </w:pPr>
      <w:r w:rsidRPr="002C6F22">
        <w:rPr>
          <w:rFonts w:cs="Courier New"/>
        </w:rPr>
        <w:t>The temporal variation of the wet season WQ components (data set 2006-2013) was best modelled by using all predictors (i.e., salinity, river discharge and distance) as random effects. Exceptions occurred for chlorophyll-a and PN that had no inclusion of the predictor distance, which is presented as a straight line parallel to x-axis in the partial effect plots (Fig</w:t>
      </w:r>
      <w:r>
        <w:rPr>
          <w:rFonts w:cs="Courier New"/>
        </w:rPr>
        <w:t>ure</w:t>
      </w:r>
      <w:r w:rsidRPr="002C6F22">
        <w:rPr>
          <w:rFonts w:cs="Courier New"/>
        </w:rPr>
        <w:t>. 4-8a). Moreover, no temporal variation was identified for CDOM (Figure 4.8a), chlorophyll-a (Figure. 4.8b) and Si (Figure 4.8c), which presented an r-squared &lt; 0, suggesting that a straight line parallel to the x-axis explained their temporal behaviour better than the fitted models. All the other WQ components exhibi</w:t>
      </w:r>
      <w:r>
        <w:rPr>
          <w:rFonts w:cs="Courier New"/>
        </w:rPr>
        <w:t xml:space="preserve">ted significant temporal trends. </w:t>
      </w:r>
      <w:r w:rsidRPr="002C6F22">
        <w:rPr>
          <w:rFonts w:cs="Courier New"/>
        </w:rPr>
        <w:t xml:space="preserve">For DIN and DIP, one can see a clear reduction in values after 2012, which was preceded by an increase in concentrations in 2010-2011 wet season, corresponding to </w:t>
      </w:r>
      <w:r w:rsidRPr="002C6F22">
        <w:rPr>
          <w:rFonts w:cs="Courier New"/>
        </w:rPr>
        <w:lastRenderedPageBreak/>
        <w:t>the Ex-Tropical Cyclone Yasi passage in January-February, 2011. Patterns in light attenuation were similar highlighting that the turbid waters in 2011-12 wet season were partly driven by green (secondary) waters. As a general trend, the majority of the parameters show a reduction in values towards the end of the analysed period, with the exception of TSS, that increased from 2010/2011 onwards. These results suggest that the chronic increases in DIN and DIP are largely related to the scale and extent of the wet season flow, however TSS increases, whilst driven by the sediment inputs from catchments,  can also be linked to other factors, such as the resuspension of the finer sediment through the frequency and intensity of the wind.</w:t>
      </w:r>
    </w:p>
    <w:p w14:paraId="0C3F7D74" w14:textId="77777777" w:rsidR="00110A7F" w:rsidRDefault="00110A7F" w:rsidP="00E838DF">
      <w:pPr>
        <w:rPr>
          <w:lang w:eastAsia="en-US"/>
        </w:rPr>
      </w:pPr>
    </w:p>
    <w:p w14:paraId="0C3F7D75" w14:textId="77777777" w:rsidR="008D3A01" w:rsidRDefault="007315EF" w:rsidP="00A76577">
      <w:pPr>
        <w:pStyle w:val="Heading2"/>
        <w:keepNext/>
        <w:numPr>
          <w:ilvl w:val="1"/>
          <w:numId w:val="3"/>
        </w:numPr>
        <w:spacing w:line="80" w:lineRule="atLeast"/>
      </w:pPr>
      <w:bookmarkStart w:id="15" w:name="_Toc434207980"/>
      <w:r>
        <w:t>Mapping of river plumes</w:t>
      </w:r>
      <w:bookmarkEnd w:id="15"/>
    </w:p>
    <w:p w14:paraId="0C3F7D76" w14:textId="77777777" w:rsidR="003C10C4" w:rsidRPr="003C10C4" w:rsidRDefault="003C10C4" w:rsidP="003C10C4">
      <w:pPr>
        <w:spacing w:before="240"/>
        <w:rPr>
          <w:color w:val="000000" w:themeColor="text1"/>
        </w:rPr>
      </w:pPr>
      <w:bookmarkStart w:id="16" w:name="_Toc420319629"/>
      <w:bookmarkStart w:id="17" w:name="_Toc420329179"/>
      <w:bookmarkStart w:id="18" w:name="_Toc410584191"/>
      <w:bookmarkStart w:id="19" w:name="_Toc416533843"/>
      <w:bookmarkEnd w:id="16"/>
      <w:bookmarkEnd w:id="17"/>
      <w:r w:rsidRPr="003C10C4">
        <w:rPr>
          <w:color w:val="000000" w:themeColor="text1"/>
        </w:rPr>
        <w:t>Numerous studies have shown that nutrient enrichment, turbidity, sedimentation and pesticides all affect the resilience of the GBR ecosystems, degrading coral reefs and seagrass beds at local and regional scales.</w:t>
      </w:r>
      <w:r>
        <w:rPr>
          <w:color w:val="000000" w:themeColor="text1"/>
        </w:rPr>
        <w:t xml:space="preserve"> </w:t>
      </w:r>
      <w:r w:rsidRPr="003C10C4">
        <w:rPr>
          <w:color w:val="000000" w:themeColor="text1"/>
        </w:rPr>
        <w:t xml:space="preserve">The main objective of the remote sensing component of the wet season monitoring under the Marine Monitoring Program (MMP) is to produce maps of river plumes, models that summarize land-sourced contaminants transport, describe </w:t>
      </w:r>
      <w:r w:rsidR="009C4D9F">
        <w:rPr>
          <w:color w:val="000000" w:themeColor="text1"/>
        </w:rPr>
        <w:t>WQ</w:t>
      </w:r>
      <w:r w:rsidRPr="003C10C4">
        <w:rPr>
          <w:color w:val="000000" w:themeColor="text1"/>
        </w:rPr>
        <w:t xml:space="preserve"> concentrations within wet season conditions, and to integrate all these methods in single risk assessment framework to evaluate the susceptibility of GBR key ecosystems to the river plume/pollutants exposure i.e., to model the risk of GBR ecosystem due to exposure to river plumes.</w:t>
      </w:r>
    </w:p>
    <w:p w14:paraId="0C3F7D77" w14:textId="77777777" w:rsidR="00110A7F" w:rsidRDefault="00110A7F" w:rsidP="00110A7F">
      <w:r w:rsidRPr="00110A7F">
        <w:t xml:space="preserve">Different RS products and dataset (with spatial resolution of 1 km x 1 km or 500 m x 500 m) were developed through the previous and this MMP reporting periods at different geographical and temporal scales </w:t>
      </w:r>
      <w:r>
        <w:t>(</w:t>
      </w:r>
      <w:r>
        <w:fldChar w:fldCharType="begin"/>
      </w:r>
      <w:r>
        <w:instrText xml:space="preserve"> REF _Ref428868126 \h </w:instrText>
      </w:r>
      <w:r>
        <w:fldChar w:fldCharType="separate"/>
      </w:r>
      <w:r w:rsidR="00B62B50">
        <w:t xml:space="preserve">Table </w:t>
      </w:r>
      <w:r w:rsidR="00B62B50">
        <w:rPr>
          <w:noProof/>
        </w:rPr>
        <w:t>1</w:t>
      </w:r>
      <w:r w:rsidR="00B62B50">
        <w:noBreakHyphen/>
      </w:r>
      <w:r w:rsidR="00B62B50">
        <w:rPr>
          <w:noProof/>
        </w:rPr>
        <w:t>4</w:t>
      </w:r>
      <w:r>
        <w:fldChar w:fldCharType="end"/>
      </w:r>
      <w:r>
        <w:t>).</w:t>
      </w:r>
    </w:p>
    <w:p w14:paraId="0C3F7D78" w14:textId="77777777" w:rsidR="00110A7F" w:rsidRPr="00BA3569" w:rsidRDefault="00110A7F" w:rsidP="00110A7F">
      <w:pPr>
        <w:pStyle w:val="Caption"/>
      </w:pPr>
      <w:bookmarkStart w:id="20" w:name="_Ref428868126"/>
      <w:bookmarkStart w:id="21" w:name="_Ref428850964"/>
      <w:bookmarkStart w:id="22" w:name="_Toc434208063"/>
      <w:r>
        <w:t xml:space="preserve">Table </w:t>
      </w:r>
      <w:r w:rsidR="00AE4287">
        <w:fldChar w:fldCharType="begin"/>
      </w:r>
      <w:r w:rsidR="00AE4287">
        <w:instrText xml:space="preserve"> STYLEREF 1 \s </w:instrText>
      </w:r>
      <w:r w:rsidR="00AE4287">
        <w:fldChar w:fldCharType="separate"/>
      </w:r>
      <w:r w:rsidR="00B62B50">
        <w:rPr>
          <w:noProof/>
        </w:rPr>
        <w:t>1</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4</w:t>
      </w:r>
      <w:r w:rsidR="00AE4287">
        <w:fldChar w:fldCharType="end"/>
      </w:r>
      <w:bookmarkEnd w:id="20"/>
      <w:r>
        <w:t xml:space="preserve">: Characteristics of Remote sensed products developed partly through </w:t>
      </w:r>
      <w:r w:rsidRPr="00BA3569">
        <w:t xml:space="preserve">MMP funding </w:t>
      </w:r>
      <w:r>
        <w:t>described against management outcomes.</w:t>
      </w:r>
      <w:bookmarkEnd w:id="21"/>
      <w:bookmarkEnd w:id="22"/>
    </w:p>
    <w:tbl>
      <w:tblPr>
        <w:tblStyle w:val="TableGrid"/>
        <w:tblW w:w="9557" w:type="dxa"/>
        <w:tblBorders>
          <w:left w:val="none" w:sz="0" w:space="0" w:color="auto"/>
          <w:right w:val="none" w:sz="0" w:space="0" w:color="auto"/>
          <w:insideV w:val="none" w:sz="0" w:space="0" w:color="auto"/>
        </w:tblBorders>
        <w:tblLook w:val="04A0" w:firstRow="1" w:lastRow="0" w:firstColumn="1" w:lastColumn="0" w:noHBand="0" w:noVBand="1"/>
        <w:tblCaption w:val="Characteristics of Remote sensed products developed partly through MMP funding described against management outcomes."/>
        <w:tblDescription w:val="Characteristics of Remote sensed products developed partly through MMP funding described against management outcomes."/>
      </w:tblPr>
      <w:tblGrid>
        <w:gridCol w:w="1819"/>
        <w:gridCol w:w="4859"/>
        <w:gridCol w:w="2879"/>
      </w:tblGrid>
      <w:tr w:rsidR="00110A7F" w:rsidRPr="00110A7F" w14:paraId="0C3F7D7C" w14:textId="77777777" w:rsidTr="00110A7F">
        <w:tc>
          <w:tcPr>
            <w:tcW w:w="952" w:type="pct"/>
          </w:tcPr>
          <w:p w14:paraId="0C3F7D79" w14:textId="77777777" w:rsidR="00110A7F" w:rsidRPr="00110A7F" w:rsidRDefault="00110A7F" w:rsidP="00110A7F">
            <w:pPr>
              <w:spacing w:before="0" w:after="0"/>
              <w:rPr>
                <w:rStyle w:val="BookTitle"/>
                <w:b/>
              </w:rPr>
            </w:pPr>
            <w:r w:rsidRPr="00110A7F">
              <w:rPr>
                <w:rStyle w:val="BookTitle"/>
                <w:b/>
              </w:rPr>
              <w:t xml:space="preserve">Product  </w:t>
            </w:r>
          </w:p>
        </w:tc>
        <w:tc>
          <w:tcPr>
            <w:tcW w:w="2542" w:type="pct"/>
          </w:tcPr>
          <w:p w14:paraId="0C3F7D7A" w14:textId="77777777" w:rsidR="00110A7F" w:rsidRPr="00110A7F" w:rsidRDefault="00110A7F" w:rsidP="00110A7F">
            <w:pPr>
              <w:spacing w:before="0" w:after="0"/>
              <w:rPr>
                <w:rStyle w:val="BookTitle"/>
                <w:b/>
              </w:rPr>
            </w:pPr>
            <w:r w:rsidRPr="00110A7F">
              <w:rPr>
                <w:rStyle w:val="BookTitle"/>
                <w:b/>
              </w:rPr>
              <w:t>Management outcome</w:t>
            </w:r>
          </w:p>
        </w:tc>
        <w:tc>
          <w:tcPr>
            <w:tcW w:w="1506" w:type="pct"/>
          </w:tcPr>
          <w:p w14:paraId="0C3F7D7B" w14:textId="77777777" w:rsidR="00110A7F" w:rsidRPr="00110A7F" w:rsidRDefault="00110A7F" w:rsidP="00110A7F">
            <w:pPr>
              <w:spacing w:before="0" w:after="0"/>
              <w:rPr>
                <w:rStyle w:val="BookTitle"/>
                <w:b/>
              </w:rPr>
            </w:pPr>
            <w:r w:rsidRPr="00110A7F">
              <w:rPr>
                <w:rStyle w:val="BookTitle"/>
                <w:b/>
              </w:rPr>
              <w:t>Spatial and temporal resolution</w:t>
            </w:r>
          </w:p>
        </w:tc>
      </w:tr>
      <w:tr w:rsidR="00110A7F" w:rsidRPr="00110A7F" w14:paraId="0C3F7D82" w14:textId="77777777" w:rsidTr="00110A7F">
        <w:tc>
          <w:tcPr>
            <w:tcW w:w="952" w:type="pct"/>
          </w:tcPr>
          <w:p w14:paraId="0C3F7D7D" w14:textId="77777777" w:rsidR="00110A7F" w:rsidRPr="00110A7F" w:rsidRDefault="00110A7F" w:rsidP="00110A7F">
            <w:pPr>
              <w:spacing w:before="0" w:after="0"/>
              <w:rPr>
                <w:rStyle w:val="BookTitle"/>
              </w:rPr>
            </w:pPr>
            <w:r w:rsidRPr="00110A7F">
              <w:rPr>
                <w:rStyle w:val="BookTitle"/>
              </w:rPr>
              <w:t>River plume maps</w:t>
            </w:r>
          </w:p>
          <w:p w14:paraId="0C3F7D7E" w14:textId="77777777" w:rsidR="00110A7F" w:rsidRPr="00110A7F" w:rsidRDefault="00110A7F" w:rsidP="00110A7F">
            <w:pPr>
              <w:spacing w:before="0" w:after="0"/>
              <w:rPr>
                <w:rStyle w:val="BookTitle"/>
              </w:rPr>
            </w:pPr>
          </w:p>
        </w:tc>
        <w:tc>
          <w:tcPr>
            <w:tcW w:w="2542" w:type="pct"/>
          </w:tcPr>
          <w:p w14:paraId="0C3F7D7F" w14:textId="77777777" w:rsidR="00110A7F" w:rsidRPr="00110A7F" w:rsidRDefault="00110A7F" w:rsidP="00110A7F">
            <w:pPr>
              <w:spacing w:before="0" w:after="0"/>
              <w:rPr>
                <w:rStyle w:val="BookTitle"/>
              </w:rPr>
            </w:pPr>
            <w:r w:rsidRPr="00110A7F">
              <w:rPr>
                <w:rStyle w:val="BookTitle"/>
              </w:rPr>
              <w:t>Illustrate the movement of riverine waters, but do not provide information on the composition of the water and WQ constituents</w:t>
            </w:r>
          </w:p>
        </w:tc>
        <w:tc>
          <w:tcPr>
            <w:tcW w:w="1506" w:type="pct"/>
          </w:tcPr>
          <w:p w14:paraId="0C3F7D80" w14:textId="77777777" w:rsidR="00110A7F" w:rsidRPr="00110A7F" w:rsidRDefault="00110A7F" w:rsidP="00110A7F">
            <w:pPr>
              <w:spacing w:before="0" w:after="0"/>
              <w:rPr>
                <w:rStyle w:val="BookTitle"/>
              </w:rPr>
            </w:pPr>
            <w:r w:rsidRPr="00110A7F">
              <w:rPr>
                <w:rStyle w:val="BookTitle"/>
              </w:rPr>
              <w:t>- Whole-GBR; NRM, river</w:t>
            </w:r>
          </w:p>
          <w:p w14:paraId="0C3F7D81" w14:textId="77777777" w:rsidR="00110A7F" w:rsidRPr="00110A7F" w:rsidRDefault="00110A7F" w:rsidP="00110A7F">
            <w:pPr>
              <w:spacing w:before="0" w:after="0"/>
              <w:rPr>
                <w:rStyle w:val="BookTitle"/>
              </w:rPr>
            </w:pPr>
            <w:r w:rsidRPr="00110A7F">
              <w:rPr>
                <w:rStyle w:val="BookTitle"/>
              </w:rPr>
              <w:t>- Daily, weekly and seasonal or multi-seasonal (frequency of occurrence)</w:t>
            </w:r>
          </w:p>
        </w:tc>
      </w:tr>
      <w:tr w:rsidR="00110A7F" w:rsidRPr="00110A7F" w14:paraId="0C3F7D87" w14:textId="77777777" w:rsidTr="00110A7F">
        <w:tc>
          <w:tcPr>
            <w:tcW w:w="952" w:type="pct"/>
          </w:tcPr>
          <w:p w14:paraId="0C3F7D83" w14:textId="77777777" w:rsidR="00110A7F" w:rsidRPr="00110A7F" w:rsidRDefault="00110A7F" w:rsidP="00110A7F">
            <w:pPr>
              <w:spacing w:before="0" w:after="0"/>
              <w:rPr>
                <w:rStyle w:val="BookTitle"/>
              </w:rPr>
            </w:pPr>
            <w:r w:rsidRPr="00110A7F">
              <w:rPr>
                <w:rStyle w:val="BookTitle"/>
              </w:rPr>
              <w:t>Plume water type maps</w:t>
            </w:r>
          </w:p>
        </w:tc>
        <w:tc>
          <w:tcPr>
            <w:tcW w:w="2542" w:type="pct"/>
          </w:tcPr>
          <w:p w14:paraId="0C3F7D84" w14:textId="77777777" w:rsidR="00110A7F" w:rsidRPr="00110A7F" w:rsidRDefault="00110A7F" w:rsidP="00110A7F">
            <w:pPr>
              <w:spacing w:before="0" w:after="0"/>
              <w:rPr>
                <w:rStyle w:val="BookTitle"/>
              </w:rPr>
            </w:pPr>
            <w:r w:rsidRPr="00110A7F">
              <w:rPr>
                <w:rStyle w:val="BookTitle"/>
              </w:rPr>
              <w:t>Plume water types are associated with different levels and combination of pollutants and, in combination with in-situ WQ information, provide a broad scale approach to reporting contaminant concentrations in the GBR marine environment.</w:t>
            </w:r>
          </w:p>
        </w:tc>
        <w:tc>
          <w:tcPr>
            <w:tcW w:w="1506" w:type="pct"/>
          </w:tcPr>
          <w:p w14:paraId="0C3F7D85" w14:textId="77777777" w:rsidR="00110A7F" w:rsidRPr="00110A7F" w:rsidRDefault="00110A7F" w:rsidP="00110A7F">
            <w:pPr>
              <w:spacing w:before="0" w:after="0"/>
              <w:rPr>
                <w:rStyle w:val="BookTitle"/>
              </w:rPr>
            </w:pPr>
            <w:r w:rsidRPr="00110A7F">
              <w:rPr>
                <w:rStyle w:val="BookTitle"/>
              </w:rPr>
              <w:t>- Whole-GBR; NRM, river</w:t>
            </w:r>
          </w:p>
          <w:p w14:paraId="0C3F7D86" w14:textId="77777777" w:rsidR="00110A7F" w:rsidRPr="00110A7F" w:rsidRDefault="00110A7F" w:rsidP="00110A7F">
            <w:pPr>
              <w:spacing w:before="0" w:after="0"/>
              <w:rPr>
                <w:rStyle w:val="BookTitle"/>
              </w:rPr>
            </w:pPr>
            <w:r w:rsidRPr="00110A7F">
              <w:rPr>
                <w:rStyle w:val="BookTitle"/>
              </w:rPr>
              <w:t>- Daily, weekly and seasonal or multi-seasonal (frequency of occurrence)</w:t>
            </w:r>
          </w:p>
        </w:tc>
      </w:tr>
      <w:tr w:rsidR="00110A7F" w:rsidRPr="00110A7F" w14:paraId="0C3F7D8C" w14:textId="77777777" w:rsidTr="00110A7F">
        <w:tc>
          <w:tcPr>
            <w:tcW w:w="952" w:type="pct"/>
          </w:tcPr>
          <w:p w14:paraId="0C3F7D88" w14:textId="77777777" w:rsidR="00110A7F" w:rsidRPr="00110A7F" w:rsidRDefault="00110A7F" w:rsidP="00110A7F">
            <w:pPr>
              <w:spacing w:before="0" w:after="0"/>
              <w:rPr>
                <w:rStyle w:val="BookTitle"/>
              </w:rPr>
            </w:pPr>
            <w:r w:rsidRPr="00110A7F">
              <w:rPr>
                <w:rStyle w:val="BookTitle"/>
              </w:rPr>
              <w:t>Load maps of land-sourced pollutants (TSS and DIN)</w:t>
            </w:r>
          </w:p>
        </w:tc>
        <w:tc>
          <w:tcPr>
            <w:tcW w:w="2542" w:type="pct"/>
          </w:tcPr>
          <w:p w14:paraId="0C3F7D89" w14:textId="77777777" w:rsidR="00110A7F" w:rsidRPr="00110A7F" w:rsidRDefault="00110A7F" w:rsidP="00110A7F">
            <w:pPr>
              <w:spacing w:before="0" w:after="0"/>
              <w:rPr>
                <w:rStyle w:val="BookTitle"/>
              </w:rPr>
            </w:pPr>
            <w:r w:rsidRPr="00110A7F">
              <w:rPr>
                <w:rStyle w:val="BookTitle"/>
              </w:rPr>
              <w:t>The load mapping exercise, allows us to further understand the movements of pollutants which are carried within the river plume waters.</w:t>
            </w:r>
          </w:p>
        </w:tc>
        <w:tc>
          <w:tcPr>
            <w:tcW w:w="1506" w:type="pct"/>
          </w:tcPr>
          <w:p w14:paraId="0C3F7D8A" w14:textId="77777777" w:rsidR="00110A7F" w:rsidRPr="00110A7F" w:rsidRDefault="00110A7F" w:rsidP="00110A7F">
            <w:pPr>
              <w:spacing w:before="0" w:after="0"/>
              <w:rPr>
                <w:rStyle w:val="BookTitle"/>
              </w:rPr>
            </w:pPr>
            <w:r w:rsidRPr="00110A7F">
              <w:rPr>
                <w:rStyle w:val="BookTitle"/>
              </w:rPr>
              <w:t>- Whole-GBR; NRM, river</w:t>
            </w:r>
          </w:p>
          <w:p w14:paraId="0C3F7D8B" w14:textId="77777777" w:rsidR="00110A7F" w:rsidRPr="00110A7F" w:rsidRDefault="00110A7F" w:rsidP="00110A7F">
            <w:pPr>
              <w:spacing w:before="0" w:after="0"/>
              <w:rPr>
                <w:rStyle w:val="BookTitle"/>
              </w:rPr>
            </w:pPr>
            <w:r w:rsidRPr="00110A7F">
              <w:rPr>
                <w:rStyle w:val="BookTitle"/>
              </w:rPr>
              <w:t>- seasonal or multi-seasonal</w:t>
            </w:r>
          </w:p>
        </w:tc>
      </w:tr>
      <w:tr w:rsidR="00110A7F" w:rsidRPr="00110A7F" w14:paraId="0C3F7D91" w14:textId="77777777" w:rsidTr="00110A7F">
        <w:tc>
          <w:tcPr>
            <w:tcW w:w="952" w:type="pct"/>
          </w:tcPr>
          <w:p w14:paraId="0C3F7D8D" w14:textId="77777777" w:rsidR="00110A7F" w:rsidRPr="00110A7F" w:rsidRDefault="00110A7F" w:rsidP="00110A7F">
            <w:pPr>
              <w:spacing w:before="0" w:after="0"/>
              <w:rPr>
                <w:rStyle w:val="BookTitle"/>
              </w:rPr>
            </w:pPr>
            <w:r w:rsidRPr="00110A7F">
              <w:rPr>
                <w:rStyle w:val="BookTitle"/>
              </w:rPr>
              <w:t>Potential river plume risk maps</w:t>
            </w:r>
          </w:p>
        </w:tc>
        <w:tc>
          <w:tcPr>
            <w:tcW w:w="2542" w:type="pct"/>
          </w:tcPr>
          <w:p w14:paraId="0C3F7D8E" w14:textId="77777777" w:rsidR="00110A7F" w:rsidRPr="00110A7F" w:rsidRDefault="00110A7F" w:rsidP="00110A7F">
            <w:pPr>
              <w:spacing w:before="0" w:after="0"/>
              <w:rPr>
                <w:rStyle w:val="BookTitle"/>
              </w:rPr>
            </w:pPr>
            <w:r w:rsidRPr="00110A7F">
              <w:rPr>
                <w:rStyle w:val="BookTitle"/>
              </w:rPr>
              <w:t>Preliminary product aiming to evaluate the ecological risk of GBR ecosystems from river plume exposure</w:t>
            </w:r>
          </w:p>
        </w:tc>
        <w:tc>
          <w:tcPr>
            <w:tcW w:w="1506" w:type="pct"/>
          </w:tcPr>
          <w:p w14:paraId="0C3F7D8F" w14:textId="77777777" w:rsidR="00110A7F" w:rsidRPr="00110A7F" w:rsidRDefault="00110A7F" w:rsidP="00110A7F">
            <w:pPr>
              <w:spacing w:before="0" w:after="0"/>
              <w:rPr>
                <w:rStyle w:val="BookTitle"/>
              </w:rPr>
            </w:pPr>
            <w:r w:rsidRPr="00110A7F">
              <w:rPr>
                <w:rStyle w:val="BookTitle"/>
              </w:rPr>
              <w:t>- Whole-GBR; NRM, river</w:t>
            </w:r>
          </w:p>
          <w:p w14:paraId="0C3F7D90" w14:textId="77777777" w:rsidR="00110A7F" w:rsidRPr="00110A7F" w:rsidRDefault="00110A7F" w:rsidP="00110A7F">
            <w:pPr>
              <w:spacing w:before="0" w:after="0"/>
              <w:rPr>
                <w:rStyle w:val="BookTitle"/>
              </w:rPr>
            </w:pPr>
            <w:r w:rsidRPr="00110A7F">
              <w:rPr>
                <w:rStyle w:val="BookTitle"/>
              </w:rPr>
              <w:t>- Daily, weekly and seasonal or multi-seasonal (frequency of occurrence)</w:t>
            </w:r>
          </w:p>
        </w:tc>
      </w:tr>
      <w:tr w:rsidR="00110A7F" w:rsidRPr="001850F0" w14:paraId="0C3F7D97" w14:textId="77777777" w:rsidTr="00110A7F">
        <w:tc>
          <w:tcPr>
            <w:tcW w:w="952" w:type="pct"/>
          </w:tcPr>
          <w:p w14:paraId="0C3F7D92" w14:textId="77777777" w:rsidR="00110A7F" w:rsidRPr="001850F0" w:rsidRDefault="00110A7F" w:rsidP="00110A7F">
            <w:pPr>
              <w:spacing w:before="0" w:after="0"/>
              <w:rPr>
                <w:rStyle w:val="BookTitle"/>
              </w:rPr>
            </w:pPr>
            <w:r w:rsidRPr="001850F0">
              <w:rPr>
                <w:rStyle w:val="BookTitle"/>
              </w:rPr>
              <w:t xml:space="preserve">Exposure Assessment of the coral reefs and seagrass beds </w:t>
            </w:r>
          </w:p>
        </w:tc>
        <w:tc>
          <w:tcPr>
            <w:tcW w:w="2542" w:type="pct"/>
          </w:tcPr>
          <w:p w14:paraId="0C3F7D93" w14:textId="77777777" w:rsidR="00110A7F" w:rsidRPr="00782908" w:rsidRDefault="00110A7F" w:rsidP="00110A7F">
            <w:pPr>
              <w:spacing w:before="0" w:after="0"/>
              <w:rPr>
                <w:rStyle w:val="BookTitle"/>
              </w:rPr>
            </w:pPr>
            <w:r w:rsidRPr="001850F0">
              <w:rPr>
                <w:rStyle w:val="BookTitle"/>
              </w:rPr>
              <w:t xml:space="preserve">Assess the exposure of key GBR ecosystems to plume exposure and potential risk from the river plume exposure.  </w:t>
            </w:r>
          </w:p>
          <w:p w14:paraId="0C3F7D94" w14:textId="77777777" w:rsidR="00110A7F" w:rsidRPr="001850F0" w:rsidRDefault="00110A7F" w:rsidP="00110A7F">
            <w:pPr>
              <w:spacing w:before="0" w:after="0"/>
              <w:rPr>
                <w:rStyle w:val="BookTitle"/>
              </w:rPr>
            </w:pPr>
            <w:r w:rsidRPr="00782908">
              <w:rPr>
                <w:rStyle w:val="BookTitle"/>
              </w:rPr>
              <w:t>Expressed simply as the area (km</w:t>
            </w:r>
            <w:r w:rsidRPr="001850F0">
              <w:rPr>
                <w:rStyle w:val="BookTitle"/>
                <w:vertAlign w:val="superscript"/>
              </w:rPr>
              <w:t>2</w:t>
            </w:r>
            <w:r w:rsidRPr="001850F0">
              <w:rPr>
                <w:rStyle w:val="BookTitle"/>
              </w:rPr>
              <w:t>) and percentage (%) of coral reefs and seagrass meadows exposed</w:t>
            </w:r>
          </w:p>
          <w:p w14:paraId="0C3F7D95" w14:textId="77777777" w:rsidR="00110A7F" w:rsidRPr="001850F0" w:rsidRDefault="00110A7F" w:rsidP="00110A7F">
            <w:pPr>
              <w:spacing w:before="0" w:after="0"/>
              <w:rPr>
                <w:rStyle w:val="BookTitle"/>
              </w:rPr>
            </w:pPr>
            <w:r w:rsidRPr="001850F0">
              <w:rPr>
                <w:rStyle w:val="BookTitle"/>
              </w:rPr>
              <w:t xml:space="preserve">Assume that historical reef and coral shapefiles can be </w:t>
            </w:r>
            <w:r w:rsidRPr="001850F0">
              <w:rPr>
                <w:rStyle w:val="BookTitle"/>
              </w:rPr>
              <w:lastRenderedPageBreak/>
              <w:t>used to assess the coral and seagrass location (stable over the years)</w:t>
            </w:r>
          </w:p>
        </w:tc>
        <w:tc>
          <w:tcPr>
            <w:tcW w:w="1506" w:type="pct"/>
          </w:tcPr>
          <w:p w14:paraId="0C3F7D96" w14:textId="77777777" w:rsidR="00110A7F" w:rsidRPr="001850F0" w:rsidRDefault="00110A7F" w:rsidP="00110A7F">
            <w:pPr>
              <w:spacing w:before="0" w:after="0"/>
              <w:rPr>
                <w:rStyle w:val="BookTitle"/>
              </w:rPr>
            </w:pPr>
            <w:r w:rsidRPr="001850F0">
              <w:rPr>
                <w:rStyle w:val="BookTitle"/>
              </w:rPr>
              <w:lastRenderedPageBreak/>
              <w:t>Whole-GBR; NRM; ecosystem</w:t>
            </w:r>
          </w:p>
        </w:tc>
      </w:tr>
    </w:tbl>
    <w:bookmarkEnd w:id="18"/>
    <w:bookmarkEnd w:id="19"/>
    <w:p w14:paraId="0C3F7D98" w14:textId="77777777" w:rsidR="0064679C" w:rsidRPr="00434B80" w:rsidRDefault="0064679C" w:rsidP="0064679C">
      <w:r w:rsidRPr="00BA3569">
        <w:lastRenderedPageBreak/>
        <w:t>Three different water types (Primary, Secondary, tertiary) are characteristic of the WQ gradient across the GBR river plumes and have been described from the inshore to the offshore boundaries of river plumes. Each plume water type is associated with above-natural pollutant concentrations and different concentrations of land-sourced pollutants and light levels. Concentrations of TSS, CDOM and light levels in flood plumes generally decrease across plume water types i.e., from Primary to Tertiary water types. Linear decrease of DIN and PSII herbicides concentrations from Primary to Tertiary water types have also been reported in the literature. Both the amount (concentration or load) and duration of exposure to a contaminant often co-determine the severity of an ecosystem response to the contaminant exposure (GRMPA, 2010). As a first approximation, it is assumed in this report and Petus et al. 2014b that the magnitude of risk for the GBR seagrass beds and coral reefs from river plume exposure (i.e., from land-sourced pollutants in river plumes) will increase from the Tertiary waters to the Primary core of river plumes and with the frequency of exposure.</w:t>
      </w:r>
    </w:p>
    <w:p w14:paraId="0C3F7D99" w14:textId="77777777" w:rsidR="0064679C" w:rsidRPr="00BA3569" w:rsidRDefault="0064679C" w:rsidP="0064679C">
      <w:r w:rsidRPr="00BA3569">
        <w:t>A new satellite product called ‘potential river plume risk map’ was developed based on t</w:t>
      </w:r>
      <w:r>
        <w:t>he WQ characteristics of the GBR</w:t>
      </w:r>
      <w:r w:rsidRPr="00BA3569">
        <w:t xml:space="preserve"> plume water types, the simplified framework published in Petus et al., 2014b and the risk matrix below.</w:t>
      </w:r>
    </w:p>
    <w:p w14:paraId="0C3F7D9A" w14:textId="77777777" w:rsidR="009C4D9F" w:rsidRPr="00110A7F" w:rsidRDefault="009C4D9F" w:rsidP="009C4D9F">
      <w:r w:rsidRPr="00110A7F">
        <w:t>This risk matrix assumes that potential risk level for GBR ecosystems can be ranked in four qualitative categories (</w:t>
      </w:r>
      <w:r>
        <w:t>I, II, III, IV</w:t>
      </w:r>
      <w:r w:rsidRPr="00110A7F">
        <w:t>) determined by the combination of the magnitude (mapped through the Primary, Secondary, Tertiary water type classes) and the likelihood (mapped through the frequency of occurrence of Primary, Secondary, Tertiary water type classes) of the river plume risk. This assumption</w:t>
      </w:r>
      <w:r>
        <w:t xml:space="preserve"> is</w:t>
      </w:r>
      <w:r w:rsidRPr="00110A7F">
        <w:t xml:space="preserve"> based on the ecological risk increasing with increased pollutant concentrations (magnitude) and increased exposure (frequency).</w:t>
      </w:r>
    </w:p>
    <w:p w14:paraId="0C3F7D9B" w14:textId="77777777" w:rsidR="009C4D9F" w:rsidRPr="00110A7F" w:rsidRDefault="009C4D9F" w:rsidP="009C4D9F">
      <w:r w:rsidRPr="00110A7F">
        <w:t>This Framework is still theoretical and the term ‘potential’ risk from plume exposure is used as risk maps haven’t been yet validated against ecological health data to confirm the ecological consequences of the risk, i.e., the risk ranking (</w:t>
      </w:r>
      <w:r>
        <w:t>I to IV</w:t>
      </w:r>
      <w:r w:rsidRPr="00110A7F">
        <w:t>) given a combination of magnitude and likelihood is, at this stage, theoretical</w:t>
      </w:r>
      <w:r>
        <w:t xml:space="preserve"> (Petus et al., in review)</w:t>
      </w:r>
      <w:r w:rsidRPr="00110A7F">
        <w:t>.</w:t>
      </w:r>
      <w:r>
        <w:t xml:space="preserve"> Recent work on the correlations between frequency of true colour and seagrass decline </w:t>
      </w:r>
      <w:r>
        <w:fldChar w:fldCharType="begin"/>
      </w:r>
      <w:r>
        <w:instrText xml:space="preserve"> ADDIN EN.CITE &lt;EndNote&gt;&lt;Cite&gt;&lt;Author&gt;Petus&lt;/Author&gt;&lt;Year&gt;2014&lt;/Year&gt;&lt;RecNum&gt;970&lt;/RecNum&gt;&lt;DisplayText&gt;(Petus et al., 2014)&lt;/DisplayText&gt;&lt;record&gt;&lt;rec-number&gt;970&lt;/rec-number&gt;&lt;foreign-keys&gt;&lt;key app="EN" db-id="wwzpfssaux292keptesxd5t6srsfvpzsde2p"&gt;970&lt;/key&gt;&lt;/foreign-keys&gt;&lt;ref-type name="Journal Article"&gt;17&lt;/ref-type&gt;&lt;contributors&gt;&lt;authors&gt;&lt;author&gt;Petus, Caroline&lt;/author&gt;&lt;author&gt;Collier, Catherine&lt;/author&gt;&lt;author&gt;Devlin, Michelle&lt;/author&gt;&lt;author&gt;Rasheed, Michael&lt;/author&gt;&lt;author&gt;McKenna, Skye&lt;/author&gt;&lt;/authors&gt;&lt;/contributors&gt;&lt;titles&gt;&lt;title&gt;Using MODIS data for understanding changes in seagrass meadow health: A case study in the Great Barrier Reef (Australia)&lt;/title&gt;&lt;secondary-title&gt;Marine environmental research&lt;/secondary-title&gt;&lt;/titles&gt;&lt;periodical&gt;&lt;full-title&gt;Mar Environ Res&lt;/full-title&gt;&lt;abbr-1&gt;Marine environmental research&lt;/abbr-1&gt;&lt;/periodical&gt;&lt;pages&gt;68-85&lt;/pages&gt;&lt;volume&gt;98&lt;/volume&gt;&lt;dates&gt;&lt;year&gt;2014&lt;/year&gt;&lt;/dates&gt;&lt;isbn&gt;0141-1136&lt;/isbn&gt;&lt;urls&gt;&lt;/urls&gt;&lt;/record&gt;&lt;/Cite&gt;&lt;/EndNote&gt;</w:instrText>
      </w:r>
      <w:r>
        <w:fldChar w:fldCharType="separate"/>
      </w:r>
      <w:r>
        <w:rPr>
          <w:noProof/>
        </w:rPr>
        <w:t>(</w:t>
      </w:r>
      <w:hyperlink w:anchor="_ENREF_31" w:tooltip="Petus, 2014 #970" w:history="1">
        <w:r>
          <w:rPr>
            <w:noProof/>
          </w:rPr>
          <w:t>Petus et al., 2014</w:t>
        </w:r>
      </w:hyperlink>
      <w:r>
        <w:rPr>
          <w:noProof/>
        </w:rPr>
        <w:t>)</w:t>
      </w:r>
      <w:r>
        <w:fldChar w:fldCharType="end"/>
      </w:r>
      <w:r>
        <w:t xml:space="preserve"> has shown</w:t>
      </w:r>
      <w:r w:rsidRPr="00110A7F">
        <w:t xml:space="preserve"> that </w:t>
      </w:r>
      <w:r>
        <w:t xml:space="preserve">a </w:t>
      </w:r>
      <w:r w:rsidRPr="00110A7F">
        <w:t>decline in seagrass meadow area and biomass is positively linked to high occurrence of turbid water masses mapped through MODIS imagery.</w:t>
      </w:r>
    </w:p>
    <w:p w14:paraId="0C3F7D9C" w14:textId="77777777" w:rsidR="0064679C" w:rsidRDefault="0064679C" w:rsidP="0064679C">
      <w:pPr>
        <w:pStyle w:val="Caption"/>
      </w:pPr>
      <w:bookmarkStart w:id="23" w:name="_Toc434208064"/>
      <w:r>
        <w:t xml:space="preserve">Table </w:t>
      </w:r>
      <w:r w:rsidR="00AE4287">
        <w:fldChar w:fldCharType="begin"/>
      </w:r>
      <w:r w:rsidR="00AE4287">
        <w:instrText xml:space="preserve"> STYLEREF 1 \s </w:instrText>
      </w:r>
      <w:r w:rsidR="00AE4287">
        <w:fldChar w:fldCharType="separate"/>
      </w:r>
      <w:r w:rsidR="00B62B50">
        <w:rPr>
          <w:noProof/>
        </w:rPr>
        <w:t>1</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5</w:t>
      </w:r>
      <w:r w:rsidR="00AE4287">
        <w:fldChar w:fldCharType="end"/>
      </w:r>
      <w:r>
        <w:t xml:space="preserve">: </w:t>
      </w:r>
      <w:r w:rsidRPr="00434B80">
        <w:t>Risk matrix in function of the magnitude and the likelihood of the river plume risk. Risk categories (I, II, III, IV, V</w:t>
      </w:r>
      <w:r>
        <w:t>)</w:t>
      </w:r>
      <w:bookmarkEnd w:id="23"/>
      <w:r>
        <w:t xml:space="preserve"> </w:t>
      </w:r>
    </w:p>
    <w:tbl>
      <w:tblPr>
        <w:tblW w:w="5416" w:type="dxa"/>
        <w:jc w:val="center"/>
        <w:tblInd w:w="93" w:type="dxa"/>
        <w:tblLook w:val="04A0" w:firstRow="1" w:lastRow="0" w:firstColumn="1" w:lastColumn="0" w:noHBand="0" w:noVBand="1"/>
      </w:tblPr>
      <w:tblGrid>
        <w:gridCol w:w="1400"/>
        <w:gridCol w:w="1337"/>
        <w:gridCol w:w="1210"/>
        <w:gridCol w:w="1469"/>
      </w:tblGrid>
      <w:tr w:rsidR="0064679C" w:rsidRPr="003C10C4" w14:paraId="0C3F7DA4"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9D" w14:textId="77777777" w:rsidR="0064679C" w:rsidRPr="003C10C4" w:rsidRDefault="0064679C" w:rsidP="005118C1">
            <w:pPr>
              <w:spacing w:before="0" w:after="0"/>
              <w:jc w:val="center"/>
              <w:rPr>
                <w:rStyle w:val="BookTitle"/>
              </w:rPr>
            </w:pPr>
            <w:r w:rsidRPr="003C10C4">
              <w:rPr>
                <w:rStyle w:val="BookTitle"/>
              </w:rPr>
              <w:t>Magnitude</w:t>
            </w:r>
          </w:p>
        </w:tc>
        <w:tc>
          <w:tcPr>
            <w:tcW w:w="1337" w:type="dxa"/>
            <w:vMerge w:val="restart"/>
            <w:tcBorders>
              <w:top w:val="nil"/>
              <w:left w:val="nil"/>
              <w:right w:val="nil"/>
            </w:tcBorders>
            <w:shd w:val="clear" w:color="auto" w:fill="auto"/>
            <w:noWrap/>
            <w:vAlign w:val="center"/>
            <w:hideMark/>
          </w:tcPr>
          <w:p w14:paraId="0C3F7D9E" w14:textId="77777777" w:rsidR="0064679C" w:rsidRPr="003C10C4" w:rsidRDefault="0064679C" w:rsidP="005118C1">
            <w:pPr>
              <w:spacing w:before="0" w:after="0"/>
              <w:jc w:val="center"/>
              <w:rPr>
                <w:rStyle w:val="BookTitle"/>
              </w:rPr>
            </w:pPr>
            <w:r w:rsidRPr="003C10C4">
              <w:rPr>
                <w:rStyle w:val="BookTitle"/>
              </w:rPr>
              <w:t>Tertiary</w:t>
            </w:r>
          </w:p>
          <w:p w14:paraId="0C3F7D9F" w14:textId="77777777" w:rsidR="0064679C" w:rsidRPr="003C10C4" w:rsidRDefault="0064679C" w:rsidP="005118C1">
            <w:pPr>
              <w:spacing w:before="0" w:after="0"/>
              <w:jc w:val="center"/>
              <w:rPr>
                <w:rStyle w:val="BookTitle"/>
              </w:rPr>
            </w:pPr>
          </w:p>
        </w:tc>
        <w:tc>
          <w:tcPr>
            <w:tcW w:w="1210" w:type="dxa"/>
            <w:vMerge w:val="restart"/>
            <w:tcBorders>
              <w:top w:val="nil"/>
              <w:left w:val="nil"/>
              <w:right w:val="nil"/>
            </w:tcBorders>
            <w:shd w:val="clear" w:color="auto" w:fill="auto"/>
            <w:noWrap/>
            <w:vAlign w:val="center"/>
            <w:hideMark/>
          </w:tcPr>
          <w:p w14:paraId="0C3F7DA0" w14:textId="77777777" w:rsidR="0064679C" w:rsidRPr="003C10C4" w:rsidRDefault="0064679C" w:rsidP="005118C1">
            <w:pPr>
              <w:spacing w:before="0" w:after="0"/>
              <w:jc w:val="center"/>
              <w:rPr>
                <w:rStyle w:val="BookTitle"/>
              </w:rPr>
            </w:pPr>
            <w:r w:rsidRPr="003C10C4">
              <w:rPr>
                <w:rStyle w:val="BookTitle"/>
              </w:rPr>
              <w:t>Secondary</w:t>
            </w:r>
          </w:p>
          <w:p w14:paraId="0C3F7DA1" w14:textId="77777777" w:rsidR="0064679C" w:rsidRPr="003C10C4" w:rsidRDefault="0064679C" w:rsidP="005118C1">
            <w:pPr>
              <w:spacing w:before="0" w:after="0"/>
              <w:jc w:val="center"/>
              <w:rPr>
                <w:rStyle w:val="BookTitle"/>
              </w:rPr>
            </w:pPr>
          </w:p>
        </w:tc>
        <w:tc>
          <w:tcPr>
            <w:tcW w:w="1469" w:type="dxa"/>
            <w:vMerge w:val="restart"/>
            <w:tcBorders>
              <w:top w:val="nil"/>
              <w:left w:val="nil"/>
              <w:right w:val="nil"/>
            </w:tcBorders>
            <w:shd w:val="clear" w:color="auto" w:fill="auto"/>
            <w:noWrap/>
            <w:vAlign w:val="center"/>
            <w:hideMark/>
          </w:tcPr>
          <w:p w14:paraId="0C3F7DA2" w14:textId="77777777" w:rsidR="0064679C" w:rsidRPr="003C10C4" w:rsidRDefault="0064679C" w:rsidP="005118C1">
            <w:pPr>
              <w:spacing w:before="0" w:after="0"/>
              <w:jc w:val="center"/>
              <w:rPr>
                <w:rStyle w:val="BookTitle"/>
              </w:rPr>
            </w:pPr>
            <w:r w:rsidRPr="003C10C4">
              <w:rPr>
                <w:rStyle w:val="BookTitle"/>
              </w:rPr>
              <w:t>Primary</w:t>
            </w:r>
          </w:p>
          <w:p w14:paraId="0C3F7DA3" w14:textId="77777777" w:rsidR="0064679C" w:rsidRPr="003C10C4" w:rsidRDefault="0064679C" w:rsidP="005118C1">
            <w:pPr>
              <w:spacing w:before="0" w:after="0"/>
              <w:jc w:val="center"/>
              <w:rPr>
                <w:rStyle w:val="BookTitle"/>
              </w:rPr>
            </w:pPr>
          </w:p>
        </w:tc>
      </w:tr>
      <w:tr w:rsidR="0064679C" w:rsidRPr="003C10C4" w14:paraId="0C3F7DA9" w14:textId="77777777" w:rsidTr="005118C1">
        <w:trPr>
          <w:trHeight w:val="300"/>
          <w:jc w:val="center"/>
        </w:trPr>
        <w:tc>
          <w:tcPr>
            <w:tcW w:w="1400" w:type="dxa"/>
            <w:tcBorders>
              <w:top w:val="nil"/>
              <w:left w:val="nil"/>
              <w:bottom w:val="single" w:sz="4" w:space="0" w:color="auto"/>
              <w:right w:val="single" w:sz="4" w:space="0" w:color="auto"/>
            </w:tcBorders>
            <w:shd w:val="clear" w:color="auto" w:fill="auto"/>
            <w:noWrap/>
            <w:vAlign w:val="center"/>
            <w:hideMark/>
          </w:tcPr>
          <w:p w14:paraId="0C3F7DA5" w14:textId="77777777" w:rsidR="0064679C" w:rsidRPr="003C10C4" w:rsidRDefault="0064679C" w:rsidP="005118C1">
            <w:pPr>
              <w:spacing w:before="0" w:after="0"/>
              <w:jc w:val="center"/>
              <w:rPr>
                <w:rStyle w:val="BookTitle"/>
              </w:rPr>
            </w:pPr>
            <w:r w:rsidRPr="003C10C4">
              <w:rPr>
                <w:rStyle w:val="BookTitle"/>
              </w:rPr>
              <w:t>Likelihood</w:t>
            </w:r>
          </w:p>
        </w:tc>
        <w:tc>
          <w:tcPr>
            <w:tcW w:w="1337" w:type="dxa"/>
            <w:vMerge/>
            <w:tcBorders>
              <w:left w:val="nil"/>
              <w:bottom w:val="single" w:sz="4" w:space="0" w:color="auto"/>
              <w:right w:val="nil"/>
            </w:tcBorders>
            <w:shd w:val="clear" w:color="auto" w:fill="auto"/>
            <w:noWrap/>
            <w:vAlign w:val="center"/>
            <w:hideMark/>
          </w:tcPr>
          <w:p w14:paraId="0C3F7DA6" w14:textId="77777777" w:rsidR="0064679C" w:rsidRPr="003C10C4" w:rsidRDefault="0064679C" w:rsidP="005118C1">
            <w:pPr>
              <w:spacing w:before="0" w:after="0"/>
              <w:jc w:val="center"/>
              <w:rPr>
                <w:rStyle w:val="BookTitle"/>
              </w:rPr>
            </w:pPr>
          </w:p>
        </w:tc>
        <w:tc>
          <w:tcPr>
            <w:tcW w:w="1210" w:type="dxa"/>
            <w:vMerge/>
            <w:tcBorders>
              <w:left w:val="nil"/>
              <w:bottom w:val="single" w:sz="4" w:space="0" w:color="auto"/>
              <w:right w:val="nil"/>
            </w:tcBorders>
            <w:shd w:val="clear" w:color="auto" w:fill="auto"/>
            <w:noWrap/>
            <w:vAlign w:val="center"/>
            <w:hideMark/>
          </w:tcPr>
          <w:p w14:paraId="0C3F7DA7" w14:textId="77777777" w:rsidR="0064679C" w:rsidRPr="003C10C4" w:rsidRDefault="0064679C" w:rsidP="005118C1">
            <w:pPr>
              <w:spacing w:before="0" w:after="0"/>
              <w:jc w:val="center"/>
              <w:rPr>
                <w:rStyle w:val="BookTitle"/>
              </w:rPr>
            </w:pPr>
          </w:p>
        </w:tc>
        <w:tc>
          <w:tcPr>
            <w:tcW w:w="1469" w:type="dxa"/>
            <w:vMerge/>
            <w:tcBorders>
              <w:left w:val="nil"/>
              <w:bottom w:val="single" w:sz="4" w:space="0" w:color="auto"/>
              <w:right w:val="nil"/>
            </w:tcBorders>
            <w:shd w:val="clear" w:color="auto" w:fill="auto"/>
            <w:noWrap/>
            <w:vAlign w:val="center"/>
            <w:hideMark/>
          </w:tcPr>
          <w:p w14:paraId="0C3F7DA8" w14:textId="77777777" w:rsidR="0064679C" w:rsidRPr="003C10C4" w:rsidRDefault="0064679C" w:rsidP="005118C1">
            <w:pPr>
              <w:spacing w:before="0" w:after="0"/>
              <w:jc w:val="center"/>
              <w:rPr>
                <w:rStyle w:val="BookTitle"/>
              </w:rPr>
            </w:pPr>
          </w:p>
        </w:tc>
      </w:tr>
      <w:tr w:rsidR="0064679C" w:rsidRPr="003C10C4" w14:paraId="0C3F7DAE"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AA" w14:textId="77777777" w:rsidR="0064679C" w:rsidRPr="003C10C4" w:rsidRDefault="0064679C" w:rsidP="005118C1">
            <w:pPr>
              <w:spacing w:before="0" w:after="0"/>
              <w:jc w:val="center"/>
              <w:rPr>
                <w:rStyle w:val="BookTitle"/>
              </w:rPr>
            </w:pPr>
            <w:r w:rsidRPr="003C10C4">
              <w:rPr>
                <w:rStyle w:val="BookTitle"/>
              </w:rPr>
              <w:t>rare</w:t>
            </w:r>
          </w:p>
        </w:tc>
        <w:tc>
          <w:tcPr>
            <w:tcW w:w="1337" w:type="dxa"/>
            <w:tcBorders>
              <w:top w:val="nil"/>
              <w:left w:val="nil"/>
              <w:bottom w:val="nil"/>
              <w:right w:val="nil"/>
            </w:tcBorders>
            <w:shd w:val="clear" w:color="000000" w:fill="00B0F0"/>
            <w:noWrap/>
            <w:vAlign w:val="center"/>
            <w:hideMark/>
          </w:tcPr>
          <w:p w14:paraId="0C3F7DAB" w14:textId="77777777" w:rsidR="0064679C" w:rsidRPr="003C10C4" w:rsidRDefault="0064679C" w:rsidP="005118C1">
            <w:pPr>
              <w:spacing w:before="0" w:after="0"/>
              <w:jc w:val="center"/>
              <w:rPr>
                <w:rStyle w:val="BookTitle"/>
              </w:rPr>
            </w:pPr>
            <w:r w:rsidRPr="003C10C4">
              <w:rPr>
                <w:rStyle w:val="BookTitle"/>
              </w:rPr>
              <w:t>I</w:t>
            </w:r>
          </w:p>
        </w:tc>
        <w:tc>
          <w:tcPr>
            <w:tcW w:w="1210" w:type="dxa"/>
            <w:tcBorders>
              <w:top w:val="nil"/>
              <w:left w:val="nil"/>
              <w:bottom w:val="nil"/>
              <w:right w:val="nil"/>
            </w:tcBorders>
            <w:shd w:val="clear" w:color="000000" w:fill="00B0F0"/>
            <w:noWrap/>
            <w:vAlign w:val="center"/>
            <w:hideMark/>
          </w:tcPr>
          <w:p w14:paraId="0C3F7DAC" w14:textId="77777777" w:rsidR="0064679C" w:rsidRPr="003C10C4" w:rsidRDefault="0064679C" w:rsidP="005118C1">
            <w:pPr>
              <w:spacing w:before="0" w:after="0"/>
              <w:jc w:val="center"/>
              <w:rPr>
                <w:rStyle w:val="BookTitle"/>
              </w:rPr>
            </w:pPr>
            <w:r w:rsidRPr="003C10C4">
              <w:rPr>
                <w:rStyle w:val="BookTitle"/>
              </w:rPr>
              <w:t>I</w:t>
            </w:r>
          </w:p>
        </w:tc>
        <w:tc>
          <w:tcPr>
            <w:tcW w:w="1469" w:type="dxa"/>
            <w:tcBorders>
              <w:top w:val="nil"/>
              <w:left w:val="nil"/>
              <w:bottom w:val="nil"/>
              <w:right w:val="nil"/>
            </w:tcBorders>
            <w:shd w:val="clear" w:color="000000" w:fill="1EC103"/>
            <w:noWrap/>
            <w:vAlign w:val="center"/>
            <w:hideMark/>
          </w:tcPr>
          <w:p w14:paraId="0C3F7DAD" w14:textId="77777777" w:rsidR="0064679C" w:rsidRPr="003C10C4" w:rsidRDefault="0064679C" w:rsidP="005118C1">
            <w:pPr>
              <w:spacing w:before="0" w:after="0"/>
              <w:jc w:val="center"/>
              <w:rPr>
                <w:rStyle w:val="BookTitle"/>
              </w:rPr>
            </w:pPr>
            <w:r w:rsidRPr="003C10C4">
              <w:rPr>
                <w:rStyle w:val="BookTitle"/>
              </w:rPr>
              <w:t>II</w:t>
            </w:r>
          </w:p>
        </w:tc>
      </w:tr>
      <w:tr w:rsidR="0064679C" w:rsidRPr="003C10C4" w14:paraId="0C3F7DB3"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AF" w14:textId="77777777" w:rsidR="0064679C" w:rsidRPr="003C10C4" w:rsidRDefault="0064679C" w:rsidP="005118C1">
            <w:pPr>
              <w:spacing w:before="0" w:after="0"/>
              <w:jc w:val="center"/>
              <w:rPr>
                <w:rStyle w:val="BookTitle"/>
              </w:rPr>
            </w:pPr>
            <w:r w:rsidRPr="003C10C4">
              <w:rPr>
                <w:rStyle w:val="BookTitle"/>
              </w:rPr>
              <w:t>infrequent</w:t>
            </w:r>
          </w:p>
        </w:tc>
        <w:tc>
          <w:tcPr>
            <w:tcW w:w="1337" w:type="dxa"/>
            <w:tcBorders>
              <w:top w:val="nil"/>
              <w:left w:val="nil"/>
              <w:bottom w:val="nil"/>
              <w:right w:val="nil"/>
            </w:tcBorders>
            <w:shd w:val="clear" w:color="000000" w:fill="00B0F0"/>
            <w:noWrap/>
            <w:vAlign w:val="center"/>
            <w:hideMark/>
          </w:tcPr>
          <w:p w14:paraId="0C3F7DB0" w14:textId="77777777" w:rsidR="0064679C" w:rsidRPr="003C10C4" w:rsidRDefault="0064679C" w:rsidP="005118C1">
            <w:pPr>
              <w:spacing w:before="0" w:after="0"/>
              <w:jc w:val="center"/>
              <w:rPr>
                <w:rStyle w:val="BookTitle"/>
              </w:rPr>
            </w:pPr>
            <w:r w:rsidRPr="003C10C4">
              <w:rPr>
                <w:rStyle w:val="BookTitle"/>
              </w:rPr>
              <w:t>I</w:t>
            </w:r>
          </w:p>
        </w:tc>
        <w:tc>
          <w:tcPr>
            <w:tcW w:w="1210" w:type="dxa"/>
            <w:tcBorders>
              <w:top w:val="nil"/>
              <w:left w:val="nil"/>
              <w:bottom w:val="nil"/>
              <w:right w:val="nil"/>
            </w:tcBorders>
            <w:shd w:val="clear" w:color="000000" w:fill="1EC103"/>
            <w:noWrap/>
            <w:vAlign w:val="center"/>
            <w:hideMark/>
          </w:tcPr>
          <w:p w14:paraId="0C3F7DB1" w14:textId="77777777" w:rsidR="0064679C" w:rsidRPr="003C10C4" w:rsidRDefault="0064679C" w:rsidP="005118C1">
            <w:pPr>
              <w:spacing w:before="0" w:after="0"/>
              <w:jc w:val="center"/>
              <w:rPr>
                <w:rStyle w:val="BookTitle"/>
              </w:rPr>
            </w:pPr>
            <w:r w:rsidRPr="003C10C4">
              <w:rPr>
                <w:rStyle w:val="BookTitle"/>
              </w:rPr>
              <w:t>II</w:t>
            </w:r>
          </w:p>
        </w:tc>
        <w:tc>
          <w:tcPr>
            <w:tcW w:w="1469" w:type="dxa"/>
            <w:tcBorders>
              <w:top w:val="nil"/>
              <w:left w:val="nil"/>
              <w:bottom w:val="nil"/>
              <w:right w:val="nil"/>
            </w:tcBorders>
            <w:shd w:val="clear" w:color="000000" w:fill="1EC103"/>
            <w:noWrap/>
            <w:vAlign w:val="center"/>
            <w:hideMark/>
          </w:tcPr>
          <w:p w14:paraId="0C3F7DB2" w14:textId="77777777" w:rsidR="0064679C" w:rsidRPr="003C10C4" w:rsidRDefault="0064679C" w:rsidP="005118C1">
            <w:pPr>
              <w:spacing w:before="0" w:after="0"/>
              <w:jc w:val="center"/>
              <w:rPr>
                <w:rStyle w:val="BookTitle"/>
              </w:rPr>
            </w:pPr>
            <w:r w:rsidRPr="003C10C4">
              <w:rPr>
                <w:rStyle w:val="BookTitle"/>
              </w:rPr>
              <w:t>II</w:t>
            </w:r>
          </w:p>
        </w:tc>
      </w:tr>
      <w:tr w:rsidR="0064679C" w:rsidRPr="003C10C4" w14:paraId="0C3F7DB8"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B4" w14:textId="77777777" w:rsidR="0064679C" w:rsidRPr="003C10C4" w:rsidRDefault="0064679C" w:rsidP="005118C1">
            <w:pPr>
              <w:spacing w:before="0" w:after="0"/>
              <w:jc w:val="center"/>
              <w:rPr>
                <w:rStyle w:val="BookTitle"/>
              </w:rPr>
            </w:pPr>
            <w:r w:rsidRPr="003C10C4">
              <w:rPr>
                <w:rStyle w:val="BookTitle"/>
              </w:rPr>
              <w:t>occasional</w:t>
            </w:r>
          </w:p>
        </w:tc>
        <w:tc>
          <w:tcPr>
            <w:tcW w:w="1337" w:type="dxa"/>
            <w:tcBorders>
              <w:top w:val="nil"/>
              <w:left w:val="nil"/>
              <w:bottom w:val="nil"/>
              <w:right w:val="nil"/>
            </w:tcBorders>
            <w:shd w:val="clear" w:color="000000" w:fill="1EC103"/>
            <w:noWrap/>
            <w:vAlign w:val="center"/>
            <w:hideMark/>
          </w:tcPr>
          <w:p w14:paraId="0C3F7DB5" w14:textId="77777777" w:rsidR="0064679C" w:rsidRPr="003C10C4" w:rsidRDefault="0064679C" w:rsidP="005118C1">
            <w:pPr>
              <w:spacing w:before="0" w:after="0"/>
              <w:jc w:val="center"/>
              <w:rPr>
                <w:rStyle w:val="BookTitle"/>
              </w:rPr>
            </w:pPr>
            <w:r w:rsidRPr="003C10C4">
              <w:rPr>
                <w:rStyle w:val="BookTitle"/>
              </w:rPr>
              <w:t>II</w:t>
            </w:r>
          </w:p>
        </w:tc>
        <w:tc>
          <w:tcPr>
            <w:tcW w:w="1210" w:type="dxa"/>
            <w:tcBorders>
              <w:top w:val="nil"/>
              <w:left w:val="nil"/>
              <w:bottom w:val="nil"/>
              <w:right w:val="nil"/>
            </w:tcBorders>
            <w:shd w:val="clear" w:color="000000" w:fill="1EC103"/>
            <w:noWrap/>
            <w:vAlign w:val="center"/>
            <w:hideMark/>
          </w:tcPr>
          <w:p w14:paraId="0C3F7DB6" w14:textId="77777777" w:rsidR="0064679C" w:rsidRPr="003C10C4" w:rsidRDefault="0064679C" w:rsidP="005118C1">
            <w:pPr>
              <w:spacing w:before="0" w:after="0"/>
              <w:jc w:val="center"/>
              <w:rPr>
                <w:rStyle w:val="BookTitle"/>
              </w:rPr>
            </w:pPr>
            <w:r w:rsidRPr="003C10C4">
              <w:rPr>
                <w:rStyle w:val="BookTitle"/>
              </w:rPr>
              <w:t>II</w:t>
            </w:r>
          </w:p>
        </w:tc>
        <w:tc>
          <w:tcPr>
            <w:tcW w:w="1469" w:type="dxa"/>
            <w:tcBorders>
              <w:top w:val="nil"/>
              <w:left w:val="nil"/>
              <w:bottom w:val="nil"/>
              <w:right w:val="nil"/>
            </w:tcBorders>
            <w:shd w:val="clear" w:color="000000" w:fill="FF0000"/>
            <w:noWrap/>
            <w:vAlign w:val="center"/>
            <w:hideMark/>
          </w:tcPr>
          <w:p w14:paraId="0C3F7DB7" w14:textId="77777777" w:rsidR="0064679C" w:rsidRPr="003C10C4" w:rsidRDefault="0064679C" w:rsidP="005118C1">
            <w:pPr>
              <w:spacing w:before="0" w:after="0"/>
              <w:jc w:val="center"/>
              <w:rPr>
                <w:rStyle w:val="BookTitle"/>
              </w:rPr>
            </w:pPr>
            <w:r w:rsidRPr="003C10C4">
              <w:rPr>
                <w:rStyle w:val="BookTitle"/>
              </w:rPr>
              <w:t>III</w:t>
            </w:r>
          </w:p>
        </w:tc>
      </w:tr>
      <w:tr w:rsidR="0064679C" w:rsidRPr="003C10C4" w14:paraId="0C3F7DBD"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B9" w14:textId="77777777" w:rsidR="0064679C" w:rsidRPr="003C10C4" w:rsidRDefault="0064679C" w:rsidP="005118C1">
            <w:pPr>
              <w:spacing w:before="0" w:after="0"/>
              <w:jc w:val="center"/>
              <w:rPr>
                <w:rStyle w:val="BookTitle"/>
              </w:rPr>
            </w:pPr>
            <w:r w:rsidRPr="003C10C4">
              <w:rPr>
                <w:rStyle w:val="BookTitle"/>
              </w:rPr>
              <w:t>frequent</w:t>
            </w:r>
          </w:p>
        </w:tc>
        <w:tc>
          <w:tcPr>
            <w:tcW w:w="1337" w:type="dxa"/>
            <w:tcBorders>
              <w:top w:val="nil"/>
              <w:left w:val="nil"/>
              <w:bottom w:val="nil"/>
              <w:right w:val="nil"/>
            </w:tcBorders>
            <w:shd w:val="clear" w:color="000000" w:fill="1EC103"/>
            <w:noWrap/>
            <w:vAlign w:val="center"/>
            <w:hideMark/>
          </w:tcPr>
          <w:p w14:paraId="0C3F7DBA" w14:textId="77777777" w:rsidR="0064679C" w:rsidRPr="003C10C4" w:rsidRDefault="0064679C" w:rsidP="005118C1">
            <w:pPr>
              <w:spacing w:before="0" w:after="0"/>
              <w:jc w:val="center"/>
              <w:rPr>
                <w:rStyle w:val="BookTitle"/>
              </w:rPr>
            </w:pPr>
            <w:r w:rsidRPr="003C10C4">
              <w:rPr>
                <w:rStyle w:val="BookTitle"/>
              </w:rPr>
              <w:t>II</w:t>
            </w:r>
          </w:p>
        </w:tc>
        <w:tc>
          <w:tcPr>
            <w:tcW w:w="1210" w:type="dxa"/>
            <w:tcBorders>
              <w:top w:val="nil"/>
              <w:left w:val="nil"/>
              <w:bottom w:val="nil"/>
              <w:right w:val="nil"/>
            </w:tcBorders>
            <w:shd w:val="clear" w:color="000000" w:fill="FF0000"/>
            <w:noWrap/>
            <w:vAlign w:val="center"/>
            <w:hideMark/>
          </w:tcPr>
          <w:p w14:paraId="0C3F7DBB" w14:textId="77777777" w:rsidR="0064679C" w:rsidRPr="003C10C4" w:rsidRDefault="0064679C" w:rsidP="005118C1">
            <w:pPr>
              <w:spacing w:before="0" w:after="0"/>
              <w:jc w:val="center"/>
              <w:rPr>
                <w:rStyle w:val="BookTitle"/>
              </w:rPr>
            </w:pPr>
            <w:r w:rsidRPr="003C10C4">
              <w:rPr>
                <w:rStyle w:val="BookTitle"/>
              </w:rPr>
              <w:t>III</w:t>
            </w:r>
          </w:p>
        </w:tc>
        <w:tc>
          <w:tcPr>
            <w:tcW w:w="1469" w:type="dxa"/>
            <w:tcBorders>
              <w:top w:val="nil"/>
              <w:left w:val="nil"/>
              <w:bottom w:val="nil"/>
              <w:right w:val="nil"/>
            </w:tcBorders>
            <w:shd w:val="clear" w:color="000000" w:fill="FF0000"/>
            <w:noWrap/>
            <w:vAlign w:val="center"/>
            <w:hideMark/>
          </w:tcPr>
          <w:p w14:paraId="0C3F7DBC" w14:textId="77777777" w:rsidR="0064679C" w:rsidRPr="003C10C4" w:rsidRDefault="0064679C" w:rsidP="005118C1">
            <w:pPr>
              <w:spacing w:before="0" w:after="0"/>
              <w:jc w:val="center"/>
              <w:rPr>
                <w:rStyle w:val="BookTitle"/>
              </w:rPr>
            </w:pPr>
            <w:r w:rsidRPr="003C10C4">
              <w:rPr>
                <w:rStyle w:val="BookTitle"/>
              </w:rPr>
              <w:t>III</w:t>
            </w:r>
          </w:p>
        </w:tc>
      </w:tr>
      <w:tr w:rsidR="0064679C" w:rsidRPr="003C10C4" w14:paraId="0C3F7DC2" w14:textId="77777777" w:rsidTr="005118C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7DBE" w14:textId="77777777" w:rsidR="0064679C" w:rsidRPr="003C10C4" w:rsidRDefault="0064679C" w:rsidP="005118C1">
            <w:pPr>
              <w:spacing w:before="0" w:after="0"/>
              <w:jc w:val="center"/>
              <w:rPr>
                <w:rStyle w:val="BookTitle"/>
              </w:rPr>
            </w:pPr>
            <w:r w:rsidRPr="003C10C4">
              <w:rPr>
                <w:rStyle w:val="BookTitle"/>
              </w:rPr>
              <w:t>very frequent</w:t>
            </w:r>
          </w:p>
        </w:tc>
        <w:tc>
          <w:tcPr>
            <w:tcW w:w="1337" w:type="dxa"/>
            <w:tcBorders>
              <w:top w:val="nil"/>
              <w:left w:val="nil"/>
              <w:bottom w:val="nil"/>
              <w:right w:val="nil"/>
            </w:tcBorders>
            <w:shd w:val="clear" w:color="000000" w:fill="FF0000"/>
            <w:noWrap/>
            <w:vAlign w:val="center"/>
            <w:hideMark/>
          </w:tcPr>
          <w:p w14:paraId="0C3F7DBF" w14:textId="77777777" w:rsidR="0064679C" w:rsidRPr="003C10C4" w:rsidRDefault="0064679C" w:rsidP="005118C1">
            <w:pPr>
              <w:spacing w:before="0" w:after="0"/>
              <w:jc w:val="center"/>
              <w:rPr>
                <w:rStyle w:val="BookTitle"/>
              </w:rPr>
            </w:pPr>
            <w:r w:rsidRPr="003C10C4">
              <w:rPr>
                <w:rStyle w:val="BookTitle"/>
              </w:rPr>
              <w:t>III</w:t>
            </w:r>
          </w:p>
        </w:tc>
        <w:tc>
          <w:tcPr>
            <w:tcW w:w="1210" w:type="dxa"/>
            <w:tcBorders>
              <w:top w:val="nil"/>
              <w:left w:val="nil"/>
              <w:bottom w:val="nil"/>
              <w:right w:val="nil"/>
            </w:tcBorders>
            <w:shd w:val="clear" w:color="000000" w:fill="FF0000"/>
            <w:noWrap/>
            <w:vAlign w:val="center"/>
            <w:hideMark/>
          </w:tcPr>
          <w:p w14:paraId="0C3F7DC0" w14:textId="77777777" w:rsidR="0064679C" w:rsidRPr="003C10C4" w:rsidRDefault="0064679C" w:rsidP="005118C1">
            <w:pPr>
              <w:spacing w:before="0" w:after="0"/>
              <w:jc w:val="center"/>
              <w:rPr>
                <w:rStyle w:val="BookTitle"/>
              </w:rPr>
            </w:pPr>
            <w:r w:rsidRPr="003C10C4">
              <w:rPr>
                <w:rStyle w:val="BookTitle"/>
              </w:rPr>
              <w:t>III</w:t>
            </w:r>
          </w:p>
        </w:tc>
        <w:tc>
          <w:tcPr>
            <w:tcW w:w="1469" w:type="dxa"/>
            <w:tcBorders>
              <w:top w:val="nil"/>
              <w:left w:val="nil"/>
              <w:bottom w:val="nil"/>
              <w:right w:val="nil"/>
            </w:tcBorders>
            <w:shd w:val="clear" w:color="000000" w:fill="C00000"/>
            <w:noWrap/>
            <w:vAlign w:val="center"/>
            <w:hideMark/>
          </w:tcPr>
          <w:p w14:paraId="0C3F7DC1" w14:textId="77777777" w:rsidR="0064679C" w:rsidRPr="003C10C4" w:rsidRDefault="0064679C" w:rsidP="005118C1">
            <w:pPr>
              <w:spacing w:before="0" w:after="0"/>
              <w:jc w:val="center"/>
              <w:rPr>
                <w:rStyle w:val="BookTitle"/>
              </w:rPr>
            </w:pPr>
            <w:r w:rsidRPr="003C10C4">
              <w:rPr>
                <w:rStyle w:val="BookTitle"/>
              </w:rPr>
              <w:t>IV</w:t>
            </w:r>
          </w:p>
        </w:tc>
      </w:tr>
    </w:tbl>
    <w:p w14:paraId="0C3F7DC3" w14:textId="77777777" w:rsidR="0064679C" w:rsidRPr="00110A7F" w:rsidRDefault="0064679C" w:rsidP="0064679C">
      <w:pPr>
        <w:rPr>
          <w:lang w:val="en-GB" w:eastAsia="en-US"/>
        </w:rPr>
      </w:pPr>
    </w:p>
    <w:p w14:paraId="0C3F7DC4" w14:textId="77777777" w:rsidR="0064679C" w:rsidRPr="00FE18E3" w:rsidRDefault="0064679C" w:rsidP="0064679C">
      <w:r w:rsidRPr="00FE18E3">
        <w:t xml:space="preserve">The river plume maps suggest that river plumes are constrained close to the coast by the Coriolis Effect and the prevailing wind regime, limiting impacts on the more offshore ecosystems like coral </w:t>
      </w:r>
      <w:r w:rsidRPr="00FE18E3">
        <w:lastRenderedPageBreak/>
        <w:t>reefs, while onshore ecosystems like seagrass beds are under a greatest risk from river plumes and associated pollutants. However</w:t>
      </w:r>
      <w:r w:rsidR="00593896">
        <w:t>,</w:t>
      </w:r>
      <w:r w:rsidRPr="00FE18E3">
        <w:t xml:space="preserve"> under offshore wind conditions, river plumes can be deflected seaward and </w:t>
      </w:r>
      <w:r w:rsidR="00593896">
        <w:t xml:space="preserve">“rarely to </w:t>
      </w:r>
      <w:r w:rsidRPr="00FE18E3">
        <w:t xml:space="preserve">occasionally reach the mid and outer-shelf of the GBR reef. Mid and outer-shelf of the GBR reef are nevertheless more likely to be affected by the Tertiary water type (i.e., less concentrated in land-sourced pollutants) than the Primary turbid core (i.e., more concentrated in land-sourced pollutants) of the river plumes. </w:t>
      </w:r>
    </w:p>
    <w:p w14:paraId="0C3F7DC5" w14:textId="77777777" w:rsidR="009C4D9F" w:rsidRPr="00FE18E3" w:rsidRDefault="009C4D9F" w:rsidP="009C4D9F">
      <w:r w:rsidRPr="00FE18E3">
        <w:t>As a result, a general inshore to offshore spatial pattern is present in the potential risk maps from 2012-13 wet season, with inshore areas and ecosystems within 10 to 30 km of the coast, including the coastal (surveyed seagrass)</w:t>
      </w:r>
      <w:r w:rsidR="00593896">
        <w:t>,</w:t>
      </w:r>
      <w:r w:rsidRPr="00FE18E3">
        <w:t xml:space="preserve"> experiencing </w:t>
      </w:r>
      <w:r>
        <w:t>highest</w:t>
      </w:r>
      <w:r w:rsidRPr="00FE18E3">
        <w:t xml:space="preserve"> potential risk</w:t>
      </w:r>
      <w:r>
        <w:t xml:space="preserve"> (Risk categories III and IV)</w:t>
      </w:r>
      <w:r w:rsidRPr="00FE18E3">
        <w:t xml:space="preserve"> from river plume exposure</w:t>
      </w:r>
      <w:r w:rsidR="00593896">
        <w:t>. O</w:t>
      </w:r>
      <w:r w:rsidRPr="00FE18E3">
        <w:t>ffshore areas and ecosystems, including the offshore seagrass and coral reef</w:t>
      </w:r>
      <w:r w:rsidR="00593896">
        <w:t>s</w:t>
      </w:r>
      <w:r w:rsidRPr="00FE18E3">
        <w:t xml:space="preserve">, </w:t>
      </w:r>
      <w:r w:rsidR="00593896">
        <w:t xml:space="preserve">are </w:t>
      </w:r>
      <w:r w:rsidRPr="00FE18E3">
        <w:t xml:space="preserve">estimated at lower risk from river plume water. </w:t>
      </w:r>
    </w:p>
    <w:p w14:paraId="0C3F7DC6" w14:textId="77777777" w:rsidR="0064679C" w:rsidRPr="00FE18E3" w:rsidRDefault="0064679C" w:rsidP="0064679C">
      <w:r w:rsidRPr="00FE18E3">
        <w:t>Differences also exist between NRMs and, for example, coastal waters of the Burdekin NRM are more often exposed to Primary waters (i.e., sediment dominated water type</w:t>
      </w:r>
      <w:r>
        <w:t>)</w:t>
      </w:r>
      <w:r w:rsidRPr="00FE18E3">
        <w:t>, than coastal waters of the Wet Tropic NRM. Conversely, marine areas occasionally to frequently exposed to Secondary and Tertiary water types are more extended in the Wet Tropic NRM than in the Burdekin NRM. These results are in agreement with current knowledge as high TSS concentrations have been mainly linked to grazing activities in the Dry Tropics and particularly the Burdekin NRM; while occurrence of coastal waters with elevated concentrations of dissolved inorganic nitrogen (DIN) has been linked to fertilised agriculture (predominantly sugarcane) in the Wet Tropics region.</w:t>
      </w:r>
    </w:p>
    <w:p w14:paraId="0C3F7DC7" w14:textId="77777777" w:rsidR="0064679C" w:rsidRPr="00110A7F" w:rsidRDefault="0064679C" w:rsidP="0064679C">
      <w:r w:rsidRPr="00110A7F">
        <w:t>From the 2012-13 plume frequency maps and potential risk map, it was estimated that (</w:t>
      </w:r>
      <w:r>
        <w:fldChar w:fldCharType="begin"/>
      </w:r>
      <w:r>
        <w:instrText xml:space="preserve"> REF _Ref428868486 \h </w:instrText>
      </w:r>
      <w:r>
        <w:fldChar w:fldCharType="separate"/>
      </w:r>
      <w:r w:rsidR="00B62B50" w:rsidRPr="00110A7F">
        <w:t xml:space="preserve">Figure </w:t>
      </w:r>
      <w:r w:rsidR="00B62B50">
        <w:rPr>
          <w:noProof/>
        </w:rPr>
        <w:t>1</w:t>
      </w:r>
      <w:r w:rsidR="00B62B50">
        <w:noBreakHyphen/>
      </w:r>
      <w:r w:rsidR="00B62B50">
        <w:rPr>
          <w:noProof/>
        </w:rPr>
        <w:t>1</w:t>
      </w:r>
      <w:r>
        <w:fldChar w:fldCharType="end"/>
      </w:r>
      <w:r w:rsidRPr="00110A7F">
        <w:t xml:space="preserve">): </w:t>
      </w:r>
    </w:p>
    <w:p w14:paraId="0C3F7DC8" w14:textId="77777777" w:rsidR="0064679C" w:rsidRPr="00FE18E3" w:rsidRDefault="0064679C" w:rsidP="0064679C">
      <w:pPr>
        <w:pStyle w:val="ListParagraph"/>
        <w:numPr>
          <w:ilvl w:val="0"/>
          <w:numId w:val="9"/>
        </w:numPr>
      </w:pPr>
      <w:r w:rsidRPr="00FE18E3">
        <w:t>The total GBR area exposed to river plume waters was 153852 km</w:t>
      </w:r>
      <w:r w:rsidRPr="00110A7F">
        <w:rPr>
          <w:vertAlign w:val="superscript"/>
        </w:rPr>
        <w:t>2</w:t>
      </w:r>
      <w:r w:rsidRPr="00FE18E3">
        <w:t xml:space="preserve"> i.e., 44% of the GBR, with 63027 km</w:t>
      </w:r>
      <w:r w:rsidRPr="00110A7F">
        <w:rPr>
          <w:vertAlign w:val="superscript"/>
        </w:rPr>
        <w:t>2</w:t>
      </w:r>
      <w:r w:rsidRPr="00FE18E3">
        <w:t xml:space="preserve"> (18% of the GBR) very frequently to frequently exposed to river plume. </w:t>
      </w:r>
    </w:p>
    <w:p w14:paraId="0C3F7DC9" w14:textId="77777777" w:rsidR="0064679C" w:rsidRPr="00FE18E3" w:rsidRDefault="0064679C" w:rsidP="0064679C">
      <w:pPr>
        <w:pStyle w:val="ListParagraph"/>
        <w:numPr>
          <w:ilvl w:val="0"/>
          <w:numId w:val="9"/>
        </w:numPr>
      </w:pPr>
      <w:r w:rsidRPr="00FE18E3">
        <w:t>NRM areas exposed ranged from 2050 km</w:t>
      </w:r>
      <w:r w:rsidRPr="00110A7F">
        <w:rPr>
          <w:vertAlign w:val="superscript"/>
        </w:rPr>
        <w:t>2</w:t>
      </w:r>
      <w:r w:rsidRPr="00FE18E3">
        <w:t xml:space="preserve"> in Burnett-Mary to 18522 km</w:t>
      </w:r>
      <w:r w:rsidRPr="00110A7F">
        <w:rPr>
          <w:vertAlign w:val="superscript"/>
        </w:rPr>
        <w:t>2</w:t>
      </w:r>
      <w:r w:rsidRPr="00FE18E3">
        <w:t xml:space="preserve"> in the Fitzroy NRM. </w:t>
      </w:r>
    </w:p>
    <w:p w14:paraId="0C3F7DCA" w14:textId="77777777" w:rsidR="0064679C" w:rsidRPr="00FE18E3" w:rsidRDefault="0064679C" w:rsidP="0064679C">
      <w:pPr>
        <w:pStyle w:val="ListParagraph"/>
        <w:numPr>
          <w:ilvl w:val="0"/>
          <w:numId w:val="9"/>
        </w:numPr>
      </w:pPr>
      <w:r w:rsidRPr="00FE18E3">
        <w:t xml:space="preserve">Twelve percent (Mackay-Whitsundays NRM) to 100% (Burnett-Mary NRMs) of the coral reefs were exposed to river plumes. Coral reef areas exposed to </w:t>
      </w:r>
      <w:r w:rsidRPr="001326A7">
        <w:t>the highest potential risk (categories III and IV)</w:t>
      </w:r>
      <w:r w:rsidRPr="00FE18E3">
        <w:t xml:space="preserve"> were greater in Fitzroy  &gt; Mackay-Whitsundays &gt; Cape York;</w:t>
      </w:r>
    </w:p>
    <w:p w14:paraId="0C3F7DCB" w14:textId="77777777" w:rsidR="0064679C" w:rsidRPr="00FE18E3" w:rsidRDefault="0064679C" w:rsidP="0064679C">
      <w:pPr>
        <w:pStyle w:val="ListParagraph"/>
        <w:numPr>
          <w:ilvl w:val="0"/>
          <w:numId w:val="9"/>
        </w:numPr>
      </w:pPr>
      <w:r w:rsidRPr="00FE18E3">
        <w:t xml:space="preserve">Ninety four percent (Cape York NRM) to 100% (Burdekin, Fitzroy and Burnett-Mary NRMs) of the monitored seagrass beds were exposed to river plumes. Seagrass beds exposed to </w:t>
      </w:r>
      <w:r w:rsidRPr="00D23632">
        <w:t xml:space="preserve">the highest potential risk (categories III and IV) </w:t>
      </w:r>
      <w:r w:rsidRPr="00FE18E3">
        <w:t>were greater in the Cape York and Burdekin.</w:t>
      </w:r>
    </w:p>
    <w:p w14:paraId="0C3F7DCC" w14:textId="77777777" w:rsidR="0064679C" w:rsidRPr="00FE18E3" w:rsidRDefault="0064679C" w:rsidP="0064679C">
      <w:pPr>
        <w:pStyle w:val="ListParagraph"/>
        <w:numPr>
          <w:ilvl w:val="0"/>
          <w:numId w:val="9"/>
        </w:numPr>
      </w:pPr>
      <w:r w:rsidRPr="00FE18E3">
        <w:t xml:space="preserve">Sixty four percent (Burdekin NRM) to 100% (Wet Tropics, Mackay-Whitsundays and Fitzroy NRMs) of the modelled deep seagrass beds were exposed to river plumes. Deep seagrass beds </w:t>
      </w:r>
      <w:r w:rsidRPr="00D23632">
        <w:t xml:space="preserve">exposed to potential risk categories II and III were greater </w:t>
      </w:r>
      <w:r w:rsidRPr="00FE18E3">
        <w:t>in the Cape York &gt; Burnett-Mary &gt; Fitzroy.</w:t>
      </w:r>
    </w:p>
    <w:p w14:paraId="0C3F7DCD" w14:textId="77777777" w:rsidR="0064679C" w:rsidRPr="00FE18E3" w:rsidRDefault="0064679C" w:rsidP="0064679C">
      <w:pPr>
        <w:pStyle w:val="ListParagraph"/>
        <w:numPr>
          <w:ilvl w:val="0"/>
          <w:numId w:val="9"/>
        </w:numPr>
      </w:pPr>
      <w:r w:rsidRPr="00FE18E3">
        <w:t xml:space="preserve">Finally, when the modelled and deep seagrass beds were combined, total seagrass beds the most at risk </w:t>
      </w:r>
      <w:r w:rsidRPr="00D23632">
        <w:t xml:space="preserve">(potential risk categories III and IV) </w:t>
      </w:r>
      <w:r w:rsidRPr="00FE18E3">
        <w:t>were located in the Cape York  &gt; Burdekin  &gt; Fitzroy NRMs.</w:t>
      </w:r>
    </w:p>
    <w:p w14:paraId="0C3F7DCE" w14:textId="77777777" w:rsidR="0064679C" w:rsidRPr="00110A7F" w:rsidRDefault="0064679C" w:rsidP="0064679C">
      <w:r w:rsidRPr="00110A7F">
        <w:t>A multiannual potential risk map was calculated by averaging the inter-annual risk maps produced. Recalculating individual wet season risk maps to a long-term (7-year) map is useful to describe where potential risk conditions from river plume are, on average. From this multi-annual composite map, it was estimated that:</w:t>
      </w:r>
    </w:p>
    <w:p w14:paraId="0C3F7DCF" w14:textId="77777777" w:rsidR="0064679C" w:rsidRPr="00FE18E3" w:rsidRDefault="0064679C" w:rsidP="0064679C">
      <w:pPr>
        <w:pStyle w:val="ListParagraph"/>
        <w:numPr>
          <w:ilvl w:val="0"/>
          <w:numId w:val="9"/>
        </w:numPr>
      </w:pPr>
      <w:r w:rsidRPr="00FE18E3">
        <w:t xml:space="preserve">Coral reef areas exposed to </w:t>
      </w:r>
      <w:r w:rsidRPr="0034506A">
        <w:t xml:space="preserve">potential risk categories III and IV </w:t>
      </w:r>
      <w:r w:rsidRPr="00FE18E3">
        <w:t xml:space="preserve">were greater in Mackay-Whitsunday &gt; Fitzroy &gt; Wet Tropics &gt; Burdekin &gt; Burnett-Mary NRMs. </w:t>
      </w:r>
    </w:p>
    <w:p w14:paraId="0C3F7DD0" w14:textId="77777777" w:rsidR="0064679C" w:rsidRPr="00FE18E3" w:rsidRDefault="0064679C" w:rsidP="0064679C">
      <w:pPr>
        <w:pStyle w:val="ListParagraph"/>
        <w:numPr>
          <w:ilvl w:val="0"/>
          <w:numId w:val="9"/>
        </w:numPr>
      </w:pPr>
      <w:r w:rsidRPr="00FE18E3">
        <w:t xml:space="preserve">Total seagrass areas exposed to </w:t>
      </w:r>
      <w:r w:rsidRPr="0034506A">
        <w:t xml:space="preserve">potential risk categories III and IV </w:t>
      </w:r>
      <w:r w:rsidRPr="00FE18E3">
        <w:t>were greater in Fitzroy &gt; Burdekin &gt; Mackay-Whitsunday &gt; Wet Tropics &gt; Burnett-Mary NRMs.</w:t>
      </w:r>
    </w:p>
    <w:p w14:paraId="0C3F7DD1" w14:textId="77777777" w:rsidR="0064679C" w:rsidRPr="00FE18E3" w:rsidRDefault="0064679C" w:rsidP="0064679C">
      <w:pPr>
        <w:pStyle w:val="ListParagraph"/>
        <w:numPr>
          <w:ilvl w:val="0"/>
          <w:numId w:val="9"/>
        </w:numPr>
      </w:pPr>
      <w:r w:rsidRPr="00FE18E3">
        <w:lastRenderedPageBreak/>
        <w:t xml:space="preserve">In the Mackay Whitsunday Region, 60% of the total seagrass areas were in the highest relative risk categories compared to less than 10% for all other regions. </w:t>
      </w:r>
    </w:p>
    <w:p w14:paraId="0C3F7DD2" w14:textId="77777777" w:rsidR="0064679C" w:rsidRPr="00E47248" w:rsidRDefault="0064679C" w:rsidP="0064679C">
      <w:pPr>
        <w:rPr>
          <w:i/>
        </w:rPr>
      </w:pPr>
      <w:r w:rsidRPr="00E47248">
        <w:rPr>
          <w:i/>
        </w:rPr>
        <w:t>These result are similar to the result obtained by Brodie et al., 2013 who assessed the risk of pollutants to GBR ecosystems using a comprehensive combination of qualitative and semi-quantitative WQ information about the influence of individual catchments in the 6 natural resource management (NRM) regions on coral reefs and seagrass ecosystems.</w:t>
      </w:r>
    </w:p>
    <w:p w14:paraId="0C3F7DD3" w14:textId="77777777" w:rsidR="0064679C" w:rsidRPr="00E17B17" w:rsidRDefault="0064679C" w:rsidP="0064679C">
      <w:r w:rsidRPr="00E17B17">
        <w:t>This illustrates the potential of using the Primary, Secondary, Tertiary plume water type classification scheme to simply estimate combined WQ stressors in plume waters and thus simply model the risk of cumulative effects of pollutants in river plumes at different spatial and temporal scales.</w:t>
      </w:r>
    </w:p>
    <w:p w14:paraId="0C3F7DD4" w14:textId="77777777" w:rsidR="0064679C" w:rsidRPr="00110A7F" w:rsidRDefault="0064679C" w:rsidP="0064679C"/>
    <w:p w14:paraId="0C3F7DD5" w14:textId="77777777" w:rsidR="0064679C" w:rsidRPr="00110A7F" w:rsidRDefault="0064679C" w:rsidP="0064679C">
      <w:pPr>
        <w:sectPr w:rsidR="0064679C" w:rsidRPr="00110A7F" w:rsidSect="00110A7F">
          <w:headerReference w:type="default" r:id="rId28"/>
          <w:footerReference w:type="default" r:id="rId29"/>
          <w:pgSz w:w="11906" w:h="16838"/>
          <w:pgMar w:top="1440" w:right="1440" w:bottom="1440" w:left="1440" w:header="708" w:footer="708" w:gutter="0"/>
          <w:pgNumType w:start="1"/>
          <w:cols w:space="708"/>
          <w:docGrid w:linePitch="360"/>
        </w:sectPr>
      </w:pPr>
    </w:p>
    <w:p w14:paraId="0C3F7DD6" w14:textId="77777777" w:rsidR="0064679C" w:rsidRDefault="0064679C" w:rsidP="0064679C">
      <w:pPr>
        <w:pStyle w:val="Caption"/>
      </w:pPr>
      <w:bookmarkStart w:id="24" w:name="_Ref428868486"/>
      <w:bookmarkStart w:id="25" w:name="_Toc434208020"/>
      <w:bookmarkStart w:id="26" w:name="_Toc427831190"/>
      <w:r w:rsidRPr="00110A7F">
        <w:lastRenderedPageBreak/>
        <w:t xml:space="preserve">Figure </w:t>
      </w:r>
      <w:r w:rsidR="00D243CD">
        <w:fldChar w:fldCharType="begin"/>
      </w:r>
      <w:r w:rsidR="00D243CD">
        <w:instrText xml:space="preserve"> STYLEREF 1 \s </w:instrText>
      </w:r>
      <w:r w:rsidR="00D243CD">
        <w:fldChar w:fldCharType="separate"/>
      </w:r>
      <w:r w:rsidR="00B62B50">
        <w:rPr>
          <w:noProof/>
        </w:rPr>
        <w:t>1</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1</w:t>
      </w:r>
      <w:r w:rsidR="00D243CD">
        <w:fldChar w:fldCharType="end"/>
      </w:r>
      <w:bookmarkEnd w:id="24"/>
      <w:r w:rsidRPr="00110A7F">
        <w:t xml:space="preserve">: </w:t>
      </w:r>
      <w:r w:rsidR="001E79B7" w:rsidRPr="001E79B7">
        <w:t>Potential exposure of seagrass beds and coral reefs to the highest potential risk categories  (III and IV) from river plume exposure during the 2012-13 wet season</w:t>
      </w:r>
      <w:r w:rsidRPr="00110A7F">
        <w:t>.</w:t>
      </w:r>
      <w:bookmarkEnd w:id="25"/>
      <w:r w:rsidRPr="00110A7F">
        <w:t xml:space="preserve"> </w:t>
      </w:r>
    </w:p>
    <w:p w14:paraId="0C3F7DD7" w14:textId="77777777" w:rsidR="0064679C" w:rsidRDefault="0064679C" w:rsidP="0064679C">
      <w:pPr>
        <w:jc w:val="center"/>
      </w:pPr>
      <w:r>
        <w:rPr>
          <w:noProof/>
        </w:rPr>
        <w:drawing>
          <wp:inline distT="0" distB="0" distL="0" distR="0" wp14:anchorId="0C3F8FB3" wp14:editId="0C3F8FB4">
            <wp:extent cx="8200103" cy="4932354"/>
            <wp:effectExtent l="0" t="0" r="0" b="0"/>
            <wp:docPr id="74" name="Picture 74" descr="Potential exposure of seagrass beds and coral reefs to the highest potential risk categories  (III and IV) from river plume exposure during the 2012-13 wet season. " title="Potential exposure of seagrass beds and coral reefs to the highest potential risk categories  (III and IV) from river plume exposure during the 2012-13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199706" cy="4932115"/>
                    </a:xfrm>
                    <a:prstGeom prst="rect">
                      <a:avLst/>
                    </a:prstGeom>
                    <a:noFill/>
                  </pic:spPr>
                </pic:pic>
              </a:graphicData>
            </a:graphic>
          </wp:inline>
        </w:drawing>
      </w:r>
    </w:p>
    <w:p w14:paraId="0C3F7DD8" w14:textId="77777777" w:rsidR="0064679C" w:rsidRPr="00110A7F" w:rsidRDefault="0064679C" w:rsidP="0064679C">
      <w:pPr>
        <w:rPr>
          <w:rFonts w:ascii="Cambria" w:hAnsi="Cambria" w:cs="Times New Roman"/>
          <w:bCs/>
          <w:color w:val="4F81BD"/>
          <w:sz w:val="26"/>
          <w:szCs w:val="26"/>
          <w:lang w:eastAsia="en-US"/>
        </w:rPr>
        <w:sectPr w:rsidR="0064679C" w:rsidRPr="00110A7F" w:rsidSect="007315EF">
          <w:pgSz w:w="16838" w:h="11906" w:orient="landscape"/>
          <w:pgMar w:top="1440" w:right="1440" w:bottom="1440" w:left="1440" w:header="709" w:footer="709" w:gutter="0"/>
          <w:cols w:space="708"/>
          <w:docGrid w:linePitch="360"/>
        </w:sectPr>
      </w:pPr>
    </w:p>
    <w:p w14:paraId="0C3F7DD9" w14:textId="77777777" w:rsidR="0064679C" w:rsidRPr="00616D81" w:rsidRDefault="0064679C" w:rsidP="0064679C">
      <w:pPr>
        <w:pStyle w:val="Heading2"/>
        <w:keepNext/>
        <w:numPr>
          <w:ilvl w:val="1"/>
          <w:numId w:val="3"/>
        </w:numPr>
        <w:spacing w:line="80" w:lineRule="atLeast"/>
      </w:pPr>
      <w:bookmarkStart w:id="27" w:name="_Toc427831191"/>
      <w:bookmarkStart w:id="28" w:name="_Toc428793309"/>
      <w:bookmarkStart w:id="29" w:name="_Toc428851323"/>
      <w:bookmarkStart w:id="30" w:name="_Toc434207981"/>
      <w:bookmarkEnd w:id="26"/>
      <w:r w:rsidRPr="00616D81">
        <w:lastRenderedPageBreak/>
        <w:t xml:space="preserve">Future </w:t>
      </w:r>
      <w:r w:rsidR="00593896">
        <w:t xml:space="preserve">RS </w:t>
      </w:r>
      <w:r w:rsidRPr="00616D81">
        <w:t>developments</w:t>
      </w:r>
      <w:bookmarkEnd w:id="27"/>
      <w:bookmarkEnd w:id="28"/>
      <w:bookmarkEnd w:id="29"/>
      <w:bookmarkEnd w:id="30"/>
    </w:p>
    <w:p w14:paraId="0C3F7DDA" w14:textId="77777777" w:rsidR="0064679C" w:rsidRPr="00110A7F" w:rsidRDefault="0064679C" w:rsidP="0064679C">
      <w:pPr>
        <w:pStyle w:val="ListParagraph"/>
        <w:numPr>
          <w:ilvl w:val="0"/>
          <w:numId w:val="10"/>
        </w:numPr>
      </w:pPr>
      <w:r w:rsidRPr="00110A7F">
        <w:t xml:space="preserve">Recent progresses have been made to develop accurate regional algorithms for the GBR region </w:t>
      </w:r>
      <w:r w:rsidRPr="00110A7F">
        <w:fldChar w:fldCharType="begin">
          <w:fldData xml:space="preserve">PEVuZE5vdGU+PENpdGU+PEF1dGhvcj5CcmFuZG88L0F1dGhvcj48WWVhcj4yMDEwPC9ZZWFyPjxS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</w:fldData>
        </w:fldChar>
      </w:r>
      <w:r w:rsidRPr="00110A7F">
        <w:instrText xml:space="preserve"> ADDIN EN.CITE </w:instrText>
      </w:r>
      <w:r w:rsidRPr="00110A7F">
        <w:fldChar w:fldCharType="begin">
          <w:fldData xml:space="preserve">PEVuZE5vdGU+PENpdGU+PEF1dGhvcj5CcmFuZG88L0F1dGhvcj48WWVhcj4yMDEwPC9ZZWFyPjxS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</w:fldData>
        </w:fldChar>
      </w:r>
      <w:r w:rsidRPr="00110A7F">
        <w:instrText xml:space="preserve"> ADDIN EN.CITE.DATA </w:instrText>
      </w:r>
      <w:r w:rsidRPr="00110A7F">
        <w:fldChar w:fldCharType="end"/>
      </w:r>
      <w:r w:rsidRPr="00110A7F">
        <w:fldChar w:fldCharType="separate"/>
      </w:r>
      <w:r w:rsidRPr="00110A7F">
        <w:rPr>
          <w:noProof/>
        </w:rPr>
        <w:t>(</w:t>
      </w:r>
      <w:hyperlink w:anchor="_ENREF_5" w:tooltip="Brando, 2008 #1027" w:history="1">
        <w:r w:rsidRPr="00110A7F">
          <w:rPr>
            <w:noProof/>
          </w:rPr>
          <w:t>Brando et al., 2008</w:t>
        </w:r>
      </w:hyperlink>
      <w:r w:rsidRPr="00110A7F">
        <w:rPr>
          <w:noProof/>
        </w:rPr>
        <w:t xml:space="preserve">; </w:t>
      </w:r>
      <w:hyperlink w:anchor="_ENREF_6" w:tooltip="Brando, 2010 #1026" w:history="1">
        <w:r w:rsidRPr="00110A7F">
          <w:rPr>
            <w:noProof/>
          </w:rPr>
          <w:t>Brando et al., 2010a</w:t>
        </w:r>
      </w:hyperlink>
      <w:r w:rsidRPr="00110A7F">
        <w:rPr>
          <w:noProof/>
        </w:rPr>
        <w:t xml:space="preserve">; </w:t>
      </w:r>
      <w:hyperlink w:anchor="_ENREF_7" w:tooltip="Brando, 2010 #1028" w:history="1">
        <w:r w:rsidRPr="00110A7F">
          <w:rPr>
            <w:noProof/>
          </w:rPr>
          <w:t>Brando et al., 2010b</w:t>
        </w:r>
      </w:hyperlink>
      <w:r w:rsidRPr="00110A7F">
        <w:rPr>
          <w:noProof/>
        </w:rPr>
        <w:t xml:space="preserve">; </w:t>
      </w:r>
      <w:hyperlink w:anchor="_ENREF_33" w:tooltip="Schroeder, 2007 #1047" w:history="1">
        <w:r w:rsidRPr="00110A7F">
          <w:rPr>
            <w:noProof/>
          </w:rPr>
          <w:t>Schroeder et al., 2007</w:t>
        </w:r>
      </w:hyperlink>
      <w:r w:rsidRPr="00110A7F">
        <w:rPr>
          <w:noProof/>
        </w:rPr>
        <w:t>)</w:t>
      </w:r>
      <w:r w:rsidRPr="00110A7F">
        <w:fldChar w:fldCharType="end"/>
      </w:r>
      <w:r>
        <w:t xml:space="preserve"> </w:t>
      </w:r>
      <w:r w:rsidRPr="00110A7F">
        <w:t xml:space="preserve">that provide better retrieval in optically complex coastal waters. </w:t>
      </w:r>
    </w:p>
    <w:p w14:paraId="0C3F7DDB" w14:textId="77777777" w:rsidR="0064679C" w:rsidRPr="003979AC" w:rsidRDefault="0064679C" w:rsidP="0064679C">
      <w:pPr>
        <w:pStyle w:val="ListParagraph"/>
        <w:numPr>
          <w:ilvl w:val="1"/>
          <w:numId w:val="10"/>
        </w:numPr>
      </w:pPr>
      <w:r w:rsidRPr="003979AC">
        <w:t xml:space="preserve">Using these algorithms to map </w:t>
      </w:r>
      <w:r w:rsidR="001850F0">
        <w:t>chlorophyll</w:t>
      </w:r>
      <w:r w:rsidRPr="003979AC">
        <w:t>-a concentrations in near future will be instrumental in more accurate mapping of river plume waters using the Level-2 method.</w:t>
      </w:r>
    </w:p>
    <w:p w14:paraId="0C3F7DDC" w14:textId="77777777" w:rsidR="0064679C" w:rsidRPr="003979AC" w:rsidRDefault="0064679C" w:rsidP="0064679C">
      <w:pPr>
        <w:pStyle w:val="ListParagraph"/>
        <w:numPr>
          <w:ilvl w:val="1"/>
          <w:numId w:val="10"/>
        </w:numPr>
      </w:pPr>
      <w:r w:rsidRPr="003979AC">
        <w:t xml:space="preserve">MODIS images calibrated into accurate water quality metrics would allow producing produce compliance maps to ecological threshold </w:t>
      </w:r>
    </w:p>
    <w:p w14:paraId="0C3F7DDD" w14:textId="77777777" w:rsidR="0064679C" w:rsidRPr="00110A7F" w:rsidRDefault="0064679C" w:rsidP="0064679C">
      <w:pPr>
        <w:pStyle w:val="ListParagraph"/>
        <w:numPr>
          <w:ilvl w:val="0"/>
          <w:numId w:val="10"/>
        </w:numPr>
      </w:pPr>
      <w:r w:rsidRPr="00110A7F">
        <w:t xml:space="preserve">Further comparisons between RS-derived products and in situ WQ data acquired over the next MMP monitoring years will be undertaken. </w:t>
      </w:r>
    </w:p>
    <w:p w14:paraId="0C3F7DDE" w14:textId="77777777" w:rsidR="0064679C" w:rsidRPr="00110A7F" w:rsidRDefault="0064679C" w:rsidP="0064679C">
      <w:pPr>
        <w:pStyle w:val="ListParagraph"/>
        <w:numPr>
          <w:ilvl w:val="0"/>
          <w:numId w:val="10"/>
        </w:numPr>
      </w:pPr>
      <w:r w:rsidRPr="00110A7F">
        <w:t>Progress toward validated river plume risk maps:</w:t>
      </w:r>
    </w:p>
    <w:p w14:paraId="0C3F7DDF" w14:textId="77777777" w:rsidR="0064679C" w:rsidRPr="00110A7F" w:rsidRDefault="0064679C" w:rsidP="0064679C">
      <w:pPr>
        <w:pStyle w:val="ListParagraph"/>
        <w:numPr>
          <w:ilvl w:val="1"/>
          <w:numId w:val="10"/>
        </w:numPr>
      </w:pPr>
      <w:r w:rsidRPr="00110A7F">
        <w:t xml:space="preserve">Must be accompanied by sound knowledge of the regional ecosystems and of the water quality concentrations across plume water types relative to natural levels and to ecologically-relevant thresholds. </w:t>
      </w:r>
    </w:p>
    <w:p w14:paraId="0C3F7DE0" w14:textId="77777777" w:rsidR="0064679C" w:rsidRPr="00110A7F" w:rsidRDefault="0064679C" w:rsidP="0064679C">
      <w:pPr>
        <w:pStyle w:val="ListParagraph"/>
        <w:numPr>
          <w:ilvl w:val="1"/>
          <w:numId w:val="10"/>
        </w:numPr>
      </w:pPr>
      <w:r w:rsidRPr="00110A7F">
        <w:t xml:space="preserve">Ecological consequences of the risk will primarily be a function of the presence/absence of GBR ecosystems exposed. However, community characteristics such as the sensitivity and resilience of particular seagrass or coral communities are additional parameters that must be considered when defining the ecological consequences of the risk. </w:t>
      </w:r>
    </w:p>
    <w:p w14:paraId="0C3F7DE1" w14:textId="77777777" w:rsidR="0064679C" w:rsidRPr="00110A7F" w:rsidRDefault="0064679C" w:rsidP="0064679C">
      <w:pPr>
        <w:pStyle w:val="ListParagraph"/>
        <w:numPr>
          <w:ilvl w:val="1"/>
          <w:numId w:val="10"/>
        </w:numPr>
      </w:pPr>
      <w:r w:rsidRPr="00110A7F">
        <w:t xml:space="preserve">The consequence of the exposure of species to a range of WQ conditions is complicated by the influence of multiple stressors and additional external influences including weather and climate conditions. </w:t>
      </w:r>
    </w:p>
    <w:p w14:paraId="0C3F7DE2" w14:textId="77777777" w:rsidR="0064679C" w:rsidRPr="00110A7F" w:rsidRDefault="0064679C" w:rsidP="0064679C">
      <w:pPr>
        <w:pStyle w:val="ListParagraph"/>
        <w:numPr>
          <w:ilvl w:val="1"/>
          <w:numId w:val="10"/>
        </w:numPr>
      </w:pPr>
      <w:r w:rsidRPr="00110A7F">
        <w:t>All this information should be used in future to develop ecosystem-specific risk matrix combining the magnitude (mapped through the Primary, Secondary, Tertiary water type classes), likelihood (mapped through the frequency of occurrence) of the river plume risk and the sensitivity of the studied ecosystem.</w:t>
      </w:r>
    </w:p>
    <w:p w14:paraId="0C3F7DE3" w14:textId="77777777" w:rsidR="0064679C" w:rsidRPr="00110A7F" w:rsidRDefault="0064679C" w:rsidP="0064679C">
      <w:pPr>
        <w:pStyle w:val="ListParagraph"/>
        <w:numPr>
          <w:ilvl w:val="1"/>
          <w:numId w:val="10"/>
        </w:numPr>
      </w:pPr>
      <w:r w:rsidRPr="00110A7F">
        <w:t>Finally, the GBR areas classified following the risk framework of Petus et al. (2014b) should be compared to ecosystem health data and the validity of the risk framework assessed by examining spatial patterns, including the distribution of monitored cases of ecosystem health decline per designated risk area</w:t>
      </w:r>
      <w:r>
        <w:t xml:space="preserve"> (Petus et al., in prep.)</w:t>
      </w:r>
      <w:r w:rsidRPr="00110A7F">
        <w:t xml:space="preserve">.  </w:t>
      </w:r>
    </w:p>
    <w:p w14:paraId="0C3F7DE4" w14:textId="77777777" w:rsidR="0064679C" w:rsidRPr="00110A7F" w:rsidRDefault="0064679C" w:rsidP="0064679C">
      <w:pPr>
        <w:pStyle w:val="ListParagraph"/>
        <w:numPr>
          <w:ilvl w:val="0"/>
          <w:numId w:val="10"/>
        </w:numPr>
      </w:pPr>
      <w:r w:rsidRPr="00110A7F">
        <w:t>Further developments of our RS methods to map loads of pollutants (TSS, DIN and pesticides) include:</w:t>
      </w:r>
    </w:p>
    <w:p w14:paraId="0C3F7DE5" w14:textId="77777777" w:rsidR="0064679C" w:rsidRPr="00110A7F" w:rsidRDefault="0064679C" w:rsidP="0064679C">
      <w:pPr>
        <w:pStyle w:val="ListParagraph"/>
        <w:numPr>
          <w:ilvl w:val="1"/>
          <w:numId w:val="10"/>
        </w:numPr>
      </w:pPr>
      <w:r w:rsidRPr="00110A7F">
        <w:t xml:space="preserve">The increase of the spatial resolution of WQ data used to calculate the spatially distributed DIN and TSS maps and re-run the model with the annual loads from the Source Catchments modelling for all of the 35 GBR catchments. </w:t>
      </w:r>
    </w:p>
    <w:p w14:paraId="0C3F7DE6" w14:textId="77777777" w:rsidR="0064679C" w:rsidRPr="00110A7F" w:rsidRDefault="0064679C" w:rsidP="0064679C">
      <w:pPr>
        <w:pStyle w:val="ListParagraph"/>
        <w:numPr>
          <w:ilvl w:val="1"/>
          <w:numId w:val="10"/>
        </w:numPr>
      </w:pPr>
      <w:r w:rsidRPr="00110A7F">
        <w:t xml:space="preserve">The production annual load maps of Photosystem II inhibiting herbicides (PSII herbicides). The approach for modelling exposure to DIN (i.e., assuming conservative mixing) will be used for PSII. However, further investigation will be necessary to adjust the dispersal relationships i.e., relationship between PSII concentrations and color classes </w:t>
      </w:r>
      <w:r w:rsidRPr="00110A7F">
        <w:fldChar w:fldCharType="begin"/>
      </w:r>
      <w:r w:rsidRPr="00110A7F">
        <w:instrText xml:space="preserve"> ADDIN EN.CITE &lt;EndNote&gt;&lt;Cite&gt;&lt;Author&gt;Álvarez-Romero&lt;/Author&gt;&lt;Year&gt;2013&lt;/Year&gt;&lt;RecNum&gt;734&lt;/RecNum&gt;&lt;DisplayText&gt;(Álvarez-Romero et al., 2013)&lt;/DisplayText&gt;&lt;record&gt;&lt;rec-number&gt;734&lt;/rec-number&gt;&lt;foreign-keys&gt;&lt;key app="EN" db-id="wwzpfssaux292keptesxd5t6srsfvpzsde2p"&gt;734&lt;/key&gt;&lt;/foreign-keys&gt;&lt;ref-type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 Environ Manage&lt;/full-title&gt;&lt;abbr-1&gt;Journal of environmental management&lt;/abbr-1&gt;&lt;/periodical&gt;&lt;pages&gt;194-207&lt;/pages&gt;&lt;volume&gt;119&lt;/volume&gt;&lt;number&gt;0&lt;/number&gt;&lt;keywords&gt;&lt;keyword&gt;Marine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110A7F">
        <w:fldChar w:fldCharType="separate"/>
      </w:r>
      <w:r w:rsidRPr="00110A7F">
        <w:rPr>
          <w:noProof/>
        </w:rPr>
        <w:t>(</w:t>
      </w:r>
      <w:hyperlink w:anchor="_ENREF_1" w:tooltip="Álvarez-Romero, 2013 #734" w:history="1">
        <w:r w:rsidRPr="00110A7F">
          <w:rPr>
            <w:noProof/>
          </w:rPr>
          <w:t>Álvarez-Romero et al., 2013</w:t>
        </w:r>
      </w:hyperlink>
      <w:r w:rsidRPr="00110A7F">
        <w:rPr>
          <w:noProof/>
        </w:rPr>
        <w:t>)</w:t>
      </w:r>
      <w:r w:rsidRPr="00110A7F">
        <w:fldChar w:fldCharType="end"/>
      </w:r>
      <w:r w:rsidRPr="00110A7F">
        <w:t xml:space="preserve"> to calculate the annual cost surface for PSII.</w:t>
      </w:r>
    </w:p>
    <w:p w14:paraId="0C3F7DE7" w14:textId="77777777" w:rsidR="007315EF" w:rsidRPr="00C762F1" w:rsidRDefault="002324B3" w:rsidP="007315EF">
      <w:pPr>
        <w:rPr>
          <w:b/>
          <w:sz w:val="28"/>
          <w:szCs w:val="28"/>
        </w:rPr>
      </w:pPr>
      <w:r w:rsidRPr="000054D1">
        <w:rPr>
          <w:lang w:val="en-US"/>
        </w:rPr>
        <w:br w:type="page"/>
      </w:r>
    </w:p>
    <w:p w14:paraId="0C3F7DE8" w14:textId="77777777" w:rsidR="00AC06D6" w:rsidRPr="00FB5AAA" w:rsidRDefault="00AC06D6" w:rsidP="00A76577">
      <w:pPr>
        <w:pStyle w:val="Heading1"/>
        <w:numPr>
          <w:ilvl w:val="0"/>
          <w:numId w:val="3"/>
        </w:numPr>
        <w:spacing w:after="240" w:line="80" w:lineRule="atLeast"/>
        <w:rPr>
          <w:caps w:val="0"/>
        </w:rPr>
      </w:pPr>
      <w:bookmarkStart w:id="31" w:name="_Toc416533844"/>
      <w:bookmarkStart w:id="32" w:name="_Toc434207982"/>
      <w:r w:rsidRPr="00FB5AAA">
        <w:rPr>
          <w:caps w:val="0"/>
        </w:rPr>
        <w:lastRenderedPageBreak/>
        <w:t>I</w:t>
      </w:r>
      <w:bookmarkEnd w:id="31"/>
      <w:r w:rsidR="00FB5AAA" w:rsidRPr="00FB5AAA">
        <w:rPr>
          <w:caps w:val="0"/>
        </w:rPr>
        <w:t>ntroduction</w:t>
      </w:r>
      <w:bookmarkEnd w:id="32"/>
    </w:p>
    <w:p w14:paraId="0C3F7DE9" w14:textId="77777777" w:rsidR="008D3A01" w:rsidRDefault="00EE42C6" w:rsidP="00A76577">
      <w:pPr>
        <w:pStyle w:val="Heading2"/>
        <w:keepNext/>
        <w:numPr>
          <w:ilvl w:val="1"/>
          <w:numId w:val="3"/>
        </w:numPr>
        <w:spacing w:line="80" w:lineRule="atLeast"/>
      </w:pPr>
      <w:bookmarkStart w:id="33" w:name="_Toc434207983"/>
      <w:r>
        <w:t>Marine Monitoring Program</w:t>
      </w:r>
      <w:bookmarkEnd w:id="33"/>
    </w:p>
    <w:p w14:paraId="0C3F7DEA" w14:textId="77777777" w:rsidR="00EE42C6" w:rsidRDefault="00EE42C6" w:rsidP="00EE42C6">
      <w:bookmarkStart w:id="34" w:name="_Toc410584195"/>
      <w:bookmarkStart w:id="35" w:name="_Toc416533846"/>
      <w:r w:rsidRPr="007E554A">
        <w:t xml:space="preserve">The Marine Monitoring Program (herein referred to as the MMP) undertaken in the Great Barrier Reef (GBR) lagoon assesses the long-term effectiveness of the Australian and Queensland Government’s Reef Water Quality Protection Plan (Reef Plan) and the Australian Government’s Reef </w:t>
      </w:r>
      <w:r w:rsidR="007E5BBF">
        <w:t xml:space="preserve">Programme </w:t>
      </w:r>
      <w:r w:rsidRPr="007E554A">
        <w:t xml:space="preserve">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(P2R program) supported through Reef Plan and </w:t>
      </w:r>
      <w:r w:rsidR="007E5BBF">
        <w:t>Australian Government Reef Programme</w:t>
      </w:r>
      <w:r w:rsidRPr="007E554A">
        <w:t xml:space="preserve"> initiatives. </w:t>
      </w:r>
      <w:r w:rsidRPr="00A76E6A">
        <w:t xml:space="preserve">The </w:t>
      </w:r>
      <w:r>
        <w:t>Wet Season</w:t>
      </w:r>
      <w:r w:rsidRPr="00A76E6A">
        <w:t xml:space="preserve"> monitoring</w:t>
      </w:r>
      <w:r>
        <w:t xml:space="preserve"> program</w:t>
      </w:r>
      <w:r w:rsidRPr="00A76E6A">
        <w:t xml:space="preserve"> is part of </w:t>
      </w:r>
      <w:r>
        <w:t>the</w:t>
      </w:r>
      <w:r w:rsidRPr="00A76E6A">
        <w:t xml:space="preserve"> water quality </w:t>
      </w:r>
      <w:r>
        <w:t>monitoring program under</w:t>
      </w:r>
      <w:r w:rsidRPr="00A76E6A">
        <w:t xml:space="preserve"> the MMP</w:t>
      </w:r>
      <w:r>
        <w:t>,</w:t>
      </w:r>
      <w:r w:rsidRPr="00A76E6A">
        <w:t xml:space="preserve"> which includes baseline</w:t>
      </w:r>
      <w:r>
        <w:t xml:space="preserve">, ambient and event sampling </w:t>
      </w:r>
      <w:r>
        <w:fldChar w:fldCharType="begin"/>
      </w:r>
      <w:r>
        <w:instrText xml:space="preserve"> ADDIN EN.CITE &lt;EndNote&gt;&lt;Cite&gt;&lt;Author&gt;Johnson&lt;/Author&gt;&lt;Year&gt;2011&lt;/Year&gt;&lt;RecNum&gt;1001&lt;/RecNum&gt;&lt;DisplayText&gt;(Johnson et al., 2011; Martin et al., 2014)&lt;/DisplayText&gt;&lt;record&gt;&lt;rec-number&gt;1001&lt;/rec-number&gt;&lt;foreign-keys&gt;&lt;key app="EN" db-id="wwzpfssaux292keptesxd5t6srsfvpzsde2p"&gt;1001&lt;/key&gt;&lt;/foreign-keys&gt;&lt;ref-type name="Book"&gt;6&lt;/ref-type&gt;&lt;contributors&gt;&lt;authors&gt;&lt;author&gt;Johnson, Johanna&lt;/author&gt;&lt;author&gt;Brando, Vittorio&lt;/author&gt;&lt;author&gt;Devlin, Michelle&lt;/author&gt;&lt;author&gt;McKenzie, Len&lt;/author&gt;&lt;author&gt;Morris, Sheridan&lt;/author&gt;&lt;author&gt;Schaffelke, Britta&lt;/author&gt;&lt;author&gt;Thompson, Angus&lt;/author&gt;&lt;author&gt;Waterhouse, Jane&lt;/author&gt;&lt;author&gt;Waycott, M&lt;/author&gt;&lt;/authors&gt;&lt;/contributors&gt;&lt;titles&gt;&lt;title&gt;Reef rescue marine monitoring program: 2009/2010 synthesis report&lt;/title&gt;&lt;/titles&gt;&lt;dates&gt;&lt;year&gt;2011&lt;/year&gt;&lt;/dates&gt;&lt;publisher&gt;Reef and Rainforest Research Centre&lt;/publisher&gt;&lt;isbn&gt;1921359617&lt;/isbn&gt;&lt;urls&gt;&lt;/urls&gt;&lt;/record&gt;&lt;/Cite&gt;&lt;Cite&gt;&lt;Author&gt;Martin&lt;/Author&gt;&lt;Year&gt;2014&lt;/Year&gt;&lt;RecNum&gt;1141&lt;/RecNum&gt;&lt;record&gt;&lt;rec-number&gt;1141&lt;/rec-number&gt;&lt;foreign-keys&gt;&lt;key app="EN" db-id="wwzpfssaux292keptesxd5t6srsfvpzsde2p"&gt;1141&lt;/key&gt;&lt;/foreign-keys&gt;&lt;ref-type name="Report"&gt;27&lt;/ref-type&gt;&lt;contributors&gt;&lt;authors&gt;&lt;author&gt;Martin, KC&lt;/author&gt;&lt;author&gt;McKenzie, L.J&lt;/author&gt;&lt;author&gt;Thompson, A&lt;/author&gt;&lt;author&gt;Muller, J&lt;/author&gt;&lt;author&gt;Bentley, C&lt;/author&gt;&lt;author&gt;Paxman, C&lt;/author&gt;&lt;author&gt;Collier, C&lt;/author&gt;&lt;author&gt;Waycott, M&lt;/author&gt;&lt;author&gt;Brando, V&lt;/author&gt;&lt;author&gt;Devlin, M&lt;/author&gt;&lt;author&gt;Schaffelke, B. 2014, &lt;/author&gt;&lt;/authors&gt;&lt;/contributors&gt;&lt;titles&gt;&lt;title&gt;Reef Rescue Marine Monitoring Program synthesis report. 2010-2011&lt;/title&gt;&lt;secondary-title&gt;A report to the Great Barrier Reef Marine Park Authority.&lt;/secondary-title&gt;&lt;/titles&gt;&lt;dates&gt;&lt;year&gt;2014&lt;/year&gt;&lt;/dates&gt;&lt;pub-location&gt;GBRMPA, Townsville.&lt;/pub-location&gt;&lt;urls&gt;&lt;/urls&gt;&lt;/record&gt;&lt;/Cite&gt;&lt;/EndNote&gt;</w:instrText>
      </w:r>
      <w:r>
        <w:fldChar w:fldCharType="separate"/>
      </w:r>
      <w:r>
        <w:rPr>
          <w:noProof/>
        </w:rPr>
        <w:t>(</w:t>
      </w:r>
      <w:hyperlink w:anchor="_ENREF_22" w:tooltip="Johnson, 2011 #1001" w:history="1">
        <w:r w:rsidR="00D23C68">
          <w:rPr>
            <w:noProof/>
          </w:rPr>
          <w:t>Johnson et al., 2011</w:t>
        </w:r>
      </w:hyperlink>
      <w:r>
        <w:rPr>
          <w:noProof/>
        </w:rPr>
        <w:t xml:space="preserve">; </w:t>
      </w:r>
      <w:hyperlink w:anchor="_ENREF_26" w:tooltip="Martin, 2014 #1141" w:history="1">
        <w:r w:rsidR="00D23C68">
          <w:rPr>
            <w:noProof/>
          </w:rPr>
          <w:t>Martin et al., 2014</w:t>
        </w:r>
      </w:hyperlink>
      <w:r>
        <w:rPr>
          <w:noProof/>
        </w:rPr>
        <w:t>)</w:t>
      </w:r>
      <w:r>
        <w:fldChar w:fldCharType="end"/>
      </w:r>
      <w:r w:rsidRPr="00A76E6A">
        <w:t xml:space="preserve">. This monitoring is run in partnership with the other MMP </w:t>
      </w:r>
      <w:r w:rsidRPr="00651252">
        <w:t>programs including water quality</w:t>
      </w:r>
      <w:r>
        <w:t xml:space="preserve"> </w:t>
      </w:r>
      <w: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E635A2">
        <w:instrText xml:space="preserve"> ADDIN EN.CITE </w:instrText>
      </w:r>
      <w:r w:rsidR="00E635A2">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E635A2">
        <w:instrText xml:space="preserve"> ADDIN EN.CITE.DATA </w:instrText>
      </w:r>
      <w:r w:rsidR="00E635A2">
        <w:fldChar w:fldCharType="end"/>
      </w:r>
      <w:r>
        <w:fldChar w:fldCharType="separate"/>
      </w:r>
      <w:r w:rsidR="00E635A2">
        <w:rPr>
          <w:noProof/>
        </w:rPr>
        <w:t>(</w:t>
      </w:r>
      <w:hyperlink w:anchor="_ENREF_4" w:tooltip="Bentley, 2012 #1071" w:history="1">
        <w:r w:rsidR="00D23C68">
          <w:rPr>
            <w:noProof/>
          </w:rPr>
          <w:t>Bentley et al., 2012</w:t>
        </w:r>
      </w:hyperlink>
      <w:r w:rsidR="00E635A2">
        <w:rPr>
          <w:noProof/>
        </w:rPr>
        <w:t xml:space="preserve">; </w:t>
      </w:r>
      <w:hyperlink w:anchor="_ENREF_5" w:tooltip="Brando, 2008 #1027" w:history="1">
        <w:r w:rsidR="00D23C68">
          <w:rPr>
            <w:noProof/>
          </w:rPr>
          <w:t>Brando et al., 2008</w:t>
        </w:r>
      </w:hyperlink>
      <w:r w:rsidR="00E635A2">
        <w:rPr>
          <w:noProof/>
        </w:rPr>
        <w:t xml:space="preserve">; </w:t>
      </w:r>
      <w:hyperlink w:anchor="_ENREF_6" w:tooltip="Brando, 2010 #1026" w:history="1">
        <w:r w:rsidR="00D23C68">
          <w:rPr>
            <w:noProof/>
          </w:rPr>
          <w:t>Brando et al., 2010a</w:t>
        </w:r>
      </w:hyperlink>
      <w:r w:rsidR="00E635A2">
        <w:rPr>
          <w:noProof/>
        </w:rPr>
        <w:t xml:space="preserve">; </w:t>
      </w:r>
      <w:hyperlink w:anchor="_ENREF_22" w:tooltip="Johnson, 2011 #1001" w:history="1">
        <w:r w:rsidR="00D23C68">
          <w:rPr>
            <w:noProof/>
          </w:rPr>
          <w:t>Johnson et al., 2011</w:t>
        </w:r>
      </w:hyperlink>
      <w:r w:rsidR="00E635A2">
        <w:rPr>
          <w:noProof/>
        </w:rPr>
        <w:t xml:space="preserve">; </w:t>
      </w:r>
      <w:hyperlink w:anchor="_ENREF_24" w:tooltip="Kennedy, 2012 #979" w:history="1">
        <w:r w:rsidR="00D23C68">
          <w:rPr>
            <w:noProof/>
          </w:rPr>
          <w:t>Kennedy et al., 2012</w:t>
        </w:r>
      </w:hyperlink>
      <w:r w:rsidR="00E635A2">
        <w:rPr>
          <w:noProof/>
        </w:rPr>
        <w:t xml:space="preserve">; </w:t>
      </w:r>
      <w:hyperlink w:anchor="_ENREF_31" w:tooltip="Schaffelke, 2012 #980" w:history="1">
        <w:r w:rsidR="00D23C68">
          <w:rPr>
            <w:noProof/>
          </w:rPr>
          <w:t>Schaffelke et al., 2012</w:t>
        </w:r>
      </w:hyperlink>
      <w:r w:rsidR="00E635A2">
        <w:rPr>
          <w:noProof/>
        </w:rPr>
        <w:t>)</w:t>
      </w:r>
      <w:r>
        <w:fldChar w:fldCharType="end"/>
      </w:r>
      <w:r w:rsidRPr="008926B3">
        <w:t xml:space="preserve">, coral monitoring and seagrass monitoring </w:t>
      </w:r>
      <w: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E635A2">
        <w:instrText xml:space="preserve"> ADDIN EN.CITE </w:instrText>
      </w:r>
      <w:r w:rsidR="00E635A2">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E635A2">
        <w:instrText xml:space="preserve"> ADDIN EN.CITE.DATA </w:instrText>
      </w:r>
      <w:r w:rsidR="00E635A2">
        <w:fldChar w:fldCharType="end"/>
      </w:r>
      <w:r>
        <w:fldChar w:fldCharType="separate"/>
      </w:r>
      <w:r w:rsidR="00E635A2">
        <w:rPr>
          <w:noProof/>
        </w:rPr>
        <w:t>(</w:t>
      </w:r>
      <w:hyperlink w:anchor="_ENREF_28" w:tooltip="McKenzie, 2014 #967" w:history="1">
        <w:r w:rsidR="00D23C68">
          <w:rPr>
            <w:noProof/>
          </w:rPr>
          <w:t>McKenzie et al., 2014</w:t>
        </w:r>
      </w:hyperlink>
      <w:r w:rsidR="00E635A2">
        <w:rPr>
          <w:noProof/>
        </w:rPr>
        <w:t xml:space="preserve">; </w:t>
      </w:r>
      <w:hyperlink w:anchor="_ENREF_29" w:tooltip="McKenzie, 2012 #1005" w:history="1">
        <w:r w:rsidR="00D23C68">
          <w:rPr>
            <w:noProof/>
          </w:rPr>
          <w:t>McKenzie et al., 2012</w:t>
        </w:r>
      </w:hyperlink>
      <w:r w:rsidR="00E635A2">
        <w:rPr>
          <w:noProof/>
        </w:rPr>
        <w:t xml:space="preserve">; </w:t>
      </w:r>
      <w:hyperlink w:anchor="_ENREF_33" w:tooltip="Thompson, 2013 #1018" w:history="1">
        <w:r w:rsidR="00D23C68">
          <w:rPr>
            <w:noProof/>
          </w:rPr>
          <w:t>Thompson et al., 2013</w:t>
        </w:r>
      </w:hyperlink>
      <w:r w:rsidR="00E635A2">
        <w:rPr>
          <w:noProof/>
        </w:rPr>
        <w:t>)</w:t>
      </w:r>
      <w:r>
        <w:fldChar w:fldCharType="end"/>
      </w:r>
      <w:r>
        <w:t>.</w:t>
      </w:r>
    </w:p>
    <w:p w14:paraId="0C3F7DEB" w14:textId="77777777" w:rsidR="00EE42C6" w:rsidRDefault="00EE42C6" w:rsidP="00EE42C6">
      <w:r w:rsidRPr="007E554A">
        <w:t xml:space="preserve">Water quality in the GBR is influenced by an array of factors including </w:t>
      </w:r>
      <w:r>
        <w:t xml:space="preserve">diffuse source </w:t>
      </w:r>
      <w:r w:rsidRPr="007E554A">
        <w:t xml:space="preserve">land-based runoff, point source pollution, and extreme weather conditions. Monitoring the impacts of </w:t>
      </w:r>
      <w:r>
        <w:t>land based runoff</w:t>
      </w:r>
      <w:r w:rsidRPr="007E554A">
        <w:t xml:space="preserve"> into the GBR is undertaken within the </w:t>
      </w:r>
      <w:r>
        <w:t>wet season</w:t>
      </w:r>
      <w:r w:rsidRPr="007E554A">
        <w:t xml:space="preserve"> monitoring </w:t>
      </w:r>
      <w:r>
        <w:t>program under</w:t>
      </w:r>
      <w:r w:rsidRPr="007E554A">
        <w:t xml:space="preserve"> the MMP, which targets sampling of the</w:t>
      </w:r>
      <w:r>
        <w:t xml:space="preserve"> wet season and</w:t>
      </w:r>
      <w:r w:rsidRPr="007E554A">
        <w:t xml:space="preserve"> high flow events </w:t>
      </w:r>
      <w:r>
        <w:t xml:space="preserve">to characterise the input of </w:t>
      </w:r>
      <w:r w:rsidRPr="007E554A">
        <w:t xml:space="preserve">terrestrially sourced pollutants </w:t>
      </w:r>
      <w:r>
        <w:t xml:space="preserve">delivered through </w:t>
      </w:r>
      <w:r w:rsidRPr="007E554A">
        <w:t>river discharge to the GBR</w:t>
      </w:r>
      <w:r>
        <w:t xml:space="preserve"> </w:t>
      </w:r>
      <w: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instrText xml:space="preserve"> ADDIN EN.CITE </w:instrText>
      </w:r>
      <w: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instrText xml:space="preserve"> ADDIN EN.CITE.DATA </w:instrText>
      </w:r>
      <w:r>
        <w:fldChar w:fldCharType="end"/>
      </w:r>
      <w:r>
        <w:fldChar w:fldCharType="separate"/>
      </w:r>
      <w:r>
        <w:rPr>
          <w:noProof/>
        </w:rPr>
        <w:t>(</w:t>
      </w:r>
      <w:hyperlink w:anchor="_ENREF_18" w:tooltip="Devlin, 2012 #1007" w:history="1">
        <w:r w:rsidR="00D23C68">
          <w:rPr>
            <w:noProof/>
          </w:rPr>
          <w:t>Devlin et al., 2012</w:t>
        </w:r>
      </w:hyperlink>
      <w:r>
        <w:rPr>
          <w:noProof/>
        </w:rPr>
        <w:t xml:space="preserve">; </w:t>
      </w:r>
      <w:hyperlink w:anchor="_ENREF_19" w:tooltip="Devlin, 2013 #791" w:history="1">
        <w:r w:rsidR="00D23C68">
          <w:rPr>
            <w:noProof/>
          </w:rPr>
          <w:t>Devlin et al., 2013</w:t>
        </w:r>
      </w:hyperlink>
      <w:r>
        <w:rPr>
          <w:noProof/>
        </w:rPr>
        <w:t xml:space="preserve">; </w:t>
      </w:r>
      <w:hyperlink w:anchor="_ENREF_22" w:tooltip="Johnson, 2011 #1001" w:history="1">
        <w:r w:rsidR="00D23C68">
          <w:rPr>
            <w:noProof/>
          </w:rPr>
          <w:t>Johnson et al., 2011</w:t>
        </w:r>
      </w:hyperlink>
      <w:r>
        <w:rPr>
          <w:noProof/>
        </w:rPr>
        <w:t>)</w:t>
      </w:r>
      <w:r>
        <w:fldChar w:fldCharType="end"/>
      </w:r>
      <w:r w:rsidRPr="007E554A">
        <w:t xml:space="preserve">. </w:t>
      </w:r>
    </w:p>
    <w:p w14:paraId="0C3F7DEC" w14:textId="77777777" w:rsidR="00EE42C6" w:rsidRPr="004B697F" w:rsidRDefault="00EE42C6" w:rsidP="00EE42C6">
      <w:r w:rsidRPr="00EE42C6">
        <w:rPr>
          <w:rFonts w:ascii="Calibri" w:eastAsia="Calibri" w:hAnsi="Calibri" w:cs="Times New Roman"/>
          <w:lang w:eastAsia="en-US"/>
        </w:rPr>
        <w:t xml:space="preserve">This program, through </w:t>
      </w:r>
      <w:r w:rsidRPr="00EE42C6">
        <w:rPr>
          <w:rFonts w:ascii="Calibri" w:eastAsia="Calibri" w:hAnsi="Calibri" w:cs="Times New Roman"/>
          <w:i/>
          <w:lang w:eastAsia="en-US"/>
        </w:rPr>
        <w:t>in-situ</w:t>
      </w:r>
      <w:r w:rsidRPr="00EE42C6">
        <w:rPr>
          <w:rFonts w:ascii="Calibri" w:eastAsia="Calibri" w:hAnsi="Calibri" w:cs="Times New Roman"/>
          <w:lang w:eastAsia="en-US"/>
        </w:rPr>
        <w:t xml:space="preserve"> water quality sampling and remote sensed data </w:t>
      </w:r>
      <w:r>
        <w:rPr>
          <w:rFonts w:ascii="Calibri" w:eastAsia="Calibri" w:hAnsi="Calibri" w:cs="Times New Roman"/>
          <w:lang w:eastAsia="en-US"/>
        </w:rPr>
        <w:t xml:space="preserve">identifies and maps </w:t>
      </w:r>
      <w:r w:rsidRPr="00EE42C6">
        <w:rPr>
          <w:rFonts w:ascii="Calibri" w:eastAsia="Calibri" w:hAnsi="Calibri" w:cs="Times New Roman"/>
          <w:lang w:eastAsia="en-US"/>
        </w:rPr>
        <w:t>the risk and exposure of GBR ecosystems to anthropogenic water quality influences (e.g., nutrients, sediments and pesticides). River flood plumes are important pathway for terrestrial materials entering the sea, and a dominant sourc</w:t>
      </w:r>
      <w:r w:rsidR="00C77C3C">
        <w:rPr>
          <w:rFonts w:ascii="Calibri" w:eastAsia="Calibri" w:hAnsi="Calibri" w:cs="Times New Roman"/>
          <w:lang w:eastAsia="en-US"/>
        </w:rPr>
        <w:t xml:space="preserve">e of coastal pollutants. Spatial and temporal maps of </w:t>
      </w:r>
      <w:r w:rsidRPr="00EE42C6">
        <w:rPr>
          <w:rFonts w:ascii="Calibri" w:eastAsia="Calibri" w:hAnsi="Calibri" w:cs="Times New Roman"/>
          <w:lang w:eastAsia="en-US"/>
        </w:rPr>
        <w:t xml:space="preserve">the </w:t>
      </w:r>
      <w:r w:rsidR="00C77C3C">
        <w:rPr>
          <w:rFonts w:ascii="Calibri" w:eastAsia="Calibri" w:hAnsi="Calibri" w:cs="Times New Roman"/>
          <w:lang w:eastAsia="en-US"/>
        </w:rPr>
        <w:t xml:space="preserve">river plume extent, </w:t>
      </w:r>
      <w:r w:rsidRPr="00EE42C6">
        <w:rPr>
          <w:rFonts w:ascii="Calibri" w:eastAsia="Calibri" w:hAnsi="Calibri" w:cs="Times New Roman"/>
          <w:lang w:eastAsia="en-US"/>
        </w:rPr>
        <w:t>frequency of occurrence and duration</w:t>
      </w:r>
      <w:r w:rsidR="00C77C3C">
        <w:rPr>
          <w:rFonts w:ascii="Calibri" w:eastAsia="Calibri" w:hAnsi="Calibri" w:cs="Times New Roman"/>
          <w:lang w:eastAsia="en-US"/>
        </w:rPr>
        <w:t xml:space="preserve"> of exposure provides information</w:t>
      </w:r>
      <w:r w:rsidRPr="00EE42C6">
        <w:rPr>
          <w:rFonts w:ascii="Calibri" w:eastAsia="Calibri" w:hAnsi="Calibri" w:cs="Times New Roman"/>
          <w:lang w:eastAsia="en-US"/>
        </w:rPr>
        <w:t xml:space="preserve"> </w:t>
      </w:r>
      <w:r w:rsidR="00C77C3C">
        <w:rPr>
          <w:rFonts w:ascii="Calibri" w:eastAsia="Calibri" w:hAnsi="Calibri" w:cs="Times New Roman"/>
          <w:lang w:eastAsia="en-US"/>
        </w:rPr>
        <w:t xml:space="preserve">in the development of </w:t>
      </w:r>
      <w:r w:rsidRPr="00EE42C6">
        <w:rPr>
          <w:rFonts w:ascii="Calibri" w:eastAsia="Calibri" w:hAnsi="Calibri" w:cs="Times New Roman"/>
          <w:lang w:eastAsia="en-US"/>
        </w:rPr>
        <w:t>river plume risk models</w:t>
      </w:r>
      <w:r w:rsidR="00C77C3C">
        <w:rPr>
          <w:rFonts w:ascii="Calibri" w:eastAsia="Calibri" w:hAnsi="Calibri" w:cs="Times New Roman"/>
          <w:lang w:eastAsia="en-US"/>
        </w:rPr>
        <w:t>. These models</w:t>
      </w:r>
      <w:r w:rsidRPr="00EE42C6">
        <w:rPr>
          <w:rFonts w:ascii="Calibri" w:eastAsia="Calibri" w:hAnsi="Calibri" w:cs="Times New Roman"/>
          <w:lang w:eastAsia="en-US"/>
        </w:rPr>
        <w:t xml:space="preserve"> </w:t>
      </w:r>
      <w:r w:rsidR="00C77C3C">
        <w:rPr>
          <w:rFonts w:ascii="Calibri" w:eastAsia="Calibri" w:hAnsi="Calibri" w:cs="Times New Roman"/>
          <w:lang w:eastAsia="en-US"/>
        </w:rPr>
        <w:t>identify</w:t>
      </w:r>
      <w:r w:rsidRPr="00EE42C6">
        <w:rPr>
          <w:rFonts w:ascii="Calibri" w:eastAsia="Calibri" w:hAnsi="Calibri" w:cs="Times New Roman"/>
          <w:lang w:eastAsia="en-US"/>
        </w:rPr>
        <w:t xml:space="preserve"> plume-affected areas that may experience acute or chronic exposure to contaminants delivered by river discharge. Knowledge of the areas and ecosystems that are most likely to be impacted by changing water quality helps focus our understanding on what type of ecological impacts are occurring and to better inform marine, coastal and catchment management.</w:t>
      </w:r>
    </w:p>
    <w:p w14:paraId="0C3F7DED" w14:textId="77777777" w:rsidR="00EE42C6" w:rsidRDefault="00EE42C6" w:rsidP="00EE42C6">
      <w:r>
        <w:t xml:space="preserve">Due to </w:t>
      </w:r>
      <w:r w:rsidRPr="007E554A">
        <w:t>the large size of the GBR Marine Park (350,000 km</w:t>
      </w:r>
      <w:r w:rsidRPr="00EE42C6">
        <w:rPr>
          <w:vertAlign w:val="superscript"/>
        </w:rPr>
        <w:t>2</w:t>
      </w:r>
      <w:r w:rsidRPr="007E554A">
        <w:t>), the short-term nature and variability of runoff events (hours to weeks) and the often difficult weather conditions associated with floods, it is difficult and expensive to launch and coordinate comprehensive runoff plume water quality sampling campaigns across a large section of the GBR</w:t>
      </w:r>
      <w:r>
        <w:t xml:space="preserve"> </w:t>
      </w:r>
      <w:r>
        <w:fldChar w:fldCharType="begin"/>
      </w:r>
      <w:r>
        <w:instrText xml:space="preserve"> ADDIN EN.CITE &lt;EndNote&gt;&lt;Cite&gt;&lt;Author&gt;Devlin&lt;/Author&gt;&lt;Year&gt;2001&lt;/Year&gt;&lt;RecNum&gt;792&lt;/RecNum&gt;&lt;DisplayText&gt;(Devlin et al., 2001)&lt;/DisplayText&gt;&lt;record&gt;&lt;rec-number&gt;792&lt;/rec-number&gt;&lt;foreign-keys&gt;&lt;key app="EN" db-id="wwzpfssaux292keptesxd5t6srsfvpzsde2p"&gt;792&lt;/key&gt;&lt;/foreign-keys&gt;&lt;ref-type name="Book"&gt;6&lt;/ref-type&gt;&lt;contributors&gt;&lt;authors&gt;&lt;author&gt;Devlin, Michelle&lt;/author&gt;&lt;author&gt;Waterhouse, Jane&lt;/author&gt;&lt;author&gt;Taylor, Jeremy&lt;/author&gt;&lt;author&gt;Brodie, JE&lt;/author&gt;&lt;/authors&gt;&lt;/contributors&gt;&lt;titles&gt;&lt;title&gt;Flood plumes in the Great Barrier Reef: spatial and temporal patterns in composition and distribution&lt;/title&gt;&lt;/titles&gt;&lt;dates&gt;&lt;year&gt;2001&lt;/year&gt;&lt;/dates&gt;&lt;publisher&gt;Great Barrier Reef Marine Park Authority&lt;/publisher&gt;&lt;isbn&gt;0642230978&lt;/isbn&gt;&lt;urls&gt;&lt;/urls&gt;&lt;/record&gt;&lt;/Cite&gt;&lt;/EndNote&gt;</w:instrText>
      </w:r>
      <w:r>
        <w:fldChar w:fldCharType="separate"/>
      </w:r>
      <w:r>
        <w:rPr>
          <w:noProof/>
        </w:rPr>
        <w:t>(</w:t>
      </w:r>
      <w:hyperlink w:anchor="_ENREF_17" w:tooltip="Devlin, 2001 #792" w:history="1">
        <w:r w:rsidR="00D23C68">
          <w:rPr>
            <w:noProof/>
          </w:rPr>
          <w:t>Devlin et al., 2001</w:t>
        </w:r>
      </w:hyperlink>
      <w:r>
        <w:rPr>
          <w:noProof/>
        </w:rPr>
        <w:t>)</w:t>
      </w:r>
      <w:r>
        <w:fldChar w:fldCharType="end"/>
      </w:r>
      <w:r>
        <w:t>. Wet season water</w:t>
      </w:r>
      <w:r w:rsidRPr="007E554A">
        <w:t xml:space="preserve"> quality data is measured through a combination of </w:t>
      </w:r>
      <w:r w:rsidRPr="00EC36B8">
        <w:t>in-situ</w:t>
      </w:r>
      <w:r w:rsidRPr="007E554A">
        <w:t xml:space="preserve"> water quality measurements taken at peak and post flow conditions in targeted catchments throughout the wet season. River plume extent, frequency and duration are </w:t>
      </w:r>
      <w:r>
        <w:t xml:space="preserve">also </w:t>
      </w:r>
      <w:r w:rsidRPr="007E554A">
        <w:t>measured</w:t>
      </w:r>
      <w:r>
        <w:t xml:space="preserve"> and mapped</w:t>
      </w:r>
      <w:r w:rsidRPr="007E554A">
        <w:t xml:space="preserve"> through the use of remote sensing products</w:t>
      </w:r>
      <w:r>
        <w:t>, and more recently, the development of hydrodynamic models</w:t>
      </w:r>
      <w:r w:rsidRPr="007E554A">
        <w:t xml:space="preserve">. </w:t>
      </w:r>
    </w:p>
    <w:p w14:paraId="0C3F7DEE" w14:textId="77777777"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t>The GBR is the most extensive reef system in the world and comprises over 2900 km</w:t>
      </w:r>
      <w:r w:rsidRPr="00EE42C6">
        <w:rPr>
          <w:rFonts w:ascii="Calibri" w:eastAsia="Calibri" w:hAnsi="Calibri" w:cs="Times New Roman"/>
          <w:vertAlign w:val="superscript"/>
          <w:lang w:eastAsia="en-US"/>
        </w:rPr>
        <w:t>2</w:t>
      </w:r>
      <w:r w:rsidRPr="00EE42C6">
        <w:rPr>
          <w:rFonts w:ascii="Calibri" w:eastAsia="Calibri" w:hAnsi="Calibri" w:cs="Times New Roman"/>
          <w:lang w:eastAsia="en-US"/>
        </w:rPr>
        <w:t xml:space="preserve"> of coral reefs. It also comprises over 43000 km</w:t>
      </w:r>
      <w:r w:rsidRPr="00EE42C6">
        <w:rPr>
          <w:rFonts w:ascii="Calibri" w:eastAsia="Calibri" w:hAnsi="Calibri" w:cs="Times New Roman"/>
          <w:vertAlign w:val="superscript"/>
          <w:lang w:eastAsia="en-US"/>
        </w:rPr>
        <w:t>2</w:t>
      </w:r>
      <w:r w:rsidRPr="00EE42C6">
        <w:rPr>
          <w:rFonts w:ascii="Calibri" w:eastAsia="Calibri" w:hAnsi="Calibri" w:cs="Times New Roman"/>
          <w:lang w:eastAsia="en-US"/>
        </w:rPr>
        <w:t xml:space="preserve"> of seagrass meadows (</w:t>
      </w:r>
      <w:r w:rsidRPr="00EE42C6">
        <w:rPr>
          <w:rFonts w:ascii="Calibri" w:eastAsia="Calibri" w:hAnsi="Calibri" w:cs="Times New Roman"/>
          <w:lang w:eastAsia="en-US"/>
        </w:rPr>
        <w:fldChar w:fldCharType="begin"/>
      </w:r>
      <w:r w:rsidRPr="00EE42C6">
        <w:rPr>
          <w:rFonts w:ascii="Calibri" w:eastAsia="Calibri" w:hAnsi="Calibri" w:cs="Times New Roman"/>
          <w:lang w:eastAsia="en-US"/>
        </w:rPr>
        <w:instrText xml:space="preserve"> REF _Ref428850263 \h  \* MERGEFORMAT </w:instrText>
      </w:r>
      <w:r w:rsidRPr="00EE42C6">
        <w:rPr>
          <w:rFonts w:ascii="Calibri" w:eastAsia="Calibri" w:hAnsi="Calibri" w:cs="Times New Roman"/>
          <w:lang w:eastAsia="en-US"/>
        </w:rPr>
      </w:r>
      <w:r w:rsidRPr="00EE42C6">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EE42C6">
        <w:rPr>
          <w:rFonts w:ascii="Calibri" w:eastAsia="Calibri" w:hAnsi="Calibri" w:cs="Times New Roman"/>
          <w:lang w:eastAsia="en-US"/>
        </w:rPr>
        <w:fldChar w:fldCharType="end"/>
      </w:r>
      <w:r w:rsidRPr="00EE42C6">
        <w:rPr>
          <w:rFonts w:ascii="Calibri" w:eastAsia="Calibri" w:hAnsi="Calibri" w:cs="Times New Roman"/>
          <w:lang w:eastAsia="en-US"/>
        </w:rPr>
        <w:t xml:space="preserve">). Thirty major rivers drain into the GBR, all of which vary considerably in length, catchment area, and flow frequency and intensity. Rivers discharging into the GBR lagoon are the main land-based source of </w:t>
      </w:r>
      <w:r w:rsidRPr="00EE42C6">
        <w:rPr>
          <w:rFonts w:ascii="Calibri" w:eastAsia="Calibri" w:hAnsi="Calibri" w:cs="Times New Roman"/>
          <w:lang w:eastAsia="en-US"/>
        </w:rPr>
        <w:lastRenderedPageBreak/>
        <w:t>pollutants (i.e., sediments, nutrients and pesticides) of the GBR. The actual distribution and movement of the individual pollutants varies considerably between the Wet (north of Townsville</w:t>
      </w:r>
      <w:r w:rsidR="00D23397">
        <w:rPr>
          <w:rFonts w:ascii="Calibri" w:eastAsia="Calibri" w:hAnsi="Calibri" w:cs="Times New Roman"/>
          <w:lang w:eastAsia="en-US"/>
        </w:rPr>
        <w:t>)</w:t>
      </w:r>
      <w:r w:rsidRPr="00EE42C6">
        <w:rPr>
          <w:rFonts w:ascii="Calibri" w:eastAsia="Calibri" w:hAnsi="Calibri" w:cs="Times New Roman"/>
          <w:lang w:eastAsia="en-US"/>
        </w:rPr>
        <w:t xml:space="preserve"> and Dry Tropic rivers </w:t>
      </w:r>
      <w:r w:rsidRPr="00EE42C6">
        <w:rPr>
          <w:rFonts w:ascii="Calibri" w:eastAsia="Calibri" w:hAnsi="Calibri" w:cs="Times New Roman"/>
          <w:lang w:eastAsia="en-US"/>
        </w:rPr>
        <w:fldChar w:fldCharType="begin"/>
      </w:r>
      <w:r w:rsidRPr="00EE42C6">
        <w:rPr>
          <w:rFonts w:ascii="Calibri" w:eastAsia="Calibri" w:hAnsi="Calibri" w:cs="Times New Roman"/>
          <w:lang w:eastAsia="en-US"/>
        </w:rPr>
        <w:instrText xml:space="preserve"> ADDIN EN.CITE &lt;EndNote&gt;&lt;Cite&gt;&lt;Author&gt;Devlin&lt;/Author&gt;&lt;Year&gt;2011&lt;/Year&gt;&lt;RecNum&gt;1034&lt;/RecNum&gt;&lt;DisplayText&gt;(Devlin et al., 2011; Devlin et al., 2013)&lt;/DisplayText&gt;&lt;record&gt;&lt;rec-number&gt;1034&lt;/rec-number&gt;&lt;foreign-keys&gt;&lt;key app="EN" db-id="wwzpfssaux292keptesxd5t6srsfvpzsde2p"&gt;1034&lt;/key&gt;&lt;/foreign-keys&gt;&lt;ref-type name="Journal Article"&gt;17&lt;/ref-type&gt;&lt;contributors&gt;&lt;authors&gt;&lt;author&gt;Devlin, Michelle&lt;/author&gt;&lt;author&gt;Schroeder, Thomas&lt;/author&gt;&lt;author&gt;McKinna, Lachlan&lt;/author&gt;&lt;author&gt;Brodie, Jon&lt;/author&gt;&lt;author&gt;Brando, Vittorio&lt;/author&gt;&lt;author&gt;Dekker, Arnold&lt;/author&gt;&lt;/authors&gt;&lt;/contributors&gt;&lt;titles&gt;&lt;title&gt;Monitoring and mapping of flood plumes in the Great Barrier Reef based on in-situ and remote sensing observations&lt;/title&gt;&lt;secondary-title&gt;Advances in Environmental Remote Sensing to Monitor Global Changes, CRC Press, Boca Raton&lt;/secondary-title&gt;&lt;/titles&gt;&lt;periodical&gt;&lt;full-title&gt;Advances in Environmental Remote Sensing to Monitor Global Changes, CRC Press, Boca Raton&lt;/full-title&gt;&lt;/periodical&gt;&lt;dates&gt;&lt;year&gt;2011&lt;/year&gt;&lt;/dates&gt;&lt;urls&gt;&lt;/urls&gt;&lt;/record&gt;&lt;/Cite&gt;&lt;Cite&gt;&lt;Author&gt;Devlin&lt;/Author&gt;&lt;Year&gt;2013&lt;/Year&gt;&lt;RecNum&gt;791&lt;/RecNum&gt;&lt;record&gt;&lt;rec-number&gt;791&lt;/rec-number&gt;&lt;foreign-keys&gt;&lt;key app="EN" db-id="wwzpfssaux292keptesxd5t6srsfvpzsde2p"&gt;791&lt;/key&gt;&lt;/foreign-keys&gt;&lt;ref-type name="Report"&gt;27&lt;/ref-type&gt;&lt;contributors&gt;&lt;authors&gt;&lt;author&gt;Devlin, M. J.&lt;/author&gt;&lt;author&gt;Álvarez-Romero, J.&lt;/author&gt;&lt;author&gt;da Silva, E. T.&lt;/author&gt;&lt;author&gt;DeBose, J.&lt;/author&gt;&lt;author&gt;Petus, C.&lt;/author&gt;&lt;author&gt;Wenger, A.&lt;/author&gt;&lt;/authors&gt;&lt;/contributors&gt;&lt;titles&gt;&lt;title&gt;Reef Rescue Marine Monitoring Program. Final report of JCU activities 2011/12 – Flood plumes and extreme weather monitoring for the Great Barrier Reef Marine Park Authority&lt;/title&gt;&lt;/titles&gt;&lt;dates&gt;&lt;year&gt;2013&lt;/year&gt;&lt;/dates&gt;&lt;pub-location&gt;Townsville&lt;/pub-location&gt;&lt;publisher&gt;James Cook University&lt;/publisher&gt;&lt;work-type&gt;Report ER&lt;/work-type&gt;&lt;urls&gt;&lt;related-urls&gt;&lt;url&gt;http://hdl.handle.net/11017/2803&lt;/url&gt;&lt;/related-urls&gt;&lt;/urls&gt;&lt;/record&gt;&lt;/Cite&gt;&lt;/EndNote&gt;</w:instrText>
      </w:r>
      <w:r w:rsidRPr="00EE42C6">
        <w:rPr>
          <w:rFonts w:ascii="Calibri" w:eastAsia="Calibri" w:hAnsi="Calibri" w:cs="Times New Roman"/>
          <w:lang w:eastAsia="en-US"/>
        </w:rPr>
        <w:fldChar w:fldCharType="separate"/>
      </w:r>
      <w:r w:rsidRPr="00EE42C6">
        <w:rPr>
          <w:rFonts w:ascii="Calibri" w:eastAsia="Calibri" w:hAnsi="Calibri" w:cs="Times New Roman"/>
          <w:noProof/>
          <w:lang w:eastAsia="en-US"/>
        </w:rPr>
        <w:t>(</w:t>
      </w:r>
      <w:hyperlink w:anchor="_ENREF_16" w:tooltip="Devlin, 2011 #1034" w:history="1">
        <w:r w:rsidR="00D23C68" w:rsidRPr="00EE42C6">
          <w:rPr>
            <w:rFonts w:ascii="Calibri" w:eastAsia="Calibri" w:hAnsi="Calibri" w:cs="Times New Roman"/>
            <w:noProof/>
            <w:lang w:eastAsia="en-US"/>
          </w:rPr>
          <w:t>Devlin et al., 2011</w:t>
        </w:r>
      </w:hyperlink>
      <w:r w:rsidRPr="00EE42C6">
        <w:rPr>
          <w:rFonts w:ascii="Calibri" w:eastAsia="Calibri" w:hAnsi="Calibri" w:cs="Times New Roman"/>
          <w:noProof/>
          <w:lang w:eastAsia="en-US"/>
        </w:rPr>
        <w:t xml:space="preserve">; </w:t>
      </w:r>
      <w:hyperlink w:anchor="_ENREF_19" w:tooltip="Devlin, 2013 #791" w:history="1">
        <w:r w:rsidR="00D23C68" w:rsidRPr="00EE42C6">
          <w:rPr>
            <w:rFonts w:ascii="Calibri" w:eastAsia="Calibri" w:hAnsi="Calibri" w:cs="Times New Roman"/>
            <w:noProof/>
            <w:lang w:eastAsia="en-US"/>
          </w:rPr>
          <w:t>Devlin et al., 2013</w:t>
        </w:r>
      </w:hyperlink>
      <w:r w:rsidRPr="00EE42C6">
        <w:rPr>
          <w:rFonts w:ascii="Calibri" w:eastAsia="Calibri" w:hAnsi="Calibri" w:cs="Times New Roman"/>
          <w:noProof/>
          <w:lang w:eastAsia="en-US"/>
        </w:rPr>
        <w:t>)</w:t>
      </w:r>
      <w:r w:rsidRPr="00EE42C6">
        <w:rPr>
          <w:rFonts w:ascii="Calibri" w:eastAsia="Calibri" w:hAnsi="Calibri" w:cs="Times New Roman"/>
          <w:lang w:eastAsia="en-US"/>
        </w:rPr>
        <w:fldChar w:fldCharType="end"/>
      </w:r>
      <w:r w:rsidRPr="00EE42C6">
        <w:rPr>
          <w:rFonts w:ascii="Calibri" w:eastAsia="Calibri" w:hAnsi="Calibri" w:cs="Times New Roman"/>
          <w:lang w:eastAsia="en-US"/>
        </w:rPr>
        <w:t>.</w:t>
      </w:r>
    </w:p>
    <w:p w14:paraId="0C3F7DEF" w14:textId="77777777"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t xml:space="preserve">In the GBR, river plumes are driven by high river flow conditions, which occur during the monsoonal season and are typically associated with the passage of cyclones or low pressure systems, i.e., from about December to April </w:t>
      </w:r>
      <w:r w:rsidR="00C77C3C">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ADDIN EN.CITE &lt;EndNote&gt;&lt;Cite&gt;&lt;Author&gt;Devlin&lt;/Author&gt;&lt;Year&gt;2005&lt;/Year&gt;&lt;RecNum&gt;411&lt;/RecNum&gt;&lt;DisplayText&gt;(Devlin and Brodie, 2005)&lt;/DisplayText&gt;&lt;record&gt;&lt;rec-number&gt;411&lt;/rec-number&gt;&lt;foreign-keys&gt;&lt;key app="EN" db-id="wwzpfssaux292keptesxd5t6srsfvpzsde2p"&gt;411&lt;/key&gt;&lt;/foreign-keys&gt;&lt;ref-type name="Journal Article"&gt;17&lt;/ref-type&gt;&lt;contributors&gt;&lt;authors&gt;&lt;author&gt;Devlin, M. J.&lt;/author&gt;&lt;author&gt;Brodie, J.&lt;/author&gt;&lt;/authors&gt;&lt;/contributors&gt;&lt;auth-address&gt;Centre for Environment, Fisheries and Aquaculture Science, Pakefield Road, Lowestoft NR33 0HT, UK.&lt;/auth-address&gt;&lt;titles&gt;&lt;title&gt;Terrestrial discharge into the Great Barrier Reef Lagoon: nutrient behavior in coastal waters&lt;/title&gt;&lt;secondary-title&gt;Mar Pollut Bull&lt;/secondary-title&gt;&lt;alt-title&gt;Marine pollution bulletin&lt;/alt-title&gt;&lt;/titles&gt;&lt;periodical&gt;&lt;full-title&gt;Mar Pollut Bull&lt;/full-title&gt;&lt;abbr-1&gt;Marine pollution bulletin&lt;/abbr-1&gt;&lt;/periodical&gt;&lt;alt-periodical&gt;&lt;full-title&gt;Mar Pollut Bull&lt;/full-title&gt;&lt;abbr-1&gt;Marine pollution bulletin&lt;/abbr-1&gt;&lt;/alt-periodical&gt;&lt;pages&gt;9-22&lt;/pages&gt;&lt;volume&gt;51&lt;/volume&gt;&lt;number&gt;1-4&lt;/number&gt;&lt;keywords&gt;&lt;keyword&gt;*Agriculture&lt;/keyword&gt;&lt;keyword&gt;Animals&lt;/keyword&gt;&lt;keyword&gt;*Anthozoa&lt;/keyword&gt;&lt;keyword&gt;Disasters&lt;/keyword&gt;&lt;keyword&gt;Nitrogen/analysis&lt;/keyword&gt;&lt;keyword&gt;Particle Size&lt;/keyword&gt;&lt;keyword&gt;Pesticides/analysis&lt;/keyword&gt;&lt;keyword&gt;Phosphorus/analysis&lt;/keyword&gt;&lt;keyword&gt;Queensland&lt;/keyword&gt;&lt;keyword&gt;Water Movements&lt;/keyword&gt;&lt;keyword&gt;Water Pollutants/*analysis&lt;/keyword&gt;&lt;/keywords&gt;&lt;dates&gt;&lt;year&gt;2005&lt;/year&gt;&lt;/dates&gt;&lt;isbn&gt;0025-326X (Print)&amp;#xD;0025-326X (Linking)&lt;/isbn&gt;&lt;accession-num&gt;15757704&lt;/accession-num&gt;&lt;urls&gt;&lt;related-urls&gt;&lt;url&gt;http://www.ncbi.nlm.nih.gov/pubmed/15757704&lt;/url&gt;&lt;/related-urls&gt;&lt;/urls&gt;&lt;electronic-resource-num&gt;10.1016/j.marpolbul.2004.10.037&lt;/electronic-resource-num&gt;&lt;/record&gt;&lt;/Cite&gt;&lt;/EndNote&gt;</w:instrText>
      </w:r>
      <w:r w:rsidR="00C77C3C">
        <w:rPr>
          <w:rFonts w:ascii="Calibri" w:eastAsia="Calibri" w:hAnsi="Calibri" w:cs="Times New Roman"/>
          <w:lang w:eastAsia="en-US"/>
        </w:rPr>
        <w:fldChar w:fldCharType="separate"/>
      </w:r>
      <w:r w:rsidR="00C77C3C">
        <w:rPr>
          <w:rFonts w:ascii="Calibri" w:eastAsia="Calibri" w:hAnsi="Calibri" w:cs="Times New Roman"/>
          <w:noProof/>
          <w:lang w:eastAsia="en-US"/>
        </w:rPr>
        <w:t>(</w:t>
      </w:r>
      <w:hyperlink w:anchor="_ENREF_20" w:tooltip="Devlin, 2005 #411" w:history="1">
        <w:r w:rsidR="00D23C68">
          <w:rPr>
            <w:rFonts w:ascii="Calibri" w:eastAsia="Calibri" w:hAnsi="Calibri" w:cs="Times New Roman"/>
            <w:noProof/>
            <w:lang w:eastAsia="en-US"/>
          </w:rPr>
          <w:t>Devlin and Brodie, 2005</w:t>
        </w:r>
      </w:hyperlink>
      <w:r w:rsidR="00C77C3C">
        <w:rPr>
          <w:rFonts w:ascii="Calibri" w:eastAsia="Calibri" w:hAnsi="Calibri" w:cs="Times New Roman"/>
          <w:noProof/>
          <w:lang w:eastAsia="en-US"/>
        </w:rPr>
        <w:t>)</w:t>
      </w:r>
      <w:r w:rsidR="00C77C3C">
        <w:rPr>
          <w:rFonts w:ascii="Calibri" w:eastAsia="Calibri" w:hAnsi="Calibri" w:cs="Times New Roman"/>
          <w:lang w:eastAsia="en-US"/>
        </w:rPr>
        <w:fldChar w:fldCharType="end"/>
      </w:r>
      <w:r w:rsidR="00C77C3C">
        <w:rPr>
          <w:rFonts w:ascii="Calibri" w:eastAsia="Calibri" w:hAnsi="Calibri" w:cs="Times New Roman"/>
          <w:lang w:eastAsia="en-US"/>
        </w:rPr>
        <w:t xml:space="preserve">. </w:t>
      </w:r>
      <w:r w:rsidRPr="00EE42C6">
        <w:rPr>
          <w:rFonts w:ascii="Calibri" w:eastAsia="Calibri" w:hAnsi="Calibri" w:cs="Times New Roman"/>
          <w:lang w:eastAsia="en-US"/>
        </w:rPr>
        <w:t>Wet Tropic catchments, located between Townsville and Cooktown, have frequent storm and runoff events in generally short, steep catchments that have more direct and frequent linkages to coastal environments. In the Dry Tropic catchments, the major flow events may occur at intervals of years, with long lag times for the transport of material through these large catchments</w:t>
      </w:r>
      <w:r w:rsidR="00D23397">
        <w:rPr>
          <w:rFonts w:ascii="Calibri" w:eastAsia="Calibri" w:hAnsi="Calibri" w:cs="Times New Roman"/>
          <w:lang w:eastAsia="en-US"/>
        </w:rPr>
        <w:t xml:space="preserve"> </w:t>
      </w:r>
      <w:r w:rsidR="00C77C3C">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ADDIN EN.CITE &lt;EndNote&gt;&lt;Cite&gt;&lt;Author&gt;Brodie&lt;/Author&gt;&lt;Year&gt;2009&lt;/Year&gt;&lt;RecNum&gt;1142&lt;/RecNum&gt;&lt;DisplayText&gt;(Brodie et al., 2009)&lt;/DisplayText&gt;&lt;record&gt;&lt;rec-number&gt;1142&lt;/rec-number&gt;&lt;foreign-keys&gt;&lt;key app="EN" db-id="wwzpfssaux292keptesxd5t6srsfvpzsde2p"&gt;1142&lt;/key&gt;&lt;/foreign-keys&gt;&lt;ref-type name="Journal Article"&gt;17&lt;/ref-type&gt;&lt;contributors&gt;&lt;authors&gt;&lt;author&gt;Brodie, Jon&lt;/author&gt;&lt;author&gt;Lewis, Stephen&lt;/author&gt;&lt;author&gt;Bainbridge, Zoe&lt;/author&gt;&lt;author&gt;Mitchell, Alan&lt;/author&gt;&lt;author&gt;Waterhouse, Jane&lt;/author&gt;&lt;author&gt;Kroon, Frederieke&lt;/author&gt;&lt;/authors&gt;&lt;/contributors&gt;&lt;titles&gt;&lt;title&gt;Target setting for pollutant discharge management of rivers in the Great Barrier Reef catchment area&lt;/title&gt;&lt;secondary-title&gt;Marine and Freshwater Research&lt;/secondary-title&gt;&lt;/titles&gt;&lt;periodical&gt;&lt;full-title&gt;Marine and Freshwater Research&lt;/full-title&gt;&lt;/periodical&gt;&lt;pages&gt;1141-1149&lt;/pages&gt;&lt;volume&gt;60&lt;/volume&gt;&lt;number&gt;11&lt;/number&gt;&lt;dates&gt;&lt;year&gt;2009&lt;/year&gt;&lt;/dates&gt;&lt;isbn&gt;1448-6059&lt;/isbn&gt;&lt;urls&gt;&lt;/urls&gt;&lt;/record&gt;&lt;/Cite&gt;&lt;/EndNote&gt;</w:instrText>
      </w:r>
      <w:r w:rsidR="00C77C3C">
        <w:rPr>
          <w:rFonts w:ascii="Calibri" w:eastAsia="Calibri" w:hAnsi="Calibri" w:cs="Times New Roman"/>
          <w:lang w:eastAsia="en-US"/>
        </w:rPr>
        <w:fldChar w:fldCharType="separate"/>
      </w:r>
      <w:r w:rsidR="00C77C3C">
        <w:rPr>
          <w:rFonts w:ascii="Calibri" w:eastAsia="Calibri" w:hAnsi="Calibri" w:cs="Times New Roman"/>
          <w:noProof/>
          <w:lang w:eastAsia="en-US"/>
        </w:rPr>
        <w:t>(</w:t>
      </w:r>
      <w:hyperlink w:anchor="_ENREF_12" w:tooltip="Brodie, 2009 #1142" w:history="1">
        <w:r w:rsidR="00D23C68">
          <w:rPr>
            <w:rFonts w:ascii="Calibri" w:eastAsia="Calibri" w:hAnsi="Calibri" w:cs="Times New Roman"/>
            <w:noProof/>
            <w:lang w:eastAsia="en-US"/>
          </w:rPr>
          <w:t>Brodie et al., 2009</w:t>
        </w:r>
      </w:hyperlink>
      <w:r w:rsidR="00C77C3C">
        <w:rPr>
          <w:rFonts w:ascii="Calibri" w:eastAsia="Calibri" w:hAnsi="Calibri" w:cs="Times New Roman"/>
          <w:noProof/>
          <w:lang w:eastAsia="en-US"/>
        </w:rPr>
        <w:t>)</w:t>
      </w:r>
      <w:r w:rsidR="00C77C3C">
        <w:rPr>
          <w:rFonts w:ascii="Calibri" w:eastAsia="Calibri" w:hAnsi="Calibri" w:cs="Times New Roman"/>
          <w:lang w:eastAsia="en-US"/>
        </w:rPr>
        <w:fldChar w:fldCharType="end"/>
      </w:r>
      <w:r w:rsidR="00C77C3C">
        <w:rPr>
          <w:rFonts w:ascii="Calibri" w:eastAsia="Calibri" w:hAnsi="Calibri" w:cs="Times New Roman"/>
          <w:lang w:eastAsia="en-US"/>
        </w:rPr>
        <w:t>.</w:t>
      </w:r>
    </w:p>
    <w:p w14:paraId="0C3F7DF0" w14:textId="77777777" w:rsidR="00EE42C6" w:rsidRPr="00EE42C6" w:rsidRDefault="00EE42C6" w:rsidP="00EE42C6">
      <w:pPr>
        <w:rPr>
          <w:rFonts w:ascii="Calibri" w:eastAsia="Calibri" w:hAnsi="Calibri" w:cs="Times New Roman"/>
          <w:lang w:eastAsia="en-US"/>
        </w:rPr>
      </w:pPr>
      <w:r w:rsidRPr="00DF1C49">
        <w:rPr>
          <w:rFonts w:eastAsia="Calibri"/>
          <w:noProof/>
        </w:rPr>
        <w:drawing>
          <wp:inline distT="0" distB="0" distL="0" distR="0" wp14:anchorId="0C3F8FB5" wp14:editId="0C3F8FB6">
            <wp:extent cx="3816000" cy="3921417"/>
            <wp:effectExtent l="0" t="0" r="0" b="3175"/>
            <wp:docPr id="75" name="Picture 75" descr="The Great Barrier Reef Marine Park (light grey, Queensland, Australia), major marine ecosystems (coral reefs and seagrass beds), Natural Resource Management regions (red colour scale) and marine portions (delineated by dark grey liens) of the NRM regions and major rivers: Normanby (N), Barron (Ba), Johnstone (J), Tully (T), Herbert (H), Burdekin (Bu), Pioneer (P), Fitzroy (F), modified from Petus et al., in review." title="The Great Barrier Reef Marine Park majoe marine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
                      <a:extLst>
                        <a:ext uri="{28A0092B-C50C-407E-A947-70E740481C1C}">
                          <a14:useLocalDpi xmlns:a14="http://schemas.microsoft.com/office/drawing/2010/main" val="0"/>
                        </a:ext>
                      </a:extLst>
                    </a:blip>
                    <a:srcRect/>
                    <a:stretch/>
                  </pic:blipFill>
                  <pic:spPr bwMode="auto">
                    <a:xfrm>
                      <a:off x="0" y="0"/>
                      <a:ext cx="3816000" cy="3921417"/>
                    </a:xfrm>
                    <a:prstGeom prst="rect">
                      <a:avLst/>
                    </a:prstGeom>
                    <a:solidFill>
                      <a:sysClr val="window" lastClr="FFFFFF"/>
                    </a:solidFill>
                    <a:ln>
                      <a:noFill/>
                    </a:ln>
                    <a:extLst>
                      <a:ext uri="{53640926-AAD7-44D8-BBD7-CCE9431645EC}">
                        <a14:shadowObscured xmlns:a14="http://schemas.microsoft.com/office/drawing/2010/main"/>
                      </a:ext>
                    </a:extLst>
                  </pic:spPr>
                </pic:pic>
              </a:graphicData>
            </a:graphic>
          </wp:inline>
        </w:drawing>
      </w:r>
    </w:p>
    <w:p w14:paraId="0C3F7DF1" w14:textId="77777777" w:rsidR="00EE42C6" w:rsidRPr="00EE42C6" w:rsidRDefault="00C77C3C" w:rsidP="00C77C3C">
      <w:pPr>
        <w:pStyle w:val="Caption"/>
        <w:rPr>
          <w:rFonts w:eastAsia="Calibri"/>
        </w:rPr>
      </w:pPr>
      <w:bookmarkStart w:id="36" w:name="_Ref428869690"/>
      <w:bookmarkStart w:id="37" w:name="_Toc427833267"/>
      <w:bookmarkStart w:id="38" w:name="_Toc434208021"/>
      <w:r>
        <w:t xml:space="preserve">Figure </w:t>
      </w:r>
      <w:r w:rsidR="00D243CD">
        <w:fldChar w:fldCharType="begin"/>
      </w:r>
      <w:r w:rsidR="00D243CD">
        <w:instrText xml:space="preserve"> STYLEREF 1 \s </w:instrText>
      </w:r>
      <w:r w:rsidR="00D243CD">
        <w:fldChar w:fldCharType="separate"/>
      </w:r>
      <w:r w:rsidR="00B62B50">
        <w:rPr>
          <w:noProof/>
        </w:rPr>
        <w:t>2</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1</w:t>
      </w:r>
      <w:r w:rsidR="00D243CD">
        <w:fldChar w:fldCharType="end"/>
      </w:r>
      <w:bookmarkEnd w:id="36"/>
      <w:r>
        <w:t xml:space="preserve">: </w:t>
      </w:r>
      <w:r w:rsidR="00EE42C6" w:rsidRPr="00EE42C6">
        <w:rPr>
          <w:rFonts w:eastAsia="Calibri"/>
        </w:rPr>
        <w:t xml:space="preserve">The Great Barrier Reef Marine Park (light grey, Queensland, Australia), major marine ecosystems (coral reefs and seagrass beds), Natural Resource Management regions (red colour scale) and marine portions (delineated by dark grey liens) of the NRM regions and major rivers: Normanby (N), Barron (Ba), Johnstone (J), Tully (T), Herbert (H), Burdekin (Bu), Pioneer (P), Fitzroy (F), modified from Petus et al., in </w:t>
      </w:r>
      <w:r w:rsidR="00E47248">
        <w:rPr>
          <w:rFonts w:eastAsia="Calibri"/>
        </w:rPr>
        <w:t>review</w:t>
      </w:r>
      <w:r w:rsidR="00EE42C6" w:rsidRPr="00EE42C6">
        <w:rPr>
          <w:rFonts w:eastAsia="Calibri"/>
        </w:rPr>
        <w:t>.</w:t>
      </w:r>
      <w:bookmarkEnd w:id="37"/>
      <w:bookmarkEnd w:id="38"/>
    </w:p>
    <w:p w14:paraId="0C3F7DF2" w14:textId="77777777"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t>The GBR catchment has been divided into six large areas defined as Natural Resource Management (NRM) regions (</w:t>
      </w:r>
      <w:r w:rsidR="00C77C3C">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REF _Ref428869690 \h </w:instrText>
      </w:r>
      <w:r w:rsidR="00C77C3C">
        <w:rPr>
          <w:rFonts w:ascii="Calibri" w:eastAsia="Calibri" w:hAnsi="Calibri" w:cs="Times New Roman"/>
          <w:lang w:eastAsia="en-US"/>
        </w:rPr>
      </w:r>
      <w:r w:rsidR="00C77C3C">
        <w:rPr>
          <w:rFonts w:ascii="Calibri" w:eastAsia="Calibri" w:hAnsi="Calibri" w:cs="Times New Roman"/>
          <w:lang w:eastAsia="en-US"/>
        </w:rPr>
        <w:fldChar w:fldCharType="separate"/>
      </w:r>
      <w:r w:rsidR="00B62B50">
        <w:t xml:space="preserve">Figure </w:t>
      </w:r>
      <w:r w:rsidR="00B62B50">
        <w:rPr>
          <w:noProof/>
        </w:rPr>
        <w:t>2</w:t>
      </w:r>
      <w:r w:rsidR="00B62B50">
        <w:noBreakHyphen/>
      </w:r>
      <w:r w:rsidR="00B62B50">
        <w:rPr>
          <w:noProof/>
        </w:rPr>
        <w:t>1</w:t>
      </w:r>
      <w:r w:rsidR="00C77C3C">
        <w:rPr>
          <w:rFonts w:ascii="Calibri" w:eastAsia="Calibri" w:hAnsi="Calibri" w:cs="Times New Roman"/>
          <w:lang w:eastAsia="en-US"/>
        </w:rPr>
        <w:fldChar w:fldCharType="end"/>
      </w:r>
      <w:r w:rsidRPr="00EE42C6">
        <w:rPr>
          <w:rFonts w:ascii="Calibri" w:eastAsia="Calibri" w:hAnsi="Calibri" w:cs="Times New Roman"/>
          <w:lang w:eastAsia="en-US"/>
        </w:rPr>
        <w:t xml:space="preserve">), each defined by a set of land use/cover, biophysical and socio-economic characteristics. The Cape York region is largely undeveloped and is considered to have the least impact on GBR ecosystems from existing </w:t>
      </w:r>
      <w:r w:rsidR="00D23397" w:rsidRPr="00EE42C6">
        <w:rPr>
          <w:rFonts w:ascii="Calibri" w:eastAsia="Calibri" w:hAnsi="Calibri" w:cs="Times New Roman"/>
          <w:lang w:eastAsia="en-US"/>
        </w:rPr>
        <w:t>land-based</w:t>
      </w:r>
      <w:r w:rsidRPr="00EE42C6">
        <w:rPr>
          <w:rFonts w:ascii="Calibri" w:eastAsia="Calibri" w:hAnsi="Calibri" w:cs="Times New Roman"/>
          <w:lang w:eastAsia="en-US"/>
        </w:rPr>
        <w:t xml:space="preserve"> activities. In contrast, the Wet Tropics, Burdekin, Mackay-Whitsunday, Fitzroy and the Burnett-Mary regions are characterised by more extensive agricultural land uses including sugarcane, grazing, bananas and other horticulture, cropping, mining and urban development, and contribute to discharge of </w:t>
      </w:r>
      <w:r w:rsidRPr="003979AC">
        <w:t>sediments, nutrients and pesticides</w:t>
      </w:r>
      <w:r w:rsidRPr="00EE42C6" w:rsidDel="004E6242">
        <w:rPr>
          <w:rFonts w:ascii="Calibri" w:eastAsia="Calibri" w:hAnsi="Calibri" w:cs="Times New Roman"/>
          <w:lang w:eastAsia="en-US"/>
        </w:rPr>
        <w:t xml:space="preserve"> </w:t>
      </w:r>
      <w:r w:rsidRPr="00EE42C6">
        <w:rPr>
          <w:rFonts w:ascii="Calibri" w:eastAsia="Calibri" w:hAnsi="Calibri" w:cs="Times New Roman"/>
          <w:lang w:eastAsia="en-US"/>
        </w:rPr>
        <w:t xml:space="preserve">to the GBR during the wet season. </w:t>
      </w:r>
    </w:p>
    <w:p w14:paraId="0C3F7DF3" w14:textId="77777777"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lastRenderedPageBreak/>
        <w:t>Occurrence of coastal waters with elevated concentrations of dissolved inorganic nitrogen (DIN) has been linked to fertilised agriculture (predominantly sugarcane) in the Wet Tropics region, while high TSS concentrations are mainly linked to grazing activities in the Dry Tropics and in particular the Burdekin catchment</w:t>
      </w:r>
      <w:r w:rsidR="00C77C3C">
        <w:rPr>
          <w:rFonts w:ascii="Calibri" w:eastAsia="Calibri" w:hAnsi="Calibri" w:cs="Times New Roman"/>
          <w:lang w:eastAsia="en-US"/>
        </w:rPr>
        <w:t xml:space="preserve"> </w:t>
      </w:r>
      <w:r w:rsidR="00C77C3C">
        <w:rPr>
          <w:rFonts w:ascii="Calibri" w:eastAsia="Calibri" w:hAnsi="Calibri" w:cs="Times New Roman"/>
          <w:lang w:eastAsia="en-US"/>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E635A2">
        <w:rPr>
          <w:rFonts w:ascii="Calibri" w:eastAsia="Calibri" w:hAnsi="Calibri" w:cs="Times New Roman"/>
          <w:lang w:eastAsia="en-US"/>
        </w:rPr>
        <w:instrText xml:space="preserve"> ADDIN EN.CITE </w:instrText>
      </w:r>
      <w:r w:rsidR="00E635A2">
        <w:rPr>
          <w:rFonts w:ascii="Calibri" w:eastAsia="Calibri" w:hAnsi="Calibri" w:cs="Times New Roman"/>
          <w:lang w:eastAsia="en-US"/>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E635A2">
        <w:rPr>
          <w:rFonts w:ascii="Calibri" w:eastAsia="Calibri" w:hAnsi="Calibri" w:cs="Times New Roman"/>
          <w:lang w:eastAsia="en-US"/>
        </w:rPr>
        <w:instrText xml:space="preserve"> ADDIN EN.CITE.DATA </w:instrText>
      </w:r>
      <w:r w:rsidR="00E635A2">
        <w:rPr>
          <w:rFonts w:ascii="Calibri" w:eastAsia="Calibri" w:hAnsi="Calibri" w:cs="Times New Roman"/>
          <w:lang w:eastAsia="en-US"/>
        </w:rPr>
      </w:r>
      <w:r w:rsidR="00E635A2">
        <w:rPr>
          <w:rFonts w:ascii="Calibri" w:eastAsia="Calibri" w:hAnsi="Calibri" w:cs="Times New Roman"/>
          <w:lang w:eastAsia="en-US"/>
        </w:rPr>
        <w:fldChar w:fldCharType="end"/>
      </w:r>
      <w:r w:rsidR="00C77C3C">
        <w:rPr>
          <w:rFonts w:ascii="Calibri" w:eastAsia="Calibri" w:hAnsi="Calibri" w:cs="Times New Roman"/>
          <w:lang w:eastAsia="en-US"/>
        </w:rPr>
      </w:r>
      <w:r w:rsidR="00C77C3C">
        <w:rPr>
          <w:rFonts w:ascii="Calibri" w:eastAsia="Calibri" w:hAnsi="Calibri" w:cs="Times New Roman"/>
          <w:lang w:eastAsia="en-US"/>
        </w:rPr>
        <w:fldChar w:fldCharType="separate"/>
      </w:r>
      <w:r w:rsidR="00E635A2">
        <w:rPr>
          <w:rFonts w:ascii="Calibri" w:eastAsia="Calibri" w:hAnsi="Calibri" w:cs="Times New Roman"/>
          <w:noProof/>
          <w:lang w:eastAsia="en-US"/>
        </w:rPr>
        <w:t>(</w:t>
      </w:r>
      <w:hyperlink w:anchor="_ENREF_9" w:tooltip="Brodie, 2008 #1147" w:history="1">
        <w:r w:rsidR="00D23C68">
          <w:rPr>
            <w:rFonts w:ascii="Calibri" w:eastAsia="Calibri" w:hAnsi="Calibri" w:cs="Times New Roman"/>
            <w:noProof/>
            <w:lang w:eastAsia="en-US"/>
          </w:rPr>
          <w:t>Brodie et al., 2008</w:t>
        </w:r>
      </w:hyperlink>
      <w:r w:rsidR="00E635A2">
        <w:rPr>
          <w:rFonts w:ascii="Calibri" w:eastAsia="Calibri" w:hAnsi="Calibri" w:cs="Times New Roman"/>
          <w:noProof/>
          <w:lang w:eastAsia="en-US"/>
        </w:rPr>
        <w:t xml:space="preserve">; </w:t>
      </w:r>
      <w:hyperlink w:anchor="_ENREF_10" w:tooltip="Brodie, 2014 #1045" w:history="1">
        <w:r w:rsidR="00D23C68">
          <w:rPr>
            <w:rFonts w:ascii="Calibri" w:eastAsia="Calibri" w:hAnsi="Calibri" w:cs="Times New Roman"/>
            <w:noProof/>
            <w:lang w:eastAsia="en-US"/>
          </w:rPr>
          <w:t>Brodie et al., 2014</w:t>
        </w:r>
      </w:hyperlink>
      <w:r w:rsidR="00E635A2">
        <w:rPr>
          <w:rFonts w:ascii="Calibri" w:eastAsia="Calibri" w:hAnsi="Calibri" w:cs="Times New Roman"/>
          <w:noProof/>
          <w:lang w:eastAsia="en-US"/>
        </w:rPr>
        <w:t xml:space="preserve">; </w:t>
      </w:r>
      <w:hyperlink w:anchor="_ENREF_11" w:tooltip="Brodie, 2012 #1148" w:history="1">
        <w:r w:rsidR="00D23C68">
          <w:rPr>
            <w:rFonts w:ascii="Calibri" w:eastAsia="Calibri" w:hAnsi="Calibri" w:cs="Times New Roman"/>
            <w:noProof/>
            <w:lang w:eastAsia="en-US"/>
          </w:rPr>
          <w:t>Brodie et al., 2012</w:t>
        </w:r>
      </w:hyperlink>
      <w:r w:rsidR="00E635A2">
        <w:rPr>
          <w:rFonts w:ascii="Calibri" w:eastAsia="Calibri" w:hAnsi="Calibri" w:cs="Times New Roman"/>
          <w:noProof/>
          <w:lang w:eastAsia="en-US"/>
        </w:rPr>
        <w:t xml:space="preserve">; </w:t>
      </w:r>
      <w:hyperlink w:anchor="_ENREF_13" w:tooltip="Brodie, 2012 #1150" w:history="1">
        <w:r w:rsidR="00D23C68">
          <w:rPr>
            <w:rFonts w:ascii="Calibri" w:eastAsia="Calibri" w:hAnsi="Calibri" w:cs="Times New Roman"/>
            <w:noProof/>
            <w:lang w:eastAsia="en-US"/>
          </w:rPr>
          <w:t>Brodie and Waterhouse, 2012</w:t>
        </w:r>
      </w:hyperlink>
      <w:r w:rsidR="00E635A2">
        <w:rPr>
          <w:rFonts w:ascii="Calibri" w:eastAsia="Calibri" w:hAnsi="Calibri" w:cs="Times New Roman"/>
          <w:noProof/>
          <w:lang w:eastAsia="en-US"/>
        </w:rPr>
        <w:t xml:space="preserve">; </w:t>
      </w:r>
      <w:hyperlink w:anchor="_ENREF_23" w:tooltip="Joo, 2012 #1144" w:history="1">
        <w:r w:rsidR="00D23C68">
          <w:rPr>
            <w:rFonts w:ascii="Calibri" w:eastAsia="Calibri" w:hAnsi="Calibri" w:cs="Times New Roman"/>
            <w:noProof/>
            <w:lang w:eastAsia="en-US"/>
          </w:rPr>
          <w:t>Joo et al., 2012</w:t>
        </w:r>
      </w:hyperlink>
      <w:r w:rsidR="00E635A2">
        <w:rPr>
          <w:rFonts w:ascii="Calibri" w:eastAsia="Calibri" w:hAnsi="Calibri" w:cs="Times New Roman"/>
          <w:noProof/>
          <w:lang w:eastAsia="en-US"/>
        </w:rPr>
        <w:t xml:space="preserve">; </w:t>
      </w:r>
      <w:hyperlink w:anchor="_ENREF_25" w:tooltip="Kroon, 2012 #625" w:history="1">
        <w:r w:rsidR="00D23C68">
          <w:rPr>
            <w:rFonts w:ascii="Calibri" w:eastAsia="Calibri" w:hAnsi="Calibri" w:cs="Times New Roman"/>
            <w:noProof/>
            <w:lang w:eastAsia="en-US"/>
          </w:rPr>
          <w:t>Kroon, 2012</w:t>
        </w:r>
      </w:hyperlink>
      <w:r w:rsidR="00E635A2">
        <w:rPr>
          <w:rFonts w:ascii="Calibri" w:eastAsia="Calibri" w:hAnsi="Calibri" w:cs="Times New Roman"/>
          <w:noProof/>
          <w:lang w:eastAsia="en-US"/>
        </w:rPr>
        <w:t xml:space="preserve">; </w:t>
      </w:r>
      <w:hyperlink w:anchor="_ENREF_27" w:tooltip="Maughan, 2009 #1151" w:history="1">
        <w:r w:rsidR="00D23C68">
          <w:rPr>
            <w:rFonts w:ascii="Calibri" w:eastAsia="Calibri" w:hAnsi="Calibri" w:cs="Times New Roman"/>
            <w:noProof/>
            <w:lang w:eastAsia="en-US"/>
          </w:rPr>
          <w:t>Maughan and Brodie, 2009</w:t>
        </w:r>
      </w:hyperlink>
      <w:r w:rsidR="00E635A2">
        <w:rPr>
          <w:rFonts w:ascii="Calibri" w:eastAsia="Calibri" w:hAnsi="Calibri" w:cs="Times New Roman"/>
          <w:noProof/>
          <w:lang w:eastAsia="en-US"/>
        </w:rPr>
        <w:t xml:space="preserve">; </w:t>
      </w:r>
      <w:hyperlink w:anchor="_ENREF_34" w:tooltip="Waterhouse, 2012 #1143" w:history="1">
        <w:r w:rsidR="00D23C68">
          <w:rPr>
            <w:rFonts w:ascii="Calibri" w:eastAsia="Calibri" w:hAnsi="Calibri" w:cs="Times New Roman"/>
            <w:noProof/>
            <w:lang w:eastAsia="en-US"/>
          </w:rPr>
          <w:t>Waterhouse et al., 2012</w:t>
        </w:r>
      </w:hyperlink>
      <w:r w:rsidR="00E635A2">
        <w:rPr>
          <w:rFonts w:ascii="Calibri" w:eastAsia="Calibri" w:hAnsi="Calibri" w:cs="Times New Roman"/>
          <w:noProof/>
          <w:lang w:eastAsia="en-US"/>
        </w:rPr>
        <w:t>)</w:t>
      </w:r>
      <w:r w:rsidR="00C77C3C">
        <w:rPr>
          <w:rFonts w:ascii="Calibri" w:eastAsia="Calibri" w:hAnsi="Calibri" w:cs="Times New Roman"/>
          <w:lang w:eastAsia="en-US"/>
        </w:rPr>
        <w:fldChar w:fldCharType="end"/>
      </w:r>
      <w:r w:rsidR="00C77C3C">
        <w:rPr>
          <w:rFonts w:ascii="Calibri" w:eastAsia="Calibri" w:hAnsi="Calibri" w:cs="Times New Roman"/>
          <w:lang w:eastAsia="en-US"/>
        </w:rPr>
        <w:t>.</w:t>
      </w:r>
      <w:r w:rsidRPr="00EE42C6">
        <w:rPr>
          <w:rFonts w:ascii="Calibri" w:eastAsia="Calibri" w:hAnsi="Calibri" w:cs="Times New Roman"/>
          <w:lang w:eastAsia="en-US"/>
        </w:rPr>
        <w:t xml:space="preserve"> </w:t>
      </w:r>
    </w:p>
    <w:p w14:paraId="0C3F7DF4" w14:textId="77777777" w:rsidR="008D3A01" w:rsidRPr="003148EE" w:rsidRDefault="00C77C3C" w:rsidP="00A76577">
      <w:pPr>
        <w:pStyle w:val="Heading2"/>
        <w:keepNext/>
        <w:numPr>
          <w:ilvl w:val="1"/>
          <w:numId w:val="3"/>
        </w:numPr>
        <w:spacing w:line="80" w:lineRule="atLeast"/>
      </w:pPr>
      <w:bookmarkStart w:id="39" w:name="_Toc434207984"/>
      <w:bookmarkEnd w:id="34"/>
      <w:bookmarkEnd w:id="35"/>
      <w:r>
        <w:t>Sampling design</w:t>
      </w:r>
      <w:bookmarkEnd w:id="39"/>
    </w:p>
    <w:p w14:paraId="0C3F7DF5" w14:textId="77777777" w:rsidR="00C77C3C" w:rsidRPr="00C77C3C" w:rsidRDefault="00C77C3C" w:rsidP="00C77C3C">
      <w:pPr>
        <w:rPr>
          <w:rFonts w:eastAsia="Calibri"/>
          <w:lang w:eastAsia="en-US"/>
        </w:rPr>
      </w:pPr>
      <w:r w:rsidRPr="00C77C3C">
        <w:rPr>
          <w:rFonts w:eastAsia="Calibri"/>
          <w:lang w:eastAsia="en-US"/>
        </w:rPr>
        <w:t xml:space="preserve">The three main facets of the marine flood plume monitoring program </w:t>
      </w:r>
      <w:r>
        <w:rPr>
          <w:rFonts w:eastAsia="Calibri"/>
          <w:lang w:eastAsia="en-US"/>
        </w:rPr>
        <w:t>are in</w:t>
      </w:r>
      <w:r w:rsidRPr="00C77C3C">
        <w:rPr>
          <w:rFonts w:eastAsia="Calibri"/>
          <w:i/>
          <w:lang w:eastAsia="en-US"/>
        </w:rPr>
        <w:t>-situ</w:t>
      </w:r>
      <w:r>
        <w:rPr>
          <w:rFonts w:eastAsia="Calibri"/>
          <w:lang w:eastAsia="en-US"/>
        </w:rPr>
        <w:t xml:space="preserve"> data, collected in </w:t>
      </w:r>
      <w:r w:rsidRPr="00C77C3C">
        <w:rPr>
          <w:rFonts w:eastAsia="Calibri"/>
        </w:rPr>
        <w:t>the field through the wet season, remote</w:t>
      </w:r>
      <w:r w:rsidR="00E47248">
        <w:rPr>
          <w:rFonts w:eastAsia="Calibri"/>
        </w:rPr>
        <w:t>ly</w:t>
      </w:r>
      <w:r w:rsidRPr="00C77C3C">
        <w:rPr>
          <w:rFonts w:eastAsia="Calibri"/>
        </w:rPr>
        <w:t xml:space="preserve"> sensed data, and integration of </w:t>
      </w:r>
      <w:r w:rsidR="00E47248">
        <w:rPr>
          <w:rFonts w:eastAsia="Calibri"/>
        </w:rPr>
        <w:t xml:space="preserve">both </w:t>
      </w:r>
      <w:r w:rsidRPr="00C77C3C">
        <w:rPr>
          <w:rFonts w:eastAsia="Calibri"/>
        </w:rPr>
        <w:t xml:space="preserve">in-situ and remote sensed data.  Data from the flood monitoring feeds into the validation of existing models and the development of regionally based remote sensing algorithms </w:t>
      </w:r>
      <w:r w:rsidRPr="00C77C3C">
        <w:rPr>
          <w:rFonts w:eastAsia="Calibri"/>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D23C68">
        <w:rPr>
          <w:rFonts w:eastAsia="Calibri"/>
        </w:rPr>
        <w:instrText xml:space="preserve"> ADDIN EN.CITE </w:instrText>
      </w:r>
      <w:r w:rsidR="00D23C68">
        <w:rPr>
          <w:rFonts w:eastAsia="Calibri"/>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D23C68">
        <w:rPr>
          <w:rFonts w:eastAsia="Calibri"/>
        </w:rPr>
        <w:instrText xml:space="preserve"> ADDIN EN.CITE.DATA </w:instrText>
      </w:r>
      <w:r w:rsidR="00D23C68">
        <w:rPr>
          <w:rFonts w:eastAsia="Calibri"/>
        </w:rPr>
      </w:r>
      <w:r w:rsidR="00D23C68">
        <w:rPr>
          <w:rFonts w:eastAsia="Calibri"/>
        </w:rPr>
        <w:fldChar w:fldCharType="end"/>
      </w:r>
      <w:r w:rsidRPr="00C77C3C">
        <w:rPr>
          <w:rFonts w:eastAsia="Calibri"/>
        </w:rPr>
      </w:r>
      <w:r w:rsidRPr="00C77C3C">
        <w:rPr>
          <w:rFonts w:eastAsia="Calibri"/>
        </w:rPr>
        <w:fldChar w:fldCharType="separate"/>
      </w:r>
      <w:r w:rsidRPr="00C77C3C">
        <w:rPr>
          <w:rFonts w:eastAsia="Calibri"/>
          <w:noProof/>
        </w:rPr>
        <w:t>(</w:t>
      </w:r>
      <w:hyperlink w:anchor="_ENREF_5" w:tooltip="Brando, 2008 #1027" w:history="1">
        <w:r w:rsidR="00D23C68" w:rsidRPr="00C77C3C">
          <w:rPr>
            <w:rFonts w:eastAsia="Calibri"/>
            <w:noProof/>
          </w:rPr>
          <w:t>Brando et al., 2008</w:t>
        </w:r>
      </w:hyperlink>
      <w:r w:rsidRPr="00C77C3C">
        <w:rPr>
          <w:rFonts w:eastAsia="Calibri"/>
          <w:noProof/>
        </w:rPr>
        <w:t xml:space="preserve">; </w:t>
      </w:r>
      <w:hyperlink w:anchor="_ENREF_7" w:tooltip="Brando, 2010 #1028" w:history="1">
        <w:r w:rsidR="00D23C68" w:rsidRPr="00C77C3C">
          <w:rPr>
            <w:rFonts w:eastAsia="Calibri"/>
            <w:noProof/>
          </w:rPr>
          <w:t>Brando et al., 2010b</w:t>
        </w:r>
      </w:hyperlink>
      <w:r w:rsidRPr="00C77C3C">
        <w:rPr>
          <w:rFonts w:eastAsia="Calibri"/>
          <w:noProof/>
        </w:rPr>
        <w:t xml:space="preserve">; </w:t>
      </w:r>
      <w:hyperlink w:anchor="_ENREF_8" w:tooltip="Brando, 2009 #1019" w:history="1">
        <w:r w:rsidR="00D23C68" w:rsidRPr="00C77C3C">
          <w:rPr>
            <w:rFonts w:eastAsia="Calibri"/>
            <w:noProof/>
          </w:rPr>
          <w:t>Brando et al., 2009</w:t>
        </w:r>
      </w:hyperlink>
      <w:r w:rsidRPr="00C77C3C">
        <w:rPr>
          <w:rFonts w:eastAsia="Calibri"/>
          <w:noProof/>
        </w:rPr>
        <w:t>)</w:t>
      </w:r>
      <w:r w:rsidRPr="00C77C3C">
        <w:rPr>
          <w:rFonts w:eastAsia="Calibri"/>
        </w:rPr>
        <w:fldChar w:fldCharType="end"/>
      </w:r>
      <w:r w:rsidRPr="00C77C3C">
        <w:rPr>
          <w:rFonts w:eastAsia="Calibri"/>
        </w:rPr>
        <w:t>. Water quality collected in flood plume waters is targeted at measuring the conditions during first flush and high flow event situations to identify the duration and extent of altered water quality cond</w:t>
      </w:r>
      <w:r w:rsidR="00482CB4">
        <w:rPr>
          <w:rFonts w:eastAsia="Calibri"/>
        </w:rPr>
        <w:t>itions (</w:t>
      </w:r>
      <w:r w:rsidR="00482CB4">
        <w:rPr>
          <w:rFonts w:eastAsia="Calibri"/>
        </w:rPr>
        <w:fldChar w:fldCharType="begin"/>
      </w:r>
      <w:r w:rsidR="00482CB4">
        <w:rPr>
          <w:rFonts w:eastAsia="Calibri"/>
        </w:rPr>
        <w:instrText xml:space="preserve"> REF _Ref428870495 \h </w:instrText>
      </w:r>
      <w:r w:rsidR="00482CB4">
        <w:rPr>
          <w:rFonts w:eastAsia="Calibri"/>
        </w:rPr>
      </w:r>
      <w:r w:rsidR="00482CB4">
        <w:rPr>
          <w:rFonts w:eastAsia="Calibri"/>
        </w:rPr>
        <w:fldChar w:fldCharType="separate"/>
      </w:r>
      <w:r w:rsidR="00B62B50">
        <w:t xml:space="preserve">Table </w:t>
      </w:r>
      <w:r w:rsidR="00B62B50">
        <w:rPr>
          <w:noProof/>
        </w:rPr>
        <w:t>2</w:t>
      </w:r>
      <w:r w:rsidR="00B62B50">
        <w:noBreakHyphen/>
      </w:r>
      <w:r w:rsidR="00B62B50">
        <w:rPr>
          <w:noProof/>
        </w:rPr>
        <w:t>1</w:t>
      </w:r>
      <w:r w:rsidR="00482CB4">
        <w:rPr>
          <w:rFonts w:eastAsia="Calibri"/>
        </w:rPr>
        <w:fldChar w:fldCharType="end"/>
      </w:r>
      <w:r w:rsidR="00482CB4">
        <w:rPr>
          <w:rFonts w:eastAsia="Calibri"/>
        </w:rPr>
        <w:t xml:space="preserve">). </w:t>
      </w:r>
      <w:r w:rsidRPr="00C77C3C">
        <w:rPr>
          <w:rFonts w:eastAsia="Calibri"/>
        </w:rPr>
        <w:t>Data collected</w:t>
      </w:r>
      <w:r w:rsidRPr="00C77C3C">
        <w:rPr>
          <w:rFonts w:eastAsia="Calibri"/>
          <w:lang w:eastAsia="en-US"/>
        </w:rPr>
        <w:t xml:space="preserve"> under the MMP </w:t>
      </w:r>
      <w:r w:rsidR="00482CB4">
        <w:rPr>
          <w:rFonts w:eastAsia="Calibri"/>
          <w:lang w:eastAsia="en-US"/>
        </w:rPr>
        <w:t>is also being tested for the improvement of the P2R water quality metric and</w:t>
      </w:r>
      <w:r w:rsidRPr="00C77C3C">
        <w:rPr>
          <w:rFonts w:eastAsia="Calibri"/>
          <w:lang w:eastAsia="en-US"/>
        </w:rPr>
        <w:t xml:space="preserve"> ongoing P2R program reporting. </w:t>
      </w:r>
    </w:p>
    <w:p w14:paraId="0C3F7DF6" w14:textId="77777777" w:rsidR="00C77C3C" w:rsidRDefault="00482CB4" w:rsidP="00482CB4">
      <w:pPr>
        <w:pStyle w:val="Caption"/>
      </w:pPr>
      <w:bookmarkStart w:id="40" w:name="_Ref428870495"/>
      <w:bookmarkStart w:id="41" w:name="_Ref428870472"/>
      <w:bookmarkStart w:id="42" w:name="_Toc434208065"/>
      <w:r>
        <w:t xml:space="preserve">Table </w:t>
      </w:r>
      <w:r w:rsidR="00AE4287">
        <w:fldChar w:fldCharType="begin"/>
      </w:r>
      <w:r w:rsidR="00AE4287">
        <w:instrText xml:space="preserve"> STYLEREF 1 \s </w:instrText>
      </w:r>
      <w:r w:rsidR="00AE4287">
        <w:fldChar w:fldCharType="separate"/>
      </w:r>
      <w:r w:rsidR="00B62B50">
        <w:rPr>
          <w:noProof/>
        </w:rPr>
        <w:t>2</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1</w:t>
      </w:r>
      <w:r w:rsidR="00AE4287">
        <w:fldChar w:fldCharType="end"/>
      </w:r>
      <w:bookmarkEnd w:id="40"/>
      <w:r>
        <w:t xml:space="preserve">: </w:t>
      </w:r>
      <w:r w:rsidR="00C77C3C">
        <w:t>Description of outputs related to the aims of the MMP wet season monitoring program.</w:t>
      </w:r>
      <w:bookmarkEnd w:id="41"/>
      <w:bookmarkEnd w:id="42"/>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Caption w:val="Description of outputs related to the aims of the MMP wet season monitoring program."/>
        <w:tblDescription w:val="Description of outputs related to the aims of the MMP wet season monitoring program."/>
      </w:tblPr>
      <w:tblGrid>
        <w:gridCol w:w="2718"/>
        <w:gridCol w:w="6390"/>
      </w:tblGrid>
      <w:tr w:rsidR="00C77C3C" w:rsidRPr="00482CB4" w14:paraId="0C3F7DF9" w14:textId="77777777" w:rsidTr="00482CB4">
        <w:tc>
          <w:tcPr>
            <w:tcW w:w="2718" w:type="dxa"/>
          </w:tcPr>
          <w:p w14:paraId="0C3F7DF7" w14:textId="77777777" w:rsidR="00C77C3C" w:rsidRPr="00482CB4" w:rsidRDefault="00C77C3C" w:rsidP="00C77C3C">
            <w:pPr>
              <w:rPr>
                <w:rStyle w:val="BookTitle"/>
                <w:b/>
              </w:rPr>
            </w:pPr>
            <w:r w:rsidRPr="00482CB4">
              <w:rPr>
                <w:rStyle w:val="BookTitle"/>
                <w:b/>
              </w:rPr>
              <w:t>Aim</w:t>
            </w:r>
          </w:p>
        </w:tc>
        <w:tc>
          <w:tcPr>
            <w:tcW w:w="6390" w:type="dxa"/>
          </w:tcPr>
          <w:p w14:paraId="0C3F7DF8" w14:textId="77777777" w:rsidR="00C77C3C" w:rsidRPr="00482CB4" w:rsidRDefault="00C77C3C" w:rsidP="00C77C3C">
            <w:pPr>
              <w:rPr>
                <w:rStyle w:val="BookTitle"/>
                <w:b/>
              </w:rPr>
            </w:pPr>
            <w:r w:rsidRPr="00482CB4">
              <w:rPr>
                <w:rStyle w:val="BookTitle"/>
                <w:b/>
              </w:rPr>
              <w:t>Description</w:t>
            </w:r>
          </w:p>
        </w:tc>
      </w:tr>
      <w:tr w:rsidR="00C77C3C" w:rsidRPr="00482CB4" w14:paraId="0C3F7DFC" w14:textId="77777777" w:rsidTr="00482CB4">
        <w:tc>
          <w:tcPr>
            <w:tcW w:w="2718" w:type="dxa"/>
          </w:tcPr>
          <w:p w14:paraId="0C3F7DFA" w14:textId="77777777" w:rsidR="00C77C3C" w:rsidRPr="00482CB4" w:rsidRDefault="00C77C3C" w:rsidP="00C77C3C">
            <w:pPr>
              <w:rPr>
                <w:rStyle w:val="BookTitle"/>
              </w:rPr>
            </w:pPr>
            <w:r w:rsidRPr="00482CB4">
              <w:rPr>
                <w:rStyle w:val="BookTitle"/>
              </w:rPr>
              <w:t>Assessment of the transport and processing of nutrients, suspended sediment and pesticides</w:t>
            </w:r>
          </w:p>
        </w:tc>
        <w:tc>
          <w:tcPr>
            <w:tcW w:w="6390" w:type="dxa"/>
          </w:tcPr>
          <w:p w14:paraId="0C3F7DFB" w14:textId="77777777" w:rsidR="00C77C3C" w:rsidRPr="00482CB4" w:rsidRDefault="00C77C3C" w:rsidP="00C77C3C">
            <w:pPr>
              <w:rPr>
                <w:rStyle w:val="BookTitle"/>
              </w:rPr>
            </w:pPr>
            <w:r w:rsidRPr="00482CB4">
              <w:rPr>
                <w:rStyle w:val="BookTitle"/>
              </w:rPr>
              <w:t>Delivered through water quality monitoring in flood plumes. Measurement of water quality parameters presented against salinity gradients for each catchment and each event to describe the movement and transport of water quality parameters.</w:t>
            </w:r>
          </w:p>
        </w:tc>
      </w:tr>
      <w:tr w:rsidR="00C77C3C" w:rsidRPr="00482CB4" w14:paraId="0C3F7DFF" w14:textId="77777777" w:rsidTr="00482CB4">
        <w:tc>
          <w:tcPr>
            <w:tcW w:w="2718" w:type="dxa"/>
          </w:tcPr>
          <w:p w14:paraId="0C3F7DFD" w14:textId="77777777" w:rsidR="00C77C3C" w:rsidRPr="00482CB4" w:rsidRDefault="00C77C3C" w:rsidP="00C77C3C">
            <w:pPr>
              <w:rPr>
                <w:rStyle w:val="BookTitle"/>
              </w:rPr>
            </w:pPr>
            <w:r w:rsidRPr="00482CB4">
              <w:rPr>
                <w:rStyle w:val="BookTitle"/>
              </w:rPr>
              <w:t>Estimation of the extent and exposure of flood plumes to reefs and seagrass beds related to prevailing weather and catchment conditions</w:t>
            </w:r>
          </w:p>
        </w:tc>
        <w:tc>
          <w:tcPr>
            <w:tcW w:w="6390" w:type="dxa"/>
          </w:tcPr>
          <w:p w14:paraId="0C3F7DFE" w14:textId="77777777" w:rsidR="00C77C3C" w:rsidRPr="00482CB4" w:rsidRDefault="00C77C3C" w:rsidP="00C77C3C">
            <w:pPr>
              <w:rPr>
                <w:rStyle w:val="BookTitle"/>
              </w:rPr>
            </w:pPr>
            <w:r w:rsidRPr="00482CB4">
              <w:rPr>
                <w:rStyle w:val="BookTitle"/>
              </w:rPr>
              <w:t>Delivered through spatial mapping of plume extent and frequency. Information acquired from remote sensing products including true colour processing of plume waters and the application of water quality algorithms (</w:t>
            </w:r>
            <w:r w:rsidR="00D23397">
              <w:rPr>
                <w:rStyle w:val="BookTitle"/>
              </w:rPr>
              <w:t>chlorophyll</w:t>
            </w:r>
            <w:r w:rsidRPr="00482CB4">
              <w:rPr>
                <w:rStyle w:val="BookTitle"/>
              </w:rPr>
              <w:t>-a, CDOM and TSS). Catchment runoff events involve space scales ranging from hundreds of metres to kilometres and time scales from hours to weeks, thus the use of remote sensing products at appropriate time and space scales is useful as a key indicators of cause and effect.</w:t>
            </w:r>
          </w:p>
        </w:tc>
      </w:tr>
      <w:tr w:rsidR="00C77C3C" w:rsidRPr="00482CB4" w14:paraId="0C3F7E03" w14:textId="77777777" w:rsidTr="00482CB4">
        <w:tc>
          <w:tcPr>
            <w:tcW w:w="2718" w:type="dxa"/>
          </w:tcPr>
          <w:p w14:paraId="0C3F7E00" w14:textId="77777777" w:rsidR="00C77C3C" w:rsidRPr="00D23397" w:rsidRDefault="00C77C3C" w:rsidP="00C77C3C">
            <w:pPr>
              <w:rPr>
                <w:rStyle w:val="BookTitle"/>
              </w:rPr>
            </w:pPr>
            <w:r w:rsidRPr="00D23397">
              <w:rPr>
                <w:rStyle w:val="BookTitle"/>
              </w:rPr>
              <w:t>Incorporation and synthesis of monitoring data into GBR wide understanding of anthropogenic water quality conditions, water models, the MMP and Paddock to Reef reporting.</w:t>
            </w:r>
          </w:p>
        </w:tc>
        <w:tc>
          <w:tcPr>
            <w:tcW w:w="6390" w:type="dxa"/>
          </w:tcPr>
          <w:p w14:paraId="0C3F7E01" w14:textId="77777777" w:rsidR="00C77C3C" w:rsidRPr="00D23397" w:rsidRDefault="00C77C3C" w:rsidP="00C77C3C">
            <w:pPr>
              <w:rPr>
                <w:rStyle w:val="BookTitle"/>
              </w:rPr>
            </w:pPr>
            <w:r w:rsidRPr="001850F0">
              <w:rPr>
                <w:rStyle w:val="BookTitle"/>
              </w:rPr>
              <w:t xml:space="preserve">Synthesis and reporting of flood plume water quality data and exposure mapping into the MMP. Further work on the integration and reporting of water quality data collected under this sub-program and the long-term water quality sub-program is currently being investigated by JCU, CSIRO and AIMS researchers through </w:t>
            </w:r>
            <w:r w:rsidR="007E5BBF">
              <w:rPr>
                <w:rStyle w:val="BookTitle"/>
              </w:rPr>
              <w:t>Australian Government Reef programme</w:t>
            </w:r>
            <w:r w:rsidRPr="001850F0">
              <w:rPr>
                <w:rStyle w:val="BookTitle"/>
              </w:rPr>
              <w:t xml:space="preserve"> R&amp;D funding (see </w:t>
            </w:r>
            <w:hyperlink r:id="rId32" w:tooltip="more information" w:history="1">
              <w:r w:rsidRPr="00D23397">
                <w:rPr>
                  <w:rStyle w:val="BookTitle"/>
                </w:rPr>
                <w:t>http://www.rrrc.org.au/reefrescue/index.html</w:t>
              </w:r>
            </w:hyperlink>
            <w:r w:rsidRPr="00D23397">
              <w:rPr>
                <w:rStyle w:val="BookTitle"/>
              </w:rPr>
              <w:t xml:space="preserve">). </w:t>
            </w:r>
          </w:p>
          <w:p w14:paraId="0C3F7E02" w14:textId="77777777" w:rsidR="00C77C3C" w:rsidRPr="00D23397" w:rsidRDefault="00C77C3C" w:rsidP="00C77C3C">
            <w:pPr>
              <w:rPr>
                <w:rStyle w:val="BookTitle"/>
              </w:rPr>
            </w:pPr>
          </w:p>
        </w:tc>
      </w:tr>
    </w:tbl>
    <w:p w14:paraId="0C3F7E04" w14:textId="77777777" w:rsidR="00482CB4" w:rsidRPr="00C77C3C" w:rsidRDefault="00482CB4" w:rsidP="00482CB4">
      <w:pPr>
        <w:rPr>
          <w:rFonts w:eastAsia="Calibri"/>
          <w:lang w:eastAsia="en-US"/>
        </w:rPr>
      </w:pPr>
      <w:r w:rsidRPr="00C77C3C">
        <w:rPr>
          <w:rFonts w:eastAsia="Calibri"/>
          <w:lang w:eastAsia="en-US"/>
        </w:rPr>
        <w:t xml:space="preserve">The priority catchments targeted for intensive sampling were chosen based on risk as reported in </w:t>
      </w:r>
      <w:r w:rsidRPr="00C77C3C">
        <w:rPr>
          <w:rFonts w:eastAsia="Calibri"/>
          <w:lang w:eastAsia="en-US"/>
        </w:rPr>
        <w:fldChar w:fldCharType="begin"/>
      </w:r>
      <w:r w:rsidR="00E635A2">
        <w:rPr>
          <w:rFonts w:eastAsia="Calibri"/>
          <w:lang w:eastAsia="en-US"/>
        </w:rPr>
        <w:instrText xml:space="preserve"> ADDIN EN.CITE &lt;EndNote&gt;&lt;Cite&gt;&lt;Author&gt;Brodie&lt;/Author&gt;&lt;Year&gt;2014&lt;/Year&gt;&lt;RecNum&gt;1045&lt;/RecNum&gt;&lt;DisplayText&gt;(Brodie et al., 2014)&lt;/DisplayText&gt;&lt;record&gt;&lt;rec-number&gt;1045&lt;/rec-number&gt;&lt;foreign-keys&gt;&lt;key app="EN" db-id="wwzpfssaux292keptesxd5t6srsfvpzsde2p"&gt;1045&lt;/key&gt;&lt;/foreign-keys&gt;&lt;ref-type name="Journal Article"&gt;17&lt;/ref-type&gt;&lt;contributors&gt;&lt;authors&gt;&lt;author&gt;Brodie, J&lt;/author&gt;&lt;author&gt;Burford, M&lt;/author&gt;&lt;author&gt;Davis, A&lt;/author&gt;&lt;author&gt;da Silva, E&lt;/author&gt;&lt;author&gt;Devlin, M&lt;/author&gt;&lt;author&gt;Furnas, M&lt;/author&gt;&lt;author&gt;Kroon, F&lt;/author&gt;&lt;author&gt;Lewis, S&lt;/author&gt;&lt;author&gt;Lønborg, C&lt;/author&gt;&lt;author&gt;O’Brien, D&lt;/author&gt;&lt;author&gt;Schaffelke, B&lt;/author&gt;&lt;/authors&gt;&lt;/contributors&gt;&lt;titles&gt;&lt;title&gt;The relative risks to water quality from particulate nitrogen discharged from rivers to the Great Barrier Reef in comparison to other forms of nitrogen. &lt;/title&gt;&lt;/titles&gt;&lt;pages&gt;81&lt;/pages&gt;&lt;volume&gt;TropWATER Report 14/31. October 2014&lt;/volume&gt;&lt;dates&gt;&lt;year&gt;2014&lt;/year&gt;&lt;/dates&gt;&lt;urls&gt;&lt;/urls&gt;&lt;/record&gt;&lt;/Cite&gt;&lt;/EndNote&gt;</w:instrText>
      </w:r>
      <w:r w:rsidRPr="00C77C3C">
        <w:rPr>
          <w:rFonts w:eastAsia="Calibri"/>
          <w:lang w:eastAsia="en-US"/>
        </w:rPr>
        <w:fldChar w:fldCharType="separate"/>
      </w:r>
      <w:r w:rsidR="00E635A2">
        <w:rPr>
          <w:rFonts w:eastAsia="Calibri"/>
          <w:noProof/>
          <w:lang w:eastAsia="en-US"/>
        </w:rPr>
        <w:t>(</w:t>
      </w:r>
      <w:hyperlink w:anchor="_ENREF_10" w:tooltip="Brodie, 2014 #1045" w:history="1">
        <w:r w:rsidR="00D23C68">
          <w:rPr>
            <w:rFonts w:eastAsia="Calibri"/>
            <w:noProof/>
            <w:lang w:eastAsia="en-US"/>
          </w:rPr>
          <w:t>Brodie et al., 2014</w:t>
        </w:r>
      </w:hyperlink>
      <w:r w:rsidR="00E635A2">
        <w:rPr>
          <w:rFonts w:eastAsia="Calibri"/>
          <w:noProof/>
          <w:lang w:eastAsia="en-US"/>
        </w:rPr>
        <w:t>)</w:t>
      </w:r>
      <w:r w:rsidRPr="00C77C3C">
        <w:rPr>
          <w:rFonts w:eastAsia="Calibri"/>
          <w:lang w:eastAsia="en-US"/>
        </w:rPr>
        <w:fldChar w:fldCharType="end"/>
      </w:r>
      <w:r w:rsidR="00D23397">
        <w:rPr>
          <w:rFonts w:eastAsia="Calibri"/>
          <w:lang w:eastAsia="en-US"/>
        </w:rPr>
        <w:t>.</w:t>
      </w:r>
      <w:r w:rsidRPr="00C77C3C">
        <w:rPr>
          <w:rFonts w:eastAsia="Calibri"/>
          <w:lang w:eastAsia="en-US"/>
        </w:rPr>
        <w:t xml:space="preserve"> The Tully River catchment is also the ideal location to assess the long-term effectiveness of Reef Plan as data can be collected every year as it is the wettest catchment in Australia. Repeated sampling in the Tully also adds value to the long-term data set collected in this region from 1994 to 2012 </w:t>
      </w:r>
      <w:r w:rsidRPr="00C77C3C">
        <w:rPr>
          <w:rFonts w:eastAsia="Calibri"/>
          <w:lang w:eastAsia="en-US"/>
        </w:rPr>
        <w:fldChar w:fldCharType="begin"/>
      </w:r>
      <w:r w:rsidRPr="00C77C3C">
        <w:rPr>
          <w:rFonts w:eastAsia="Calibri"/>
          <w:lang w:eastAsia="en-US"/>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Pr="00C77C3C">
        <w:rPr>
          <w:rFonts w:eastAsia="Calibri"/>
          <w:lang w:eastAsia="en-US"/>
        </w:rPr>
        <w:fldChar w:fldCharType="separate"/>
      </w:r>
      <w:r w:rsidRPr="00C77C3C">
        <w:rPr>
          <w:rFonts w:eastAsia="Calibri"/>
          <w:lang w:eastAsia="en-US"/>
        </w:rPr>
        <w:t>(</w:t>
      </w:r>
      <w:hyperlink w:anchor="_ENREF_15" w:tooltip="Devlin, 2009 #907" w:history="1">
        <w:r w:rsidR="00D23C68" w:rsidRPr="00C77C3C">
          <w:rPr>
            <w:rFonts w:eastAsia="Calibri"/>
            <w:lang w:eastAsia="en-US"/>
          </w:rPr>
          <w:t>Devlin and Schaffelke, 2009</w:t>
        </w:r>
      </w:hyperlink>
      <w:r w:rsidRPr="00C77C3C">
        <w:rPr>
          <w:rFonts w:eastAsia="Calibri"/>
          <w:lang w:eastAsia="en-US"/>
        </w:rPr>
        <w:t>)</w:t>
      </w:r>
      <w:r w:rsidRPr="00C77C3C">
        <w:rPr>
          <w:rFonts w:eastAsia="Calibri"/>
          <w:lang w:eastAsia="en-US"/>
        </w:rPr>
        <w:fldChar w:fldCharType="end"/>
      </w:r>
      <w:r w:rsidRPr="00C77C3C">
        <w:rPr>
          <w:rFonts w:eastAsia="Calibri"/>
          <w:lang w:eastAsia="en-US"/>
        </w:rPr>
        <w:t xml:space="preserve">. The wet season in 2012-13, as with 2010-11, </w:t>
      </w:r>
      <w:r w:rsidRPr="00C77C3C">
        <w:rPr>
          <w:rFonts w:eastAsia="Calibri"/>
          <w:lang w:eastAsia="en-US"/>
        </w:rPr>
        <w:lastRenderedPageBreak/>
        <w:t xml:space="preserve">started with onset of early flows in the Wet Tropics during October and November, and extended into April 2012. It was characterised by many smaller episodic flows but no large </w:t>
      </w:r>
      <w:r>
        <w:rPr>
          <w:rFonts w:eastAsia="Calibri"/>
          <w:lang w:eastAsia="en-US"/>
        </w:rPr>
        <w:t xml:space="preserve">flow associated with a </w:t>
      </w:r>
      <w:r w:rsidRPr="00C77C3C">
        <w:rPr>
          <w:rFonts w:eastAsia="Calibri"/>
          <w:lang w:eastAsia="en-US"/>
        </w:rPr>
        <w:t>cyclonic period. Heavy and consistent rain also continued in the Wet Tropics region later in the wet season, peaking in late March. Samples were taken from sites from the Cape York re</w:t>
      </w:r>
      <w:r>
        <w:rPr>
          <w:rFonts w:eastAsia="Calibri"/>
          <w:lang w:eastAsia="en-US"/>
        </w:rPr>
        <w:t xml:space="preserve">gion down to the Fitzroy River. </w:t>
      </w:r>
      <w:r w:rsidRPr="00C77C3C">
        <w:rPr>
          <w:rFonts w:eastAsia="Calibri"/>
          <w:lang w:eastAsia="en-US"/>
        </w:rPr>
        <w:t xml:space="preserve">This report summarises the data collected in the 2012-13 wet season and presented as part of a longe term data set collected under the MMP between </w:t>
      </w:r>
      <w:r w:rsidR="00D23397" w:rsidRPr="00C77C3C">
        <w:rPr>
          <w:rFonts w:eastAsia="Calibri"/>
          <w:lang w:eastAsia="en-US"/>
        </w:rPr>
        <w:t>200</w:t>
      </w:r>
      <w:r w:rsidR="00D23397">
        <w:rPr>
          <w:rFonts w:eastAsia="Calibri"/>
          <w:lang w:eastAsia="en-US"/>
        </w:rPr>
        <w:t>4</w:t>
      </w:r>
      <w:r w:rsidR="00D23397" w:rsidRPr="00C77C3C">
        <w:rPr>
          <w:rFonts w:eastAsia="Calibri"/>
          <w:lang w:eastAsia="en-US"/>
        </w:rPr>
        <w:t xml:space="preserve"> </w:t>
      </w:r>
      <w:r w:rsidRPr="00C77C3C">
        <w:rPr>
          <w:rFonts w:eastAsia="Calibri"/>
          <w:lang w:eastAsia="en-US"/>
        </w:rPr>
        <w:t>and 2013.</w:t>
      </w:r>
    </w:p>
    <w:p w14:paraId="0C3F7E05" w14:textId="77777777" w:rsidR="00EB332C" w:rsidRDefault="00EB332C" w:rsidP="00EB332C"/>
    <w:p w14:paraId="0C3F7E06" w14:textId="77777777" w:rsidR="00482CB4" w:rsidRPr="000054D1" w:rsidRDefault="00482CB4" w:rsidP="00EB332C">
      <w:pPr>
        <w:sectPr w:rsidR="00482CB4" w:rsidRPr="000054D1" w:rsidSect="007315EF">
          <w:headerReference w:type="default" r:id="rId33"/>
          <w:footerReference w:type="default" r:id="rId34"/>
          <w:pgSz w:w="11907" w:h="16840" w:code="9"/>
          <w:pgMar w:top="1440" w:right="1440" w:bottom="1440" w:left="1440" w:header="680" w:footer="851" w:gutter="0"/>
          <w:cols w:space="708"/>
          <w:docGrid w:linePitch="326"/>
        </w:sectPr>
      </w:pPr>
    </w:p>
    <w:p w14:paraId="0C3F7E07" w14:textId="77777777" w:rsidR="00EF30CA" w:rsidRPr="00FB5AAA" w:rsidRDefault="00482CB4" w:rsidP="00A76577">
      <w:pPr>
        <w:pStyle w:val="Heading1"/>
        <w:numPr>
          <w:ilvl w:val="0"/>
          <w:numId w:val="3"/>
        </w:numPr>
        <w:spacing w:after="240" w:line="80" w:lineRule="atLeast"/>
        <w:rPr>
          <w:caps w:val="0"/>
        </w:rPr>
      </w:pPr>
      <w:bookmarkStart w:id="43" w:name="_Toc434207985"/>
      <w:r w:rsidRPr="00FB5AAA">
        <w:rPr>
          <w:caps w:val="0"/>
        </w:rPr>
        <w:lastRenderedPageBreak/>
        <w:t>Characteristics of the 2012-2013 wet season.</w:t>
      </w:r>
      <w:bookmarkEnd w:id="43"/>
    </w:p>
    <w:p w14:paraId="0C3F7E08" w14:textId="77777777" w:rsidR="008D3A01" w:rsidRPr="003203E4" w:rsidRDefault="00482CB4" w:rsidP="00A76577">
      <w:pPr>
        <w:pStyle w:val="Heading2"/>
        <w:keepNext/>
        <w:numPr>
          <w:ilvl w:val="1"/>
          <w:numId w:val="3"/>
        </w:numPr>
        <w:spacing w:line="80" w:lineRule="atLeast"/>
      </w:pPr>
      <w:bookmarkStart w:id="44" w:name="_Toc434207986"/>
      <w:r>
        <w:t>Wet Season conditions</w:t>
      </w:r>
      <w:bookmarkEnd w:id="44"/>
    </w:p>
    <w:p w14:paraId="0C3F7E09" w14:textId="77777777" w:rsidR="00482CB4" w:rsidRPr="00482CB4" w:rsidRDefault="00482CB4" w:rsidP="00482CB4">
      <w:bookmarkStart w:id="45" w:name="_Toc416533850"/>
      <w:r w:rsidRPr="00482CB4">
        <w:t>A neutral activity, with respect to the El Niño-Southern Oscillation (ENSO) since mid-2012, promoted below average rainfall levels throughout the 2012-2013 wet season for the GBR region (</w:t>
      </w:r>
      <w:hyperlink r:id="rId35" w:tooltip="more information" w:history="1">
        <w:r w:rsidRPr="00482CB4">
          <w:rPr>
            <w:rStyle w:val="Hyperlink"/>
            <w:rFonts w:cs="Arial"/>
          </w:rPr>
          <w:t>http://www.bom.gov.au/climate/enso</w:t>
        </w:r>
      </w:hyperlink>
      <w:r w:rsidRPr="00482CB4">
        <w:t xml:space="preserve">). In this period, only two cyclones associated with low pressure system were observed in the region: Ex-tropical cyclone Oswald, that crossed Cape York Peninsula on 21 January 2013 and moved </w:t>
      </w:r>
      <w:r w:rsidRPr="00482CB4">
        <w:rPr>
          <w:bCs/>
          <w:i/>
          <w:iCs/>
        </w:rPr>
        <w:t>down</w:t>
      </w:r>
      <w:r w:rsidRPr="00482CB4">
        <w:t xml:space="preserve"> the Queensland coast, bringing strong to gale force winds, heavy rain, damaging waves and floods, and Ex-tropical cyclone Zane, that entered into the Marine Park from the Coral Sea and moved over Cape York Peninsula, affecting areas from Cape Grenville to Cooktown at the beginning of May 2013 (GBRMPA, Environmental Conditions 2012/2013, </w:t>
      </w:r>
      <w:hyperlink r:id="rId36" w:tooltip="more information" w:history="1">
        <w:r w:rsidRPr="00482CB4">
          <w:rPr>
            <w:rStyle w:val="Hyperlink"/>
            <w:rFonts w:cs="Arial"/>
          </w:rPr>
          <w:t>http://www.gbrmpa.gov.au/outlook-for-the-reef/climate-change/marine-park-management/current-conditions-on-the-great-barrier-reef</w:t>
        </w:r>
      </w:hyperlink>
      <w:r w:rsidRPr="00482CB4">
        <w:t>).</w:t>
      </w:r>
    </w:p>
    <w:p w14:paraId="0C3F7E0A" w14:textId="77777777" w:rsidR="00482CB4" w:rsidRDefault="00482CB4" w:rsidP="00482CB4">
      <w:r w:rsidRPr="00482CB4">
        <w:t xml:space="preserve">South-east Queensland and parts of the Central Coast received above average levels (50–400 mm higher than the monthly average) mainly due to the influence of ex-tropical cyclone Oswald, whereas the other areas through GBR experienced low rainfalls in the 2012-2013 wet </w:t>
      </w:r>
      <w:r>
        <w:t>season</w:t>
      </w:r>
      <w:r w:rsidRPr="00482CB4">
        <w:t xml:space="preserve">. Ex-tropical cyclone Oswald caused minor to major floods, and flood plumes, in all major river systems from south of Mackay to the Queensland–New South Wales border (GBRMPA, Environmental Conditions 2012/2013, </w:t>
      </w:r>
      <w:hyperlink r:id="rId37" w:tooltip="more information" w:history="1">
        <w:r w:rsidRPr="00482CB4">
          <w:rPr>
            <w:rStyle w:val="Hyperlink"/>
            <w:rFonts w:cs="Arial"/>
          </w:rPr>
          <w:t>http://www.gbrmpa.gov.au/outlook-for-the-reef/climate-change/marine-park-management/current-conditions-on-the-great-barrier-reef</w:t>
        </w:r>
      </w:hyperlink>
      <w:r w:rsidRPr="00482CB4">
        <w:t>).</w:t>
      </w:r>
    </w:p>
    <w:p w14:paraId="0C3F7E0B" w14:textId="77777777" w:rsidR="00482CB4" w:rsidRPr="00482CB4" w:rsidRDefault="00482CB4" w:rsidP="00482CB4">
      <w:r>
        <w:rPr>
          <w:noProof/>
        </w:rPr>
        <w:drawing>
          <wp:inline distT="0" distB="0" distL="0" distR="0" wp14:anchorId="0C3F8FB7" wp14:editId="0C3F8FB8">
            <wp:extent cx="5757062" cy="2326234"/>
            <wp:effectExtent l="0" t="0" r="0" b="0"/>
            <wp:docPr id="22" name="Picture 22" descr="Long-term total hydrological year discharge (c.a., Oct-1 to Sep-30) for the main GBR Rivers (Source: DNRM, http://watermonitoring.dnrm.qld.gov.au/host.htm)." title="Long-term total hydrological year discharge (c.a., Oct-1 to Sep-30) for the main GBR Rivers (Source: DNRM, http://watermonitoring.dnrm.qld.gov.au/host.h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 r="-22"/>
                    <a:stretch/>
                  </pic:blipFill>
                  <pic:spPr bwMode="auto">
                    <a:xfrm>
                      <a:off x="0" y="0"/>
                      <a:ext cx="5761300" cy="2327947"/>
                    </a:xfrm>
                    <a:prstGeom prst="rect">
                      <a:avLst/>
                    </a:prstGeom>
                    <a:noFill/>
                    <a:ln>
                      <a:noFill/>
                    </a:ln>
                    <a:extLst>
                      <a:ext uri="{53640926-AAD7-44D8-BBD7-CCE9431645EC}">
                        <a14:shadowObscured xmlns:a14="http://schemas.microsoft.com/office/drawing/2010/main"/>
                      </a:ext>
                    </a:extLst>
                  </pic:spPr>
                </pic:pic>
              </a:graphicData>
            </a:graphic>
          </wp:inline>
        </w:drawing>
      </w:r>
    </w:p>
    <w:p w14:paraId="0C3F7E0C" w14:textId="77777777" w:rsidR="00482CB4" w:rsidRPr="00482CB4" w:rsidRDefault="00482CB4" w:rsidP="00482CB4">
      <w:pPr>
        <w:pStyle w:val="Caption"/>
      </w:pPr>
      <w:bookmarkStart w:id="46" w:name="_Ref428870848"/>
      <w:bookmarkStart w:id="47" w:name="_Toc434208022"/>
      <w:r>
        <w:t xml:space="preserve">Figure </w:t>
      </w:r>
      <w:r w:rsidR="00D243CD">
        <w:fldChar w:fldCharType="begin"/>
      </w:r>
      <w:r w:rsidR="00D243CD">
        <w:instrText xml:space="preserve"> STYLEREF 1 \s </w:instrText>
      </w:r>
      <w:r w:rsidR="00D243CD">
        <w:fldChar w:fldCharType="separate"/>
      </w:r>
      <w:r w:rsidR="00B62B50">
        <w:rPr>
          <w:noProof/>
        </w:rPr>
        <w:t>3</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1</w:t>
      </w:r>
      <w:r w:rsidR="00D243CD">
        <w:fldChar w:fldCharType="end"/>
      </w:r>
      <w:bookmarkEnd w:id="46"/>
      <w:r>
        <w:t xml:space="preserve">: </w:t>
      </w:r>
      <w:r w:rsidRPr="00482CB4">
        <w:t xml:space="preserve">Long-term total hydrological year discharge (c.a., Oct-1 to Sep-30) for the main GBR Rivers (Source: DNRM, </w:t>
      </w:r>
      <w:hyperlink r:id="rId39" w:tooltip="more information" w:history="1">
        <w:r w:rsidRPr="00482CB4">
          <w:rPr>
            <w:rStyle w:val="Hyperlink"/>
            <w:rFonts w:cs="Arial"/>
          </w:rPr>
          <w:t>http://watermonitoring.dnrm.qld.gov.au/host.htm</w:t>
        </w:r>
      </w:hyperlink>
      <w:r w:rsidRPr="00482CB4">
        <w:t>).</w:t>
      </w:r>
      <w:bookmarkEnd w:id="47"/>
    </w:p>
    <w:p w14:paraId="0C3F7E0D" w14:textId="77777777" w:rsidR="00482CB4" w:rsidRDefault="00482CB4" w:rsidP="00482CB4">
      <w:r w:rsidRPr="00482CB4">
        <w:t>Even though the 2012-2013 wet season was not characterized by intense rainfall such as that which occurred in 2010-2011, it still had the 6</w:t>
      </w:r>
      <w:r w:rsidRPr="00482CB4">
        <w:rPr>
          <w:vertAlign w:val="superscript"/>
        </w:rPr>
        <w:t>th</w:t>
      </w:r>
      <w:r w:rsidRPr="00482CB4">
        <w:t xml:space="preserve"> largest discharge (approximately 4.3×10</w:t>
      </w:r>
      <w:r w:rsidRPr="00482CB4">
        <w:rPr>
          <w:vertAlign w:val="superscript"/>
        </w:rPr>
        <w:t>7</w:t>
      </w:r>
      <w:r w:rsidRPr="00482CB4">
        <w:t xml:space="preserve"> megalitres) for the last 13 years. This was 7% lower than 2011-2012 discharges and 40% lower than 2010-2011 discharges (</w:t>
      </w:r>
      <w:r>
        <w:fldChar w:fldCharType="begin"/>
      </w:r>
      <w:r>
        <w:instrText xml:space="preserve"> REF _Ref428870848 \h </w:instrText>
      </w:r>
      <w:r>
        <w:fldChar w:fldCharType="separate"/>
      </w:r>
      <w:r w:rsidR="00B62B50">
        <w:t xml:space="preserve">Figure </w:t>
      </w:r>
      <w:r w:rsidR="00B62B50">
        <w:rPr>
          <w:noProof/>
        </w:rPr>
        <w:t>3</w:t>
      </w:r>
      <w:r w:rsidR="00B62B50">
        <w:noBreakHyphen/>
      </w:r>
      <w:r w:rsidR="00B62B50">
        <w:rPr>
          <w:noProof/>
        </w:rPr>
        <w:t>1</w:t>
      </w:r>
      <w:r>
        <w:fldChar w:fldCharType="end"/>
      </w:r>
      <w:r w:rsidRPr="00482CB4">
        <w:t xml:space="preserve">). Flow data (measured as total annual flow since 2000) shows that river discharge into the GBR has been consistently higher in the </w:t>
      </w:r>
      <w:r w:rsidR="001850F0" w:rsidRPr="00482CB4">
        <w:t>most</w:t>
      </w:r>
      <w:r w:rsidRPr="00482CB4">
        <w:t xml:space="preserve"> recent 6 years (</w:t>
      </w:r>
      <w:r>
        <w:fldChar w:fldCharType="begin"/>
      </w:r>
      <w:r>
        <w:instrText xml:space="preserve"> REF _Ref428870848 \h </w:instrText>
      </w:r>
      <w:r>
        <w:fldChar w:fldCharType="separate"/>
      </w:r>
      <w:r w:rsidR="00B62B50">
        <w:t xml:space="preserve">Figure </w:t>
      </w:r>
      <w:r w:rsidR="00B62B50">
        <w:rPr>
          <w:noProof/>
        </w:rPr>
        <w:t>3</w:t>
      </w:r>
      <w:r w:rsidR="00B62B50">
        <w:noBreakHyphen/>
      </w:r>
      <w:r w:rsidR="00B62B50">
        <w:rPr>
          <w:noProof/>
        </w:rPr>
        <w:t>1</w:t>
      </w:r>
      <w:r>
        <w:fldChar w:fldCharType="end"/>
      </w:r>
      <w:r w:rsidRPr="00482CB4">
        <w:t xml:space="preserve">). This increase in flow has been a key driver in measurements of ecosystem decline, including seagrass condition </w:t>
      </w:r>
      <w:r>
        <w:fldChar w:fldCharType="begin"/>
      </w:r>
      <w:r>
        <w:instrText xml:space="preserve"> ADDIN EN.CITE &lt;EndNote&gt;&lt;Cite&gt;&lt;Author&gt;McKenzie&lt;/Author&gt;&lt;Year&gt;2012&lt;/Year&gt;&lt;RecNum&gt;1005&lt;/RecNum&gt;&lt;DisplayText&gt;(McKenzie et al., 2012)&lt;/DisplayText&gt;&lt;record&gt;&lt;rec-number&gt;1005&lt;/rec-number&gt;&lt;foreign-keys&gt;&lt;key app="EN" db-id="wwzpfssaux292keptesxd5t6srsfvpzsde2p"&gt;1005&lt;/key&gt;&lt;/foreign-keys&gt;&lt;ref-type name="Journal Article"&gt;17&lt;/ref-type&gt;&lt;contributors&gt;&lt;authors&gt;&lt;author&gt;McKenzie, Len&lt;/author&gt;&lt;author&gt;Collier, Catherine&lt;/author&gt;&lt;author&gt;Waycott, Michelle&lt;/author&gt;&lt;author&gt;Unsworth, Richard&lt;/author&gt;&lt;author&gt;Yoshida, Rudi&lt;/author&gt;&lt;author&gt;Smith, Naomi&lt;/author&gt;&lt;/authors&gt;&lt;/contributors&gt;&lt;titles&gt;&lt;title&gt;Monitoring inshore seagrasses of the GBR and responses to water quality&lt;/title&gt;&lt;/titles&gt;&lt;dates&gt;&lt;year&gt;2012&lt;/year&gt;&lt;/dates&gt;&lt;isbn&gt;0980857252&lt;/isbn&gt;&lt;urls&gt;&lt;/urls&gt;&lt;/record&gt;&lt;/Cite&gt;&lt;/EndNote&gt;</w:instrText>
      </w:r>
      <w:r>
        <w:fldChar w:fldCharType="separate"/>
      </w:r>
      <w:r>
        <w:rPr>
          <w:noProof/>
        </w:rPr>
        <w:t>(</w:t>
      </w:r>
      <w:hyperlink w:anchor="_ENREF_29" w:tooltip="McKenzie, 2012 #1005" w:history="1">
        <w:r w:rsidR="00D23C68">
          <w:rPr>
            <w:noProof/>
          </w:rPr>
          <w:t>McKenzie et al., 2012</w:t>
        </w:r>
      </w:hyperlink>
      <w:r>
        <w:rPr>
          <w:noProof/>
        </w:rPr>
        <w:t>)</w:t>
      </w:r>
      <w:r>
        <w:fldChar w:fldCharType="end"/>
      </w:r>
      <w:r w:rsidRPr="00482CB4">
        <w:t xml:space="preserve"> and coral health metrics (Thompson et al., 2012). The large volume of freshwater discharge is the main factor influencing in the extent of plume area (see Álvarez-Romero et al, 2013). </w:t>
      </w:r>
    </w:p>
    <w:p w14:paraId="0C3F7E0E" w14:textId="77777777" w:rsidR="00330E11" w:rsidRDefault="00330E11" w:rsidP="00330E11">
      <w:pPr>
        <w:pStyle w:val="Caption"/>
        <w:sectPr w:rsidR="00330E11" w:rsidSect="00571B6D">
          <w:headerReference w:type="default" r:id="rId40"/>
          <w:footerReference w:type="default" r:id="rId41"/>
          <w:pgSz w:w="11907" w:h="16840" w:code="9"/>
          <w:pgMar w:top="1440" w:right="1440" w:bottom="1440" w:left="1440" w:header="680" w:footer="851" w:gutter="0"/>
          <w:cols w:space="708"/>
          <w:docGrid w:linePitch="326"/>
        </w:sectPr>
      </w:pPr>
      <w:bookmarkStart w:id="48" w:name="_Ref428870999"/>
    </w:p>
    <w:p w14:paraId="0C3F7E0F" w14:textId="77777777" w:rsidR="00330E11" w:rsidRDefault="00330E11" w:rsidP="00330E11">
      <w:pPr>
        <w:rPr>
          <w:rFonts w:cs="Arial"/>
          <w:sz w:val="20"/>
          <w:szCs w:val="20"/>
        </w:rPr>
      </w:pPr>
      <w:bookmarkStart w:id="49" w:name="_Toc434208066"/>
      <w:r w:rsidRPr="00330E11">
        <w:rPr>
          <w:sz w:val="20"/>
          <w:szCs w:val="20"/>
        </w:rPr>
        <w:lastRenderedPageBreak/>
        <w:t xml:space="preserve">Table </w:t>
      </w:r>
      <w:r w:rsidR="00AE4287">
        <w:rPr>
          <w:sz w:val="20"/>
          <w:szCs w:val="20"/>
        </w:rPr>
        <w:fldChar w:fldCharType="begin"/>
      </w:r>
      <w:r w:rsidR="00AE4287">
        <w:rPr>
          <w:sz w:val="20"/>
          <w:szCs w:val="20"/>
        </w:rPr>
        <w:instrText xml:space="preserve"> STYLEREF 1 \s </w:instrText>
      </w:r>
      <w:r w:rsidR="00AE4287">
        <w:rPr>
          <w:sz w:val="20"/>
          <w:szCs w:val="20"/>
        </w:rPr>
        <w:fldChar w:fldCharType="separate"/>
      </w:r>
      <w:r w:rsidR="00B62B50">
        <w:rPr>
          <w:noProof/>
          <w:sz w:val="20"/>
          <w:szCs w:val="20"/>
        </w:rPr>
        <w:t>3</w:t>
      </w:r>
      <w:r w:rsidR="00AE4287">
        <w:rPr>
          <w:sz w:val="20"/>
          <w:szCs w:val="20"/>
        </w:rPr>
        <w:fldChar w:fldCharType="end"/>
      </w:r>
      <w:r w:rsidR="00AE4287">
        <w:rPr>
          <w:sz w:val="20"/>
          <w:szCs w:val="20"/>
        </w:rPr>
        <w:noBreakHyphen/>
      </w:r>
      <w:r w:rsidR="00AE4287">
        <w:rPr>
          <w:sz w:val="20"/>
          <w:szCs w:val="20"/>
        </w:rPr>
        <w:fldChar w:fldCharType="begin"/>
      </w:r>
      <w:r w:rsidR="00AE4287">
        <w:rPr>
          <w:sz w:val="20"/>
          <w:szCs w:val="20"/>
        </w:rPr>
        <w:instrText xml:space="preserve"> SEQ Table \* ARABIC \s 1 </w:instrText>
      </w:r>
      <w:r w:rsidR="00AE4287">
        <w:rPr>
          <w:sz w:val="20"/>
          <w:szCs w:val="20"/>
        </w:rPr>
        <w:fldChar w:fldCharType="separate"/>
      </w:r>
      <w:r w:rsidR="00B62B50">
        <w:rPr>
          <w:noProof/>
          <w:sz w:val="20"/>
          <w:szCs w:val="20"/>
        </w:rPr>
        <w:t>1</w:t>
      </w:r>
      <w:r w:rsidR="00AE4287">
        <w:rPr>
          <w:sz w:val="20"/>
          <w:szCs w:val="20"/>
        </w:rPr>
        <w:fldChar w:fldCharType="end"/>
      </w:r>
      <w:bookmarkEnd w:id="48"/>
      <w:r w:rsidRPr="00330E11">
        <w:rPr>
          <w:sz w:val="20"/>
          <w:szCs w:val="20"/>
        </w:rPr>
        <w:t xml:space="preserve">: Long term river discharge (ML) statistics of GBR rivers for the 2012-2013 hydrological year (c.a., Oct-1 to Sep-30), compared against the previous three hydrological years, and long-term (LT) medians, means and standard deviations (SD). Colours indicate levels above the </w:t>
      </w:r>
      <w:r w:rsidR="001850F0" w:rsidRPr="00330E11">
        <w:rPr>
          <w:sz w:val="20"/>
          <w:szCs w:val="20"/>
        </w:rPr>
        <w:t>long-term</w:t>
      </w:r>
      <w:r w:rsidRPr="00330E11">
        <w:rPr>
          <w:sz w:val="20"/>
          <w:szCs w:val="20"/>
        </w:rPr>
        <w:t xml:space="preserve"> median: yellow for 1.5 to 2 times; orange for 2 to 3 times, and red for greater than 3 times. Long term statistics were calculated based on a hydrological year taking into account measurements from 1915 to 2000. (Data source: DNRM).</w:t>
      </w:r>
      <w:r w:rsidRPr="00330E11">
        <w:rPr>
          <w:rStyle w:val="FootnoteReference"/>
          <w:sz w:val="20"/>
          <w:szCs w:val="20"/>
        </w:rPr>
        <w:t xml:space="preserve"> </w:t>
      </w:r>
      <w:r w:rsidRPr="00330E11">
        <w:rPr>
          <w:rStyle w:val="FootnoteReference"/>
          <w:sz w:val="20"/>
          <w:szCs w:val="20"/>
        </w:rPr>
        <w:footnoteRef/>
      </w:r>
      <w:r w:rsidRPr="00330E11">
        <w:rPr>
          <w:sz w:val="20"/>
          <w:szCs w:val="20"/>
        </w:rPr>
        <w:t xml:space="preserve"> </w:t>
      </w:r>
      <w:r w:rsidRPr="00330E11">
        <w:rPr>
          <w:rFonts w:cs="Arial"/>
          <w:sz w:val="20"/>
          <w:szCs w:val="20"/>
        </w:rPr>
        <w:t>Discharge for Tully at Euramo station (113006A) for the dry season was estimated as 3.5941 times the Tully discharge at Gorge National Park station (113015A), based on a long-term discharge comparison for flows &lt; 20,000 ML/day (r-sq = 0.802).</w:t>
      </w:r>
      <w:bookmarkEnd w:id="49"/>
    </w:p>
    <w:p w14:paraId="0C3F7E10" w14:textId="77777777" w:rsidR="001850F0" w:rsidRDefault="001850F0" w:rsidP="00330E11">
      <w:pPr>
        <w:rPr>
          <w:rFonts w:cs="Arial"/>
          <w:sz w:val="20"/>
          <w:szCs w:val="20"/>
        </w:rPr>
      </w:pPr>
    </w:p>
    <w:tbl>
      <w:tblPr>
        <w:tblW w:w="5000" w:type="pct"/>
        <w:tblLook w:val="04A0" w:firstRow="1" w:lastRow="0" w:firstColumn="1" w:lastColumn="0" w:noHBand="0" w:noVBand="1"/>
      </w:tblPr>
      <w:tblGrid>
        <w:gridCol w:w="1593"/>
        <w:gridCol w:w="1792"/>
        <w:gridCol w:w="1588"/>
        <w:gridCol w:w="1588"/>
        <w:gridCol w:w="1588"/>
        <w:gridCol w:w="1474"/>
        <w:gridCol w:w="1605"/>
        <w:gridCol w:w="1474"/>
        <w:gridCol w:w="1474"/>
      </w:tblGrid>
      <w:tr w:rsidR="001850F0" w:rsidRPr="002D4C70" w14:paraId="0C3F7E1A" w14:textId="77777777" w:rsidTr="001850F0">
        <w:trPr>
          <w:trHeight w:val="20"/>
        </w:trPr>
        <w:tc>
          <w:tcPr>
            <w:tcW w:w="562" w:type="pct"/>
            <w:tcBorders>
              <w:top w:val="single" w:sz="4" w:space="0" w:color="auto"/>
              <w:left w:val="nil"/>
              <w:bottom w:val="single" w:sz="4" w:space="0" w:color="auto"/>
              <w:right w:val="nil"/>
            </w:tcBorders>
            <w:shd w:val="clear" w:color="auto" w:fill="auto"/>
            <w:vAlign w:val="center"/>
            <w:hideMark/>
          </w:tcPr>
          <w:p w14:paraId="0C3F7E11"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Region</w:t>
            </w:r>
          </w:p>
        </w:tc>
        <w:tc>
          <w:tcPr>
            <w:tcW w:w="632" w:type="pct"/>
            <w:tcBorders>
              <w:top w:val="single" w:sz="4" w:space="0" w:color="auto"/>
              <w:left w:val="nil"/>
              <w:bottom w:val="single" w:sz="4" w:space="0" w:color="auto"/>
              <w:right w:val="nil"/>
            </w:tcBorders>
            <w:shd w:val="clear" w:color="auto" w:fill="auto"/>
            <w:vAlign w:val="center"/>
            <w:hideMark/>
          </w:tcPr>
          <w:p w14:paraId="0C3F7E12"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River</w:t>
            </w:r>
          </w:p>
        </w:tc>
        <w:tc>
          <w:tcPr>
            <w:tcW w:w="560" w:type="pct"/>
            <w:tcBorders>
              <w:top w:val="single" w:sz="4" w:space="0" w:color="auto"/>
              <w:left w:val="nil"/>
              <w:bottom w:val="single" w:sz="4" w:space="0" w:color="auto"/>
              <w:right w:val="nil"/>
            </w:tcBorders>
            <w:shd w:val="clear" w:color="auto" w:fill="auto"/>
            <w:vAlign w:val="center"/>
            <w:hideMark/>
          </w:tcPr>
          <w:p w14:paraId="0C3F7E13"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 xml:space="preserve">Annual </w:t>
            </w:r>
            <w:r w:rsidRPr="002D4C70">
              <w:rPr>
                <w:rFonts w:ascii="Calibri" w:hAnsi="Calibri" w:cs="Times New Roman"/>
                <w:b/>
                <w:bCs/>
                <w:color w:val="000000"/>
                <w:sz w:val="18"/>
                <w:szCs w:val="16"/>
              </w:rPr>
              <w:t>LT</w:t>
            </w:r>
            <w:r w:rsidRPr="00070E4B">
              <w:rPr>
                <w:rFonts w:ascii="Calibri" w:hAnsi="Calibri" w:cs="Times New Roman"/>
                <w:b/>
                <w:bCs/>
                <w:color w:val="000000"/>
                <w:sz w:val="18"/>
                <w:szCs w:val="16"/>
              </w:rPr>
              <w:t xml:space="preserve"> median river discharge</w:t>
            </w:r>
          </w:p>
        </w:tc>
        <w:tc>
          <w:tcPr>
            <w:tcW w:w="560" w:type="pct"/>
            <w:tcBorders>
              <w:top w:val="single" w:sz="4" w:space="0" w:color="auto"/>
              <w:left w:val="nil"/>
              <w:bottom w:val="single" w:sz="4" w:space="0" w:color="auto"/>
              <w:right w:val="nil"/>
            </w:tcBorders>
            <w:shd w:val="clear" w:color="auto" w:fill="auto"/>
            <w:vAlign w:val="center"/>
            <w:hideMark/>
          </w:tcPr>
          <w:p w14:paraId="0C3F7E14"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 xml:space="preserve">Annual </w:t>
            </w:r>
            <w:r w:rsidRPr="002D4C70">
              <w:rPr>
                <w:rFonts w:ascii="Calibri" w:hAnsi="Calibri" w:cs="Times New Roman"/>
                <w:b/>
                <w:bCs/>
                <w:color w:val="000000"/>
                <w:sz w:val="18"/>
                <w:szCs w:val="16"/>
              </w:rPr>
              <w:t>LT</w:t>
            </w:r>
            <w:r w:rsidRPr="00070E4B">
              <w:rPr>
                <w:rFonts w:ascii="Calibri" w:hAnsi="Calibri" w:cs="Times New Roman"/>
                <w:b/>
                <w:bCs/>
                <w:color w:val="000000"/>
                <w:sz w:val="18"/>
                <w:szCs w:val="16"/>
              </w:rPr>
              <w:t xml:space="preserve"> mean river discharge</w:t>
            </w:r>
          </w:p>
        </w:tc>
        <w:tc>
          <w:tcPr>
            <w:tcW w:w="560" w:type="pct"/>
            <w:tcBorders>
              <w:top w:val="single" w:sz="4" w:space="0" w:color="auto"/>
              <w:left w:val="nil"/>
              <w:bottom w:val="single" w:sz="4" w:space="0" w:color="auto"/>
              <w:right w:val="nil"/>
            </w:tcBorders>
            <w:shd w:val="clear" w:color="auto" w:fill="auto"/>
            <w:vAlign w:val="center"/>
            <w:hideMark/>
          </w:tcPr>
          <w:p w14:paraId="0C3F7E15"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 xml:space="preserve">Annual </w:t>
            </w:r>
            <w:r w:rsidRPr="002D4C70">
              <w:rPr>
                <w:rFonts w:ascii="Calibri" w:hAnsi="Calibri" w:cs="Times New Roman"/>
                <w:b/>
                <w:bCs/>
                <w:color w:val="000000"/>
                <w:sz w:val="18"/>
                <w:szCs w:val="16"/>
              </w:rPr>
              <w:t>LT</w:t>
            </w:r>
            <w:r w:rsidRPr="00070E4B">
              <w:rPr>
                <w:rFonts w:ascii="Calibri" w:hAnsi="Calibri" w:cs="Times New Roman"/>
                <w:b/>
                <w:bCs/>
                <w:color w:val="000000"/>
                <w:sz w:val="18"/>
                <w:szCs w:val="16"/>
              </w:rPr>
              <w:t xml:space="preserve"> </w:t>
            </w:r>
            <w:r w:rsidRPr="002D4C70">
              <w:rPr>
                <w:rFonts w:ascii="Calibri" w:hAnsi="Calibri" w:cs="Times New Roman"/>
                <w:b/>
                <w:bCs/>
                <w:color w:val="000000"/>
                <w:sz w:val="18"/>
                <w:szCs w:val="16"/>
              </w:rPr>
              <w:t>SD</w:t>
            </w:r>
            <w:r w:rsidRPr="00070E4B">
              <w:rPr>
                <w:rFonts w:ascii="Calibri" w:hAnsi="Calibri" w:cs="Times New Roman"/>
                <w:b/>
                <w:bCs/>
                <w:color w:val="000000"/>
                <w:sz w:val="18"/>
                <w:szCs w:val="16"/>
              </w:rPr>
              <w:t xml:space="preserve"> river discharge</w:t>
            </w:r>
          </w:p>
        </w:tc>
        <w:tc>
          <w:tcPr>
            <w:tcW w:w="520" w:type="pct"/>
            <w:tcBorders>
              <w:top w:val="single" w:sz="4" w:space="0" w:color="auto"/>
              <w:left w:val="nil"/>
              <w:bottom w:val="single" w:sz="4" w:space="0" w:color="auto"/>
              <w:right w:val="nil"/>
            </w:tcBorders>
            <w:shd w:val="clear" w:color="auto" w:fill="auto"/>
            <w:vAlign w:val="center"/>
            <w:hideMark/>
          </w:tcPr>
          <w:p w14:paraId="0C3F7E16"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Total year discharge 2009/2010</w:t>
            </w:r>
          </w:p>
        </w:tc>
        <w:tc>
          <w:tcPr>
            <w:tcW w:w="566" w:type="pct"/>
            <w:tcBorders>
              <w:top w:val="single" w:sz="4" w:space="0" w:color="auto"/>
              <w:left w:val="nil"/>
              <w:bottom w:val="single" w:sz="4" w:space="0" w:color="auto"/>
              <w:right w:val="nil"/>
            </w:tcBorders>
            <w:shd w:val="clear" w:color="auto" w:fill="auto"/>
            <w:vAlign w:val="center"/>
            <w:hideMark/>
          </w:tcPr>
          <w:p w14:paraId="0C3F7E17"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Total year discharge 2010/2011</w:t>
            </w:r>
          </w:p>
        </w:tc>
        <w:tc>
          <w:tcPr>
            <w:tcW w:w="520" w:type="pct"/>
            <w:tcBorders>
              <w:top w:val="single" w:sz="4" w:space="0" w:color="auto"/>
              <w:left w:val="nil"/>
              <w:bottom w:val="single" w:sz="4" w:space="0" w:color="auto"/>
              <w:right w:val="nil"/>
            </w:tcBorders>
            <w:shd w:val="clear" w:color="auto" w:fill="auto"/>
            <w:vAlign w:val="center"/>
            <w:hideMark/>
          </w:tcPr>
          <w:p w14:paraId="0C3F7E18"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Total year discharge 2011/2012</w:t>
            </w:r>
          </w:p>
        </w:tc>
        <w:tc>
          <w:tcPr>
            <w:tcW w:w="520" w:type="pct"/>
            <w:tcBorders>
              <w:top w:val="single" w:sz="4" w:space="0" w:color="auto"/>
              <w:left w:val="nil"/>
              <w:bottom w:val="single" w:sz="4" w:space="0" w:color="auto"/>
              <w:right w:val="nil"/>
            </w:tcBorders>
            <w:shd w:val="clear" w:color="auto" w:fill="auto"/>
            <w:vAlign w:val="center"/>
            <w:hideMark/>
          </w:tcPr>
          <w:p w14:paraId="0C3F7E19" w14:textId="77777777" w:rsidR="001850F0" w:rsidRPr="00070E4B" w:rsidRDefault="001850F0" w:rsidP="001850F0">
            <w:pPr>
              <w:spacing w:before="0" w:after="0" w:line="0" w:lineRule="atLeast"/>
              <w:jc w:val="center"/>
              <w:rPr>
                <w:rFonts w:ascii="Calibri" w:hAnsi="Calibri" w:cs="Times New Roman"/>
                <w:b/>
                <w:bCs/>
                <w:color w:val="000000"/>
                <w:sz w:val="18"/>
                <w:szCs w:val="16"/>
              </w:rPr>
            </w:pPr>
            <w:r w:rsidRPr="00070E4B">
              <w:rPr>
                <w:rFonts w:ascii="Calibri" w:hAnsi="Calibri" w:cs="Times New Roman"/>
                <w:b/>
                <w:bCs/>
                <w:color w:val="000000"/>
                <w:sz w:val="18"/>
                <w:szCs w:val="16"/>
              </w:rPr>
              <w:t>Total year discharge 2012/2013</w:t>
            </w:r>
          </w:p>
        </w:tc>
      </w:tr>
      <w:tr w:rsidR="001850F0" w:rsidRPr="002D4C70" w14:paraId="0C3F7E24" w14:textId="77777777" w:rsidTr="001850F0">
        <w:trPr>
          <w:trHeight w:val="20"/>
        </w:trPr>
        <w:tc>
          <w:tcPr>
            <w:tcW w:w="562" w:type="pct"/>
            <w:vMerge w:val="restart"/>
            <w:tcBorders>
              <w:top w:val="nil"/>
              <w:left w:val="nil"/>
              <w:bottom w:val="single" w:sz="4" w:space="0" w:color="000000"/>
              <w:right w:val="nil"/>
            </w:tcBorders>
            <w:shd w:val="clear" w:color="auto" w:fill="auto"/>
            <w:vAlign w:val="center"/>
            <w:hideMark/>
          </w:tcPr>
          <w:p w14:paraId="0C3F7E1B"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CapeYork</w:t>
            </w:r>
          </w:p>
        </w:tc>
        <w:tc>
          <w:tcPr>
            <w:tcW w:w="632" w:type="pct"/>
            <w:tcBorders>
              <w:top w:val="nil"/>
              <w:left w:val="nil"/>
              <w:bottom w:val="nil"/>
              <w:right w:val="nil"/>
            </w:tcBorders>
            <w:shd w:val="clear" w:color="auto" w:fill="auto"/>
            <w:noWrap/>
            <w:vAlign w:val="bottom"/>
            <w:hideMark/>
          </w:tcPr>
          <w:p w14:paraId="0C3F7E1C"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Pascoe</w:t>
            </w:r>
          </w:p>
        </w:tc>
        <w:tc>
          <w:tcPr>
            <w:tcW w:w="560" w:type="pct"/>
            <w:tcBorders>
              <w:top w:val="nil"/>
              <w:left w:val="nil"/>
              <w:bottom w:val="nil"/>
              <w:right w:val="nil"/>
            </w:tcBorders>
            <w:shd w:val="clear" w:color="auto" w:fill="auto"/>
            <w:noWrap/>
            <w:vAlign w:val="bottom"/>
            <w:hideMark/>
          </w:tcPr>
          <w:p w14:paraId="0C3F7E1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1,252,975 </w:t>
            </w:r>
          </w:p>
        </w:tc>
        <w:tc>
          <w:tcPr>
            <w:tcW w:w="560" w:type="pct"/>
            <w:tcBorders>
              <w:top w:val="nil"/>
              <w:left w:val="nil"/>
              <w:bottom w:val="nil"/>
              <w:right w:val="nil"/>
            </w:tcBorders>
            <w:shd w:val="clear" w:color="auto" w:fill="auto"/>
            <w:noWrap/>
            <w:vAlign w:val="bottom"/>
            <w:hideMark/>
          </w:tcPr>
          <w:p w14:paraId="0C3F7E1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1,194,911 </w:t>
            </w:r>
          </w:p>
        </w:tc>
        <w:tc>
          <w:tcPr>
            <w:tcW w:w="560" w:type="pct"/>
            <w:tcBorders>
              <w:top w:val="nil"/>
              <w:left w:val="nil"/>
              <w:bottom w:val="nil"/>
              <w:right w:val="nil"/>
            </w:tcBorders>
            <w:shd w:val="clear" w:color="auto" w:fill="auto"/>
            <w:noWrap/>
            <w:vAlign w:val="bottom"/>
            <w:hideMark/>
          </w:tcPr>
          <w:p w14:paraId="0C3F7E1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723,925 </w:t>
            </w:r>
          </w:p>
        </w:tc>
        <w:tc>
          <w:tcPr>
            <w:tcW w:w="520" w:type="pct"/>
            <w:tcBorders>
              <w:top w:val="nil"/>
              <w:left w:val="nil"/>
              <w:bottom w:val="nil"/>
              <w:right w:val="nil"/>
            </w:tcBorders>
            <w:shd w:val="clear" w:color="auto" w:fill="auto"/>
            <w:noWrap/>
            <w:vAlign w:val="bottom"/>
            <w:hideMark/>
          </w:tcPr>
          <w:p w14:paraId="0C3F7E2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1,534,694 </w:t>
            </w:r>
          </w:p>
        </w:tc>
        <w:tc>
          <w:tcPr>
            <w:tcW w:w="566" w:type="pct"/>
            <w:tcBorders>
              <w:top w:val="nil"/>
              <w:left w:val="nil"/>
              <w:bottom w:val="nil"/>
              <w:right w:val="nil"/>
            </w:tcBorders>
            <w:shd w:val="clear" w:color="000000" w:fill="FFFF00"/>
            <w:noWrap/>
            <w:vAlign w:val="bottom"/>
            <w:hideMark/>
          </w:tcPr>
          <w:p w14:paraId="0C3F7E2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1,972,999 </w:t>
            </w:r>
          </w:p>
        </w:tc>
        <w:tc>
          <w:tcPr>
            <w:tcW w:w="520" w:type="pct"/>
            <w:tcBorders>
              <w:top w:val="nil"/>
              <w:left w:val="nil"/>
              <w:bottom w:val="nil"/>
              <w:right w:val="nil"/>
            </w:tcBorders>
            <w:shd w:val="clear" w:color="auto" w:fill="auto"/>
            <w:noWrap/>
            <w:vAlign w:val="bottom"/>
            <w:hideMark/>
          </w:tcPr>
          <w:p w14:paraId="0C3F7E2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758,509 </w:t>
            </w:r>
          </w:p>
        </w:tc>
        <w:tc>
          <w:tcPr>
            <w:tcW w:w="520" w:type="pct"/>
            <w:tcBorders>
              <w:top w:val="nil"/>
              <w:left w:val="nil"/>
              <w:bottom w:val="nil"/>
              <w:right w:val="nil"/>
            </w:tcBorders>
            <w:shd w:val="clear" w:color="auto" w:fill="auto"/>
            <w:noWrap/>
            <w:vAlign w:val="bottom"/>
            <w:hideMark/>
          </w:tcPr>
          <w:p w14:paraId="0C3F7E2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827,312 </w:t>
            </w:r>
          </w:p>
        </w:tc>
      </w:tr>
      <w:tr w:rsidR="001850F0" w:rsidRPr="002D4C70" w14:paraId="0C3F7E2E" w14:textId="77777777" w:rsidTr="001850F0">
        <w:trPr>
          <w:trHeight w:val="20"/>
        </w:trPr>
        <w:tc>
          <w:tcPr>
            <w:tcW w:w="562" w:type="pct"/>
            <w:vMerge/>
            <w:tcBorders>
              <w:top w:val="nil"/>
              <w:left w:val="nil"/>
              <w:bottom w:val="single" w:sz="4" w:space="0" w:color="000000"/>
              <w:right w:val="nil"/>
            </w:tcBorders>
            <w:vAlign w:val="center"/>
            <w:hideMark/>
          </w:tcPr>
          <w:p w14:paraId="0C3F7E25"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26"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Stewart</w:t>
            </w:r>
          </w:p>
        </w:tc>
        <w:tc>
          <w:tcPr>
            <w:tcW w:w="560" w:type="pct"/>
            <w:tcBorders>
              <w:top w:val="nil"/>
              <w:left w:val="nil"/>
              <w:bottom w:val="nil"/>
              <w:right w:val="nil"/>
            </w:tcBorders>
            <w:shd w:val="clear" w:color="auto" w:fill="auto"/>
            <w:noWrap/>
            <w:vAlign w:val="bottom"/>
            <w:hideMark/>
          </w:tcPr>
          <w:p w14:paraId="0C3F7E2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212,336 </w:t>
            </w:r>
          </w:p>
        </w:tc>
        <w:tc>
          <w:tcPr>
            <w:tcW w:w="560" w:type="pct"/>
            <w:tcBorders>
              <w:top w:val="nil"/>
              <w:left w:val="nil"/>
              <w:bottom w:val="nil"/>
              <w:right w:val="nil"/>
            </w:tcBorders>
            <w:shd w:val="clear" w:color="auto" w:fill="auto"/>
            <w:noWrap/>
            <w:vAlign w:val="bottom"/>
            <w:hideMark/>
          </w:tcPr>
          <w:p w14:paraId="0C3F7E2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196,926 </w:t>
            </w:r>
          </w:p>
        </w:tc>
        <w:tc>
          <w:tcPr>
            <w:tcW w:w="560" w:type="pct"/>
            <w:tcBorders>
              <w:top w:val="nil"/>
              <w:left w:val="nil"/>
              <w:bottom w:val="nil"/>
              <w:right w:val="nil"/>
            </w:tcBorders>
            <w:shd w:val="clear" w:color="auto" w:fill="auto"/>
            <w:noWrap/>
            <w:vAlign w:val="bottom"/>
            <w:hideMark/>
          </w:tcPr>
          <w:p w14:paraId="0C3F7E2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125,224 </w:t>
            </w:r>
          </w:p>
        </w:tc>
        <w:tc>
          <w:tcPr>
            <w:tcW w:w="520" w:type="pct"/>
            <w:tcBorders>
              <w:top w:val="nil"/>
              <w:left w:val="nil"/>
              <w:bottom w:val="nil"/>
              <w:right w:val="nil"/>
            </w:tcBorders>
            <w:shd w:val="clear" w:color="auto" w:fill="auto"/>
            <w:noWrap/>
            <w:vAlign w:val="bottom"/>
            <w:hideMark/>
          </w:tcPr>
          <w:p w14:paraId="0C3F7E2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188,528 </w:t>
            </w:r>
          </w:p>
        </w:tc>
        <w:tc>
          <w:tcPr>
            <w:tcW w:w="566" w:type="pct"/>
            <w:tcBorders>
              <w:top w:val="nil"/>
              <w:left w:val="nil"/>
              <w:bottom w:val="nil"/>
              <w:right w:val="nil"/>
            </w:tcBorders>
            <w:shd w:val="clear" w:color="000000" w:fill="FFFF00"/>
            <w:noWrap/>
            <w:vAlign w:val="bottom"/>
            <w:hideMark/>
          </w:tcPr>
          <w:p w14:paraId="0C3F7E2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376,009 </w:t>
            </w:r>
          </w:p>
        </w:tc>
        <w:tc>
          <w:tcPr>
            <w:tcW w:w="520" w:type="pct"/>
            <w:tcBorders>
              <w:top w:val="nil"/>
              <w:left w:val="nil"/>
              <w:bottom w:val="nil"/>
              <w:right w:val="nil"/>
            </w:tcBorders>
            <w:shd w:val="clear" w:color="auto" w:fill="auto"/>
            <w:noWrap/>
            <w:vAlign w:val="bottom"/>
            <w:hideMark/>
          </w:tcPr>
          <w:p w14:paraId="0C3F7E2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106,219 </w:t>
            </w:r>
          </w:p>
        </w:tc>
        <w:tc>
          <w:tcPr>
            <w:tcW w:w="520" w:type="pct"/>
            <w:tcBorders>
              <w:top w:val="nil"/>
              <w:left w:val="nil"/>
              <w:bottom w:val="nil"/>
              <w:right w:val="nil"/>
            </w:tcBorders>
            <w:shd w:val="clear" w:color="auto" w:fill="auto"/>
            <w:noWrap/>
            <w:vAlign w:val="bottom"/>
            <w:hideMark/>
          </w:tcPr>
          <w:p w14:paraId="0C3F7E2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90,343 </w:t>
            </w:r>
          </w:p>
        </w:tc>
      </w:tr>
      <w:tr w:rsidR="001850F0" w:rsidRPr="002D4C70" w14:paraId="0C3F7E38" w14:textId="77777777" w:rsidTr="001850F0">
        <w:trPr>
          <w:trHeight w:val="20"/>
        </w:trPr>
        <w:tc>
          <w:tcPr>
            <w:tcW w:w="562" w:type="pct"/>
            <w:vMerge/>
            <w:tcBorders>
              <w:top w:val="nil"/>
              <w:left w:val="nil"/>
              <w:bottom w:val="single" w:sz="4" w:space="0" w:color="000000"/>
              <w:right w:val="nil"/>
            </w:tcBorders>
            <w:vAlign w:val="center"/>
            <w:hideMark/>
          </w:tcPr>
          <w:p w14:paraId="0C3F7E2F"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30"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Normanby</w:t>
            </w:r>
          </w:p>
        </w:tc>
        <w:tc>
          <w:tcPr>
            <w:tcW w:w="560" w:type="pct"/>
            <w:tcBorders>
              <w:top w:val="nil"/>
              <w:left w:val="nil"/>
              <w:bottom w:val="nil"/>
              <w:right w:val="nil"/>
            </w:tcBorders>
            <w:shd w:val="clear" w:color="auto" w:fill="auto"/>
            <w:noWrap/>
            <w:vAlign w:val="bottom"/>
            <w:hideMark/>
          </w:tcPr>
          <w:p w14:paraId="0C3F7E31"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60" w:type="pct"/>
            <w:tcBorders>
              <w:top w:val="nil"/>
              <w:left w:val="nil"/>
              <w:bottom w:val="nil"/>
              <w:right w:val="nil"/>
            </w:tcBorders>
            <w:shd w:val="clear" w:color="auto" w:fill="auto"/>
            <w:noWrap/>
            <w:vAlign w:val="bottom"/>
            <w:hideMark/>
          </w:tcPr>
          <w:p w14:paraId="0C3F7E32"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60" w:type="pct"/>
            <w:tcBorders>
              <w:top w:val="nil"/>
              <w:left w:val="nil"/>
              <w:bottom w:val="nil"/>
              <w:right w:val="nil"/>
            </w:tcBorders>
            <w:shd w:val="clear" w:color="auto" w:fill="auto"/>
            <w:noWrap/>
            <w:vAlign w:val="bottom"/>
            <w:hideMark/>
          </w:tcPr>
          <w:p w14:paraId="0C3F7E33"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20" w:type="pct"/>
            <w:tcBorders>
              <w:top w:val="nil"/>
              <w:left w:val="nil"/>
              <w:bottom w:val="nil"/>
              <w:right w:val="nil"/>
            </w:tcBorders>
            <w:shd w:val="clear" w:color="auto" w:fill="auto"/>
            <w:noWrap/>
            <w:vAlign w:val="bottom"/>
            <w:hideMark/>
          </w:tcPr>
          <w:p w14:paraId="0C3F7E3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2,945,850 </w:t>
            </w:r>
          </w:p>
        </w:tc>
        <w:tc>
          <w:tcPr>
            <w:tcW w:w="566" w:type="pct"/>
            <w:tcBorders>
              <w:top w:val="nil"/>
              <w:left w:val="nil"/>
              <w:bottom w:val="nil"/>
              <w:right w:val="nil"/>
            </w:tcBorders>
            <w:shd w:val="clear" w:color="auto" w:fill="auto"/>
            <w:noWrap/>
            <w:vAlign w:val="bottom"/>
            <w:hideMark/>
          </w:tcPr>
          <w:p w14:paraId="0C3F7E3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5,964,886 </w:t>
            </w:r>
          </w:p>
        </w:tc>
        <w:tc>
          <w:tcPr>
            <w:tcW w:w="520" w:type="pct"/>
            <w:tcBorders>
              <w:top w:val="nil"/>
              <w:left w:val="nil"/>
              <w:bottom w:val="nil"/>
              <w:right w:val="nil"/>
            </w:tcBorders>
            <w:shd w:val="clear" w:color="auto" w:fill="auto"/>
            <w:noWrap/>
            <w:vAlign w:val="bottom"/>
            <w:hideMark/>
          </w:tcPr>
          <w:p w14:paraId="0C3F7E3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1,148,416 </w:t>
            </w:r>
          </w:p>
        </w:tc>
        <w:tc>
          <w:tcPr>
            <w:tcW w:w="520" w:type="pct"/>
            <w:tcBorders>
              <w:top w:val="nil"/>
              <w:left w:val="nil"/>
              <w:bottom w:val="nil"/>
              <w:right w:val="nil"/>
            </w:tcBorders>
            <w:shd w:val="clear" w:color="auto" w:fill="auto"/>
            <w:noWrap/>
            <w:vAlign w:val="bottom"/>
            <w:hideMark/>
          </w:tcPr>
          <w:p w14:paraId="0C3F7E3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1,822,135 </w:t>
            </w:r>
          </w:p>
        </w:tc>
      </w:tr>
      <w:tr w:rsidR="001850F0" w:rsidRPr="002D4C70" w14:paraId="0C3F7E42" w14:textId="77777777" w:rsidTr="001850F0">
        <w:trPr>
          <w:trHeight w:val="20"/>
        </w:trPr>
        <w:tc>
          <w:tcPr>
            <w:tcW w:w="562" w:type="pct"/>
            <w:vMerge/>
            <w:tcBorders>
              <w:top w:val="nil"/>
              <w:left w:val="nil"/>
              <w:bottom w:val="single" w:sz="4" w:space="0" w:color="000000"/>
              <w:right w:val="nil"/>
            </w:tcBorders>
            <w:vAlign w:val="center"/>
            <w:hideMark/>
          </w:tcPr>
          <w:p w14:paraId="0C3F7E39"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single" w:sz="4" w:space="0" w:color="auto"/>
              <w:right w:val="nil"/>
            </w:tcBorders>
            <w:shd w:val="clear" w:color="auto" w:fill="auto"/>
            <w:noWrap/>
            <w:vAlign w:val="bottom"/>
            <w:hideMark/>
          </w:tcPr>
          <w:p w14:paraId="0C3F7E3A"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Annan</w:t>
            </w:r>
          </w:p>
        </w:tc>
        <w:tc>
          <w:tcPr>
            <w:tcW w:w="560" w:type="pct"/>
            <w:tcBorders>
              <w:top w:val="nil"/>
              <w:left w:val="nil"/>
              <w:bottom w:val="single" w:sz="4" w:space="0" w:color="auto"/>
              <w:right w:val="nil"/>
            </w:tcBorders>
            <w:shd w:val="clear" w:color="auto" w:fill="auto"/>
            <w:noWrap/>
            <w:vAlign w:val="bottom"/>
            <w:hideMark/>
          </w:tcPr>
          <w:p w14:paraId="0C3F7E3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276,538 </w:t>
            </w:r>
          </w:p>
        </w:tc>
        <w:tc>
          <w:tcPr>
            <w:tcW w:w="560" w:type="pct"/>
            <w:tcBorders>
              <w:top w:val="nil"/>
              <w:left w:val="nil"/>
              <w:bottom w:val="single" w:sz="4" w:space="0" w:color="auto"/>
              <w:right w:val="nil"/>
            </w:tcBorders>
            <w:shd w:val="clear" w:color="auto" w:fill="auto"/>
            <w:noWrap/>
            <w:vAlign w:val="bottom"/>
            <w:hideMark/>
          </w:tcPr>
          <w:p w14:paraId="0C3F7E3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279,594 </w:t>
            </w:r>
          </w:p>
        </w:tc>
        <w:tc>
          <w:tcPr>
            <w:tcW w:w="560" w:type="pct"/>
            <w:tcBorders>
              <w:top w:val="nil"/>
              <w:left w:val="nil"/>
              <w:bottom w:val="single" w:sz="4" w:space="0" w:color="auto"/>
              <w:right w:val="nil"/>
            </w:tcBorders>
            <w:shd w:val="clear" w:color="auto" w:fill="auto"/>
            <w:noWrap/>
            <w:vAlign w:val="bottom"/>
            <w:hideMark/>
          </w:tcPr>
          <w:p w14:paraId="0C3F7E3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162,344 </w:t>
            </w:r>
          </w:p>
        </w:tc>
        <w:tc>
          <w:tcPr>
            <w:tcW w:w="520" w:type="pct"/>
            <w:tcBorders>
              <w:top w:val="nil"/>
              <w:left w:val="nil"/>
              <w:bottom w:val="single" w:sz="4" w:space="0" w:color="auto"/>
              <w:right w:val="nil"/>
            </w:tcBorders>
            <w:shd w:val="clear" w:color="auto" w:fill="auto"/>
            <w:noWrap/>
            <w:vAlign w:val="bottom"/>
            <w:hideMark/>
          </w:tcPr>
          <w:p w14:paraId="0C3F7E3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407,257 </w:t>
            </w:r>
          </w:p>
        </w:tc>
        <w:tc>
          <w:tcPr>
            <w:tcW w:w="566" w:type="pct"/>
            <w:tcBorders>
              <w:top w:val="nil"/>
              <w:left w:val="nil"/>
              <w:bottom w:val="single" w:sz="4" w:space="0" w:color="auto"/>
              <w:right w:val="nil"/>
            </w:tcBorders>
            <w:shd w:val="clear" w:color="000000" w:fill="FFFF00"/>
            <w:noWrap/>
            <w:vAlign w:val="bottom"/>
            <w:hideMark/>
          </w:tcPr>
          <w:p w14:paraId="0C3F7E3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550,403 </w:t>
            </w:r>
          </w:p>
        </w:tc>
        <w:tc>
          <w:tcPr>
            <w:tcW w:w="520" w:type="pct"/>
            <w:tcBorders>
              <w:top w:val="nil"/>
              <w:left w:val="nil"/>
              <w:bottom w:val="single" w:sz="4" w:space="0" w:color="auto"/>
              <w:right w:val="nil"/>
            </w:tcBorders>
            <w:shd w:val="clear" w:color="auto" w:fill="auto"/>
            <w:noWrap/>
            <w:vAlign w:val="bottom"/>
            <w:hideMark/>
          </w:tcPr>
          <w:p w14:paraId="0C3F7E4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331,370 </w:t>
            </w:r>
          </w:p>
        </w:tc>
        <w:tc>
          <w:tcPr>
            <w:tcW w:w="520" w:type="pct"/>
            <w:tcBorders>
              <w:top w:val="nil"/>
              <w:left w:val="nil"/>
              <w:bottom w:val="single" w:sz="4" w:space="0" w:color="auto"/>
              <w:right w:val="nil"/>
            </w:tcBorders>
            <w:shd w:val="clear" w:color="auto" w:fill="auto"/>
            <w:noWrap/>
            <w:vAlign w:val="bottom"/>
            <w:hideMark/>
          </w:tcPr>
          <w:p w14:paraId="0C3F7E4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196,988 </w:t>
            </w:r>
          </w:p>
        </w:tc>
      </w:tr>
      <w:tr w:rsidR="001850F0" w:rsidRPr="002D4C70" w14:paraId="0C3F7E4C" w14:textId="77777777" w:rsidTr="001850F0">
        <w:trPr>
          <w:trHeight w:val="20"/>
        </w:trPr>
        <w:tc>
          <w:tcPr>
            <w:tcW w:w="562" w:type="pct"/>
            <w:vMerge w:val="restart"/>
            <w:tcBorders>
              <w:top w:val="nil"/>
              <w:left w:val="nil"/>
              <w:bottom w:val="nil"/>
              <w:right w:val="nil"/>
            </w:tcBorders>
            <w:shd w:val="clear" w:color="auto" w:fill="auto"/>
            <w:vAlign w:val="center"/>
            <w:hideMark/>
          </w:tcPr>
          <w:p w14:paraId="0C3F7E43"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Wet Tropics</w:t>
            </w:r>
          </w:p>
        </w:tc>
        <w:tc>
          <w:tcPr>
            <w:tcW w:w="632" w:type="pct"/>
            <w:tcBorders>
              <w:top w:val="nil"/>
              <w:left w:val="nil"/>
              <w:bottom w:val="nil"/>
              <w:right w:val="nil"/>
            </w:tcBorders>
            <w:shd w:val="clear" w:color="auto" w:fill="auto"/>
            <w:noWrap/>
            <w:vAlign w:val="bottom"/>
            <w:hideMark/>
          </w:tcPr>
          <w:p w14:paraId="0C3F7E44"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Daintree</w:t>
            </w:r>
          </w:p>
        </w:tc>
        <w:tc>
          <w:tcPr>
            <w:tcW w:w="560" w:type="pct"/>
            <w:tcBorders>
              <w:top w:val="nil"/>
              <w:left w:val="nil"/>
              <w:bottom w:val="nil"/>
              <w:right w:val="nil"/>
            </w:tcBorders>
            <w:shd w:val="clear" w:color="auto" w:fill="auto"/>
            <w:noWrap/>
            <w:vAlign w:val="bottom"/>
            <w:hideMark/>
          </w:tcPr>
          <w:p w14:paraId="0C3F7E4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704,634 </w:t>
            </w:r>
          </w:p>
        </w:tc>
        <w:tc>
          <w:tcPr>
            <w:tcW w:w="560" w:type="pct"/>
            <w:tcBorders>
              <w:top w:val="nil"/>
              <w:left w:val="nil"/>
              <w:bottom w:val="nil"/>
              <w:right w:val="nil"/>
            </w:tcBorders>
            <w:shd w:val="clear" w:color="auto" w:fill="auto"/>
            <w:noWrap/>
            <w:vAlign w:val="bottom"/>
            <w:hideMark/>
          </w:tcPr>
          <w:p w14:paraId="0C3F7E4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820,437 </w:t>
            </w:r>
          </w:p>
        </w:tc>
        <w:tc>
          <w:tcPr>
            <w:tcW w:w="560" w:type="pct"/>
            <w:tcBorders>
              <w:top w:val="nil"/>
              <w:left w:val="nil"/>
              <w:bottom w:val="nil"/>
              <w:right w:val="nil"/>
            </w:tcBorders>
            <w:shd w:val="clear" w:color="auto" w:fill="auto"/>
            <w:noWrap/>
            <w:vAlign w:val="bottom"/>
            <w:hideMark/>
          </w:tcPr>
          <w:p w14:paraId="0C3F7E4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478,584 </w:t>
            </w:r>
          </w:p>
        </w:tc>
        <w:tc>
          <w:tcPr>
            <w:tcW w:w="520" w:type="pct"/>
            <w:tcBorders>
              <w:top w:val="nil"/>
              <w:left w:val="nil"/>
              <w:bottom w:val="nil"/>
              <w:right w:val="nil"/>
            </w:tcBorders>
            <w:shd w:val="clear" w:color="000000" w:fill="FFFF00"/>
            <w:noWrap/>
            <w:vAlign w:val="bottom"/>
            <w:hideMark/>
          </w:tcPr>
          <w:p w14:paraId="0C3F7E4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1,216,318 </w:t>
            </w:r>
          </w:p>
        </w:tc>
        <w:tc>
          <w:tcPr>
            <w:tcW w:w="566" w:type="pct"/>
            <w:tcBorders>
              <w:top w:val="nil"/>
              <w:left w:val="nil"/>
              <w:bottom w:val="nil"/>
              <w:right w:val="nil"/>
            </w:tcBorders>
            <w:shd w:val="clear" w:color="000000" w:fill="FFC000"/>
            <w:noWrap/>
            <w:vAlign w:val="bottom"/>
            <w:hideMark/>
          </w:tcPr>
          <w:p w14:paraId="0C3F7E49"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1,640,196 </w:t>
            </w:r>
          </w:p>
        </w:tc>
        <w:tc>
          <w:tcPr>
            <w:tcW w:w="520" w:type="pct"/>
            <w:tcBorders>
              <w:top w:val="nil"/>
              <w:left w:val="nil"/>
              <w:bottom w:val="nil"/>
              <w:right w:val="nil"/>
            </w:tcBorders>
            <w:shd w:val="clear" w:color="auto" w:fill="auto"/>
            <w:noWrap/>
            <w:vAlign w:val="bottom"/>
            <w:hideMark/>
          </w:tcPr>
          <w:p w14:paraId="0C3F7E4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998,710 </w:t>
            </w:r>
          </w:p>
        </w:tc>
        <w:tc>
          <w:tcPr>
            <w:tcW w:w="520" w:type="pct"/>
            <w:tcBorders>
              <w:top w:val="nil"/>
              <w:left w:val="nil"/>
              <w:bottom w:val="nil"/>
              <w:right w:val="nil"/>
            </w:tcBorders>
            <w:shd w:val="clear" w:color="auto" w:fill="auto"/>
            <w:noWrap/>
            <w:vAlign w:val="bottom"/>
            <w:hideMark/>
          </w:tcPr>
          <w:p w14:paraId="0C3F7E4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694,098 </w:t>
            </w:r>
          </w:p>
        </w:tc>
      </w:tr>
      <w:tr w:rsidR="001850F0" w:rsidRPr="002D4C70" w14:paraId="0C3F7E56" w14:textId="77777777" w:rsidTr="001850F0">
        <w:trPr>
          <w:trHeight w:val="20"/>
        </w:trPr>
        <w:tc>
          <w:tcPr>
            <w:tcW w:w="562" w:type="pct"/>
            <w:vMerge/>
            <w:tcBorders>
              <w:top w:val="nil"/>
              <w:left w:val="nil"/>
              <w:bottom w:val="nil"/>
              <w:right w:val="nil"/>
            </w:tcBorders>
            <w:vAlign w:val="center"/>
            <w:hideMark/>
          </w:tcPr>
          <w:p w14:paraId="0C3F7E4D"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4E"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Barron</w:t>
            </w:r>
          </w:p>
        </w:tc>
        <w:tc>
          <w:tcPr>
            <w:tcW w:w="560" w:type="pct"/>
            <w:tcBorders>
              <w:top w:val="nil"/>
              <w:left w:val="nil"/>
              <w:bottom w:val="nil"/>
              <w:right w:val="nil"/>
            </w:tcBorders>
            <w:shd w:val="clear" w:color="auto" w:fill="auto"/>
            <w:noWrap/>
            <w:vAlign w:val="bottom"/>
            <w:hideMark/>
          </w:tcPr>
          <w:p w14:paraId="0C3F7E4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572,725 </w:t>
            </w:r>
          </w:p>
        </w:tc>
        <w:tc>
          <w:tcPr>
            <w:tcW w:w="560" w:type="pct"/>
            <w:tcBorders>
              <w:top w:val="nil"/>
              <w:left w:val="nil"/>
              <w:bottom w:val="nil"/>
              <w:right w:val="nil"/>
            </w:tcBorders>
            <w:shd w:val="clear" w:color="auto" w:fill="auto"/>
            <w:noWrap/>
            <w:vAlign w:val="bottom"/>
            <w:hideMark/>
          </w:tcPr>
          <w:p w14:paraId="0C3F7E5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702,662 </w:t>
            </w:r>
          </w:p>
        </w:tc>
        <w:tc>
          <w:tcPr>
            <w:tcW w:w="560" w:type="pct"/>
            <w:tcBorders>
              <w:top w:val="nil"/>
              <w:left w:val="nil"/>
              <w:bottom w:val="nil"/>
              <w:right w:val="nil"/>
            </w:tcBorders>
            <w:shd w:val="clear" w:color="auto" w:fill="auto"/>
            <w:noWrap/>
            <w:vAlign w:val="bottom"/>
            <w:hideMark/>
          </w:tcPr>
          <w:p w14:paraId="0C3F7E5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483,058 </w:t>
            </w:r>
          </w:p>
        </w:tc>
        <w:tc>
          <w:tcPr>
            <w:tcW w:w="520" w:type="pct"/>
            <w:tcBorders>
              <w:top w:val="nil"/>
              <w:left w:val="nil"/>
              <w:bottom w:val="nil"/>
              <w:right w:val="nil"/>
            </w:tcBorders>
            <w:shd w:val="clear" w:color="auto" w:fill="auto"/>
            <w:noWrap/>
            <w:vAlign w:val="bottom"/>
            <w:hideMark/>
          </w:tcPr>
          <w:p w14:paraId="0C3F7E5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500,233 </w:t>
            </w:r>
          </w:p>
        </w:tc>
        <w:tc>
          <w:tcPr>
            <w:tcW w:w="566" w:type="pct"/>
            <w:tcBorders>
              <w:top w:val="nil"/>
              <w:left w:val="nil"/>
              <w:bottom w:val="nil"/>
              <w:right w:val="nil"/>
            </w:tcBorders>
            <w:shd w:val="clear" w:color="000000" w:fill="FF0000"/>
            <w:noWrap/>
            <w:vAlign w:val="bottom"/>
            <w:hideMark/>
          </w:tcPr>
          <w:p w14:paraId="0C3F7E5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1,927,091 </w:t>
            </w:r>
          </w:p>
        </w:tc>
        <w:tc>
          <w:tcPr>
            <w:tcW w:w="520" w:type="pct"/>
            <w:tcBorders>
              <w:top w:val="nil"/>
              <w:left w:val="nil"/>
              <w:bottom w:val="nil"/>
              <w:right w:val="nil"/>
            </w:tcBorders>
            <w:shd w:val="clear" w:color="auto" w:fill="auto"/>
            <w:noWrap/>
            <w:vAlign w:val="bottom"/>
            <w:hideMark/>
          </w:tcPr>
          <w:p w14:paraId="0C3F7E5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774,595 </w:t>
            </w:r>
          </w:p>
        </w:tc>
        <w:tc>
          <w:tcPr>
            <w:tcW w:w="520" w:type="pct"/>
            <w:tcBorders>
              <w:top w:val="nil"/>
              <w:left w:val="nil"/>
              <w:bottom w:val="nil"/>
              <w:right w:val="nil"/>
            </w:tcBorders>
            <w:shd w:val="clear" w:color="auto" w:fill="auto"/>
            <w:noWrap/>
            <w:vAlign w:val="bottom"/>
            <w:hideMark/>
          </w:tcPr>
          <w:p w14:paraId="0C3F7E5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297,555 </w:t>
            </w:r>
          </w:p>
        </w:tc>
      </w:tr>
      <w:tr w:rsidR="001850F0" w:rsidRPr="002D4C70" w14:paraId="0C3F7E60" w14:textId="77777777" w:rsidTr="001850F0">
        <w:trPr>
          <w:trHeight w:val="20"/>
        </w:trPr>
        <w:tc>
          <w:tcPr>
            <w:tcW w:w="562" w:type="pct"/>
            <w:vMerge/>
            <w:tcBorders>
              <w:top w:val="nil"/>
              <w:left w:val="nil"/>
              <w:bottom w:val="nil"/>
              <w:right w:val="nil"/>
            </w:tcBorders>
            <w:vAlign w:val="center"/>
            <w:hideMark/>
          </w:tcPr>
          <w:p w14:paraId="0C3F7E57"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58"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 xml:space="preserve">Mulgrave </w:t>
            </w:r>
          </w:p>
        </w:tc>
        <w:tc>
          <w:tcPr>
            <w:tcW w:w="560" w:type="pct"/>
            <w:tcBorders>
              <w:top w:val="nil"/>
              <w:left w:val="nil"/>
              <w:bottom w:val="nil"/>
              <w:right w:val="nil"/>
            </w:tcBorders>
            <w:shd w:val="clear" w:color="auto" w:fill="auto"/>
            <w:noWrap/>
            <w:vAlign w:val="bottom"/>
            <w:hideMark/>
          </w:tcPr>
          <w:p w14:paraId="0C3F7E5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728,917 </w:t>
            </w:r>
          </w:p>
        </w:tc>
        <w:tc>
          <w:tcPr>
            <w:tcW w:w="560" w:type="pct"/>
            <w:tcBorders>
              <w:top w:val="nil"/>
              <w:left w:val="nil"/>
              <w:bottom w:val="nil"/>
              <w:right w:val="nil"/>
            </w:tcBorders>
            <w:shd w:val="clear" w:color="auto" w:fill="auto"/>
            <w:noWrap/>
            <w:vAlign w:val="bottom"/>
            <w:hideMark/>
          </w:tcPr>
          <w:p w14:paraId="0C3F7E5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795,475 </w:t>
            </w:r>
          </w:p>
        </w:tc>
        <w:tc>
          <w:tcPr>
            <w:tcW w:w="560" w:type="pct"/>
            <w:tcBorders>
              <w:top w:val="nil"/>
              <w:left w:val="nil"/>
              <w:bottom w:val="nil"/>
              <w:right w:val="nil"/>
            </w:tcBorders>
            <w:shd w:val="clear" w:color="auto" w:fill="auto"/>
            <w:noWrap/>
            <w:vAlign w:val="bottom"/>
            <w:hideMark/>
          </w:tcPr>
          <w:p w14:paraId="0C3F7E5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380,792 </w:t>
            </w:r>
          </w:p>
        </w:tc>
        <w:tc>
          <w:tcPr>
            <w:tcW w:w="520" w:type="pct"/>
            <w:tcBorders>
              <w:top w:val="nil"/>
              <w:left w:val="nil"/>
              <w:bottom w:val="nil"/>
              <w:right w:val="nil"/>
            </w:tcBorders>
            <w:shd w:val="clear" w:color="auto" w:fill="auto"/>
            <w:noWrap/>
            <w:vAlign w:val="bottom"/>
            <w:hideMark/>
          </w:tcPr>
          <w:p w14:paraId="0C3F7E5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773,158 </w:t>
            </w:r>
          </w:p>
        </w:tc>
        <w:tc>
          <w:tcPr>
            <w:tcW w:w="566" w:type="pct"/>
            <w:tcBorders>
              <w:top w:val="nil"/>
              <w:left w:val="nil"/>
              <w:bottom w:val="nil"/>
              <w:right w:val="nil"/>
            </w:tcBorders>
            <w:shd w:val="clear" w:color="000000" w:fill="FFC000"/>
            <w:noWrap/>
            <w:vAlign w:val="bottom"/>
            <w:hideMark/>
          </w:tcPr>
          <w:p w14:paraId="0C3F7E5D"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1,568,750 </w:t>
            </w:r>
          </w:p>
        </w:tc>
        <w:tc>
          <w:tcPr>
            <w:tcW w:w="520" w:type="pct"/>
            <w:tcBorders>
              <w:top w:val="nil"/>
              <w:left w:val="nil"/>
              <w:bottom w:val="nil"/>
              <w:right w:val="nil"/>
            </w:tcBorders>
            <w:shd w:val="clear" w:color="auto" w:fill="auto"/>
            <w:noWrap/>
            <w:vAlign w:val="bottom"/>
            <w:hideMark/>
          </w:tcPr>
          <w:p w14:paraId="0C3F7E5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1,083,093 </w:t>
            </w:r>
          </w:p>
        </w:tc>
        <w:tc>
          <w:tcPr>
            <w:tcW w:w="520" w:type="pct"/>
            <w:tcBorders>
              <w:top w:val="nil"/>
              <w:left w:val="nil"/>
              <w:bottom w:val="nil"/>
              <w:right w:val="nil"/>
            </w:tcBorders>
            <w:shd w:val="clear" w:color="auto" w:fill="auto"/>
            <w:noWrap/>
            <w:vAlign w:val="bottom"/>
            <w:hideMark/>
          </w:tcPr>
          <w:p w14:paraId="0C3F7E5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567,079 </w:t>
            </w:r>
          </w:p>
        </w:tc>
      </w:tr>
      <w:tr w:rsidR="001850F0" w:rsidRPr="002D4C70" w14:paraId="0C3F7E6A" w14:textId="77777777" w:rsidTr="001850F0">
        <w:trPr>
          <w:trHeight w:val="20"/>
        </w:trPr>
        <w:tc>
          <w:tcPr>
            <w:tcW w:w="562" w:type="pct"/>
            <w:vMerge/>
            <w:tcBorders>
              <w:top w:val="nil"/>
              <w:left w:val="nil"/>
              <w:bottom w:val="nil"/>
              <w:right w:val="nil"/>
            </w:tcBorders>
            <w:vAlign w:val="center"/>
            <w:hideMark/>
          </w:tcPr>
          <w:p w14:paraId="0C3F7E61"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62"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Russell</w:t>
            </w:r>
          </w:p>
        </w:tc>
        <w:tc>
          <w:tcPr>
            <w:tcW w:w="560" w:type="pct"/>
            <w:tcBorders>
              <w:top w:val="nil"/>
              <w:left w:val="nil"/>
              <w:bottom w:val="nil"/>
              <w:right w:val="nil"/>
            </w:tcBorders>
            <w:shd w:val="clear" w:color="auto" w:fill="auto"/>
            <w:noWrap/>
            <w:vAlign w:val="bottom"/>
            <w:hideMark/>
          </w:tcPr>
          <w:p w14:paraId="0C3F7E6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995,142 </w:t>
            </w:r>
          </w:p>
        </w:tc>
        <w:tc>
          <w:tcPr>
            <w:tcW w:w="560" w:type="pct"/>
            <w:tcBorders>
              <w:top w:val="nil"/>
              <w:left w:val="nil"/>
              <w:bottom w:val="nil"/>
              <w:right w:val="nil"/>
            </w:tcBorders>
            <w:shd w:val="clear" w:color="auto" w:fill="auto"/>
            <w:noWrap/>
            <w:vAlign w:val="bottom"/>
            <w:hideMark/>
          </w:tcPr>
          <w:p w14:paraId="0C3F7E6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981,043 </w:t>
            </w:r>
          </w:p>
        </w:tc>
        <w:tc>
          <w:tcPr>
            <w:tcW w:w="560" w:type="pct"/>
            <w:tcBorders>
              <w:top w:val="nil"/>
              <w:left w:val="nil"/>
              <w:bottom w:val="nil"/>
              <w:right w:val="nil"/>
            </w:tcBorders>
            <w:shd w:val="clear" w:color="auto" w:fill="auto"/>
            <w:noWrap/>
            <w:vAlign w:val="bottom"/>
            <w:hideMark/>
          </w:tcPr>
          <w:p w14:paraId="0C3F7E6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348,369 </w:t>
            </w:r>
          </w:p>
        </w:tc>
        <w:tc>
          <w:tcPr>
            <w:tcW w:w="520" w:type="pct"/>
            <w:tcBorders>
              <w:top w:val="nil"/>
              <w:left w:val="nil"/>
              <w:bottom w:val="nil"/>
              <w:right w:val="nil"/>
            </w:tcBorders>
            <w:shd w:val="clear" w:color="auto" w:fill="auto"/>
            <w:noWrap/>
            <w:vAlign w:val="bottom"/>
            <w:hideMark/>
          </w:tcPr>
          <w:p w14:paraId="0C3F7E6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1,298,963 </w:t>
            </w:r>
          </w:p>
        </w:tc>
        <w:tc>
          <w:tcPr>
            <w:tcW w:w="566" w:type="pct"/>
            <w:tcBorders>
              <w:top w:val="nil"/>
              <w:left w:val="nil"/>
              <w:bottom w:val="nil"/>
              <w:right w:val="nil"/>
            </w:tcBorders>
            <w:shd w:val="clear" w:color="000000" w:fill="FFFF00"/>
            <w:noWrap/>
            <w:vAlign w:val="bottom"/>
            <w:hideMark/>
          </w:tcPr>
          <w:p w14:paraId="0C3F7E6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1,719,880 </w:t>
            </w:r>
          </w:p>
        </w:tc>
        <w:tc>
          <w:tcPr>
            <w:tcW w:w="520" w:type="pct"/>
            <w:tcBorders>
              <w:top w:val="nil"/>
              <w:left w:val="nil"/>
              <w:bottom w:val="nil"/>
              <w:right w:val="nil"/>
            </w:tcBorders>
            <w:shd w:val="clear" w:color="auto" w:fill="auto"/>
            <w:noWrap/>
            <w:vAlign w:val="bottom"/>
            <w:hideMark/>
          </w:tcPr>
          <w:p w14:paraId="0C3F7E6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1,290,488 </w:t>
            </w:r>
          </w:p>
        </w:tc>
        <w:tc>
          <w:tcPr>
            <w:tcW w:w="520" w:type="pct"/>
            <w:tcBorders>
              <w:top w:val="nil"/>
              <w:left w:val="nil"/>
              <w:bottom w:val="nil"/>
              <w:right w:val="nil"/>
            </w:tcBorders>
            <w:shd w:val="clear" w:color="auto" w:fill="auto"/>
            <w:noWrap/>
            <w:vAlign w:val="bottom"/>
            <w:hideMark/>
          </w:tcPr>
          <w:p w14:paraId="0C3F7E6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888,722 </w:t>
            </w:r>
          </w:p>
        </w:tc>
      </w:tr>
      <w:tr w:rsidR="001850F0" w:rsidRPr="002D4C70" w14:paraId="0C3F7E74" w14:textId="77777777" w:rsidTr="001850F0">
        <w:trPr>
          <w:trHeight w:val="20"/>
        </w:trPr>
        <w:tc>
          <w:tcPr>
            <w:tcW w:w="562" w:type="pct"/>
            <w:vMerge/>
            <w:tcBorders>
              <w:top w:val="nil"/>
              <w:left w:val="nil"/>
              <w:bottom w:val="nil"/>
              <w:right w:val="nil"/>
            </w:tcBorders>
            <w:vAlign w:val="center"/>
            <w:hideMark/>
          </w:tcPr>
          <w:p w14:paraId="0C3F7E6B"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6C"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2D4C70">
              <w:rPr>
                <w:rFonts w:ascii="Calibri" w:hAnsi="Calibri" w:cs="Times New Roman"/>
                <w:color w:val="000000"/>
                <w:sz w:val="18"/>
                <w:szCs w:val="16"/>
              </w:rPr>
              <w:t>N</w:t>
            </w:r>
            <w:r w:rsidRPr="00070E4B">
              <w:rPr>
                <w:rFonts w:ascii="Calibri" w:hAnsi="Calibri" w:cs="Times New Roman"/>
                <w:color w:val="000000"/>
                <w:sz w:val="18"/>
                <w:szCs w:val="16"/>
              </w:rPr>
              <w:t xml:space="preserve"> Johnstone</w:t>
            </w:r>
          </w:p>
        </w:tc>
        <w:tc>
          <w:tcPr>
            <w:tcW w:w="560" w:type="pct"/>
            <w:tcBorders>
              <w:top w:val="nil"/>
              <w:left w:val="nil"/>
              <w:bottom w:val="nil"/>
              <w:right w:val="nil"/>
            </w:tcBorders>
            <w:shd w:val="clear" w:color="auto" w:fill="auto"/>
            <w:noWrap/>
            <w:vAlign w:val="bottom"/>
            <w:hideMark/>
          </w:tcPr>
          <w:p w14:paraId="0C3F7E6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1,758,717 </w:t>
            </w:r>
          </w:p>
        </w:tc>
        <w:tc>
          <w:tcPr>
            <w:tcW w:w="560" w:type="pct"/>
            <w:tcBorders>
              <w:top w:val="nil"/>
              <w:left w:val="nil"/>
              <w:bottom w:val="nil"/>
              <w:right w:val="nil"/>
            </w:tcBorders>
            <w:shd w:val="clear" w:color="auto" w:fill="auto"/>
            <w:noWrap/>
            <w:vAlign w:val="bottom"/>
            <w:hideMark/>
          </w:tcPr>
          <w:p w14:paraId="0C3F7E6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1,821,250 </w:t>
            </w:r>
          </w:p>
        </w:tc>
        <w:tc>
          <w:tcPr>
            <w:tcW w:w="560" w:type="pct"/>
            <w:tcBorders>
              <w:top w:val="nil"/>
              <w:left w:val="nil"/>
              <w:bottom w:val="nil"/>
              <w:right w:val="nil"/>
            </w:tcBorders>
            <w:shd w:val="clear" w:color="auto" w:fill="auto"/>
            <w:noWrap/>
            <w:vAlign w:val="bottom"/>
            <w:hideMark/>
          </w:tcPr>
          <w:p w14:paraId="0C3F7E6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670,503 </w:t>
            </w:r>
          </w:p>
        </w:tc>
        <w:tc>
          <w:tcPr>
            <w:tcW w:w="520" w:type="pct"/>
            <w:tcBorders>
              <w:top w:val="nil"/>
              <w:left w:val="nil"/>
              <w:bottom w:val="nil"/>
              <w:right w:val="nil"/>
            </w:tcBorders>
            <w:shd w:val="clear" w:color="auto" w:fill="auto"/>
            <w:noWrap/>
            <w:vAlign w:val="bottom"/>
            <w:hideMark/>
          </w:tcPr>
          <w:p w14:paraId="0C3F7E7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1,826,418 </w:t>
            </w:r>
          </w:p>
        </w:tc>
        <w:tc>
          <w:tcPr>
            <w:tcW w:w="566" w:type="pct"/>
            <w:tcBorders>
              <w:top w:val="nil"/>
              <w:left w:val="nil"/>
              <w:bottom w:val="nil"/>
              <w:right w:val="nil"/>
            </w:tcBorders>
            <w:shd w:val="clear" w:color="000000" w:fill="FFC000"/>
            <w:noWrap/>
            <w:vAlign w:val="bottom"/>
            <w:hideMark/>
          </w:tcPr>
          <w:p w14:paraId="0C3F7E71"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3,541,632 </w:t>
            </w:r>
          </w:p>
        </w:tc>
        <w:tc>
          <w:tcPr>
            <w:tcW w:w="520" w:type="pct"/>
            <w:tcBorders>
              <w:top w:val="nil"/>
              <w:left w:val="nil"/>
              <w:bottom w:val="nil"/>
              <w:right w:val="nil"/>
            </w:tcBorders>
            <w:shd w:val="clear" w:color="auto" w:fill="auto"/>
            <w:noWrap/>
            <w:vAlign w:val="bottom"/>
            <w:hideMark/>
          </w:tcPr>
          <w:p w14:paraId="0C3F7E7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2,023,900 </w:t>
            </w:r>
          </w:p>
        </w:tc>
        <w:tc>
          <w:tcPr>
            <w:tcW w:w="520" w:type="pct"/>
            <w:tcBorders>
              <w:top w:val="nil"/>
              <w:left w:val="nil"/>
              <w:bottom w:val="nil"/>
              <w:right w:val="nil"/>
            </w:tcBorders>
            <w:shd w:val="clear" w:color="auto" w:fill="auto"/>
            <w:noWrap/>
            <w:vAlign w:val="bottom"/>
            <w:hideMark/>
          </w:tcPr>
          <w:p w14:paraId="0C3F7E7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1,478,171 </w:t>
            </w:r>
          </w:p>
        </w:tc>
      </w:tr>
      <w:tr w:rsidR="001850F0" w:rsidRPr="002D4C70" w14:paraId="0C3F7E7E" w14:textId="77777777" w:rsidTr="001850F0">
        <w:trPr>
          <w:trHeight w:val="20"/>
        </w:trPr>
        <w:tc>
          <w:tcPr>
            <w:tcW w:w="562" w:type="pct"/>
            <w:vMerge/>
            <w:tcBorders>
              <w:top w:val="nil"/>
              <w:left w:val="nil"/>
              <w:bottom w:val="nil"/>
              <w:right w:val="nil"/>
            </w:tcBorders>
            <w:vAlign w:val="center"/>
            <w:hideMark/>
          </w:tcPr>
          <w:p w14:paraId="0C3F7E75"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76"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2D4C70">
              <w:rPr>
                <w:rFonts w:ascii="Calibri" w:hAnsi="Calibri" w:cs="Times New Roman"/>
                <w:color w:val="000000"/>
                <w:sz w:val="18"/>
                <w:szCs w:val="16"/>
              </w:rPr>
              <w:t xml:space="preserve">S </w:t>
            </w:r>
            <w:r w:rsidRPr="00070E4B">
              <w:rPr>
                <w:rFonts w:ascii="Calibri" w:hAnsi="Calibri" w:cs="Times New Roman"/>
                <w:color w:val="000000"/>
                <w:sz w:val="18"/>
                <w:szCs w:val="16"/>
              </w:rPr>
              <w:t>Johnstone</w:t>
            </w:r>
          </w:p>
        </w:tc>
        <w:tc>
          <w:tcPr>
            <w:tcW w:w="560" w:type="pct"/>
            <w:tcBorders>
              <w:top w:val="nil"/>
              <w:left w:val="nil"/>
              <w:bottom w:val="nil"/>
              <w:right w:val="nil"/>
            </w:tcBorders>
            <w:shd w:val="clear" w:color="auto" w:fill="auto"/>
            <w:noWrap/>
            <w:vAlign w:val="bottom"/>
            <w:hideMark/>
          </w:tcPr>
          <w:p w14:paraId="0C3F7E7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850,463 </w:t>
            </w:r>
          </w:p>
        </w:tc>
        <w:tc>
          <w:tcPr>
            <w:tcW w:w="560" w:type="pct"/>
            <w:tcBorders>
              <w:top w:val="nil"/>
              <w:left w:val="nil"/>
              <w:bottom w:val="nil"/>
              <w:right w:val="nil"/>
            </w:tcBorders>
            <w:shd w:val="clear" w:color="auto" w:fill="auto"/>
            <w:noWrap/>
            <w:vAlign w:val="bottom"/>
            <w:hideMark/>
          </w:tcPr>
          <w:p w14:paraId="0C3F7E7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824,374 </w:t>
            </w:r>
          </w:p>
        </w:tc>
        <w:tc>
          <w:tcPr>
            <w:tcW w:w="560" w:type="pct"/>
            <w:tcBorders>
              <w:top w:val="nil"/>
              <w:left w:val="nil"/>
              <w:bottom w:val="nil"/>
              <w:right w:val="nil"/>
            </w:tcBorders>
            <w:shd w:val="clear" w:color="auto" w:fill="auto"/>
            <w:noWrap/>
            <w:vAlign w:val="bottom"/>
            <w:hideMark/>
          </w:tcPr>
          <w:p w14:paraId="0C3F7E7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320,024 </w:t>
            </w:r>
          </w:p>
        </w:tc>
        <w:tc>
          <w:tcPr>
            <w:tcW w:w="520" w:type="pct"/>
            <w:tcBorders>
              <w:top w:val="nil"/>
              <w:left w:val="nil"/>
              <w:bottom w:val="nil"/>
              <w:right w:val="nil"/>
            </w:tcBorders>
            <w:shd w:val="clear" w:color="auto" w:fill="auto"/>
            <w:noWrap/>
            <w:vAlign w:val="bottom"/>
            <w:hideMark/>
          </w:tcPr>
          <w:p w14:paraId="0C3F7E7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728,626 </w:t>
            </w:r>
          </w:p>
        </w:tc>
        <w:tc>
          <w:tcPr>
            <w:tcW w:w="566" w:type="pct"/>
            <w:tcBorders>
              <w:top w:val="nil"/>
              <w:left w:val="nil"/>
              <w:bottom w:val="nil"/>
              <w:right w:val="nil"/>
            </w:tcBorders>
            <w:shd w:val="clear" w:color="000000" w:fill="FFFF00"/>
            <w:noWrap/>
            <w:vAlign w:val="bottom"/>
            <w:hideMark/>
          </w:tcPr>
          <w:p w14:paraId="0C3F7E7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1,612,187 </w:t>
            </w:r>
          </w:p>
        </w:tc>
        <w:tc>
          <w:tcPr>
            <w:tcW w:w="520" w:type="pct"/>
            <w:tcBorders>
              <w:top w:val="nil"/>
              <w:left w:val="nil"/>
              <w:bottom w:val="nil"/>
              <w:right w:val="nil"/>
            </w:tcBorders>
            <w:shd w:val="clear" w:color="auto" w:fill="auto"/>
            <w:noWrap/>
            <w:vAlign w:val="bottom"/>
            <w:hideMark/>
          </w:tcPr>
          <w:p w14:paraId="0C3F7E7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941,983 </w:t>
            </w:r>
          </w:p>
        </w:tc>
        <w:tc>
          <w:tcPr>
            <w:tcW w:w="520" w:type="pct"/>
            <w:tcBorders>
              <w:top w:val="nil"/>
              <w:left w:val="nil"/>
              <w:bottom w:val="nil"/>
              <w:right w:val="nil"/>
            </w:tcBorders>
            <w:shd w:val="clear" w:color="auto" w:fill="auto"/>
            <w:noWrap/>
            <w:vAlign w:val="bottom"/>
            <w:hideMark/>
          </w:tcPr>
          <w:p w14:paraId="0C3F7E7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584,344 </w:t>
            </w:r>
          </w:p>
        </w:tc>
      </w:tr>
      <w:tr w:rsidR="001850F0" w:rsidRPr="002D4C70" w14:paraId="0C3F7E88" w14:textId="77777777" w:rsidTr="001850F0">
        <w:trPr>
          <w:trHeight w:val="20"/>
        </w:trPr>
        <w:tc>
          <w:tcPr>
            <w:tcW w:w="562" w:type="pct"/>
            <w:vMerge/>
            <w:tcBorders>
              <w:top w:val="nil"/>
              <w:left w:val="nil"/>
              <w:bottom w:val="nil"/>
              <w:right w:val="nil"/>
            </w:tcBorders>
            <w:vAlign w:val="center"/>
            <w:hideMark/>
          </w:tcPr>
          <w:p w14:paraId="0C3F7E7F"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right w:val="nil"/>
            </w:tcBorders>
            <w:shd w:val="clear" w:color="auto" w:fill="auto"/>
            <w:noWrap/>
            <w:vAlign w:val="bottom"/>
            <w:hideMark/>
          </w:tcPr>
          <w:p w14:paraId="0C3F7E80"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Tully</w:t>
            </w:r>
            <w:r w:rsidRPr="001850F0">
              <w:rPr>
                <w:rFonts w:ascii="Calibri" w:hAnsi="Calibri" w:cs="Times New Roman"/>
                <w:color w:val="000000"/>
                <w:sz w:val="18"/>
                <w:szCs w:val="16"/>
                <w:vertAlign w:val="superscript"/>
              </w:rPr>
              <w:t>1</w:t>
            </w:r>
          </w:p>
        </w:tc>
        <w:tc>
          <w:tcPr>
            <w:tcW w:w="560" w:type="pct"/>
            <w:tcBorders>
              <w:top w:val="nil"/>
              <w:left w:val="nil"/>
              <w:right w:val="nil"/>
            </w:tcBorders>
            <w:shd w:val="clear" w:color="auto" w:fill="auto"/>
            <w:noWrap/>
            <w:vAlign w:val="bottom"/>
            <w:hideMark/>
          </w:tcPr>
          <w:p w14:paraId="0C3F7E8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2,944,018 </w:t>
            </w:r>
          </w:p>
        </w:tc>
        <w:tc>
          <w:tcPr>
            <w:tcW w:w="560" w:type="pct"/>
            <w:tcBorders>
              <w:top w:val="nil"/>
              <w:left w:val="nil"/>
              <w:right w:val="nil"/>
            </w:tcBorders>
            <w:shd w:val="clear" w:color="auto" w:fill="auto"/>
            <w:noWrap/>
            <w:vAlign w:val="bottom"/>
            <w:hideMark/>
          </w:tcPr>
          <w:p w14:paraId="0C3F7E8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2,989,001 </w:t>
            </w:r>
          </w:p>
        </w:tc>
        <w:tc>
          <w:tcPr>
            <w:tcW w:w="560" w:type="pct"/>
            <w:tcBorders>
              <w:top w:val="nil"/>
              <w:left w:val="nil"/>
              <w:right w:val="nil"/>
            </w:tcBorders>
            <w:shd w:val="clear" w:color="auto" w:fill="auto"/>
            <w:noWrap/>
            <w:vAlign w:val="bottom"/>
            <w:hideMark/>
          </w:tcPr>
          <w:p w14:paraId="0C3F7E8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1,157,654 </w:t>
            </w:r>
          </w:p>
        </w:tc>
        <w:tc>
          <w:tcPr>
            <w:tcW w:w="520" w:type="pct"/>
            <w:tcBorders>
              <w:top w:val="nil"/>
              <w:left w:val="nil"/>
              <w:right w:val="nil"/>
            </w:tcBorders>
            <w:shd w:val="clear" w:color="auto" w:fill="auto"/>
            <w:noWrap/>
            <w:vAlign w:val="bottom"/>
            <w:hideMark/>
          </w:tcPr>
          <w:p w14:paraId="0C3F7E8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2,984,477 </w:t>
            </w:r>
          </w:p>
        </w:tc>
        <w:tc>
          <w:tcPr>
            <w:tcW w:w="566" w:type="pct"/>
            <w:tcBorders>
              <w:top w:val="nil"/>
              <w:left w:val="nil"/>
              <w:right w:val="nil"/>
            </w:tcBorders>
            <w:shd w:val="clear" w:color="000000" w:fill="FFC000"/>
            <w:noWrap/>
            <w:vAlign w:val="bottom"/>
            <w:hideMark/>
          </w:tcPr>
          <w:p w14:paraId="0C3F7E85"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6,202,306 </w:t>
            </w:r>
          </w:p>
        </w:tc>
        <w:tc>
          <w:tcPr>
            <w:tcW w:w="520" w:type="pct"/>
            <w:tcBorders>
              <w:top w:val="nil"/>
              <w:left w:val="nil"/>
              <w:right w:val="nil"/>
            </w:tcBorders>
            <w:shd w:val="clear" w:color="auto" w:fill="auto"/>
            <w:noWrap/>
            <w:vAlign w:val="bottom"/>
            <w:hideMark/>
          </w:tcPr>
          <w:p w14:paraId="0C3F7E8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2,854,247 </w:t>
            </w:r>
          </w:p>
        </w:tc>
        <w:tc>
          <w:tcPr>
            <w:tcW w:w="520" w:type="pct"/>
            <w:tcBorders>
              <w:top w:val="nil"/>
              <w:left w:val="nil"/>
              <w:right w:val="nil"/>
            </w:tcBorders>
            <w:shd w:val="clear" w:color="auto" w:fill="auto"/>
            <w:noWrap/>
            <w:vAlign w:val="bottom"/>
            <w:hideMark/>
          </w:tcPr>
          <w:p w14:paraId="0C3F7E8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2,775,345 </w:t>
            </w:r>
          </w:p>
        </w:tc>
      </w:tr>
      <w:tr w:rsidR="001850F0" w:rsidRPr="002D4C70" w14:paraId="0C3F7E92" w14:textId="77777777" w:rsidTr="001850F0">
        <w:trPr>
          <w:trHeight w:val="20"/>
        </w:trPr>
        <w:tc>
          <w:tcPr>
            <w:tcW w:w="562" w:type="pct"/>
            <w:vMerge/>
            <w:tcBorders>
              <w:top w:val="nil"/>
              <w:left w:val="nil"/>
              <w:bottom w:val="single" w:sz="4" w:space="0" w:color="auto"/>
              <w:right w:val="nil"/>
            </w:tcBorders>
            <w:vAlign w:val="center"/>
            <w:hideMark/>
          </w:tcPr>
          <w:p w14:paraId="0C3F7E89"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single" w:sz="4" w:space="0" w:color="auto"/>
              <w:right w:val="nil"/>
            </w:tcBorders>
            <w:shd w:val="clear" w:color="auto" w:fill="auto"/>
            <w:noWrap/>
            <w:vAlign w:val="bottom"/>
            <w:hideMark/>
          </w:tcPr>
          <w:p w14:paraId="0C3F7E8A"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Herbert</w:t>
            </w:r>
          </w:p>
        </w:tc>
        <w:tc>
          <w:tcPr>
            <w:tcW w:w="560" w:type="pct"/>
            <w:tcBorders>
              <w:top w:val="nil"/>
              <w:left w:val="nil"/>
              <w:bottom w:val="single" w:sz="4" w:space="0" w:color="auto"/>
              <w:right w:val="nil"/>
            </w:tcBorders>
            <w:shd w:val="clear" w:color="auto" w:fill="auto"/>
            <w:noWrap/>
            <w:vAlign w:val="bottom"/>
            <w:hideMark/>
          </w:tcPr>
          <w:p w14:paraId="0C3F7E8B"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60" w:type="pct"/>
            <w:tcBorders>
              <w:top w:val="nil"/>
              <w:left w:val="nil"/>
              <w:bottom w:val="single" w:sz="4" w:space="0" w:color="auto"/>
              <w:right w:val="nil"/>
            </w:tcBorders>
            <w:shd w:val="clear" w:color="auto" w:fill="auto"/>
            <w:noWrap/>
            <w:vAlign w:val="bottom"/>
            <w:hideMark/>
          </w:tcPr>
          <w:p w14:paraId="0C3F7E8C"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60" w:type="pct"/>
            <w:tcBorders>
              <w:top w:val="nil"/>
              <w:left w:val="nil"/>
              <w:bottom w:val="single" w:sz="4" w:space="0" w:color="auto"/>
              <w:right w:val="nil"/>
            </w:tcBorders>
            <w:shd w:val="clear" w:color="auto" w:fill="auto"/>
            <w:noWrap/>
            <w:vAlign w:val="bottom"/>
            <w:hideMark/>
          </w:tcPr>
          <w:p w14:paraId="0C3F7E8D" w14:textId="77777777" w:rsidR="001850F0" w:rsidRPr="00070E4B" w:rsidRDefault="001850F0" w:rsidP="001850F0">
            <w:pPr>
              <w:spacing w:before="0" w:after="0" w:line="0" w:lineRule="atLeast"/>
              <w:jc w:val="right"/>
              <w:rPr>
                <w:rFonts w:ascii="Calibri" w:hAnsi="Calibri" w:cs="Times New Roman"/>
                <w:color w:val="000000"/>
                <w:sz w:val="18"/>
                <w:szCs w:val="16"/>
              </w:rPr>
            </w:pPr>
          </w:p>
        </w:tc>
        <w:tc>
          <w:tcPr>
            <w:tcW w:w="520" w:type="pct"/>
            <w:tcBorders>
              <w:top w:val="nil"/>
              <w:left w:val="nil"/>
              <w:bottom w:val="single" w:sz="4" w:space="0" w:color="auto"/>
              <w:right w:val="nil"/>
            </w:tcBorders>
            <w:shd w:val="clear" w:color="auto" w:fill="auto"/>
            <w:noWrap/>
            <w:vAlign w:val="bottom"/>
            <w:hideMark/>
          </w:tcPr>
          <w:p w14:paraId="0C3F7E8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3,163,763 </w:t>
            </w:r>
          </w:p>
        </w:tc>
        <w:tc>
          <w:tcPr>
            <w:tcW w:w="566" w:type="pct"/>
            <w:tcBorders>
              <w:top w:val="nil"/>
              <w:left w:val="nil"/>
              <w:bottom w:val="single" w:sz="4" w:space="0" w:color="auto"/>
              <w:right w:val="nil"/>
            </w:tcBorders>
            <w:shd w:val="clear" w:color="auto" w:fill="auto"/>
            <w:noWrap/>
            <w:vAlign w:val="bottom"/>
            <w:hideMark/>
          </w:tcPr>
          <w:p w14:paraId="0C3F7E8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11,448,794 </w:t>
            </w:r>
          </w:p>
        </w:tc>
        <w:tc>
          <w:tcPr>
            <w:tcW w:w="520" w:type="pct"/>
            <w:tcBorders>
              <w:top w:val="nil"/>
              <w:left w:val="nil"/>
              <w:bottom w:val="single" w:sz="4" w:space="0" w:color="auto"/>
              <w:right w:val="nil"/>
            </w:tcBorders>
            <w:shd w:val="clear" w:color="auto" w:fill="auto"/>
            <w:noWrap/>
            <w:vAlign w:val="bottom"/>
            <w:hideMark/>
          </w:tcPr>
          <w:p w14:paraId="0C3F7E9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4,131,993 </w:t>
            </w:r>
          </w:p>
        </w:tc>
        <w:tc>
          <w:tcPr>
            <w:tcW w:w="520" w:type="pct"/>
            <w:tcBorders>
              <w:top w:val="nil"/>
              <w:left w:val="nil"/>
              <w:bottom w:val="single" w:sz="4" w:space="0" w:color="auto"/>
              <w:right w:val="nil"/>
            </w:tcBorders>
            <w:shd w:val="clear" w:color="auto" w:fill="auto"/>
            <w:noWrap/>
            <w:vAlign w:val="bottom"/>
            <w:hideMark/>
          </w:tcPr>
          <w:p w14:paraId="0C3F7E9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2,896,025 </w:t>
            </w:r>
          </w:p>
        </w:tc>
      </w:tr>
      <w:tr w:rsidR="001850F0" w:rsidRPr="002D4C70" w14:paraId="0C3F7E9C" w14:textId="77777777" w:rsidTr="001850F0">
        <w:trPr>
          <w:trHeight w:val="20"/>
        </w:trPr>
        <w:tc>
          <w:tcPr>
            <w:tcW w:w="562" w:type="pct"/>
            <w:vMerge w:val="restart"/>
            <w:tcBorders>
              <w:top w:val="single" w:sz="4" w:space="0" w:color="auto"/>
              <w:left w:val="nil"/>
              <w:right w:val="nil"/>
            </w:tcBorders>
            <w:shd w:val="clear" w:color="auto" w:fill="auto"/>
            <w:vAlign w:val="center"/>
            <w:hideMark/>
          </w:tcPr>
          <w:p w14:paraId="0C3F7E93"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Burdekin</w:t>
            </w:r>
          </w:p>
        </w:tc>
        <w:tc>
          <w:tcPr>
            <w:tcW w:w="632" w:type="pct"/>
            <w:tcBorders>
              <w:top w:val="single" w:sz="4" w:space="0" w:color="auto"/>
              <w:left w:val="nil"/>
              <w:bottom w:val="nil"/>
              <w:right w:val="nil"/>
            </w:tcBorders>
            <w:shd w:val="clear" w:color="auto" w:fill="auto"/>
            <w:noWrap/>
            <w:vAlign w:val="bottom"/>
            <w:hideMark/>
          </w:tcPr>
          <w:p w14:paraId="0C3F7E94"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Burdekin</w:t>
            </w:r>
          </w:p>
        </w:tc>
        <w:tc>
          <w:tcPr>
            <w:tcW w:w="560" w:type="pct"/>
            <w:tcBorders>
              <w:top w:val="single" w:sz="4" w:space="0" w:color="auto"/>
              <w:left w:val="nil"/>
              <w:bottom w:val="nil"/>
              <w:right w:val="nil"/>
            </w:tcBorders>
            <w:shd w:val="clear" w:color="auto" w:fill="auto"/>
            <w:noWrap/>
            <w:vAlign w:val="bottom"/>
            <w:hideMark/>
          </w:tcPr>
          <w:p w14:paraId="0C3F7E9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5,312,986 </w:t>
            </w:r>
          </w:p>
        </w:tc>
        <w:tc>
          <w:tcPr>
            <w:tcW w:w="560" w:type="pct"/>
            <w:tcBorders>
              <w:top w:val="single" w:sz="4" w:space="0" w:color="auto"/>
              <w:left w:val="nil"/>
              <w:bottom w:val="nil"/>
              <w:right w:val="nil"/>
            </w:tcBorders>
            <w:shd w:val="clear" w:color="auto" w:fill="auto"/>
            <w:noWrap/>
            <w:vAlign w:val="bottom"/>
            <w:hideMark/>
          </w:tcPr>
          <w:p w14:paraId="0C3F7E9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7,490,799 </w:t>
            </w:r>
          </w:p>
        </w:tc>
        <w:tc>
          <w:tcPr>
            <w:tcW w:w="560" w:type="pct"/>
            <w:tcBorders>
              <w:top w:val="single" w:sz="4" w:space="0" w:color="auto"/>
              <w:left w:val="nil"/>
              <w:bottom w:val="nil"/>
              <w:right w:val="nil"/>
            </w:tcBorders>
            <w:shd w:val="clear" w:color="auto" w:fill="auto"/>
            <w:noWrap/>
            <w:vAlign w:val="bottom"/>
            <w:hideMark/>
          </w:tcPr>
          <w:p w14:paraId="0C3F7E9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8,285,066 </w:t>
            </w:r>
          </w:p>
        </w:tc>
        <w:tc>
          <w:tcPr>
            <w:tcW w:w="520" w:type="pct"/>
            <w:tcBorders>
              <w:top w:val="single" w:sz="4" w:space="0" w:color="auto"/>
              <w:left w:val="nil"/>
              <w:bottom w:val="nil"/>
              <w:right w:val="nil"/>
            </w:tcBorders>
            <w:shd w:val="clear" w:color="auto" w:fill="auto"/>
            <w:noWrap/>
            <w:vAlign w:val="bottom"/>
            <w:hideMark/>
          </w:tcPr>
          <w:p w14:paraId="0C3F7E9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7,946,435 </w:t>
            </w:r>
          </w:p>
        </w:tc>
        <w:tc>
          <w:tcPr>
            <w:tcW w:w="566" w:type="pct"/>
            <w:tcBorders>
              <w:top w:val="single" w:sz="4" w:space="0" w:color="auto"/>
              <w:left w:val="nil"/>
              <w:bottom w:val="nil"/>
              <w:right w:val="nil"/>
            </w:tcBorders>
            <w:shd w:val="clear" w:color="000000" w:fill="FF0000"/>
            <w:noWrap/>
            <w:vAlign w:val="bottom"/>
            <w:hideMark/>
          </w:tcPr>
          <w:p w14:paraId="0C3F7E9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34,834,316 </w:t>
            </w:r>
          </w:p>
        </w:tc>
        <w:tc>
          <w:tcPr>
            <w:tcW w:w="520" w:type="pct"/>
            <w:tcBorders>
              <w:top w:val="single" w:sz="4" w:space="0" w:color="auto"/>
              <w:left w:val="nil"/>
              <w:bottom w:val="nil"/>
              <w:right w:val="nil"/>
            </w:tcBorders>
            <w:shd w:val="clear" w:color="000000" w:fill="FFC000"/>
            <w:noWrap/>
            <w:vAlign w:val="bottom"/>
            <w:hideMark/>
          </w:tcPr>
          <w:p w14:paraId="0C3F7E9A"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15,568,159 </w:t>
            </w:r>
          </w:p>
        </w:tc>
        <w:tc>
          <w:tcPr>
            <w:tcW w:w="520" w:type="pct"/>
            <w:tcBorders>
              <w:top w:val="single" w:sz="4" w:space="0" w:color="auto"/>
              <w:left w:val="nil"/>
              <w:bottom w:val="nil"/>
              <w:right w:val="nil"/>
            </w:tcBorders>
            <w:shd w:val="clear" w:color="auto" w:fill="auto"/>
            <w:noWrap/>
            <w:vAlign w:val="bottom"/>
            <w:hideMark/>
          </w:tcPr>
          <w:p w14:paraId="0C3F7E9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3,417,924 </w:t>
            </w:r>
          </w:p>
        </w:tc>
      </w:tr>
      <w:tr w:rsidR="001850F0" w:rsidRPr="002D4C70" w14:paraId="0C3F7EA6" w14:textId="77777777" w:rsidTr="001850F0">
        <w:trPr>
          <w:trHeight w:val="20"/>
        </w:trPr>
        <w:tc>
          <w:tcPr>
            <w:tcW w:w="562" w:type="pct"/>
            <w:vMerge/>
            <w:tcBorders>
              <w:left w:val="nil"/>
              <w:bottom w:val="single" w:sz="4" w:space="0" w:color="auto"/>
              <w:right w:val="nil"/>
            </w:tcBorders>
            <w:shd w:val="clear" w:color="auto" w:fill="auto"/>
            <w:vAlign w:val="center"/>
            <w:hideMark/>
          </w:tcPr>
          <w:p w14:paraId="0C3F7E9D"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left w:val="nil"/>
              <w:bottom w:val="single" w:sz="4" w:space="0" w:color="auto"/>
              <w:right w:val="nil"/>
            </w:tcBorders>
            <w:shd w:val="clear" w:color="auto" w:fill="auto"/>
            <w:noWrap/>
            <w:vAlign w:val="bottom"/>
            <w:hideMark/>
          </w:tcPr>
          <w:p w14:paraId="0C3F7E9E"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Don</w:t>
            </w:r>
          </w:p>
        </w:tc>
        <w:tc>
          <w:tcPr>
            <w:tcW w:w="560" w:type="pct"/>
            <w:tcBorders>
              <w:left w:val="nil"/>
              <w:bottom w:val="single" w:sz="4" w:space="0" w:color="auto"/>
              <w:right w:val="nil"/>
            </w:tcBorders>
            <w:shd w:val="clear" w:color="auto" w:fill="auto"/>
            <w:noWrap/>
            <w:vAlign w:val="bottom"/>
            <w:hideMark/>
          </w:tcPr>
          <w:p w14:paraId="0C3F7E9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51,243 </w:t>
            </w:r>
          </w:p>
        </w:tc>
        <w:tc>
          <w:tcPr>
            <w:tcW w:w="560" w:type="pct"/>
            <w:tcBorders>
              <w:left w:val="nil"/>
              <w:bottom w:val="single" w:sz="4" w:space="0" w:color="auto"/>
              <w:right w:val="nil"/>
            </w:tcBorders>
            <w:shd w:val="clear" w:color="auto" w:fill="auto"/>
            <w:noWrap/>
            <w:vAlign w:val="bottom"/>
            <w:hideMark/>
          </w:tcPr>
          <w:p w14:paraId="0C3F7EA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162,586 </w:t>
            </w:r>
          </w:p>
        </w:tc>
        <w:tc>
          <w:tcPr>
            <w:tcW w:w="560" w:type="pct"/>
            <w:tcBorders>
              <w:left w:val="nil"/>
              <w:bottom w:val="single" w:sz="4" w:space="0" w:color="auto"/>
              <w:right w:val="nil"/>
            </w:tcBorders>
            <w:shd w:val="clear" w:color="auto" w:fill="auto"/>
            <w:noWrap/>
            <w:vAlign w:val="bottom"/>
            <w:hideMark/>
          </w:tcPr>
          <w:p w14:paraId="0C3F7EA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261,912 </w:t>
            </w:r>
          </w:p>
        </w:tc>
        <w:tc>
          <w:tcPr>
            <w:tcW w:w="520" w:type="pct"/>
            <w:tcBorders>
              <w:left w:val="nil"/>
              <w:bottom w:val="single" w:sz="4" w:space="0" w:color="auto"/>
              <w:right w:val="nil"/>
            </w:tcBorders>
            <w:shd w:val="clear" w:color="000000" w:fill="FFC000"/>
            <w:noWrap/>
            <w:vAlign w:val="bottom"/>
            <w:hideMark/>
          </w:tcPr>
          <w:p w14:paraId="0C3F7EA2"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144,481 </w:t>
            </w:r>
          </w:p>
        </w:tc>
        <w:tc>
          <w:tcPr>
            <w:tcW w:w="566" w:type="pct"/>
            <w:tcBorders>
              <w:left w:val="nil"/>
              <w:bottom w:val="single" w:sz="4" w:space="0" w:color="auto"/>
              <w:right w:val="nil"/>
            </w:tcBorders>
            <w:shd w:val="clear" w:color="000000" w:fill="FF0000"/>
            <w:noWrap/>
            <w:vAlign w:val="bottom"/>
            <w:hideMark/>
          </w:tcPr>
          <w:p w14:paraId="0C3F7EA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847,617 </w:t>
            </w:r>
          </w:p>
        </w:tc>
        <w:tc>
          <w:tcPr>
            <w:tcW w:w="520" w:type="pct"/>
            <w:tcBorders>
              <w:left w:val="nil"/>
              <w:bottom w:val="single" w:sz="4" w:space="0" w:color="auto"/>
              <w:right w:val="nil"/>
            </w:tcBorders>
            <w:shd w:val="clear" w:color="000000" w:fill="FF0000"/>
            <w:noWrap/>
            <w:vAlign w:val="bottom"/>
            <w:hideMark/>
          </w:tcPr>
          <w:p w14:paraId="0C3F7EA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216,956 </w:t>
            </w:r>
          </w:p>
        </w:tc>
        <w:tc>
          <w:tcPr>
            <w:tcW w:w="520" w:type="pct"/>
            <w:tcBorders>
              <w:left w:val="nil"/>
              <w:bottom w:val="single" w:sz="4" w:space="0" w:color="auto"/>
              <w:right w:val="nil"/>
            </w:tcBorders>
            <w:shd w:val="clear" w:color="000000" w:fill="FF0000"/>
            <w:noWrap/>
            <w:vAlign w:val="bottom"/>
            <w:hideMark/>
          </w:tcPr>
          <w:p w14:paraId="0C3F7EA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179,755 </w:t>
            </w:r>
          </w:p>
        </w:tc>
      </w:tr>
      <w:tr w:rsidR="001850F0" w:rsidRPr="002D4C70" w14:paraId="0C3F7EB0" w14:textId="77777777" w:rsidTr="001850F0">
        <w:trPr>
          <w:trHeight w:val="20"/>
        </w:trPr>
        <w:tc>
          <w:tcPr>
            <w:tcW w:w="562" w:type="pct"/>
            <w:vMerge w:val="restart"/>
            <w:tcBorders>
              <w:top w:val="single" w:sz="4" w:space="0" w:color="auto"/>
              <w:left w:val="nil"/>
              <w:right w:val="nil"/>
            </w:tcBorders>
            <w:shd w:val="clear" w:color="auto" w:fill="auto"/>
            <w:vAlign w:val="center"/>
            <w:hideMark/>
          </w:tcPr>
          <w:p w14:paraId="0C3F7EA7"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Mackay Whitsunday</w:t>
            </w:r>
          </w:p>
        </w:tc>
        <w:tc>
          <w:tcPr>
            <w:tcW w:w="632" w:type="pct"/>
            <w:tcBorders>
              <w:top w:val="single" w:sz="4" w:space="0" w:color="auto"/>
              <w:left w:val="nil"/>
              <w:bottom w:val="nil"/>
              <w:right w:val="nil"/>
            </w:tcBorders>
            <w:shd w:val="clear" w:color="auto" w:fill="auto"/>
            <w:noWrap/>
            <w:vAlign w:val="bottom"/>
            <w:hideMark/>
          </w:tcPr>
          <w:p w14:paraId="0C3F7EA8"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Proserpine</w:t>
            </w:r>
          </w:p>
        </w:tc>
        <w:tc>
          <w:tcPr>
            <w:tcW w:w="560" w:type="pct"/>
            <w:tcBorders>
              <w:top w:val="single" w:sz="4" w:space="0" w:color="auto"/>
              <w:left w:val="nil"/>
              <w:bottom w:val="nil"/>
              <w:right w:val="nil"/>
            </w:tcBorders>
            <w:shd w:val="clear" w:color="auto" w:fill="auto"/>
            <w:noWrap/>
            <w:vAlign w:val="bottom"/>
            <w:hideMark/>
          </w:tcPr>
          <w:p w14:paraId="0C3F7EA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14,632 </w:t>
            </w:r>
          </w:p>
        </w:tc>
        <w:tc>
          <w:tcPr>
            <w:tcW w:w="560" w:type="pct"/>
            <w:tcBorders>
              <w:top w:val="single" w:sz="4" w:space="0" w:color="auto"/>
              <w:left w:val="nil"/>
              <w:bottom w:val="nil"/>
              <w:right w:val="nil"/>
            </w:tcBorders>
            <w:shd w:val="clear" w:color="auto" w:fill="auto"/>
            <w:noWrap/>
            <w:vAlign w:val="bottom"/>
            <w:hideMark/>
          </w:tcPr>
          <w:p w14:paraId="0C3F7EA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23,617 </w:t>
            </w:r>
          </w:p>
        </w:tc>
        <w:tc>
          <w:tcPr>
            <w:tcW w:w="560" w:type="pct"/>
            <w:tcBorders>
              <w:top w:val="single" w:sz="4" w:space="0" w:color="auto"/>
              <w:left w:val="nil"/>
              <w:bottom w:val="nil"/>
              <w:right w:val="nil"/>
            </w:tcBorders>
            <w:shd w:val="clear" w:color="auto" w:fill="auto"/>
            <w:noWrap/>
            <w:vAlign w:val="bottom"/>
            <w:hideMark/>
          </w:tcPr>
          <w:p w14:paraId="0C3F7EA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20,620 </w:t>
            </w:r>
          </w:p>
        </w:tc>
        <w:tc>
          <w:tcPr>
            <w:tcW w:w="520" w:type="pct"/>
            <w:tcBorders>
              <w:top w:val="single" w:sz="4" w:space="0" w:color="auto"/>
              <w:left w:val="nil"/>
              <w:bottom w:val="nil"/>
              <w:right w:val="nil"/>
            </w:tcBorders>
            <w:shd w:val="clear" w:color="000000" w:fill="FF0000"/>
            <w:noWrap/>
            <w:vAlign w:val="bottom"/>
            <w:hideMark/>
          </w:tcPr>
          <w:p w14:paraId="0C3F7EA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52,304 </w:t>
            </w:r>
          </w:p>
        </w:tc>
        <w:tc>
          <w:tcPr>
            <w:tcW w:w="566" w:type="pct"/>
            <w:tcBorders>
              <w:top w:val="single" w:sz="4" w:space="0" w:color="auto"/>
              <w:left w:val="nil"/>
              <w:bottom w:val="nil"/>
              <w:right w:val="nil"/>
            </w:tcBorders>
            <w:shd w:val="clear" w:color="000000" w:fill="FF0000"/>
            <w:noWrap/>
            <w:vAlign w:val="bottom"/>
            <w:hideMark/>
          </w:tcPr>
          <w:p w14:paraId="0C3F7EA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346,248 </w:t>
            </w:r>
          </w:p>
        </w:tc>
        <w:tc>
          <w:tcPr>
            <w:tcW w:w="520" w:type="pct"/>
            <w:tcBorders>
              <w:top w:val="single" w:sz="4" w:space="0" w:color="auto"/>
              <w:left w:val="nil"/>
              <w:bottom w:val="nil"/>
              <w:right w:val="nil"/>
            </w:tcBorders>
            <w:shd w:val="clear" w:color="000000" w:fill="FF0000"/>
            <w:noWrap/>
            <w:vAlign w:val="bottom"/>
            <w:hideMark/>
          </w:tcPr>
          <w:p w14:paraId="0C3F7EA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51,927 </w:t>
            </w:r>
          </w:p>
        </w:tc>
        <w:tc>
          <w:tcPr>
            <w:tcW w:w="520" w:type="pct"/>
            <w:tcBorders>
              <w:top w:val="single" w:sz="4" w:space="0" w:color="auto"/>
              <w:left w:val="nil"/>
              <w:bottom w:val="nil"/>
              <w:right w:val="nil"/>
            </w:tcBorders>
            <w:shd w:val="clear" w:color="000000" w:fill="FFC000"/>
            <w:noWrap/>
            <w:vAlign w:val="bottom"/>
            <w:hideMark/>
          </w:tcPr>
          <w:p w14:paraId="0C3F7EAF"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37,411 </w:t>
            </w:r>
          </w:p>
        </w:tc>
      </w:tr>
      <w:tr w:rsidR="001850F0" w:rsidRPr="002D4C70" w14:paraId="0C3F7EBA" w14:textId="77777777" w:rsidTr="001850F0">
        <w:trPr>
          <w:trHeight w:val="20"/>
        </w:trPr>
        <w:tc>
          <w:tcPr>
            <w:tcW w:w="562" w:type="pct"/>
            <w:vMerge/>
            <w:tcBorders>
              <w:left w:val="nil"/>
              <w:right w:val="nil"/>
            </w:tcBorders>
            <w:shd w:val="clear" w:color="auto" w:fill="auto"/>
            <w:vAlign w:val="center"/>
            <w:hideMark/>
          </w:tcPr>
          <w:p w14:paraId="0C3F7EB1"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B2"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O'Connell</w:t>
            </w:r>
          </w:p>
        </w:tc>
        <w:tc>
          <w:tcPr>
            <w:tcW w:w="560" w:type="pct"/>
            <w:tcBorders>
              <w:top w:val="nil"/>
              <w:left w:val="nil"/>
              <w:bottom w:val="nil"/>
              <w:right w:val="nil"/>
            </w:tcBorders>
            <w:shd w:val="clear" w:color="auto" w:fill="auto"/>
            <w:noWrap/>
            <w:vAlign w:val="bottom"/>
            <w:hideMark/>
          </w:tcPr>
          <w:p w14:paraId="0C3F7EB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307,272 </w:t>
            </w:r>
          </w:p>
        </w:tc>
        <w:tc>
          <w:tcPr>
            <w:tcW w:w="560" w:type="pct"/>
            <w:tcBorders>
              <w:top w:val="nil"/>
              <w:left w:val="nil"/>
              <w:bottom w:val="nil"/>
              <w:right w:val="nil"/>
            </w:tcBorders>
            <w:shd w:val="clear" w:color="auto" w:fill="auto"/>
            <w:noWrap/>
            <w:vAlign w:val="bottom"/>
            <w:hideMark/>
          </w:tcPr>
          <w:p w14:paraId="0C3F7EB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291,155 </w:t>
            </w:r>
          </w:p>
        </w:tc>
        <w:tc>
          <w:tcPr>
            <w:tcW w:w="560" w:type="pct"/>
            <w:tcBorders>
              <w:top w:val="nil"/>
              <w:left w:val="nil"/>
              <w:bottom w:val="nil"/>
              <w:right w:val="nil"/>
            </w:tcBorders>
            <w:shd w:val="clear" w:color="auto" w:fill="auto"/>
            <w:noWrap/>
            <w:vAlign w:val="bottom"/>
            <w:hideMark/>
          </w:tcPr>
          <w:p w14:paraId="0C3F7EB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208,999 </w:t>
            </w:r>
          </w:p>
        </w:tc>
        <w:tc>
          <w:tcPr>
            <w:tcW w:w="520" w:type="pct"/>
            <w:tcBorders>
              <w:top w:val="nil"/>
              <w:left w:val="nil"/>
              <w:bottom w:val="nil"/>
              <w:right w:val="nil"/>
            </w:tcBorders>
            <w:shd w:val="clear" w:color="auto" w:fill="auto"/>
            <w:noWrap/>
            <w:vAlign w:val="bottom"/>
            <w:hideMark/>
          </w:tcPr>
          <w:p w14:paraId="0C3F7EB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327,627 </w:t>
            </w:r>
          </w:p>
        </w:tc>
        <w:tc>
          <w:tcPr>
            <w:tcW w:w="566" w:type="pct"/>
            <w:tcBorders>
              <w:top w:val="nil"/>
              <w:left w:val="nil"/>
              <w:bottom w:val="nil"/>
              <w:right w:val="nil"/>
            </w:tcBorders>
            <w:shd w:val="clear" w:color="000000" w:fill="FFFF00"/>
            <w:noWrap/>
            <w:vAlign w:val="bottom"/>
            <w:hideMark/>
          </w:tcPr>
          <w:p w14:paraId="0C3F7EB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587,525 </w:t>
            </w:r>
          </w:p>
        </w:tc>
        <w:tc>
          <w:tcPr>
            <w:tcW w:w="520" w:type="pct"/>
            <w:tcBorders>
              <w:top w:val="nil"/>
              <w:left w:val="nil"/>
              <w:bottom w:val="nil"/>
              <w:right w:val="nil"/>
            </w:tcBorders>
            <w:shd w:val="clear" w:color="auto" w:fill="auto"/>
            <w:noWrap/>
            <w:vAlign w:val="bottom"/>
            <w:hideMark/>
          </w:tcPr>
          <w:p w14:paraId="0C3F7EB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278,370 </w:t>
            </w:r>
          </w:p>
        </w:tc>
        <w:tc>
          <w:tcPr>
            <w:tcW w:w="520" w:type="pct"/>
            <w:tcBorders>
              <w:top w:val="nil"/>
              <w:left w:val="nil"/>
              <w:bottom w:val="nil"/>
              <w:right w:val="nil"/>
            </w:tcBorders>
            <w:shd w:val="clear" w:color="auto" w:fill="auto"/>
            <w:noWrap/>
            <w:vAlign w:val="bottom"/>
            <w:hideMark/>
          </w:tcPr>
          <w:p w14:paraId="0C3F7EB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109,094 </w:t>
            </w:r>
          </w:p>
        </w:tc>
      </w:tr>
      <w:tr w:rsidR="001850F0" w:rsidRPr="002D4C70" w14:paraId="0C3F7EC4" w14:textId="77777777" w:rsidTr="001850F0">
        <w:trPr>
          <w:trHeight w:val="20"/>
        </w:trPr>
        <w:tc>
          <w:tcPr>
            <w:tcW w:w="562" w:type="pct"/>
            <w:vMerge/>
            <w:tcBorders>
              <w:left w:val="nil"/>
              <w:right w:val="nil"/>
            </w:tcBorders>
            <w:shd w:val="clear" w:color="auto" w:fill="auto"/>
            <w:vAlign w:val="center"/>
            <w:hideMark/>
          </w:tcPr>
          <w:p w14:paraId="0C3F7EBB"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BC"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 xml:space="preserve">Pioneer </w:t>
            </w:r>
          </w:p>
        </w:tc>
        <w:tc>
          <w:tcPr>
            <w:tcW w:w="560" w:type="pct"/>
            <w:tcBorders>
              <w:top w:val="nil"/>
              <w:left w:val="nil"/>
              <w:bottom w:val="nil"/>
              <w:right w:val="nil"/>
            </w:tcBorders>
            <w:shd w:val="clear" w:color="auto" w:fill="auto"/>
            <w:noWrap/>
            <w:vAlign w:val="bottom"/>
            <w:hideMark/>
          </w:tcPr>
          <w:p w14:paraId="0C3F7EB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355,317 </w:t>
            </w:r>
          </w:p>
        </w:tc>
        <w:tc>
          <w:tcPr>
            <w:tcW w:w="560" w:type="pct"/>
            <w:tcBorders>
              <w:top w:val="nil"/>
              <w:left w:val="nil"/>
              <w:bottom w:val="nil"/>
              <w:right w:val="nil"/>
            </w:tcBorders>
            <w:shd w:val="clear" w:color="auto" w:fill="auto"/>
            <w:noWrap/>
            <w:vAlign w:val="bottom"/>
            <w:hideMark/>
          </w:tcPr>
          <w:p w14:paraId="0C3F7EB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639,899 </w:t>
            </w:r>
          </w:p>
        </w:tc>
        <w:tc>
          <w:tcPr>
            <w:tcW w:w="560" w:type="pct"/>
            <w:tcBorders>
              <w:top w:val="nil"/>
              <w:left w:val="nil"/>
              <w:bottom w:val="nil"/>
              <w:right w:val="nil"/>
            </w:tcBorders>
            <w:shd w:val="clear" w:color="auto" w:fill="auto"/>
            <w:noWrap/>
            <w:vAlign w:val="bottom"/>
            <w:hideMark/>
          </w:tcPr>
          <w:p w14:paraId="0C3F7EB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733,958 </w:t>
            </w:r>
          </w:p>
        </w:tc>
        <w:tc>
          <w:tcPr>
            <w:tcW w:w="520" w:type="pct"/>
            <w:tcBorders>
              <w:top w:val="nil"/>
              <w:left w:val="nil"/>
              <w:bottom w:val="nil"/>
              <w:right w:val="nil"/>
            </w:tcBorders>
            <w:shd w:val="clear" w:color="000000" w:fill="FF0000"/>
            <w:noWrap/>
            <w:vAlign w:val="bottom"/>
            <w:hideMark/>
          </w:tcPr>
          <w:p w14:paraId="0C3F7EC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1,183,875 </w:t>
            </w:r>
          </w:p>
        </w:tc>
        <w:tc>
          <w:tcPr>
            <w:tcW w:w="566" w:type="pct"/>
            <w:tcBorders>
              <w:top w:val="nil"/>
              <w:left w:val="nil"/>
              <w:bottom w:val="nil"/>
              <w:right w:val="nil"/>
            </w:tcBorders>
            <w:shd w:val="clear" w:color="000000" w:fill="FF0000"/>
            <w:noWrap/>
            <w:vAlign w:val="bottom"/>
            <w:hideMark/>
          </w:tcPr>
          <w:p w14:paraId="0C3F7EC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3,284,668 </w:t>
            </w:r>
          </w:p>
        </w:tc>
        <w:tc>
          <w:tcPr>
            <w:tcW w:w="520" w:type="pct"/>
            <w:tcBorders>
              <w:top w:val="nil"/>
              <w:left w:val="nil"/>
              <w:bottom w:val="nil"/>
              <w:right w:val="nil"/>
            </w:tcBorders>
            <w:shd w:val="clear" w:color="000000" w:fill="FF0000"/>
            <w:noWrap/>
            <w:vAlign w:val="bottom"/>
            <w:hideMark/>
          </w:tcPr>
          <w:p w14:paraId="0C3F7EC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1,312,054 </w:t>
            </w:r>
          </w:p>
        </w:tc>
        <w:tc>
          <w:tcPr>
            <w:tcW w:w="520" w:type="pct"/>
            <w:tcBorders>
              <w:top w:val="nil"/>
              <w:left w:val="nil"/>
              <w:bottom w:val="nil"/>
              <w:right w:val="nil"/>
            </w:tcBorders>
            <w:shd w:val="clear" w:color="000000" w:fill="FFC000"/>
            <w:noWrap/>
            <w:vAlign w:val="bottom"/>
            <w:hideMark/>
          </w:tcPr>
          <w:p w14:paraId="0C3F7EC3"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912,117 </w:t>
            </w:r>
          </w:p>
        </w:tc>
      </w:tr>
      <w:tr w:rsidR="001850F0" w:rsidRPr="002D4C70" w14:paraId="0C3F7ECE" w14:textId="77777777" w:rsidTr="001850F0">
        <w:trPr>
          <w:trHeight w:val="20"/>
        </w:trPr>
        <w:tc>
          <w:tcPr>
            <w:tcW w:w="562" w:type="pct"/>
            <w:vMerge/>
            <w:tcBorders>
              <w:left w:val="nil"/>
              <w:bottom w:val="nil"/>
              <w:right w:val="nil"/>
            </w:tcBorders>
            <w:shd w:val="clear" w:color="auto" w:fill="auto"/>
            <w:vAlign w:val="center"/>
            <w:hideMark/>
          </w:tcPr>
          <w:p w14:paraId="0C3F7EC5"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C6"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Plane</w:t>
            </w:r>
          </w:p>
        </w:tc>
        <w:tc>
          <w:tcPr>
            <w:tcW w:w="560" w:type="pct"/>
            <w:tcBorders>
              <w:top w:val="nil"/>
              <w:left w:val="nil"/>
              <w:bottom w:val="nil"/>
              <w:right w:val="nil"/>
            </w:tcBorders>
            <w:shd w:val="clear" w:color="auto" w:fill="auto"/>
            <w:noWrap/>
            <w:vAlign w:val="bottom"/>
            <w:hideMark/>
          </w:tcPr>
          <w:p w14:paraId="0C3F7EC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142,404 </w:t>
            </w:r>
          </w:p>
        </w:tc>
        <w:tc>
          <w:tcPr>
            <w:tcW w:w="560" w:type="pct"/>
            <w:tcBorders>
              <w:top w:val="nil"/>
              <w:left w:val="nil"/>
              <w:bottom w:val="nil"/>
              <w:right w:val="nil"/>
            </w:tcBorders>
            <w:shd w:val="clear" w:color="auto" w:fill="auto"/>
            <w:noWrap/>
            <w:vAlign w:val="bottom"/>
            <w:hideMark/>
          </w:tcPr>
          <w:p w14:paraId="0C3F7EC8"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194,543 </w:t>
            </w:r>
          </w:p>
        </w:tc>
        <w:tc>
          <w:tcPr>
            <w:tcW w:w="560" w:type="pct"/>
            <w:tcBorders>
              <w:top w:val="nil"/>
              <w:left w:val="nil"/>
              <w:bottom w:val="nil"/>
              <w:right w:val="nil"/>
            </w:tcBorders>
            <w:shd w:val="clear" w:color="auto" w:fill="auto"/>
            <w:noWrap/>
            <w:vAlign w:val="bottom"/>
            <w:hideMark/>
          </w:tcPr>
          <w:p w14:paraId="0C3F7EC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220,784 </w:t>
            </w:r>
          </w:p>
        </w:tc>
        <w:tc>
          <w:tcPr>
            <w:tcW w:w="520" w:type="pct"/>
            <w:tcBorders>
              <w:top w:val="nil"/>
              <w:left w:val="nil"/>
              <w:bottom w:val="nil"/>
              <w:right w:val="nil"/>
            </w:tcBorders>
            <w:shd w:val="clear" w:color="000000" w:fill="FF0000"/>
            <w:noWrap/>
            <w:vAlign w:val="bottom"/>
            <w:hideMark/>
          </w:tcPr>
          <w:p w14:paraId="0C3F7EC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621,629 </w:t>
            </w:r>
          </w:p>
        </w:tc>
        <w:tc>
          <w:tcPr>
            <w:tcW w:w="566" w:type="pct"/>
            <w:tcBorders>
              <w:top w:val="nil"/>
              <w:left w:val="nil"/>
              <w:bottom w:val="nil"/>
              <w:right w:val="nil"/>
            </w:tcBorders>
            <w:shd w:val="clear" w:color="000000" w:fill="FF0000"/>
            <w:noWrap/>
            <w:vAlign w:val="bottom"/>
            <w:hideMark/>
          </w:tcPr>
          <w:p w14:paraId="0C3F7EC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866,229 </w:t>
            </w:r>
          </w:p>
        </w:tc>
        <w:tc>
          <w:tcPr>
            <w:tcW w:w="520" w:type="pct"/>
            <w:tcBorders>
              <w:top w:val="nil"/>
              <w:left w:val="nil"/>
              <w:bottom w:val="nil"/>
              <w:right w:val="nil"/>
            </w:tcBorders>
            <w:shd w:val="clear" w:color="000000" w:fill="FF0000"/>
            <w:noWrap/>
            <w:vAlign w:val="bottom"/>
            <w:hideMark/>
          </w:tcPr>
          <w:p w14:paraId="0C3F7EC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516,769 </w:t>
            </w:r>
          </w:p>
        </w:tc>
        <w:tc>
          <w:tcPr>
            <w:tcW w:w="520" w:type="pct"/>
            <w:tcBorders>
              <w:top w:val="nil"/>
              <w:left w:val="nil"/>
              <w:bottom w:val="nil"/>
              <w:right w:val="nil"/>
            </w:tcBorders>
            <w:shd w:val="clear" w:color="000000" w:fill="FFC000"/>
            <w:noWrap/>
            <w:vAlign w:val="bottom"/>
            <w:hideMark/>
          </w:tcPr>
          <w:p w14:paraId="0C3F7ECD"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382,404 </w:t>
            </w:r>
          </w:p>
        </w:tc>
      </w:tr>
      <w:tr w:rsidR="001850F0" w:rsidRPr="002D4C70" w14:paraId="0C3F7ED8" w14:textId="77777777" w:rsidTr="001850F0">
        <w:trPr>
          <w:trHeight w:val="20"/>
        </w:trPr>
        <w:tc>
          <w:tcPr>
            <w:tcW w:w="562" w:type="pct"/>
            <w:tcBorders>
              <w:top w:val="single" w:sz="4" w:space="0" w:color="auto"/>
              <w:left w:val="nil"/>
              <w:bottom w:val="nil"/>
              <w:right w:val="nil"/>
            </w:tcBorders>
            <w:shd w:val="clear" w:color="auto" w:fill="auto"/>
            <w:vAlign w:val="center"/>
            <w:hideMark/>
          </w:tcPr>
          <w:p w14:paraId="0C3F7ECF"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Fitzroy</w:t>
            </w:r>
          </w:p>
        </w:tc>
        <w:tc>
          <w:tcPr>
            <w:tcW w:w="632" w:type="pct"/>
            <w:tcBorders>
              <w:top w:val="single" w:sz="4" w:space="0" w:color="auto"/>
              <w:left w:val="nil"/>
              <w:bottom w:val="nil"/>
              <w:right w:val="nil"/>
            </w:tcBorders>
            <w:shd w:val="clear" w:color="auto" w:fill="auto"/>
            <w:noWrap/>
            <w:vAlign w:val="bottom"/>
            <w:hideMark/>
          </w:tcPr>
          <w:p w14:paraId="0C3F7ED0"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Fitzroy</w:t>
            </w:r>
          </w:p>
        </w:tc>
        <w:tc>
          <w:tcPr>
            <w:tcW w:w="560" w:type="pct"/>
            <w:tcBorders>
              <w:top w:val="single" w:sz="4" w:space="0" w:color="auto"/>
              <w:left w:val="nil"/>
              <w:bottom w:val="nil"/>
              <w:right w:val="nil"/>
            </w:tcBorders>
            <w:shd w:val="clear" w:color="auto" w:fill="auto"/>
            <w:noWrap/>
            <w:vAlign w:val="bottom"/>
            <w:hideMark/>
          </w:tcPr>
          <w:p w14:paraId="0C3F7ED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2,899,842 </w:t>
            </w:r>
          </w:p>
        </w:tc>
        <w:tc>
          <w:tcPr>
            <w:tcW w:w="560" w:type="pct"/>
            <w:tcBorders>
              <w:top w:val="single" w:sz="4" w:space="0" w:color="auto"/>
              <w:left w:val="nil"/>
              <w:bottom w:val="nil"/>
              <w:right w:val="nil"/>
            </w:tcBorders>
            <w:shd w:val="clear" w:color="auto" w:fill="auto"/>
            <w:noWrap/>
            <w:vAlign w:val="bottom"/>
            <w:hideMark/>
          </w:tcPr>
          <w:p w14:paraId="0C3F7ED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4,690,607 </w:t>
            </w:r>
          </w:p>
        </w:tc>
        <w:tc>
          <w:tcPr>
            <w:tcW w:w="560" w:type="pct"/>
            <w:tcBorders>
              <w:top w:val="single" w:sz="4" w:space="0" w:color="auto"/>
              <w:left w:val="nil"/>
              <w:bottom w:val="nil"/>
              <w:right w:val="nil"/>
            </w:tcBorders>
            <w:shd w:val="clear" w:color="auto" w:fill="auto"/>
            <w:noWrap/>
            <w:vAlign w:val="bottom"/>
            <w:hideMark/>
          </w:tcPr>
          <w:p w14:paraId="0C3F7ED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5,564,305 </w:t>
            </w:r>
          </w:p>
        </w:tc>
        <w:tc>
          <w:tcPr>
            <w:tcW w:w="520" w:type="pct"/>
            <w:tcBorders>
              <w:top w:val="single" w:sz="4" w:space="0" w:color="auto"/>
              <w:left w:val="nil"/>
              <w:bottom w:val="nil"/>
              <w:right w:val="nil"/>
            </w:tcBorders>
            <w:shd w:val="clear" w:color="000000" w:fill="FF0000"/>
            <w:noWrap/>
            <w:vAlign w:val="bottom"/>
            <w:hideMark/>
          </w:tcPr>
          <w:p w14:paraId="0C3F7ED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11,755,415 </w:t>
            </w:r>
          </w:p>
        </w:tc>
        <w:tc>
          <w:tcPr>
            <w:tcW w:w="566" w:type="pct"/>
            <w:tcBorders>
              <w:top w:val="single" w:sz="4" w:space="0" w:color="auto"/>
              <w:left w:val="nil"/>
              <w:bottom w:val="nil"/>
              <w:right w:val="nil"/>
            </w:tcBorders>
            <w:shd w:val="clear" w:color="000000" w:fill="FF0000"/>
            <w:noWrap/>
            <w:vAlign w:val="bottom"/>
            <w:hideMark/>
          </w:tcPr>
          <w:p w14:paraId="0C3F7ED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37,942,149 </w:t>
            </w:r>
          </w:p>
        </w:tc>
        <w:tc>
          <w:tcPr>
            <w:tcW w:w="520" w:type="pct"/>
            <w:tcBorders>
              <w:top w:val="single" w:sz="4" w:space="0" w:color="auto"/>
              <w:left w:val="nil"/>
              <w:bottom w:val="nil"/>
              <w:right w:val="nil"/>
            </w:tcBorders>
            <w:shd w:val="clear" w:color="000000" w:fill="FFC000"/>
            <w:noWrap/>
            <w:vAlign w:val="bottom"/>
            <w:hideMark/>
          </w:tcPr>
          <w:p w14:paraId="0C3F7ED6"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7,993,273 </w:t>
            </w:r>
          </w:p>
        </w:tc>
        <w:tc>
          <w:tcPr>
            <w:tcW w:w="520" w:type="pct"/>
            <w:tcBorders>
              <w:top w:val="single" w:sz="4" w:space="0" w:color="auto"/>
              <w:left w:val="nil"/>
              <w:bottom w:val="nil"/>
              <w:right w:val="nil"/>
            </w:tcBorders>
            <w:shd w:val="clear" w:color="000000" w:fill="FFC000"/>
            <w:noWrap/>
            <w:vAlign w:val="bottom"/>
            <w:hideMark/>
          </w:tcPr>
          <w:p w14:paraId="0C3F7ED7"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8,532,130 </w:t>
            </w:r>
          </w:p>
        </w:tc>
      </w:tr>
      <w:tr w:rsidR="001850F0" w:rsidRPr="002D4C70" w14:paraId="0C3F7EE2" w14:textId="77777777" w:rsidTr="001850F0">
        <w:trPr>
          <w:trHeight w:val="20"/>
        </w:trPr>
        <w:tc>
          <w:tcPr>
            <w:tcW w:w="562" w:type="pct"/>
            <w:vMerge w:val="restart"/>
            <w:tcBorders>
              <w:top w:val="single" w:sz="4" w:space="0" w:color="auto"/>
              <w:left w:val="nil"/>
              <w:bottom w:val="nil"/>
              <w:right w:val="nil"/>
            </w:tcBorders>
            <w:shd w:val="clear" w:color="auto" w:fill="auto"/>
            <w:vAlign w:val="center"/>
            <w:hideMark/>
          </w:tcPr>
          <w:p w14:paraId="0C3F7ED9"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Burnett-Mary</w:t>
            </w:r>
          </w:p>
        </w:tc>
        <w:tc>
          <w:tcPr>
            <w:tcW w:w="632" w:type="pct"/>
            <w:tcBorders>
              <w:top w:val="single" w:sz="4" w:space="0" w:color="auto"/>
              <w:left w:val="nil"/>
              <w:bottom w:val="nil"/>
              <w:right w:val="nil"/>
            </w:tcBorders>
            <w:shd w:val="clear" w:color="auto" w:fill="auto"/>
            <w:noWrap/>
            <w:vAlign w:val="bottom"/>
            <w:hideMark/>
          </w:tcPr>
          <w:p w14:paraId="0C3F7EDA"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Burnett</w:t>
            </w:r>
          </w:p>
        </w:tc>
        <w:tc>
          <w:tcPr>
            <w:tcW w:w="560" w:type="pct"/>
            <w:tcBorders>
              <w:top w:val="single" w:sz="4" w:space="0" w:color="auto"/>
              <w:left w:val="nil"/>
              <w:bottom w:val="nil"/>
              <w:right w:val="nil"/>
            </w:tcBorders>
            <w:shd w:val="clear" w:color="auto" w:fill="auto"/>
            <w:noWrap/>
            <w:vAlign w:val="bottom"/>
            <w:hideMark/>
          </w:tcPr>
          <w:p w14:paraId="0C3F7ED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282,151 </w:t>
            </w:r>
          </w:p>
        </w:tc>
        <w:tc>
          <w:tcPr>
            <w:tcW w:w="560" w:type="pct"/>
            <w:tcBorders>
              <w:top w:val="single" w:sz="4" w:space="0" w:color="auto"/>
              <w:left w:val="nil"/>
              <w:bottom w:val="nil"/>
              <w:right w:val="nil"/>
            </w:tcBorders>
            <w:shd w:val="clear" w:color="auto" w:fill="auto"/>
            <w:noWrap/>
            <w:vAlign w:val="bottom"/>
            <w:hideMark/>
          </w:tcPr>
          <w:p w14:paraId="0C3F7EDC"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374,103 </w:t>
            </w:r>
          </w:p>
        </w:tc>
        <w:tc>
          <w:tcPr>
            <w:tcW w:w="560" w:type="pct"/>
            <w:tcBorders>
              <w:top w:val="single" w:sz="4" w:space="0" w:color="auto"/>
              <w:left w:val="nil"/>
              <w:bottom w:val="nil"/>
              <w:right w:val="nil"/>
            </w:tcBorders>
            <w:shd w:val="clear" w:color="auto" w:fill="auto"/>
            <w:noWrap/>
            <w:vAlign w:val="bottom"/>
            <w:hideMark/>
          </w:tcPr>
          <w:p w14:paraId="0C3F7EDD"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362,186 </w:t>
            </w:r>
          </w:p>
        </w:tc>
        <w:tc>
          <w:tcPr>
            <w:tcW w:w="520" w:type="pct"/>
            <w:tcBorders>
              <w:top w:val="single" w:sz="4" w:space="0" w:color="auto"/>
              <w:left w:val="nil"/>
              <w:bottom w:val="nil"/>
              <w:right w:val="nil"/>
            </w:tcBorders>
            <w:shd w:val="clear" w:color="000000" w:fill="FF0000"/>
            <w:noWrap/>
            <w:vAlign w:val="bottom"/>
            <w:hideMark/>
          </w:tcPr>
          <w:p w14:paraId="0C3F7EDE"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1,022,820 </w:t>
            </w:r>
          </w:p>
        </w:tc>
        <w:tc>
          <w:tcPr>
            <w:tcW w:w="566" w:type="pct"/>
            <w:tcBorders>
              <w:top w:val="single" w:sz="4" w:space="0" w:color="auto"/>
              <w:left w:val="nil"/>
              <w:bottom w:val="nil"/>
              <w:right w:val="nil"/>
            </w:tcBorders>
            <w:shd w:val="clear" w:color="000000" w:fill="FF0000"/>
            <w:noWrap/>
            <w:vAlign w:val="bottom"/>
            <w:hideMark/>
          </w:tcPr>
          <w:p w14:paraId="0C3F7ED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8,565,016 </w:t>
            </w:r>
          </w:p>
        </w:tc>
        <w:tc>
          <w:tcPr>
            <w:tcW w:w="520" w:type="pct"/>
            <w:tcBorders>
              <w:top w:val="single" w:sz="4" w:space="0" w:color="auto"/>
              <w:left w:val="nil"/>
              <w:bottom w:val="nil"/>
              <w:right w:val="nil"/>
            </w:tcBorders>
            <w:shd w:val="clear" w:color="000000" w:fill="FFC000"/>
            <w:noWrap/>
            <w:vAlign w:val="bottom"/>
            <w:hideMark/>
          </w:tcPr>
          <w:p w14:paraId="0C3F7EE0"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584,670 </w:t>
            </w:r>
          </w:p>
        </w:tc>
        <w:tc>
          <w:tcPr>
            <w:tcW w:w="520" w:type="pct"/>
            <w:tcBorders>
              <w:top w:val="single" w:sz="4" w:space="0" w:color="auto"/>
              <w:left w:val="nil"/>
              <w:bottom w:val="nil"/>
              <w:right w:val="nil"/>
            </w:tcBorders>
            <w:shd w:val="clear" w:color="000000" w:fill="FF0000"/>
            <w:noWrap/>
            <w:vAlign w:val="bottom"/>
            <w:hideMark/>
          </w:tcPr>
          <w:p w14:paraId="0C3F7EE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6,884,668 </w:t>
            </w:r>
          </w:p>
        </w:tc>
      </w:tr>
      <w:tr w:rsidR="001850F0" w:rsidRPr="002D4C70" w14:paraId="0C3F7EEC" w14:textId="77777777" w:rsidTr="001850F0">
        <w:trPr>
          <w:trHeight w:val="20"/>
        </w:trPr>
        <w:tc>
          <w:tcPr>
            <w:tcW w:w="562" w:type="pct"/>
            <w:vMerge/>
            <w:tcBorders>
              <w:top w:val="single" w:sz="4" w:space="0" w:color="auto"/>
              <w:left w:val="nil"/>
              <w:bottom w:val="nil"/>
              <w:right w:val="nil"/>
            </w:tcBorders>
            <w:vAlign w:val="center"/>
            <w:hideMark/>
          </w:tcPr>
          <w:p w14:paraId="0C3F7EE3" w14:textId="77777777" w:rsidR="001850F0" w:rsidRPr="00070E4B" w:rsidRDefault="001850F0" w:rsidP="001850F0">
            <w:pPr>
              <w:spacing w:before="0" w:after="0" w:line="0" w:lineRule="atLeast"/>
              <w:jc w:val="left"/>
              <w:rPr>
                <w:rFonts w:ascii="Calibri" w:hAnsi="Calibri" w:cs="Times New Roman"/>
                <w:b/>
                <w:bCs/>
                <w:color w:val="000000"/>
                <w:sz w:val="18"/>
                <w:szCs w:val="16"/>
              </w:rPr>
            </w:pPr>
          </w:p>
        </w:tc>
        <w:tc>
          <w:tcPr>
            <w:tcW w:w="632" w:type="pct"/>
            <w:tcBorders>
              <w:top w:val="nil"/>
              <w:left w:val="nil"/>
              <w:bottom w:val="nil"/>
              <w:right w:val="nil"/>
            </w:tcBorders>
            <w:shd w:val="clear" w:color="auto" w:fill="auto"/>
            <w:noWrap/>
            <w:vAlign w:val="bottom"/>
            <w:hideMark/>
          </w:tcPr>
          <w:p w14:paraId="0C3F7EE4"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Mary River</w:t>
            </w:r>
          </w:p>
        </w:tc>
        <w:tc>
          <w:tcPr>
            <w:tcW w:w="560" w:type="pct"/>
            <w:tcBorders>
              <w:top w:val="nil"/>
              <w:left w:val="nil"/>
              <w:bottom w:val="nil"/>
              <w:right w:val="nil"/>
            </w:tcBorders>
            <w:shd w:val="clear" w:color="auto" w:fill="auto"/>
            <w:noWrap/>
            <w:vAlign w:val="bottom"/>
            <w:hideMark/>
          </w:tcPr>
          <w:p w14:paraId="0C3F7EE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696,590 </w:t>
            </w:r>
          </w:p>
        </w:tc>
        <w:tc>
          <w:tcPr>
            <w:tcW w:w="560" w:type="pct"/>
            <w:tcBorders>
              <w:top w:val="nil"/>
              <w:left w:val="nil"/>
              <w:bottom w:val="nil"/>
              <w:right w:val="nil"/>
            </w:tcBorders>
            <w:shd w:val="clear" w:color="auto" w:fill="auto"/>
            <w:noWrap/>
            <w:vAlign w:val="bottom"/>
            <w:hideMark/>
          </w:tcPr>
          <w:p w14:paraId="0C3F7EE6"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1,257,673 </w:t>
            </w:r>
          </w:p>
        </w:tc>
        <w:tc>
          <w:tcPr>
            <w:tcW w:w="560" w:type="pct"/>
            <w:tcBorders>
              <w:top w:val="nil"/>
              <w:left w:val="nil"/>
              <w:bottom w:val="nil"/>
              <w:right w:val="nil"/>
            </w:tcBorders>
            <w:shd w:val="clear" w:color="auto" w:fill="auto"/>
            <w:noWrap/>
            <w:vAlign w:val="bottom"/>
            <w:hideMark/>
          </w:tcPr>
          <w:p w14:paraId="0C3F7EE7"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1,353,771 </w:t>
            </w:r>
          </w:p>
        </w:tc>
        <w:tc>
          <w:tcPr>
            <w:tcW w:w="520" w:type="pct"/>
            <w:tcBorders>
              <w:top w:val="nil"/>
              <w:left w:val="nil"/>
              <w:bottom w:val="nil"/>
              <w:right w:val="nil"/>
            </w:tcBorders>
            <w:shd w:val="clear" w:color="000000" w:fill="FFC000"/>
            <w:noWrap/>
            <w:vAlign w:val="bottom"/>
            <w:hideMark/>
          </w:tcPr>
          <w:p w14:paraId="0C3F7EE8" w14:textId="77777777" w:rsidR="001850F0" w:rsidRPr="00070E4B" w:rsidRDefault="001850F0" w:rsidP="001850F0">
            <w:pPr>
              <w:spacing w:before="0" w:after="0" w:line="0" w:lineRule="atLeast"/>
              <w:jc w:val="right"/>
              <w:rPr>
                <w:rFonts w:ascii="Calibri" w:hAnsi="Calibri" w:cs="Times New Roman"/>
                <w:sz w:val="18"/>
                <w:szCs w:val="16"/>
              </w:rPr>
            </w:pPr>
            <w:r w:rsidRPr="00070E4B">
              <w:rPr>
                <w:rFonts w:ascii="Calibri" w:hAnsi="Calibri" w:cs="Times New Roman"/>
                <w:sz w:val="18"/>
                <w:szCs w:val="16"/>
              </w:rPr>
              <w:t xml:space="preserve">1,926,194 </w:t>
            </w:r>
          </w:p>
        </w:tc>
        <w:tc>
          <w:tcPr>
            <w:tcW w:w="566" w:type="pct"/>
            <w:tcBorders>
              <w:top w:val="nil"/>
              <w:left w:val="nil"/>
              <w:bottom w:val="nil"/>
              <w:right w:val="nil"/>
            </w:tcBorders>
            <w:shd w:val="clear" w:color="000000" w:fill="FF0000"/>
            <w:noWrap/>
            <w:vAlign w:val="bottom"/>
            <w:hideMark/>
          </w:tcPr>
          <w:p w14:paraId="0C3F7EE9"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6,227,933 </w:t>
            </w:r>
          </w:p>
        </w:tc>
        <w:tc>
          <w:tcPr>
            <w:tcW w:w="520" w:type="pct"/>
            <w:tcBorders>
              <w:top w:val="nil"/>
              <w:left w:val="nil"/>
              <w:bottom w:val="nil"/>
              <w:right w:val="nil"/>
            </w:tcBorders>
            <w:shd w:val="clear" w:color="000000" w:fill="FF0000"/>
            <w:noWrap/>
            <w:vAlign w:val="bottom"/>
            <w:hideMark/>
          </w:tcPr>
          <w:p w14:paraId="0C3F7EEA"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3,100,196 </w:t>
            </w:r>
          </w:p>
        </w:tc>
        <w:tc>
          <w:tcPr>
            <w:tcW w:w="520" w:type="pct"/>
            <w:tcBorders>
              <w:top w:val="nil"/>
              <w:left w:val="nil"/>
              <w:bottom w:val="nil"/>
              <w:right w:val="nil"/>
            </w:tcBorders>
            <w:shd w:val="clear" w:color="000000" w:fill="FF0000"/>
            <w:noWrap/>
            <w:vAlign w:val="bottom"/>
            <w:hideMark/>
          </w:tcPr>
          <w:p w14:paraId="0C3F7EEB"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5,464,353 </w:t>
            </w:r>
          </w:p>
        </w:tc>
      </w:tr>
      <w:tr w:rsidR="001850F0" w:rsidRPr="002D4C70" w14:paraId="0C3F7EF6" w14:textId="77777777" w:rsidTr="001850F0">
        <w:trPr>
          <w:trHeight w:val="20"/>
        </w:trPr>
        <w:tc>
          <w:tcPr>
            <w:tcW w:w="562" w:type="pct"/>
            <w:tcBorders>
              <w:top w:val="single" w:sz="4" w:space="0" w:color="auto"/>
              <w:left w:val="nil"/>
              <w:bottom w:val="single" w:sz="4" w:space="0" w:color="auto"/>
              <w:right w:val="nil"/>
            </w:tcBorders>
            <w:shd w:val="clear" w:color="auto" w:fill="auto"/>
            <w:vAlign w:val="center"/>
            <w:hideMark/>
          </w:tcPr>
          <w:p w14:paraId="0C3F7EED" w14:textId="77777777" w:rsidR="001850F0" w:rsidRPr="00070E4B" w:rsidRDefault="001850F0" w:rsidP="001850F0">
            <w:pPr>
              <w:spacing w:before="0" w:after="0" w:line="0" w:lineRule="atLeast"/>
              <w:jc w:val="left"/>
              <w:rPr>
                <w:rFonts w:ascii="Calibri" w:hAnsi="Calibri" w:cs="Times New Roman"/>
                <w:b/>
                <w:bCs/>
                <w:color w:val="000000"/>
                <w:sz w:val="18"/>
                <w:szCs w:val="16"/>
              </w:rPr>
            </w:pPr>
            <w:r w:rsidRPr="00070E4B">
              <w:rPr>
                <w:rFonts w:ascii="Calibri" w:hAnsi="Calibri" w:cs="Times New Roman"/>
                <w:b/>
                <w:bCs/>
                <w:color w:val="000000"/>
                <w:sz w:val="18"/>
                <w:szCs w:val="16"/>
              </w:rPr>
              <w:t>Total</w:t>
            </w:r>
          </w:p>
        </w:tc>
        <w:tc>
          <w:tcPr>
            <w:tcW w:w="632" w:type="pct"/>
            <w:tcBorders>
              <w:top w:val="single" w:sz="4" w:space="0" w:color="auto"/>
              <w:left w:val="nil"/>
              <w:bottom w:val="single" w:sz="4" w:space="0" w:color="auto"/>
              <w:right w:val="nil"/>
            </w:tcBorders>
            <w:shd w:val="clear" w:color="auto" w:fill="auto"/>
            <w:noWrap/>
            <w:vAlign w:val="bottom"/>
            <w:hideMark/>
          </w:tcPr>
          <w:p w14:paraId="0C3F7EEE" w14:textId="77777777" w:rsidR="001850F0" w:rsidRPr="00070E4B" w:rsidRDefault="001850F0" w:rsidP="001850F0">
            <w:pPr>
              <w:spacing w:before="0" w:after="0" w:line="0" w:lineRule="atLeast"/>
              <w:jc w:val="left"/>
              <w:rPr>
                <w:rFonts w:ascii="Calibri" w:hAnsi="Calibri" w:cs="Times New Roman"/>
                <w:color w:val="000000"/>
                <w:sz w:val="18"/>
                <w:szCs w:val="16"/>
              </w:rPr>
            </w:pPr>
            <w:r w:rsidRPr="00070E4B">
              <w:rPr>
                <w:rFonts w:ascii="Calibri" w:hAnsi="Calibri" w:cs="Times New Roman"/>
                <w:color w:val="000000"/>
                <w:sz w:val="18"/>
                <w:szCs w:val="16"/>
              </w:rPr>
              <w:t> </w:t>
            </w:r>
          </w:p>
        </w:tc>
        <w:tc>
          <w:tcPr>
            <w:tcW w:w="560" w:type="pct"/>
            <w:tcBorders>
              <w:top w:val="single" w:sz="4" w:space="0" w:color="auto"/>
              <w:left w:val="nil"/>
              <w:bottom w:val="single" w:sz="4" w:space="0" w:color="auto"/>
              <w:right w:val="nil"/>
            </w:tcBorders>
            <w:shd w:val="clear" w:color="auto" w:fill="auto"/>
            <w:noWrap/>
            <w:vAlign w:val="bottom"/>
            <w:hideMark/>
          </w:tcPr>
          <w:p w14:paraId="0C3F7EEF"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20,358,902 </w:t>
            </w:r>
          </w:p>
        </w:tc>
        <w:tc>
          <w:tcPr>
            <w:tcW w:w="560" w:type="pct"/>
            <w:tcBorders>
              <w:top w:val="single" w:sz="4" w:space="0" w:color="auto"/>
              <w:left w:val="nil"/>
              <w:bottom w:val="single" w:sz="4" w:space="0" w:color="auto"/>
              <w:right w:val="nil"/>
            </w:tcBorders>
            <w:shd w:val="clear" w:color="auto" w:fill="auto"/>
            <w:noWrap/>
            <w:vAlign w:val="bottom"/>
            <w:hideMark/>
          </w:tcPr>
          <w:p w14:paraId="0C3F7EF0"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25,730,656 </w:t>
            </w:r>
          </w:p>
        </w:tc>
        <w:tc>
          <w:tcPr>
            <w:tcW w:w="560" w:type="pct"/>
            <w:tcBorders>
              <w:top w:val="single" w:sz="4" w:space="0" w:color="auto"/>
              <w:left w:val="nil"/>
              <w:bottom w:val="single" w:sz="4" w:space="0" w:color="auto"/>
              <w:right w:val="nil"/>
            </w:tcBorders>
            <w:shd w:val="clear" w:color="auto" w:fill="auto"/>
            <w:noWrap/>
            <w:vAlign w:val="bottom"/>
            <w:hideMark/>
          </w:tcPr>
          <w:p w14:paraId="0C3F7EF1"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w:t>
            </w:r>
          </w:p>
        </w:tc>
        <w:tc>
          <w:tcPr>
            <w:tcW w:w="520" w:type="pct"/>
            <w:tcBorders>
              <w:top w:val="single" w:sz="4" w:space="0" w:color="auto"/>
              <w:left w:val="nil"/>
              <w:bottom w:val="single" w:sz="4" w:space="0" w:color="auto"/>
              <w:right w:val="nil"/>
            </w:tcBorders>
            <w:shd w:val="clear" w:color="auto" w:fill="auto"/>
            <w:noWrap/>
            <w:vAlign w:val="bottom"/>
            <w:hideMark/>
          </w:tcPr>
          <w:p w14:paraId="0C3F7EF2"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42,549,067 </w:t>
            </w:r>
          </w:p>
        </w:tc>
        <w:tc>
          <w:tcPr>
            <w:tcW w:w="566" w:type="pct"/>
            <w:tcBorders>
              <w:top w:val="single" w:sz="4" w:space="0" w:color="auto"/>
              <w:left w:val="nil"/>
              <w:bottom w:val="single" w:sz="4" w:space="0" w:color="auto"/>
              <w:right w:val="nil"/>
            </w:tcBorders>
            <w:shd w:val="clear" w:color="auto" w:fill="auto"/>
            <w:noWrap/>
            <w:vAlign w:val="bottom"/>
            <w:hideMark/>
          </w:tcPr>
          <w:p w14:paraId="0C3F7EF3"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132,026,835 </w:t>
            </w:r>
          </w:p>
        </w:tc>
        <w:tc>
          <w:tcPr>
            <w:tcW w:w="520" w:type="pct"/>
            <w:tcBorders>
              <w:top w:val="single" w:sz="4" w:space="0" w:color="auto"/>
              <w:left w:val="nil"/>
              <w:bottom w:val="single" w:sz="4" w:space="0" w:color="auto"/>
              <w:right w:val="nil"/>
            </w:tcBorders>
            <w:shd w:val="clear" w:color="auto" w:fill="auto"/>
            <w:noWrap/>
            <w:vAlign w:val="bottom"/>
            <w:hideMark/>
          </w:tcPr>
          <w:p w14:paraId="0C3F7EF4"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46,065,897 </w:t>
            </w:r>
          </w:p>
        </w:tc>
        <w:tc>
          <w:tcPr>
            <w:tcW w:w="520" w:type="pct"/>
            <w:tcBorders>
              <w:top w:val="single" w:sz="4" w:space="0" w:color="auto"/>
              <w:left w:val="nil"/>
              <w:bottom w:val="single" w:sz="4" w:space="0" w:color="auto"/>
              <w:right w:val="nil"/>
            </w:tcBorders>
            <w:shd w:val="clear" w:color="auto" w:fill="auto"/>
            <w:noWrap/>
            <w:vAlign w:val="bottom"/>
            <w:hideMark/>
          </w:tcPr>
          <w:p w14:paraId="0C3F7EF5" w14:textId="77777777" w:rsidR="001850F0" w:rsidRPr="00070E4B" w:rsidRDefault="001850F0" w:rsidP="001850F0">
            <w:pPr>
              <w:spacing w:before="0" w:after="0" w:line="0" w:lineRule="atLeast"/>
              <w:jc w:val="right"/>
              <w:rPr>
                <w:rFonts w:ascii="Calibri" w:hAnsi="Calibri" w:cs="Times New Roman"/>
                <w:color w:val="000000"/>
                <w:sz w:val="18"/>
                <w:szCs w:val="16"/>
              </w:rPr>
            </w:pPr>
            <w:r w:rsidRPr="00070E4B">
              <w:rPr>
                <w:rFonts w:ascii="Calibri" w:hAnsi="Calibri" w:cs="Times New Roman"/>
                <w:color w:val="000000"/>
                <w:sz w:val="18"/>
                <w:szCs w:val="16"/>
              </w:rPr>
              <w:t xml:space="preserve">39,037,974 </w:t>
            </w:r>
          </w:p>
        </w:tc>
      </w:tr>
    </w:tbl>
    <w:p w14:paraId="0C3F7EF7" w14:textId="77777777" w:rsidR="001850F0" w:rsidRPr="00330E11" w:rsidRDefault="001850F0" w:rsidP="00330E11">
      <w:pPr>
        <w:rPr>
          <w:rFonts w:cs="Arial"/>
          <w:sz w:val="20"/>
          <w:szCs w:val="20"/>
        </w:rPr>
      </w:pPr>
    </w:p>
    <w:p w14:paraId="0C3F7EF8" w14:textId="77777777" w:rsidR="00330E11" w:rsidRDefault="00330E11" w:rsidP="00482CB4">
      <w:pPr>
        <w:sectPr w:rsidR="00330E11" w:rsidSect="00330E11">
          <w:pgSz w:w="16840" w:h="11907" w:orient="landscape" w:code="9"/>
          <w:pgMar w:top="1440" w:right="1440" w:bottom="1260" w:left="1440" w:header="680" w:footer="851" w:gutter="0"/>
          <w:cols w:space="708"/>
          <w:docGrid w:linePitch="326"/>
        </w:sectPr>
      </w:pPr>
    </w:p>
    <w:p w14:paraId="0C3F7EF9" w14:textId="77777777" w:rsidR="00B62B50" w:rsidRDefault="00482CB4" w:rsidP="00330E11">
      <w:pPr>
        <w:pStyle w:val="Caption"/>
        <w:sectPr w:rsidR="00B62B50" w:rsidSect="00571B6D">
          <w:headerReference w:type="default" r:id="rId42"/>
          <w:footerReference w:type="default" r:id="rId43"/>
          <w:pgSz w:w="11907" w:h="16840" w:code="9"/>
          <w:pgMar w:top="1440" w:right="1440" w:bottom="1440" w:left="1440" w:header="680" w:footer="851" w:gutter="0"/>
          <w:cols w:space="708"/>
          <w:docGrid w:linePitch="326"/>
        </w:sectPr>
      </w:pPr>
      <w:r>
        <w:lastRenderedPageBreak/>
        <w:t xml:space="preserve">In the 2012-2013 wet season, seven rivers, located in four regions had flows that were greater than two times the long-term median. High flows were observed </w:t>
      </w:r>
      <w:r w:rsidR="001850F0">
        <w:t>from the southern Burdekin to</w:t>
      </w:r>
      <w:r>
        <w:t xml:space="preserve"> </w:t>
      </w:r>
      <w:r w:rsidRPr="00DA5FFC">
        <w:t>the Burnett-Mary region</w:t>
      </w:r>
      <w:r>
        <w:t>s, where the total flow for the hydrological year (ca., from Oct, 1</w:t>
      </w:r>
      <w:r w:rsidRPr="00482CB4">
        <w:rPr>
          <w:vertAlign w:val="superscript"/>
        </w:rPr>
        <w:t>st</w:t>
      </w:r>
      <w:r>
        <w:t xml:space="preserve"> to Sep, 30</w:t>
      </w:r>
      <w:r w:rsidRPr="00482CB4">
        <w:rPr>
          <w:vertAlign w:val="superscript"/>
        </w:rPr>
        <w:t>th</w:t>
      </w:r>
      <w:r>
        <w:t>) exceeded the long-term median discharge by 2 and 3 times, respectively (</w:t>
      </w:r>
      <w:r>
        <w:fldChar w:fldCharType="begin"/>
      </w:r>
      <w:r>
        <w:instrText xml:space="preserve"> REF _Ref428870999 \h </w:instrText>
      </w:r>
      <w:r>
        <w:fldChar w:fldCharType="separate"/>
      </w:r>
    </w:p>
    <w:p w14:paraId="0C3F7EFA" w14:textId="77777777" w:rsidR="00482CB4" w:rsidRDefault="00B62B50" w:rsidP="00482CB4">
      <w:r w:rsidRPr="00330E11">
        <w:rPr>
          <w:sz w:val="20"/>
          <w:szCs w:val="20"/>
        </w:rPr>
        <w:lastRenderedPageBreak/>
        <w:t xml:space="preserve">Table </w:t>
      </w:r>
      <w:r>
        <w:rPr>
          <w:noProof/>
          <w:sz w:val="20"/>
          <w:szCs w:val="20"/>
        </w:rPr>
        <w:t>3</w:t>
      </w:r>
      <w:r>
        <w:rPr>
          <w:sz w:val="20"/>
          <w:szCs w:val="20"/>
        </w:rPr>
        <w:noBreakHyphen/>
      </w:r>
      <w:r>
        <w:rPr>
          <w:noProof/>
          <w:sz w:val="20"/>
          <w:szCs w:val="20"/>
        </w:rPr>
        <w:t>1</w:t>
      </w:r>
      <w:r w:rsidR="00482CB4">
        <w:fldChar w:fldCharType="end"/>
      </w:r>
      <w:r w:rsidR="00482CB4">
        <w:t>).</w:t>
      </w:r>
      <w:r w:rsidR="00482CB4" w:rsidRPr="00212601">
        <w:t xml:space="preserve"> </w:t>
      </w:r>
    </w:p>
    <w:p w14:paraId="0C3F7EFB" w14:textId="77777777" w:rsidR="00330E11" w:rsidRPr="00482CB4" w:rsidRDefault="00330E11" w:rsidP="00330E11">
      <w:pPr>
        <w:rPr>
          <w:sz w:val="18"/>
        </w:rPr>
      </w:pPr>
      <w:r>
        <w:t>I</w:t>
      </w:r>
      <w:r w:rsidRPr="00D31D02">
        <w:t xml:space="preserve">n the </w:t>
      </w:r>
      <w:r>
        <w:t xml:space="preserve">Cape York and </w:t>
      </w:r>
      <w:r w:rsidRPr="00D31D02">
        <w:t>Wet Tropics region</w:t>
      </w:r>
      <w:r>
        <w:t xml:space="preserve">s, none of the main rivers exceeded the </w:t>
      </w:r>
      <w:r w:rsidRPr="00D31D02">
        <w:t xml:space="preserve">long-term median </w:t>
      </w:r>
      <w:r>
        <w:t>in 2012-13</w:t>
      </w:r>
      <w:r w:rsidRPr="00D31D02">
        <w:t>. The discharges from the southern rivers were much higher, with 201</w:t>
      </w:r>
      <w:r>
        <w:t>2</w:t>
      </w:r>
      <w:r w:rsidRPr="00D31D02">
        <w:t>-1</w:t>
      </w:r>
      <w:r>
        <w:t>3</w:t>
      </w:r>
      <w:r w:rsidRPr="00D31D02">
        <w:t xml:space="preserve"> flow exceeding long-term median by </w:t>
      </w:r>
      <w:r>
        <w:t xml:space="preserve">3.5 (Don), </w:t>
      </w:r>
      <w:r w:rsidRPr="00D31D02">
        <w:t>2.</w:t>
      </w:r>
      <w:r>
        <w:t xml:space="preserve">9 (Fitzroy), 2.9 (Burdekin) and 7.8 for the Mary River. </w:t>
      </w:r>
      <w:r w:rsidRPr="00D31D02">
        <w:t xml:space="preserve">The discharge from the </w:t>
      </w:r>
      <w:r>
        <w:t>Burnett</w:t>
      </w:r>
      <w:r w:rsidRPr="00D31D02">
        <w:t xml:space="preserve"> River was over </w:t>
      </w:r>
      <w:r>
        <w:t>6</w:t>
      </w:r>
      <w:r w:rsidRPr="00D31D02">
        <w:t xml:space="preserve"> million megalitres, </w:t>
      </w:r>
      <w:r>
        <w:t xml:space="preserve">which was 24 times greater </w:t>
      </w:r>
      <w:r w:rsidRPr="00D31D02">
        <w:t>the lo</w:t>
      </w:r>
      <w:r>
        <w:t xml:space="preserve">ng-term median flow. </w:t>
      </w:r>
      <w:r w:rsidRPr="00D31D02">
        <w:t xml:space="preserve">The summary of the plume events </w:t>
      </w:r>
      <w:r>
        <w:t>computed as</w:t>
      </w:r>
      <w:r w:rsidRPr="00D31D02">
        <w:t xml:space="preserve"> the number of days in which flow exceeded a long-term </w:t>
      </w:r>
      <w:r>
        <w:t>75</w:t>
      </w:r>
      <w:r w:rsidRPr="00482CB4">
        <w:rPr>
          <w:vertAlign w:val="superscript"/>
        </w:rPr>
        <w:t>th</w:t>
      </w:r>
      <w:r>
        <w:t xml:space="preserve"> and 95</w:t>
      </w:r>
      <w:r w:rsidRPr="00482CB4">
        <w:rPr>
          <w:vertAlign w:val="superscript"/>
        </w:rPr>
        <w:t>th</w:t>
      </w:r>
      <w:r w:rsidRPr="00D31D02">
        <w:t xml:space="preserve"> percentile is shown in</w:t>
      </w:r>
      <w:r>
        <w:t xml:space="preserve"> </w:t>
      </w:r>
      <w:r>
        <w:fldChar w:fldCharType="begin"/>
      </w:r>
      <w:r>
        <w:instrText xml:space="preserve"> REF _Ref428871099 \h </w:instrText>
      </w:r>
      <w:r>
        <w:fldChar w:fldCharType="separate"/>
      </w:r>
      <w:r w:rsidR="00B62B50">
        <w:t xml:space="preserve">Table </w:t>
      </w:r>
      <w:r w:rsidR="00B62B50">
        <w:rPr>
          <w:noProof/>
        </w:rPr>
        <w:t>3</w:t>
      </w:r>
      <w:r w:rsidR="00B62B50">
        <w:noBreakHyphen/>
      </w:r>
      <w:r w:rsidR="00B62B50">
        <w:rPr>
          <w:noProof/>
        </w:rPr>
        <w:t>2</w:t>
      </w:r>
      <w:r>
        <w:fldChar w:fldCharType="end"/>
      </w:r>
      <w:r w:rsidRPr="00D31D02">
        <w:t>.</w:t>
      </w:r>
      <w:r>
        <w:t xml:space="preserve"> Overall, all major rivers in the GBR had daily flow rates that exceeded the 75</w:t>
      </w:r>
      <w:r w:rsidRPr="00482CB4">
        <w:rPr>
          <w:vertAlign w:val="superscript"/>
        </w:rPr>
        <w:t>th</w:t>
      </w:r>
      <w:r>
        <w:t xml:space="preserve"> percentile for periods between 15 days and 2 months. The high frequency events that exceeded the 95</w:t>
      </w:r>
      <w:r w:rsidRPr="00482CB4">
        <w:rPr>
          <w:vertAlign w:val="superscript"/>
        </w:rPr>
        <w:t>th</w:t>
      </w:r>
      <w:r>
        <w:t xml:space="preserve"> percentile were in the southern part of the GBR, which was mainly associated with the passage of the </w:t>
      </w:r>
      <w:r w:rsidRPr="00DA5FFC">
        <w:t>Ex-tropical cyclone Oswald</w:t>
      </w:r>
      <w:r>
        <w:t>.</w:t>
      </w:r>
    </w:p>
    <w:p w14:paraId="0C3F7EFC" w14:textId="77777777" w:rsidR="00330E11" w:rsidRPr="00482CB4" w:rsidRDefault="00330E11" w:rsidP="00330E11">
      <w:pPr>
        <w:pStyle w:val="Caption"/>
      </w:pPr>
      <w:bookmarkStart w:id="50" w:name="_Ref428871099"/>
      <w:bookmarkStart w:id="51" w:name="_Toc434208067"/>
      <w:r>
        <w:t xml:space="preserve">Table </w:t>
      </w:r>
      <w:r w:rsidR="00AE4287">
        <w:fldChar w:fldCharType="begin"/>
      </w:r>
      <w:r w:rsidR="00AE4287">
        <w:instrText xml:space="preserve"> STYLEREF 1 \s </w:instrText>
      </w:r>
      <w:r w:rsidR="00AE4287">
        <w:fldChar w:fldCharType="separate"/>
      </w:r>
      <w:r w:rsidR="00B62B50">
        <w:rPr>
          <w:noProof/>
        </w:rPr>
        <w:t>3</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2</w:t>
      </w:r>
      <w:r w:rsidR="00AE4287">
        <w:fldChar w:fldCharType="end"/>
      </w:r>
      <w:bookmarkEnd w:id="50"/>
      <w:r>
        <w:t xml:space="preserve">: </w:t>
      </w:r>
      <w:r w:rsidRPr="00482CB4">
        <w:t>The 75</w:t>
      </w:r>
      <w:r w:rsidRPr="00482CB4">
        <w:rPr>
          <w:vertAlign w:val="superscript"/>
        </w:rPr>
        <w:t>th</w:t>
      </w:r>
      <w:r w:rsidRPr="00482CB4">
        <w:t xml:space="preserve"> and 95</w:t>
      </w:r>
      <w:r w:rsidRPr="00482CB4">
        <w:rPr>
          <w:vertAlign w:val="superscript"/>
        </w:rPr>
        <w:t>th</w:t>
      </w:r>
      <w:r w:rsidRPr="00482CB4">
        <w:t xml:space="preserve"> percentile flow (ML/day) for the major GBR rivers (based on flow between the beginning of the station to 2012-09-30 obtained from DNRM).</w:t>
      </w:r>
      <w:bookmarkEnd w:id="51"/>
    </w:p>
    <w:p w14:paraId="0C3F7EFD" w14:textId="77777777" w:rsidR="00330E11" w:rsidRPr="00482CB4" w:rsidRDefault="00330E11" w:rsidP="00330E11">
      <w:pPr>
        <w:rPr>
          <w:sz w:val="18"/>
        </w:rPr>
      </w:pPr>
    </w:p>
    <w:tbl>
      <w:tblPr>
        <w:tblW w:w="5043" w:type="pct"/>
        <w:tblLook w:val="04A0" w:firstRow="1" w:lastRow="0" w:firstColumn="1" w:lastColumn="0" w:noHBand="0" w:noVBand="1"/>
      </w:tblPr>
      <w:tblGrid>
        <w:gridCol w:w="1276"/>
        <w:gridCol w:w="1231"/>
        <w:gridCol w:w="1477"/>
        <w:gridCol w:w="1495"/>
        <w:gridCol w:w="1887"/>
        <w:gridCol w:w="1956"/>
      </w:tblGrid>
      <w:tr w:rsidR="00330E11" w:rsidRPr="00482CB4" w14:paraId="0C3F7F04" w14:textId="77777777" w:rsidTr="00630695">
        <w:trPr>
          <w:trHeight w:val="20"/>
        </w:trPr>
        <w:tc>
          <w:tcPr>
            <w:tcW w:w="685" w:type="pct"/>
            <w:tcBorders>
              <w:top w:val="single" w:sz="4" w:space="0" w:color="auto"/>
              <w:bottom w:val="single" w:sz="4" w:space="0" w:color="auto"/>
            </w:tcBorders>
            <w:shd w:val="clear" w:color="auto" w:fill="auto"/>
            <w:vAlign w:val="center"/>
            <w:hideMark/>
          </w:tcPr>
          <w:p w14:paraId="0C3F7EFE" w14:textId="77777777" w:rsidR="00330E11" w:rsidRPr="00482CB4" w:rsidRDefault="00330E11" w:rsidP="00630695">
            <w:pPr>
              <w:spacing w:before="0" w:after="0"/>
              <w:rPr>
                <w:rStyle w:val="BookTitle"/>
              </w:rPr>
            </w:pPr>
            <w:r w:rsidRPr="00482CB4">
              <w:rPr>
                <w:rStyle w:val="BookTitle"/>
              </w:rPr>
              <w:t>River</w:t>
            </w:r>
          </w:p>
        </w:tc>
        <w:tc>
          <w:tcPr>
            <w:tcW w:w="660" w:type="pct"/>
            <w:tcBorders>
              <w:top w:val="single" w:sz="4" w:space="0" w:color="auto"/>
              <w:bottom w:val="single" w:sz="4" w:space="0" w:color="auto"/>
            </w:tcBorders>
            <w:shd w:val="clear" w:color="auto" w:fill="auto"/>
            <w:vAlign w:val="center"/>
            <w:hideMark/>
          </w:tcPr>
          <w:p w14:paraId="0C3F7EFF" w14:textId="77777777" w:rsidR="00330E11" w:rsidRPr="00482CB4" w:rsidRDefault="00330E11" w:rsidP="00630695">
            <w:pPr>
              <w:spacing w:before="0" w:after="0"/>
              <w:rPr>
                <w:rStyle w:val="BookTitle"/>
              </w:rPr>
            </w:pPr>
            <w:r w:rsidRPr="00482CB4">
              <w:rPr>
                <w:rStyle w:val="BookTitle"/>
              </w:rPr>
              <w:t>Station</w:t>
            </w:r>
          </w:p>
        </w:tc>
        <w:tc>
          <w:tcPr>
            <w:tcW w:w="792" w:type="pct"/>
            <w:tcBorders>
              <w:top w:val="single" w:sz="4" w:space="0" w:color="auto"/>
              <w:bottom w:val="single" w:sz="4" w:space="0" w:color="auto"/>
            </w:tcBorders>
            <w:shd w:val="clear" w:color="auto" w:fill="auto"/>
            <w:vAlign w:val="center"/>
            <w:hideMark/>
          </w:tcPr>
          <w:p w14:paraId="0C3F7F00" w14:textId="77777777" w:rsidR="00330E11" w:rsidRPr="00482CB4" w:rsidRDefault="00330E11" w:rsidP="00630695">
            <w:pPr>
              <w:spacing w:before="0" w:after="0"/>
              <w:rPr>
                <w:rStyle w:val="BookTitle"/>
              </w:rPr>
            </w:pPr>
            <w:r w:rsidRPr="00482CB4">
              <w:rPr>
                <w:rStyle w:val="BookTitle"/>
              </w:rPr>
              <w:t>75th %ile (ML/day)</w:t>
            </w:r>
          </w:p>
        </w:tc>
        <w:tc>
          <w:tcPr>
            <w:tcW w:w="802" w:type="pct"/>
            <w:tcBorders>
              <w:top w:val="single" w:sz="4" w:space="0" w:color="auto"/>
              <w:bottom w:val="single" w:sz="4" w:space="0" w:color="auto"/>
            </w:tcBorders>
            <w:shd w:val="clear" w:color="auto" w:fill="auto"/>
            <w:vAlign w:val="center"/>
            <w:hideMark/>
          </w:tcPr>
          <w:p w14:paraId="0C3F7F01" w14:textId="77777777" w:rsidR="00330E11" w:rsidRPr="00482CB4" w:rsidRDefault="00330E11" w:rsidP="00630695">
            <w:pPr>
              <w:spacing w:before="0" w:after="0"/>
              <w:rPr>
                <w:rStyle w:val="BookTitle"/>
              </w:rPr>
            </w:pPr>
            <w:r w:rsidRPr="00482CB4">
              <w:rPr>
                <w:rStyle w:val="BookTitle"/>
              </w:rPr>
              <w:t>95th %ile (ML/day)</w:t>
            </w:r>
          </w:p>
        </w:tc>
        <w:tc>
          <w:tcPr>
            <w:tcW w:w="1012" w:type="pct"/>
            <w:tcBorders>
              <w:top w:val="single" w:sz="4" w:space="0" w:color="auto"/>
              <w:bottom w:val="single" w:sz="4" w:space="0" w:color="auto"/>
            </w:tcBorders>
            <w:shd w:val="clear" w:color="auto" w:fill="auto"/>
            <w:vAlign w:val="center"/>
            <w:hideMark/>
          </w:tcPr>
          <w:p w14:paraId="0C3F7F02" w14:textId="77777777" w:rsidR="00330E11" w:rsidRPr="00482CB4" w:rsidRDefault="00330E11" w:rsidP="00630695">
            <w:pPr>
              <w:spacing w:before="0" w:after="0"/>
              <w:rPr>
                <w:rStyle w:val="BookTitle"/>
              </w:rPr>
            </w:pPr>
            <w:r w:rsidRPr="00482CB4">
              <w:rPr>
                <w:rStyle w:val="BookTitle"/>
              </w:rPr>
              <w:t>No days (2012-13) exceed 75th percentile</w:t>
            </w:r>
          </w:p>
        </w:tc>
        <w:tc>
          <w:tcPr>
            <w:tcW w:w="1049" w:type="pct"/>
            <w:tcBorders>
              <w:top w:val="single" w:sz="4" w:space="0" w:color="auto"/>
              <w:bottom w:val="single" w:sz="4" w:space="0" w:color="auto"/>
            </w:tcBorders>
            <w:shd w:val="clear" w:color="auto" w:fill="auto"/>
            <w:vAlign w:val="center"/>
            <w:hideMark/>
          </w:tcPr>
          <w:p w14:paraId="0C3F7F03" w14:textId="77777777" w:rsidR="00330E11" w:rsidRPr="00482CB4" w:rsidRDefault="00330E11" w:rsidP="00630695">
            <w:pPr>
              <w:spacing w:before="0" w:after="0"/>
              <w:rPr>
                <w:rStyle w:val="BookTitle"/>
              </w:rPr>
            </w:pPr>
            <w:r w:rsidRPr="00482CB4">
              <w:rPr>
                <w:rStyle w:val="BookTitle"/>
              </w:rPr>
              <w:t>No days (2012-13) exceed 95th percentile</w:t>
            </w:r>
          </w:p>
        </w:tc>
      </w:tr>
      <w:tr w:rsidR="00330E11" w:rsidRPr="00482CB4" w14:paraId="0C3F7F0B" w14:textId="77777777" w:rsidTr="00630695">
        <w:trPr>
          <w:trHeight w:val="20"/>
        </w:trPr>
        <w:tc>
          <w:tcPr>
            <w:tcW w:w="685" w:type="pct"/>
            <w:tcBorders>
              <w:top w:val="single" w:sz="4" w:space="0" w:color="auto"/>
            </w:tcBorders>
            <w:shd w:val="clear" w:color="auto" w:fill="auto"/>
            <w:vAlign w:val="bottom"/>
            <w:hideMark/>
          </w:tcPr>
          <w:p w14:paraId="0C3F7F05" w14:textId="77777777" w:rsidR="00330E11" w:rsidRPr="00482CB4" w:rsidRDefault="00330E11" w:rsidP="00630695">
            <w:pPr>
              <w:spacing w:before="0" w:after="0"/>
              <w:rPr>
                <w:rStyle w:val="BookTitle"/>
              </w:rPr>
            </w:pPr>
            <w:r w:rsidRPr="00482CB4">
              <w:rPr>
                <w:rStyle w:val="BookTitle"/>
              </w:rPr>
              <w:t>Pascoe</w:t>
            </w:r>
          </w:p>
        </w:tc>
        <w:tc>
          <w:tcPr>
            <w:tcW w:w="660" w:type="pct"/>
            <w:tcBorders>
              <w:top w:val="single" w:sz="4" w:space="0" w:color="auto"/>
            </w:tcBorders>
            <w:shd w:val="clear" w:color="auto" w:fill="auto"/>
            <w:noWrap/>
            <w:vAlign w:val="bottom"/>
            <w:hideMark/>
          </w:tcPr>
          <w:p w14:paraId="0C3F7F06" w14:textId="77777777" w:rsidR="00330E11" w:rsidRPr="00482CB4" w:rsidRDefault="00330E11" w:rsidP="00630695">
            <w:pPr>
              <w:spacing w:before="0" w:after="0"/>
              <w:rPr>
                <w:rStyle w:val="BookTitle"/>
              </w:rPr>
            </w:pPr>
            <w:r w:rsidRPr="00482CB4">
              <w:rPr>
                <w:rStyle w:val="BookTitle"/>
              </w:rPr>
              <w:t>102102A</w:t>
            </w:r>
          </w:p>
        </w:tc>
        <w:tc>
          <w:tcPr>
            <w:tcW w:w="792" w:type="pct"/>
            <w:tcBorders>
              <w:top w:val="single" w:sz="4" w:space="0" w:color="auto"/>
            </w:tcBorders>
            <w:shd w:val="clear" w:color="auto" w:fill="auto"/>
            <w:noWrap/>
            <w:vAlign w:val="bottom"/>
            <w:hideMark/>
          </w:tcPr>
          <w:p w14:paraId="0C3F7F07" w14:textId="77777777" w:rsidR="00330E11" w:rsidRPr="00482CB4" w:rsidRDefault="00330E11" w:rsidP="00630695">
            <w:pPr>
              <w:spacing w:before="0" w:after="0"/>
              <w:rPr>
                <w:rStyle w:val="BookTitle"/>
              </w:rPr>
            </w:pPr>
            <w:r w:rsidRPr="00482CB4">
              <w:rPr>
                <w:rStyle w:val="BookTitle"/>
              </w:rPr>
              <w:t xml:space="preserve">                 1,757 </w:t>
            </w:r>
          </w:p>
        </w:tc>
        <w:tc>
          <w:tcPr>
            <w:tcW w:w="802" w:type="pct"/>
            <w:tcBorders>
              <w:top w:val="single" w:sz="4" w:space="0" w:color="auto"/>
            </w:tcBorders>
            <w:shd w:val="clear" w:color="auto" w:fill="auto"/>
            <w:noWrap/>
            <w:vAlign w:val="bottom"/>
            <w:hideMark/>
          </w:tcPr>
          <w:p w14:paraId="0C3F7F08" w14:textId="77777777" w:rsidR="00330E11" w:rsidRPr="00482CB4" w:rsidRDefault="00330E11" w:rsidP="00630695">
            <w:pPr>
              <w:spacing w:before="0" w:after="0"/>
              <w:rPr>
                <w:rStyle w:val="BookTitle"/>
              </w:rPr>
            </w:pPr>
            <w:r w:rsidRPr="00482CB4">
              <w:rPr>
                <w:rStyle w:val="BookTitle"/>
              </w:rPr>
              <w:t xml:space="preserve">               18,385 </w:t>
            </w:r>
          </w:p>
        </w:tc>
        <w:tc>
          <w:tcPr>
            <w:tcW w:w="1012" w:type="pct"/>
            <w:tcBorders>
              <w:top w:val="single" w:sz="4" w:space="0" w:color="auto"/>
            </w:tcBorders>
            <w:shd w:val="clear" w:color="auto" w:fill="auto"/>
            <w:noWrap/>
            <w:vAlign w:val="bottom"/>
            <w:hideMark/>
          </w:tcPr>
          <w:p w14:paraId="0C3F7F09" w14:textId="77777777" w:rsidR="00330E11" w:rsidRPr="00482CB4" w:rsidRDefault="00330E11" w:rsidP="00630695">
            <w:pPr>
              <w:spacing w:before="0" w:after="0"/>
              <w:rPr>
                <w:rStyle w:val="BookTitle"/>
              </w:rPr>
            </w:pPr>
            <w:r w:rsidRPr="00482CB4">
              <w:rPr>
                <w:rStyle w:val="BookTitle"/>
              </w:rPr>
              <w:t>16</w:t>
            </w:r>
          </w:p>
        </w:tc>
        <w:tc>
          <w:tcPr>
            <w:tcW w:w="1049" w:type="pct"/>
            <w:tcBorders>
              <w:top w:val="single" w:sz="4" w:space="0" w:color="auto"/>
            </w:tcBorders>
            <w:shd w:val="clear" w:color="auto" w:fill="auto"/>
            <w:noWrap/>
            <w:vAlign w:val="bottom"/>
            <w:hideMark/>
          </w:tcPr>
          <w:p w14:paraId="0C3F7F0A" w14:textId="77777777" w:rsidR="00330E11" w:rsidRPr="00482CB4" w:rsidRDefault="00330E11" w:rsidP="00630695">
            <w:pPr>
              <w:spacing w:before="0" w:after="0"/>
              <w:rPr>
                <w:rStyle w:val="BookTitle"/>
              </w:rPr>
            </w:pPr>
            <w:r w:rsidRPr="00482CB4">
              <w:rPr>
                <w:rStyle w:val="BookTitle"/>
              </w:rPr>
              <w:t>2</w:t>
            </w:r>
          </w:p>
        </w:tc>
      </w:tr>
      <w:tr w:rsidR="00330E11" w:rsidRPr="00482CB4" w14:paraId="0C3F7F12" w14:textId="77777777" w:rsidTr="00630695">
        <w:trPr>
          <w:trHeight w:val="20"/>
        </w:trPr>
        <w:tc>
          <w:tcPr>
            <w:tcW w:w="685" w:type="pct"/>
            <w:shd w:val="clear" w:color="auto" w:fill="auto"/>
            <w:vAlign w:val="bottom"/>
            <w:hideMark/>
          </w:tcPr>
          <w:p w14:paraId="0C3F7F0C" w14:textId="77777777" w:rsidR="00330E11" w:rsidRPr="00482CB4" w:rsidRDefault="00330E11" w:rsidP="00630695">
            <w:pPr>
              <w:spacing w:before="0" w:after="0"/>
              <w:rPr>
                <w:rStyle w:val="BookTitle"/>
              </w:rPr>
            </w:pPr>
            <w:r w:rsidRPr="00482CB4">
              <w:rPr>
                <w:rStyle w:val="BookTitle"/>
              </w:rPr>
              <w:t>Stewart</w:t>
            </w:r>
          </w:p>
        </w:tc>
        <w:tc>
          <w:tcPr>
            <w:tcW w:w="660" w:type="pct"/>
            <w:shd w:val="clear" w:color="auto" w:fill="auto"/>
            <w:noWrap/>
            <w:vAlign w:val="bottom"/>
            <w:hideMark/>
          </w:tcPr>
          <w:p w14:paraId="0C3F7F0D" w14:textId="77777777" w:rsidR="00330E11" w:rsidRPr="00482CB4" w:rsidRDefault="00330E11" w:rsidP="00630695">
            <w:pPr>
              <w:spacing w:before="0" w:after="0"/>
              <w:rPr>
                <w:rStyle w:val="BookTitle"/>
              </w:rPr>
            </w:pPr>
            <w:r w:rsidRPr="00482CB4">
              <w:rPr>
                <w:rStyle w:val="BookTitle"/>
              </w:rPr>
              <w:t>104001A</w:t>
            </w:r>
          </w:p>
        </w:tc>
        <w:tc>
          <w:tcPr>
            <w:tcW w:w="792" w:type="pct"/>
            <w:shd w:val="clear" w:color="auto" w:fill="auto"/>
            <w:noWrap/>
            <w:vAlign w:val="bottom"/>
            <w:hideMark/>
          </w:tcPr>
          <w:p w14:paraId="0C3F7F0E" w14:textId="77777777" w:rsidR="00330E11" w:rsidRPr="00482CB4" w:rsidRDefault="00330E11" w:rsidP="00630695">
            <w:pPr>
              <w:spacing w:before="0" w:after="0"/>
              <w:rPr>
                <w:rStyle w:val="BookTitle"/>
              </w:rPr>
            </w:pPr>
            <w:r w:rsidRPr="00482CB4">
              <w:rPr>
                <w:rStyle w:val="BookTitle"/>
              </w:rPr>
              <w:t xml:space="preserve">                     219 </w:t>
            </w:r>
          </w:p>
        </w:tc>
        <w:tc>
          <w:tcPr>
            <w:tcW w:w="802" w:type="pct"/>
            <w:shd w:val="clear" w:color="auto" w:fill="auto"/>
            <w:noWrap/>
            <w:vAlign w:val="bottom"/>
            <w:hideMark/>
          </w:tcPr>
          <w:p w14:paraId="0C3F7F0F" w14:textId="77777777" w:rsidR="00330E11" w:rsidRPr="00482CB4" w:rsidRDefault="00330E11" w:rsidP="00630695">
            <w:pPr>
              <w:spacing w:before="0" w:after="0"/>
              <w:rPr>
                <w:rStyle w:val="BookTitle"/>
              </w:rPr>
            </w:pPr>
            <w:r w:rsidRPr="00482CB4">
              <w:rPr>
                <w:rStyle w:val="BookTitle"/>
              </w:rPr>
              <w:t xml:space="preserve">                 3,245 </w:t>
            </w:r>
          </w:p>
        </w:tc>
        <w:tc>
          <w:tcPr>
            <w:tcW w:w="1012" w:type="pct"/>
            <w:shd w:val="clear" w:color="auto" w:fill="auto"/>
            <w:noWrap/>
            <w:vAlign w:val="bottom"/>
            <w:hideMark/>
          </w:tcPr>
          <w:p w14:paraId="0C3F7F10" w14:textId="77777777" w:rsidR="00330E11" w:rsidRPr="00482CB4" w:rsidRDefault="00330E11" w:rsidP="00630695">
            <w:pPr>
              <w:spacing w:before="0" w:after="0"/>
              <w:rPr>
                <w:rStyle w:val="BookTitle"/>
              </w:rPr>
            </w:pPr>
            <w:r w:rsidRPr="00482CB4">
              <w:rPr>
                <w:rStyle w:val="BookTitle"/>
              </w:rPr>
              <w:t>15</w:t>
            </w:r>
          </w:p>
        </w:tc>
        <w:tc>
          <w:tcPr>
            <w:tcW w:w="1049" w:type="pct"/>
            <w:shd w:val="clear" w:color="auto" w:fill="auto"/>
            <w:noWrap/>
            <w:vAlign w:val="bottom"/>
            <w:hideMark/>
          </w:tcPr>
          <w:p w14:paraId="0C3F7F11" w14:textId="77777777" w:rsidR="00330E11" w:rsidRPr="00482CB4" w:rsidRDefault="00330E11" w:rsidP="00630695">
            <w:pPr>
              <w:spacing w:before="0" w:after="0"/>
              <w:rPr>
                <w:rStyle w:val="BookTitle"/>
              </w:rPr>
            </w:pPr>
            <w:r w:rsidRPr="00482CB4">
              <w:rPr>
                <w:rStyle w:val="BookTitle"/>
              </w:rPr>
              <w:t>2</w:t>
            </w:r>
          </w:p>
        </w:tc>
      </w:tr>
      <w:tr w:rsidR="00330E11" w:rsidRPr="00482CB4" w14:paraId="0C3F7F19" w14:textId="77777777" w:rsidTr="00630695">
        <w:trPr>
          <w:trHeight w:val="20"/>
        </w:trPr>
        <w:tc>
          <w:tcPr>
            <w:tcW w:w="685" w:type="pct"/>
            <w:shd w:val="clear" w:color="auto" w:fill="auto"/>
            <w:vAlign w:val="bottom"/>
            <w:hideMark/>
          </w:tcPr>
          <w:p w14:paraId="0C3F7F13" w14:textId="77777777" w:rsidR="00330E11" w:rsidRPr="00482CB4" w:rsidRDefault="00330E11" w:rsidP="00630695">
            <w:pPr>
              <w:spacing w:before="0" w:after="0"/>
              <w:rPr>
                <w:rStyle w:val="BookTitle"/>
              </w:rPr>
            </w:pPr>
            <w:r w:rsidRPr="00482CB4">
              <w:rPr>
                <w:rStyle w:val="BookTitle"/>
              </w:rPr>
              <w:t>Normanby</w:t>
            </w:r>
          </w:p>
        </w:tc>
        <w:tc>
          <w:tcPr>
            <w:tcW w:w="660" w:type="pct"/>
            <w:shd w:val="clear" w:color="auto" w:fill="auto"/>
            <w:noWrap/>
            <w:vAlign w:val="bottom"/>
            <w:hideMark/>
          </w:tcPr>
          <w:p w14:paraId="0C3F7F14" w14:textId="77777777" w:rsidR="00330E11" w:rsidRPr="00482CB4" w:rsidRDefault="00330E11" w:rsidP="00630695">
            <w:pPr>
              <w:spacing w:before="0" w:after="0"/>
              <w:rPr>
                <w:rStyle w:val="BookTitle"/>
              </w:rPr>
            </w:pPr>
            <w:r w:rsidRPr="00482CB4">
              <w:rPr>
                <w:rStyle w:val="BookTitle"/>
              </w:rPr>
              <w:t>105107A</w:t>
            </w:r>
          </w:p>
        </w:tc>
        <w:tc>
          <w:tcPr>
            <w:tcW w:w="792" w:type="pct"/>
            <w:shd w:val="clear" w:color="auto" w:fill="auto"/>
            <w:noWrap/>
            <w:vAlign w:val="bottom"/>
            <w:hideMark/>
          </w:tcPr>
          <w:p w14:paraId="0C3F7F15" w14:textId="77777777" w:rsidR="00330E11" w:rsidRPr="00482CB4" w:rsidRDefault="00330E11" w:rsidP="00630695">
            <w:pPr>
              <w:spacing w:before="0" w:after="0"/>
              <w:rPr>
                <w:rStyle w:val="BookTitle"/>
              </w:rPr>
            </w:pPr>
            <w:r w:rsidRPr="00482CB4">
              <w:rPr>
                <w:rStyle w:val="BookTitle"/>
              </w:rPr>
              <w:t xml:space="preserve">                 3,405 </w:t>
            </w:r>
          </w:p>
        </w:tc>
        <w:tc>
          <w:tcPr>
            <w:tcW w:w="802" w:type="pct"/>
            <w:shd w:val="clear" w:color="auto" w:fill="auto"/>
            <w:noWrap/>
            <w:vAlign w:val="bottom"/>
            <w:hideMark/>
          </w:tcPr>
          <w:p w14:paraId="0C3F7F16" w14:textId="77777777" w:rsidR="00330E11" w:rsidRPr="00482CB4" w:rsidRDefault="00330E11" w:rsidP="00630695">
            <w:pPr>
              <w:spacing w:before="0" w:after="0"/>
              <w:rPr>
                <w:rStyle w:val="BookTitle"/>
              </w:rPr>
            </w:pPr>
            <w:r w:rsidRPr="00482CB4">
              <w:rPr>
                <w:rStyle w:val="BookTitle"/>
              </w:rPr>
              <w:t xml:space="preserve">               46,691 </w:t>
            </w:r>
          </w:p>
        </w:tc>
        <w:tc>
          <w:tcPr>
            <w:tcW w:w="1012" w:type="pct"/>
            <w:shd w:val="clear" w:color="auto" w:fill="auto"/>
            <w:noWrap/>
            <w:vAlign w:val="bottom"/>
            <w:hideMark/>
          </w:tcPr>
          <w:p w14:paraId="0C3F7F17" w14:textId="77777777" w:rsidR="00330E11" w:rsidRPr="00482CB4" w:rsidRDefault="00330E11" w:rsidP="00630695">
            <w:pPr>
              <w:spacing w:before="0" w:after="0"/>
              <w:rPr>
                <w:rStyle w:val="BookTitle"/>
              </w:rPr>
            </w:pPr>
            <w:r w:rsidRPr="00482CB4">
              <w:rPr>
                <w:rStyle w:val="BookTitle"/>
              </w:rPr>
              <w:t>20</w:t>
            </w:r>
          </w:p>
        </w:tc>
        <w:tc>
          <w:tcPr>
            <w:tcW w:w="1049" w:type="pct"/>
            <w:shd w:val="clear" w:color="auto" w:fill="auto"/>
            <w:noWrap/>
            <w:vAlign w:val="bottom"/>
            <w:hideMark/>
          </w:tcPr>
          <w:p w14:paraId="0C3F7F18" w14:textId="77777777" w:rsidR="00330E11" w:rsidRPr="00482CB4" w:rsidRDefault="00330E11" w:rsidP="00630695">
            <w:pPr>
              <w:spacing w:before="0" w:after="0"/>
              <w:rPr>
                <w:rStyle w:val="BookTitle"/>
              </w:rPr>
            </w:pPr>
            <w:r w:rsidRPr="00482CB4">
              <w:rPr>
                <w:rStyle w:val="BookTitle"/>
              </w:rPr>
              <w:t>3</w:t>
            </w:r>
          </w:p>
        </w:tc>
      </w:tr>
      <w:tr w:rsidR="00330E11" w:rsidRPr="00482CB4" w14:paraId="0C3F7F20" w14:textId="77777777" w:rsidTr="00630695">
        <w:trPr>
          <w:trHeight w:val="20"/>
        </w:trPr>
        <w:tc>
          <w:tcPr>
            <w:tcW w:w="685" w:type="pct"/>
            <w:shd w:val="clear" w:color="auto" w:fill="auto"/>
            <w:vAlign w:val="bottom"/>
            <w:hideMark/>
          </w:tcPr>
          <w:p w14:paraId="0C3F7F1A" w14:textId="77777777" w:rsidR="00330E11" w:rsidRPr="00482CB4" w:rsidRDefault="00330E11" w:rsidP="00630695">
            <w:pPr>
              <w:spacing w:before="0" w:after="0"/>
              <w:rPr>
                <w:rStyle w:val="BookTitle"/>
              </w:rPr>
            </w:pPr>
            <w:r w:rsidRPr="00482CB4">
              <w:rPr>
                <w:rStyle w:val="BookTitle"/>
              </w:rPr>
              <w:t>Annan</w:t>
            </w:r>
          </w:p>
        </w:tc>
        <w:tc>
          <w:tcPr>
            <w:tcW w:w="660" w:type="pct"/>
            <w:shd w:val="clear" w:color="auto" w:fill="auto"/>
            <w:noWrap/>
            <w:vAlign w:val="bottom"/>
            <w:hideMark/>
          </w:tcPr>
          <w:p w14:paraId="0C3F7F1B" w14:textId="77777777" w:rsidR="00330E11" w:rsidRPr="00482CB4" w:rsidRDefault="00330E11" w:rsidP="00630695">
            <w:pPr>
              <w:spacing w:before="0" w:after="0"/>
              <w:rPr>
                <w:rStyle w:val="BookTitle"/>
              </w:rPr>
            </w:pPr>
            <w:r w:rsidRPr="00482CB4">
              <w:rPr>
                <w:rStyle w:val="BookTitle"/>
              </w:rPr>
              <w:t>107003A</w:t>
            </w:r>
          </w:p>
        </w:tc>
        <w:tc>
          <w:tcPr>
            <w:tcW w:w="792" w:type="pct"/>
            <w:shd w:val="clear" w:color="auto" w:fill="auto"/>
            <w:noWrap/>
            <w:vAlign w:val="bottom"/>
            <w:hideMark/>
          </w:tcPr>
          <w:p w14:paraId="0C3F7F1C" w14:textId="77777777" w:rsidR="00330E11" w:rsidRPr="00482CB4" w:rsidRDefault="00330E11" w:rsidP="00630695">
            <w:pPr>
              <w:spacing w:before="0" w:after="0"/>
              <w:rPr>
                <w:rStyle w:val="BookTitle"/>
              </w:rPr>
            </w:pPr>
            <w:r w:rsidRPr="00482CB4">
              <w:rPr>
                <w:rStyle w:val="BookTitle"/>
              </w:rPr>
              <w:t xml:space="preserve">                     671 </w:t>
            </w:r>
          </w:p>
        </w:tc>
        <w:tc>
          <w:tcPr>
            <w:tcW w:w="802" w:type="pct"/>
            <w:shd w:val="clear" w:color="auto" w:fill="auto"/>
            <w:noWrap/>
            <w:vAlign w:val="bottom"/>
            <w:hideMark/>
          </w:tcPr>
          <w:p w14:paraId="0C3F7F1D" w14:textId="77777777" w:rsidR="00330E11" w:rsidRPr="00482CB4" w:rsidRDefault="00330E11" w:rsidP="00630695">
            <w:pPr>
              <w:spacing w:before="0" w:after="0"/>
              <w:rPr>
                <w:rStyle w:val="BookTitle"/>
              </w:rPr>
            </w:pPr>
            <w:r w:rsidRPr="00482CB4">
              <w:rPr>
                <w:rStyle w:val="BookTitle"/>
              </w:rPr>
              <w:t xml:space="preserve">                 2,767 </w:t>
            </w:r>
          </w:p>
        </w:tc>
        <w:tc>
          <w:tcPr>
            <w:tcW w:w="1012" w:type="pct"/>
            <w:shd w:val="clear" w:color="auto" w:fill="auto"/>
            <w:noWrap/>
            <w:vAlign w:val="bottom"/>
            <w:hideMark/>
          </w:tcPr>
          <w:p w14:paraId="0C3F7F1E" w14:textId="77777777" w:rsidR="00330E11" w:rsidRPr="00482CB4" w:rsidRDefault="00330E11" w:rsidP="00630695">
            <w:pPr>
              <w:spacing w:before="0" w:after="0"/>
              <w:rPr>
                <w:rStyle w:val="BookTitle"/>
              </w:rPr>
            </w:pPr>
            <w:r w:rsidRPr="00482CB4">
              <w:rPr>
                <w:rStyle w:val="BookTitle"/>
              </w:rPr>
              <w:t>27</w:t>
            </w:r>
          </w:p>
        </w:tc>
        <w:tc>
          <w:tcPr>
            <w:tcW w:w="1049" w:type="pct"/>
            <w:shd w:val="clear" w:color="auto" w:fill="auto"/>
            <w:noWrap/>
            <w:vAlign w:val="bottom"/>
            <w:hideMark/>
          </w:tcPr>
          <w:p w14:paraId="0C3F7F1F" w14:textId="77777777" w:rsidR="00330E11" w:rsidRPr="00482CB4" w:rsidRDefault="00330E11" w:rsidP="00630695">
            <w:pPr>
              <w:spacing w:before="0" w:after="0"/>
              <w:rPr>
                <w:rStyle w:val="BookTitle"/>
              </w:rPr>
            </w:pPr>
            <w:r w:rsidRPr="00482CB4">
              <w:rPr>
                <w:rStyle w:val="BookTitle"/>
              </w:rPr>
              <w:t>3</w:t>
            </w:r>
          </w:p>
        </w:tc>
      </w:tr>
      <w:tr w:rsidR="00330E11" w:rsidRPr="00482CB4" w14:paraId="0C3F7F27" w14:textId="77777777" w:rsidTr="00630695">
        <w:trPr>
          <w:trHeight w:val="20"/>
        </w:trPr>
        <w:tc>
          <w:tcPr>
            <w:tcW w:w="685" w:type="pct"/>
            <w:shd w:val="clear" w:color="auto" w:fill="auto"/>
            <w:vAlign w:val="bottom"/>
            <w:hideMark/>
          </w:tcPr>
          <w:p w14:paraId="0C3F7F21" w14:textId="77777777" w:rsidR="00330E11" w:rsidRPr="00482CB4" w:rsidRDefault="00330E11" w:rsidP="00630695">
            <w:pPr>
              <w:spacing w:before="0" w:after="0"/>
              <w:rPr>
                <w:rStyle w:val="BookTitle"/>
              </w:rPr>
            </w:pPr>
            <w:r w:rsidRPr="00482CB4">
              <w:rPr>
                <w:rStyle w:val="BookTitle"/>
              </w:rPr>
              <w:t>Daintree</w:t>
            </w:r>
          </w:p>
        </w:tc>
        <w:tc>
          <w:tcPr>
            <w:tcW w:w="660" w:type="pct"/>
            <w:shd w:val="clear" w:color="auto" w:fill="auto"/>
            <w:noWrap/>
            <w:vAlign w:val="bottom"/>
            <w:hideMark/>
          </w:tcPr>
          <w:p w14:paraId="0C3F7F22" w14:textId="77777777" w:rsidR="00330E11" w:rsidRPr="00482CB4" w:rsidRDefault="00330E11" w:rsidP="00630695">
            <w:pPr>
              <w:spacing w:before="0" w:after="0"/>
              <w:rPr>
                <w:rStyle w:val="BookTitle"/>
              </w:rPr>
            </w:pPr>
            <w:r w:rsidRPr="00482CB4">
              <w:rPr>
                <w:rStyle w:val="BookTitle"/>
              </w:rPr>
              <w:t>108002A</w:t>
            </w:r>
          </w:p>
        </w:tc>
        <w:tc>
          <w:tcPr>
            <w:tcW w:w="792" w:type="pct"/>
            <w:shd w:val="clear" w:color="auto" w:fill="auto"/>
            <w:noWrap/>
            <w:vAlign w:val="bottom"/>
            <w:hideMark/>
          </w:tcPr>
          <w:p w14:paraId="0C3F7F23" w14:textId="77777777" w:rsidR="00330E11" w:rsidRPr="00482CB4" w:rsidRDefault="00330E11" w:rsidP="00630695">
            <w:pPr>
              <w:spacing w:before="0" w:after="0"/>
              <w:rPr>
                <w:rStyle w:val="BookTitle"/>
              </w:rPr>
            </w:pPr>
            <w:r w:rsidRPr="00482CB4">
              <w:rPr>
                <w:rStyle w:val="BookTitle"/>
              </w:rPr>
              <w:t xml:space="preserve">                 1,938 </w:t>
            </w:r>
          </w:p>
        </w:tc>
        <w:tc>
          <w:tcPr>
            <w:tcW w:w="802" w:type="pct"/>
            <w:shd w:val="clear" w:color="auto" w:fill="auto"/>
            <w:noWrap/>
            <w:vAlign w:val="bottom"/>
            <w:hideMark/>
          </w:tcPr>
          <w:p w14:paraId="0C3F7F24" w14:textId="77777777" w:rsidR="00330E11" w:rsidRPr="00482CB4" w:rsidRDefault="00330E11" w:rsidP="00630695">
            <w:pPr>
              <w:spacing w:before="0" w:after="0"/>
              <w:rPr>
                <w:rStyle w:val="BookTitle"/>
              </w:rPr>
            </w:pPr>
            <w:r w:rsidRPr="00482CB4">
              <w:rPr>
                <w:rStyle w:val="BookTitle"/>
              </w:rPr>
              <w:t xml:space="preserve">                 8,924 </w:t>
            </w:r>
          </w:p>
        </w:tc>
        <w:tc>
          <w:tcPr>
            <w:tcW w:w="1012" w:type="pct"/>
            <w:shd w:val="clear" w:color="auto" w:fill="auto"/>
            <w:noWrap/>
            <w:vAlign w:val="bottom"/>
            <w:hideMark/>
          </w:tcPr>
          <w:p w14:paraId="0C3F7F25" w14:textId="77777777" w:rsidR="00330E11" w:rsidRPr="00482CB4" w:rsidRDefault="00330E11" w:rsidP="00630695">
            <w:pPr>
              <w:spacing w:before="0" w:after="0"/>
              <w:rPr>
                <w:rStyle w:val="BookTitle"/>
              </w:rPr>
            </w:pPr>
            <w:r w:rsidRPr="00482CB4">
              <w:rPr>
                <w:rStyle w:val="BookTitle"/>
              </w:rPr>
              <w:t>23</w:t>
            </w:r>
          </w:p>
        </w:tc>
        <w:tc>
          <w:tcPr>
            <w:tcW w:w="1049" w:type="pct"/>
            <w:shd w:val="clear" w:color="auto" w:fill="auto"/>
            <w:noWrap/>
            <w:vAlign w:val="bottom"/>
            <w:hideMark/>
          </w:tcPr>
          <w:p w14:paraId="0C3F7F26" w14:textId="77777777" w:rsidR="00330E11" w:rsidRPr="00482CB4" w:rsidRDefault="00330E11" w:rsidP="00630695">
            <w:pPr>
              <w:spacing w:before="0" w:after="0"/>
              <w:rPr>
                <w:rStyle w:val="BookTitle"/>
              </w:rPr>
            </w:pPr>
            <w:r w:rsidRPr="00482CB4">
              <w:rPr>
                <w:rStyle w:val="BookTitle"/>
              </w:rPr>
              <w:t>3</w:t>
            </w:r>
          </w:p>
        </w:tc>
      </w:tr>
      <w:tr w:rsidR="00330E11" w:rsidRPr="00482CB4" w14:paraId="0C3F7F2E" w14:textId="77777777" w:rsidTr="00630695">
        <w:trPr>
          <w:trHeight w:val="20"/>
        </w:trPr>
        <w:tc>
          <w:tcPr>
            <w:tcW w:w="685" w:type="pct"/>
            <w:shd w:val="clear" w:color="auto" w:fill="auto"/>
            <w:vAlign w:val="bottom"/>
            <w:hideMark/>
          </w:tcPr>
          <w:p w14:paraId="0C3F7F28" w14:textId="77777777" w:rsidR="00330E11" w:rsidRPr="00482CB4" w:rsidRDefault="00330E11" w:rsidP="00630695">
            <w:pPr>
              <w:spacing w:before="0" w:after="0"/>
              <w:rPr>
                <w:rStyle w:val="BookTitle"/>
              </w:rPr>
            </w:pPr>
            <w:r w:rsidRPr="00482CB4">
              <w:rPr>
                <w:rStyle w:val="BookTitle"/>
              </w:rPr>
              <w:t>Barron</w:t>
            </w:r>
          </w:p>
        </w:tc>
        <w:tc>
          <w:tcPr>
            <w:tcW w:w="660" w:type="pct"/>
            <w:shd w:val="clear" w:color="auto" w:fill="auto"/>
            <w:noWrap/>
            <w:vAlign w:val="bottom"/>
            <w:hideMark/>
          </w:tcPr>
          <w:p w14:paraId="0C3F7F29" w14:textId="77777777" w:rsidR="00330E11" w:rsidRPr="00482CB4" w:rsidRDefault="00330E11" w:rsidP="00630695">
            <w:pPr>
              <w:spacing w:before="0" w:after="0"/>
              <w:rPr>
                <w:rStyle w:val="BookTitle"/>
              </w:rPr>
            </w:pPr>
            <w:r w:rsidRPr="00482CB4">
              <w:rPr>
                <w:rStyle w:val="BookTitle"/>
              </w:rPr>
              <w:t>110001D</w:t>
            </w:r>
          </w:p>
        </w:tc>
        <w:tc>
          <w:tcPr>
            <w:tcW w:w="792" w:type="pct"/>
            <w:shd w:val="clear" w:color="auto" w:fill="auto"/>
            <w:noWrap/>
            <w:vAlign w:val="bottom"/>
            <w:hideMark/>
          </w:tcPr>
          <w:p w14:paraId="0C3F7F2A" w14:textId="77777777" w:rsidR="00330E11" w:rsidRPr="00482CB4" w:rsidRDefault="00330E11" w:rsidP="00630695">
            <w:pPr>
              <w:spacing w:before="0" w:after="0"/>
              <w:rPr>
                <w:rStyle w:val="BookTitle"/>
              </w:rPr>
            </w:pPr>
            <w:r w:rsidRPr="00482CB4">
              <w:rPr>
                <w:rStyle w:val="BookTitle"/>
              </w:rPr>
              <w:t xml:space="preserve">                 1,036 </w:t>
            </w:r>
          </w:p>
        </w:tc>
        <w:tc>
          <w:tcPr>
            <w:tcW w:w="802" w:type="pct"/>
            <w:shd w:val="clear" w:color="auto" w:fill="auto"/>
            <w:noWrap/>
            <w:vAlign w:val="bottom"/>
            <w:hideMark/>
          </w:tcPr>
          <w:p w14:paraId="0C3F7F2B" w14:textId="77777777" w:rsidR="00330E11" w:rsidRPr="00482CB4" w:rsidRDefault="00330E11" w:rsidP="00630695">
            <w:pPr>
              <w:spacing w:before="0" w:after="0"/>
              <w:rPr>
                <w:rStyle w:val="BookTitle"/>
              </w:rPr>
            </w:pPr>
            <w:r w:rsidRPr="00482CB4">
              <w:rPr>
                <w:rStyle w:val="BookTitle"/>
              </w:rPr>
              <w:t xml:space="preserve">                 6,090 </w:t>
            </w:r>
          </w:p>
        </w:tc>
        <w:tc>
          <w:tcPr>
            <w:tcW w:w="1012" w:type="pct"/>
            <w:shd w:val="clear" w:color="auto" w:fill="auto"/>
            <w:noWrap/>
            <w:vAlign w:val="bottom"/>
            <w:hideMark/>
          </w:tcPr>
          <w:p w14:paraId="0C3F7F2C" w14:textId="77777777" w:rsidR="00330E11" w:rsidRPr="00482CB4" w:rsidRDefault="00330E11" w:rsidP="00630695">
            <w:pPr>
              <w:spacing w:before="0" w:after="0"/>
              <w:rPr>
                <w:rStyle w:val="BookTitle"/>
              </w:rPr>
            </w:pPr>
            <w:r w:rsidRPr="00482CB4">
              <w:rPr>
                <w:rStyle w:val="BookTitle"/>
              </w:rPr>
              <w:t>8</w:t>
            </w:r>
          </w:p>
        </w:tc>
        <w:tc>
          <w:tcPr>
            <w:tcW w:w="1049" w:type="pct"/>
            <w:shd w:val="clear" w:color="auto" w:fill="auto"/>
            <w:noWrap/>
            <w:vAlign w:val="bottom"/>
            <w:hideMark/>
          </w:tcPr>
          <w:p w14:paraId="0C3F7F2D" w14:textId="77777777" w:rsidR="00330E11" w:rsidRPr="00482CB4" w:rsidRDefault="00330E11" w:rsidP="00630695">
            <w:pPr>
              <w:spacing w:before="0" w:after="0"/>
              <w:rPr>
                <w:rStyle w:val="BookTitle"/>
              </w:rPr>
            </w:pPr>
            <w:r w:rsidRPr="00482CB4">
              <w:rPr>
                <w:rStyle w:val="BookTitle"/>
              </w:rPr>
              <w:t>2</w:t>
            </w:r>
          </w:p>
        </w:tc>
      </w:tr>
      <w:tr w:rsidR="00330E11" w:rsidRPr="00482CB4" w14:paraId="0C3F7F35" w14:textId="77777777" w:rsidTr="00630695">
        <w:trPr>
          <w:trHeight w:val="20"/>
        </w:trPr>
        <w:tc>
          <w:tcPr>
            <w:tcW w:w="685" w:type="pct"/>
            <w:shd w:val="clear" w:color="auto" w:fill="auto"/>
            <w:vAlign w:val="bottom"/>
            <w:hideMark/>
          </w:tcPr>
          <w:p w14:paraId="0C3F7F2F" w14:textId="77777777" w:rsidR="00330E11" w:rsidRPr="00482CB4" w:rsidRDefault="00330E11" w:rsidP="00630695">
            <w:pPr>
              <w:spacing w:before="0" w:after="0"/>
              <w:rPr>
                <w:rStyle w:val="BookTitle"/>
              </w:rPr>
            </w:pPr>
            <w:r w:rsidRPr="00482CB4">
              <w:rPr>
                <w:rStyle w:val="BookTitle"/>
              </w:rPr>
              <w:t>Mulgrave</w:t>
            </w:r>
          </w:p>
        </w:tc>
        <w:tc>
          <w:tcPr>
            <w:tcW w:w="660" w:type="pct"/>
            <w:shd w:val="clear" w:color="auto" w:fill="auto"/>
            <w:noWrap/>
            <w:vAlign w:val="bottom"/>
            <w:hideMark/>
          </w:tcPr>
          <w:p w14:paraId="0C3F7F30" w14:textId="77777777" w:rsidR="00330E11" w:rsidRPr="00482CB4" w:rsidRDefault="00330E11" w:rsidP="00630695">
            <w:pPr>
              <w:spacing w:before="0" w:after="0"/>
              <w:rPr>
                <w:rStyle w:val="BookTitle"/>
              </w:rPr>
            </w:pPr>
            <w:r w:rsidRPr="00482CB4">
              <w:rPr>
                <w:rStyle w:val="BookTitle"/>
              </w:rPr>
              <w:t>111007A</w:t>
            </w:r>
          </w:p>
        </w:tc>
        <w:tc>
          <w:tcPr>
            <w:tcW w:w="792" w:type="pct"/>
            <w:shd w:val="clear" w:color="auto" w:fill="auto"/>
            <w:noWrap/>
            <w:vAlign w:val="bottom"/>
            <w:hideMark/>
          </w:tcPr>
          <w:p w14:paraId="0C3F7F31" w14:textId="77777777" w:rsidR="00330E11" w:rsidRPr="00482CB4" w:rsidRDefault="00330E11" w:rsidP="00630695">
            <w:pPr>
              <w:spacing w:before="0" w:after="0"/>
              <w:rPr>
                <w:rStyle w:val="BookTitle"/>
              </w:rPr>
            </w:pPr>
            <w:r w:rsidRPr="00482CB4">
              <w:rPr>
                <w:rStyle w:val="BookTitle"/>
              </w:rPr>
              <w:t xml:space="preserve">                 2,000 </w:t>
            </w:r>
          </w:p>
        </w:tc>
        <w:tc>
          <w:tcPr>
            <w:tcW w:w="802" w:type="pct"/>
            <w:shd w:val="clear" w:color="auto" w:fill="auto"/>
            <w:noWrap/>
            <w:vAlign w:val="bottom"/>
            <w:hideMark/>
          </w:tcPr>
          <w:p w14:paraId="0C3F7F32" w14:textId="77777777" w:rsidR="00330E11" w:rsidRPr="00482CB4" w:rsidRDefault="00330E11" w:rsidP="00630695">
            <w:pPr>
              <w:spacing w:before="0" w:after="0"/>
              <w:rPr>
                <w:rStyle w:val="BookTitle"/>
              </w:rPr>
            </w:pPr>
            <w:r w:rsidRPr="00482CB4">
              <w:rPr>
                <w:rStyle w:val="BookTitle"/>
              </w:rPr>
              <w:t xml:space="preserve">                 7,109 </w:t>
            </w:r>
          </w:p>
        </w:tc>
        <w:tc>
          <w:tcPr>
            <w:tcW w:w="1012" w:type="pct"/>
            <w:shd w:val="clear" w:color="auto" w:fill="auto"/>
            <w:noWrap/>
            <w:vAlign w:val="bottom"/>
            <w:hideMark/>
          </w:tcPr>
          <w:p w14:paraId="0C3F7F33" w14:textId="77777777" w:rsidR="00330E11" w:rsidRPr="00482CB4" w:rsidRDefault="00330E11" w:rsidP="00630695">
            <w:pPr>
              <w:spacing w:before="0" w:after="0"/>
              <w:rPr>
                <w:rStyle w:val="BookTitle"/>
              </w:rPr>
            </w:pPr>
            <w:r w:rsidRPr="00482CB4">
              <w:rPr>
                <w:rStyle w:val="BookTitle"/>
              </w:rPr>
              <w:t>21</w:t>
            </w:r>
          </w:p>
        </w:tc>
        <w:tc>
          <w:tcPr>
            <w:tcW w:w="1049" w:type="pct"/>
            <w:shd w:val="clear" w:color="auto" w:fill="auto"/>
            <w:noWrap/>
            <w:vAlign w:val="bottom"/>
            <w:hideMark/>
          </w:tcPr>
          <w:p w14:paraId="0C3F7F34" w14:textId="77777777" w:rsidR="00330E11" w:rsidRPr="00482CB4" w:rsidRDefault="00330E11" w:rsidP="00630695">
            <w:pPr>
              <w:spacing w:before="0" w:after="0"/>
              <w:rPr>
                <w:rStyle w:val="BookTitle"/>
              </w:rPr>
            </w:pPr>
            <w:r w:rsidRPr="00482CB4">
              <w:rPr>
                <w:rStyle w:val="BookTitle"/>
              </w:rPr>
              <w:t>2</w:t>
            </w:r>
          </w:p>
        </w:tc>
      </w:tr>
      <w:tr w:rsidR="00330E11" w:rsidRPr="00482CB4" w14:paraId="0C3F7F3C" w14:textId="77777777" w:rsidTr="00630695">
        <w:trPr>
          <w:trHeight w:val="20"/>
        </w:trPr>
        <w:tc>
          <w:tcPr>
            <w:tcW w:w="685" w:type="pct"/>
            <w:shd w:val="clear" w:color="auto" w:fill="auto"/>
            <w:vAlign w:val="bottom"/>
            <w:hideMark/>
          </w:tcPr>
          <w:p w14:paraId="0C3F7F36" w14:textId="77777777" w:rsidR="00330E11" w:rsidRPr="00482CB4" w:rsidRDefault="00330E11" w:rsidP="00630695">
            <w:pPr>
              <w:spacing w:before="0" w:after="0"/>
              <w:rPr>
                <w:rStyle w:val="BookTitle"/>
              </w:rPr>
            </w:pPr>
            <w:r w:rsidRPr="00482CB4">
              <w:rPr>
                <w:rStyle w:val="BookTitle"/>
              </w:rPr>
              <w:t>Russell</w:t>
            </w:r>
          </w:p>
        </w:tc>
        <w:tc>
          <w:tcPr>
            <w:tcW w:w="660" w:type="pct"/>
            <w:shd w:val="clear" w:color="auto" w:fill="auto"/>
            <w:noWrap/>
            <w:vAlign w:val="bottom"/>
            <w:hideMark/>
          </w:tcPr>
          <w:p w14:paraId="0C3F7F37" w14:textId="77777777" w:rsidR="00330E11" w:rsidRPr="00482CB4" w:rsidRDefault="00330E11" w:rsidP="00630695">
            <w:pPr>
              <w:spacing w:before="0" w:after="0"/>
              <w:rPr>
                <w:rStyle w:val="BookTitle"/>
              </w:rPr>
            </w:pPr>
            <w:r w:rsidRPr="00482CB4">
              <w:rPr>
                <w:rStyle w:val="BookTitle"/>
              </w:rPr>
              <w:t>111101D</w:t>
            </w:r>
          </w:p>
        </w:tc>
        <w:tc>
          <w:tcPr>
            <w:tcW w:w="792" w:type="pct"/>
            <w:shd w:val="clear" w:color="auto" w:fill="auto"/>
            <w:noWrap/>
            <w:vAlign w:val="bottom"/>
            <w:hideMark/>
          </w:tcPr>
          <w:p w14:paraId="0C3F7F38" w14:textId="77777777" w:rsidR="00330E11" w:rsidRPr="00482CB4" w:rsidRDefault="00330E11" w:rsidP="00630695">
            <w:pPr>
              <w:spacing w:before="0" w:after="0"/>
              <w:rPr>
                <w:rStyle w:val="BookTitle"/>
              </w:rPr>
            </w:pPr>
            <w:r w:rsidRPr="00482CB4">
              <w:rPr>
                <w:rStyle w:val="BookTitle"/>
              </w:rPr>
              <w:t xml:space="preserve">                 3,210 </w:t>
            </w:r>
          </w:p>
        </w:tc>
        <w:tc>
          <w:tcPr>
            <w:tcW w:w="802" w:type="pct"/>
            <w:shd w:val="clear" w:color="auto" w:fill="auto"/>
            <w:noWrap/>
            <w:vAlign w:val="bottom"/>
            <w:hideMark/>
          </w:tcPr>
          <w:p w14:paraId="0C3F7F39" w14:textId="77777777" w:rsidR="00330E11" w:rsidRPr="00482CB4" w:rsidRDefault="00330E11" w:rsidP="00630695">
            <w:pPr>
              <w:spacing w:before="0" w:after="0"/>
              <w:rPr>
                <w:rStyle w:val="BookTitle"/>
              </w:rPr>
            </w:pPr>
            <w:r w:rsidRPr="00482CB4">
              <w:rPr>
                <w:rStyle w:val="BookTitle"/>
              </w:rPr>
              <w:t xml:space="preserve">               12,308 </w:t>
            </w:r>
          </w:p>
        </w:tc>
        <w:tc>
          <w:tcPr>
            <w:tcW w:w="1012" w:type="pct"/>
            <w:shd w:val="clear" w:color="auto" w:fill="auto"/>
            <w:noWrap/>
            <w:vAlign w:val="bottom"/>
            <w:hideMark/>
          </w:tcPr>
          <w:p w14:paraId="0C3F7F3A" w14:textId="77777777" w:rsidR="00330E11" w:rsidRPr="00482CB4" w:rsidRDefault="00330E11" w:rsidP="00630695">
            <w:pPr>
              <w:spacing w:before="0" w:after="0"/>
              <w:rPr>
                <w:rStyle w:val="BookTitle"/>
              </w:rPr>
            </w:pPr>
            <w:r w:rsidRPr="00482CB4">
              <w:rPr>
                <w:rStyle w:val="BookTitle"/>
              </w:rPr>
              <w:t>21</w:t>
            </w:r>
          </w:p>
        </w:tc>
        <w:tc>
          <w:tcPr>
            <w:tcW w:w="1049" w:type="pct"/>
            <w:shd w:val="clear" w:color="auto" w:fill="auto"/>
            <w:noWrap/>
            <w:vAlign w:val="bottom"/>
            <w:hideMark/>
          </w:tcPr>
          <w:p w14:paraId="0C3F7F3B" w14:textId="77777777" w:rsidR="00330E11" w:rsidRPr="00482CB4" w:rsidRDefault="00330E11" w:rsidP="00630695">
            <w:pPr>
              <w:spacing w:before="0" w:after="0"/>
              <w:rPr>
                <w:rStyle w:val="BookTitle"/>
              </w:rPr>
            </w:pPr>
            <w:r w:rsidRPr="00482CB4">
              <w:rPr>
                <w:rStyle w:val="BookTitle"/>
              </w:rPr>
              <w:t>3</w:t>
            </w:r>
          </w:p>
        </w:tc>
      </w:tr>
      <w:tr w:rsidR="00330E11" w:rsidRPr="00482CB4" w14:paraId="0C3F7F43" w14:textId="77777777" w:rsidTr="00630695">
        <w:trPr>
          <w:trHeight w:val="20"/>
        </w:trPr>
        <w:tc>
          <w:tcPr>
            <w:tcW w:w="685" w:type="pct"/>
            <w:shd w:val="clear" w:color="auto" w:fill="auto"/>
            <w:vAlign w:val="bottom"/>
            <w:hideMark/>
          </w:tcPr>
          <w:p w14:paraId="0C3F7F3D" w14:textId="77777777" w:rsidR="00330E11" w:rsidRPr="00482CB4" w:rsidRDefault="00330E11" w:rsidP="00630695">
            <w:pPr>
              <w:spacing w:before="0" w:after="0"/>
              <w:rPr>
                <w:rStyle w:val="BookTitle"/>
              </w:rPr>
            </w:pPr>
            <w:r w:rsidRPr="00482CB4">
              <w:rPr>
                <w:rStyle w:val="BookTitle"/>
              </w:rPr>
              <w:t>N Johnstone</w:t>
            </w:r>
          </w:p>
        </w:tc>
        <w:tc>
          <w:tcPr>
            <w:tcW w:w="660" w:type="pct"/>
            <w:shd w:val="clear" w:color="auto" w:fill="auto"/>
            <w:noWrap/>
            <w:vAlign w:val="bottom"/>
            <w:hideMark/>
          </w:tcPr>
          <w:p w14:paraId="0C3F7F3E" w14:textId="77777777" w:rsidR="00330E11" w:rsidRPr="00482CB4" w:rsidRDefault="00330E11" w:rsidP="00630695">
            <w:pPr>
              <w:spacing w:before="0" w:after="0"/>
              <w:rPr>
                <w:rStyle w:val="BookTitle"/>
              </w:rPr>
            </w:pPr>
            <w:r w:rsidRPr="00482CB4">
              <w:rPr>
                <w:rStyle w:val="BookTitle"/>
              </w:rPr>
              <w:t>112004A</w:t>
            </w:r>
          </w:p>
        </w:tc>
        <w:tc>
          <w:tcPr>
            <w:tcW w:w="792" w:type="pct"/>
            <w:shd w:val="clear" w:color="auto" w:fill="auto"/>
            <w:noWrap/>
            <w:vAlign w:val="bottom"/>
            <w:hideMark/>
          </w:tcPr>
          <w:p w14:paraId="0C3F7F3F" w14:textId="77777777" w:rsidR="00330E11" w:rsidRPr="00482CB4" w:rsidRDefault="00330E11" w:rsidP="00630695">
            <w:pPr>
              <w:spacing w:before="0" w:after="0"/>
              <w:rPr>
                <w:rStyle w:val="BookTitle"/>
              </w:rPr>
            </w:pPr>
            <w:r w:rsidRPr="00482CB4">
              <w:rPr>
                <w:rStyle w:val="BookTitle"/>
              </w:rPr>
              <w:t xml:space="preserve">                 5,329 </w:t>
            </w:r>
          </w:p>
        </w:tc>
        <w:tc>
          <w:tcPr>
            <w:tcW w:w="802" w:type="pct"/>
            <w:shd w:val="clear" w:color="auto" w:fill="auto"/>
            <w:noWrap/>
            <w:vAlign w:val="bottom"/>
            <w:hideMark/>
          </w:tcPr>
          <w:p w14:paraId="0C3F7F40" w14:textId="77777777" w:rsidR="00330E11" w:rsidRPr="00482CB4" w:rsidRDefault="00330E11" w:rsidP="00630695">
            <w:pPr>
              <w:spacing w:before="0" w:after="0"/>
              <w:rPr>
                <w:rStyle w:val="BookTitle"/>
              </w:rPr>
            </w:pPr>
            <w:r w:rsidRPr="00482CB4">
              <w:rPr>
                <w:rStyle w:val="BookTitle"/>
              </w:rPr>
              <w:t xml:space="preserve">               16,694 </w:t>
            </w:r>
          </w:p>
        </w:tc>
        <w:tc>
          <w:tcPr>
            <w:tcW w:w="1012" w:type="pct"/>
            <w:shd w:val="clear" w:color="auto" w:fill="auto"/>
            <w:noWrap/>
            <w:vAlign w:val="bottom"/>
            <w:hideMark/>
          </w:tcPr>
          <w:p w14:paraId="0C3F7F41" w14:textId="77777777" w:rsidR="00330E11" w:rsidRPr="00482CB4" w:rsidRDefault="00330E11" w:rsidP="00630695">
            <w:pPr>
              <w:spacing w:before="0" w:after="0"/>
              <w:rPr>
                <w:rStyle w:val="BookTitle"/>
              </w:rPr>
            </w:pPr>
            <w:r w:rsidRPr="00482CB4">
              <w:rPr>
                <w:rStyle w:val="BookTitle"/>
              </w:rPr>
              <w:t>24</w:t>
            </w:r>
          </w:p>
        </w:tc>
        <w:tc>
          <w:tcPr>
            <w:tcW w:w="1049" w:type="pct"/>
            <w:shd w:val="clear" w:color="auto" w:fill="auto"/>
            <w:noWrap/>
            <w:vAlign w:val="bottom"/>
            <w:hideMark/>
          </w:tcPr>
          <w:p w14:paraId="0C3F7F42" w14:textId="77777777" w:rsidR="00330E11" w:rsidRPr="00482CB4" w:rsidRDefault="00330E11" w:rsidP="00630695">
            <w:pPr>
              <w:spacing w:before="0" w:after="0"/>
              <w:rPr>
                <w:rStyle w:val="BookTitle"/>
              </w:rPr>
            </w:pPr>
            <w:r w:rsidRPr="00482CB4">
              <w:rPr>
                <w:rStyle w:val="BookTitle"/>
              </w:rPr>
              <w:t>2</w:t>
            </w:r>
          </w:p>
        </w:tc>
      </w:tr>
      <w:tr w:rsidR="00330E11" w:rsidRPr="00482CB4" w14:paraId="0C3F7F4A" w14:textId="77777777" w:rsidTr="00630695">
        <w:trPr>
          <w:trHeight w:val="20"/>
        </w:trPr>
        <w:tc>
          <w:tcPr>
            <w:tcW w:w="685" w:type="pct"/>
            <w:shd w:val="clear" w:color="auto" w:fill="auto"/>
            <w:vAlign w:val="bottom"/>
            <w:hideMark/>
          </w:tcPr>
          <w:p w14:paraId="0C3F7F44" w14:textId="77777777" w:rsidR="00330E11" w:rsidRPr="00482CB4" w:rsidRDefault="00330E11" w:rsidP="00630695">
            <w:pPr>
              <w:spacing w:before="0" w:after="0"/>
              <w:rPr>
                <w:rStyle w:val="BookTitle"/>
              </w:rPr>
            </w:pPr>
            <w:r w:rsidRPr="00482CB4">
              <w:rPr>
                <w:rStyle w:val="BookTitle"/>
              </w:rPr>
              <w:t>S Johnstone</w:t>
            </w:r>
          </w:p>
        </w:tc>
        <w:tc>
          <w:tcPr>
            <w:tcW w:w="660" w:type="pct"/>
            <w:shd w:val="clear" w:color="auto" w:fill="auto"/>
            <w:noWrap/>
            <w:vAlign w:val="bottom"/>
            <w:hideMark/>
          </w:tcPr>
          <w:p w14:paraId="0C3F7F45" w14:textId="77777777" w:rsidR="00330E11" w:rsidRPr="00482CB4" w:rsidRDefault="00330E11" w:rsidP="00630695">
            <w:pPr>
              <w:spacing w:before="0" w:after="0"/>
              <w:rPr>
                <w:rStyle w:val="BookTitle"/>
              </w:rPr>
            </w:pPr>
            <w:r w:rsidRPr="00482CB4">
              <w:rPr>
                <w:rStyle w:val="BookTitle"/>
              </w:rPr>
              <w:t>112101B</w:t>
            </w:r>
          </w:p>
        </w:tc>
        <w:tc>
          <w:tcPr>
            <w:tcW w:w="792" w:type="pct"/>
            <w:shd w:val="clear" w:color="auto" w:fill="auto"/>
            <w:noWrap/>
            <w:vAlign w:val="bottom"/>
            <w:hideMark/>
          </w:tcPr>
          <w:p w14:paraId="0C3F7F46" w14:textId="77777777" w:rsidR="00330E11" w:rsidRPr="00482CB4" w:rsidRDefault="00330E11" w:rsidP="00630695">
            <w:pPr>
              <w:spacing w:before="0" w:after="0"/>
              <w:rPr>
                <w:rStyle w:val="BookTitle"/>
              </w:rPr>
            </w:pPr>
            <w:r w:rsidRPr="00482CB4">
              <w:rPr>
                <w:rStyle w:val="BookTitle"/>
              </w:rPr>
              <w:t xml:space="preserve">                 2,326 </w:t>
            </w:r>
          </w:p>
        </w:tc>
        <w:tc>
          <w:tcPr>
            <w:tcW w:w="802" w:type="pct"/>
            <w:shd w:val="clear" w:color="auto" w:fill="auto"/>
            <w:noWrap/>
            <w:vAlign w:val="bottom"/>
            <w:hideMark/>
          </w:tcPr>
          <w:p w14:paraId="0C3F7F47" w14:textId="77777777" w:rsidR="00330E11" w:rsidRPr="00482CB4" w:rsidRDefault="00330E11" w:rsidP="00630695">
            <w:pPr>
              <w:spacing w:before="0" w:after="0"/>
              <w:rPr>
                <w:rStyle w:val="BookTitle"/>
              </w:rPr>
            </w:pPr>
            <w:r w:rsidRPr="00482CB4">
              <w:rPr>
                <w:rStyle w:val="BookTitle"/>
              </w:rPr>
              <w:t xml:space="preserve">                 7,097 </w:t>
            </w:r>
          </w:p>
        </w:tc>
        <w:tc>
          <w:tcPr>
            <w:tcW w:w="1012" w:type="pct"/>
            <w:shd w:val="clear" w:color="auto" w:fill="auto"/>
            <w:noWrap/>
            <w:vAlign w:val="bottom"/>
            <w:hideMark/>
          </w:tcPr>
          <w:p w14:paraId="0C3F7F48" w14:textId="77777777" w:rsidR="00330E11" w:rsidRPr="00482CB4" w:rsidRDefault="00330E11" w:rsidP="00630695">
            <w:pPr>
              <w:spacing w:before="0" w:after="0"/>
              <w:rPr>
                <w:rStyle w:val="BookTitle"/>
              </w:rPr>
            </w:pPr>
            <w:r w:rsidRPr="00482CB4">
              <w:rPr>
                <w:rStyle w:val="BookTitle"/>
              </w:rPr>
              <w:t>15</w:t>
            </w:r>
          </w:p>
        </w:tc>
        <w:tc>
          <w:tcPr>
            <w:tcW w:w="1049" w:type="pct"/>
            <w:shd w:val="clear" w:color="auto" w:fill="auto"/>
            <w:noWrap/>
            <w:vAlign w:val="bottom"/>
            <w:hideMark/>
          </w:tcPr>
          <w:p w14:paraId="0C3F7F49" w14:textId="77777777" w:rsidR="00330E11" w:rsidRPr="00482CB4" w:rsidRDefault="00330E11" w:rsidP="00630695">
            <w:pPr>
              <w:spacing w:before="0" w:after="0"/>
              <w:rPr>
                <w:rStyle w:val="BookTitle"/>
              </w:rPr>
            </w:pPr>
            <w:r w:rsidRPr="00482CB4">
              <w:rPr>
                <w:rStyle w:val="BookTitle"/>
              </w:rPr>
              <w:t>1</w:t>
            </w:r>
          </w:p>
        </w:tc>
      </w:tr>
      <w:tr w:rsidR="00330E11" w:rsidRPr="00482CB4" w14:paraId="0C3F7F51" w14:textId="77777777" w:rsidTr="00630695">
        <w:trPr>
          <w:trHeight w:val="20"/>
        </w:trPr>
        <w:tc>
          <w:tcPr>
            <w:tcW w:w="685" w:type="pct"/>
            <w:shd w:val="clear" w:color="auto" w:fill="auto"/>
            <w:vAlign w:val="bottom"/>
          </w:tcPr>
          <w:p w14:paraId="0C3F7F4B" w14:textId="77777777" w:rsidR="00330E11" w:rsidRPr="00482CB4" w:rsidRDefault="00330E11" w:rsidP="00630695">
            <w:pPr>
              <w:spacing w:before="0" w:after="0"/>
              <w:rPr>
                <w:rStyle w:val="BookTitle"/>
              </w:rPr>
            </w:pPr>
            <w:r w:rsidRPr="00482CB4">
              <w:rPr>
                <w:rStyle w:val="BookTitle"/>
              </w:rPr>
              <w:t>Tully</w:t>
            </w:r>
          </w:p>
        </w:tc>
        <w:tc>
          <w:tcPr>
            <w:tcW w:w="660" w:type="pct"/>
            <w:shd w:val="clear" w:color="auto" w:fill="auto"/>
            <w:noWrap/>
            <w:vAlign w:val="bottom"/>
          </w:tcPr>
          <w:p w14:paraId="0C3F7F4C" w14:textId="77777777" w:rsidR="00330E11" w:rsidRPr="00482CB4" w:rsidRDefault="00330E11" w:rsidP="00630695">
            <w:pPr>
              <w:spacing w:before="0" w:after="0"/>
              <w:rPr>
                <w:rStyle w:val="BookTitle"/>
              </w:rPr>
            </w:pPr>
            <w:r w:rsidRPr="00482CB4">
              <w:rPr>
                <w:rStyle w:val="BookTitle"/>
              </w:rPr>
              <w:t>113006A</w:t>
            </w:r>
          </w:p>
        </w:tc>
        <w:tc>
          <w:tcPr>
            <w:tcW w:w="792" w:type="pct"/>
            <w:shd w:val="clear" w:color="auto" w:fill="auto"/>
            <w:noWrap/>
            <w:vAlign w:val="bottom"/>
          </w:tcPr>
          <w:p w14:paraId="0C3F7F4D" w14:textId="77777777" w:rsidR="00330E11" w:rsidRPr="00482CB4" w:rsidRDefault="00330E11" w:rsidP="00630695">
            <w:pPr>
              <w:spacing w:before="0" w:after="0"/>
              <w:rPr>
                <w:rStyle w:val="BookTitle"/>
              </w:rPr>
            </w:pPr>
            <w:r w:rsidRPr="00482CB4">
              <w:rPr>
                <w:rStyle w:val="BookTitle"/>
              </w:rPr>
              <w:t xml:space="preserve">                 9,270 </w:t>
            </w:r>
          </w:p>
        </w:tc>
        <w:tc>
          <w:tcPr>
            <w:tcW w:w="802" w:type="pct"/>
            <w:shd w:val="clear" w:color="auto" w:fill="auto"/>
            <w:noWrap/>
            <w:vAlign w:val="bottom"/>
          </w:tcPr>
          <w:p w14:paraId="0C3F7F4E" w14:textId="77777777" w:rsidR="00330E11" w:rsidRPr="00482CB4" w:rsidRDefault="00330E11" w:rsidP="00630695">
            <w:pPr>
              <w:spacing w:before="0" w:after="0"/>
              <w:rPr>
                <w:rStyle w:val="BookTitle"/>
              </w:rPr>
            </w:pPr>
            <w:r w:rsidRPr="00482CB4">
              <w:rPr>
                <w:rStyle w:val="BookTitle"/>
              </w:rPr>
              <w:t xml:space="preserve">               28,441 </w:t>
            </w:r>
          </w:p>
        </w:tc>
        <w:tc>
          <w:tcPr>
            <w:tcW w:w="1012" w:type="pct"/>
            <w:shd w:val="clear" w:color="auto" w:fill="auto"/>
            <w:noWrap/>
            <w:vAlign w:val="bottom"/>
          </w:tcPr>
          <w:p w14:paraId="0C3F7F4F" w14:textId="77777777" w:rsidR="00330E11" w:rsidRPr="00482CB4" w:rsidRDefault="00330E11" w:rsidP="00630695">
            <w:pPr>
              <w:spacing w:before="0" w:after="0"/>
              <w:rPr>
                <w:rStyle w:val="BookTitle"/>
              </w:rPr>
            </w:pPr>
            <w:r w:rsidRPr="00482CB4">
              <w:rPr>
                <w:rStyle w:val="BookTitle"/>
              </w:rPr>
              <w:t>27</w:t>
            </w:r>
          </w:p>
        </w:tc>
        <w:tc>
          <w:tcPr>
            <w:tcW w:w="1049" w:type="pct"/>
            <w:shd w:val="clear" w:color="auto" w:fill="auto"/>
            <w:noWrap/>
            <w:vAlign w:val="bottom"/>
          </w:tcPr>
          <w:p w14:paraId="0C3F7F50" w14:textId="77777777" w:rsidR="00330E11" w:rsidRPr="00482CB4" w:rsidRDefault="00330E11" w:rsidP="00630695">
            <w:pPr>
              <w:spacing w:before="0" w:after="0"/>
              <w:rPr>
                <w:rStyle w:val="BookTitle"/>
              </w:rPr>
            </w:pPr>
            <w:r w:rsidRPr="00482CB4">
              <w:rPr>
                <w:rStyle w:val="BookTitle"/>
              </w:rPr>
              <w:t>3</w:t>
            </w:r>
          </w:p>
        </w:tc>
      </w:tr>
      <w:tr w:rsidR="00330E11" w:rsidRPr="00482CB4" w14:paraId="0C3F7F58" w14:textId="77777777" w:rsidTr="00630695">
        <w:trPr>
          <w:trHeight w:val="20"/>
        </w:trPr>
        <w:tc>
          <w:tcPr>
            <w:tcW w:w="685" w:type="pct"/>
            <w:shd w:val="clear" w:color="auto" w:fill="auto"/>
            <w:vAlign w:val="bottom"/>
          </w:tcPr>
          <w:p w14:paraId="0C3F7F52" w14:textId="77777777" w:rsidR="00330E11" w:rsidRPr="00482CB4" w:rsidRDefault="00330E11" w:rsidP="00630695">
            <w:pPr>
              <w:spacing w:before="0" w:after="0"/>
              <w:rPr>
                <w:rStyle w:val="BookTitle"/>
              </w:rPr>
            </w:pPr>
            <w:r w:rsidRPr="00482CB4">
              <w:rPr>
                <w:rStyle w:val="BookTitle"/>
              </w:rPr>
              <w:t>Herbert</w:t>
            </w:r>
          </w:p>
        </w:tc>
        <w:tc>
          <w:tcPr>
            <w:tcW w:w="660" w:type="pct"/>
            <w:shd w:val="clear" w:color="auto" w:fill="auto"/>
            <w:noWrap/>
            <w:vAlign w:val="bottom"/>
          </w:tcPr>
          <w:p w14:paraId="0C3F7F53" w14:textId="77777777" w:rsidR="00330E11" w:rsidRPr="00482CB4" w:rsidRDefault="00330E11" w:rsidP="00630695">
            <w:pPr>
              <w:spacing w:before="0" w:after="0"/>
              <w:rPr>
                <w:rStyle w:val="BookTitle"/>
              </w:rPr>
            </w:pPr>
            <w:r w:rsidRPr="00482CB4">
              <w:rPr>
                <w:rStyle w:val="BookTitle"/>
              </w:rPr>
              <w:t>116001F</w:t>
            </w:r>
          </w:p>
        </w:tc>
        <w:tc>
          <w:tcPr>
            <w:tcW w:w="792" w:type="pct"/>
            <w:shd w:val="clear" w:color="auto" w:fill="auto"/>
            <w:noWrap/>
            <w:vAlign w:val="bottom"/>
          </w:tcPr>
          <w:p w14:paraId="0C3F7F54" w14:textId="77777777" w:rsidR="00330E11" w:rsidRPr="00482CB4" w:rsidRDefault="00330E11" w:rsidP="00630695">
            <w:pPr>
              <w:spacing w:before="0" w:after="0"/>
              <w:rPr>
                <w:rStyle w:val="BookTitle"/>
              </w:rPr>
            </w:pPr>
            <w:r w:rsidRPr="00482CB4">
              <w:rPr>
                <w:rStyle w:val="BookTitle"/>
              </w:rPr>
              <w:t xml:space="preserve">               16,470 </w:t>
            </w:r>
          </w:p>
        </w:tc>
        <w:tc>
          <w:tcPr>
            <w:tcW w:w="802" w:type="pct"/>
            <w:shd w:val="clear" w:color="auto" w:fill="auto"/>
            <w:noWrap/>
            <w:vAlign w:val="bottom"/>
          </w:tcPr>
          <w:p w14:paraId="0C3F7F55" w14:textId="77777777" w:rsidR="00330E11" w:rsidRPr="00482CB4" w:rsidRDefault="00330E11" w:rsidP="00630695">
            <w:pPr>
              <w:spacing w:before="0" w:after="0"/>
              <w:rPr>
                <w:rStyle w:val="BookTitle"/>
              </w:rPr>
            </w:pPr>
            <w:r w:rsidRPr="00482CB4">
              <w:rPr>
                <w:rStyle w:val="BookTitle"/>
              </w:rPr>
              <w:t xml:space="preserve">               60,888 </w:t>
            </w:r>
          </w:p>
        </w:tc>
        <w:tc>
          <w:tcPr>
            <w:tcW w:w="1012" w:type="pct"/>
            <w:shd w:val="clear" w:color="auto" w:fill="auto"/>
            <w:noWrap/>
            <w:vAlign w:val="bottom"/>
          </w:tcPr>
          <w:p w14:paraId="0C3F7F56" w14:textId="77777777" w:rsidR="00330E11" w:rsidRPr="00482CB4" w:rsidRDefault="00330E11" w:rsidP="00630695">
            <w:pPr>
              <w:spacing w:before="0" w:after="0"/>
              <w:rPr>
                <w:rStyle w:val="BookTitle"/>
              </w:rPr>
            </w:pPr>
            <w:r w:rsidRPr="00482CB4">
              <w:rPr>
                <w:rStyle w:val="BookTitle"/>
              </w:rPr>
              <w:t>7</w:t>
            </w:r>
          </w:p>
        </w:tc>
        <w:tc>
          <w:tcPr>
            <w:tcW w:w="1049" w:type="pct"/>
            <w:shd w:val="clear" w:color="auto" w:fill="auto"/>
            <w:noWrap/>
            <w:vAlign w:val="bottom"/>
          </w:tcPr>
          <w:p w14:paraId="0C3F7F57" w14:textId="77777777" w:rsidR="00330E11" w:rsidRPr="00482CB4" w:rsidRDefault="00330E11" w:rsidP="00630695">
            <w:pPr>
              <w:spacing w:before="0" w:after="0"/>
              <w:rPr>
                <w:rStyle w:val="BookTitle"/>
              </w:rPr>
            </w:pPr>
            <w:r w:rsidRPr="00482CB4">
              <w:rPr>
                <w:rStyle w:val="BookTitle"/>
              </w:rPr>
              <w:t>1</w:t>
            </w:r>
          </w:p>
        </w:tc>
      </w:tr>
      <w:tr w:rsidR="00330E11" w:rsidRPr="00482CB4" w14:paraId="0C3F7F5F" w14:textId="77777777" w:rsidTr="00630695">
        <w:trPr>
          <w:trHeight w:val="20"/>
        </w:trPr>
        <w:tc>
          <w:tcPr>
            <w:tcW w:w="685" w:type="pct"/>
            <w:shd w:val="clear" w:color="auto" w:fill="auto"/>
            <w:vAlign w:val="bottom"/>
          </w:tcPr>
          <w:p w14:paraId="0C3F7F59" w14:textId="77777777" w:rsidR="00330E11" w:rsidRPr="00482CB4" w:rsidRDefault="00330E11" w:rsidP="00630695">
            <w:pPr>
              <w:spacing w:before="0" w:after="0"/>
              <w:rPr>
                <w:rStyle w:val="BookTitle"/>
              </w:rPr>
            </w:pPr>
            <w:r w:rsidRPr="00482CB4">
              <w:rPr>
                <w:rStyle w:val="BookTitle"/>
              </w:rPr>
              <w:t>Burdekin</w:t>
            </w:r>
          </w:p>
        </w:tc>
        <w:tc>
          <w:tcPr>
            <w:tcW w:w="660" w:type="pct"/>
            <w:shd w:val="clear" w:color="auto" w:fill="auto"/>
            <w:noWrap/>
            <w:vAlign w:val="bottom"/>
          </w:tcPr>
          <w:p w14:paraId="0C3F7F5A" w14:textId="77777777" w:rsidR="00330E11" w:rsidRPr="00482CB4" w:rsidRDefault="00330E11" w:rsidP="00630695">
            <w:pPr>
              <w:spacing w:before="0" w:after="0"/>
              <w:rPr>
                <w:rStyle w:val="BookTitle"/>
              </w:rPr>
            </w:pPr>
            <w:r w:rsidRPr="00482CB4">
              <w:rPr>
                <w:rStyle w:val="BookTitle"/>
              </w:rPr>
              <w:t>120006B</w:t>
            </w:r>
          </w:p>
        </w:tc>
        <w:tc>
          <w:tcPr>
            <w:tcW w:w="792" w:type="pct"/>
            <w:shd w:val="clear" w:color="auto" w:fill="auto"/>
            <w:noWrap/>
            <w:vAlign w:val="bottom"/>
          </w:tcPr>
          <w:p w14:paraId="0C3F7F5B" w14:textId="77777777" w:rsidR="00330E11" w:rsidRPr="00482CB4" w:rsidRDefault="00330E11" w:rsidP="00630695">
            <w:pPr>
              <w:spacing w:before="0" w:after="0"/>
              <w:rPr>
                <w:rStyle w:val="BookTitle"/>
              </w:rPr>
            </w:pPr>
            <w:r w:rsidRPr="00482CB4">
              <w:rPr>
                <w:rStyle w:val="BookTitle"/>
              </w:rPr>
              <w:t xml:space="preserve">                 6,747 </w:t>
            </w:r>
          </w:p>
        </w:tc>
        <w:tc>
          <w:tcPr>
            <w:tcW w:w="802" w:type="pct"/>
            <w:shd w:val="clear" w:color="auto" w:fill="auto"/>
            <w:noWrap/>
            <w:vAlign w:val="bottom"/>
          </w:tcPr>
          <w:p w14:paraId="0C3F7F5C" w14:textId="77777777" w:rsidR="00330E11" w:rsidRPr="00482CB4" w:rsidRDefault="00330E11" w:rsidP="00630695">
            <w:pPr>
              <w:spacing w:before="0" w:after="0"/>
              <w:rPr>
                <w:rStyle w:val="BookTitle"/>
              </w:rPr>
            </w:pPr>
            <w:r w:rsidRPr="00482CB4">
              <w:rPr>
                <w:rStyle w:val="BookTitle"/>
              </w:rPr>
              <w:t xml:space="preserve">             115,249 </w:t>
            </w:r>
          </w:p>
        </w:tc>
        <w:tc>
          <w:tcPr>
            <w:tcW w:w="1012" w:type="pct"/>
            <w:shd w:val="clear" w:color="auto" w:fill="auto"/>
            <w:noWrap/>
            <w:vAlign w:val="bottom"/>
          </w:tcPr>
          <w:p w14:paraId="0C3F7F5D" w14:textId="77777777" w:rsidR="00330E11" w:rsidRPr="00482CB4" w:rsidRDefault="00330E11" w:rsidP="00630695">
            <w:pPr>
              <w:spacing w:before="0" w:after="0"/>
              <w:rPr>
                <w:rStyle w:val="BookTitle"/>
              </w:rPr>
            </w:pPr>
            <w:r w:rsidRPr="00482CB4">
              <w:rPr>
                <w:rStyle w:val="BookTitle"/>
              </w:rPr>
              <w:t>14</w:t>
            </w:r>
          </w:p>
        </w:tc>
        <w:tc>
          <w:tcPr>
            <w:tcW w:w="1049" w:type="pct"/>
            <w:shd w:val="clear" w:color="auto" w:fill="auto"/>
            <w:noWrap/>
            <w:vAlign w:val="bottom"/>
          </w:tcPr>
          <w:p w14:paraId="0C3F7F5E" w14:textId="77777777" w:rsidR="00330E11" w:rsidRPr="00482CB4" w:rsidRDefault="00330E11" w:rsidP="00630695">
            <w:pPr>
              <w:spacing w:before="0" w:after="0"/>
              <w:rPr>
                <w:rStyle w:val="BookTitle"/>
              </w:rPr>
            </w:pPr>
            <w:r w:rsidRPr="00482CB4">
              <w:rPr>
                <w:rStyle w:val="BookTitle"/>
              </w:rPr>
              <w:t>1</w:t>
            </w:r>
          </w:p>
        </w:tc>
      </w:tr>
      <w:tr w:rsidR="00330E11" w:rsidRPr="00482CB4" w14:paraId="0C3F7F66" w14:textId="77777777" w:rsidTr="00630695">
        <w:trPr>
          <w:trHeight w:val="20"/>
        </w:trPr>
        <w:tc>
          <w:tcPr>
            <w:tcW w:w="685" w:type="pct"/>
            <w:shd w:val="clear" w:color="auto" w:fill="auto"/>
            <w:vAlign w:val="bottom"/>
          </w:tcPr>
          <w:p w14:paraId="0C3F7F60" w14:textId="77777777" w:rsidR="00330E11" w:rsidRPr="00482CB4" w:rsidRDefault="00330E11" w:rsidP="00630695">
            <w:pPr>
              <w:spacing w:before="0" w:after="0"/>
              <w:rPr>
                <w:rStyle w:val="BookTitle"/>
              </w:rPr>
            </w:pPr>
            <w:r w:rsidRPr="00482CB4">
              <w:rPr>
                <w:rStyle w:val="BookTitle"/>
              </w:rPr>
              <w:t>Don</w:t>
            </w:r>
          </w:p>
        </w:tc>
        <w:tc>
          <w:tcPr>
            <w:tcW w:w="660" w:type="pct"/>
            <w:shd w:val="clear" w:color="auto" w:fill="auto"/>
            <w:noWrap/>
            <w:vAlign w:val="bottom"/>
          </w:tcPr>
          <w:p w14:paraId="0C3F7F61" w14:textId="77777777" w:rsidR="00330E11" w:rsidRPr="00482CB4" w:rsidRDefault="00330E11" w:rsidP="00630695">
            <w:pPr>
              <w:spacing w:before="0" w:after="0"/>
              <w:rPr>
                <w:rStyle w:val="BookTitle"/>
              </w:rPr>
            </w:pPr>
            <w:r w:rsidRPr="00482CB4">
              <w:rPr>
                <w:rStyle w:val="BookTitle"/>
              </w:rPr>
              <w:t>121003A</w:t>
            </w:r>
          </w:p>
        </w:tc>
        <w:tc>
          <w:tcPr>
            <w:tcW w:w="792" w:type="pct"/>
            <w:shd w:val="clear" w:color="auto" w:fill="auto"/>
            <w:noWrap/>
            <w:vAlign w:val="bottom"/>
          </w:tcPr>
          <w:p w14:paraId="0C3F7F62" w14:textId="77777777" w:rsidR="00330E11" w:rsidRPr="00482CB4" w:rsidRDefault="00330E11" w:rsidP="00630695">
            <w:pPr>
              <w:spacing w:before="0" w:after="0"/>
              <w:rPr>
                <w:rStyle w:val="BookTitle"/>
              </w:rPr>
            </w:pPr>
            <w:r w:rsidRPr="00482CB4">
              <w:rPr>
                <w:rStyle w:val="BookTitle"/>
              </w:rPr>
              <w:t xml:space="preserve">                       87 </w:t>
            </w:r>
          </w:p>
        </w:tc>
        <w:tc>
          <w:tcPr>
            <w:tcW w:w="802" w:type="pct"/>
            <w:shd w:val="clear" w:color="auto" w:fill="auto"/>
            <w:noWrap/>
            <w:vAlign w:val="bottom"/>
          </w:tcPr>
          <w:p w14:paraId="0C3F7F63" w14:textId="77777777" w:rsidR="00330E11" w:rsidRPr="00482CB4" w:rsidRDefault="00330E11" w:rsidP="00630695">
            <w:pPr>
              <w:spacing w:before="0" w:after="0"/>
              <w:rPr>
                <w:rStyle w:val="BookTitle"/>
              </w:rPr>
            </w:pPr>
            <w:r w:rsidRPr="00482CB4">
              <w:rPr>
                <w:rStyle w:val="BookTitle"/>
              </w:rPr>
              <w:t xml:space="preserve">                 1,405 </w:t>
            </w:r>
          </w:p>
        </w:tc>
        <w:tc>
          <w:tcPr>
            <w:tcW w:w="1012" w:type="pct"/>
            <w:shd w:val="clear" w:color="auto" w:fill="auto"/>
            <w:noWrap/>
            <w:vAlign w:val="bottom"/>
          </w:tcPr>
          <w:p w14:paraId="0C3F7F64" w14:textId="77777777" w:rsidR="00330E11" w:rsidRPr="00482CB4" w:rsidRDefault="00330E11" w:rsidP="00630695">
            <w:pPr>
              <w:spacing w:before="0" w:after="0"/>
              <w:rPr>
                <w:rStyle w:val="BookTitle"/>
              </w:rPr>
            </w:pPr>
            <w:r w:rsidRPr="00482CB4">
              <w:rPr>
                <w:rStyle w:val="BookTitle"/>
              </w:rPr>
              <w:t>60</w:t>
            </w:r>
          </w:p>
        </w:tc>
        <w:tc>
          <w:tcPr>
            <w:tcW w:w="1049" w:type="pct"/>
            <w:shd w:val="clear" w:color="auto" w:fill="auto"/>
            <w:noWrap/>
            <w:vAlign w:val="bottom"/>
          </w:tcPr>
          <w:p w14:paraId="0C3F7F65" w14:textId="77777777" w:rsidR="00330E11" w:rsidRPr="00482CB4" w:rsidRDefault="00330E11" w:rsidP="00630695">
            <w:pPr>
              <w:spacing w:before="0" w:after="0"/>
              <w:rPr>
                <w:rStyle w:val="BookTitle"/>
              </w:rPr>
            </w:pPr>
            <w:r w:rsidRPr="00482CB4">
              <w:rPr>
                <w:rStyle w:val="BookTitle"/>
              </w:rPr>
              <w:t>3</w:t>
            </w:r>
          </w:p>
        </w:tc>
      </w:tr>
      <w:tr w:rsidR="00330E11" w:rsidRPr="00482CB4" w14:paraId="0C3F7F6D" w14:textId="77777777" w:rsidTr="00630695">
        <w:trPr>
          <w:trHeight w:val="20"/>
        </w:trPr>
        <w:tc>
          <w:tcPr>
            <w:tcW w:w="685" w:type="pct"/>
            <w:shd w:val="clear" w:color="auto" w:fill="auto"/>
            <w:vAlign w:val="bottom"/>
          </w:tcPr>
          <w:p w14:paraId="0C3F7F67" w14:textId="77777777" w:rsidR="00330E11" w:rsidRPr="00482CB4" w:rsidRDefault="00330E11" w:rsidP="00630695">
            <w:pPr>
              <w:spacing w:before="0" w:after="0"/>
              <w:rPr>
                <w:rStyle w:val="BookTitle"/>
              </w:rPr>
            </w:pPr>
            <w:r w:rsidRPr="00482CB4">
              <w:rPr>
                <w:rStyle w:val="BookTitle"/>
              </w:rPr>
              <w:t>Proserpine</w:t>
            </w:r>
          </w:p>
        </w:tc>
        <w:tc>
          <w:tcPr>
            <w:tcW w:w="660" w:type="pct"/>
            <w:shd w:val="clear" w:color="auto" w:fill="auto"/>
            <w:noWrap/>
            <w:vAlign w:val="bottom"/>
          </w:tcPr>
          <w:p w14:paraId="0C3F7F68" w14:textId="77777777" w:rsidR="00330E11" w:rsidRPr="00482CB4" w:rsidRDefault="00330E11" w:rsidP="00630695">
            <w:pPr>
              <w:spacing w:before="0" w:after="0"/>
              <w:rPr>
                <w:rStyle w:val="BookTitle"/>
              </w:rPr>
            </w:pPr>
            <w:r w:rsidRPr="00482CB4">
              <w:rPr>
                <w:rStyle w:val="BookTitle"/>
              </w:rPr>
              <w:t>122005A</w:t>
            </w:r>
          </w:p>
        </w:tc>
        <w:tc>
          <w:tcPr>
            <w:tcW w:w="792" w:type="pct"/>
            <w:shd w:val="clear" w:color="auto" w:fill="auto"/>
            <w:noWrap/>
            <w:vAlign w:val="bottom"/>
          </w:tcPr>
          <w:p w14:paraId="0C3F7F69" w14:textId="77777777" w:rsidR="00330E11" w:rsidRPr="00482CB4" w:rsidRDefault="00330E11" w:rsidP="00630695">
            <w:pPr>
              <w:spacing w:before="0" w:after="0"/>
              <w:rPr>
                <w:rStyle w:val="BookTitle"/>
              </w:rPr>
            </w:pPr>
            <w:r w:rsidRPr="00482CB4">
              <w:rPr>
                <w:rStyle w:val="BookTitle"/>
              </w:rPr>
              <w:t xml:space="preserve">                       43 </w:t>
            </w:r>
          </w:p>
        </w:tc>
        <w:tc>
          <w:tcPr>
            <w:tcW w:w="802" w:type="pct"/>
            <w:shd w:val="clear" w:color="auto" w:fill="auto"/>
            <w:noWrap/>
            <w:vAlign w:val="bottom"/>
          </w:tcPr>
          <w:p w14:paraId="0C3F7F6A" w14:textId="77777777" w:rsidR="00330E11" w:rsidRPr="00482CB4" w:rsidRDefault="00330E11" w:rsidP="00630695">
            <w:pPr>
              <w:spacing w:before="0" w:after="0"/>
              <w:rPr>
                <w:rStyle w:val="BookTitle"/>
              </w:rPr>
            </w:pPr>
            <w:r w:rsidRPr="00482CB4">
              <w:rPr>
                <w:rStyle w:val="BookTitle"/>
              </w:rPr>
              <w:t xml:space="preserve">                     404 </w:t>
            </w:r>
          </w:p>
        </w:tc>
        <w:tc>
          <w:tcPr>
            <w:tcW w:w="1012" w:type="pct"/>
            <w:shd w:val="clear" w:color="auto" w:fill="auto"/>
            <w:noWrap/>
            <w:vAlign w:val="bottom"/>
          </w:tcPr>
          <w:p w14:paraId="0C3F7F6B" w14:textId="77777777" w:rsidR="00330E11" w:rsidRPr="00482CB4" w:rsidRDefault="00330E11" w:rsidP="00630695">
            <w:pPr>
              <w:spacing w:before="0" w:after="0"/>
              <w:rPr>
                <w:rStyle w:val="BookTitle"/>
              </w:rPr>
            </w:pPr>
            <w:r w:rsidRPr="00482CB4">
              <w:rPr>
                <w:rStyle w:val="BookTitle"/>
              </w:rPr>
              <w:t>45</w:t>
            </w:r>
          </w:p>
        </w:tc>
        <w:tc>
          <w:tcPr>
            <w:tcW w:w="1049" w:type="pct"/>
            <w:shd w:val="clear" w:color="auto" w:fill="auto"/>
            <w:noWrap/>
            <w:vAlign w:val="bottom"/>
          </w:tcPr>
          <w:p w14:paraId="0C3F7F6C" w14:textId="77777777" w:rsidR="00330E11" w:rsidRPr="00482CB4" w:rsidRDefault="00330E11" w:rsidP="00630695">
            <w:pPr>
              <w:spacing w:before="0" w:after="0"/>
              <w:rPr>
                <w:rStyle w:val="BookTitle"/>
              </w:rPr>
            </w:pPr>
            <w:r w:rsidRPr="00482CB4">
              <w:rPr>
                <w:rStyle w:val="BookTitle"/>
              </w:rPr>
              <w:t>6</w:t>
            </w:r>
          </w:p>
        </w:tc>
      </w:tr>
      <w:tr w:rsidR="00330E11" w:rsidRPr="00482CB4" w14:paraId="0C3F7F74" w14:textId="77777777" w:rsidTr="00630695">
        <w:trPr>
          <w:trHeight w:val="20"/>
        </w:trPr>
        <w:tc>
          <w:tcPr>
            <w:tcW w:w="685" w:type="pct"/>
            <w:shd w:val="clear" w:color="auto" w:fill="auto"/>
            <w:vAlign w:val="bottom"/>
          </w:tcPr>
          <w:p w14:paraId="0C3F7F6E" w14:textId="77777777" w:rsidR="00330E11" w:rsidRPr="00482CB4" w:rsidRDefault="00330E11" w:rsidP="00630695">
            <w:pPr>
              <w:spacing w:before="0" w:after="0"/>
              <w:rPr>
                <w:rStyle w:val="BookTitle"/>
              </w:rPr>
            </w:pPr>
            <w:r w:rsidRPr="00482CB4">
              <w:rPr>
                <w:rStyle w:val="BookTitle"/>
              </w:rPr>
              <w:t>Fitzroy</w:t>
            </w:r>
          </w:p>
        </w:tc>
        <w:tc>
          <w:tcPr>
            <w:tcW w:w="660" w:type="pct"/>
            <w:shd w:val="clear" w:color="auto" w:fill="auto"/>
            <w:noWrap/>
            <w:vAlign w:val="bottom"/>
          </w:tcPr>
          <w:p w14:paraId="0C3F7F6F" w14:textId="77777777" w:rsidR="00330E11" w:rsidRPr="00482CB4" w:rsidRDefault="00330E11" w:rsidP="00630695">
            <w:pPr>
              <w:spacing w:before="0" w:after="0"/>
              <w:rPr>
                <w:rStyle w:val="BookTitle"/>
              </w:rPr>
            </w:pPr>
            <w:r w:rsidRPr="00482CB4">
              <w:rPr>
                <w:rStyle w:val="BookTitle"/>
              </w:rPr>
              <w:t>130005A</w:t>
            </w:r>
          </w:p>
        </w:tc>
        <w:tc>
          <w:tcPr>
            <w:tcW w:w="792" w:type="pct"/>
            <w:shd w:val="clear" w:color="auto" w:fill="auto"/>
            <w:noWrap/>
            <w:vAlign w:val="bottom"/>
          </w:tcPr>
          <w:p w14:paraId="0C3F7F70" w14:textId="77777777" w:rsidR="00330E11" w:rsidRPr="00482CB4" w:rsidRDefault="00330E11" w:rsidP="00630695">
            <w:pPr>
              <w:spacing w:before="0" w:after="0"/>
              <w:rPr>
                <w:rStyle w:val="BookTitle"/>
              </w:rPr>
            </w:pPr>
            <w:r w:rsidRPr="00482CB4">
              <w:rPr>
                <w:rStyle w:val="BookTitle"/>
              </w:rPr>
              <w:t xml:space="preserve">                 3,644 </w:t>
            </w:r>
          </w:p>
        </w:tc>
        <w:tc>
          <w:tcPr>
            <w:tcW w:w="802" w:type="pct"/>
            <w:shd w:val="clear" w:color="auto" w:fill="auto"/>
            <w:noWrap/>
            <w:vAlign w:val="bottom"/>
          </w:tcPr>
          <w:p w14:paraId="0C3F7F71" w14:textId="77777777" w:rsidR="00330E11" w:rsidRPr="00482CB4" w:rsidRDefault="00330E11" w:rsidP="00630695">
            <w:pPr>
              <w:spacing w:before="0" w:after="0"/>
              <w:rPr>
                <w:rStyle w:val="BookTitle"/>
              </w:rPr>
            </w:pPr>
            <w:r w:rsidRPr="00482CB4">
              <w:rPr>
                <w:rStyle w:val="BookTitle"/>
              </w:rPr>
              <w:t xml:space="preserve">               64,988 </w:t>
            </w:r>
          </w:p>
        </w:tc>
        <w:tc>
          <w:tcPr>
            <w:tcW w:w="1012" w:type="pct"/>
            <w:shd w:val="clear" w:color="auto" w:fill="auto"/>
            <w:noWrap/>
            <w:vAlign w:val="bottom"/>
          </w:tcPr>
          <w:p w14:paraId="0C3F7F72" w14:textId="77777777" w:rsidR="00330E11" w:rsidRPr="00482CB4" w:rsidRDefault="00330E11" w:rsidP="00630695">
            <w:pPr>
              <w:spacing w:before="0" w:after="0"/>
              <w:rPr>
                <w:rStyle w:val="BookTitle"/>
              </w:rPr>
            </w:pPr>
            <w:r w:rsidRPr="00482CB4">
              <w:rPr>
                <w:rStyle w:val="BookTitle"/>
              </w:rPr>
              <w:t>30</w:t>
            </w:r>
          </w:p>
        </w:tc>
        <w:tc>
          <w:tcPr>
            <w:tcW w:w="1049" w:type="pct"/>
            <w:shd w:val="clear" w:color="auto" w:fill="auto"/>
            <w:noWrap/>
            <w:vAlign w:val="bottom"/>
          </w:tcPr>
          <w:p w14:paraId="0C3F7F73" w14:textId="77777777" w:rsidR="00330E11" w:rsidRPr="00482CB4" w:rsidRDefault="00330E11" w:rsidP="00630695">
            <w:pPr>
              <w:spacing w:before="0" w:after="0"/>
              <w:rPr>
                <w:rStyle w:val="BookTitle"/>
              </w:rPr>
            </w:pPr>
            <w:r w:rsidRPr="00482CB4">
              <w:rPr>
                <w:rStyle w:val="BookTitle"/>
              </w:rPr>
              <w:t>7</w:t>
            </w:r>
          </w:p>
        </w:tc>
      </w:tr>
      <w:tr w:rsidR="00330E11" w:rsidRPr="00482CB4" w14:paraId="0C3F7F7B" w14:textId="77777777" w:rsidTr="00630695">
        <w:trPr>
          <w:trHeight w:val="20"/>
        </w:trPr>
        <w:tc>
          <w:tcPr>
            <w:tcW w:w="685" w:type="pct"/>
            <w:shd w:val="clear" w:color="auto" w:fill="auto"/>
            <w:vAlign w:val="bottom"/>
          </w:tcPr>
          <w:p w14:paraId="0C3F7F75" w14:textId="77777777" w:rsidR="00330E11" w:rsidRPr="00482CB4" w:rsidRDefault="00330E11" w:rsidP="00630695">
            <w:pPr>
              <w:spacing w:before="0" w:after="0"/>
              <w:rPr>
                <w:rStyle w:val="BookTitle"/>
              </w:rPr>
            </w:pPr>
            <w:r w:rsidRPr="00482CB4">
              <w:rPr>
                <w:rStyle w:val="BookTitle"/>
              </w:rPr>
              <w:t>Burnett</w:t>
            </w:r>
          </w:p>
        </w:tc>
        <w:tc>
          <w:tcPr>
            <w:tcW w:w="660" w:type="pct"/>
            <w:shd w:val="clear" w:color="auto" w:fill="auto"/>
            <w:noWrap/>
            <w:vAlign w:val="bottom"/>
          </w:tcPr>
          <w:p w14:paraId="0C3F7F76" w14:textId="77777777" w:rsidR="00330E11" w:rsidRPr="00482CB4" w:rsidRDefault="00330E11" w:rsidP="00630695">
            <w:pPr>
              <w:spacing w:before="0" w:after="0"/>
              <w:rPr>
                <w:rStyle w:val="BookTitle"/>
              </w:rPr>
            </w:pPr>
            <w:r w:rsidRPr="00482CB4">
              <w:rPr>
                <w:rStyle w:val="BookTitle"/>
              </w:rPr>
              <w:t>136007A</w:t>
            </w:r>
          </w:p>
        </w:tc>
        <w:tc>
          <w:tcPr>
            <w:tcW w:w="792" w:type="pct"/>
            <w:shd w:val="clear" w:color="auto" w:fill="auto"/>
            <w:noWrap/>
            <w:vAlign w:val="bottom"/>
          </w:tcPr>
          <w:p w14:paraId="0C3F7F77" w14:textId="77777777" w:rsidR="00330E11" w:rsidRPr="00482CB4" w:rsidRDefault="00330E11" w:rsidP="00630695">
            <w:pPr>
              <w:spacing w:before="0" w:after="0"/>
              <w:rPr>
                <w:rStyle w:val="BookTitle"/>
              </w:rPr>
            </w:pPr>
            <w:r w:rsidRPr="00482CB4">
              <w:rPr>
                <w:rStyle w:val="BookTitle"/>
              </w:rPr>
              <w:t xml:space="preserve">                     338 </w:t>
            </w:r>
          </w:p>
        </w:tc>
        <w:tc>
          <w:tcPr>
            <w:tcW w:w="802" w:type="pct"/>
            <w:shd w:val="clear" w:color="auto" w:fill="auto"/>
            <w:noWrap/>
            <w:vAlign w:val="bottom"/>
          </w:tcPr>
          <w:p w14:paraId="0C3F7F78" w14:textId="77777777" w:rsidR="00330E11" w:rsidRPr="00482CB4" w:rsidRDefault="00330E11" w:rsidP="00630695">
            <w:pPr>
              <w:spacing w:before="0" w:after="0"/>
              <w:rPr>
                <w:rStyle w:val="BookTitle"/>
              </w:rPr>
            </w:pPr>
            <w:r w:rsidRPr="00482CB4">
              <w:rPr>
                <w:rStyle w:val="BookTitle"/>
              </w:rPr>
              <w:t xml:space="preserve">                 4,316 </w:t>
            </w:r>
          </w:p>
        </w:tc>
        <w:tc>
          <w:tcPr>
            <w:tcW w:w="1012" w:type="pct"/>
            <w:shd w:val="clear" w:color="auto" w:fill="auto"/>
            <w:noWrap/>
            <w:vAlign w:val="bottom"/>
          </w:tcPr>
          <w:p w14:paraId="0C3F7F79" w14:textId="77777777" w:rsidR="00330E11" w:rsidRPr="00482CB4" w:rsidRDefault="00330E11" w:rsidP="00630695">
            <w:pPr>
              <w:spacing w:before="0" w:after="0"/>
              <w:rPr>
                <w:rStyle w:val="BookTitle"/>
              </w:rPr>
            </w:pPr>
            <w:r w:rsidRPr="00482CB4">
              <w:rPr>
                <w:rStyle w:val="BookTitle"/>
              </w:rPr>
              <w:t>37</w:t>
            </w:r>
          </w:p>
        </w:tc>
        <w:tc>
          <w:tcPr>
            <w:tcW w:w="1049" w:type="pct"/>
            <w:shd w:val="clear" w:color="auto" w:fill="auto"/>
            <w:noWrap/>
            <w:vAlign w:val="bottom"/>
          </w:tcPr>
          <w:p w14:paraId="0C3F7F7A" w14:textId="77777777" w:rsidR="00330E11" w:rsidRPr="00482CB4" w:rsidRDefault="00330E11" w:rsidP="00630695">
            <w:pPr>
              <w:spacing w:before="0" w:after="0"/>
              <w:rPr>
                <w:rStyle w:val="BookTitle"/>
              </w:rPr>
            </w:pPr>
            <w:r w:rsidRPr="00482CB4">
              <w:rPr>
                <w:rStyle w:val="BookTitle"/>
              </w:rPr>
              <w:t>24</w:t>
            </w:r>
          </w:p>
        </w:tc>
      </w:tr>
      <w:tr w:rsidR="00330E11" w:rsidRPr="00482CB4" w14:paraId="0C3F7F82" w14:textId="77777777" w:rsidTr="00630695">
        <w:trPr>
          <w:trHeight w:val="20"/>
        </w:trPr>
        <w:tc>
          <w:tcPr>
            <w:tcW w:w="685" w:type="pct"/>
            <w:tcBorders>
              <w:bottom w:val="single" w:sz="4" w:space="0" w:color="auto"/>
            </w:tcBorders>
            <w:shd w:val="clear" w:color="auto" w:fill="auto"/>
            <w:vAlign w:val="bottom"/>
          </w:tcPr>
          <w:p w14:paraId="0C3F7F7C" w14:textId="77777777" w:rsidR="00330E11" w:rsidRPr="00482CB4" w:rsidRDefault="00330E11" w:rsidP="00630695">
            <w:pPr>
              <w:spacing w:before="0" w:after="0"/>
              <w:rPr>
                <w:rStyle w:val="BookTitle"/>
              </w:rPr>
            </w:pPr>
            <w:r w:rsidRPr="00482CB4">
              <w:rPr>
                <w:rStyle w:val="BookTitle"/>
              </w:rPr>
              <w:t>Mary</w:t>
            </w:r>
          </w:p>
        </w:tc>
        <w:tc>
          <w:tcPr>
            <w:tcW w:w="660" w:type="pct"/>
            <w:tcBorders>
              <w:bottom w:val="single" w:sz="4" w:space="0" w:color="auto"/>
            </w:tcBorders>
            <w:shd w:val="clear" w:color="auto" w:fill="auto"/>
            <w:noWrap/>
            <w:vAlign w:val="bottom"/>
          </w:tcPr>
          <w:p w14:paraId="0C3F7F7D" w14:textId="77777777" w:rsidR="00330E11" w:rsidRPr="00482CB4" w:rsidRDefault="00330E11" w:rsidP="00630695">
            <w:pPr>
              <w:spacing w:before="0" w:after="0"/>
              <w:rPr>
                <w:rStyle w:val="BookTitle"/>
              </w:rPr>
            </w:pPr>
            <w:r w:rsidRPr="00482CB4">
              <w:rPr>
                <w:rStyle w:val="BookTitle"/>
              </w:rPr>
              <w:t>138014A</w:t>
            </w:r>
          </w:p>
        </w:tc>
        <w:tc>
          <w:tcPr>
            <w:tcW w:w="792" w:type="pct"/>
            <w:tcBorders>
              <w:bottom w:val="single" w:sz="4" w:space="0" w:color="auto"/>
            </w:tcBorders>
            <w:shd w:val="clear" w:color="auto" w:fill="auto"/>
            <w:noWrap/>
            <w:vAlign w:val="bottom"/>
          </w:tcPr>
          <w:p w14:paraId="0C3F7F7E" w14:textId="77777777" w:rsidR="00330E11" w:rsidRPr="00482CB4" w:rsidRDefault="00330E11" w:rsidP="00630695">
            <w:pPr>
              <w:spacing w:before="0" w:after="0"/>
              <w:rPr>
                <w:rStyle w:val="BookTitle"/>
              </w:rPr>
            </w:pPr>
            <w:r w:rsidRPr="00482CB4">
              <w:rPr>
                <w:rStyle w:val="BookTitle"/>
              </w:rPr>
              <w:t xml:space="preserve">                 1,438 </w:t>
            </w:r>
          </w:p>
        </w:tc>
        <w:tc>
          <w:tcPr>
            <w:tcW w:w="802" w:type="pct"/>
            <w:tcBorders>
              <w:bottom w:val="single" w:sz="4" w:space="0" w:color="auto"/>
            </w:tcBorders>
            <w:shd w:val="clear" w:color="auto" w:fill="auto"/>
            <w:noWrap/>
            <w:vAlign w:val="bottom"/>
          </w:tcPr>
          <w:p w14:paraId="0C3F7F7F" w14:textId="77777777" w:rsidR="00330E11" w:rsidRPr="00482CB4" w:rsidRDefault="00330E11" w:rsidP="00630695">
            <w:pPr>
              <w:spacing w:before="0" w:after="0"/>
              <w:rPr>
                <w:rStyle w:val="BookTitle"/>
              </w:rPr>
            </w:pPr>
            <w:r w:rsidRPr="00482CB4">
              <w:rPr>
                <w:rStyle w:val="BookTitle"/>
              </w:rPr>
              <w:t xml:space="preserve">               12,306 </w:t>
            </w:r>
          </w:p>
        </w:tc>
        <w:tc>
          <w:tcPr>
            <w:tcW w:w="1012" w:type="pct"/>
            <w:tcBorders>
              <w:bottom w:val="single" w:sz="4" w:space="0" w:color="auto"/>
            </w:tcBorders>
            <w:shd w:val="clear" w:color="auto" w:fill="auto"/>
            <w:noWrap/>
            <w:vAlign w:val="bottom"/>
          </w:tcPr>
          <w:p w14:paraId="0C3F7F80" w14:textId="77777777" w:rsidR="00330E11" w:rsidRPr="00482CB4" w:rsidRDefault="00330E11" w:rsidP="00630695">
            <w:pPr>
              <w:spacing w:before="0" w:after="0"/>
              <w:rPr>
                <w:rStyle w:val="BookTitle"/>
              </w:rPr>
            </w:pPr>
            <w:r w:rsidRPr="00482CB4">
              <w:rPr>
                <w:rStyle w:val="BookTitle"/>
              </w:rPr>
              <w:t>41</w:t>
            </w:r>
          </w:p>
        </w:tc>
        <w:tc>
          <w:tcPr>
            <w:tcW w:w="1049" w:type="pct"/>
            <w:tcBorders>
              <w:bottom w:val="single" w:sz="4" w:space="0" w:color="auto"/>
            </w:tcBorders>
            <w:shd w:val="clear" w:color="auto" w:fill="auto"/>
            <w:noWrap/>
            <w:vAlign w:val="bottom"/>
          </w:tcPr>
          <w:p w14:paraId="0C3F7F81" w14:textId="77777777" w:rsidR="00330E11" w:rsidRPr="00482CB4" w:rsidRDefault="00330E11" w:rsidP="00630695">
            <w:pPr>
              <w:spacing w:before="0" w:after="0"/>
              <w:rPr>
                <w:rStyle w:val="BookTitle"/>
              </w:rPr>
            </w:pPr>
            <w:r w:rsidRPr="00482CB4">
              <w:rPr>
                <w:rStyle w:val="BookTitle"/>
              </w:rPr>
              <w:t>10</w:t>
            </w:r>
          </w:p>
        </w:tc>
      </w:tr>
    </w:tbl>
    <w:p w14:paraId="0C3F7F83" w14:textId="77777777" w:rsidR="00482CB4" w:rsidRDefault="00482CB4" w:rsidP="00482CB4">
      <w:pPr>
        <w:rPr>
          <w:sz w:val="18"/>
        </w:rPr>
      </w:pPr>
    </w:p>
    <w:p w14:paraId="0C3F7F84" w14:textId="77777777" w:rsidR="00482CB4" w:rsidRDefault="00482CB4" w:rsidP="00482CB4"/>
    <w:p w14:paraId="0C3F7F85" w14:textId="77777777" w:rsidR="00482CB4" w:rsidRDefault="00482CB4" w:rsidP="00482CB4">
      <w:pPr>
        <w:pStyle w:val="Heading2"/>
        <w:keepNext/>
        <w:numPr>
          <w:ilvl w:val="1"/>
          <w:numId w:val="3"/>
        </w:numPr>
        <w:spacing w:line="80" w:lineRule="atLeast"/>
      </w:pPr>
      <w:bookmarkStart w:id="52" w:name="_Toc434207987"/>
      <w:bookmarkStart w:id="53" w:name="_Toc428851328"/>
      <w:r>
        <w:t>Extent of river plumes – 2012/2013 wet season</w:t>
      </w:r>
      <w:bookmarkEnd w:id="52"/>
    </w:p>
    <w:bookmarkEnd w:id="53"/>
    <w:p w14:paraId="0C3F7F86" w14:textId="77777777" w:rsidR="00482CB4" w:rsidRPr="00482CB4" w:rsidRDefault="00482CB4" w:rsidP="00500FCF">
      <w:pPr>
        <w:rPr>
          <w:rFonts w:eastAsia="Calibri"/>
          <w:lang w:eastAsia="en-US"/>
        </w:rPr>
      </w:pPr>
      <w:r w:rsidRPr="00482CB4">
        <w:rPr>
          <w:rFonts w:eastAsia="Calibri"/>
          <w:lang w:eastAsia="en-US"/>
        </w:rPr>
        <w:t>Two main flood periods were recorded in the river hydrographs: (i) around the 25</w:t>
      </w:r>
      <w:r w:rsidRPr="00482CB4">
        <w:rPr>
          <w:rFonts w:eastAsia="Calibri"/>
          <w:vertAlign w:val="superscript"/>
          <w:lang w:eastAsia="en-US"/>
        </w:rPr>
        <w:t>th</w:t>
      </w:r>
      <w:r w:rsidRPr="00482CB4">
        <w:rPr>
          <w:rFonts w:eastAsia="Calibri"/>
          <w:lang w:eastAsia="en-US"/>
        </w:rPr>
        <w:t xml:space="preserve"> of January and the 11</w:t>
      </w:r>
      <w:r w:rsidRPr="00482CB4">
        <w:rPr>
          <w:rFonts w:eastAsia="Calibri"/>
          <w:vertAlign w:val="superscript"/>
          <w:lang w:eastAsia="en-US"/>
        </w:rPr>
        <w:t>th</w:t>
      </w:r>
      <w:r w:rsidRPr="00482CB4">
        <w:rPr>
          <w:rFonts w:eastAsia="Calibri"/>
          <w:lang w:eastAsia="en-US"/>
        </w:rPr>
        <w:t xml:space="preserve"> of February under the influence of Tropical Cyclone Oswald and (ii) around the 24th of February and 18</w:t>
      </w:r>
      <w:r w:rsidRPr="00482CB4">
        <w:rPr>
          <w:rFonts w:eastAsia="Calibri"/>
          <w:vertAlign w:val="superscript"/>
          <w:lang w:eastAsia="en-US"/>
        </w:rPr>
        <w:t>th</w:t>
      </w:r>
      <w:r w:rsidRPr="00482CB4">
        <w:rPr>
          <w:rFonts w:eastAsia="Calibri"/>
          <w:lang w:eastAsia="en-US"/>
        </w:rPr>
        <w:t xml:space="preserve"> of March. Although a relatively weak storm (cyclone of category 1; Source: BOM), Oswald produced torrential rains over much of Queensland. Rainfall peaked in Tully where approximately 1,000 mm of rain fell; with 632 mm falling over a 48 hour span. The Herbert River rose rapidly after 200 mm of rain fell in the town of Ingham in just three hours (source: BOM). Illustration of areas flooded along the Herbert River is </w:t>
      </w:r>
      <w:r w:rsidRPr="00E47248">
        <w:rPr>
          <w:rFonts w:eastAsia="Calibri"/>
          <w:lang w:eastAsia="en-US"/>
        </w:rPr>
        <w:t>presented in Appendix</w:t>
      </w:r>
      <w:r w:rsidR="00E47248" w:rsidRPr="00E47248">
        <w:rPr>
          <w:rFonts w:eastAsia="Calibri"/>
          <w:lang w:eastAsia="en-US"/>
        </w:rPr>
        <w:t xml:space="preserve"> A, Figure A-1</w:t>
      </w:r>
      <w:r w:rsidRPr="00E47248">
        <w:rPr>
          <w:rFonts w:eastAsia="Calibri"/>
          <w:lang w:eastAsia="en-US"/>
        </w:rPr>
        <w:t>.</w:t>
      </w:r>
    </w:p>
    <w:p w14:paraId="0C3F7F87" w14:textId="77777777" w:rsidR="00482CB4" w:rsidRPr="00D44425" w:rsidRDefault="00482CB4" w:rsidP="00500FCF">
      <w:pPr>
        <w:pStyle w:val="Heading3"/>
        <w:numPr>
          <w:ilvl w:val="2"/>
          <w:numId w:val="3"/>
        </w:numPr>
      </w:pPr>
      <w:bookmarkStart w:id="54" w:name="_Toc427831204"/>
      <w:bookmarkStart w:id="55" w:name="_Toc428793334"/>
      <w:bookmarkStart w:id="56" w:name="_Toc428851329"/>
      <w:bookmarkStart w:id="57" w:name="_Toc434207988"/>
      <w:r w:rsidRPr="00D44425">
        <w:t>Wet Tropics NRM</w:t>
      </w:r>
      <w:bookmarkEnd w:id="54"/>
      <w:bookmarkEnd w:id="55"/>
      <w:bookmarkEnd w:id="56"/>
      <w:bookmarkEnd w:id="57"/>
    </w:p>
    <w:p w14:paraId="0C3F7F88" w14:textId="77777777" w:rsidR="00E47248" w:rsidRPr="00E47248" w:rsidRDefault="00E47248" w:rsidP="00E47248">
      <w:pPr>
        <w:rPr>
          <w:rFonts w:ascii="Cambria" w:hAnsi="Cambria"/>
          <w:bCs/>
          <w:szCs w:val="24"/>
          <w:lang w:eastAsia="en-US"/>
        </w:rPr>
      </w:pPr>
      <w:r w:rsidRPr="00E47248">
        <w:rPr>
          <w:rFonts w:eastAsia="Calibri"/>
          <w:lang w:eastAsia="en-US"/>
        </w:rPr>
        <w:lastRenderedPageBreak/>
        <w:t>A selection of MODIS true color images recorded during the 2 main flood events show</w:t>
      </w:r>
      <w:r w:rsidR="00935052">
        <w:rPr>
          <w:rFonts w:eastAsia="Calibri"/>
          <w:lang w:eastAsia="en-US"/>
        </w:rPr>
        <w:t>s</w:t>
      </w:r>
      <w:r w:rsidRPr="00E47248">
        <w:rPr>
          <w:rFonts w:eastAsia="Calibri"/>
          <w:lang w:eastAsia="en-US"/>
        </w:rPr>
        <w:t xml:space="preserve"> river plumes formed from the main GBR rivers (the Normanby River, the Barron and Johnstone rivers, the Tully and Herbert rivers, the Burdekin River, the Pioneer River, the Fitzroy and The Burnett-Mary River)</w:t>
      </w:r>
      <w:r w:rsidR="00935052">
        <w:rPr>
          <w:rFonts w:eastAsia="Calibri"/>
          <w:lang w:eastAsia="en-US"/>
        </w:rPr>
        <w:t>. These images are</w:t>
      </w:r>
      <w:r w:rsidRPr="00E47248">
        <w:rPr>
          <w:rFonts w:eastAsia="Calibri"/>
          <w:lang w:eastAsia="en-US"/>
        </w:rPr>
        <w:t xml:space="preserve"> presented in Appendix A. </w:t>
      </w:r>
      <w:r w:rsidRPr="00E47248">
        <w:rPr>
          <w:rFonts w:eastAsia="Calibri"/>
          <w:lang w:eastAsia="en-US"/>
        </w:rPr>
        <w:fldChar w:fldCharType="begin"/>
      </w:r>
      <w:r w:rsidRPr="00E47248">
        <w:rPr>
          <w:rFonts w:eastAsia="Calibri"/>
          <w:lang w:eastAsia="en-US"/>
        </w:rPr>
        <w:instrText xml:space="preserve"> REF _Ref428871352 \h </w:instrText>
      </w:r>
      <w:r>
        <w:rPr>
          <w:rFonts w:eastAsia="Calibri"/>
          <w:lang w:eastAsia="en-US"/>
        </w:rPr>
        <w:instrText xml:space="preserve"> \* MERGEFORMAT </w:instrText>
      </w:r>
      <w:r w:rsidRPr="00E47248">
        <w:rPr>
          <w:rFonts w:eastAsia="Calibri"/>
          <w:lang w:eastAsia="en-US"/>
        </w:rPr>
      </w:r>
      <w:r w:rsidRPr="00E47248">
        <w:rPr>
          <w:rFonts w:eastAsia="Calibri"/>
          <w:lang w:eastAsia="en-US"/>
        </w:rPr>
        <w:fldChar w:fldCharType="separate"/>
      </w:r>
      <w:r w:rsidR="00B62B50">
        <w:t xml:space="preserve">Figure </w:t>
      </w:r>
      <w:r w:rsidR="00B62B50">
        <w:rPr>
          <w:noProof/>
        </w:rPr>
        <w:t>3</w:t>
      </w:r>
      <w:r w:rsidR="00B62B50">
        <w:rPr>
          <w:noProof/>
        </w:rPr>
        <w:noBreakHyphen/>
        <w:t>2</w:t>
      </w:r>
      <w:r w:rsidRPr="00E47248">
        <w:rPr>
          <w:rFonts w:eastAsia="Calibri"/>
          <w:lang w:eastAsia="en-US"/>
        </w:rPr>
        <w:fldChar w:fldCharType="end"/>
      </w:r>
      <w:r w:rsidRPr="00E47248">
        <w:rPr>
          <w:rFonts w:eastAsia="Calibri"/>
          <w:lang w:eastAsia="en-US"/>
        </w:rPr>
        <w:t xml:space="preserve"> to </w:t>
      </w:r>
      <w:r w:rsidRPr="00E47248">
        <w:rPr>
          <w:rFonts w:eastAsia="Calibri"/>
          <w:lang w:eastAsia="en-US"/>
        </w:rPr>
        <w:fldChar w:fldCharType="begin"/>
      </w:r>
      <w:r w:rsidRPr="00E47248">
        <w:rPr>
          <w:rFonts w:eastAsia="Calibri"/>
          <w:lang w:eastAsia="en-US"/>
        </w:rPr>
        <w:instrText xml:space="preserve"> REF _Ref428852947 \h </w:instrText>
      </w:r>
      <w:r>
        <w:rPr>
          <w:rFonts w:eastAsia="Calibri"/>
          <w:lang w:eastAsia="en-US"/>
        </w:rPr>
        <w:instrText xml:space="preserve"> \* MERGEFORMAT </w:instrText>
      </w:r>
      <w:r w:rsidRPr="00E47248">
        <w:rPr>
          <w:rFonts w:eastAsia="Calibri"/>
          <w:lang w:eastAsia="en-US"/>
        </w:rPr>
      </w:r>
      <w:r w:rsidRPr="00E47248">
        <w:rPr>
          <w:rFonts w:eastAsia="Calibri"/>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noProof/>
        </w:rPr>
        <w:noBreakHyphen/>
        <w:t>7</w:t>
      </w:r>
      <w:r w:rsidRPr="00E47248">
        <w:rPr>
          <w:rFonts w:eastAsia="Calibri"/>
          <w:lang w:eastAsia="en-US"/>
        </w:rPr>
        <w:fldChar w:fldCharType="end"/>
      </w:r>
      <w:r w:rsidRPr="00E47248">
        <w:rPr>
          <w:rFonts w:eastAsia="Calibri"/>
          <w:lang w:eastAsia="en-US"/>
        </w:rPr>
        <w:t xml:space="preserve"> </w:t>
      </w:r>
      <w:r w:rsidRPr="00E47248">
        <w:rPr>
          <w:rFonts w:eastAsia="Calibri"/>
          <w:lang w:eastAsia="en-US"/>
        </w:rPr>
        <w:fldChar w:fldCharType="begin"/>
      </w:r>
      <w:r w:rsidRPr="00E47248">
        <w:rPr>
          <w:rFonts w:eastAsia="Calibri"/>
          <w:lang w:eastAsia="en-US"/>
        </w:rPr>
        <w:instrText xml:space="preserve"> REF _Ref371609622 \h  \* MERGEFORMAT </w:instrText>
      </w:r>
      <w:r w:rsidRPr="00E47248">
        <w:rPr>
          <w:rFonts w:eastAsia="Calibri"/>
          <w:lang w:eastAsia="en-US"/>
        </w:rPr>
      </w:r>
      <w:r w:rsidRPr="00E47248">
        <w:rPr>
          <w:rFonts w:eastAsia="Calibri"/>
          <w:lang w:eastAsia="en-US"/>
        </w:rPr>
        <w:fldChar w:fldCharType="separate"/>
      </w:r>
      <w:r w:rsidR="00B62B50">
        <w:rPr>
          <w:rFonts w:eastAsia="Calibri"/>
          <w:b/>
          <w:bCs/>
          <w:lang w:val="en-US" w:eastAsia="en-US"/>
        </w:rPr>
        <w:t>Error! Reference source not found.</w:t>
      </w:r>
      <w:r w:rsidRPr="00E47248">
        <w:rPr>
          <w:rFonts w:eastAsia="Calibri"/>
          <w:lang w:eastAsia="en-US"/>
        </w:rPr>
        <w:fldChar w:fldCharType="end"/>
      </w:r>
      <w:r w:rsidRPr="00E47248">
        <w:rPr>
          <w:rFonts w:eastAsia="Calibri"/>
          <w:lang w:eastAsia="en-US"/>
        </w:rPr>
        <w:t xml:space="preserve"> present enlargements of some of these MODIS true </w:t>
      </w:r>
      <w:r w:rsidR="00F46A03" w:rsidRPr="00E47248">
        <w:rPr>
          <w:rFonts w:eastAsia="Calibri"/>
          <w:lang w:eastAsia="en-US"/>
        </w:rPr>
        <w:t>colour</w:t>
      </w:r>
      <w:r w:rsidRPr="00E47248">
        <w:rPr>
          <w:rFonts w:eastAsia="Calibri"/>
          <w:lang w:eastAsia="en-US"/>
        </w:rPr>
        <w:t xml:space="preserve"> image as well as corresponding plume waters types (6 colour classes corresponding to Primary, Secondary, Tertiary plume waters types) mapped by the TC method of Álvarez-Romero et al. (2013). These figures help describing the movements and spatio-temporal variability of the GBR River plumes during the 2012-13 wet season. </w:t>
      </w:r>
    </w:p>
    <w:p w14:paraId="0C3F7F89" w14:textId="77777777" w:rsidR="00482CB4" w:rsidRPr="00482CB4" w:rsidRDefault="00482CB4" w:rsidP="00500FCF">
      <w:pPr>
        <w:rPr>
          <w:rFonts w:eastAsia="Calibri"/>
          <w:lang w:eastAsia="en-US"/>
        </w:rPr>
      </w:pPr>
      <w:r w:rsidRPr="00482CB4">
        <w:rPr>
          <w:rFonts w:eastAsia="Calibri"/>
          <w:lang w:eastAsia="en-US"/>
        </w:rPr>
        <w:t xml:space="preserve">In the Wet Tropics, none of the main rivers exceeded the long-term median in 2012-13 and river discharge rates for the Barron and Johnstone Rivers were relatively low (Appendix </w:t>
      </w:r>
      <w:r w:rsidR="00935052">
        <w:rPr>
          <w:rFonts w:eastAsia="Calibri"/>
          <w:lang w:eastAsia="en-US"/>
        </w:rPr>
        <w:t>A</w:t>
      </w:r>
      <w:r w:rsidR="00500FCF">
        <w:rPr>
          <w:rFonts w:eastAsia="Calibri"/>
          <w:lang w:eastAsia="en-US"/>
        </w:rPr>
        <w:t xml:space="preserve"> </w:t>
      </w:r>
      <w:r w:rsidR="00500FCF">
        <w:rPr>
          <w:rFonts w:eastAsia="Calibri"/>
          <w:lang w:eastAsia="en-US"/>
        </w:rPr>
        <w:fldChar w:fldCharType="begin"/>
      </w:r>
      <w:r w:rsidR="00500FCF">
        <w:rPr>
          <w:rFonts w:eastAsia="Calibri"/>
          <w:lang w:eastAsia="en-US"/>
        </w:rPr>
        <w:instrText xml:space="preserve"> REF _Ref428871352 \h </w:instrText>
      </w:r>
      <w:r w:rsidR="00500FCF">
        <w:rPr>
          <w:rFonts w:eastAsia="Calibri"/>
          <w:lang w:eastAsia="en-US"/>
        </w:rPr>
      </w:r>
      <w:r w:rsidR="00500FCF">
        <w:rPr>
          <w:rFonts w:eastAsia="Calibri"/>
          <w:lang w:eastAsia="en-US"/>
        </w:rPr>
        <w:fldChar w:fldCharType="separate"/>
      </w:r>
      <w:r w:rsidR="00B62B50">
        <w:t xml:space="preserve">Figure </w:t>
      </w:r>
      <w:r w:rsidR="00B62B50">
        <w:rPr>
          <w:noProof/>
        </w:rPr>
        <w:t>3</w:t>
      </w:r>
      <w:r w:rsidR="00B62B50">
        <w:noBreakHyphen/>
      </w:r>
      <w:r w:rsidR="00B62B50">
        <w:rPr>
          <w:noProof/>
        </w:rPr>
        <w:t>2</w:t>
      </w:r>
      <w:r w:rsidR="00500FCF">
        <w:rPr>
          <w:rFonts w:eastAsia="Calibri"/>
          <w:lang w:eastAsia="en-US"/>
        </w:rPr>
        <w:fldChar w:fldCharType="end"/>
      </w:r>
      <w:r w:rsidR="00500FCF">
        <w:rPr>
          <w:rFonts w:eastAsia="Calibri"/>
          <w:lang w:eastAsia="en-US"/>
        </w:rPr>
        <w:t xml:space="preserve">, </w:t>
      </w:r>
      <w:r w:rsidR="00500FCF">
        <w:rPr>
          <w:rFonts w:eastAsia="Calibri"/>
          <w:lang w:eastAsia="en-US"/>
        </w:rPr>
        <w:fldChar w:fldCharType="begin"/>
      </w:r>
      <w:r w:rsidR="00500FCF">
        <w:rPr>
          <w:rFonts w:eastAsia="Calibri"/>
          <w:lang w:eastAsia="en-US"/>
        </w:rPr>
        <w:instrText xml:space="preserve"> REF _Ref428871354 \h </w:instrText>
      </w:r>
      <w:r w:rsidR="00500FCF">
        <w:rPr>
          <w:rFonts w:eastAsia="Calibri"/>
          <w:lang w:eastAsia="en-US"/>
        </w:rPr>
      </w:r>
      <w:r w:rsidR="00500FCF">
        <w:rPr>
          <w:rFonts w:eastAsia="Calibri"/>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rPr>
        <w:noBreakHyphen/>
      </w:r>
      <w:r w:rsidR="00B62B50">
        <w:rPr>
          <w:rFonts w:eastAsia="Calibri"/>
          <w:noProof/>
        </w:rPr>
        <w:t>3</w:t>
      </w:r>
      <w:r w:rsidR="00500FCF">
        <w:rPr>
          <w:rFonts w:eastAsia="Calibri"/>
          <w:lang w:eastAsia="en-US"/>
        </w:rPr>
        <w:fldChar w:fldCharType="end"/>
      </w:r>
      <w:r w:rsidRPr="00482CB4">
        <w:rPr>
          <w:rFonts w:eastAsia="Calibri"/>
          <w:lang w:eastAsia="en-US"/>
        </w:rPr>
        <w:t>). Maximum peak discharge of 106,510 ML day</w:t>
      </w:r>
      <w:r w:rsidRPr="00482CB4">
        <w:rPr>
          <w:rFonts w:eastAsia="Calibri"/>
          <w:vertAlign w:val="superscript"/>
          <w:lang w:eastAsia="en-US"/>
        </w:rPr>
        <w:t>-1</w:t>
      </w:r>
      <w:r w:rsidRPr="00482CB4">
        <w:rPr>
          <w:rFonts w:eastAsia="Calibri"/>
          <w:lang w:eastAsia="en-US"/>
        </w:rPr>
        <w:t xml:space="preserve"> for the Johnstone and 34,788 ML day</w:t>
      </w:r>
      <w:r w:rsidRPr="00482CB4">
        <w:rPr>
          <w:rFonts w:eastAsia="Calibri"/>
          <w:vertAlign w:val="superscript"/>
          <w:lang w:eastAsia="en-US"/>
        </w:rPr>
        <w:t>-1</w:t>
      </w:r>
      <w:r w:rsidRPr="00482CB4">
        <w:rPr>
          <w:rFonts w:eastAsia="Calibri"/>
          <w:lang w:eastAsia="en-US"/>
        </w:rPr>
        <w:t xml:space="preserve"> for the Barron River were recorded the 24</w:t>
      </w:r>
      <w:r w:rsidRPr="00482CB4">
        <w:rPr>
          <w:rFonts w:eastAsia="Calibri"/>
          <w:vertAlign w:val="superscript"/>
          <w:lang w:eastAsia="en-US"/>
        </w:rPr>
        <w:t>th</w:t>
      </w:r>
      <w:r w:rsidRPr="00482CB4">
        <w:rPr>
          <w:rFonts w:eastAsia="Calibri"/>
          <w:lang w:eastAsia="en-US"/>
        </w:rPr>
        <w:t xml:space="preserve"> and 25</w:t>
      </w:r>
      <w:r w:rsidRPr="00482CB4">
        <w:rPr>
          <w:rFonts w:eastAsia="Calibri"/>
          <w:vertAlign w:val="superscript"/>
          <w:lang w:eastAsia="en-US"/>
        </w:rPr>
        <w:t>th</w:t>
      </w:r>
      <w:r w:rsidRPr="00482CB4">
        <w:rPr>
          <w:rFonts w:eastAsia="Calibri"/>
          <w:lang w:eastAsia="en-US"/>
        </w:rPr>
        <w:t xml:space="preserve"> of January 2013 respectively. Barron and Johnstone river plumes mapped were not well developed and the turbid river plume waters were mainly constrained close to the coast (Appendix B). However, on the 25</w:t>
      </w:r>
      <w:r w:rsidRPr="00482CB4">
        <w:rPr>
          <w:rFonts w:eastAsia="Calibri"/>
          <w:vertAlign w:val="superscript"/>
          <w:lang w:eastAsia="en-US"/>
        </w:rPr>
        <w:t>th</w:t>
      </w:r>
      <w:r w:rsidRPr="00482CB4">
        <w:rPr>
          <w:rFonts w:eastAsia="Calibri"/>
          <w:lang w:eastAsia="en-US"/>
        </w:rPr>
        <w:t xml:space="preserve"> of January, Barron river plume waters were deflected offshore toward the inner coral reefs by the NW winds (</w:t>
      </w:r>
      <w:r w:rsidRPr="00482CB4">
        <w:rPr>
          <w:rFonts w:eastAsia="Calibri"/>
          <w:lang w:eastAsia="en-US"/>
        </w:rPr>
        <w:fldChar w:fldCharType="begin"/>
      </w:r>
      <w:r w:rsidRPr="00482CB4">
        <w:rPr>
          <w:rFonts w:eastAsia="Calibri"/>
          <w:lang w:eastAsia="en-US"/>
        </w:rPr>
        <w:instrText xml:space="preserve"> REF _Ref372793468 \h  \* MERGEFORMAT </w:instrText>
      </w:r>
      <w:r w:rsidRPr="00482CB4">
        <w:rPr>
          <w:rFonts w:eastAsia="Calibri"/>
          <w:lang w:eastAsia="en-US"/>
        </w:rPr>
      </w:r>
      <w:r w:rsidRPr="00482CB4">
        <w:rPr>
          <w:rFonts w:eastAsia="Calibri"/>
          <w:lang w:eastAsia="en-US"/>
        </w:rPr>
        <w:fldChar w:fldCharType="separate"/>
      </w:r>
      <w:r w:rsidR="00B62B50">
        <w:rPr>
          <w:rFonts w:eastAsia="Calibri"/>
          <w:b/>
          <w:bCs/>
          <w:lang w:val="en-US" w:eastAsia="en-US"/>
        </w:rPr>
        <w:t>Error! Reference source not found.</w:t>
      </w:r>
      <w:r w:rsidRPr="00482CB4">
        <w:rPr>
          <w:rFonts w:eastAsia="Calibri"/>
          <w:lang w:eastAsia="en-US"/>
        </w:rPr>
        <w:fldChar w:fldCharType="end"/>
      </w:r>
      <w:r w:rsidRPr="00482CB4">
        <w:rPr>
          <w:rFonts w:eastAsia="Calibri"/>
          <w:lang w:eastAsia="en-US"/>
        </w:rPr>
        <w:t>)</w:t>
      </w:r>
      <w:r w:rsidRPr="00482CB4">
        <w:rPr>
          <w:rFonts w:eastAsia="Calibri"/>
          <w:color w:val="FF0000"/>
          <w:lang w:eastAsia="en-US"/>
        </w:rPr>
        <w:t xml:space="preserve">. </w:t>
      </w:r>
      <w:r w:rsidRPr="00482CB4">
        <w:rPr>
          <w:rFonts w:eastAsia="Calibri"/>
          <w:lang w:eastAsia="en-US"/>
        </w:rPr>
        <w:t>The 29</w:t>
      </w:r>
      <w:r w:rsidRPr="00482CB4">
        <w:rPr>
          <w:rFonts w:eastAsia="Calibri"/>
          <w:vertAlign w:val="superscript"/>
          <w:lang w:eastAsia="en-US"/>
        </w:rPr>
        <w:t>th</w:t>
      </w:r>
      <w:r w:rsidRPr="00482CB4">
        <w:rPr>
          <w:rFonts w:eastAsia="Calibri"/>
          <w:lang w:eastAsia="en-US"/>
        </w:rPr>
        <w:t xml:space="preserve"> of June, the TC method failed to fully map the river plume waters located north of the Barron estuary mouth due to atmospheric perturbations, but Primary plume waters were observed close to the estuary mouth on both the true colour and 6-classes river plume maps</w:t>
      </w:r>
    </w:p>
    <w:p w14:paraId="0C3F7F8A" w14:textId="77777777" w:rsidR="00482CB4" w:rsidRPr="00482CB4" w:rsidRDefault="00482CB4" w:rsidP="00482CB4">
      <w:pPr>
        <w:rPr>
          <w:rFonts w:ascii="Calibri" w:eastAsia="Calibri" w:hAnsi="Calibri" w:cs="Times New Roman"/>
          <w:lang w:eastAsia="en-US"/>
        </w:rPr>
      </w:pPr>
      <w:r w:rsidRPr="00DF1C49">
        <w:rPr>
          <w:rFonts w:eastAsia="Calibri"/>
          <w:noProof/>
        </w:rPr>
        <w:drawing>
          <wp:inline distT="0" distB="0" distL="0" distR="0" wp14:anchorId="0C3F8FB9" wp14:editId="0C3F8FBA">
            <wp:extent cx="5448300" cy="4539877"/>
            <wp:effectExtent l="19050" t="19050" r="19050" b="13335"/>
            <wp:docPr id="81" name="Picture 81" descr="True colour and b) plume waters mapped the 25th and 29th of January, 2013 in the Wet Tropics NRM using the method of Álvarez-Romero et al. (2013). These maps show Barron River plume waters deflected toward offshore by the NW winds. Wind direction measured at 12:00 am is indicated with black arrows." title="True colour and plume wat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56433" cy="4546654"/>
                    </a:xfrm>
                    <a:prstGeom prst="rect">
                      <a:avLst/>
                    </a:prstGeom>
                    <a:solidFill>
                      <a:sysClr val="window" lastClr="FFFFFF"/>
                    </a:solidFill>
                    <a:ln>
                      <a:solidFill>
                        <a:schemeClr val="tx1"/>
                      </a:solidFill>
                    </a:ln>
                  </pic:spPr>
                </pic:pic>
              </a:graphicData>
            </a:graphic>
          </wp:inline>
        </w:drawing>
      </w:r>
    </w:p>
    <w:p w14:paraId="0C3F7F8B" w14:textId="77777777" w:rsidR="00482CB4" w:rsidRPr="00482CB4" w:rsidRDefault="00482CB4" w:rsidP="00500FCF">
      <w:pPr>
        <w:pStyle w:val="Caption"/>
        <w:rPr>
          <w:rFonts w:eastAsia="Calibri"/>
          <w:bCs/>
          <w:noProof/>
          <w:sz w:val="18"/>
          <w:szCs w:val="18"/>
        </w:rPr>
      </w:pPr>
      <w:bookmarkStart w:id="58" w:name="_Ref428871352"/>
      <w:bookmarkStart w:id="59" w:name="_Toc427833273"/>
      <w:bookmarkStart w:id="60" w:name="_Ref428871333"/>
      <w:bookmarkStart w:id="61" w:name="_Toc434208023"/>
      <w:r>
        <w:t xml:space="preserve">Figure </w:t>
      </w:r>
      <w:r w:rsidR="00D243CD">
        <w:fldChar w:fldCharType="begin"/>
      </w:r>
      <w:r w:rsidR="00D243CD">
        <w:instrText xml:space="preserve"> STYLEREF 1 \s </w:instrText>
      </w:r>
      <w:r w:rsidR="00D243CD">
        <w:fldChar w:fldCharType="separate"/>
      </w:r>
      <w:r w:rsidR="00B62B50">
        <w:rPr>
          <w:noProof/>
        </w:rPr>
        <w:t>3</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2</w:t>
      </w:r>
      <w:r w:rsidR="00D243CD">
        <w:fldChar w:fldCharType="end"/>
      </w:r>
      <w:bookmarkEnd w:id="58"/>
      <w:r w:rsidRPr="00482CB4">
        <w:rPr>
          <w:rFonts w:eastAsia="Calibri"/>
        </w:rPr>
        <w:t>: a) True colour and b) plume waters mapped the 25</w:t>
      </w:r>
      <w:r w:rsidRPr="00482CB4">
        <w:rPr>
          <w:rFonts w:eastAsia="Calibri"/>
          <w:vertAlign w:val="superscript"/>
        </w:rPr>
        <w:t>th</w:t>
      </w:r>
      <w:r w:rsidRPr="00482CB4">
        <w:rPr>
          <w:rFonts w:eastAsia="Calibri"/>
        </w:rPr>
        <w:t xml:space="preserve"> and 29</w:t>
      </w:r>
      <w:r w:rsidRPr="00482CB4">
        <w:rPr>
          <w:rFonts w:eastAsia="Calibri"/>
          <w:vertAlign w:val="superscript"/>
        </w:rPr>
        <w:t>th</w:t>
      </w:r>
      <w:r w:rsidRPr="00482CB4">
        <w:rPr>
          <w:rFonts w:eastAsia="Calibri"/>
        </w:rPr>
        <w:t xml:space="preserve"> of January,</w:t>
      </w:r>
      <w:r w:rsidRPr="00482CB4">
        <w:rPr>
          <w:rFonts w:eastAsia="Calibri"/>
          <w:color w:val="FF0000"/>
        </w:rPr>
        <w:t xml:space="preserve"> </w:t>
      </w:r>
      <w:r w:rsidRPr="00482CB4">
        <w:rPr>
          <w:rFonts w:eastAsia="Calibri"/>
        </w:rPr>
        <w:t>2013 in the Wet Tropics NRM using the method of Álvarez-Romero et al. (2013). These maps show Barron River plume waters deflected toward offshore by the NW winds. Wind direction measured at 12:00 am is indicated with black arrows.</w:t>
      </w:r>
      <w:bookmarkEnd w:id="59"/>
      <w:bookmarkEnd w:id="60"/>
      <w:bookmarkEnd w:id="61"/>
    </w:p>
    <w:p w14:paraId="0C3F7F8C" w14:textId="77777777" w:rsidR="00E47248" w:rsidRPr="00482CB4" w:rsidRDefault="00E47248" w:rsidP="00E47248">
      <w:pPr>
        <w:rPr>
          <w:rFonts w:ascii="Calibri" w:eastAsia="Calibri" w:hAnsi="Calibri" w:cs="Times New Roman"/>
          <w:lang w:eastAsia="en-US"/>
        </w:rPr>
      </w:pPr>
      <w:r w:rsidRPr="00482CB4">
        <w:rPr>
          <w:rFonts w:ascii="Calibri" w:eastAsia="Calibri" w:hAnsi="Calibri" w:cs="Times New Roman"/>
          <w:lang w:eastAsia="en-US"/>
        </w:rPr>
        <w:t>Highest river discharge rates for the Tully and Herbert rivers were measured on the 25</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(563816 ML day</w:t>
      </w:r>
      <w:r w:rsidRPr="00482CB4">
        <w:rPr>
          <w:rFonts w:ascii="Calibri" w:eastAsia="Calibri" w:hAnsi="Calibri" w:cs="Times New Roman"/>
          <w:vertAlign w:val="superscript"/>
          <w:lang w:eastAsia="en-US"/>
        </w:rPr>
        <w:t>-1</w:t>
      </w:r>
      <w:r w:rsidRPr="00482CB4">
        <w:rPr>
          <w:rFonts w:ascii="Calibri" w:eastAsia="Calibri" w:hAnsi="Calibri" w:cs="Times New Roman"/>
          <w:lang w:eastAsia="en-US"/>
        </w:rPr>
        <w:t xml:space="preserve"> for the Herbert and 831701 ML day</w:t>
      </w:r>
      <w:r w:rsidRPr="00482CB4">
        <w:rPr>
          <w:rFonts w:ascii="Calibri" w:eastAsia="Calibri" w:hAnsi="Calibri" w:cs="Times New Roman"/>
          <w:vertAlign w:val="superscript"/>
          <w:lang w:eastAsia="en-US"/>
        </w:rPr>
        <w:t>-1</w:t>
      </w:r>
      <w:r w:rsidRPr="00482CB4">
        <w:rPr>
          <w:rFonts w:ascii="Calibri" w:eastAsia="Calibri" w:hAnsi="Calibri" w:cs="Times New Roman"/>
          <w:lang w:eastAsia="en-US"/>
        </w:rPr>
        <w:t xml:space="preserve"> for the Tully River, </w:t>
      </w:r>
      <w:r>
        <w:rPr>
          <w:rFonts w:ascii="Calibri" w:eastAsia="Calibri" w:hAnsi="Calibri" w:cs="Times New Roman"/>
          <w:lang w:eastAsia="en-US"/>
        </w:rPr>
        <w:t>(</w:t>
      </w:r>
      <w:r w:rsidRPr="00482CB4">
        <w:rPr>
          <w:rFonts w:ascii="Calibri" w:eastAsia="Calibri" w:hAnsi="Calibri" w:cs="Times New Roman"/>
          <w:lang w:eastAsia="en-US"/>
        </w:rPr>
        <w:t xml:space="preserve">Appendix </w:t>
      </w:r>
      <w:r>
        <w:rPr>
          <w:rFonts w:ascii="Calibri" w:eastAsia="Calibri" w:hAnsi="Calibri" w:cs="Times New Roman"/>
          <w:lang w:eastAsia="en-US"/>
        </w:rPr>
        <w:t xml:space="preserve">A,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_Ref428871354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rPr>
        <w:noBreakHyphen/>
      </w:r>
      <w:r w:rsidR="00B62B50">
        <w:rPr>
          <w:rFonts w:eastAsia="Calibri"/>
          <w:noProof/>
        </w:rPr>
        <w:t>3</w:t>
      </w:r>
      <w:r>
        <w:rPr>
          <w:rFonts w:ascii="Calibri" w:eastAsia="Calibri" w:hAnsi="Calibri" w:cs="Times New Roman"/>
          <w:lang w:eastAsia="en-US"/>
        </w:rPr>
        <w:fldChar w:fldCharType="end"/>
      </w:r>
      <w:r w:rsidRPr="00482CB4">
        <w:rPr>
          <w:rFonts w:ascii="Calibri" w:eastAsia="Calibri" w:hAnsi="Calibri" w:cs="Times New Roman"/>
          <w:lang w:eastAsia="en-US"/>
        </w:rPr>
        <w:t>). Maximum surface areal extents for both the Tully and Herbert River plumes were measured, in response, the 25</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2013.  The Herbert River plume surface areas decreased after the 25</w:t>
      </w:r>
      <w:r w:rsidRPr="00652C07">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2013, following the reduction of the Herbert river flow (Appendix</w:t>
      </w:r>
      <w:r>
        <w:rPr>
          <w:rFonts w:ascii="Calibri" w:eastAsia="Calibri" w:hAnsi="Calibri" w:cs="Times New Roman"/>
          <w:lang w:eastAsia="en-US"/>
        </w:rPr>
        <w:t xml:space="preserve"> A</w:t>
      </w:r>
      <w:r w:rsidRPr="00482CB4">
        <w:rPr>
          <w:rFonts w:ascii="Calibri" w:eastAsia="Calibri" w:hAnsi="Calibri" w:cs="Times New Roman"/>
          <w:lang w:eastAsia="en-US"/>
        </w:rPr>
        <w:t>). Surface areas of the Herbert Primary plume waters decreased from about 360 km</w:t>
      </w:r>
      <w:r w:rsidRPr="00482CB4">
        <w:rPr>
          <w:rFonts w:ascii="Calibri" w:eastAsia="Calibri" w:hAnsi="Calibri" w:cs="Times New Roman"/>
          <w:vertAlign w:val="superscript"/>
          <w:lang w:eastAsia="en-US"/>
        </w:rPr>
        <w:t>2</w:t>
      </w:r>
      <w:r w:rsidRPr="00482CB4">
        <w:rPr>
          <w:rFonts w:ascii="Calibri" w:eastAsia="Calibri" w:hAnsi="Calibri" w:cs="Times New Roman"/>
          <w:lang w:eastAsia="en-US"/>
        </w:rPr>
        <w:t xml:space="preserve"> the 25th of January, to 78 km</w:t>
      </w:r>
      <w:r w:rsidRPr="00482CB4">
        <w:rPr>
          <w:rFonts w:ascii="Calibri" w:eastAsia="Calibri" w:hAnsi="Calibri" w:cs="Times New Roman"/>
          <w:vertAlign w:val="superscript"/>
          <w:lang w:eastAsia="en-US"/>
        </w:rPr>
        <w:t>2</w:t>
      </w:r>
      <w:r w:rsidRPr="00482CB4">
        <w:rPr>
          <w:rFonts w:ascii="Calibri" w:eastAsia="Calibri" w:hAnsi="Calibri" w:cs="Times New Roman"/>
          <w:lang w:eastAsia="en-US"/>
        </w:rPr>
        <w:t>, 64 km</w:t>
      </w:r>
      <w:r w:rsidRPr="00482CB4">
        <w:rPr>
          <w:rFonts w:ascii="Calibri" w:eastAsia="Calibri" w:hAnsi="Calibri" w:cs="Times New Roman"/>
          <w:vertAlign w:val="superscript"/>
          <w:lang w:eastAsia="en-US"/>
        </w:rPr>
        <w:t xml:space="preserve">2 </w:t>
      </w:r>
      <w:r w:rsidRPr="00482CB4">
        <w:rPr>
          <w:rFonts w:ascii="Calibri" w:eastAsia="Calibri" w:hAnsi="Calibri" w:cs="Times New Roman"/>
          <w:lang w:eastAsia="en-US"/>
        </w:rPr>
        <w:t>and 0.3 km</w:t>
      </w:r>
      <w:r w:rsidRPr="00482CB4">
        <w:rPr>
          <w:rFonts w:ascii="Calibri" w:eastAsia="Calibri" w:hAnsi="Calibri" w:cs="Times New Roman"/>
          <w:vertAlign w:val="superscript"/>
          <w:lang w:eastAsia="en-US"/>
        </w:rPr>
        <w:t>2</w:t>
      </w:r>
      <w:r w:rsidRPr="00482CB4">
        <w:rPr>
          <w:rFonts w:ascii="Calibri" w:eastAsia="Calibri" w:hAnsi="Calibri" w:cs="Times New Roman"/>
          <w:lang w:eastAsia="en-US"/>
        </w:rPr>
        <w:t xml:space="preserve"> the 29, 30 and 31</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2013 (Herbert river discharge of 21354ML day</w:t>
      </w:r>
      <w:r w:rsidRPr="00482CB4">
        <w:rPr>
          <w:rFonts w:ascii="Calibri" w:eastAsia="Calibri" w:hAnsi="Calibri" w:cs="Times New Roman"/>
          <w:vertAlign w:val="superscript"/>
          <w:lang w:eastAsia="en-US"/>
        </w:rPr>
        <w:t xml:space="preserve">-1 </w:t>
      </w:r>
      <w:r w:rsidRPr="00482CB4">
        <w:rPr>
          <w:rFonts w:ascii="Calibri" w:eastAsia="Calibri" w:hAnsi="Calibri" w:cs="Times New Roman"/>
          <w:lang w:eastAsia="en-US"/>
        </w:rPr>
        <w:t xml:space="preserve">on the 31th of January). </w:t>
      </w:r>
    </w:p>
    <w:p w14:paraId="0C3F7F8D" w14:textId="77777777" w:rsidR="00482CB4" w:rsidRPr="00482CB4" w:rsidRDefault="00482CB4" w:rsidP="00482CB4">
      <w:pPr>
        <w:rPr>
          <w:rFonts w:ascii="Calibri" w:eastAsia="Calibri" w:hAnsi="Calibri" w:cs="Times New Roman"/>
          <w:lang w:eastAsia="en-US"/>
        </w:rPr>
      </w:pPr>
      <w:r w:rsidRPr="00DF1C49">
        <w:rPr>
          <w:rFonts w:eastAsia="Calibri"/>
          <w:noProof/>
        </w:rPr>
        <w:drawing>
          <wp:inline distT="0" distB="0" distL="0" distR="0" wp14:anchorId="0C3F8FBB" wp14:editId="0C3F8FBC">
            <wp:extent cx="5227320" cy="3822696"/>
            <wp:effectExtent l="19050" t="19050" r="11430" b="26035"/>
            <wp:docPr id="82" name="Picture 82" descr="a) True colour and b) plume waters mapped from the 25th to the 31rd of January 2013 in the Wet Tropics NRM using the method of Álvarez-Romero et al. (2013). This series of maps illustrate high importance of river discharge rates modulations on the river plumes areas. Wind direction measured at 15:00 am is indicated with black arrows (data at 12:00 am are unavailable for the Ingham meteorological stations). " title="True colour and plum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30904" cy="3825317"/>
                    </a:xfrm>
                    <a:prstGeom prst="rect">
                      <a:avLst/>
                    </a:prstGeom>
                    <a:solidFill>
                      <a:sysClr val="window" lastClr="FFFFFF"/>
                    </a:solidFill>
                    <a:ln>
                      <a:solidFill>
                        <a:schemeClr val="tx1"/>
                      </a:solidFill>
                    </a:ln>
                  </pic:spPr>
                </pic:pic>
              </a:graphicData>
            </a:graphic>
          </wp:inline>
        </w:drawing>
      </w:r>
    </w:p>
    <w:p w14:paraId="0C3F7F8E" w14:textId="77777777" w:rsidR="00482CB4" w:rsidRDefault="00482CB4" w:rsidP="00500FCF">
      <w:pPr>
        <w:pStyle w:val="Caption"/>
        <w:rPr>
          <w:rFonts w:eastAsia="Calibri"/>
          <w:bCs/>
          <w:sz w:val="18"/>
          <w:szCs w:val="18"/>
        </w:rPr>
      </w:pPr>
      <w:bookmarkStart w:id="62" w:name="_Ref428871354"/>
      <w:bookmarkStart w:id="63" w:name="_Toc427833274"/>
      <w:bookmarkStart w:id="64" w:name="_Toc434208024"/>
      <w:r w:rsidRPr="00482CB4">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3</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3</w:t>
      </w:r>
      <w:r w:rsidR="00D243CD">
        <w:rPr>
          <w:rFonts w:eastAsia="Calibri"/>
        </w:rPr>
        <w:fldChar w:fldCharType="end"/>
      </w:r>
      <w:bookmarkEnd w:id="62"/>
      <w:r w:rsidRPr="00482CB4">
        <w:rPr>
          <w:rFonts w:eastAsia="Calibri"/>
        </w:rPr>
        <w:t>: a) True colour and b) plume waters mapped from the 25th to the 31rd of January 2013 in the Wet Tropics NRM using the method of Álvarez-Romero et al. (2013). This series of maps illustrate high importance of river discharge rates modulations on the river plumes areas. Wind direction measured at 15:00 am is indicated with black arrows (data at 12:00 am are unavailable for the Ingham meteorological stations).</w:t>
      </w:r>
      <w:bookmarkEnd w:id="63"/>
      <w:bookmarkEnd w:id="64"/>
      <w:r w:rsidRPr="00482CB4">
        <w:rPr>
          <w:rFonts w:eastAsia="Calibri"/>
          <w:bCs/>
          <w:sz w:val="18"/>
          <w:szCs w:val="18"/>
        </w:rPr>
        <w:t xml:space="preserve"> </w:t>
      </w:r>
    </w:p>
    <w:p w14:paraId="0C3F7F8F" w14:textId="77777777" w:rsidR="00482CB4" w:rsidRPr="007629C0" w:rsidRDefault="00482CB4" w:rsidP="00500FCF">
      <w:pPr>
        <w:pStyle w:val="Heading3"/>
        <w:numPr>
          <w:ilvl w:val="2"/>
          <w:numId w:val="3"/>
        </w:numPr>
      </w:pPr>
      <w:bookmarkStart w:id="65" w:name="_Toc427831206"/>
      <w:bookmarkStart w:id="66" w:name="_Toc428793336"/>
      <w:bookmarkStart w:id="67" w:name="_Toc428851330"/>
      <w:bookmarkStart w:id="68" w:name="_Toc434207989"/>
      <w:r w:rsidRPr="007629C0">
        <w:t>Burdekin NRM: Burdekin River</w:t>
      </w:r>
      <w:bookmarkEnd w:id="65"/>
      <w:bookmarkEnd w:id="66"/>
      <w:bookmarkEnd w:id="67"/>
      <w:bookmarkEnd w:id="68"/>
    </w:p>
    <w:p w14:paraId="0C3F7F90" w14:textId="77777777" w:rsidR="00482CB4" w:rsidRPr="00482CB4" w:rsidRDefault="00482CB4" w:rsidP="00482CB4">
      <w:pPr>
        <w:rPr>
          <w:rFonts w:ascii="Calibri" w:eastAsia="Calibri" w:hAnsi="Calibri"/>
          <w:lang w:eastAsia="en-US"/>
        </w:rPr>
      </w:pPr>
      <w:r w:rsidRPr="00482CB4">
        <w:rPr>
          <w:rFonts w:ascii="Calibri" w:eastAsia="Calibri" w:hAnsi="Calibri" w:cs="Times New Roman"/>
          <w:lang w:eastAsia="en-US"/>
        </w:rPr>
        <w:t>Ex-tropical cyclone Oswald induced flooding in the Burdekin NRM. The highest Burdekin river discharge was measured on the 25</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(343,366 ML day</w:t>
      </w:r>
      <w:r w:rsidRPr="00482CB4">
        <w:rPr>
          <w:rFonts w:ascii="Calibri" w:eastAsia="Calibri" w:hAnsi="Calibri" w:cs="Times New Roman"/>
          <w:vertAlign w:val="superscript"/>
          <w:lang w:eastAsia="en-US"/>
        </w:rPr>
        <w:t>-1</w:t>
      </w:r>
      <w:r w:rsidR="00500FCF">
        <w:rPr>
          <w:rFonts w:ascii="Calibri" w:eastAsia="Calibri" w:hAnsi="Calibri" w:cs="Times New Roman"/>
          <w:lang w:eastAsia="en-US"/>
        </w:rPr>
        <w:t xml:space="preserve">; Appendix </w:t>
      </w:r>
      <w:r w:rsidR="00E47248">
        <w:rPr>
          <w:rFonts w:ascii="Calibri" w:eastAsia="Calibri" w:hAnsi="Calibri" w:cs="Times New Roman"/>
          <w:lang w:eastAsia="en-US"/>
        </w:rPr>
        <w:t>A</w:t>
      </w:r>
      <w:r w:rsidR="00500FCF">
        <w:rPr>
          <w:rFonts w:ascii="Calibri" w:eastAsia="Calibri" w:hAnsi="Calibri" w:cs="Times New Roman"/>
          <w:lang w:eastAsia="en-US"/>
        </w:rPr>
        <w:t xml:space="preserve">: </w:t>
      </w:r>
      <w:r w:rsidR="00500FCF">
        <w:rPr>
          <w:rFonts w:ascii="Calibri" w:eastAsia="Calibri" w:hAnsi="Calibri" w:cs="Times New Roman"/>
          <w:lang w:eastAsia="en-US"/>
        </w:rPr>
        <w:fldChar w:fldCharType="begin"/>
      </w:r>
      <w:r w:rsidR="00500FCF">
        <w:rPr>
          <w:rFonts w:ascii="Calibri" w:eastAsia="Calibri" w:hAnsi="Calibri" w:cs="Times New Roman"/>
          <w:lang w:eastAsia="en-US"/>
        </w:rPr>
        <w:instrText xml:space="preserve"> REF _Ref428852632 \h </w:instrText>
      </w:r>
      <w:r w:rsidR="00500FCF">
        <w:rPr>
          <w:rFonts w:ascii="Calibri" w:eastAsia="Calibri" w:hAnsi="Calibri" w:cs="Times New Roman"/>
          <w:lang w:eastAsia="en-US"/>
        </w:rPr>
      </w:r>
      <w:r w:rsidR="00500FCF">
        <w:rPr>
          <w:rFonts w:ascii="Calibri" w:eastAsia="Calibri" w:hAnsi="Calibri" w:cs="Times New Roman"/>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rPr>
        <w:noBreakHyphen/>
      </w:r>
      <w:r w:rsidR="00B62B50">
        <w:rPr>
          <w:rFonts w:eastAsia="Calibri"/>
          <w:noProof/>
        </w:rPr>
        <w:t>4</w:t>
      </w:r>
      <w:r w:rsidR="00500FCF">
        <w:rPr>
          <w:rFonts w:ascii="Calibri" w:eastAsia="Calibri" w:hAnsi="Calibri" w:cs="Times New Roman"/>
          <w:lang w:eastAsia="en-US"/>
        </w:rPr>
        <w:fldChar w:fldCharType="end"/>
      </w:r>
      <w:r w:rsidR="00500FCF">
        <w:rPr>
          <w:rFonts w:ascii="Calibri" w:eastAsia="Calibri" w:hAnsi="Calibri" w:cs="Times New Roman"/>
          <w:lang w:eastAsia="en-US"/>
        </w:rPr>
        <w:t xml:space="preserve">, </w:t>
      </w:r>
      <w:r w:rsidR="00500FCF">
        <w:rPr>
          <w:rFonts w:ascii="Calibri" w:eastAsia="Calibri" w:hAnsi="Calibri" w:cs="Times New Roman"/>
          <w:lang w:eastAsia="en-US"/>
        </w:rPr>
        <w:fldChar w:fldCharType="begin"/>
      </w:r>
      <w:r w:rsidR="00500FCF">
        <w:rPr>
          <w:rFonts w:ascii="Calibri" w:eastAsia="Calibri" w:hAnsi="Calibri" w:cs="Times New Roman"/>
          <w:lang w:eastAsia="en-US"/>
        </w:rPr>
        <w:instrText xml:space="preserve"> REF _Ref428852892 \h </w:instrText>
      </w:r>
      <w:r w:rsidR="00500FCF">
        <w:rPr>
          <w:rFonts w:ascii="Calibri" w:eastAsia="Calibri" w:hAnsi="Calibri" w:cs="Times New Roman"/>
          <w:lang w:eastAsia="en-US"/>
        </w:rPr>
      </w:r>
      <w:r w:rsidR="00500FCF">
        <w:rPr>
          <w:rFonts w:ascii="Calibri" w:eastAsia="Calibri" w:hAnsi="Calibri" w:cs="Times New Roman"/>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rPr>
        <w:noBreakHyphen/>
      </w:r>
      <w:r w:rsidR="00B62B50">
        <w:rPr>
          <w:rFonts w:eastAsia="Calibri"/>
          <w:noProof/>
        </w:rPr>
        <w:t>5</w:t>
      </w:r>
      <w:r w:rsidR="00500FCF">
        <w:rPr>
          <w:rFonts w:ascii="Calibri" w:eastAsia="Calibri" w:hAnsi="Calibri" w:cs="Times New Roman"/>
          <w:lang w:eastAsia="en-US"/>
        </w:rPr>
        <w:fldChar w:fldCharType="end"/>
      </w:r>
      <w:r w:rsidR="00500FCF">
        <w:rPr>
          <w:rFonts w:ascii="Calibri" w:eastAsia="Calibri" w:hAnsi="Calibri" w:cs="Times New Roman"/>
          <w:lang w:eastAsia="en-US"/>
        </w:rPr>
        <w:t xml:space="preserve">) </w:t>
      </w:r>
      <w:r w:rsidRPr="00482CB4">
        <w:rPr>
          <w:rFonts w:ascii="Calibri" w:eastAsia="Calibri" w:hAnsi="Calibri" w:cs="Times New Roman"/>
          <w:lang w:eastAsia="en-US"/>
        </w:rPr>
        <w:t>unfortunately the cloud cover on this day prevented any mapping of the Burdekin River plume. Well-developed turbid river plumes were, however, observed on the MODIS TC images of the 27</w:t>
      </w:r>
      <w:r w:rsidRPr="00500FCF">
        <w:rPr>
          <w:rFonts w:ascii="Calibri" w:eastAsia="Calibri" w:hAnsi="Calibri" w:cs="Times New Roman"/>
          <w:lang w:eastAsia="en-US"/>
        </w:rPr>
        <w:t>th</w:t>
      </w:r>
      <w:r w:rsidRPr="00482CB4">
        <w:rPr>
          <w:rFonts w:ascii="Calibri" w:eastAsia="Calibri" w:hAnsi="Calibri" w:cs="Times New Roman"/>
          <w:lang w:eastAsia="en-US"/>
        </w:rPr>
        <w:t xml:space="preserve"> and 29</w:t>
      </w:r>
      <w:r w:rsidRPr="00500FCF">
        <w:rPr>
          <w:rFonts w:ascii="Calibri" w:eastAsia="Calibri" w:hAnsi="Calibri" w:cs="Times New Roman"/>
          <w:lang w:eastAsia="en-US"/>
        </w:rPr>
        <w:t>th</w:t>
      </w:r>
      <w:r w:rsidRPr="00482CB4">
        <w:rPr>
          <w:rFonts w:ascii="Calibri" w:eastAsia="Calibri" w:hAnsi="Calibri" w:cs="Times New Roman"/>
          <w:lang w:eastAsia="en-US"/>
        </w:rPr>
        <w:t xml:space="preserve"> of January (</w:t>
      </w:r>
      <w:r w:rsidRPr="00482CB4">
        <w:rPr>
          <w:rFonts w:ascii="Calibri" w:eastAsia="Calibri" w:hAnsi="Calibri" w:cs="Times New Roman"/>
          <w:lang w:eastAsia="en-US"/>
        </w:rPr>
        <w:fldChar w:fldCharType="begin"/>
      </w:r>
      <w:r w:rsidRPr="00482CB4">
        <w:rPr>
          <w:rFonts w:ascii="Calibri" w:eastAsia="Calibri" w:hAnsi="Calibri" w:cs="Times New Roman"/>
          <w:lang w:eastAsia="en-US"/>
        </w:rPr>
        <w:instrText xml:space="preserve"> REF _Ref428852632 \h  \* MERGEFORMAT </w:instrText>
      </w:r>
      <w:r w:rsidRPr="00482CB4">
        <w:rPr>
          <w:rFonts w:ascii="Calibri" w:eastAsia="Calibri" w:hAnsi="Calibri" w:cs="Times New Roman"/>
          <w:lang w:eastAsia="en-US"/>
        </w:rPr>
      </w:r>
      <w:r w:rsidRPr="00482CB4">
        <w:rPr>
          <w:rFonts w:ascii="Calibri" w:eastAsia="Calibri" w:hAnsi="Calibri" w:cs="Times New Roman"/>
          <w:lang w:eastAsia="en-US"/>
        </w:rPr>
        <w:fldChar w:fldCharType="separate"/>
      </w:r>
      <w:r w:rsidR="00B62B50" w:rsidRPr="00B62B50">
        <w:rPr>
          <w:rFonts w:ascii="Calibri" w:eastAsia="Calibri" w:hAnsi="Calibri" w:cs="Times New Roman"/>
          <w:lang w:eastAsia="en-US"/>
        </w:rPr>
        <w:t>Figure 3</w:t>
      </w:r>
      <w:r w:rsidR="00B62B50" w:rsidRPr="00B62B50">
        <w:rPr>
          <w:rFonts w:ascii="Calibri" w:eastAsia="Calibri" w:hAnsi="Calibri" w:cs="Times New Roman"/>
          <w:lang w:eastAsia="en-US"/>
        </w:rPr>
        <w:noBreakHyphen/>
        <w:t>4</w:t>
      </w:r>
      <w:r w:rsidRPr="00482CB4">
        <w:rPr>
          <w:rFonts w:ascii="Calibri" w:eastAsia="Calibri" w:hAnsi="Calibri" w:cs="Times New Roman"/>
          <w:lang w:eastAsia="en-US"/>
        </w:rPr>
        <w:fldChar w:fldCharType="end"/>
      </w:r>
      <w:r w:rsidRPr="00482CB4">
        <w:rPr>
          <w:rFonts w:ascii="Calibri" w:eastAsia="Calibri" w:hAnsi="Calibri" w:cs="Times New Roman"/>
          <w:lang w:eastAsia="en-US"/>
        </w:rPr>
        <w:t>). The river plume monitored the 27</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was clearly deflected by the western winds toward the inner coral reefs,</w:t>
      </w:r>
      <w:r w:rsidRPr="0053560C">
        <w:t xml:space="preserve"> </w:t>
      </w:r>
      <w:r>
        <w:t xml:space="preserve">but </w:t>
      </w:r>
      <w:r w:rsidRPr="00482CB4">
        <w:rPr>
          <w:rFonts w:ascii="Calibri" w:eastAsia="Calibri" w:hAnsi="Calibri" w:cs="Times New Roman"/>
          <w:lang w:eastAsia="en-US"/>
        </w:rPr>
        <w:t>atmospheric and sun-glint perturbations prevented an exact delineation of the river plume external boundary. The 27</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the Primary plume</w:t>
      </w:r>
      <w:r w:rsidRPr="00482CB4">
        <w:rPr>
          <w:rFonts w:ascii="Calibri" w:eastAsia="Calibri" w:hAnsi="Calibri" w:cs="Times New Roman"/>
          <w:color w:val="FF0000"/>
          <w:lang w:eastAsia="en-US"/>
        </w:rPr>
        <w:t xml:space="preserve"> </w:t>
      </w:r>
      <w:r w:rsidRPr="00482CB4">
        <w:rPr>
          <w:rFonts w:ascii="Calibri" w:eastAsia="Calibri" w:hAnsi="Calibri" w:cs="Times New Roman"/>
          <w:lang w:eastAsia="en-US"/>
        </w:rPr>
        <w:t>waters extended more than 100 km offshore from the Burdekin River mouth. Well-developed Burdekin River plumes were also observed from the 30</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to the 04</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February (</w:t>
      </w:r>
      <w:r w:rsidR="00500FCF">
        <w:rPr>
          <w:rFonts w:ascii="Calibri" w:eastAsia="Calibri" w:hAnsi="Calibri" w:cs="Times New Roman"/>
          <w:lang w:eastAsia="en-US"/>
        </w:rPr>
        <w:fldChar w:fldCharType="begin"/>
      </w:r>
      <w:r w:rsidR="00500FCF">
        <w:rPr>
          <w:rFonts w:ascii="Calibri" w:eastAsia="Calibri" w:hAnsi="Calibri" w:cs="Times New Roman"/>
          <w:lang w:eastAsia="en-US"/>
        </w:rPr>
        <w:instrText xml:space="preserve"> REF _Ref428852892 \h </w:instrText>
      </w:r>
      <w:r w:rsidR="00500FCF">
        <w:rPr>
          <w:rFonts w:ascii="Calibri" w:eastAsia="Calibri" w:hAnsi="Calibri" w:cs="Times New Roman"/>
          <w:lang w:eastAsia="en-US"/>
        </w:rPr>
      </w:r>
      <w:r w:rsidR="00500FCF">
        <w:rPr>
          <w:rFonts w:ascii="Calibri" w:eastAsia="Calibri" w:hAnsi="Calibri" w:cs="Times New Roman"/>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rPr>
        <w:noBreakHyphen/>
      </w:r>
      <w:r w:rsidR="00B62B50">
        <w:rPr>
          <w:rFonts w:eastAsia="Calibri"/>
          <w:noProof/>
        </w:rPr>
        <w:t>5</w:t>
      </w:r>
      <w:r w:rsidR="00500FCF">
        <w:rPr>
          <w:rFonts w:ascii="Calibri" w:eastAsia="Calibri" w:hAnsi="Calibri" w:cs="Times New Roman"/>
          <w:lang w:eastAsia="en-US"/>
        </w:rPr>
        <w:fldChar w:fldCharType="end"/>
      </w:r>
      <w:r w:rsidRPr="00482CB4">
        <w:rPr>
          <w:rFonts w:ascii="Calibri" w:eastAsia="Calibri" w:hAnsi="Calibri" w:cs="Times New Roman"/>
          <w:lang w:eastAsia="en-US"/>
        </w:rPr>
        <w:t>) and from the 7th to the 13th of March 2013</w:t>
      </w:r>
      <w:r w:rsidR="00E47248">
        <w:rPr>
          <w:rFonts w:ascii="Calibri" w:eastAsia="Calibri" w:hAnsi="Calibri" w:cs="Times New Roman"/>
          <w:lang w:eastAsia="en-US"/>
        </w:rPr>
        <w:t xml:space="preserve"> (Appendix A)</w:t>
      </w:r>
      <w:r w:rsidRPr="00482CB4">
        <w:rPr>
          <w:rFonts w:ascii="Calibri" w:eastAsia="Calibri" w:hAnsi="Calibri" w:cs="Times New Roman"/>
          <w:lang w:eastAsia="en-US"/>
        </w:rPr>
        <w:t xml:space="preserve">. </w:t>
      </w:r>
      <w:r w:rsidRPr="00482CB4">
        <w:rPr>
          <w:rFonts w:ascii="Calibri" w:eastAsia="Calibri" w:hAnsi="Calibri"/>
          <w:lang w:eastAsia="en-US"/>
        </w:rPr>
        <w:t>Field sampling in the Burdekin region was undertaken between the 13</w:t>
      </w:r>
      <w:r w:rsidRPr="00482CB4">
        <w:rPr>
          <w:rFonts w:ascii="Calibri" w:eastAsia="Calibri" w:hAnsi="Calibri"/>
          <w:vertAlign w:val="superscript"/>
          <w:lang w:eastAsia="en-US"/>
        </w:rPr>
        <w:t>th</w:t>
      </w:r>
      <w:r w:rsidRPr="00482CB4">
        <w:rPr>
          <w:rFonts w:ascii="Calibri" w:eastAsia="Calibri" w:hAnsi="Calibri"/>
          <w:lang w:eastAsia="en-US"/>
        </w:rPr>
        <w:t xml:space="preserve"> and the 18</w:t>
      </w:r>
      <w:r w:rsidRPr="00482CB4">
        <w:rPr>
          <w:rFonts w:ascii="Calibri" w:eastAsia="Calibri" w:hAnsi="Calibri"/>
          <w:vertAlign w:val="superscript"/>
          <w:lang w:eastAsia="en-US"/>
        </w:rPr>
        <w:t>th</w:t>
      </w:r>
      <w:r w:rsidR="00E47248">
        <w:rPr>
          <w:rFonts w:ascii="Calibri" w:eastAsia="Calibri" w:hAnsi="Calibri"/>
          <w:lang w:eastAsia="en-US"/>
        </w:rPr>
        <w:t xml:space="preserve"> of March of 2013.</w:t>
      </w:r>
    </w:p>
    <w:p w14:paraId="0C3F7F91" w14:textId="77777777" w:rsidR="00500FCF" w:rsidRPr="00500FCF" w:rsidRDefault="00500FCF" w:rsidP="00500FCF">
      <w:pPr>
        <w:pStyle w:val="Heading3"/>
        <w:numPr>
          <w:ilvl w:val="2"/>
          <w:numId w:val="3"/>
        </w:numPr>
      </w:pPr>
      <w:bookmarkStart w:id="69" w:name="_Toc427831207"/>
      <w:bookmarkStart w:id="70" w:name="_Toc428793337"/>
      <w:bookmarkStart w:id="71" w:name="_Toc428851331"/>
      <w:bookmarkStart w:id="72" w:name="_Toc434207990"/>
      <w:r w:rsidRPr="00500FCF">
        <w:t>Mackay-Whitsundays NRM: Pioneer River</w:t>
      </w:r>
      <w:bookmarkEnd w:id="69"/>
      <w:bookmarkEnd w:id="70"/>
      <w:bookmarkEnd w:id="71"/>
      <w:bookmarkEnd w:id="72"/>
    </w:p>
    <w:p w14:paraId="0C3F7F92" w14:textId="77777777" w:rsidR="00B62B50" w:rsidRDefault="00500FCF" w:rsidP="00330E11">
      <w:pPr>
        <w:pStyle w:val="Caption"/>
        <w:sectPr w:rsidR="00B62B50" w:rsidSect="00571B6D">
          <w:headerReference w:type="default" r:id="rId46"/>
          <w:footerReference w:type="default" r:id="rId47"/>
          <w:pgSz w:w="11907" w:h="16840" w:code="9"/>
          <w:pgMar w:top="1440" w:right="1440" w:bottom="1440" w:left="1440" w:header="680" w:footer="851" w:gutter="0"/>
          <w:cols w:space="708"/>
          <w:docGrid w:linePitch="326"/>
        </w:sectPr>
      </w:pPr>
      <w:r w:rsidRPr="00482CB4">
        <w:rPr>
          <w:rFonts w:eastAsia="Calibri"/>
        </w:rPr>
        <w:t>High flow periods were observed in the Mackay-Whitsundays and the to</w:t>
      </w:r>
      <w:r w:rsidR="004B2104">
        <w:rPr>
          <w:rFonts w:eastAsia="Calibri"/>
        </w:rPr>
        <w:t>tal hydrological year flow (ca.</w:t>
      </w:r>
      <w:r w:rsidRPr="00482CB4">
        <w:rPr>
          <w:rFonts w:eastAsia="Calibri"/>
        </w:rPr>
        <w:t xml:space="preserve"> from Oct, 1</w:t>
      </w:r>
      <w:r w:rsidRPr="00482CB4">
        <w:rPr>
          <w:rFonts w:eastAsia="Calibri"/>
          <w:vertAlign w:val="superscript"/>
        </w:rPr>
        <w:t>st</w:t>
      </w:r>
      <w:r w:rsidRPr="00482CB4">
        <w:rPr>
          <w:rFonts w:eastAsia="Calibri"/>
        </w:rPr>
        <w:t xml:space="preserve"> to Sep, 30</w:t>
      </w:r>
      <w:r w:rsidRPr="00482CB4">
        <w:rPr>
          <w:rFonts w:eastAsia="Calibri"/>
          <w:vertAlign w:val="superscript"/>
        </w:rPr>
        <w:t>th</w:t>
      </w:r>
      <w:r w:rsidRPr="00482CB4">
        <w:rPr>
          <w:rFonts w:eastAsia="Calibri"/>
        </w:rPr>
        <w:t>) for 2012-2013 exceeded &gt;2 folds the long-term median discharge (</w:t>
      </w:r>
      <w:r>
        <w:rPr>
          <w:rFonts w:eastAsia="Calibri"/>
        </w:rPr>
        <w:fldChar w:fldCharType="begin"/>
      </w:r>
      <w:r>
        <w:rPr>
          <w:rFonts w:eastAsia="Calibri"/>
        </w:rPr>
        <w:instrText xml:space="preserve"> REF _Ref428870999 \h </w:instrText>
      </w:r>
      <w:r>
        <w:rPr>
          <w:rFonts w:eastAsia="Calibri"/>
        </w:rPr>
      </w:r>
      <w:r>
        <w:rPr>
          <w:rFonts w:eastAsia="Calibri"/>
        </w:rPr>
        <w:fldChar w:fldCharType="separate"/>
      </w:r>
    </w:p>
    <w:p w14:paraId="0C3F7F93" w14:textId="77777777" w:rsidR="00500FCF" w:rsidRPr="00482CB4" w:rsidRDefault="00B62B50" w:rsidP="00500FCF">
      <w:pPr>
        <w:rPr>
          <w:rFonts w:ascii="Calibri" w:eastAsia="Calibri" w:hAnsi="Calibri" w:cs="Times New Roman"/>
          <w:lang w:eastAsia="en-US"/>
        </w:rPr>
      </w:pPr>
      <w:r w:rsidRPr="00330E11">
        <w:rPr>
          <w:sz w:val="20"/>
          <w:szCs w:val="20"/>
        </w:rPr>
        <w:t xml:space="preserve">Table </w:t>
      </w:r>
      <w:r>
        <w:rPr>
          <w:noProof/>
          <w:sz w:val="20"/>
          <w:szCs w:val="20"/>
        </w:rPr>
        <w:t>3</w:t>
      </w:r>
      <w:r>
        <w:rPr>
          <w:sz w:val="20"/>
          <w:szCs w:val="20"/>
        </w:rPr>
        <w:noBreakHyphen/>
      </w:r>
      <w:r>
        <w:rPr>
          <w:noProof/>
          <w:sz w:val="20"/>
          <w:szCs w:val="20"/>
        </w:rPr>
        <w:t>1</w:t>
      </w:r>
      <w:r w:rsidR="00500FCF">
        <w:rPr>
          <w:rFonts w:ascii="Calibri" w:eastAsia="Calibri" w:hAnsi="Calibri" w:cs="Times New Roman"/>
          <w:lang w:eastAsia="en-US"/>
        </w:rPr>
        <w:fldChar w:fldCharType="end"/>
      </w:r>
      <w:r w:rsidR="00500FCF" w:rsidRPr="00482CB4">
        <w:rPr>
          <w:rFonts w:ascii="Calibri" w:eastAsia="Calibri" w:hAnsi="Calibri" w:cs="Times New Roman"/>
          <w:lang w:eastAsia="en-US"/>
        </w:rPr>
        <w:t>). Maximum peak discharges of 60,197 ML day</w:t>
      </w:r>
      <w:r w:rsidR="00500FCF" w:rsidRPr="00482CB4">
        <w:rPr>
          <w:rFonts w:ascii="Calibri" w:eastAsia="Calibri" w:hAnsi="Calibri" w:cs="Times New Roman"/>
          <w:vertAlign w:val="superscript"/>
          <w:lang w:eastAsia="en-US"/>
        </w:rPr>
        <w:t>-1</w:t>
      </w:r>
      <w:r w:rsidR="00500FCF" w:rsidRPr="00482CB4">
        <w:rPr>
          <w:rFonts w:ascii="Calibri" w:eastAsia="Calibri" w:hAnsi="Calibri" w:cs="Times New Roman"/>
          <w:lang w:eastAsia="en-US"/>
        </w:rPr>
        <w:t xml:space="preserve"> and 106,788 ML day</w:t>
      </w:r>
      <w:r w:rsidR="00500FCF" w:rsidRPr="00482CB4">
        <w:rPr>
          <w:rFonts w:ascii="Calibri" w:eastAsia="Calibri" w:hAnsi="Calibri" w:cs="Times New Roman"/>
          <w:vertAlign w:val="superscript"/>
          <w:lang w:eastAsia="en-US"/>
        </w:rPr>
        <w:t>-1</w:t>
      </w:r>
      <w:r w:rsidR="00500FCF" w:rsidRPr="00482CB4">
        <w:rPr>
          <w:rFonts w:ascii="Calibri" w:eastAsia="Calibri" w:hAnsi="Calibri" w:cs="Times New Roman"/>
          <w:lang w:eastAsia="en-US"/>
        </w:rPr>
        <w:t xml:space="preserve"> were recorded the 25</w:t>
      </w:r>
      <w:r w:rsidR="00500FCF" w:rsidRPr="00482CB4">
        <w:rPr>
          <w:rFonts w:ascii="Calibri" w:eastAsia="Calibri" w:hAnsi="Calibri" w:cs="Times New Roman"/>
          <w:vertAlign w:val="superscript"/>
          <w:lang w:eastAsia="en-US"/>
        </w:rPr>
        <w:t>th</w:t>
      </w:r>
      <w:r w:rsidR="00500FCF" w:rsidRPr="00482CB4">
        <w:rPr>
          <w:rFonts w:ascii="Calibri" w:eastAsia="Calibri" w:hAnsi="Calibri" w:cs="Times New Roman"/>
          <w:lang w:eastAsia="en-US"/>
        </w:rPr>
        <w:t xml:space="preserve"> of January and </w:t>
      </w:r>
      <w:r w:rsidR="00F46A03">
        <w:rPr>
          <w:rFonts w:ascii="Calibri" w:eastAsia="Calibri" w:hAnsi="Calibri" w:cs="Times New Roman"/>
          <w:lang w:eastAsia="en-US"/>
        </w:rPr>
        <w:t xml:space="preserve">the </w:t>
      </w:r>
      <w:r w:rsidR="00500FCF" w:rsidRPr="00482CB4">
        <w:rPr>
          <w:rFonts w:ascii="Calibri" w:eastAsia="Calibri" w:hAnsi="Calibri" w:cs="Times New Roman"/>
          <w:lang w:eastAsia="en-US"/>
        </w:rPr>
        <w:t>6</w:t>
      </w:r>
      <w:r w:rsidR="00500FCF" w:rsidRPr="00482CB4">
        <w:rPr>
          <w:rFonts w:ascii="Calibri" w:eastAsia="Calibri" w:hAnsi="Calibri" w:cs="Times New Roman"/>
          <w:vertAlign w:val="superscript"/>
          <w:lang w:eastAsia="en-US"/>
        </w:rPr>
        <w:t>th</w:t>
      </w:r>
      <w:r w:rsidR="00500FCF" w:rsidRPr="00482CB4">
        <w:rPr>
          <w:rFonts w:ascii="Calibri" w:eastAsia="Calibri" w:hAnsi="Calibri" w:cs="Times New Roman"/>
          <w:lang w:eastAsia="en-US"/>
        </w:rPr>
        <w:t xml:space="preserve"> of March 2013, respectively. Between the 30</w:t>
      </w:r>
      <w:r w:rsidR="00500FCF" w:rsidRPr="00482CB4">
        <w:rPr>
          <w:rFonts w:ascii="Calibri" w:eastAsia="Calibri" w:hAnsi="Calibri" w:cs="Times New Roman"/>
          <w:vertAlign w:val="superscript"/>
          <w:lang w:eastAsia="en-US"/>
        </w:rPr>
        <w:t>th</w:t>
      </w:r>
      <w:r w:rsidR="00500FCF" w:rsidRPr="00482CB4">
        <w:rPr>
          <w:rFonts w:ascii="Calibri" w:eastAsia="Calibri" w:hAnsi="Calibri" w:cs="Times New Roman"/>
          <w:lang w:eastAsia="en-US"/>
        </w:rPr>
        <w:t xml:space="preserve"> and the 16</w:t>
      </w:r>
      <w:r w:rsidR="00500FCF" w:rsidRPr="00482CB4">
        <w:rPr>
          <w:rFonts w:ascii="Calibri" w:eastAsia="Calibri" w:hAnsi="Calibri" w:cs="Times New Roman"/>
          <w:vertAlign w:val="superscript"/>
          <w:lang w:eastAsia="en-US"/>
        </w:rPr>
        <w:t>th</w:t>
      </w:r>
      <w:r w:rsidR="00500FCF" w:rsidRPr="00482CB4">
        <w:rPr>
          <w:rFonts w:ascii="Calibri" w:eastAsia="Calibri" w:hAnsi="Calibri" w:cs="Times New Roman"/>
          <w:lang w:eastAsia="en-US"/>
        </w:rPr>
        <w:t xml:space="preserve"> of March, the turbid Primary plume waters mapped were mainly constrained close to the coast (Appendix </w:t>
      </w:r>
      <w:r w:rsidR="00E47248">
        <w:rPr>
          <w:rFonts w:ascii="Calibri" w:eastAsia="Calibri" w:hAnsi="Calibri" w:cs="Times New Roman"/>
          <w:lang w:eastAsia="en-US"/>
        </w:rPr>
        <w:t>A</w:t>
      </w:r>
      <w:r w:rsidR="00500FCF" w:rsidRPr="00482CB4">
        <w:rPr>
          <w:rFonts w:ascii="Calibri" w:eastAsia="Calibri" w:hAnsi="Calibri" w:cs="Times New Roman"/>
          <w:lang w:eastAsia="en-US"/>
        </w:rPr>
        <w:t xml:space="preserve"> and</w:t>
      </w:r>
      <w:r w:rsidR="00500FCF">
        <w:rPr>
          <w:rFonts w:ascii="Calibri" w:eastAsia="Calibri" w:hAnsi="Calibri" w:cs="Times New Roman"/>
          <w:lang w:eastAsia="en-US"/>
        </w:rPr>
        <w:t xml:space="preserve"> </w:t>
      </w:r>
      <w:r w:rsidR="00500FCF">
        <w:rPr>
          <w:rFonts w:ascii="Calibri" w:eastAsia="Calibri" w:hAnsi="Calibri" w:cs="Times New Roman"/>
          <w:lang w:eastAsia="en-US"/>
        </w:rPr>
        <w:fldChar w:fldCharType="begin"/>
      </w:r>
      <w:r w:rsidR="00500FCF">
        <w:rPr>
          <w:rFonts w:ascii="Calibri" w:eastAsia="Calibri" w:hAnsi="Calibri" w:cs="Times New Roman"/>
          <w:lang w:eastAsia="en-US"/>
        </w:rPr>
        <w:instrText xml:space="preserve"> REF _Ref428852894 \h </w:instrText>
      </w:r>
      <w:r w:rsidR="00500FCF">
        <w:rPr>
          <w:rFonts w:ascii="Calibri" w:eastAsia="Calibri" w:hAnsi="Calibri" w:cs="Times New Roman"/>
          <w:lang w:eastAsia="en-US"/>
        </w:rPr>
      </w:r>
      <w:r w:rsidR="00500FCF">
        <w:rPr>
          <w:rFonts w:ascii="Calibri" w:eastAsia="Calibri" w:hAnsi="Calibri" w:cs="Times New Roman"/>
          <w:lang w:eastAsia="en-US"/>
        </w:rPr>
        <w:fldChar w:fldCharType="separate"/>
      </w:r>
      <w:r w:rsidRPr="00482CB4">
        <w:rPr>
          <w:rFonts w:eastAsia="Calibri"/>
        </w:rPr>
        <w:t xml:space="preserve">Figure </w:t>
      </w:r>
      <w:r>
        <w:rPr>
          <w:rFonts w:eastAsia="Calibri"/>
          <w:noProof/>
        </w:rPr>
        <w:t>3</w:t>
      </w:r>
      <w:r>
        <w:rPr>
          <w:rFonts w:eastAsia="Calibri"/>
        </w:rPr>
        <w:noBreakHyphen/>
      </w:r>
      <w:r>
        <w:rPr>
          <w:rFonts w:eastAsia="Calibri"/>
          <w:noProof/>
        </w:rPr>
        <w:t>6</w:t>
      </w:r>
      <w:r w:rsidR="00500FCF">
        <w:rPr>
          <w:rFonts w:ascii="Calibri" w:eastAsia="Calibri" w:hAnsi="Calibri" w:cs="Times New Roman"/>
          <w:lang w:eastAsia="en-US"/>
        </w:rPr>
        <w:fldChar w:fldCharType="end"/>
      </w:r>
      <w:r w:rsidR="00500FCF" w:rsidRPr="00482CB4">
        <w:rPr>
          <w:rFonts w:ascii="Calibri" w:eastAsia="Calibri" w:hAnsi="Calibri" w:cs="Times New Roman"/>
          <w:lang w:eastAsia="en-US"/>
        </w:rPr>
        <w:t xml:space="preserve">). </w:t>
      </w:r>
      <w:r w:rsidR="00F46A03" w:rsidRPr="00482CB4">
        <w:rPr>
          <w:rFonts w:ascii="Calibri" w:eastAsia="Calibri" w:hAnsi="Calibri" w:cs="Times New Roman"/>
          <w:lang w:eastAsia="en-US"/>
        </w:rPr>
        <w:t>However,</w:t>
      </w:r>
      <w:r w:rsidR="00500FCF" w:rsidRPr="00482CB4">
        <w:rPr>
          <w:rFonts w:ascii="Calibri" w:eastAsia="Calibri" w:hAnsi="Calibri" w:cs="Times New Roman"/>
          <w:lang w:eastAsia="en-US"/>
        </w:rPr>
        <w:t xml:space="preserve"> areas of Secondary and, to a lesser extent, Tertiary water types, were observed offshore of the Pioneer river mouth (up to 70 km for the Secondary waters and 130 km offshore for the Tertiary waters on the 7</w:t>
      </w:r>
      <w:r w:rsidR="00500FCF" w:rsidRPr="00482CB4">
        <w:rPr>
          <w:rFonts w:ascii="Calibri" w:eastAsia="Calibri" w:hAnsi="Calibri" w:cs="Times New Roman"/>
          <w:vertAlign w:val="superscript"/>
          <w:lang w:eastAsia="en-US"/>
        </w:rPr>
        <w:t>th</w:t>
      </w:r>
      <w:r w:rsidR="00500FCF" w:rsidRPr="00482CB4">
        <w:rPr>
          <w:rFonts w:ascii="Calibri" w:eastAsia="Calibri" w:hAnsi="Calibri" w:cs="Times New Roman"/>
          <w:lang w:eastAsia="en-US"/>
        </w:rPr>
        <w:t xml:space="preserve"> of March 2013). </w:t>
      </w:r>
    </w:p>
    <w:p w14:paraId="0C3F7F94" w14:textId="77777777" w:rsidR="00482CB4" w:rsidRPr="00482CB4" w:rsidRDefault="00482CB4" w:rsidP="00482CB4">
      <w:pPr>
        <w:rPr>
          <w:rFonts w:ascii="Calibri" w:eastAsia="Calibri" w:hAnsi="Calibri" w:cs="Times New Roman"/>
          <w:lang w:eastAsia="en-US"/>
        </w:rPr>
      </w:pPr>
      <w:r>
        <w:rPr>
          <w:rFonts w:eastAsia="Calibri"/>
          <w:noProof/>
        </w:rPr>
        <w:drawing>
          <wp:inline distT="0" distB="0" distL="0" distR="0" wp14:anchorId="0C3F8FBD" wp14:editId="0C3F8FBE">
            <wp:extent cx="5678905" cy="4458610"/>
            <wp:effectExtent l="19050" t="19050" r="17145" b="18415"/>
            <wp:docPr id="83" name="Picture 83" descr="a) True colour and b) plume waters mapped on the 27th and 29th of Jan 2013 in the Burdekin NRM using the method of Álvarez-Romero et al. (2013). Burdekin River plume waters are deflected offshore under strong western winds and reach the inner coral reefs on the 25th of January. Wind direction measured at 12:00 am is indicated with black arrows." title="a) True colour and b) plum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88172" cy="4465886"/>
                    </a:xfrm>
                    <a:prstGeom prst="rect">
                      <a:avLst/>
                    </a:prstGeom>
                    <a:noFill/>
                    <a:ln>
                      <a:solidFill>
                        <a:schemeClr val="tx1"/>
                      </a:solidFill>
                    </a:ln>
                  </pic:spPr>
                </pic:pic>
              </a:graphicData>
            </a:graphic>
          </wp:inline>
        </w:drawing>
      </w:r>
    </w:p>
    <w:p w14:paraId="0C3F7F95" w14:textId="77777777" w:rsidR="00482CB4" w:rsidRPr="00482CB4" w:rsidRDefault="00482CB4" w:rsidP="00500FCF">
      <w:pPr>
        <w:pStyle w:val="Caption"/>
        <w:rPr>
          <w:rFonts w:eastAsia="Calibri"/>
        </w:rPr>
      </w:pPr>
      <w:bookmarkStart w:id="73" w:name="_Ref428852632"/>
      <w:bookmarkStart w:id="74" w:name="_Toc427833275"/>
      <w:bookmarkStart w:id="75" w:name="_Toc434208025"/>
      <w:r w:rsidRPr="00482CB4">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3</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4</w:t>
      </w:r>
      <w:r w:rsidR="00D243CD">
        <w:rPr>
          <w:rFonts w:eastAsia="Calibri"/>
        </w:rPr>
        <w:fldChar w:fldCharType="end"/>
      </w:r>
      <w:bookmarkEnd w:id="73"/>
      <w:r w:rsidRPr="00482CB4">
        <w:rPr>
          <w:rFonts w:eastAsia="Calibri"/>
        </w:rPr>
        <w:t xml:space="preserve">: a) True </w:t>
      </w:r>
      <w:r w:rsidR="00593896" w:rsidRPr="00482CB4">
        <w:rPr>
          <w:rFonts w:eastAsia="Calibri"/>
        </w:rPr>
        <w:t>colour</w:t>
      </w:r>
      <w:r w:rsidRPr="00482CB4">
        <w:rPr>
          <w:rFonts w:eastAsia="Calibri"/>
        </w:rPr>
        <w:t xml:space="preserve"> and b) plume waters mapped on the 27</w:t>
      </w:r>
      <w:r w:rsidRPr="00482CB4">
        <w:rPr>
          <w:rFonts w:eastAsia="Calibri"/>
          <w:vertAlign w:val="superscript"/>
        </w:rPr>
        <w:t>th</w:t>
      </w:r>
      <w:r w:rsidRPr="00482CB4">
        <w:rPr>
          <w:rFonts w:eastAsia="Calibri"/>
        </w:rPr>
        <w:t xml:space="preserve"> and 29</w:t>
      </w:r>
      <w:r w:rsidRPr="00482CB4">
        <w:rPr>
          <w:rFonts w:eastAsia="Calibri"/>
          <w:vertAlign w:val="superscript"/>
        </w:rPr>
        <w:t>th</w:t>
      </w:r>
      <w:r w:rsidRPr="00482CB4">
        <w:rPr>
          <w:rFonts w:eastAsia="Calibri"/>
        </w:rPr>
        <w:t xml:space="preserve"> of Jan 2013 in the Burdekin NRM using the method of Álvarez-Romero et al. (2013). Burdekin River plume waters are deflected offshore under strong western winds and reach the inner coral reefs on the 25</w:t>
      </w:r>
      <w:r w:rsidRPr="00482CB4">
        <w:rPr>
          <w:rFonts w:eastAsia="Calibri"/>
          <w:vertAlign w:val="superscript"/>
        </w:rPr>
        <w:t>th</w:t>
      </w:r>
      <w:r w:rsidRPr="00482CB4">
        <w:rPr>
          <w:rFonts w:eastAsia="Calibri"/>
        </w:rPr>
        <w:t xml:space="preserve"> of January. Wind direction measured at 12:00 am is indicated with black arrows.</w:t>
      </w:r>
      <w:bookmarkEnd w:id="74"/>
      <w:bookmarkEnd w:id="75"/>
    </w:p>
    <w:p w14:paraId="0C3F7F96" w14:textId="77777777" w:rsidR="00482CB4" w:rsidRPr="00482CB4" w:rsidRDefault="00482CB4" w:rsidP="00482CB4">
      <w:pPr>
        <w:rPr>
          <w:rFonts w:ascii="Calibri" w:eastAsia="Calibri" w:hAnsi="Calibri" w:cs="Times New Roman"/>
          <w:lang w:eastAsia="en-US"/>
        </w:rPr>
      </w:pPr>
      <w:r w:rsidRPr="00DF1C49">
        <w:rPr>
          <w:rFonts w:eastAsia="Calibri"/>
          <w:noProof/>
        </w:rPr>
        <w:drawing>
          <wp:inline distT="0" distB="0" distL="0" distR="0" wp14:anchorId="0C3F8FBF" wp14:editId="0C3F8FC0">
            <wp:extent cx="4837635" cy="6954253"/>
            <wp:effectExtent l="19050" t="19050" r="20320" b="18415"/>
            <wp:docPr id="84" name="Picture 84" descr="True colour (a and c) and plume waters (b and d) mapped from the 30th of January to the 01th of February and from the 2nd to the 4th of February in the Burdekin NRM using the method of Álvarez-Romero et al. (2013). Wind direction measured at 12:00 am is indicated with black arrows." title="True colour (a and c) and plume waters (b and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850079" cy="6972142"/>
                    </a:xfrm>
                    <a:prstGeom prst="rect">
                      <a:avLst/>
                    </a:prstGeom>
                    <a:solidFill>
                      <a:sysClr val="window" lastClr="FFFFFF"/>
                    </a:solidFill>
                    <a:ln>
                      <a:solidFill>
                        <a:schemeClr val="tx1"/>
                      </a:solidFill>
                    </a:ln>
                  </pic:spPr>
                </pic:pic>
              </a:graphicData>
            </a:graphic>
          </wp:inline>
        </w:drawing>
      </w:r>
    </w:p>
    <w:p w14:paraId="0C3F7F97" w14:textId="77777777" w:rsidR="00482CB4" w:rsidRPr="00482CB4" w:rsidRDefault="00482CB4" w:rsidP="00500FCF">
      <w:pPr>
        <w:pStyle w:val="Caption"/>
        <w:rPr>
          <w:rFonts w:eastAsia="Calibri"/>
        </w:rPr>
      </w:pPr>
      <w:bookmarkStart w:id="76" w:name="_Ref428852892"/>
      <w:bookmarkStart w:id="77" w:name="_Toc427833276"/>
      <w:bookmarkStart w:id="78" w:name="_Toc434208026"/>
      <w:r w:rsidRPr="00482CB4">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3</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5</w:t>
      </w:r>
      <w:r w:rsidR="00D243CD">
        <w:rPr>
          <w:rFonts w:eastAsia="Calibri"/>
        </w:rPr>
        <w:fldChar w:fldCharType="end"/>
      </w:r>
      <w:bookmarkEnd w:id="76"/>
      <w:r w:rsidRPr="00482CB4">
        <w:rPr>
          <w:rFonts w:eastAsia="Calibri"/>
        </w:rPr>
        <w:t xml:space="preserve">: True </w:t>
      </w:r>
      <w:r w:rsidR="00593896" w:rsidRPr="00482CB4">
        <w:rPr>
          <w:rFonts w:eastAsia="Calibri"/>
        </w:rPr>
        <w:t>colour</w:t>
      </w:r>
      <w:r w:rsidRPr="00482CB4">
        <w:rPr>
          <w:rFonts w:eastAsia="Calibri"/>
        </w:rPr>
        <w:t xml:space="preserve"> </w:t>
      </w:r>
      <w:r w:rsidR="00500FCF">
        <w:rPr>
          <w:rFonts w:eastAsia="Calibri"/>
        </w:rPr>
        <w:t>(a and c) and</w:t>
      </w:r>
      <w:r w:rsidRPr="00482CB4">
        <w:rPr>
          <w:rFonts w:eastAsia="Calibri"/>
        </w:rPr>
        <w:t xml:space="preserve"> plume waters</w:t>
      </w:r>
      <w:r w:rsidR="00500FCF">
        <w:rPr>
          <w:rFonts w:eastAsia="Calibri"/>
        </w:rPr>
        <w:t xml:space="preserve"> (b and d)</w:t>
      </w:r>
      <w:r w:rsidRPr="00482CB4">
        <w:rPr>
          <w:rFonts w:eastAsia="Calibri"/>
        </w:rPr>
        <w:t xml:space="preserve"> mapped from the 30th of January to the 01th of February and from the 2</w:t>
      </w:r>
      <w:r w:rsidRPr="00482CB4">
        <w:rPr>
          <w:rFonts w:eastAsia="Calibri"/>
          <w:vertAlign w:val="superscript"/>
        </w:rPr>
        <w:t>nd</w:t>
      </w:r>
      <w:r w:rsidRPr="00482CB4">
        <w:rPr>
          <w:rFonts w:eastAsia="Calibri"/>
        </w:rPr>
        <w:t xml:space="preserve"> to the 4</w:t>
      </w:r>
      <w:r w:rsidRPr="00482CB4">
        <w:rPr>
          <w:rFonts w:eastAsia="Calibri"/>
          <w:vertAlign w:val="superscript"/>
        </w:rPr>
        <w:t>th</w:t>
      </w:r>
      <w:r w:rsidRPr="00482CB4">
        <w:rPr>
          <w:rFonts w:eastAsia="Calibri"/>
        </w:rPr>
        <w:t xml:space="preserve"> of February in the Burdekin NRM using the method of Álvarez-Romero et al. (2013). Wind direction measured at 12:00 am is indicated with black arrows.</w:t>
      </w:r>
      <w:bookmarkEnd w:id="77"/>
      <w:bookmarkEnd w:id="78"/>
    </w:p>
    <w:p w14:paraId="0C3F7F98" w14:textId="77777777" w:rsidR="00482CB4" w:rsidRPr="00482CB4" w:rsidRDefault="00482CB4" w:rsidP="00482CB4">
      <w:pPr>
        <w:rPr>
          <w:rFonts w:ascii="Calibri" w:eastAsia="Calibri" w:hAnsi="Calibri" w:cs="Times New Roman"/>
          <w:lang w:eastAsia="en-US"/>
        </w:rPr>
      </w:pPr>
      <w:r w:rsidRPr="00DF1C49">
        <w:rPr>
          <w:rFonts w:eastAsia="Calibri"/>
          <w:noProof/>
        </w:rPr>
        <w:drawing>
          <wp:inline distT="0" distB="0" distL="0" distR="0" wp14:anchorId="0C3F8FC1" wp14:editId="0C3F8FC2">
            <wp:extent cx="5329624" cy="6725653"/>
            <wp:effectExtent l="19050" t="19050" r="23495" b="18415"/>
            <wp:docPr id="85" name="Picture 85" descr="a) True colour and b) plume waters mapped from the 7th of March to the 16th of March 2013 in the Mackay Whitsundays NRM using the method of Álvarez-Romero et al. (2013).. Wind direction measured at 12:00 am is indicated with black arrows." title="a) True colour and b) plum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339022" cy="6737512"/>
                    </a:xfrm>
                    <a:prstGeom prst="rect">
                      <a:avLst/>
                    </a:prstGeom>
                    <a:solidFill>
                      <a:sysClr val="window" lastClr="FFFFFF"/>
                    </a:solidFill>
                    <a:ln>
                      <a:solidFill>
                        <a:schemeClr val="tx1"/>
                      </a:solidFill>
                    </a:ln>
                  </pic:spPr>
                </pic:pic>
              </a:graphicData>
            </a:graphic>
          </wp:inline>
        </w:drawing>
      </w:r>
    </w:p>
    <w:p w14:paraId="0C3F7F99" w14:textId="77777777" w:rsidR="00482CB4" w:rsidRPr="00482CB4" w:rsidRDefault="00482CB4" w:rsidP="00500FCF">
      <w:pPr>
        <w:pStyle w:val="Caption"/>
        <w:rPr>
          <w:rFonts w:eastAsia="Calibri"/>
        </w:rPr>
      </w:pPr>
      <w:bookmarkStart w:id="79" w:name="_Ref428852894"/>
      <w:bookmarkStart w:id="80" w:name="_Toc427833277"/>
      <w:bookmarkStart w:id="81" w:name="_Toc434208027"/>
      <w:r w:rsidRPr="00482CB4">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3</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6</w:t>
      </w:r>
      <w:r w:rsidR="00D243CD">
        <w:rPr>
          <w:rFonts w:eastAsia="Calibri"/>
        </w:rPr>
        <w:fldChar w:fldCharType="end"/>
      </w:r>
      <w:bookmarkEnd w:id="79"/>
      <w:r w:rsidRPr="00482CB4">
        <w:rPr>
          <w:rFonts w:eastAsia="Calibri"/>
        </w:rPr>
        <w:t xml:space="preserve">: a) True </w:t>
      </w:r>
      <w:r w:rsidR="00593896" w:rsidRPr="00482CB4">
        <w:rPr>
          <w:rFonts w:eastAsia="Calibri"/>
        </w:rPr>
        <w:t>colour</w:t>
      </w:r>
      <w:r w:rsidRPr="00482CB4">
        <w:rPr>
          <w:rFonts w:eastAsia="Calibri"/>
        </w:rPr>
        <w:t xml:space="preserve"> and b) plume waters mapped from the 7th of March to the 16th of March 2013 in the Mackay Whitsundays NRM using the method of Álvarez-Romero et al. (2013).. Wind direction measured at 12:00 am is indicated with black arrows.</w:t>
      </w:r>
      <w:bookmarkEnd w:id="80"/>
      <w:bookmarkEnd w:id="81"/>
    </w:p>
    <w:p w14:paraId="0C3F7F9A" w14:textId="77777777" w:rsidR="00482CB4" w:rsidRPr="00500FCF" w:rsidRDefault="00482CB4" w:rsidP="00482CB4">
      <w:pPr>
        <w:rPr>
          <w:rFonts w:eastAsia="Calibri"/>
        </w:rPr>
      </w:pPr>
      <w:r w:rsidRPr="00500FCF">
        <w:rPr>
          <w:rFonts w:eastAsia="Calibri"/>
        </w:rPr>
        <w:t>Furthermore, on true colour images of</w:t>
      </w:r>
      <w:r w:rsidR="00E47248">
        <w:rPr>
          <w:rFonts w:eastAsia="Calibri"/>
        </w:rPr>
        <w:t xml:space="preserve"> the 7th to 16th of March 2013 (Figure 3-6), s</w:t>
      </w:r>
      <w:r w:rsidRPr="00500FCF">
        <w:rPr>
          <w:rFonts w:eastAsia="Calibri"/>
        </w:rPr>
        <w:t>econdary plume waters located north of the Pioneer River mouth deflected toward the south from their northern, Coriolis-induced, motion. This was particularly well illustrated the 16th of March 2013 (</w:t>
      </w:r>
      <w:r w:rsidRPr="00500FCF">
        <w:rPr>
          <w:rFonts w:eastAsia="Calibri"/>
        </w:rPr>
        <w:fldChar w:fldCharType="begin"/>
      </w:r>
      <w:r w:rsidRPr="00500FCF">
        <w:rPr>
          <w:rFonts w:eastAsia="Calibri"/>
        </w:rPr>
        <w:instrText xml:space="preserve"> REF _Ref428852947 \h  \* MERGEFORMAT </w:instrText>
      </w:r>
      <w:r w:rsidRPr="00500FCF">
        <w:rPr>
          <w:rFonts w:eastAsia="Calibri"/>
        </w:rPr>
      </w:r>
      <w:r w:rsidRPr="00500FCF">
        <w:rPr>
          <w:rFonts w:eastAsia="Calibri"/>
        </w:rPr>
        <w:fldChar w:fldCharType="separate"/>
      </w:r>
      <w:r w:rsidR="00B62B50" w:rsidRPr="00482CB4">
        <w:rPr>
          <w:rFonts w:eastAsia="Calibri"/>
        </w:rPr>
        <w:t xml:space="preserve">Figure </w:t>
      </w:r>
      <w:r w:rsidR="00B62B50">
        <w:rPr>
          <w:rFonts w:eastAsia="Calibri"/>
        </w:rPr>
        <w:t>3</w:t>
      </w:r>
      <w:r w:rsidR="00B62B50">
        <w:rPr>
          <w:rFonts w:eastAsia="Calibri"/>
        </w:rPr>
        <w:noBreakHyphen/>
        <w:t>7</w:t>
      </w:r>
      <w:r w:rsidRPr="00500FCF">
        <w:rPr>
          <w:rFonts w:eastAsia="Calibri"/>
        </w:rPr>
        <w:fldChar w:fldCharType="end"/>
      </w:r>
      <w:r w:rsidRPr="00500FCF">
        <w:rPr>
          <w:rFonts w:eastAsia="Calibri"/>
        </w:rPr>
        <w:t>a) when a tongue of Secondary waters, flowing toward the south as a counter current to the coastal Primary plume waters (</w:t>
      </w:r>
      <w:r w:rsidRPr="00500FCF">
        <w:rPr>
          <w:rFonts w:eastAsia="Calibri"/>
        </w:rPr>
        <w:fldChar w:fldCharType="begin"/>
      </w:r>
      <w:r w:rsidRPr="00500FCF">
        <w:rPr>
          <w:rFonts w:eastAsia="Calibri"/>
        </w:rPr>
        <w:instrText xml:space="preserve"> REF _Ref428852947 \h  \* MERGEFORMAT </w:instrText>
      </w:r>
      <w:r w:rsidRPr="00500FCF">
        <w:rPr>
          <w:rFonts w:eastAsia="Calibri"/>
        </w:rPr>
      </w:r>
      <w:r w:rsidRPr="00500FCF">
        <w:rPr>
          <w:rFonts w:eastAsia="Calibri"/>
        </w:rPr>
        <w:fldChar w:fldCharType="separate"/>
      </w:r>
      <w:r w:rsidR="00B62B50" w:rsidRPr="00482CB4">
        <w:rPr>
          <w:rFonts w:eastAsia="Calibri"/>
        </w:rPr>
        <w:t xml:space="preserve">Figure </w:t>
      </w:r>
      <w:r w:rsidR="00B62B50">
        <w:rPr>
          <w:rFonts w:eastAsia="Calibri"/>
        </w:rPr>
        <w:t>3</w:t>
      </w:r>
      <w:r w:rsidR="00B62B50">
        <w:rPr>
          <w:rFonts w:eastAsia="Calibri"/>
        </w:rPr>
        <w:noBreakHyphen/>
        <w:t>7</w:t>
      </w:r>
      <w:r w:rsidRPr="00500FCF">
        <w:rPr>
          <w:rFonts w:eastAsia="Calibri"/>
        </w:rPr>
        <w:fldChar w:fldCharType="end"/>
      </w:r>
      <w:r w:rsidRPr="00500FCF">
        <w:rPr>
          <w:rFonts w:eastAsia="Calibri"/>
        </w:rPr>
        <w:t>b), seems to explain the large areas of Secondary water type mapped by the TC classification method (</w:t>
      </w:r>
      <w:r w:rsidR="00E47248">
        <w:rPr>
          <w:rFonts w:eastAsia="Calibri"/>
        </w:rPr>
        <w:t>Figure 3-6</w:t>
      </w:r>
      <w:r w:rsidRPr="00500FCF">
        <w:rPr>
          <w:rFonts w:eastAsia="Calibri"/>
        </w:rPr>
        <w:t xml:space="preserve">). The presence of a southern current located offshore of the Pioneer river could be an explanation for this observed phenomenon. </w:t>
      </w:r>
    </w:p>
    <w:p w14:paraId="0C3F7F9B" w14:textId="77777777" w:rsidR="00482CB4" w:rsidRPr="00482CB4" w:rsidRDefault="00482CB4" w:rsidP="00482CB4">
      <w:pPr>
        <w:rPr>
          <w:rFonts w:ascii="Calibri" w:eastAsia="Calibri" w:hAnsi="Calibri" w:cs="Times New Roman"/>
          <w:lang w:eastAsia="en-US"/>
        </w:rPr>
      </w:pPr>
    </w:p>
    <w:p w14:paraId="0C3F7F9C" w14:textId="77777777" w:rsidR="00482CB4" w:rsidRPr="00482CB4" w:rsidRDefault="00482CB4" w:rsidP="00482CB4">
      <w:pPr>
        <w:rPr>
          <w:rFonts w:ascii="Calibri" w:eastAsia="Calibri" w:hAnsi="Calibri" w:cs="Times New Roman"/>
          <w:lang w:eastAsia="en-US"/>
        </w:rPr>
      </w:pPr>
      <w:r w:rsidRPr="00DF1C49">
        <w:rPr>
          <w:rFonts w:eastAsia="Calibri"/>
          <w:noProof/>
        </w:rPr>
        <w:drawing>
          <wp:inline distT="0" distB="0" distL="0" distR="0" wp14:anchorId="0C3F8FC3" wp14:editId="0C3F8FC4">
            <wp:extent cx="5724000" cy="4616171"/>
            <wp:effectExtent l="19050" t="19050" r="10160" b="13335"/>
            <wp:docPr id="86" name="Picture 86" descr="MODIS true colour image of the 16th of March 2013 showing waters from the Pioneer River deflected toward the south from their northern Coriolis-induced movement." title="MODIS true colour image of the 16th of March 2013 showing waters from the Pioneer River deflected toward the south from their northern Coriolis-induced mov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24000" cy="4616171"/>
                    </a:xfrm>
                    <a:prstGeom prst="rect">
                      <a:avLst/>
                    </a:prstGeom>
                    <a:solidFill>
                      <a:sysClr val="window" lastClr="FFFFFF"/>
                    </a:solidFill>
                    <a:ln>
                      <a:solidFill>
                        <a:schemeClr val="tx1"/>
                      </a:solidFill>
                    </a:ln>
                  </pic:spPr>
                </pic:pic>
              </a:graphicData>
            </a:graphic>
          </wp:inline>
        </w:drawing>
      </w:r>
    </w:p>
    <w:p w14:paraId="0C3F7F9D" w14:textId="77777777" w:rsidR="00482CB4" w:rsidRPr="00482CB4" w:rsidRDefault="00482CB4" w:rsidP="00500FCF">
      <w:pPr>
        <w:pStyle w:val="Caption"/>
        <w:rPr>
          <w:rFonts w:eastAsia="Calibri"/>
        </w:rPr>
      </w:pPr>
      <w:bookmarkStart w:id="82" w:name="_Ref428852947"/>
      <w:bookmarkStart w:id="83" w:name="_Toc427833278"/>
      <w:bookmarkStart w:id="84" w:name="_Toc434208028"/>
      <w:r w:rsidRPr="00482CB4">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3</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7</w:t>
      </w:r>
      <w:r w:rsidR="00D243CD">
        <w:rPr>
          <w:rFonts w:eastAsia="Calibri"/>
        </w:rPr>
        <w:fldChar w:fldCharType="end"/>
      </w:r>
      <w:bookmarkEnd w:id="82"/>
      <w:r w:rsidRPr="00482CB4">
        <w:rPr>
          <w:rFonts w:eastAsia="Calibri"/>
        </w:rPr>
        <w:t>: MODIS true colour image of the 16</w:t>
      </w:r>
      <w:r w:rsidRPr="00500FCF">
        <w:rPr>
          <w:rFonts w:eastAsia="Calibri"/>
        </w:rPr>
        <w:t>th</w:t>
      </w:r>
      <w:r w:rsidRPr="00482CB4">
        <w:rPr>
          <w:rFonts w:eastAsia="Calibri"/>
        </w:rPr>
        <w:t xml:space="preserve"> of March 2013 showing waters from the Pioneer River deflected toward the south from their northern Coriolis-induced movement.</w:t>
      </w:r>
      <w:bookmarkEnd w:id="83"/>
      <w:bookmarkEnd w:id="84"/>
    </w:p>
    <w:p w14:paraId="0C3F7F9E" w14:textId="77777777" w:rsidR="00482CB4" w:rsidRPr="00482CB4" w:rsidRDefault="00482CB4" w:rsidP="00482CB4">
      <w:pPr>
        <w:rPr>
          <w:rFonts w:ascii="Cambria" w:hAnsi="Cambria" w:cs="Times New Roman"/>
          <w:bCs/>
          <w:szCs w:val="24"/>
          <w:lang w:eastAsia="en-US"/>
        </w:rPr>
      </w:pPr>
      <w:bookmarkStart w:id="85" w:name="_Toc428793338"/>
      <w:bookmarkStart w:id="86" w:name="_Toc427831208"/>
      <w:bookmarkStart w:id="87" w:name="_Toc428793339"/>
      <w:bookmarkEnd w:id="85"/>
    </w:p>
    <w:p w14:paraId="0C3F7F9F" w14:textId="77777777" w:rsidR="00482CB4" w:rsidRPr="00A65EC2" w:rsidRDefault="00482CB4" w:rsidP="00500FCF">
      <w:pPr>
        <w:pStyle w:val="Heading3"/>
        <w:numPr>
          <w:ilvl w:val="2"/>
          <w:numId w:val="3"/>
        </w:numPr>
      </w:pPr>
      <w:bookmarkStart w:id="88" w:name="_Toc427831210"/>
      <w:bookmarkStart w:id="89" w:name="_Toc428793341"/>
      <w:bookmarkStart w:id="90" w:name="_Toc428851332"/>
      <w:bookmarkStart w:id="91" w:name="_Toc434207991"/>
      <w:bookmarkEnd w:id="86"/>
      <w:bookmarkEnd w:id="87"/>
      <w:r w:rsidRPr="00A65EC2">
        <w:t>Regional differences</w:t>
      </w:r>
      <w:bookmarkEnd w:id="88"/>
      <w:bookmarkEnd w:id="89"/>
      <w:bookmarkEnd w:id="90"/>
      <w:bookmarkEnd w:id="91"/>
    </w:p>
    <w:p w14:paraId="0C3F7FA0" w14:textId="77777777" w:rsidR="00482CB4" w:rsidRPr="00482CB4" w:rsidRDefault="00482CB4" w:rsidP="00482CB4">
      <w:pPr>
        <w:rPr>
          <w:rFonts w:ascii="Calibri" w:eastAsia="Calibri" w:hAnsi="Calibri" w:cs="Times New Roman"/>
          <w:lang w:eastAsia="en-US"/>
        </w:rPr>
      </w:pPr>
      <w:r w:rsidRPr="00482CB4">
        <w:rPr>
          <w:rFonts w:ascii="Calibri" w:eastAsia="Calibri" w:hAnsi="Calibri" w:cs="Times New Roman"/>
          <w:lang w:eastAsia="en-US"/>
        </w:rPr>
        <w:t>These snapshots of river plume dynamic</w:t>
      </w:r>
      <w:r w:rsidR="00593896">
        <w:rPr>
          <w:rFonts w:ascii="Calibri" w:eastAsia="Calibri" w:hAnsi="Calibri" w:cs="Times New Roman"/>
          <w:lang w:eastAsia="en-US"/>
        </w:rPr>
        <w:t>s</w:t>
      </w:r>
      <w:r w:rsidRPr="00482CB4">
        <w:rPr>
          <w:rFonts w:ascii="Calibri" w:eastAsia="Calibri" w:hAnsi="Calibri" w:cs="Times New Roman"/>
          <w:lang w:eastAsia="en-US"/>
        </w:rPr>
        <w:t xml:space="preserve"> in each NRM during the wet season 2012-13 are in agreement with theoretical models</w:t>
      </w:r>
      <w:r w:rsidR="00FB5AAA">
        <w:rPr>
          <w:rFonts w:ascii="Calibri" w:eastAsia="Calibri" w:hAnsi="Calibri" w:cs="Times New Roman"/>
          <w:lang w:eastAsia="en-US"/>
        </w:rPr>
        <w:t xml:space="preserve"> </w:t>
      </w:r>
      <w:r w:rsidR="00FB5AAA">
        <w:rPr>
          <w:rFonts w:ascii="Calibri" w:eastAsia="Calibri" w:hAnsi="Calibri" w:cs="Times New Roman"/>
          <w:lang w:eastAsia="en-US"/>
        </w:rPr>
        <w:fldChar w:fldCharType="begin"/>
      </w:r>
      <w:r w:rsidR="00FB5AAA">
        <w:rPr>
          <w:rFonts w:ascii="Calibri" w:eastAsia="Calibri" w:hAnsi="Calibri" w:cs="Times New Roman"/>
          <w:lang w:eastAsia="en-US"/>
        </w:rPr>
        <w:instrText xml:space="preserve"> ADDIN EN.CITE &lt;EndNote&gt;&lt;Cite&gt;&lt;Author&gt;Geyer&lt;/Author&gt;&lt;Year&gt;2004&lt;/Year&gt;&lt;RecNum&gt;1152&lt;/RecNum&gt;&lt;DisplayText&gt;(Geyer et al., 2004)&lt;/DisplayText&gt;&lt;record&gt;&lt;rec-number&gt;1152&lt;/rec-number&gt;&lt;foreign-keys&gt;&lt;key app="EN" db-id="wwzpfssaux292keptesxd5t6srsfvpzsde2p"&gt;1152&lt;/key&gt;&lt;/foreign-keys&gt;&lt;ref-type name="Journal Article"&gt;17&lt;/ref-type&gt;&lt;contributors&gt;&lt;authors&gt;&lt;author&gt;Geyer, WR&lt;/author&gt;&lt;author&gt;Hill, PS&lt;/author&gt;&lt;author&gt;Kineke, GC&lt;/author&gt;&lt;/authors&gt;&lt;/contributors&gt;&lt;titles&gt;&lt;title&gt;The transport, transformation and dispersal of sediment by buoyant coastal flows&lt;/title&gt;&lt;secondary-title&gt;Continental Shelf Research&lt;/secondary-title&gt;&lt;/titles&gt;&lt;periodical&gt;&lt;full-title&gt;Continental Shelf Research&lt;/full-title&gt;&lt;/periodical&gt;&lt;pages&gt;927-949&lt;/pages&gt;&lt;volume&gt;24&lt;/volume&gt;&lt;number&gt;7&lt;/number&gt;&lt;dates&gt;&lt;year&gt;2004&lt;/year&gt;&lt;/dates&gt;&lt;isbn&gt;0278-4343&lt;/isbn&gt;&lt;urls&gt;&lt;/urls&gt;&lt;/record&gt;&lt;/Cite&gt;&lt;/EndNote&gt;</w:instrText>
      </w:r>
      <w:r w:rsidR="00FB5AAA">
        <w:rPr>
          <w:rFonts w:ascii="Calibri" w:eastAsia="Calibri" w:hAnsi="Calibri" w:cs="Times New Roman"/>
          <w:lang w:eastAsia="en-US"/>
        </w:rPr>
        <w:fldChar w:fldCharType="separate"/>
      </w:r>
      <w:r w:rsidR="00FB5AAA">
        <w:rPr>
          <w:rFonts w:ascii="Calibri" w:eastAsia="Calibri" w:hAnsi="Calibri" w:cs="Times New Roman"/>
          <w:noProof/>
          <w:lang w:eastAsia="en-US"/>
        </w:rPr>
        <w:t>(</w:t>
      </w:r>
      <w:hyperlink w:anchor="_ENREF_21" w:tooltip="Geyer, 2004 #1152" w:history="1">
        <w:r w:rsidR="00D23C68">
          <w:rPr>
            <w:rFonts w:ascii="Calibri" w:eastAsia="Calibri" w:hAnsi="Calibri" w:cs="Times New Roman"/>
            <w:noProof/>
            <w:lang w:eastAsia="en-US"/>
          </w:rPr>
          <w:t>Geyer et al., 2004</w:t>
        </w:r>
      </w:hyperlink>
      <w:r w:rsidR="00FB5AAA">
        <w:rPr>
          <w:rFonts w:ascii="Calibri" w:eastAsia="Calibri" w:hAnsi="Calibri" w:cs="Times New Roman"/>
          <w:noProof/>
          <w:lang w:eastAsia="en-US"/>
        </w:rPr>
        <w:t>)</w:t>
      </w:r>
      <w:r w:rsidR="00FB5AAA">
        <w:rPr>
          <w:rFonts w:ascii="Calibri" w:eastAsia="Calibri" w:hAnsi="Calibri" w:cs="Times New Roman"/>
          <w:lang w:eastAsia="en-US"/>
        </w:rPr>
        <w:fldChar w:fldCharType="end"/>
      </w:r>
      <w:r w:rsidRPr="00482CB4">
        <w:rPr>
          <w:rFonts w:ascii="Calibri" w:eastAsia="Calibri" w:hAnsi="Calibri" w:cs="Times New Roman"/>
          <w:lang w:eastAsia="en-US"/>
        </w:rPr>
        <w:t>, previous physical oceanographic studies</w:t>
      </w:r>
      <w:r w:rsidR="00FB5AAA">
        <w:rPr>
          <w:rFonts w:ascii="Calibri" w:eastAsia="Calibri" w:hAnsi="Calibri" w:cs="Times New Roman"/>
          <w:lang w:eastAsia="en-US"/>
        </w:rPr>
        <w:t xml:space="preserve"> </w:t>
      </w:r>
      <w:r w:rsidR="00FB5AAA">
        <w:rPr>
          <w:rFonts w:ascii="Calibri" w:eastAsia="Calibri" w:hAnsi="Calibri" w:cs="Times New Roman"/>
          <w:lang w:eastAsia="en-US"/>
        </w:rPr>
        <w:fldChar w:fldCharType="begin"/>
      </w:r>
      <w:r w:rsidR="00FB5AAA">
        <w:rPr>
          <w:rFonts w:ascii="Calibri" w:eastAsia="Calibri" w:hAnsi="Calibri" w:cs="Times New Roman"/>
          <w:lang w:eastAsia="en-US"/>
        </w:rPr>
        <w:instrText xml:space="preserve"> ADDIN EN.CITE &lt;EndNote&gt;&lt;Cite&gt;&lt;Author&gt;Wolanski&lt;/Author&gt;&lt;Year&gt;1981&lt;/Year&gt;&lt;RecNum&gt;1000&lt;/RecNum&gt;&lt;DisplayText&gt;(Wolanski and Jones, 1981; Wolanski and Van Senden, 1983)&lt;/DisplayText&gt;&lt;record&gt;&lt;rec-number&gt;1000&lt;/rec-number&gt;&lt;foreign-keys&gt;&lt;key app="EN" db-id="wwzpfssaux292keptesxd5t6srsfvpzsde2p"&gt;1000&lt;/key&gt;&lt;/foreign-keys&gt;&lt;ref-type name="Journal Article"&gt;17&lt;/ref-type&gt;&lt;contributors&gt;&lt;authors&gt;&lt;author&gt;Wolanski, Eric&lt;/author&gt;&lt;author&gt;Jones, Martin&lt;/author&gt;&lt;/authors&gt;&lt;/contributors&gt;&lt;titles&gt;&lt;title&gt;Physical properties of Great Barrier Reef lagoon waters near Townsville. I. Effects of Burdekin River floods&lt;/title&gt;&lt;secondary-title&gt;Marine and Freshwater Research&lt;/secondary-title&gt;&lt;/titles&gt;&lt;periodical&gt;&lt;full-title&gt;Marine and Freshwater Research&lt;/full-title&gt;&lt;/periodical&gt;&lt;pages&gt;305-319&lt;/pages&gt;&lt;volume&gt;32&lt;/volume&gt;&lt;number&gt;3&lt;/number&gt;&lt;dates&gt;&lt;year&gt;1981&lt;/year&gt;&lt;/dates&gt;&lt;isbn&gt;1448-6059&lt;/isbn&gt;&lt;urls&gt;&lt;/urls&gt;&lt;/record&gt;&lt;/Cite&gt;&lt;Cite&gt;&lt;Author&gt;Wolanski&lt;/Author&gt;&lt;Year&gt;1983&lt;/Year&gt;&lt;RecNum&gt;999&lt;/RecNum&gt;&lt;record&gt;&lt;rec-number&gt;999&lt;/rec-number&gt;&lt;foreign-keys&gt;&lt;key app="EN" db-id="wwzpfssaux292keptesxd5t6srsfvpzsde2p"&gt;999&lt;/key&gt;&lt;/foreign-keys&gt;&lt;ref-type name="Journal Article"&gt;17&lt;/ref-type&gt;&lt;contributors&gt;&lt;authors&gt;&lt;author&gt;Wolanski, Eric&lt;/author&gt;&lt;author&gt;Van Senden, D&lt;/author&gt;&lt;/authors&gt;&lt;/contributors&gt;&lt;titles&gt;&lt;title&gt;Mixing of Burdekin river flood waters in the Great Barrier Reef&lt;/title&gt;&lt;secondary-title&gt;Marine and Freshwater Research&lt;/secondary-title&gt;&lt;/titles&gt;&lt;periodical&gt;&lt;full-title&gt;Marine and Freshwater Research&lt;/full-title&gt;&lt;/periodical&gt;&lt;pages&gt;49-63&lt;/pages&gt;&lt;volume&gt;34&lt;/volume&gt;&lt;number&gt;1&lt;/number&gt;&lt;dates&gt;&lt;year&gt;1983&lt;/year&gt;&lt;/dates&gt;&lt;isbn&gt;1448-6059&lt;/isbn&gt;&lt;urls&gt;&lt;/urls&gt;&lt;/record&gt;&lt;/Cite&gt;&lt;/EndNote&gt;</w:instrText>
      </w:r>
      <w:r w:rsidR="00FB5AAA">
        <w:rPr>
          <w:rFonts w:ascii="Calibri" w:eastAsia="Calibri" w:hAnsi="Calibri" w:cs="Times New Roman"/>
          <w:lang w:eastAsia="en-US"/>
        </w:rPr>
        <w:fldChar w:fldCharType="separate"/>
      </w:r>
      <w:r w:rsidR="00FB5AAA">
        <w:rPr>
          <w:rFonts w:ascii="Calibri" w:eastAsia="Calibri" w:hAnsi="Calibri" w:cs="Times New Roman"/>
          <w:noProof/>
          <w:lang w:eastAsia="en-US"/>
        </w:rPr>
        <w:t>(</w:t>
      </w:r>
      <w:hyperlink w:anchor="_ENREF_35" w:tooltip="Wolanski, 1981 #1000" w:history="1">
        <w:r w:rsidR="00D23C68">
          <w:rPr>
            <w:rFonts w:ascii="Calibri" w:eastAsia="Calibri" w:hAnsi="Calibri" w:cs="Times New Roman"/>
            <w:noProof/>
            <w:lang w:eastAsia="en-US"/>
          </w:rPr>
          <w:t>Wolanski and Jones, 1981</w:t>
        </w:r>
      </w:hyperlink>
      <w:r w:rsidR="00FB5AAA">
        <w:rPr>
          <w:rFonts w:ascii="Calibri" w:eastAsia="Calibri" w:hAnsi="Calibri" w:cs="Times New Roman"/>
          <w:noProof/>
          <w:lang w:eastAsia="en-US"/>
        </w:rPr>
        <w:t xml:space="preserve">; </w:t>
      </w:r>
      <w:hyperlink w:anchor="_ENREF_36" w:tooltip="Wolanski, 1983 #999" w:history="1">
        <w:r w:rsidR="00D23C68">
          <w:rPr>
            <w:rFonts w:ascii="Calibri" w:eastAsia="Calibri" w:hAnsi="Calibri" w:cs="Times New Roman"/>
            <w:noProof/>
            <w:lang w:eastAsia="en-US"/>
          </w:rPr>
          <w:t>Wolanski and Van Senden, 1983</w:t>
        </w:r>
      </w:hyperlink>
      <w:r w:rsidR="00FB5AAA">
        <w:rPr>
          <w:rFonts w:ascii="Calibri" w:eastAsia="Calibri" w:hAnsi="Calibri" w:cs="Times New Roman"/>
          <w:noProof/>
          <w:lang w:eastAsia="en-US"/>
        </w:rPr>
        <w:t>)</w:t>
      </w:r>
      <w:r w:rsidR="00FB5AAA">
        <w:rPr>
          <w:rFonts w:ascii="Calibri" w:eastAsia="Calibri" w:hAnsi="Calibri" w:cs="Times New Roman"/>
          <w:lang w:eastAsia="en-US"/>
        </w:rPr>
        <w:fldChar w:fldCharType="end"/>
      </w:r>
      <w:r w:rsidRPr="00482CB4">
        <w:rPr>
          <w:rFonts w:ascii="Calibri" w:eastAsia="Calibri" w:hAnsi="Calibri" w:cs="Times New Roman"/>
          <w:lang w:eastAsia="en-US"/>
        </w:rPr>
        <w:t xml:space="preserve">, modelling studies and previous MMP reports </w:t>
      </w:r>
      <w:r w:rsidR="00FB5AAA">
        <w:rPr>
          <w:rFonts w:ascii="Calibri" w:eastAsia="Calibri" w:hAnsi="Calibri" w:cs="Times New Roman"/>
          <w:lang w:eastAsia="en-US"/>
        </w:rPr>
        <w:fldChar w:fldCharType="begin"/>
      </w:r>
      <w:r w:rsidR="00FB5AAA">
        <w:rPr>
          <w:rFonts w:ascii="Calibri" w:eastAsia="Calibri" w:hAnsi="Calibri" w:cs="Times New Roman"/>
          <w:lang w:eastAsia="en-US"/>
        </w:rPr>
        <w:instrText xml:space="preserve"> ADDIN EN.CITE &lt;EndNote&gt;&lt;Cite&gt;&lt;Author&gt;Devlin&lt;/Author&gt;&lt;Year&gt;2001&lt;/Year&gt;&lt;RecNum&gt;792&lt;/RecNum&gt;&lt;DisplayText&gt;(Devlin et al., 2001)&lt;/DisplayText&gt;&lt;record&gt;&lt;rec-number&gt;792&lt;/rec-number&gt;&lt;foreign-keys&gt;&lt;key app="EN" db-id="wwzpfssaux292keptesxd5t6srsfvpzsde2p"&gt;792&lt;/key&gt;&lt;/foreign-keys&gt;&lt;ref-type name="Book"&gt;6&lt;/ref-type&gt;&lt;contributors&gt;&lt;authors&gt;&lt;author&gt;Devlin, Michelle&lt;/author&gt;&lt;author&gt;Waterhouse, Jane&lt;/author&gt;&lt;author&gt;Taylor, Jeremy&lt;/author&gt;&lt;author&gt;Brodie, JE&lt;/author&gt;&lt;/authors&gt;&lt;/contributors&gt;&lt;titles&gt;&lt;title&gt;Flood plumes in the Great Barrier Reef: spatial and temporal patterns in composition and distribution&lt;/title&gt;&lt;/titles&gt;&lt;dates&gt;&lt;year&gt;2001&lt;/year&gt;&lt;/dates&gt;&lt;publisher&gt;Great Barrier Reef Marine Park Authority&lt;/publisher&gt;&lt;isbn&gt;0642230978&lt;/isbn&gt;&lt;urls&gt;&lt;/urls&gt;&lt;/record&gt;&lt;/Cite&gt;&lt;/EndNote&gt;</w:instrText>
      </w:r>
      <w:r w:rsidR="00FB5AAA">
        <w:rPr>
          <w:rFonts w:ascii="Calibri" w:eastAsia="Calibri" w:hAnsi="Calibri" w:cs="Times New Roman"/>
          <w:lang w:eastAsia="en-US"/>
        </w:rPr>
        <w:fldChar w:fldCharType="separate"/>
      </w:r>
      <w:r w:rsidR="00FB5AAA">
        <w:rPr>
          <w:rFonts w:ascii="Calibri" w:eastAsia="Calibri" w:hAnsi="Calibri" w:cs="Times New Roman"/>
          <w:noProof/>
          <w:lang w:eastAsia="en-US"/>
        </w:rPr>
        <w:t>(</w:t>
      </w:r>
      <w:hyperlink w:anchor="_ENREF_17" w:tooltip="Devlin, 2001 #792" w:history="1">
        <w:r w:rsidR="00D23C68">
          <w:rPr>
            <w:rFonts w:ascii="Calibri" w:eastAsia="Calibri" w:hAnsi="Calibri" w:cs="Times New Roman"/>
            <w:noProof/>
            <w:lang w:eastAsia="en-US"/>
          </w:rPr>
          <w:t>Devlin et al., 2001</w:t>
        </w:r>
      </w:hyperlink>
      <w:r w:rsidR="00FB5AAA">
        <w:rPr>
          <w:rFonts w:ascii="Calibri" w:eastAsia="Calibri" w:hAnsi="Calibri" w:cs="Times New Roman"/>
          <w:noProof/>
          <w:lang w:eastAsia="en-US"/>
        </w:rPr>
        <w:t>)</w:t>
      </w:r>
      <w:r w:rsidR="00FB5AAA">
        <w:rPr>
          <w:rFonts w:ascii="Calibri" w:eastAsia="Calibri" w:hAnsi="Calibri" w:cs="Times New Roman"/>
          <w:lang w:eastAsia="en-US"/>
        </w:rPr>
        <w:fldChar w:fldCharType="end"/>
      </w:r>
      <w:r w:rsidR="00593896">
        <w:rPr>
          <w:rFonts w:ascii="Calibri" w:eastAsia="Calibri" w:hAnsi="Calibri" w:cs="Times New Roman"/>
          <w:lang w:eastAsia="en-US"/>
        </w:rPr>
        <w:t>. The movement of plumes highlights</w:t>
      </w:r>
      <w:r w:rsidRPr="00482CB4">
        <w:rPr>
          <w:rFonts w:ascii="Calibri" w:eastAsia="Calibri" w:hAnsi="Calibri" w:cs="Times New Roman"/>
          <w:lang w:eastAsia="en-US"/>
        </w:rPr>
        <w:t xml:space="preserve"> </w:t>
      </w:r>
      <w:r w:rsidR="00593896">
        <w:rPr>
          <w:rFonts w:ascii="Calibri" w:eastAsia="Calibri" w:hAnsi="Calibri" w:cs="Times New Roman"/>
          <w:lang w:eastAsia="en-US"/>
        </w:rPr>
        <w:t xml:space="preserve">that </w:t>
      </w:r>
      <w:r w:rsidRPr="00482CB4">
        <w:rPr>
          <w:rFonts w:ascii="Calibri" w:eastAsia="Calibri" w:hAnsi="Calibri" w:cs="Times New Roman"/>
          <w:lang w:eastAsia="en-US"/>
        </w:rPr>
        <w:t xml:space="preserve">GBR river plumes are mainly constrained close to the coast by the Coriolis effect and the prevailing wind regime, but regional differences in plume orientation and aerial extent are shaped by a combination of hydro-climatic forces, including (i) the river discharge rates, (ii) the wind strength and orientation and (iii) the local currents. </w:t>
      </w:r>
    </w:p>
    <w:p w14:paraId="0C3F7FA1" w14:textId="77777777" w:rsidR="00482CB4" w:rsidRPr="00482CB4" w:rsidRDefault="00482CB4" w:rsidP="00482CB4">
      <w:pPr>
        <w:rPr>
          <w:rFonts w:ascii="Calibri" w:eastAsia="Calibri" w:hAnsi="Calibri" w:cs="Times New Roman"/>
          <w:lang w:eastAsia="en-US"/>
        </w:rPr>
      </w:pPr>
      <w:r w:rsidRPr="00482CB4">
        <w:rPr>
          <w:rFonts w:ascii="Calibri" w:eastAsia="Calibri" w:hAnsi="Calibri" w:cs="Times New Roman"/>
          <w:lang w:eastAsia="en-US"/>
        </w:rPr>
        <w:t xml:space="preserve">Plume exposure on the more offshore ecosystems, like coral reefs, is often limited while onshore ecosystems like coastal seagrass beds are under a greatest exposure from river plumes and </w:t>
      </w:r>
      <w:r w:rsidRPr="00500FCF">
        <w:rPr>
          <w:rFonts w:eastAsia="Calibri"/>
        </w:rPr>
        <w:t>associated pollutants. However under offshore wind conditions, river plumes can be deflected seaward, like observed on the 27th and 29th of Jan 2013 in the Burdekin NRM (e.g</w:t>
      </w:r>
      <w:r w:rsidR="007A6C72">
        <w:rPr>
          <w:rFonts w:eastAsia="Calibri"/>
        </w:rPr>
        <w:t xml:space="preserve"> Figure 3-4</w:t>
      </w:r>
      <w:r w:rsidRPr="00500FCF">
        <w:rPr>
          <w:rFonts w:eastAsia="Calibri"/>
        </w:rPr>
        <w:t>)</w:t>
      </w:r>
      <w:r w:rsidR="00FB5AAA">
        <w:rPr>
          <w:rFonts w:eastAsia="Calibri"/>
        </w:rPr>
        <w:t>. River</w:t>
      </w:r>
      <w:r w:rsidRPr="00500FCF">
        <w:rPr>
          <w:rFonts w:eastAsia="Calibri"/>
        </w:rPr>
        <w:t xml:space="preserve"> plumes reach the mid and outer-shelf of the GBR reef</w:t>
      </w:r>
      <w:r w:rsidR="00FB5AAA">
        <w:rPr>
          <w:rFonts w:eastAsia="Calibri"/>
        </w:rPr>
        <w:t xml:space="preserve"> over “rare”and “occasional” scales (at the wet season scale) as observed on the t</w:t>
      </w:r>
      <w:r w:rsidRPr="00500FCF">
        <w:rPr>
          <w:rFonts w:eastAsia="Calibri"/>
        </w:rPr>
        <w:t>rue colour images of the Barron River, on</w:t>
      </w:r>
      <w:r w:rsidRPr="00482CB4">
        <w:rPr>
          <w:rFonts w:ascii="Calibri" w:eastAsia="Calibri" w:hAnsi="Calibri" w:cs="Times New Roman"/>
          <w:lang w:eastAsia="en-US"/>
        </w:rPr>
        <w:t xml:space="preserve"> the 25</w:t>
      </w:r>
      <w:r w:rsidRPr="00482CB4">
        <w:rPr>
          <w:rFonts w:ascii="Calibri" w:eastAsia="Calibri" w:hAnsi="Calibri" w:cs="Times New Roman"/>
          <w:vertAlign w:val="superscript"/>
          <w:lang w:eastAsia="en-US"/>
        </w:rPr>
        <w:t>th</w:t>
      </w:r>
      <w:r w:rsidRPr="00482CB4">
        <w:rPr>
          <w:rFonts w:ascii="Calibri" w:eastAsia="Calibri" w:hAnsi="Calibri" w:cs="Times New Roman"/>
          <w:lang w:eastAsia="en-US"/>
        </w:rPr>
        <w:t xml:space="preserve"> of January (</w:t>
      </w:r>
      <w:r w:rsidR="00500FCF">
        <w:rPr>
          <w:rFonts w:ascii="Calibri" w:eastAsia="Calibri" w:hAnsi="Calibri" w:cs="Times New Roman"/>
          <w:lang w:eastAsia="en-US"/>
        </w:rPr>
        <w:fldChar w:fldCharType="begin"/>
      </w:r>
      <w:r w:rsidR="00500FCF">
        <w:rPr>
          <w:rFonts w:ascii="Calibri" w:eastAsia="Calibri" w:hAnsi="Calibri" w:cs="Times New Roman"/>
          <w:lang w:eastAsia="en-US"/>
        </w:rPr>
        <w:instrText xml:space="preserve"> REF _Ref428871352 \h </w:instrText>
      </w:r>
      <w:r w:rsidR="00500FCF">
        <w:rPr>
          <w:rFonts w:ascii="Calibri" w:eastAsia="Calibri" w:hAnsi="Calibri" w:cs="Times New Roman"/>
          <w:lang w:eastAsia="en-US"/>
        </w:rPr>
      </w:r>
      <w:r w:rsidR="00500FCF">
        <w:rPr>
          <w:rFonts w:ascii="Calibri" w:eastAsia="Calibri" w:hAnsi="Calibri" w:cs="Times New Roman"/>
          <w:lang w:eastAsia="en-US"/>
        </w:rPr>
        <w:fldChar w:fldCharType="separate"/>
      </w:r>
      <w:r w:rsidR="00B62B50">
        <w:t xml:space="preserve">Figure </w:t>
      </w:r>
      <w:r w:rsidR="00B62B50">
        <w:rPr>
          <w:noProof/>
        </w:rPr>
        <w:t>3</w:t>
      </w:r>
      <w:r w:rsidR="00B62B50">
        <w:noBreakHyphen/>
      </w:r>
      <w:r w:rsidR="00B62B50">
        <w:rPr>
          <w:noProof/>
        </w:rPr>
        <w:t>2</w:t>
      </w:r>
      <w:r w:rsidR="00500FCF">
        <w:rPr>
          <w:rFonts w:ascii="Calibri" w:eastAsia="Calibri" w:hAnsi="Calibri" w:cs="Times New Roman"/>
          <w:lang w:eastAsia="en-US"/>
        </w:rPr>
        <w:fldChar w:fldCharType="end"/>
      </w:r>
      <w:r w:rsidRPr="00482CB4">
        <w:rPr>
          <w:rFonts w:ascii="Calibri" w:eastAsia="Calibri" w:hAnsi="Calibri" w:cs="Times New Roman"/>
          <w:lang w:eastAsia="en-US"/>
        </w:rPr>
        <w:t>). Mid and outer-shelf of the GBR reef are nevertheless more</w:t>
      </w:r>
      <w:r w:rsidR="00FB5AAA">
        <w:rPr>
          <w:rFonts w:ascii="Calibri" w:eastAsia="Calibri" w:hAnsi="Calibri" w:cs="Times New Roman"/>
          <w:lang w:eastAsia="en-US"/>
        </w:rPr>
        <w:t xml:space="preserve"> than</w:t>
      </w:r>
      <w:r w:rsidRPr="00482CB4">
        <w:rPr>
          <w:rFonts w:ascii="Calibri" w:eastAsia="Calibri" w:hAnsi="Calibri" w:cs="Times New Roman"/>
          <w:lang w:eastAsia="en-US"/>
        </w:rPr>
        <w:t xml:space="preserve"> likely to be </w:t>
      </w:r>
      <w:r w:rsidR="00FB5AAA">
        <w:rPr>
          <w:rFonts w:ascii="Calibri" w:eastAsia="Calibri" w:hAnsi="Calibri" w:cs="Times New Roman"/>
          <w:lang w:eastAsia="en-US"/>
        </w:rPr>
        <w:t xml:space="preserve">only </w:t>
      </w:r>
      <w:r w:rsidRPr="00482CB4">
        <w:rPr>
          <w:rFonts w:ascii="Calibri" w:eastAsia="Calibri" w:hAnsi="Calibri" w:cs="Times New Roman"/>
          <w:lang w:eastAsia="en-US"/>
        </w:rPr>
        <w:t xml:space="preserve">affected by the Tertiary water type (i.e., less concentrated in land-sourced pollutants) than the Primary turbid core (i.e., more concentrated in land-sourced pollutants) of the river plumes. </w:t>
      </w:r>
    </w:p>
    <w:p w14:paraId="0C3F7FA2" w14:textId="77777777" w:rsidR="00482CB4" w:rsidRPr="00482CB4" w:rsidRDefault="00482CB4" w:rsidP="00482CB4">
      <w:pPr>
        <w:rPr>
          <w:rFonts w:ascii="Calibri" w:eastAsia="Calibri" w:hAnsi="Calibri" w:cs="Times New Roman"/>
          <w:lang w:eastAsia="en-US"/>
        </w:rPr>
      </w:pPr>
      <w:r w:rsidRPr="00482CB4">
        <w:rPr>
          <w:rFonts w:ascii="Calibri" w:eastAsia="Calibri" w:hAnsi="Calibri" w:cs="Times New Roman"/>
          <w:lang w:eastAsia="en-US"/>
        </w:rPr>
        <w:t>Primary (highly turbid) coastal water surface areas are mainly modulat</w:t>
      </w:r>
      <w:r w:rsidR="007A6C72">
        <w:rPr>
          <w:rFonts w:ascii="Calibri" w:eastAsia="Calibri" w:hAnsi="Calibri" w:cs="Times New Roman"/>
          <w:lang w:eastAsia="en-US"/>
        </w:rPr>
        <w:t xml:space="preserve">ed by the river discharge rates. </w:t>
      </w:r>
      <w:r w:rsidRPr="00482CB4">
        <w:rPr>
          <w:rFonts w:ascii="Calibri" w:eastAsia="Calibri" w:hAnsi="Calibri" w:cs="Times New Roman"/>
          <w:lang w:eastAsia="en-US"/>
        </w:rPr>
        <w:t>More offshore</w:t>
      </w:r>
      <w:r w:rsidR="007A6C72">
        <w:rPr>
          <w:rFonts w:ascii="Calibri" w:eastAsia="Calibri" w:hAnsi="Calibri" w:cs="Times New Roman"/>
          <w:lang w:eastAsia="en-US"/>
        </w:rPr>
        <w:t xml:space="preserve"> plume types (</w:t>
      </w:r>
      <w:r w:rsidRPr="00482CB4">
        <w:rPr>
          <w:rFonts w:ascii="Calibri" w:eastAsia="Calibri" w:hAnsi="Calibri" w:cs="Times New Roman"/>
          <w:lang w:eastAsia="en-US"/>
        </w:rPr>
        <w:t>Secondary and Tertiary river plumes</w:t>
      </w:r>
      <w:r w:rsidR="007A6C72">
        <w:rPr>
          <w:rFonts w:ascii="Calibri" w:eastAsia="Calibri" w:hAnsi="Calibri" w:cs="Times New Roman"/>
          <w:lang w:eastAsia="en-US"/>
        </w:rPr>
        <w:t>)</w:t>
      </w:r>
      <w:r w:rsidRPr="00482CB4">
        <w:rPr>
          <w:rFonts w:ascii="Calibri" w:eastAsia="Calibri" w:hAnsi="Calibri" w:cs="Times New Roman"/>
          <w:lang w:eastAsia="en-US"/>
        </w:rPr>
        <w:t xml:space="preserve"> are also correlated to the river discharge, but their shapes and orientations are s</w:t>
      </w:r>
      <w:r w:rsidR="007A6C72">
        <w:rPr>
          <w:rFonts w:ascii="Calibri" w:eastAsia="Calibri" w:hAnsi="Calibri" w:cs="Times New Roman"/>
          <w:lang w:eastAsia="en-US"/>
        </w:rPr>
        <w:t>trongly modulated by the wind</w:t>
      </w:r>
      <w:r w:rsidR="00500FCF">
        <w:rPr>
          <w:rFonts w:ascii="Calibri" w:eastAsia="Calibri" w:hAnsi="Calibri" w:cs="Times New Roman"/>
          <w:lang w:eastAsia="en-US"/>
        </w:rPr>
        <w:t xml:space="preserve">, the local currents </w:t>
      </w:r>
      <w:r w:rsidRPr="00482CB4">
        <w:rPr>
          <w:rFonts w:ascii="Calibri" w:eastAsia="Calibri" w:hAnsi="Calibri" w:cs="Times New Roman"/>
          <w:lang w:eastAsia="en-US"/>
        </w:rPr>
        <w:t>and Secondary and Tertiary plume waters from different river plumes are often merged all together.</w:t>
      </w:r>
    </w:p>
    <w:bookmarkEnd w:id="45"/>
    <w:p w14:paraId="0C3F7FA3" w14:textId="77777777" w:rsidR="00CD3E9C" w:rsidRDefault="00CD3E9C" w:rsidP="0053157C"/>
    <w:p w14:paraId="0C3F7FA4" w14:textId="77777777" w:rsidR="00A3096D" w:rsidRPr="000054D1" w:rsidRDefault="00A3096D" w:rsidP="006424EB">
      <w:pPr>
        <w:sectPr w:rsidR="00A3096D" w:rsidRPr="000054D1" w:rsidSect="00330E11">
          <w:pgSz w:w="11907" w:h="16840" w:code="9"/>
          <w:pgMar w:top="1440" w:right="1440" w:bottom="1440" w:left="1440" w:header="680" w:footer="851" w:gutter="0"/>
          <w:cols w:space="708"/>
          <w:docGrid w:linePitch="326"/>
        </w:sectPr>
      </w:pPr>
    </w:p>
    <w:p w14:paraId="0C3F7FA5" w14:textId="77777777" w:rsidR="005E0A0B" w:rsidRPr="00FB5AAA" w:rsidRDefault="00FB5AAA" w:rsidP="00FB5AAA">
      <w:pPr>
        <w:pStyle w:val="Heading1"/>
        <w:numPr>
          <w:ilvl w:val="0"/>
          <w:numId w:val="3"/>
        </w:numPr>
        <w:spacing w:after="240" w:line="80" w:lineRule="atLeast"/>
        <w:rPr>
          <w:caps w:val="0"/>
        </w:rPr>
      </w:pPr>
      <w:bookmarkStart w:id="92" w:name="_Toc434207992"/>
      <w:r w:rsidRPr="0015270F">
        <w:rPr>
          <w:i/>
          <w:caps w:val="0"/>
        </w:rPr>
        <w:t>In-situ</w:t>
      </w:r>
      <w:r w:rsidRPr="00FB5AAA">
        <w:rPr>
          <w:caps w:val="0"/>
        </w:rPr>
        <w:t xml:space="preserve"> Water Quality</w:t>
      </w:r>
      <w:bookmarkEnd w:id="92"/>
    </w:p>
    <w:p w14:paraId="0C3F7FA6" w14:textId="77777777" w:rsidR="0015270F" w:rsidRDefault="0015270F" w:rsidP="0098332C">
      <w:pPr>
        <w:pStyle w:val="Heading2"/>
        <w:keepNext/>
        <w:numPr>
          <w:ilvl w:val="1"/>
          <w:numId w:val="8"/>
        </w:numPr>
        <w:spacing w:line="80" w:lineRule="atLeast"/>
      </w:pPr>
      <w:bookmarkStart w:id="93" w:name="_Toc434207993"/>
      <w:bookmarkStart w:id="94" w:name="_Toc413861556"/>
      <w:r>
        <w:t>Sampling design – 2012-2013</w:t>
      </w:r>
      <w:bookmarkEnd w:id="93"/>
    </w:p>
    <w:p w14:paraId="0C3F7FA7" w14:textId="77777777" w:rsidR="0015270F" w:rsidRDefault="0015270F" w:rsidP="0015270F">
      <w:bookmarkStart w:id="95" w:name="_Toc416533899"/>
      <w:bookmarkEnd w:id="94"/>
      <w:r>
        <w:t xml:space="preserve">Sampling of wet season conditions at MMP sites were carried out within the Cape York, Daintree, Barron, Russell-Mulgrave, Tully, Herbert, Burdekin and </w:t>
      </w:r>
      <w:r w:rsidR="00362A9F">
        <w:t>Burnett</w:t>
      </w:r>
      <w:r>
        <w:t>-Mary marine regions. Water quality samples collected in the Daintree, Barron and Russell-</w:t>
      </w:r>
      <w:r w:rsidR="00362A9F">
        <w:t>Mulgrave</w:t>
      </w:r>
      <w:r>
        <w:t xml:space="preserve"> sites were collected on route to Cape York and </w:t>
      </w:r>
      <w:r w:rsidR="00362A9F">
        <w:t>whilst</w:t>
      </w:r>
      <w:r>
        <w:t xml:space="preserve"> providing </w:t>
      </w:r>
      <w:r w:rsidR="00362A9F">
        <w:t>longer-term</w:t>
      </w:r>
      <w:r>
        <w:t xml:space="preserve"> data for the Wet Tropics, they will not be reported on</w:t>
      </w:r>
      <w:r w:rsidR="00362A9F">
        <w:t>,</w:t>
      </w:r>
      <w:r>
        <w:t xml:space="preserve"> at a regional level</w:t>
      </w:r>
      <w:r w:rsidR="00362A9F">
        <w:t>,</w:t>
      </w:r>
      <w:r>
        <w:t xml:space="preserve"> due to the low number of samples. </w:t>
      </w:r>
      <w:r w:rsidR="00362A9F">
        <w:t>Additionally</w:t>
      </w:r>
      <w:r>
        <w:t xml:space="preserve"> </w:t>
      </w:r>
      <w:r w:rsidR="00362A9F">
        <w:t xml:space="preserve">plume </w:t>
      </w:r>
      <w:r>
        <w:t>samples collected in Cape York form part of a larger study and will be reported on separately</w:t>
      </w:r>
      <w:r w:rsidR="005031BD">
        <w:t xml:space="preserve"> (Howley et al., 2015)</w:t>
      </w:r>
      <w:r>
        <w:t xml:space="preserve">. Burnett-Mary samples were taken as part of </w:t>
      </w:r>
      <w:r w:rsidR="00362A9F">
        <w:t>an</w:t>
      </w:r>
      <w:r>
        <w:t xml:space="preserve"> integrated monitoring exercise with the Burnett Mary Regional Group, and has been reported elsewhere </w:t>
      </w:r>
      <w:r>
        <w:fldChar w:fldCharType="begin"/>
      </w:r>
      <w:r>
        <w:instrText xml:space="preserve"> ADDIN EN.CITE &lt;EndNote&gt;&lt;Cite&gt;&lt;Author&gt;Da Silva&lt;/Author&gt;&lt;Year&gt;2013&lt;/Year&gt;&lt;RecNum&gt;1153&lt;/RecNum&gt;&lt;DisplayText&gt;(Da Silva et al., 2013)&lt;/DisplayText&gt;&lt;record&gt;&lt;rec-number&gt;1153&lt;/rec-number&gt;&lt;foreign-keys&gt;&lt;key app="EN" db-id="wwzpfssaux292keptesxd5t6srsfvpzsde2p"&gt;1153&lt;/key&gt;&lt;/foreign-keys&gt;&lt;ref-type name="Report"&gt;27&lt;/ref-type&gt;&lt;contributors&gt;&lt;authors&gt;&lt;author&gt;Da Silva, ET&lt;/author&gt;&lt;author&gt;Devlin, M&lt;/author&gt;&lt;author&gt;Wenger, A&lt;/author&gt;&lt;author&gt;Petus, C&lt;/author&gt;&lt;/authors&gt;&lt;/contributors&gt;&lt;titles&gt;&lt;title&gt;Burnett-‐Mary Wet Season 2012-‐2013: Water Quality Data Sampling, Analysis and Comparison against Wet Season 2010-‐2011 data&lt;/title&gt;&lt;secondary-title&gt;Centre for Tropical Water &amp;amp; Aquatic Ecosystems Research (TropWater) Publications&lt;/secondary-title&gt;&lt;/titles&gt;&lt;pages&gt;31&lt;/pages&gt;&lt;dates&gt;&lt;year&gt;2013&lt;/year&gt;&lt;/dates&gt;&lt;pub-location&gt;James Cook University, Townsville&lt;/pub-location&gt;&lt;publisher&gt;JCU&lt;/publisher&gt;&lt;urls&gt;&lt;/urls&gt;&lt;/record&gt;&lt;/Cite&gt;&lt;/EndNote&gt;</w:instrText>
      </w:r>
      <w:r>
        <w:fldChar w:fldCharType="separate"/>
      </w:r>
      <w:r>
        <w:rPr>
          <w:noProof/>
        </w:rPr>
        <w:t>(</w:t>
      </w:r>
      <w:hyperlink w:anchor="_ENREF_14" w:tooltip="Da Silva, 2013 #1153" w:history="1">
        <w:r w:rsidR="00F46A03">
          <w:rPr>
            <w:noProof/>
          </w:rPr>
          <w:t>da Silva et al., 2013</w:t>
        </w:r>
      </w:hyperlink>
      <w:r>
        <w:rPr>
          <w:noProof/>
        </w:rPr>
        <w:t>)</w:t>
      </w:r>
      <w:r>
        <w:fldChar w:fldCharType="end"/>
      </w:r>
      <w:r w:rsidR="00F46A03">
        <w:t>.</w:t>
      </w:r>
      <w:r>
        <w:t xml:space="preserve"> Water quality reporting will focus on the samples collected in 2012-2013 in the Tully, Herbert and Burdekin rivers </w:t>
      </w:r>
      <w:r w:rsidR="007A6C72">
        <w:t>(</w:t>
      </w:r>
      <w:r>
        <w:fldChar w:fldCharType="begin"/>
      </w:r>
      <w:r>
        <w:instrText xml:space="preserve"> REF _Ref428873590 \h </w:instrText>
      </w:r>
      <w:r>
        <w:fldChar w:fldCharType="separate"/>
      </w:r>
      <w:r w:rsidR="00B62B50">
        <w:t xml:space="preserve">Table </w:t>
      </w:r>
      <w:r w:rsidR="00B62B50">
        <w:rPr>
          <w:noProof/>
        </w:rPr>
        <w:t>4</w:t>
      </w:r>
      <w:r w:rsidR="00B62B50">
        <w:noBreakHyphen/>
      </w:r>
      <w:r w:rsidR="00B62B50">
        <w:rPr>
          <w:noProof/>
        </w:rPr>
        <w:t>1</w:t>
      </w:r>
      <w:r>
        <w:fldChar w:fldCharType="end"/>
      </w:r>
      <w:r>
        <w:t xml:space="preserve">). </w:t>
      </w:r>
    </w:p>
    <w:p w14:paraId="0C3F7FA8" w14:textId="77777777" w:rsidR="0015270F" w:rsidRDefault="0015270F" w:rsidP="0015270F">
      <w:pPr>
        <w:pStyle w:val="Caption"/>
      </w:pPr>
      <w:bookmarkStart w:id="96" w:name="_Ref428873590"/>
      <w:bookmarkStart w:id="97" w:name="_Toc434208068"/>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1</w:t>
      </w:r>
      <w:r w:rsidR="00AE4287">
        <w:fldChar w:fldCharType="end"/>
      </w:r>
      <w:bookmarkEnd w:id="96"/>
      <w:r>
        <w:t>: Summary of the sampling effort carried out in the 2012-13 wet season campaign by NRM, presenting the number of field trips, sites sampled and the sampling period for each river visited within each NRMs.</w:t>
      </w:r>
      <w:bookmarkEnd w:id="97"/>
    </w:p>
    <w:tbl>
      <w:tblPr>
        <w:tblW w:w="7827" w:type="dxa"/>
        <w:tblInd w:w="93" w:type="dxa"/>
        <w:tblLook w:val="04A0" w:firstRow="1" w:lastRow="0" w:firstColumn="1" w:lastColumn="0" w:noHBand="0" w:noVBand="1"/>
      </w:tblPr>
      <w:tblGrid>
        <w:gridCol w:w="1249"/>
        <w:gridCol w:w="1919"/>
        <w:gridCol w:w="912"/>
        <w:gridCol w:w="1149"/>
        <w:gridCol w:w="1299"/>
        <w:gridCol w:w="1299"/>
      </w:tblGrid>
      <w:tr w:rsidR="007A6C72" w:rsidRPr="0015270F" w14:paraId="0C3F7FB0" w14:textId="77777777" w:rsidTr="007A6C72">
        <w:trPr>
          <w:trHeight w:val="20"/>
        </w:trPr>
        <w:tc>
          <w:tcPr>
            <w:tcW w:w="1249" w:type="dxa"/>
            <w:tcBorders>
              <w:top w:val="single" w:sz="4" w:space="0" w:color="auto"/>
              <w:left w:val="nil"/>
              <w:bottom w:val="single" w:sz="4" w:space="0" w:color="auto"/>
              <w:right w:val="nil"/>
            </w:tcBorders>
            <w:shd w:val="clear" w:color="auto" w:fill="auto"/>
            <w:noWrap/>
            <w:vAlign w:val="center"/>
            <w:hideMark/>
          </w:tcPr>
          <w:p w14:paraId="0C3F7FA9" w14:textId="77777777" w:rsidR="007A6C72" w:rsidRPr="0015270F" w:rsidRDefault="007A6C72" w:rsidP="0015270F">
            <w:pPr>
              <w:spacing w:before="0" w:after="0"/>
              <w:rPr>
                <w:rStyle w:val="BookTitle"/>
              </w:rPr>
            </w:pPr>
            <w:r w:rsidRPr="0015270F">
              <w:rPr>
                <w:rStyle w:val="BookTitle"/>
              </w:rPr>
              <w:t>NRM</w:t>
            </w:r>
          </w:p>
        </w:tc>
        <w:tc>
          <w:tcPr>
            <w:tcW w:w="1919" w:type="dxa"/>
            <w:tcBorders>
              <w:top w:val="single" w:sz="4" w:space="0" w:color="auto"/>
              <w:left w:val="nil"/>
              <w:bottom w:val="single" w:sz="4" w:space="0" w:color="auto"/>
              <w:right w:val="nil"/>
            </w:tcBorders>
            <w:shd w:val="clear" w:color="auto" w:fill="auto"/>
            <w:noWrap/>
            <w:vAlign w:val="center"/>
            <w:hideMark/>
          </w:tcPr>
          <w:p w14:paraId="0C3F7FAA" w14:textId="77777777" w:rsidR="007A6C72" w:rsidRPr="0015270F" w:rsidRDefault="007A6C72" w:rsidP="0015270F">
            <w:pPr>
              <w:spacing w:before="0" w:after="0"/>
              <w:rPr>
                <w:rStyle w:val="BookTitle"/>
              </w:rPr>
            </w:pPr>
            <w:r w:rsidRPr="0015270F">
              <w:rPr>
                <w:rStyle w:val="BookTitle"/>
              </w:rPr>
              <w:t>River</w:t>
            </w:r>
          </w:p>
        </w:tc>
        <w:tc>
          <w:tcPr>
            <w:tcW w:w="912" w:type="dxa"/>
            <w:tcBorders>
              <w:top w:val="single" w:sz="4" w:space="0" w:color="auto"/>
              <w:left w:val="nil"/>
              <w:bottom w:val="single" w:sz="4" w:space="0" w:color="auto"/>
              <w:right w:val="nil"/>
            </w:tcBorders>
            <w:shd w:val="clear" w:color="auto" w:fill="auto"/>
            <w:vAlign w:val="center"/>
            <w:hideMark/>
          </w:tcPr>
          <w:p w14:paraId="0C3F7FAB" w14:textId="77777777" w:rsidR="007A6C72" w:rsidRPr="0015270F" w:rsidRDefault="007A6C72" w:rsidP="0015270F">
            <w:pPr>
              <w:spacing w:before="0" w:after="0"/>
              <w:rPr>
                <w:rStyle w:val="BookTitle"/>
              </w:rPr>
            </w:pPr>
            <w:r w:rsidRPr="0015270F">
              <w:rPr>
                <w:rStyle w:val="BookTitle"/>
              </w:rPr>
              <w:t>No. of Field Trips</w:t>
            </w:r>
          </w:p>
        </w:tc>
        <w:tc>
          <w:tcPr>
            <w:tcW w:w="1149" w:type="dxa"/>
            <w:tcBorders>
              <w:top w:val="single" w:sz="4" w:space="0" w:color="auto"/>
              <w:left w:val="nil"/>
              <w:bottom w:val="single" w:sz="4" w:space="0" w:color="auto"/>
              <w:right w:val="nil"/>
            </w:tcBorders>
            <w:shd w:val="clear" w:color="auto" w:fill="auto"/>
            <w:vAlign w:val="center"/>
            <w:hideMark/>
          </w:tcPr>
          <w:p w14:paraId="0C3F7FAC" w14:textId="77777777" w:rsidR="007A6C72" w:rsidRPr="0015270F" w:rsidRDefault="007A6C72" w:rsidP="0015270F">
            <w:pPr>
              <w:spacing w:before="0" w:after="0"/>
              <w:rPr>
                <w:rStyle w:val="BookTitle"/>
              </w:rPr>
            </w:pPr>
            <w:r w:rsidRPr="0015270F">
              <w:rPr>
                <w:rStyle w:val="BookTitle"/>
              </w:rPr>
              <w:t>No. of Sites</w:t>
            </w:r>
          </w:p>
        </w:tc>
        <w:tc>
          <w:tcPr>
            <w:tcW w:w="1299" w:type="dxa"/>
            <w:tcBorders>
              <w:top w:val="single" w:sz="4" w:space="0" w:color="auto"/>
              <w:left w:val="nil"/>
              <w:bottom w:val="single" w:sz="4" w:space="0" w:color="auto"/>
              <w:right w:val="nil"/>
            </w:tcBorders>
            <w:shd w:val="clear" w:color="auto" w:fill="auto"/>
            <w:vAlign w:val="center"/>
            <w:hideMark/>
          </w:tcPr>
          <w:p w14:paraId="0C3F7FAD" w14:textId="77777777" w:rsidR="007A6C72" w:rsidRPr="0015270F" w:rsidRDefault="007A6C72" w:rsidP="0015270F">
            <w:pPr>
              <w:spacing w:before="0" w:after="0"/>
              <w:rPr>
                <w:rStyle w:val="BookTitle"/>
              </w:rPr>
            </w:pPr>
            <w:r w:rsidRPr="0015270F">
              <w:rPr>
                <w:rStyle w:val="BookTitle"/>
              </w:rPr>
              <w:t>Start Date – 2013/2014</w:t>
            </w:r>
          </w:p>
        </w:tc>
        <w:tc>
          <w:tcPr>
            <w:tcW w:w="1299" w:type="dxa"/>
            <w:tcBorders>
              <w:top w:val="single" w:sz="4" w:space="0" w:color="auto"/>
              <w:left w:val="nil"/>
              <w:bottom w:val="single" w:sz="4" w:space="0" w:color="auto"/>
              <w:right w:val="nil"/>
            </w:tcBorders>
            <w:shd w:val="clear" w:color="auto" w:fill="auto"/>
            <w:vAlign w:val="center"/>
            <w:hideMark/>
          </w:tcPr>
          <w:p w14:paraId="0C3F7FAE" w14:textId="77777777" w:rsidR="007A6C72" w:rsidRPr="0015270F" w:rsidRDefault="007A6C72" w:rsidP="0015270F">
            <w:pPr>
              <w:spacing w:before="0" w:after="0"/>
              <w:rPr>
                <w:rStyle w:val="BookTitle"/>
              </w:rPr>
            </w:pPr>
            <w:r w:rsidRPr="0015270F">
              <w:rPr>
                <w:rStyle w:val="BookTitle"/>
              </w:rPr>
              <w:t>End Date</w:t>
            </w:r>
          </w:p>
          <w:p w14:paraId="0C3F7FAF" w14:textId="77777777" w:rsidR="007A6C72" w:rsidRPr="0015270F" w:rsidRDefault="007A6C72" w:rsidP="0015270F">
            <w:pPr>
              <w:spacing w:before="0" w:after="0"/>
              <w:rPr>
                <w:rStyle w:val="BookTitle"/>
              </w:rPr>
            </w:pPr>
            <w:r w:rsidRPr="0015270F">
              <w:rPr>
                <w:rStyle w:val="BookTitle"/>
              </w:rPr>
              <w:t>2013/2014</w:t>
            </w:r>
          </w:p>
        </w:tc>
      </w:tr>
      <w:tr w:rsidR="007A6C72" w:rsidRPr="0015270F" w14:paraId="0C3F7FB7" w14:textId="77777777" w:rsidTr="007A6C72">
        <w:trPr>
          <w:trHeight w:val="20"/>
        </w:trPr>
        <w:tc>
          <w:tcPr>
            <w:tcW w:w="1249" w:type="dxa"/>
            <w:vMerge w:val="restart"/>
            <w:tcBorders>
              <w:top w:val="nil"/>
              <w:left w:val="nil"/>
              <w:bottom w:val="single" w:sz="4" w:space="0" w:color="000000"/>
              <w:right w:val="nil"/>
            </w:tcBorders>
            <w:shd w:val="clear" w:color="auto" w:fill="auto"/>
            <w:noWrap/>
            <w:vAlign w:val="center"/>
            <w:hideMark/>
          </w:tcPr>
          <w:p w14:paraId="0C3F7FB1" w14:textId="77777777" w:rsidR="007A6C72" w:rsidRPr="0015270F" w:rsidRDefault="007A6C72" w:rsidP="0015270F">
            <w:pPr>
              <w:spacing w:before="0" w:after="0"/>
              <w:rPr>
                <w:rStyle w:val="BookTitle"/>
              </w:rPr>
            </w:pPr>
            <w:r w:rsidRPr="0015270F">
              <w:rPr>
                <w:rStyle w:val="BookTitle"/>
              </w:rPr>
              <w:t>Wet Tropics</w:t>
            </w:r>
          </w:p>
        </w:tc>
        <w:tc>
          <w:tcPr>
            <w:tcW w:w="1919" w:type="dxa"/>
            <w:tcBorders>
              <w:top w:val="nil"/>
              <w:left w:val="nil"/>
              <w:bottom w:val="nil"/>
              <w:right w:val="nil"/>
            </w:tcBorders>
            <w:shd w:val="clear" w:color="auto" w:fill="auto"/>
            <w:noWrap/>
            <w:vAlign w:val="center"/>
            <w:hideMark/>
          </w:tcPr>
          <w:p w14:paraId="0C3F7FB2" w14:textId="77777777" w:rsidR="007A6C72" w:rsidRPr="0015270F" w:rsidRDefault="007A6C72" w:rsidP="0015270F">
            <w:pPr>
              <w:spacing w:before="0" w:after="0"/>
              <w:rPr>
                <w:rStyle w:val="BookTitle"/>
              </w:rPr>
            </w:pPr>
            <w:r w:rsidRPr="0015270F">
              <w:rPr>
                <w:rStyle w:val="BookTitle"/>
              </w:rPr>
              <w:t>Daintree/Mossman</w:t>
            </w:r>
          </w:p>
        </w:tc>
        <w:tc>
          <w:tcPr>
            <w:tcW w:w="912" w:type="dxa"/>
            <w:tcBorders>
              <w:top w:val="nil"/>
              <w:left w:val="nil"/>
              <w:bottom w:val="nil"/>
              <w:right w:val="nil"/>
            </w:tcBorders>
            <w:shd w:val="clear" w:color="auto" w:fill="auto"/>
            <w:noWrap/>
            <w:vAlign w:val="center"/>
            <w:hideMark/>
          </w:tcPr>
          <w:p w14:paraId="0C3F7FB3" w14:textId="77777777" w:rsidR="007A6C72" w:rsidRPr="0015270F" w:rsidRDefault="007A6C72" w:rsidP="0015270F">
            <w:pPr>
              <w:spacing w:before="0" w:after="0"/>
              <w:rPr>
                <w:rStyle w:val="BookTitle"/>
              </w:rPr>
            </w:pPr>
            <w:r w:rsidRPr="0015270F">
              <w:rPr>
                <w:rStyle w:val="BookTitle"/>
              </w:rPr>
              <w:t>1</w:t>
            </w:r>
          </w:p>
        </w:tc>
        <w:tc>
          <w:tcPr>
            <w:tcW w:w="1149" w:type="dxa"/>
            <w:tcBorders>
              <w:top w:val="nil"/>
              <w:left w:val="nil"/>
              <w:bottom w:val="nil"/>
              <w:right w:val="nil"/>
            </w:tcBorders>
            <w:shd w:val="clear" w:color="auto" w:fill="auto"/>
            <w:noWrap/>
            <w:vAlign w:val="center"/>
            <w:hideMark/>
          </w:tcPr>
          <w:p w14:paraId="0C3F7FB4" w14:textId="77777777" w:rsidR="007A6C72" w:rsidRPr="0015270F" w:rsidRDefault="007A6C72" w:rsidP="0015270F">
            <w:pPr>
              <w:spacing w:before="0" w:after="0"/>
              <w:rPr>
                <w:rStyle w:val="BookTitle"/>
              </w:rPr>
            </w:pPr>
            <w:r w:rsidRPr="0015270F">
              <w:rPr>
                <w:rStyle w:val="BookTitle"/>
              </w:rPr>
              <w:t>5</w:t>
            </w:r>
          </w:p>
        </w:tc>
        <w:tc>
          <w:tcPr>
            <w:tcW w:w="1299" w:type="dxa"/>
            <w:tcBorders>
              <w:top w:val="nil"/>
              <w:left w:val="nil"/>
              <w:bottom w:val="nil"/>
              <w:right w:val="nil"/>
            </w:tcBorders>
            <w:shd w:val="clear" w:color="auto" w:fill="auto"/>
            <w:noWrap/>
            <w:vAlign w:val="center"/>
            <w:hideMark/>
          </w:tcPr>
          <w:p w14:paraId="0C3F7FB5" w14:textId="77777777" w:rsidR="007A6C72" w:rsidRPr="0015270F" w:rsidRDefault="007A6C72" w:rsidP="0015270F">
            <w:pPr>
              <w:spacing w:before="0" w:after="0"/>
              <w:rPr>
                <w:rStyle w:val="BookTitle"/>
              </w:rPr>
            </w:pPr>
            <w:r w:rsidRPr="0015270F">
              <w:rPr>
                <w:rStyle w:val="BookTitle"/>
              </w:rPr>
              <w:t>30/11/2012</w:t>
            </w:r>
          </w:p>
        </w:tc>
        <w:tc>
          <w:tcPr>
            <w:tcW w:w="1299" w:type="dxa"/>
            <w:tcBorders>
              <w:top w:val="nil"/>
              <w:left w:val="nil"/>
              <w:bottom w:val="nil"/>
              <w:right w:val="nil"/>
            </w:tcBorders>
            <w:shd w:val="clear" w:color="auto" w:fill="auto"/>
            <w:noWrap/>
            <w:vAlign w:val="center"/>
            <w:hideMark/>
          </w:tcPr>
          <w:p w14:paraId="0C3F7FB6" w14:textId="77777777" w:rsidR="007A6C72" w:rsidRPr="0015270F" w:rsidRDefault="007A6C72" w:rsidP="0015270F">
            <w:pPr>
              <w:spacing w:before="0" w:after="0"/>
              <w:rPr>
                <w:rStyle w:val="BookTitle"/>
              </w:rPr>
            </w:pPr>
            <w:r w:rsidRPr="0015270F">
              <w:rPr>
                <w:rStyle w:val="BookTitle"/>
              </w:rPr>
              <w:t>02/02/2013</w:t>
            </w:r>
          </w:p>
        </w:tc>
      </w:tr>
      <w:tr w:rsidR="007A6C72" w:rsidRPr="0015270F" w14:paraId="0C3F7FBE" w14:textId="77777777" w:rsidTr="007A6C72">
        <w:trPr>
          <w:trHeight w:val="20"/>
        </w:trPr>
        <w:tc>
          <w:tcPr>
            <w:tcW w:w="1249" w:type="dxa"/>
            <w:vMerge/>
            <w:tcBorders>
              <w:top w:val="nil"/>
              <w:left w:val="nil"/>
              <w:bottom w:val="single" w:sz="4" w:space="0" w:color="000000"/>
              <w:right w:val="nil"/>
            </w:tcBorders>
            <w:vAlign w:val="center"/>
            <w:hideMark/>
          </w:tcPr>
          <w:p w14:paraId="0C3F7FB8" w14:textId="77777777" w:rsidR="007A6C72" w:rsidRPr="0015270F" w:rsidRDefault="007A6C72" w:rsidP="0015270F">
            <w:pPr>
              <w:spacing w:before="0" w:after="0"/>
              <w:rPr>
                <w:rStyle w:val="BookTitle"/>
              </w:rPr>
            </w:pPr>
          </w:p>
        </w:tc>
        <w:tc>
          <w:tcPr>
            <w:tcW w:w="1919" w:type="dxa"/>
            <w:tcBorders>
              <w:top w:val="nil"/>
              <w:left w:val="nil"/>
              <w:bottom w:val="nil"/>
              <w:right w:val="nil"/>
            </w:tcBorders>
            <w:shd w:val="clear" w:color="auto" w:fill="auto"/>
            <w:noWrap/>
            <w:vAlign w:val="center"/>
            <w:hideMark/>
          </w:tcPr>
          <w:p w14:paraId="0C3F7FB9" w14:textId="77777777" w:rsidR="007A6C72" w:rsidRPr="0015270F" w:rsidRDefault="007A6C72" w:rsidP="0015270F">
            <w:pPr>
              <w:spacing w:before="0" w:after="0"/>
              <w:rPr>
                <w:rStyle w:val="BookTitle"/>
              </w:rPr>
            </w:pPr>
            <w:r w:rsidRPr="0015270F">
              <w:rPr>
                <w:rStyle w:val="BookTitle"/>
              </w:rPr>
              <w:t>Barron</w:t>
            </w:r>
          </w:p>
        </w:tc>
        <w:tc>
          <w:tcPr>
            <w:tcW w:w="912" w:type="dxa"/>
            <w:tcBorders>
              <w:top w:val="nil"/>
              <w:left w:val="nil"/>
              <w:bottom w:val="nil"/>
              <w:right w:val="nil"/>
            </w:tcBorders>
            <w:shd w:val="clear" w:color="auto" w:fill="auto"/>
            <w:noWrap/>
            <w:vAlign w:val="center"/>
            <w:hideMark/>
          </w:tcPr>
          <w:p w14:paraId="0C3F7FBA" w14:textId="77777777" w:rsidR="007A6C72" w:rsidRPr="0015270F" w:rsidRDefault="007A6C72" w:rsidP="0015270F">
            <w:pPr>
              <w:spacing w:before="0" w:after="0"/>
              <w:rPr>
                <w:rStyle w:val="BookTitle"/>
              </w:rPr>
            </w:pPr>
            <w:r w:rsidRPr="0015270F">
              <w:rPr>
                <w:rStyle w:val="BookTitle"/>
              </w:rPr>
              <w:t>1</w:t>
            </w:r>
          </w:p>
        </w:tc>
        <w:tc>
          <w:tcPr>
            <w:tcW w:w="1149" w:type="dxa"/>
            <w:tcBorders>
              <w:top w:val="nil"/>
              <w:left w:val="nil"/>
              <w:bottom w:val="nil"/>
              <w:right w:val="nil"/>
            </w:tcBorders>
            <w:shd w:val="clear" w:color="auto" w:fill="auto"/>
            <w:noWrap/>
            <w:vAlign w:val="center"/>
            <w:hideMark/>
          </w:tcPr>
          <w:p w14:paraId="0C3F7FBB" w14:textId="77777777" w:rsidR="007A6C72" w:rsidRPr="0015270F" w:rsidRDefault="007A6C72" w:rsidP="0015270F">
            <w:pPr>
              <w:spacing w:before="0" w:after="0"/>
              <w:rPr>
                <w:rStyle w:val="BookTitle"/>
              </w:rPr>
            </w:pPr>
            <w:r w:rsidRPr="0015270F">
              <w:rPr>
                <w:rStyle w:val="BookTitle"/>
              </w:rPr>
              <w:t>5</w:t>
            </w:r>
          </w:p>
        </w:tc>
        <w:tc>
          <w:tcPr>
            <w:tcW w:w="1299" w:type="dxa"/>
            <w:tcBorders>
              <w:top w:val="nil"/>
              <w:left w:val="nil"/>
              <w:bottom w:val="nil"/>
              <w:right w:val="nil"/>
            </w:tcBorders>
            <w:shd w:val="clear" w:color="auto" w:fill="auto"/>
            <w:noWrap/>
            <w:vAlign w:val="center"/>
            <w:hideMark/>
          </w:tcPr>
          <w:p w14:paraId="0C3F7FBC" w14:textId="77777777" w:rsidR="007A6C72" w:rsidRPr="0015270F" w:rsidRDefault="007A6C72" w:rsidP="0015270F">
            <w:pPr>
              <w:spacing w:before="0" w:after="0"/>
              <w:rPr>
                <w:rStyle w:val="BookTitle"/>
              </w:rPr>
            </w:pPr>
            <w:r w:rsidRPr="0015270F">
              <w:rPr>
                <w:rStyle w:val="BookTitle"/>
              </w:rPr>
              <w:t>05/12/2012</w:t>
            </w:r>
          </w:p>
        </w:tc>
        <w:tc>
          <w:tcPr>
            <w:tcW w:w="1299" w:type="dxa"/>
            <w:tcBorders>
              <w:top w:val="nil"/>
              <w:left w:val="nil"/>
              <w:bottom w:val="nil"/>
              <w:right w:val="nil"/>
            </w:tcBorders>
            <w:shd w:val="clear" w:color="auto" w:fill="auto"/>
            <w:noWrap/>
            <w:vAlign w:val="center"/>
            <w:hideMark/>
          </w:tcPr>
          <w:p w14:paraId="0C3F7FBD" w14:textId="77777777" w:rsidR="007A6C72" w:rsidRPr="0015270F" w:rsidRDefault="007A6C72" w:rsidP="0015270F">
            <w:pPr>
              <w:spacing w:before="0" w:after="0"/>
              <w:rPr>
                <w:rStyle w:val="BookTitle"/>
              </w:rPr>
            </w:pPr>
            <w:r w:rsidRPr="0015270F">
              <w:rPr>
                <w:rStyle w:val="BookTitle"/>
              </w:rPr>
              <w:t>03/02/2013</w:t>
            </w:r>
          </w:p>
        </w:tc>
      </w:tr>
      <w:tr w:rsidR="007A6C72" w:rsidRPr="0015270F" w14:paraId="0C3F7FC5" w14:textId="77777777" w:rsidTr="007A6C72">
        <w:trPr>
          <w:trHeight w:val="20"/>
        </w:trPr>
        <w:tc>
          <w:tcPr>
            <w:tcW w:w="1249" w:type="dxa"/>
            <w:vMerge/>
            <w:tcBorders>
              <w:top w:val="nil"/>
              <w:left w:val="nil"/>
              <w:bottom w:val="single" w:sz="4" w:space="0" w:color="000000"/>
              <w:right w:val="nil"/>
            </w:tcBorders>
            <w:vAlign w:val="center"/>
            <w:hideMark/>
          </w:tcPr>
          <w:p w14:paraId="0C3F7FBF" w14:textId="77777777" w:rsidR="007A6C72" w:rsidRPr="0015270F" w:rsidRDefault="007A6C72" w:rsidP="0015270F">
            <w:pPr>
              <w:spacing w:before="0" w:after="0"/>
              <w:rPr>
                <w:rStyle w:val="BookTitle"/>
              </w:rPr>
            </w:pPr>
          </w:p>
        </w:tc>
        <w:tc>
          <w:tcPr>
            <w:tcW w:w="1919" w:type="dxa"/>
            <w:tcBorders>
              <w:top w:val="nil"/>
              <w:left w:val="nil"/>
              <w:bottom w:val="nil"/>
              <w:right w:val="nil"/>
            </w:tcBorders>
            <w:shd w:val="clear" w:color="auto" w:fill="auto"/>
            <w:noWrap/>
            <w:vAlign w:val="center"/>
            <w:hideMark/>
          </w:tcPr>
          <w:p w14:paraId="0C3F7FC0" w14:textId="77777777" w:rsidR="007A6C72" w:rsidRPr="0015270F" w:rsidRDefault="007A6C72" w:rsidP="0015270F">
            <w:pPr>
              <w:spacing w:before="0" w:after="0"/>
              <w:rPr>
                <w:rStyle w:val="BookTitle"/>
              </w:rPr>
            </w:pPr>
            <w:r w:rsidRPr="0015270F">
              <w:rPr>
                <w:rStyle w:val="BookTitle"/>
              </w:rPr>
              <w:t>Russell/Mulgrave</w:t>
            </w:r>
          </w:p>
        </w:tc>
        <w:tc>
          <w:tcPr>
            <w:tcW w:w="912" w:type="dxa"/>
            <w:tcBorders>
              <w:top w:val="nil"/>
              <w:left w:val="nil"/>
              <w:bottom w:val="nil"/>
              <w:right w:val="nil"/>
            </w:tcBorders>
            <w:shd w:val="clear" w:color="auto" w:fill="auto"/>
            <w:noWrap/>
            <w:vAlign w:val="center"/>
            <w:hideMark/>
          </w:tcPr>
          <w:p w14:paraId="0C3F7FC1" w14:textId="77777777" w:rsidR="007A6C72" w:rsidRPr="0015270F" w:rsidRDefault="007A6C72" w:rsidP="0015270F">
            <w:pPr>
              <w:spacing w:before="0" w:after="0"/>
              <w:rPr>
                <w:rStyle w:val="BookTitle"/>
              </w:rPr>
            </w:pPr>
            <w:r w:rsidRPr="0015270F">
              <w:rPr>
                <w:rStyle w:val="BookTitle"/>
              </w:rPr>
              <w:t>1</w:t>
            </w:r>
          </w:p>
        </w:tc>
        <w:tc>
          <w:tcPr>
            <w:tcW w:w="1149" w:type="dxa"/>
            <w:tcBorders>
              <w:top w:val="nil"/>
              <w:left w:val="nil"/>
              <w:bottom w:val="nil"/>
              <w:right w:val="nil"/>
            </w:tcBorders>
            <w:shd w:val="clear" w:color="auto" w:fill="auto"/>
            <w:noWrap/>
            <w:vAlign w:val="center"/>
            <w:hideMark/>
          </w:tcPr>
          <w:p w14:paraId="0C3F7FC2" w14:textId="77777777" w:rsidR="007A6C72" w:rsidRPr="0015270F" w:rsidRDefault="00F46A03" w:rsidP="0015270F">
            <w:pPr>
              <w:spacing w:before="0" w:after="0"/>
              <w:rPr>
                <w:rStyle w:val="BookTitle"/>
              </w:rPr>
            </w:pPr>
            <w:r>
              <w:rPr>
                <w:rStyle w:val="BookTitle"/>
              </w:rPr>
              <w:t>7</w:t>
            </w:r>
          </w:p>
        </w:tc>
        <w:tc>
          <w:tcPr>
            <w:tcW w:w="1299" w:type="dxa"/>
            <w:tcBorders>
              <w:top w:val="nil"/>
              <w:left w:val="nil"/>
              <w:bottom w:val="nil"/>
              <w:right w:val="nil"/>
            </w:tcBorders>
            <w:shd w:val="clear" w:color="auto" w:fill="auto"/>
            <w:noWrap/>
            <w:vAlign w:val="center"/>
            <w:hideMark/>
          </w:tcPr>
          <w:p w14:paraId="0C3F7FC3" w14:textId="77777777" w:rsidR="007A6C72" w:rsidRPr="0015270F" w:rsidRDefault="007A6C72" w:rsidP="0015270F">
            <w:pPr>
              <w:spacing w:before="0" w:after="0"/>
              <w:rPr>
                <w:rStyle w:val="BookTitle"/>
              </w:rPr>
            </w:pPr>
            <w:r w:rsidRPr="0015270F">
              <w:rPr>
                <w:rStyle w:val="BookTitle"/>
              </w:rPr>
              <w:t>10/12/2012</w:t>
            </w:r>
          </w:p>
        </w:tc>
        <w:tc>
          <w:tcPr>
            <w:tcW w:w="1299" w:type="dxa"/>
            <w:tcBorders>
              <w:top w:val="nil"/>
              <w:left w:val="nil"/>
              <w:bottom w:val="nil"/>
              <w:right w:val="nil"/>
            </w:tcBorders>
            <w:shd w:val="clear" w:color="auto" w:fill="auto"/>
            <w:noWrap/>
            <w:vAlign w:val="center"/>
            <w:hideMark/>
          </w:tcPr>
          <w:p w14:paraId="0C3F7FC4" w14:textId="77777777" w:rsidR="007A6C72" w:rsidRPr="0015270F" w:rsidRDefault="007A6C72" w:rsidP="0015270F">
            <w:pPr>
              <w:spacing w:before="0" w:after="0"/>
              <w:rPr>
                <w:rStyle w:val="BookTitle"/>
              </w:rPr>
            </w:pPr>
            <w:r w:rsidRPr="0015270F">
              <w:rPr>
                <w:rStyle w:val="BookTitle"/>
              </w:rPr>
              <w:t>03/02/2013</w:t>
            </w:r>
          </w:p>
        </w:tc>
      </w:tr>
      <w:tr w:rsidR="007A6C72" w:rsidRPr="0015270F" w14:paraId="0C3F7FCC" w14:textId="77777777" w:rsidTr="007A6C72">
        <w:trPr>
          <w:trHeight w:val="20"/>
        </w:trPr>
        <w:tc>
          <w:tcPr>
            <w:tcW w:w="1249" w:type="dxa"/>
            <w:vMerge/>
            <w:tcBorders>
              <w:top w:val="nil"/>
              <w:left w:val="nil"/>
              <w:bottom w:val="single" w:sz="4" w:space="0" w:color="000000"/>
              <w:right w:val="nil"/>
            </w:tcBorders>
            <w:vAlign w:val="center"/>
            <w:hideMark/>
          </w:tcPr>
          <w:p w14:paraId="0C3F7FC6" w14:textId="77777777" w:rsidR="007A6C72" w:rsidRPr="0015270F" w:rsidRDefault="007A6C72" w:rsidP="0015270F">
            <w:pPr>
              <w:spacing w:before="0" w:after="0"/>
              <w:rPr>
                <w:rStyle w:val="BookTitle"/>
              </w:rPr>
            </w:pPr>
          </w:p>
        </w:tc>
        <w:tc>
          <w:tcPr>
            <w:tcW w:w="1919" w:type="dxa"/>
            <w:tcBorders>
              <w:top w:val="nil"/>
              <w:left w:val="nil"/>
              <w:bottom w:val="nil"/>
              <w:right w:val="nil"/>
            </w:tcBorders>
            <w:shd w:val="clear" w:color="auto" w:fill="auto"/>
            <w:noWrap/>
            <w:vAlign w:val="center"/>
            <w:hideMark/>
          </w:tcPr>
          <w:p w14:paraId="0C3F7FC7" w14:textId="77777777" w:rsidR="007A6C72" w:rsidRPr="0015270F" w:rsidRDefault="007A6C72" w:rsidP="0015270F">
            <w:pPr>
              <w:spacing w:before="0" w:after="0"/>
              <w:rPr>
                <w:rStyle w:val="BookTitle"/>
              </w:rPr>
            </w:pPr>
            <w:r w:rsidRPr="0015270F">
              <w:rPr>
                <w:rStyle w:val="BookTitle"/>
              </w:rPr>
              <w:t>Tully</w:t>
            </w:r>
          </w:p>
        </w:tc>
        <w:tc>
          <w:tcPr>
            <w:tcW w:w="912" w:type="dxa"/>
            <w:tcBorders>
              <w:top w:val="nil"/>
              <w:left w:val="nil"/>
              <w:bottom w:val="nil"/>
              <w:right w:val="nil"/>
            </w:tcBorders>
            <w:shd w:val="clear" w:color="auto" w:fill="auto"/>
            <w:noWrap/>
            <w:vAlign w:val="center"/>
            <w:hideMark/>
          </w:tcPr>
          <w:p w14:paraId="0C3F7FC8" w14:textId="77777777" w:rsidR="007A6C72" w:rsidRPr="0015270F" w:rsidRDefault="007A6C72" w:rsidP="0015270F">
            <w:pPr>
              <w:spacing w:before="0" w:after="0"/>
              <w:rPr>
                <w:rStyle w:val="BookTitle"/>
              </w:rPr>
            </w:pPr>
            <w:r w:rsidRPr="0015270F">
              <w:rPr>
                <w:rStyle w:val="BookTitle"/>
              </w:rPr>
              <w:t>4</w:t>
            </w:r>
          </w:p>
        </w:tc>
        <w:tc>
          <w:tcPr>
            <w:tcW w:w="1149" w:type="dxa"/>
            <w:tcBorders>
              <w:top w:val="nil"/>
              <w:left w:val="nil"/>
              <w:bottom w:val="nil"/>
              <w:right w:val="nil"/>
            </w:tcBorders>
            <w:shd w:val="clear" w:color="auto" w:fill="auto"/>
            <w:noWrap/>
            <w:vAlign w:val="center"/>
            <w:hideMark/>
          </w:tcPr>
          <w:p w14:paraId="0C3F7FC9" w14:textId="77777777" w:rsidR="007A6C72" w:rsidRPr="0015270F" w:rsidRDefault="00F46A03" w:rsidP="00F46A03">
            <w:pPr>
              <w:spacing w:before="0" w:after="0"/>
              <w:rPr>
                <w:rStyle w:val="BookTitle"/>
              </w:rPr>
            </w:pPr>
            <w:r w:rsidRPr="0015270F">
              <w:rPr>
                <w:rStyle w:val="BookTitle"/>
              </w:rPr>
              <w:t>4</w:t>
            </w:r>
            <w:r>
              <w:rPr>
                <w:rStyle w:val="BookTitle"/>
              </w:rPr>
              <w:t>3</w:t>
            </w:r>
          </w:p>
        </w:tc>
        <w:tc>
          <w:tcPr>
            <w:tcW w:w="1299" w:type="dxa"/>
            <w:tcBorders>
              <w:top w:val="nil"/>
              <w:left w:val="nil"/>
              <w:bottom w:val="nil"/>
              <w:right w:val="nil"/>
            </w:tcBorders>
            <w:shd w:val="clear" w:color="auto" w:fill="auto"/>
            <w:noWrap/>
            <w:vAlign w:val="center"/>
            <w:hideMark/>
          </w:tcPr>
          <w:p w14:paraId="0C3F7FCA" w14:textId="77777777" w:rsidR="007A6C72" w:rsidRPr="0015270F" w:rsidRDefault="007A6C72" w:rsidP="0015270F">
            <w:pPr>
              <w:spacing w:before="0" w:after="0"/>
              <w:rPr>
                <w:rStyle w:val="BookTitle"/>
              </w:rPr>
            </w:pPr>
            <w:r w:rsidRPr="0015270F">
              <w:rPr>
                <w:rStyle w:val="BookTitle"/>
              </w:rPr>
              <w:t>10/11/2012</w:t>
            </w:r>
          </w:p>
        </w:tc>
        <w:tc>
          <w:tcPr>
            <w:tcW w:w="1299" w:type="dxa"/>
            <w:tcBorders>
              <w:top w:val="nil"/>
              <w:left w:val="nil"/>
              <w:bottom w:val="nil"/>
              <w:right w:val="nil"/>
            </w:tcBorders>
            <w:shd w:val="clear" w:color="auto" w:fill="auto"/>
            <w:noWrap/>
            <w:vAlign w:val="center"/>
            <w:hideMark/>
          </w:tcPr>
          <w:p w14:paraId="0C3F7FCB" w14:textId="77777777" w:rsidR="007A6C72" w:rsidRPr="0015270F" w:rsidRDefault="007A6C72" w:rsidP="0015270F">
            <w:pPr>
              <w:spacing w:before="0" w:after="0"/>
              <w:rPr>
                <w:rStyle w:val="BookTitle"/>
              </w:rPr>
            </w:pPr>
            <w:r w:rsidRPr="0015270F">
              <w:rPr>
                <w:rStyle w:val="BookTitle"/>
              </w:rPr>
              <w:t>16/04/2013</w:t>
            </w:r>
          </w:p>
        </w:tc>
      </w:tr>
      <w:tr w:rsidR="007A6C72" w:rsidRPr="0015270F" w14:paraId="0C3F7FD3" w14:textId="77777777" w:rsidTr="007A6C72">
        <w:trPr>
          <w:trHeight w:val="20"/>
        </w:trPr>
        <w:tc>
          <w:tcPr>
            <w:tcW w:w="1249" w:type="dxa"/>
            <w:vMerge/>
            <w:tcBorders>
              <w:top w:val="nil"/>
              <w:left w:val="nil"/>
              <w:bottom w:val="single" w:sz="4" w:space="0" w:color="000000"/>
              <w:right w:val="nil"/>
            </w:tcBorders>
            <w:vAlign w:val="center"/>
            <w:hideMark/>
          </w:tcPr>
          <w:p w14:paraId="0C3F7FCD" w14:textId="77777777" w:rsidR="007A6C72" w:rsidRPr="0015270F" w:rsidRDefault="007A6C72" w:rsidP="0015270F">
            <w:pPr>
              <w:spacing w:before="0" w:after="0"/>
              <w:rPr>
                <w:rStyle w:val="BookTitle"/>
              </w:rPr>
            </w:pPr>
          </w:p>
        </w:tc>
        <w:tc>
          <w:tcPr>
            <w:tcW w:w="1919" w:type="dxa"/>
            <w:tcBorders>
              <w:top w:val="nil"/>
              <w:left w:val="nil"/>
              <w:right w:val="nil"/>
            </w:tcBorders>
            <w:shd w:val="clear" w:color="auto" w:fill="auto"/>
            <w:noWrap/>
            <w:vAlign w:val="center"/>
            <w:hideMark/>
          </w:tcPr>
          <w:p w14:paraId="0C3F7FCE" w14:textId="77777777" w:rsidR="007A6C72" w:rsidRPr="0015270F" w:rsidRDefault="007A6C72" w:rsidP="0015270F">
            <w:pPr>
              <w:spacing w:before="0" w:after="0"/>
              <w:rPr>
                <w:rStyle w:val="BookTitle"/>
              </w:rPr>
            </w:pPr>
            <w:r w:rsidRPr="0015270F">
              <w:rPr>
                <w:rStyle w:val="BookTitle"/>
              </w:rPr>
              <w:t>Northern Herbert</w:t>
            </w:r>
          </w:p>
        </w:tc>
        <w:tc>
          <w:tcPr>
            <w:tcW w:w="912" w:type="dxa"/>
            <w:tcBorders>
              <w:top w:val="nil"/>
              <w:left w:val="nil"/>
              <w:right w:val="nil"/>
            </w:tcBorders>
            <w:shd w:val="clear" w:color="auto" w:fill="auto"/>
            <w:noWrap/>
            <w:vAlign w:val="center"/>
            <w:hideMark/>
          </w:tcPr>
          <w:p w14:paraId="0C3F7FCF" w14:textId="77777777" w:rsidR="007A6C72" w:rsidRPr="0015270F" w:rsidRDefault="007A6C72" w:rsidP="0015270F">
            <w:pPr>
              <w:spacing w:before="0" w:after="0"/>
              <w:rPr>
                <w:rStyle w:val="BookTitle"/>
              </w:rPr>
            </w:pPr>
            <w:r w:rsidRPr="0015270F">
              <w:rPr>
                <w:rStyle w:val="BookTitle"/>
              </w:rPr>
              <w:t>2</w:t>
            </w:r>
          </w:p>
        </w:tc>
        <w:tc>
          <w:tcPr>
            <w:tcW w:w="1149" w:type="dxa"/>
            <w:tcBorders>
              <w:top w:val="nil"/>
              <w:left w:val="nil"/>
              <w:right w:val="nil"/>
            </w:tcBorders>
            <w:shd w:val="clear" w:color="auto" w:fill="auto"/>
            <w:noWrap/>
            <w:vAlign w:val="center"/>
            <w:hideMark/>
          </w:tcPr>
          <w:p w14:paraId="0C3F7FD0" w14:textId="77777777" w:rsidR="007A6C72" w:rsidRPr="0015270F" w:rsidRDefault="007A6C72" w:rsidP="0015270F">
            <w:pPr>
              <w:spacing w:before="0" w:after="0"/>
              <w:rPr>
                <w:rStyle w:val="BookTitle"/>
              </w:rPr>
            </w:pPr>
            <w:r w:rsidRPr="0015270F">
              <w:rPr>
                <w:rStyle w:val="BookTitle"/>
              </w:rPr>
              <w:t>12</w:t>
            </w:r>
          </w:p>
        </w:tc>
        <w:tc>
          <w:tcPr>
            <w:tcW w:w="1299" w:type="dxa"/>
            <w:tcBorders>
              <w:top w:val="nil"/>
              <w:left w:val="nil"/>
              <w:right w:val="nil"/>
            </w:tcBorders>
            <w:shd w:val="clear" w:color="auto" w:fill="auto"/>
            <w:noWrap/>
            <w:vAlign w:val="center"/>
            <w:hideMark/>
          </w:tcPr>
          <w:p w14:paraId="0C3F7FD1" w14:textId="77777777" w:rsidR="007A6C72" w:rsidRPr="0015270F" w:rsidRDefault="007A6C72" w:rsidP="0015270F">
            <w:pPr>
              <w:spacing w:before="0" w:after="0"/>
              <w:rPr>
                <w:rStyle w:val="BookTitle"/>
              </w:rPr>
            </w:pPr>
            <w:r w:rsidRPr="0015270F">
              <w:rPr>
                <w:rStyle w:val="BookTitle"/>
              </w:rPr>
              <w:t>16/01/2013</w:t>
            </w:r>
          </w:p>
        </w:tc>
        <w:tc>
          <w:tcPr>
            <w:tcW w:w="1299" w:type="dxa"/>
            <w:tcBorders>
              <w:top w:val="nil"/>
              <w:left w:val="nil"/>
              <w:right w:val="nil"/>
            </w:tcBorders>
            <w:shd w:val="clear" w:color="auto" w:fill="auto"/>
            <w:noWrap/>
            <w:vAlign w:val="center"/>
            <w:hideMark/>
          </w:tcPr>
          <w:p w14:paraId="0C3F7FD2" w14:textId="77777777" w:rsidR="007A6C72" w:rsidRPr="0015270F" w:rsidRDefault="007A6C72" w:rsidP="0015270F">
            <w:pPr>
              <w:spacing w:before="0" w:after="0"/>
              <w:rPr>
                <w:rStyle w:val="BookTitle"/>
              </w:rPr>
            </w:pPr>
            <w:r w:rsidRPr="0015270F">
              <w:rPr>
                <w:rStyle w:val="BookTitle"/>
              </w:rPr>
              <w:t>25/03/2013</w:t>
            </w:r>
          </w:p>
        </w:tc>
      </w:tr>
      <w:tr w:rsidR="007A6C72" w:rsidRPr="0015270F" w14:paraId="0C3F7FDA" w14:textId="77777777" w:rsidTr="007A6C72">
        <w:trPr>
          <w:trHeight w:val="20"/>
        </w:trPr>
        <w:tc>
          <w:tcPr>
            <w:tcW w:w="1249" w:type="dxa"/>
            <w:vMerge/>
            <w:tcBorders>
              <w:top w:val="nil"/>
              <w:left w:val="nil"/>
              <w:bottom w:val="single" w:sz="4" w:space="0" w:color="000000"/>
              <w:right w:val="nil"/>
            </w:tcBorders>
            <w:vAlign w:val="center"/>
            <w:hideMark/>
          </w:tcPr>
          <w:p w14:paraId="0C3F7FD4" w14:textId="77777777" w:rsidR="007A6C72" w:rsidRPr="0015270F" w:rsidRDefault="007A6C72" w:rsidP="0015270F">
            <w:pPr>
              <w:spacing w:before="0" w:after="0"/>
              <w:rPr>
                <w:rStyle w:val="BookTitle"/>
              </w:rPr>
            </w:pPr>
          </w:p>
        </w:tc>
        <w:tc>
          <w:tcPr>
            <w:tcW w:w="1919" w:type="dxa"/>
            <w:tcBorders>
              <w:top w:val="nil"/>
              <w:left w:val="nil"/>
              <w:bottom w:val="single" w:sz="4" w:space="0" w:color="auto"/>
              <w:right w:val="nil"/>
            </w:tcBorders>
            <w:shd w:val="clear" w:color="auto" w:fill="auto"/>
            <w:noWrap/>
            <w:vAlign w:val="center"/>
            <w:hideMark/>
          </w:tcPr>
          <w:p w14:paraId="0C3F7FD5" w14:textId="77777777" w:rsidR="007A6C72" w:rsidRPr="0015270F" w:rsidRDefault="007A6C72" w:rsidP="0015270F">
            <w:pPr>
              <w:spacing w:before="0" w:after="0"/>
              <w:rPr>
                <w:rStyle w:val="BookTitle"/>
              </w:rPr>
            </w:pPr>
            <w:r w:rsidRPr="0015270F">
              <w:rPr>
                <w:rStyle w:val="BookTitle"/>
              </w:rPr>
              <w:t>Southern Herbert</w:t>
            </w:r>
          </w:p>
        </w:tc>
        <w:tc>
          <w:tcPr>
            <w:tcW w:w="912" w:type="dxa"/>
            <w:tcBorders>
              <w:top w:val="nil"/>
              <w:left w:val="nil"/>
              <w:bottom w:val="single" w:sz="4" w:space="0" w:color="auto"/>
              <w:right w:val="nil"/>
            </w:tcBorders>
            <w:shd w:val="clear" w:color="auto" w:fill="auto"/>
            <w:noWrap/>
            <w:vAlign w:val="center"/>
            <w:hideMark/>
          </w:tcPr>
          <w:p w14:paraId="0C3F7FD6" w14:textId="77777777" w:rsidR="007A6C72" w:rsidRPr="0015270F" w:rsidRDefault="007A6C72" w:rsidP="0015270F">
            <w:pPr>
              <w:spacing w:before="0" w:after="0"/>
              <w:rPr>
                <w:rStyle w:val="BookTitle"/>
              </w:rPr>
            </w:pPr>
            <w:r w:rsidRPr="0015270F">
              <w:rPr>
                <w:rStyle w:val="BookTitle"/>
              </w:rPr>
              <w:t>2</w:t>
            </w:r>
          </w:p>
        </w:tc>
        <w:tc>
          <w:tcPr>
            <w:tcW w:w="1149" w:type="dxa"/>
            <w:tcBorders>
              <w:top w:val="nil"/>
              <w:left w:val="nil"/>
              <w:bottom w:val="single" w:sz="4" w:space="0" w:color="auto"/>
              <w:right w:val="nil"/>
            </w:tcBorders>
            <w:shd w:val="clear" w:color="auto" w:fill="auto"/>
            <w:noWrap/>
            <w:vAlign w:val="center"/>
            <w:hideMark/>
          </w:tcPr>
          <w:p w14:paraId="0C3F7FD7" w14:textId="77777777" w:rsidR="007A6C72" w:rsidRPr="0015270F" w:rsidRDefault="007A6C72" w:rsidP="0015270F">
            <w:pPr>
              <w:spacing w:before="0" w:after="0"/>
              <w:rPr>
                <w:rStyle w:val="BookTitle"/>
              </w:rPr>
            </w:pPr>
            <w:r w:rsidRPr="0015270F">
              <w:rPr>
                <w:rStyle w:val="BookTitle"/>
              </w:rPr>
              <w:t>14</w:t>
            </w:r>
          </w:p>
        </w:tc>
        <w:tc>
          <w:tcPr>
            <w:tcW w:w="1299" w:type="dxa"/>
            <w:tcBorders>
              <w:top w:val="nil"/>
              <w:left w:val="nil"/>
              <w:bottom w:val="single" w:sz="4" w:space="0" w:color="auto"/>
              <w:right w:val="nil"/>
            </w:tcBorders>
            <w:shd w:val="clear" w:color="auto" w:fill="auto"/>
            <w:noWrap/>
            <w:vAlign w:val="center"/>
            <w:hideMark/>
          </w:tcPr>
          <w:p w14:paraId="0C3F7FD8" w14:textId="77777777" w:rsidR="007A6C72" w:rsidRPr="0015270F" w:rsidRDefault="007A6C72" w:rsidP="0015270F">
            <w:pPr>
              <w:spacing w:before="0" w:after="0"/>
              <w:rPr>
                <w:rStyle w:val="BookTitle"/>
              </w:rPr>
            </w:pPr>
            <w:r w:rsidRPr="0015270F">
              <w:rPr>
                <w:rStyle w:val="BookTitle"/>
              </w:rPr>
              <w:t>17/01/2013</w:t>
            </w:r>
          </w:p>
        </w:tc>
        <w:tc>
          <w:tcPr>
            <w:tcW w:w="1299" w:type="dxa"/>
            <w:tcBorders>
              <w:top w:val="nil"/>
              <w:left w:val="nil"/>
              <w:bottom w:val="single" w:sz="4" w:space="0" w:color="auto"/>
              <w:right w:val="nil"/>
            </w:tcBorders>
            <w:shd w:val="clear" w:color="auto" w:fill="auto"/>
            <w:noWrap/>
            <w:vAlign w:val="center"/>
            <w:hideMark/>
          </w:tcPr>
          <w:p w14:paraId="0C3F7FD9" w14:textId="77777777" w:rsidR="007A6C72" w:rsidRPr="0015270F" w:rsidRDefault="007A6C72" w:rsidP="0015270F">
            <w:pPr>
              <w:spacing w:before="0" w:after="0"/>
              <w:rPr>
                <w:rStyle w:val="BookTitle"/>
              </w:rPr>
            </w:pPr>
            <w:r w:rsidRPr="0015270F">
              <w:rPr>
                <w:rStyle w:val="BookTitle"/>
              </w:rPr>
              <w:t>25/03/2013</w:t>
            </w:r>
          </w:p>
        </w:tc>
      </w:tr>
      <w:tr w:rsidR="007A6C72" w:rsidRPr="0015270F" w14:paraId="0C3F7FE1" w14:textId="77777777" w:rsidTr="007A6C72">
        <w:trPr>
          <w:trHeight w:val="20"/>
        </w:trPr>
        <w:tc>
          <w:tcPr>
            <w:tcW w:w="1249" w:type="dxa"/>
            <w:vMerge w:val="restart"/>
            <w:tcBorders>
              <w:top w:val="nil"/>
              <w:left w:val="nil"/>
              <w:right w:val="nil"/>
            </w:tcBorders>
            <w:shd w:val="clear" w:color="auto" w:fill="auto"/>
            <w:noWrap/>
            <w:vAlign w:val="center"/>
            <w:hideMark/>
          </w:tcPr>
          <w:p w14:paraId="0C3F7FDB" w14:textId="77777777" w:rsidR="007A6C72" w:rsidRPr="0015270F" w:rsidRDefault="007A6C72" w:rsidP="0015270F">
            <w:pPr>
              <w:spacing w:before="0" w:after="0"/>
              <w:rPr>
                <w:rStyle w:val="BookTitle"/>
              </w:rPr>
            </w:pPr>
            <w:r w:rsidRPr="0015270F">
              <w:rPr>
                <w:rStyle w:val="BookTitle"/>
              </w:rPr>
              <w:t>Burdekin</w:t>
            </w:r>
          </w:p>
        </w:tc>
        <w:tc>
          <w:tcPr>
            <w:tcW w:w="1919" w:type="dxa"/>
            <w:tcBorders>
              <w:top w:val="single" w:sz="4" w:space="0" w:color="auto"/>
              <w:left w:val="nil"/>
              <w:right w:val="nil"/>
            </w:tcBorders>
            <w:shd w:val="clear" w:color="auto" w:fill="auto"/>
            <w:noWrap/>
            <w:vAlign w:val="center"/>
            <w:hideMark/>
          </w:tcPr>
          <w:p w14:paraId="0C3F7FDC" w14:textId="77777777" w:rsidR="007A6C72" w:rsidRPr="0015270F" w:rsidRDefault="007A6C72" w:rsidP="0015270F">
            <w:pPr>
              <w:spacing w:before="0" w:after="0"/>
              <w:rPr>
                <w:rStyle w:val="BookTitle"/>
              </w:rPr>
            </w:pPr>
            <w:r w:rsidRPr="0015270F">
              <w:rPr>
                <w:rStyle w:val="BookTitle"/>
              </w:rPr>
              <w:t>Burdekin</w:t>
            </w:r>
          </w:p>
        </w:tc>
        <w:tc>
          <w:tcPr>
            <w:tcW w:w="912" w:type="dxa"/>
            <w:tcBorders>
              <w:top w:val="single" w:sz="4" w:space="0" w:color="auto"/>
              <w:left w:val="nil"/>
              <w:right w:val="nil"/>
            </w:tcBorders>
            <w:shd w:val="clear" w:color="auto" w:fill="auto"/>
            <w:noWrap/>
            <w:vAlign w:val="center"/>
            <w:hideMark/>
          </w:tcPr>
          <w:p w14:paraId="0C3F7FDD" w14:textId="77777777" w:rsidR="007A6C72" w:rsidRPr="0015270F" w:rsidRDefault="007A6C72" w:rsidP="0015270F">
            <w:pPr>
              <w:spacing w:before="0" w:after="0"/>
              <w:rPr>
                <w:rStyle w:val="BookTitle"/>
              </w:rPr>
            </w:pPr>
            <w:r w:rsidRPr="0015270F">
              <w:rPr>
                <w:rStyle w:val="BookTitle"/>
              </w:rPr>
              <w:t>1</w:t>
            </w:r>
          </w:p>
        </w:tc>
        <w:tc>
          <w:tcPr>
            <w:tcW w:w="1149" w:type="dxa"/>
            <w:tcBorders>
              <w:top w:val="single" w:sz="4" w:space="0" w:color="auto"/>
              <w:left w:val="nil"/>
              <w:right w:val="nil"/>
            </w:tcBorders>
            <w:shd w:val="clear" w:color="auto" w:fill="auto"/>
            <w:noWrap/>
            <w:vAlign w:val="center"/>
            <w:hideMark/>
          </w:tcPr>
          <w:p w14:paraId="0C3F7FDE" w14:textId="77777777" w:rsidR="007A6C72" w:rsidRPr="0015270F" w:rsidRDefault="00593896" w:rsidP="0015270F">
            <w:pPr>
              <w:spacing w:before="0" w:after="0"/>
              <w:rPr>
                <w:rStyle w:val="BookTitle"/>
              </w:rPr>
            </w:pPr>
            <w:r>
              <w:rPr>
                <w:rStyle w:val="BookTitle"/>
              </w:rPr>
              <w:t>25</w:t>
            </w:r>
          </w:p>
        </w:tc>
        <w:tc>
          <w:tcPr>
            <w:tcW w:w="1299" w:type="dxa"/>
            <w:tcBorders>
              <w:top w:val="single" w:sz="4" w:space="0" w:color="auto"/>
              <w:left w:val="nil"/>
              <w:right w:val="nil"/>
            </w:tcBorders>
            <w:shd w:val="clear" w:color="auto" w:fill="auto"/>
            <w:noWrap/>
            <w:vAlign w:val="center"/>
            <w:hideMark/>
          </w:tcPr>
          <w:p w14:paraId="0C3F7FDF" w14:textId="77777777" w:rsidR="007A6C72" w:rsidRPr="0015270F" w:rsidRDefault="007A6C72" w:rsidP="0015270F">
            <w:pPr>
              <w:spacing w:before="0" w:after="0"/>
              <w:rPr>
                <w:rStyle w:val="BookTitle"/>
              </w:rPr>
            </w:pPr>
            <w:r w:rsidRPr="0015270F">
              <w:rPr>
                <w:rStyle w:val="BookTitle"/>
              </w:rPr>
              <w:t>13/03/2013</w:t>
            </w:r>
          </w:p>
        </w:tc>
        <w:tc>
          <w:tcPr>
            <w:tcW w:w="1299" w:type="dxa"/>
            <w:tcBorders>
              <w:top w:val="single" w:sz="4" w:space="0" w:color="auto"/>
              <w:left w:val="nil"/>
              <w:right w:val="nil"/>
            </w:tcBorders>
            <w:shd w:val="clear" w:color="auto" w:fill="auto"/>
            <w:noWrap/>
            <w:vAlign w:val="center"/>
            <w:hideMark/>
          </w:tcPr>
          <w:p w14:paraId="0C3F7FE0" w14:textId="77777777" w:rsidR="007A6C72" w:rsidRPr="0015270F" w:rsidRDefault="007A6C72" w:rsidP="0015270F">
            <w:pPr>
              <w:spacing w:before="0" w:after="0"/>
              <w:rPr>
                <w:rStyle w:val="BookTitle"/>
              </w:rPr>
            </w:pPr>
            <w:r w:rsidRPr="0015270F">
              <w:rPr>
                <w:rStyle w:val="BookTitle"/>
              </w:rPr>
              <w:t>18/03/2013</w:t>
            </w:r>
          </w:p>
        </w:tc>
      </w:tr>
      <w:tr w:rsidR="007A6C72" w:rsidRPr="0015270F" w14:paraId="0C3F7FE8" w14:textId="77777777" w:rsidTr="007A6C72">
        <w:trPr>
          <w:trHeight w:val="20"/>
        </w:trPr>
        <w:tc>
          <w:tcPr>
            <w:tcW w:w="1249" w:type="dxa"/>
            <w:vMerge/>
            <w:tcBorders>
              <w:left w:val="nil"/>
              <w:bottom w:val="single" w:sz="4" w:space="0" w:color="auto"/>
              <w:right w:val="nil"/>
            </w:tcBorders>
            <w:shd w:val="clear" w:color="auto" w:fill="auto"/>
            <w:noWrap/>
            <w:vAlign w:val="center"/>
          </w:tcPr>
          <w:p w14:paraId="0C3F7FE2" w14:textId="77777777" w:rsidR="007A6C72" w:rsidRPr="0015270F" w:rsidRDefault="007A6C72" w:rsidP="0015270F">
            <w:pPr>
              <w:spacing w:before="0" w:after="0"/>
              <w:rPr>
                <w:rStyle w:val="BookTitle"/>
              </w:rPr>
            </w:pPr>
          </w:p>
        </w:tc>
        <w:tc>
          <w:tcPr>
            <w:tcW w:w="1919" w:type="dxa"/>
            <w:tcBorders>
              <w:top w:val="nil"/>
              <w:left w:val="nil"/>
              <w:bottom w:val="single" w:sz="4" w:space="0" w:color="auto"/>
              <w:right w:val="nil"/>
            </w:tcBorders>
            <w:shd w:val="clear" w:color="auto" w:fill="auto"/>
            <w:noWrap/>
            <w:vAlign w:val="center"/>
          </w:tcPr>
          <w:p w14:paraId="0C3F7FE3" w14:textId="77777777" w:rsidR="007A6C72" w:rsidRPr="0015270F" w:rsidRDefault="007A6C72" w:rsidP="0015270F">
            <w:pPr>
              <w:spacing w:before="0" w:after="0"/>
              <w:rPr>
                <w:rStyle w:val="BookTitle"/>
              </w:rPr>
            </w:pPr>
            <w:r w:rsidRPr="0015270F">
              <w:rPr>
                <w:rStyle w:val="BookTitle"/>
              </w:rPr>
              <w:t>Don</w:t>
            </w:r>
          </w:p>
        </w:tc>
        <w:tc>
          <w:tcPr>
            <w:tcW w:w="912" w:type="dxa"/>
            <w:tcBorders>
              <w:top w:val="nil"/>
              <w:left w:val="nil"/>
              <w:bottom w:val="single" w:sz="4" w:space="0" w:color="auto"/>
              <w:right w:val="nil"/>
            </w:tcBorders>
            <w:shd w:val="clear" w:color="auto" w:fill="auto"/>
            <w:noWrap/>
            <w:vAlign w:val="center"/>
          </w:tcPr>
          <w:p w14:paraId="0C3F7FE4" w14:textId="77777777" w:rsidR="007A6C72" w:rsidRPr="0015270F" w:rsidRDefault="007A6C72" w:rsidP="0015270F">
            <w:pPr>
              <w:spacing w:before="0" w:after="0"/>
              <w:rPr>
                <w:rStyle w:val="BookTitle"/>
              </w:rPr>
            </w:pPr>
            <w:r w:rsidRPr="0015270F">
              <w:rPr>
                <w:rStyle w:val="BookTitle"/>
              </w:rPr>
              <w:t>1</w:t>
            </w:r>
          </w:p>
        </w:tc>
        <w:tc>
          <w:tcPr>
            <w:tcW w:w="1149" w:type="dxa"/>
            <w:tcBorders>
              <w:top w:val="nil"/>
              <w:left w:val="nil"/>
              <w:bottom w:val="single" w:sz="4" w:space="0" w:color="auto"/>
              <w:right w:val="nil"/>
            </w:tcBorders>
            <w:shd w:val="clear" w:color="auto" w:fill="auto"/>
            <w:noWrap/>
            <w:vAlign w:val="center"/>
          </w:tcPr>
          <w:p w14:paraId="0C3F7FE5" w14:textId="77777777" w:rsidR="007A6C72" w:rsidRPr="0015270F" w:rsidRDefault="007A6C72" w:rsidP="0015270F">
            <w:pPr>
              <w:spacing w:before="0" w:after="0"/>
              <w:rPr>
                <w:rStyle w:val="BookTitle"/>
              </w:rPr>
            </w:pPr>
            <w:r w:rsidRPr="0015270F">
              <w:rPr>
                <w:rStyle w:val="BookTitle"/>
              </w:rPr>
              <w:t>11</w:t>
            </w:r>
          </w:p>
        </w:tc>
        <w:tc>
          <w:tcPr>
            <w:tcW w:w="1299" w:type="dxa"/>
            <w:tcBorders>
              <w:top w:val="nil"/>
              <w:left w:val="nil"/>
              <w:bottom w:val="single" w:sz="4" w:space="0" w:color="auto"/>
              <w:right w:val="nil"/>
            </w:tcBorders>
            <w:shd w:val="clear" w:color="auto" w:fill="auto"/>
            <w:noWrap/>
            <w:vAlign w:val="center"/>
          </w:tcPr>
          <w:p w14:paraId="0C3F7FE6" w14:textId="77777777" w:rsidR="007A6C72" w:rsidRPr="0015270F" w:rsidRDefault="007A6C72" w:rsidP="0015270F">
            <w:pPr>
              <w:spacing w:before="0" w:after="0"/>
              <w:rPr>
                <w:rStyle w:val="BookTitle"/>
              </w:rPr>
            </w:pPr>
            <w:r w:rsidRPr="0015270F">
              <w:rPr>
                <w:rStyle w:val="BookTitle"/>
              </w:rPr>
              <w:t>14/03/2013</w:t>
            </w:r>
          </w:p>
        </w:tc>
        <w:tc>
          <w:tcPr>
            <w:tcW w:w="1299" w:type="dxa"/>
            <w:tcBorders>
              <w:top w:val="nil"/>
              <w:left w:val="nil"/>
              <w:bottom w:val="single" w:sz="4" w:space="0" w:color="auto"/>
              <w:right w:val="nil"/>
            </w:tcBorders>
            <w:shd w:val="clear" w:color="auto" w:fill="auto"/>
            <w:noWrap/>
            <w:vAlign w:val="center"/>
          </w:tcPr>
          <w:p w14:paraId="0C3F7FE7" w14:textId="77777777" w:rsidR="007A6C72" w:rsidRPr="0015270F" w:rsidRDefault="007A6C72" w:rsidP="0015270F">
            <w:pPr>
              <w:spacing w:before="0" w:after="0"/>
              <w:rPr>
                <w:rStyle w:val="BookTitle"/>
              </w:rPr>
            </w:pPr>
            <w:r w:rsidRPr="0015270F">
              <w:rPr>
                <w:rStyle w:val="BookTitle"/>
              </w:rPr>
              <w:t>16/03/2013</w:t>
            </w:r>
          </w:p>
        </w:tc>
      </w:tr>
    </w:tbl>
    <w:p w14:paraId="0C3F7FE9" w14:textId="77777777" w:rsidR="0015270F" w:rsidRDefault="0015270F" w:rsidP="0015270F"/>
    <w:p w14:paraId="0C3F7FEA" w14:textId="77777777" w:rsidR="0015270F" w:rsidRDefault="0015270F" w:rsidP="0015270F">
      <w:r w:rsidRPr="00AE27CD">
        <w:t xml:space="preserve">Sites within the </w:t>
      </w:r>
      <w:r>
        <w:t>Wet Tropics</w:t>
      </w:r>
      <w:r w:rsidRPr="00AE27CD">
        <w:t xml:space="preserve"> region extended </w:t>
      </w:r>
      <w:r>
        <w:t>from</w:t>
      </w:r>
      <w:r w:rsidRPr="00AE27CD">
        <w:t xml:space="preserve"> the </w:t>
      </w:r>
      <w:r>
        <w:t>south of Palm Island</w:t>
      </w:r>
      <w:r w:rsidRPr="00AE27CD">
        <w:t xml:space="preserve"> </w:t>
      </w:r>
      <w:r>
        <w:t>to</w:t>
      </w:r>
      <w:r w:rsidRPr="00AE27CD">
        <w:t xml:space="preserve"> the </w:t>
      </w:r>
      <w:r>
        <w:t>north of the Daintree River mouth (</w:t>
      </w:r>
      <w:r>
        <w:fldChar w:fldCharType="begin"/>
      </w:r>
      <w:r>
        <w:instrText xml:space="preserve"> REF _Ref428873488 \h </w:instrText>
      </w:r>
      <w:r>
        <w:fldChar w:fldCharType="separate"/>
      </w:r>
      <w:r w:rsidR="00B62B50">
        <w:t xml:space="preserve">Figure </w:t>
      </w:r>
      <w:r w:rsidR="00B62B50">
        <w:rPr>
          <w:noProof/>
        </w:rPr>
        <w:t>4</w:t>
      </w:r>
      <w:r w:rsidR="00B62B50">
        <w:noBreakHyphen/>
      </w:r>
      <w:r w:rsidR="00B62B50">
        <w:rPr>
          <w:noProof/>
        </w:rPr>
        <w:t>1</w:t>
      </w:r>
      <w:r>
        <w:fldChar w:fldCharType="end"/>
      </w:r>
      <w:r>
        <w:t>). Sampling dates covered the period between 30/11/2012 to 16/04/2013, where three major flood events were sampled: (a) on 23/01/2013 with a total daily discharge of 291,901 ML; (b) on 24/03/2013 with a total daily discharge of 102,154 ML and (c) on 13/04/2012 with a</w:t>
      </w:r>
      <w:r w:rsidRPr="00B11F49">
        <w:t xml:space="preserve"> </w:t>
      </w:r>
      <w:r>
        <w:t>total daily discharge of 83,340 ML (</w:t>
      </w:r>
      <w:r>
        <w:fldChar w:fldCharType="begin"/>
      </w:r>
      <w:r>
        <w:instrText xml:space="preserve"> REF _Ref428873545 \h </w:instrText>
      </w:r>
      <w:r>
        <w:fldChar w:fldCharType="separate"/>
      </w:r>
      <w:r w:rsidR="00B62B50">
        <w:t xml:space="preserve">Figure </w:t>
      </w:r>
      <w:r w:rsidR="00B62B50">
        <w:rPr>
          <w:noProof/>
        </w:rPr>
        <w:t>4</w:t>
      </w:r>
      <w:r w:rsidR="00B62B50">
        <w:noBreakHyphen/>
      </w:r>
      <w:r w:rsidR="00B62B50">
        <w:rPr>
          <w:noProof/>
        </w:rPr>
        <w:t>2</w:t>
      </w:r>
      <w:r>
        <w:fldChar w:fldCharType="end"/>
      </w:r>
      <w:r>
        <w:t xml:space="preserve">). Flow rates </w:t>
      </w:r>
      <w:r w:rsidRPr="0015270F">
        <w:t>in 2012-2013</w:t>
      </w:r>
      <w:r>
        <w:t xml:space="preserve"> presented the 8</w:t>
      </w:r>
      <w:r w:rsidRPr="0015270F">
        <w:rPr>
          <w:vertAlign w:val="superscript"/>
        </w:rPr>
        <w:t>th</w:t>
      </w:r>
      <w:r>
        <w:t xml:space="preserve"> highest total annual discharge within the last 13 years (</w:t>
      </w:r>
      <w:r>
        <w:fldChar w:fldCharType="begin"/>
      </w:r>
      <w:r>
        <w:instrText xml:space="preserve"> REF _Ref428873620 \h </w:instrText>
      </w:r>
      <w:r>
        <w:fldChar w:fldCharType="separate"/>
      </w:r>
      <w:r w:rsidR="00B62B50">
        <w:t xml:space="preserve">Figure </w:t>
      </w:r>
      <w:r w:rsidR="00B62B50">
        <w:rPr>
          <w:noProof/>
        </w:rPr>
        <w:t>4</w:t>
      </w:r>
      <w:r w:rsidR="00B62B50">
        <w:noBreakHyphen/>
      </w:r>
      <w:r w:rsidR="00B62B50">
        <w:rPr>
          <w:noProof/>
        </w:rPr>
        <w:t>3</w:t>
      </w:r>
      <w:r>
        <w:fldChar w:fldCharType="end"/>
      </w:r>
      <w:r>
        <w:t>).</w:t>
      </w:r>
    </w:p>
    <w:p w14:paraId="0C3F7FEB" w14:textId="77777777" w:rsidR="0015270F" w:rsidRDefault="0015270F" w:rsidP="0015270F">
      <w:r w:rsidRPr="00AE27CD">
        <w:t xml:space="preserve">Sites within the </w:t>
      </w:r>
      <w:r>
        <w:t>Burdekin</w:t>
      </w:r>
      <w:r w:rsidRPr="00AE27CD">
        <w:t xml:space="preserve"> region extended towards the </w:t>
      </w:r>
      <w:r>
        <w:t>south of Palm Island</w:t>
      </w:r>
      <w:r w:rsidRPr="00AE27CD">
        <w:t xml:space="preserve"> at the </w:t>
      </w:r>
      <w:r>
        <w:t>Edgecumbe B</w:t>
      </w:r>
      <w:r w:rsidRPr="00BF2733">
        <w:t xml:space="preserve">ay </w:t>
      </w:r>
      <w:r>
        <w:t>at B</w:t>
      </w:r>
      <w:r w:rsidRPr="00BF2733">
        <w:t>owen</w:t>
      </w:r>
      <w:r>
        <w:t xml:space="preserve"> (Figure </w:t>
      </w:r>
      <w:r w:rsidR="00F46A03">
        <w:t>4-1</w:t>
      </w:r>
      <w:r>
        <w:t>). Two regions were visited within this area, the Burdekin River and the Don River, just after the second highest peak discharge occurred in the 2012-2013 wet season (07-03-2013, 173,312 ML,</w:t>
      </w:r>
      <w:r w:rsidR="00362A9F">
        <w:t xml:space="preserve"> </w:t>
      </w:r>
      <w:r>
        <w:fldChar w:fldCharType="begin"/>
      </w:r>
      <w:r>
        <w:instrText xml:space="preserve"> REF _Ref428873545 \h </w:instrText>
      </w:r>
      <w:r>
        <w:fldChar w:fldCharType="separate"/>
      </w:r>
      <w:r w:rsidR="00B62B50">
        <w:t xml:space="preserve">Figure </w:t>
      </w:r>
      <w:r w:rsidR="00B62B50">
        <w:rPr>
          <w:noProof/>
        </w:rPr>
        <w:t>4</w:t>
      </w:r>
      <w:r w:rsidR="00B62B50">
        <w:noBreakHyphen/>
      </w:r>
      <w:r w:rsidR="00B62B50">
        <w:rPr>
          <w:noProof/>
        </w:rPr>
        <w:t>2</w:t>
      </w:r>
      <w:r>
        <w:fldChar w:fldCharType="end"/>
      </w:r>
      <w:r>
        <w:t xml:space="preserve">). Burdekin river </w:t>
      </w:r>
      <w:r w:rsidRPr="0015270F">
        <w:t>flow in 2012-2013 presented</w:t>
      </w:r>
      <w:r>
        <w:t xml:space="preserve"> the 10</w:t>
      </w:r>
      <w:r w:rsidRPr="0015270F">
        <w:rPr>
          <w:vertAlign w:val="superscript"/>
        </w:rPr>
        <w:t>th</w:t>
      </w:r>
      <w:r>
        <w:t xml:space="preserve"> highest total annual discharge within the last 13 years (</w:t>
      </w:r>
      <w:r>
        <w:fldChar w:fldCharType="begin"/>
      </w:r>
      <w:r>
        <w:instrText xml:space="preserve"> REF _Ref428873620 \h </w:instrText>
      </w:r>
      <w:r>
        <w:fldChar w:fldCharType="separate"/>
      </w:r>
      <w:r w:rsidR="00B62B50">
        <w:t xml:space="preserve">Figure </w:t>
      </w:r>
      <w:r w:rsidR="00B62B50">
        <w:rPr>
          <w:noProof/>
        </w:rPr>
        <w:t>4</w:t>
      </w:r>
      <w:r w:rsidR="00B62B50">
        <w:noBreakHyphen/>
      </w:r>
      <w:r w:rsidR="00B62B50">
        <w:rPr>
          <w:noProof/>
        </w:rPr>
        <w:t>3</w:t>
      </w:r>
      <w:r>
        <w:fldChar w:fldCharType="end"/>
      </w:r>
      <w:r>
        <w:t xml:space="preserve">). </w:t>
      </w:r>
    </w:p>
    <w:p w14:paraId="0C3F7FEC" w14:textId="77777777" w:rsidR="0015270F" w:rsidRDefault="0015270F" w:rsidP="0015270F"/>
    <w:p w14:paraId="0C3F7FED" w14:textId="77777777" w:rsidR="0015270F" w:rsidRPr="0015270F" w:rsidRDefault="007A6C72" w:rsidP="0015270F">
      <w:pPr>
        <w:rPr>
          <w:rFonts w:cs="Arial"/>
        </w:rPr>
      </w:pPr>
      <w:r>
        <w:rPr>
          <w:noProof/>
        </w:rPr>
        <w:drawing>
          <wp:inline distT="0" distB="0" distL="0" distR="0" wp14:anchorId="0C3F8FC5" wp14:editId="0C3F8FC6">
            <wp:extent cx="5412338" cy="7786838"/>
            <wp:effectExtent l="0" t="0" r="0" b="5080"/>
            <wp:docPr id="39" name="Picture 39" descr="Location of the Marine Monitoring Sites sampled in the 2012-2013 wet season under the MMP terrestrial discharge program. Site locations for the two regions sampled (Wet Tropics, Burdekin are identified by colours (see legend). " title="Location of the Marine Monitoring Sites sampled in the 2012-2013 wet season under the MMP terrestrial discharge program. Site locations for the two regions sampled (Wet Tropics, Burdekin are identified by colours (see lege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20A119-9F2B-45BF-90CD-E20EEFDD6FCB" descr="cid:6A38044F-D096-4ED1-9C06-F63916ECB53B"/>
                    <pic:cNvPicPr>
                      <a:picLocks noChangeAspect="1" noChangeArrowheads="1"/>
                    </pic:cNvPicPr>
                  </pic:nvPicPr>
                  <pic:blipFill>
                    <a:blip r:embed="rId52" r:link="rId53" cstate="print">
                      <a:extLst>
                        <a:ext uri="{28A0092B-C50C-407E-A947-70E740481C1C}">
                          <a14:useLocalDpi xmlns:a14="http://schemas.microsoft.com/office/drawing/2010/main" val="0"/>
                        </a:ext>
                      </a:extLst>
                    </a:blip>
                    <a:srcRect/>
                    <a:stretch>
                      <a:fillRect/>
                    </a:stretch>
                  </pic:blipFill>
                  <pic:spPr bwMode="auto">
                    <a:xfrm>
                      <a:off x="0" y="0"/>
                      <a:ext cx="5411091" cy="7785044"/>
                    </a:xfrm>
                    <a:prstGeom prst="rect">
                      <a:avLst/>
                    </a:prstGeom>
                    <a:noFill/>
                    <a:ln>
                      <a:noFill/>
                    </a:ln>
                  </pic:spPr>
                </pic:pic>
              </a:graphicData>
            </a:graphic>
          </wp:inline>
        </w:drawing>
      </w:r>
    </w:p>
    <w:p w14:paraId="0C3F7FEE" w14:textId="77777777" w:rsidR="0015270F" w:rsidRDefault="0015270F" w:rsidP="0015270F">
      <w:pPr>
        <w:pStyle w:val="Caption"/>
      </w:pPr>
      <w:bookmarkStart w:id="98" w:name="_Ref428873488"/>
      <w:bookmarkStart w:id="99" w:name="_Toc434208029"/>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1</w:t>
      </w:r>
      <w:r w:rsidR="00D243CD">
        <w:fldChar w:fldCharType="end"/>
      </w:r>
      <w:bookmarkEnd w:id="98"/>
      <w:r>
        <w:t xml:space="preserve">: </w:t>
      </w:r>
      <w:r w:rsidRPr="00F50DFB">
        <w:t xml:space="preserve">Location of the Marine Monitoring Sites sampled in the 2012-2013 wet season under the MMP terrestrial discharge program. Site locations for the </w:t>
      </w:r>
      <w:r>
        <w:t>two</w:t>
      </w:r>
      <w:r w:rsidRPr="00F50DFB">
        <w:t xml:space="preserve"> regions sampled (Wet Tropics, Burdekin are identified by colours (see legend).</w:t>
      </w:r>
      <w:bookmarkEnd w:id="99"/>
      <w:r>
        <w:t xml:space="preserve"> </w:t>
      </w:r>
    </w:p>
    <w:p w14:paraId="0C3F7FEF" w14:textId="77777777" w:rsidR="0015270F" w:rsidRDefault="0015270F" w:rsidP="0015270F"/>
    <w:p w14:paraId="0C3F7FF0" w14:textId="77777777" w:rsidR="0015270F" w:rsidRDefault="0015270F" w:rsidP="0015270F"/>
    <w:p w14:paraId="0C3F7FF1" w14:textId="77777777" w:rsidR="0015270F" w:rsidRPr="0015270F" w:rsidRDefault="0015270F" w:rsidP="0015270F">
      <w:pPr>
        <w:rPr>
          <w:rFonts w:cs="Arial"/>
        </w:rPr>
      </w:pPr>
      <w:r>
        <w:rPr>
          <w:noProof/>
        </w:rPr>
        <w:drawing>
          <wp:inline distT="0" distB="0" distL="0" distR="0" wp14:anchorId="0C3F8FC7" wp14:editId="0C3F8FC8">
            <wp:extent cx="5798824" cy="2907792"/>
            <wp:effectExtent l="0" t="0" r="0" b="0"/>
            <wp:docPr id="20" name="Picture 20" descr="Total daily discharge (megalitres/day) for the main NRM Wet Tropics and Burdekin rivers for the 2012-2013 wet season (Source: DNRM, http://watermonitoring.dnrm.qld.gov.au/host.htm). Dots indicate the sampling dates and colours stand for sites close to or under influence of a particular river." title="Total daily discharge (megalitres/day) for the main NRM Wet Tropics and Burdekin rivers for the 2012-2013 wet season (Source: DNRM, http://watermonitoring.dnrm.qld.gov.au/host.htm). Dots indicate the sampling dates and colours stand for sites close to or under influence of a particular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9767" r="3442" b="9535"/>
                    <a:stretch/>
                  </pic:blipFill>
                  <pic:spPr bwMode="auto">
                    <a:xfrm>
                      <a:off x="0" y="0"/>
                      <a:ext cx="5811831" cy="2914314"/>
                    </a:xfrm>
                    <a:prstGeom prst="rect">
                      <a:avLst/>
                    </a:prstGeom>
                    <a:noFill/>
                    <a:ln>
                      <a:noFill/>
                    </a:ln>
                    <a:extLst>
                      <a:ext uri="{53640926-AAD7-44D8-BBD7-CCE9431645EC}">
                        <a14:shadowObscured xmlns:a14="http://schemas.microsoft.com/office/drawing/2010/main"/>
                      </a:ext>
                    </a:extLst>
                  </pic:spPr>
                </pic:pic>
              </a:graphicData>
            </a:graphic>
          </wp:inline>
        </w:drawing>
      </w:r>
    </w:p>
    <w:p w14:paraId="0C3F7FF2" w14:textId="77777777" w:rsidR="0015270F" w:rsidRPr="0015270F" w:rsidRDefault="0015270F" w:rsidP="0015270F">
      <w:pPr>
        <w:rPr>
          <w:rFonts w:cs="Arial"/>
        </w:rPr>
      </w:pPr>
      <w:r>
        <w:rPr>
          <w:noProof/>
        </w:rPr>
        <w:drawing>
          <wp:inline distT="0" distB="0" distL="0" distR="0" wp14:anchorId="0C3F8FC9" wp14:editId="0C3F8FCA">
            <wp:extent cx="5861304" cy="2879979"/>
            <wp:effectExtent l="0" t="0" r="6350" b="0"/>
            <wp:docPr id="21" name="Picture 21" descr="Total daily discharge (megalitres/day) for the main NRM Wet Tropics and Burdekin rivers for the 2012-2013 wet season (Source: DNRM, http://watermonitoring.dnrm.qld.gov.au/host.htm). Dots indicate the sampling dates and colours stand for sites close to or under influence of a particular river." title="Total daily discharge (megalitres/day) for the main NRM Wet Tropics and Burdekin rivers for the 2012-2013 wet season (Source: DNRM, http://watermonitoring.dnrm.qld.gov.au/host.htm). Dots indicate the sampling dates and colours stand for sites close to or under influence of a particular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11627" r="3163" b="9069"/>
                    <a:stretch/>
                  </pic:blipFill>
                  <pic:spPr bwMode="auto">
                    <a:xfrm>
                      <a:off x="0" y="0"/>
                      <a:ext cx="5860996" cy="2879828"/>
                    </a:xfrm>
                    <a:prstGeom prst="rect">
                      <a:avLst/>
                    </a:prstGeom>
                    <a:noFill/>
                    <a:ln>
                      <a:noFill/>
                    </a:ln>
                    <a:extLst>
                      <a:ext uri="{53640926-AAD7-44D8-BBD7-CCE9431645EC}">
                        <a14:shadowObscured xmlns:a14="http://schemas.microsoft.com/office/drawing/2010/main"/>
                      </a:ext>
                    </a:extLst>
                  </pic:spPr>
                </pic:pic>
              </a:graphicData>
            </a:graphic>
          </wp:inline>
        </w:drawing>
      </w:r>
    </w:p>
    <w:p w14:paraId="0C3F7FF3" w14:textId="77777777" w:rsidR="0015270F" w:rsidRPr="0015270F" w:rsidRDefault="0015270F" w:rsidP="0015270F">
      <w:pPr>
        <w:pStyle w:val="Caption"/>
      </w:pPr>
      <w:bookmarkStart w:id="100" w:name="_Ref428873545"/>
      <w:bookmarkStart w:id="101" w:name="_Toc434208030"/>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2</w:t>
      </w:r>
      <w:r w:rsidR="00D243CD">
        <w:fldChar w:fldCharType="end"/>
      </w:r>
      <w:bookmarkEnd w:id="100"/>
      <w:r>
        <w:t xml:space="preserve">: </w:t>
      </w:r>
      <w:r w:rsidRPr="0015270F">
        <w:t xml:space="preserve">Total daily discharge (megalitres/day) for the main NRM Wet Tropics and Burdekin rivers for the 2012-2013 wet season (Source: DNRM, </w:t>
      </w:r>
      <w:hyperlink r:id="rId56" w:tooltip="more information" w:history="1">
        <w:r w:rsidRPr="0015270F">
          <w:rPr>
            <w:rStyle w:val="Hyperlink"/>
            <w:rFonts w:cs="Arial"/>
          </w:rPr>
          <w:t>http://watermonitoring.dnrm.qld.gov.au/host.htm</w:t>
        </w:r>
      </w:hyperlink>
      <w:r w:rsidRPr="0015270F">
        <w:t>). Dots indicate the sampling dates and colours stand for sites close to or under influence of a particular river.</w:t>
      </w:r>
      <w:bookmarkEnd w:id="101"/>
    </w:p>
    <w:p w14:paraId="0C3F7FF4" w14:textId="77777777" w:rsidR="0015270F" w:rsidRPr="0015270F" w:rsidRDefault="0015270F" w:rsidP="0015270F">
      <w:pPr>
        <w:rPr>
          <w:rFonts w:cs="Arial"/>
        </w:rPr>
      </w:pPr>
    </w:p>
    <w:p w14:paraId="0C3F7FF5" w14:textId="77777777" w:rsidR="0015270F" w:rsidRPr="0015270F" w:rsidRDefault="0015270F" w:rsidP="0015270F">
      <w:pPr>
        <w:rPr>
          <w:rFonts w:cs="Arial"/>
        </w:rPr>
      </w:pPr>
    </w:p>
    <w:p w14:paraId="0C3F7FF6" w14:textId="77777777" w:rsidR="0015270F" w:rsidRPr="0015270F" w:rsidRDefault="0015270F" w:rsidP="0015270F">
      <w:pPr>
        <w:rPr>
          <w:rFonts w:cs="Arial"/>
        </w:rPr>
      </w:pPr>
      <w:r>
        <w:rPr>
          <w:noProof/>
        </w:rPr>
        <w:drawing>
          <wp:inline distT="0" distB="0" distL="0" distR="0" wp14:anchorId="0C3F8FCB" wp14:editId="0C3F8FCC">
            <wp:extent cx="5760000" cy="2694332"/>
            <wp:effectExtent l="0" t="0" r="0" b="0"/>
            <wp:docPr id="26" name="Picture 26" descr="Total annual discharge (ML, megalitres), calculated from October, 1st to September, 30th, for the main NRM Wet Tropics and Burdekin rivers (Source: DNRM, http://watermonitoring.dnrm.qld.gov.au/host.h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60000" cy="2694332"/>
                    </a:xfrm>
                    <a:prstGeom prst="rect">
                      <a:avLst/>
                    </a:prstGeom>
                    <a:noFill/>
                  </pic:spPr>
                </pic:pic>
              </a:graphicData>
            </a:graphic>
          </wp:inline>
        </w:drawing>
      </w:r>
    </w:p>
    <w:p w14:paraId="0C3F7FF7" w14:textId="77777777" w:rsidR="0015270F" w:rsidRPr="0015270F" w:rsidRDefault="0015270F" w:rsidP="0015270F">
      <w:pPr>
        <w:rPr>
          <w:rFonts w:cs="Arial"/>
        </w:rPr>
      </w:pPr>
      <w:r>
        <w:rPr>
          <w:noProof/>
        </w:rPr>
        <w:drawing>
          <wp:inline distT="0" distB="0" distL="0" distR="0" wp14:anchorId="0C3F8FCD" wp14:editId="0C3F8FCE">
            <wp:extent cx="5731510" cy="2686290"/>
            <wp:effectExtent l="0" t="0" r="2540" b="0"/>
            <wp:docPr id="27" name="Picture 27" descr="Total annual discharge (ML, megalitres), calculated from October, 1st to September, 30th, for the main NRM Wet Tropics and Burdekin rivers (Source: DNRM, http://watermonitoring.dnrm.qld.gov.au/host.h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31510" cy="2686290"/>
                    </a:xfrm>
                    <a:prstGeom prst="rect">
                      <a:avLst/>
                    </a:prstGeom>
                    <a:noFill/>
                  </pic:spPr>
                </pic:pic>
              </a:graphicData>
            </a:graphic>
          </wp:inline>
        </w:drawing>
      </w:r>
    </w:p>
    <w:p w14:paraId="0C3F7FF8" w14:textId="77777777" w:rsidR="0015270F" w:rsidRDefault="0015270F" w:rsidP="0015270F">
      <w:pPr>
        <w:pStyle w:val="Caption"/>
      </w:pPr>
      <w:bookmarkStart w:id="102" w:name="_Ref428873620"/>
      <w:bookmarkStart w:id="103" w:name="_Toc434208031"/>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3</w:t>
      </w:r>
      <w:r w:rsidR="00D243CD">
        <w:fldChar w:fldCharType="end"/>
      </w:r>
      <w:bookmarkEnd w:id="102"/>
      <w:r>
        <w:t xml:space="preserve">:  </w:t>
      </w:r>
      <w:r w:rsidRPr="0015270F">
        <w:t>Total annual discharge (ML, megalitres), calculated from October, 1</w:t>
      </w:r>
      <w:r w:rsidRPr="0015270F">
        <w:rPr>
          <w:vertAlign w:val="superscript"/>
        </w:rPr>
        <w:t>st</w:t>
      </w:r>
      <w:r w:rsidRPr="0015270F">
        <w:t xml:space="preserve"> to September, 30</w:t>
      </w:r>
      <w:r w:rsidRPr="0015270F">
        <w:rPr>
          <w:vertAlign w:val="superscript"/>
        </w:rPr>
        <w:t>th</w:t>
      </w:r>
      <w:r w:rsidRPr="0015270F">
        <w:t xml:space="preserve">, for the main NRM Wet Tropics and Burdekin rivers (Source: DNRM, </w:t>
      </w:r>
      <w:hyperlink r:id="rId59" w:tooltip="more information" w:history="1">
        <w:r w:rsidRPr="0015270F">
          <w:rPr>
            <w:rStyle w:val="Hyperlink"/>
            <w:rFonts w:cs="Arial"/>
          </w:rPr>
          <w:t>http://watermonitoring.dnrm.qld.gov.au/host.htm</w:t>
        </w:r>
      </w:hyperlink>
      <w:r w:rsidRPr="0015270F">
        <w:t>).</w:t>
      </w:r>
      <w:bookmarkEnd w:id="103"/>
    </w:p>
    <w:p w14:paraId="0C3F7FF9" w14:textId="77777777" w:rsidR="00162359" w:rsidRDefault="00162359">
      <w:pPr>
        <w:spacing w:before="0" w:after="0"/>
        <w:jc w:val="left"/>
        <w:rPr>
          <w:b/>
          <w:sz w:val="24"/>
        </w:rPr>
      </w:pPr>
      <w:r>
        <w:br w:type="page"/>
      </w:r>
    </w:p>
    <w:p w14:paraId="0C3F7FFA" w14:textId="77777777" w:rsidR="0015270F" w:rsidRDefault="0015270F" w:rsidP="00C05A63">
      <w:pPr>
        <w:pStyle w:val="Heading2"/>
        <w:keepNext/>
        <w:numPr>
          <w:ilvl w:val="1"/>
          <w:numId w:val="13"/>
        </w:numPr>
        <w:spacing w:line="80" w:lineRule="atLeast"/>
      </w:pPr>
      <w:bookmarkStart w:id="104" w:name="_Toc434207994"/>
      <w:r w:rsidRPr="0015270F">
        <w:t>Methodology</w:t>
      </w:r>
      <w:r>
        <w:t xml:space="preserve"> – Water Quality</w:t>
      </w:r>
      <w:bookmarkEnd w:id="104"/>
    </w:p>
    <w:p w14:paraId="0C3F7FFB" w14:textId="77777777" w:rsidR="0015270F" w:rsidRDefault="0015270F" w:rsidP="00C05A63">
      <w:pPr>
        <w:pStyle w:val="Heading2"/>
        <w:keepNext/>
        <w:numPr>
          <w:ilvl w:val="2"/>
          <w:numId w:val="13"/>
        </w:numPr>
        <w:spacing w:line="80" w:lineRule="atLeast"/>
      </w:pPr>
      <w:bookmarkStart w:id="105" w:name="_Toc434207995"/>
      <w:r>
        <w:t>Water samples – 2012-2013</w:t>
      </w:r>
      <w:bookmarkEnd w:id="105"/>
    </w:p>
    <w:p w14:paraId="0C3F7FFC" w14:textId="77777777" w:rsidR="0015270F" w:rsidRDefault="0015270F" w:rsidP="0015270F">
      <w:r>
        <w:t>Water Quality for</w:t>
      </w:r>
      <w:r w:rsidRPr="007E554A">
        <w:t xml:space="preserve"> the 201</w:t>
      </w:r>
      <w:r>
        <w:t>2</w:t>
      </w:r>
      <w:r w:rsidRPr="007E554A">
        <w:t>-1</w:t>
      </w:r>
      <w:r>
        <w:t>3</w:t>
      </w:r>
      <w:r w:rsidRPr="007E554A">
        <w:t xml:space="preserve"> wet season </w:t>
      </w:r>
      <w:r>
        <w:t xml:space="preserve">is discussed for the Wet Tropics </w:t>
      </w:r>
      <w:r w:rsidRPr="00A65EC2">
        <w:t>and Burdekin Water</w:t>
      </w:r>
      <w:r>
        <w:t xml:space="preserve"> sampling</w:t>
      </w:r>
      <w:r w:rsidRPr="007E554A">
        <w:t xml:space="preserve"> included the collection of </w:t>
      </w:r>
      <w:r>
        <w:t xml:space="preserve">surface </w:t>
      </w:r>
      <w:r w:rsidRPr="007E554A">
        <w:t xml:space="preserve">samples </w:t>
      </w:r>
      <w:r>
        <w:t xml:space="preserve">(within the first 50 cm) </w:t>
      </w:r>
      <w:r w:rsidRPr="007E554A">
        <w:t xml:space="preserve">for the analysis of TSS, </w:t>
      </w:r>
      <w:r w:rsidR="00593896">
        <w:t>chl</w:t>
      </w:r>
      <w:r w:rsidRPr="007E554A">
        <w:t>-a</w:t>
      </w:r>
      <w:r>
        <w:t>, CDOM</w:t>
      </w:r>
      <w:r w:rsidRPr="007E554A">
        <w:t xml:space="preserve">, </w:t>
      </w:r>
      <w:r>
        <w:t>DIN, DIP, PN, PP,</w:t>
      </w:r>
      <w:r w:rsidRPr="007E554A">
        <w:t xml:space="preserve"> salinity, temperature</w:t>
      </w:r>
      <w:r>
        <w:t xml:space="preserve"> and </w:t>
      </w:r>
      <w:r w:rsidR="00362A9F">
        <w:t>Kd(PAR)</w:t>
      </w:r>
      <w:r>
        <w:t xml:space="preserve">. For full details of field and laboratory methods, refer to the MMP QA/QC manual </w:t>
      </w:r>
      <w:r>
        <w:fldChar w:fldCharType="begin"/>
      </w:r>
      <w:r>
        <w:instrText xml:space="preserve"> ADDIN EN.CITE &lt;EndNote&gt;&lt;Cite&gt;&lt;Author&gt;Anon&lt;/Author&gt;&lt;Year&gt;2013&lt;/Year&gt;&lt;RecNum&gt;1137&lt;/RecNum&gt;&lt;DisplayText&gt;(Anon, 2013, 2014)&lt;/DisplayText&gt;&lt;record&gt;&lt;rec-number&gt;1137&lt;/rec-number&gt;&lt;foreign-keys&gt;&lt;key app="EN" db-id="wwzpfssaux292keptesxd5t6srsfvpzsde2p"&gt;1137&lt;/key&gt;&lt;/foreign-keys&gt;&lt;ref-type name="Report"&gt;27&lt;/ref-type&gt;&lt;contributors&gt;&lt;authors&gt;&lt;author&gt;Anon&lt;/author&gt;&lt;/authors&gt;&lt;secondary-authors&gt;&lt;author&gt;Great Barrier Reef Marine Park Authority&lt;/author&gt;&lt;/secondary-authors&gt;&lt;/contributors&gt;&lt;titles&gt;&lt;title&gt;Reef rescue marine monitoring program quality assurance and quality control manual. 2010/11&lt;/title&gt;&lt;secondary-title&gt;GBRMPA&lt;/secondary-title&gt;&lt;/titles&gt;&lt;dates&gt;&lt;year&gt;2013&lt;/year&gt;&lt;/dates&gt;&lt;pub-location&gt;Townsville&lt;/pub-location&gt;&lt;urls&gt;&lt;/urls&gt;&lt;/record&gt;&lt;/Cite&gt;&lt;Cite&gt;&lt;Author&gt;Anon&lt;/Author&gt;&lt;Year&gt;2014&lt;/Year&gt;&lt;RecNum&gt;1140&lt;/RecNum&gt;&lt;record&gt;&lt;rec-number&gt;1140&lt;/rec-number&gt;&lt;foreign-keys&gt;&lt;key app="EN" db-id="wwzpfssaux292keptesxd5t6srsfvpzsde2p"&gt;1140&lt;/key&gt;&lt;/foreign-keys&gt;&lt;ref-type name="Report"&gt;27&lt;/ref-type&gt;&lt;contributors&gt;&lt;authors&gt;&lt;author&gt;Anon&lt;/author&gt;&lt;/authors&gt;&lt;secondary-authors&gt;&lt;author&gt;Great Barrier Reef Marine Park Authority&lt;/author&gt;&lt;/secondary-authors&gt;&lt;/contributors&gt;&lt;titles&gt;&lt;title&gt;Reef rescue marine monitoring program quality assurance and quality control manual. 2013/14&lt;/title&gt;&lt;secondary-title&gt;GBRMPA&lt;/secondary-title&gt;&lt;/titles&gt;&lt;dates&gt;&lt;year&gt;2014&lt;/year&gt;&lt;/dates&gt;&lt;pub-location&gt;Townsville&lt;/pub-location&gt;&lt;urls&gt;&lt;/urls&gt;&lt;/record&gt;&lt;/Cite&gt;&lt;/EndNote&gt;</w:instrText>
      </w:r>
      <w:r>
        <w:fldChar w:fldCharType="separate"/>
      </w:r>
      <w:r>
        <w:rPr>
          <w:noProof/>
        </w:rPr>
        <w:t>(</w:t>
      </w:r>
      <w:hyperlink w:anchor="_ENREF_2" w:tooltip="Anon, 2013 #1137" w:history="1">
        <w:r w:rsidR="00D23C68">
          <w:rPr>
            <w:noProof/>
          </w:rPr>
          <w:t>Anon, 2013</w:t>
        </w:r>
      </w:hyperlink>
      <w:r>
        <w:rPr>
          <w:noProof/>
        </w:rPr>
        <w:t xml:space="preserve">, </w:t>
      </w:r>
      <w:hyperlink w:anchor="_ENREF_3" w:tooltip="Anon, 2014 #1140" w:history="1">
        <w:r w:rsidR="00D23C68">
          <w:rPr>
            <w:noProof/>
          </w:rPr>
          <w:t>2014</w:t>
        </w:r>
      </w:hyperlink>
      <w:r>
        <w:rPr>
          <w:noProof/>
        </w:rPr>
        <w:t>)</w:t>
      </w:r>
      <w:r>
        <w:fldChar w:fldCharType="end"/>
      </w:r>
      <w:r>
        <w:t xml:space="preserve">. </w:t>
      </w:r>
      <w:r w:rsidRPr="007E554A">
        <w:t>Depth profiling was undertaken</w:t>
      </w:r>
      <w:r>
        <w:t xml:space="preserve"> using </w:t>
      </w:r>
      <w:r w:rsidRPr="00E37776">
        <w:t>a CTD from Sea-Bird Electronics (SBE-19Plus) equipped with sensors for temperature, salinity, depth, oxygen and light. The CTD profiler was kept at the water surface for 3 minutes for sensors stabiliza</w:t>
      </w:r>
      <w:r>
        <w:t>tion before starting downcast. CTD d</w:t>
      </w:r>
      <w:r w:rsidRPr="00E37776">
        <w:t xml:space="preserve">ata reported herein </w:t>
      </w:r>
      <w:r>
        <w:t>represents</w:t>
      </w:r>
      <w:r w:rsidRPr="00E37776">
        <w:t xml:space="preserve"> surface salinity and surface water temperature only, calculated as an average of readings between 0.3 m and 0.7 m below the water surface, after visual removal of outliers corresponding to the 3 minutes stabilization period</w:t>
      </w:r>
      <w:r w:rsidR="00782908">
        <w:t>.</w:t>
      </w:r>
      <w:r w:rsidRPr="007E554A">
        <w:t xml:space="preserve"> </w:t>
      </w:r>
      <w:r>
        <w:t>Underwater light extinction coefficient (Kd, m</w:t>
      </w:r>
      <w:r w:rsidRPr="0015270F">
        <w:rPr>
          <w:vertAlign w:val="superscript"/>
        </w:rPr>
        <w:t>-1</w:t>
      </w:r>
      <w:r>
        <w:t xml:space="preserve">) was </w:t>
      </w:r>
      <w:r w:rsidRPr="00E37776">
        <w:t xml:space="preserve">calculated using the Lambert-Beer </w:t>
      </w:r>
      <w:r>
        <w:t>equation</w:t>
      </w:r>
      <w:r w:rsidRPr="00E37776">
        <w:t xml:space="preserve"> </w:t>
      </w:r>
      <w:r>
        <w:t xml:space="preserve">on the CTD light profile with a summary of the </w:t>
      </w:r>
      <w:r w:rsidR="00362A9F">
        <w:t>parameters</w:t>
      </w:r>
      <w:r>
        <w:t xml:space="preserve"> collecte</w:t>
      </w:r>
      <w:r w:rsidR="00362A9F">
        <w:t>d</w:t>
      </w:r>
      <w:r>
        <w:t xml:space="preserve"> in the program provided in </w:t>
      </w:r>
      <w:r>
        <w:fldChar w:fldCharType="begin"/>
      </w:r>
      <w:r>
        <w:instrText xml:space="preserve"> REF _Ref428874797 \h </w:instrText>
      </w:r>
      <w:r>
        <w:fldChar w:fldCharType="separate"/>
      </w:r>
      <w:r w:rsidR="00B62B50">
        <w:t xml:space="preserve">Table </w:t>
      </w:r>
      <w:r w:rsidR="00B62B50">
        <w:rPr>
          <w:noProof/>
        </w:rPr>
        <w:t>4</w:t>
      </w:r>
      <w:r w:rsidR="00B62B50">
        <w:noBreakHyphen/>
      </w:r>
      <w:r w:rsidR="00B62B50">
        <w:rPr>
          <w:noProof/>
        </w:rPr>
        <w:t>2</w:t>
      </w:r>
      <w:r>
        <w:fldChar w:fldCharType="end"/>
      </w:r>
      <w:r>
        <w:t>.</w:t>
      </w:r>
    </w:p>
    <w:p w14:paraId="0C3F7FFD" w14:textId="77777777" w:rsidR="0015270F" w:rsidRPr="0015270F" w:rsidRDefault="0015270F" w:rsidP="0015270F">
      <w:pPr>
        <w:pStyle w:val="Caption"/>
      </w:pPr>
      <w:bookmarkStart w:id="106" w:name="_Ref428874797"/>
      <w:bookmarkStart w:id="107" w:name="_Toc434208069"/>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2</w:t>
      </w:r>
      <w:r w:rsidR="00AE4287">
        <w:fldChar w:fldCharType="end"/>
      </w:r>
      <w:bookmarkEnd w:id="106"/>
      <w:r>
        <w:t xml:space="preserve">: </w:t>
      </w:r>
      <w:r w:rsidRPr="0015270F">
        <w:t>Summary of chemical and biological parameters sampled for the MMP flood plume monitoring.</w:t>
      </w:r>
      <w:bookmarkEnd w:id="107"/>
    </w:p>
    <w:tbl>
      <w:tblPr>
        <w:tblW w:w="5000" w:type="pct"/>
        <w:jc w:val="center"/>
        <w:tblLook w:val="01E0" w:firstRow="1" w:lastRow="1" w:firstColumn="1" w:lastColumn="1" w:noHBand="0" w:noVBand="0"/>
      </w:tblPr>
      <w:tblGrid>
        <w:gridCol w:w="2052"/>
        <w:gridCol w:w="3753"/>
        <w:gridCol w:w="2157"/>
        <w:gridCol w:w="1281"/>
      </w:tblGrid>
      <w:tr w:rsidR="0015270F" w:rsidRPr="0015270F" w14:paraId="0C3F8002" w14:textId="77777777" w:rsidTr="0015270F">
        <w:trPr>
          <w:trHeight w:val="57"/>
          <w:jc w:val="center"/>
        </w:trPr>
        <w:tc>
          <w:tcPr>
            <w:tcW w:w="1110" w:type="pct"/>
            <w:tcBorders>
              <w:top w:val="single" w:sz="4" w:space="0" w:color="auto"/>
              <w:bottom w:val="single" w:sz="4" w:space="0" w:color="auto"/>
            </w:tcBorders>
          </w:tcPr>
          <w:p w14:paraId="0C3F7FFE" w14:textId="77777777" w:rsidR="0015270F" w:rsidRPr="0015270F" w:rsidRDefault="0015270F" w:rsidP="0015270F">
            <w:pPr>
              <w:spacing w:before="0" w:after="0"/>
              <w:rPr>
                <w:rStyle w:val="BookTitle"/>
              </w:rPr>
            </w:pPr>
            <w:r w:rsidRPr="0015270F">
              <w:rPr>
                <w:rStyle w:val="BookTitle"/>
              </w:rPr>
              <w:t>Type of data</w:t>
            </w:r>
          </w:p>
        </w:tc>
        <w:tc>
          <w:tcPr>
            <w:tcW w:w="2030" w:type="pct"/>
            <w:tcBorders>
              <w:top w:val="single" w:sz="4" w:space="0" w:color="auto"/>
              <w:bottom w:val="single" w:sz="4" w:space="0" w:color="auto"/>
            </w:tcBorders>
          </w:tcPr>
          <w:p w14:paraId="0C3F7FFF" w14:textId="77777777" w:rsidR="0015270F" w:rsidRPr="0015270F" w:rsidRDefault="0015270F" w:rsidP="0015270F">
            <w:pPr>
              <w:spacing w:before="0" w:after="0"/>
              <w:rPr>
                <w:rStyle w:val="BookTitle"/>
              </w:rPr>
            </w:pPr>
            <w:r w:rsidRPr="0015270F">
              <w:rPr>
                <w:rStyle w:val="BookTitle"/>
              </w:rPr>
              <w:t>Parameter</w:t>
            </w:r>
          </w:p>
        </w:tc>
        <w:tc>
          <w:tcPr>
            <w:tcW w:w="1167" w:type="pct"/>
            <w:tcBorders>
              <w:top w:val="single" w:sz="4" w:space="0" w:color="auto"/>
              <w:bottom w:val="single" w:sz="4" w:space="0" w:color="auto"/>
            </w:tcBorders>
          </w:tcPr>
          <w:p w14:paraId="0C3F8000" w14:textId="77777777" w:rsidR="0015270F" w:rsidRPr="0015270F" w:rsidRDefault="0015270F" w:rsidP="0015270F">
            <w:pPr>
              <w:spacing w:before="0" w:after="0"/>
              <w:rPr>
                <w:rStyle w:val="BookTitle"/>
              </w:rPr>
            </w:pPr>
            <w:r w:rsidRPr="0015270F">
              <w:rPr>
                <w:rStyle w:val="BookTitle"/>
              </w:rPr>
              <w:t>Comments</w:t>
            </w:r>
          </w:p>
        </w:tc>
        <w:tc>
          <w:tcPr>
            <w:tcW w:w="693" w:type="pct"/>
            <w:tcBorders>
              <w:top w:val="single" w:sz="4" w:space="0" w:color="auto"/>
              <w:bottom w:val="single" w:sz="4" w:space="0" w:color="auto"/>
            </w:tcBorders>
          </w:tcPr>
          <w:p w14:paraId="0C3F8001" w14:textId="77777777" w:rsidR="0015270F" w:rsidRPr="0015270F" w:rsidRDefault="0015270F" w:rsidP="0015270F">
            <w:pPr>
              <w:spacing w:before="0" w:after="0"/>
              <w:rPr>
                <w:rStyle w:val="BookTitle"/>
              </w:rPr>
            </w:pPr>
            <w:r w:rsidRPr="0015270F">
              <w:rPr>
                <w:rStyle w:val="BookTitle"/>
              </w:rPr>
              <w:t>Reported</w:t>
            </w:r>
          </w:p>
        </w:tc>
      </w:tr>
      <w:tr w:rsidR="0015270F" w:rsidRPr="0015270F" w14:paraId="0C3F8008" w14:textId="77777777" w:rsidTr="0015270F">
        <w:trPr>
          <w:trHeight w:val="57"/>
          <w:jc w:val="center"/>
        </w:trPr>
        <w:tc>
          <w:tcPr>
            <w:tcW w:w="1110" w:type="pct"/>
            <w:tcBorders>
              <w:top w:val="single" w:sz="4" w:space="0" w:color="auto"/>
            </w:tcBorders>
          </w:tcPr>
          <w:p w14:paraId="0C3F8003" w14:textId="77777777" w:rsidR="0015270F" w:rsidRPr="0015270F" w:rsidRDefault="0015270F" w:rsidP="0015270F">
            <w:pPr>
              <w:spacing w:before="0" w:after="0"/>
              <w:rPr>
                <w:rStyle w:val="BookTitle"/>
              </w:rPr>
            </w:pPr>
            <w:r w:rsidRPr="0015270F">
              <w:rPr>
                <w:rStyle w:val="BookTitle"/>
              </w:rPr>
              <w:t>Physico-chemical</w:t>
            </w:r>
          </w:p>
        </w:tc>
        <w:tc>
          <w:tcPr>
            <w:tcW w:w="2030" w:type="pct"/>
            <w:tcBorders>
              <w:top w:val="single" w:sz="4" w:space="0" w:color="auto"/>
            </w:tcBorders>
          </w:tcPr>
          <w:p w14:paraId="0C3F8004" w14:textId="77777777" w:rsidR="0015270F" w:rsidRPr="0015270F" w:rsidRDefault="0015270F" w:rsidP="0015270F">
            <w:pPr>
              <w:spacing w:before="0" w:after="0"/>
              <w:rPr>
                <w:rStyle w:val="BookTitle"/>
              </w:rPr>
            </w:pPr>
            <w:r w:rsidRPr="0015270F">
              <w:rPr>
                <w:rStyle w:val="BookTitle"/>
              </w:rPr>
              <w:t>Depth (m)</w:t>
            </w:r>
          </w:p>
        </w:tc>
        <w:tc>
          <w:tcPr>
            <w:tcW w:w="1167" w:type="pct"/>
            <w:vMerge w:val="restart"/>
            <w:tcBorders>
              <w:top w:val="single" w:sz="4" w:space="0" w:color="auto"/>
            </w:tcBorders>
          </w:tcPr>
          <w:p w14:paraId="0C3F8005" w14:textId="77777777" w:rsidR="0015270F" w:rsidRPr="0015270F" w:rsidRDefault="0015270F" w:rsidP="0015270F">
            <w:pPr>
              <w:spacing w:before="0" w:after="0"/>
              <w:rPr>
                <w:rStyle w:val="BookTitle"/>
              </w:rPr>
            </w:pPr>
            <w:r w:rsidRPr="0015270F">
              <w:rPr>
                <w:rStyle w:val="BookTitle"/>
              </w:rPr>
              <w:t>Taken continuously through the water column at each site. Sampled with a SeaBird profiler</w:t>
            </w:r>
          </w:p>
          <w:p w14:paraId="0C3F8006" w14:textId="77777777" w:rsidR="0015270F" w:rsidRPr="0015270F" w:rsidRDefault="0015270F" w:rsidP="0015270F">
            <w:pPr>
              <w:spacing w:before="0" w:after="0"/>
              <w:rPr>
                <w:rStyle w:val="BookTitle"/>
              </w:rPr>
            </w:pPr>
            <w:r w:rsidRPr="0015270F">
              <w:rPr>
                <w:rStyle w:val="BookTitle"/>
              </w:rPr>
              <w:t>Not at all sites</w:t>
            </w:r>
          </w:p>
        </w:tc>
        <w:tc>
          <w:tcPr>
            <w:tcW w:w="693" w:type="pct"/>
            <w:tcBorders>
              <w:top w:val="single" w:sz="4" w:space="0" w:color="auto"/>
            </w:tcBorders>
          </w:tcPr>
          <w:p w14:paraId="0C3F8007"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0D" w14:textId="77777777" w:rsidTr="0015270F">
        <w:trPr>
          <w:trHeight w:val="57"/>
          <w:jc w:val="center"/>
        </w:trPr>
        <w:tc>
          <w:tcPr>
            <w:tcW w:w="1110" w:type="pct"/>
          </w:tcPr>
          <w:p w14:paraId="0C3F8009" w14:textId="77777777" w:rsidR="0015270F" w:rsidRPr="0015270F" w:rsidRDefault="0015270F" w:rsidP="0015270F">
            <w:pPr>
              <w:spacing w:before="0" w:after="0"/>
              <w:rPr>
                <w:rStyle w:val="BookTitle"/>
              </w:rPr>
            </w:pPr>
          </w:p>
        </w:tc>
        <w:tc>
          <w:tcPr>
            <w:tcW w:w="2030" w:type="pct"/>
          </w:tcPr>
          <w:p w14:paraId="0C3F800A" w14:textId="77777777" w:rsidR="0015270F" w:rsidRPr="0015270F" w:rsidRDefault="0015270F" w:rsidP="0015270F">
            <w:pPr>
              <w:spacing w:before="0" w:after="0"/>
              <w:rPr>
                <w:rStyle w:val="BookTitle"/>
              </w:rPr>
            </w:pPr>
            <w:r w:rsidRPr="0015270F">
              <w:rPr>
                <w:rStyle w:val="BookTitle"/>
              </w:rPr>
              <w:t>Salinity</w:t>
            </w:r>
          </w:p>
        </w:tc>
        <w:tc>
          <w:tcPr>
            <w:tcW w:w="1167" w:type="pct"/>
            <w:vMerge/>
          </w:tcPr>
          <w:p w14:paraId="0C3F800B" w14:textId="77777777" w:rsidR="0015270F" w:rsidRPr="0015270F" w:rsidRDefault="0015270F" w:rsidP="0015270F">
            <w:pPr>
              <w:spacing w:before="0" w:after="0"/>
              <w:rPr>
                <w:rStyle w:val="BookTitle"/>
              </w:rPr>
            </w:pPr>
          </w:p>
        </w:tc>
        <w:tc>
          <w:tcPr>
            <w:tcW w:w="693" w:type="pct"/>
          </w:tcPr>
          <w:p w14:paraId="0C3F800C"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12" w14:textId="77777777" w:rsidTr="0015270F">
        <w:trPr>
          <w:trHeight w:val="57"/>
          <w:jc w:val="center"/>
        </w:trPr>
        <w:tc>
          <w:tcPr>
            <w:tcW w:w="1110" w:type="pct"/>
          </w:tcPr>
          <w:p w14:paraId="0C3F800E" w14:textId="77777777" w:rsidR="0015270F" w:rsidRPr="0015270F" w:rsidRDefault="0015270F" w:rsidP="0015270F">
            <w:pPr>
              <w:spacing w:before="0" w:after="0"/>
              <w:rPr>
                <w:rStyle w:val="BookTitle"/>
              </w:rPr>
            </w:pPr>
          </w:p>
        </w:tc>
        <w:tc>
          <w:tcPr>
            <w:tcW w:w="2030" w:type="pct"/>
          </w:tcPr>
          <w:p w14:paraId="0C3F800F" w14:textId="77777777" w:rsidR="0015270F" w:rsidRPr="0015270F" w:rsidRDefault="0015270F" w:rsidP="0015270F">
            <w:pPr>
              <w:spacing w:before="0" w:after="0"/>
              <w:rPr>
                <w:rStyle w:val="BookTitle"/>
              </w:rPr>
            </w:pPr>
            <w:r w:rsidRPr="0015270F">
              <w:rPr>
                <w:rStyle w:val="BookTitle"/>
              </w:rPr>
              <w:t>Temperature (˚C)</w:t>
            </w:r>
          </w:p>
        </w:tc>
        <w:tc>
          <w:tcPr>
            <w:tcW w:w="1167" w:type="pct"/>
            <w:vMerge/>
          </w:tcPr>
          <w:p w14:paraId="0C3F8010" w14:textId="77777777" w:rsidR="0015270F" w:rsidRPr="0015270F" w:rsidRDefault="0015270F" w:rsidP="0015270F">
            <w:pPr>
              <w:spacing w:before="0" w:after="0"/>
              <w:rPr>
                <w:rStyle w:val="BookTitle"/>
              </w:rPr>
            </w:pPr>
          </w:p>
        </w:tc>
        <w:tc>
          <w:tcPr>
            <w:tcW w:w="693" w:type="pct"/>
          </w:tcPr>
          <w:p w14:paraId="0C3F8011"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17" w14:textId="77777777" w:rsidTr="0015270F">
        <w:trPr>
          <w:trHeight w:val="57"/>
          <w:jc w:val="center"/>
        </w:trPr>
        <w:tc>
          <w:tcPr>
            <w:tcW w:w="1110" w:type="pct"/>
          </w:tcPr>
          <w:p w14:paraId="0C3F8013" w14:textId="77777777" w:rsidR="0015270F" w:rsidRPr="0015270F" w:rsidRDefault="0015270F" w:rsidP="0015270F">
            <w:pPr>
              <w:spacing w:before="0" w:after="0"/>
              <w:rPr>
                <w:rStyle w:val="BookTitle"/>
              </w:rPr>
            </w:pPr>
          </w:p>
        </w:tc>
        <w:tc>
          <w:tcPr>
            <w:tcW w:w="2030" w:type="pct"/>
          </w:tcPr>
          <w:p w14:paraId="0C3F8014" w14:textId="77777777" w:rsidR="0015270F" w:rsidRPr="0015270F" w:rsidRDefault="0015270F" w:rsidP="0015270F">
            <w:pPr>
              <w:spacing w:before="0" w:after="0"/>
              <w:rPr>
                <w:rStyle w:val="BookTitle"/>
              </w:rPr>
            </w:pPr>
            <w:r w:rsidRPr="0015270F">
              <w:rPr>
                <w:rStyle w:val="BookTitle"/>
              </w:rPr>
              <w:t>Turbidity (ntu)</w:t>
            </w:r>
          </w:p>
        </w:tc>
        <w:tc>
          <w:tcPr>
            <w:tcW w:w="1167" w:type="pct"/>
            <w:vMerge/>
          </w:tcPr>
          <w:p w14:paraId="0C3F8015" w14:textId="77777777" w:rsidR="0015270F" w:rsidRPr="0015270F" w:rsidRDefault="0015270F" w:rsidP="0015270F">
            <w:pPr>
              <w:spacing w:before="0" w:after="0"/>
              <w:rPr>
                <w:rStyle w:val="BookTitle"/>
              </w:rPr>
            </w:pPr>
          </w:p>
        </w:tc>
        <w:tc>
          <w:tcPr>
            <w:tcW w:w="693" w:type="pct"/>
          </w:tcPr>
          <w:p w14:paraId="0C3F8016"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1C" w14:textId="77777777" w:rsidTr="0015270F">
        <w:trPr>
          <w:trHeight w:val="57"/>
          <w:jc w:val="center"/>
        </w:trPr>
        <w:tc>
          <w:tcPr>
            <w:tcW w:w="1110" w:type="pct"/>
            <w:tcBorders>
              <w:bottom w:val="single" w:sz="4" w:space="0" w:color="auto"/>
            </w:tcBorders>
          </w:tcPr>
          <w:p w14:paraId="0C3F8018" w14:textId="77777777" w:rsidR="0015270F" w:rsidRPr="0015270F" w:rsidRDefault="0015270F" w:rsidP="0015270F">
            <w:pPr>
              <w:spacing w:before="0" w:after="0"/>
              <w:rPr>
                <w:rStyle w:val="BookTitle"/>
              </w:rPr>
            </w:pPr>
          </w:p>
        </w:tc>
        <w:tc>
          <w:tcPr>
            <w:tcW w:w="2030" w:type="pct"/>
            <w:tcBorders>
              <w:bottom w:val="single" w:sz="4" w:space="0" w:color="auto"/>
            </w:tcBorders>
          </w:tcPr>
          <w:p w14:paraId="0C3F8019" w14:textId="77777777" w:rsidR="0015270F" w:rsidRPr="0015270F" w:rsidRDefault="0015270F" w:rsidP="0015270F">
            <w:pPr>
              <w:spacing w:before="0" w:after="0"/>
              <w:rPr>
                <w:rStyle w:val="BookTitle"/>
              </w:rPr>
            </w:pPr>
            <w:r w:rsidRPr="0015270F">
              <w:rPr>
                <w:rStyle w:val="BookTitle"/>
              </w:rPr>
              <w:t>Light Attenuation (PAR)*</w:t>
            </w:r>
          </w:p>
        </w:tc>
        <w:tc>
          <w:tcPr>
            <w:tcW w:w="1167" w:type="pct"/>
            <w:vMerge/>
            <w:tcBorders>
              <w:bottom w:val="single" w:sz="4" w:space="0" w:color="auto"/>
            </w:tcBorders>
          </w:tcPr>
          <w:p w14:paraId="0C3F801A" w14:textId="77777777" w:rsidR="0015270F" w:rsidRPr="0015270F" w:rsidRDefault="0015270F" w:rsidP="0015270F">
            <w:pPr>
              <w:spacing w:before="0" w:after="0"/>
              <w:rPr>
                <w:rStyle w:val="BookTitle"/>
              </w:rPr>
            </w:pPr>
          </w:p>
        </w:tc>
        <w:tc>
          <w:tcPr>
            <w:tcW w:w="693" w:type="pct"/>
            <w:tcBorders>
              <w:bottom w:val="single" w:sz="4" w:space="0" w:color="auto"/>
            </w:tcBorders>
          </w:tcPr>
          <w:p w14:paraId="0C3F801B"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21" w14:textId="77777777" w:rsidTr="0015270F">
        <w:trPr>
          <w:trHeight w:val="57"/>
          <w:jc w:val="center"/>
        </w:trPr>
        <w:tc>
          <w:tcPr>
            <w:tcW w:w="1110" w:type="pct"/>
            <w:tcBorders>
              <w:top w:val="single" w:sz="4" w:space="0" w:color="auto"/>
            </w:tcBorders>
          </w:tcPr>
          <w:p w14:paraId="0C3F801D" w14:textId="77777777" w:rsidR="0015270F" w:rsidRPr="0015270F" w:rsidRDefault="0015270F" w:rsidP="0015270F">
            <w:pPr>
              <w:spacing w:before="0" w:after="0"/>
              <w:rPr>
                <w:rStyle w:val="BookTitle"/>
              </w:rPr>
            </w:pPr>
            <w:r w:rsidRPr="0015270F">
              <w:rPr>
                <w:rStyle w:val="BookTitle"/>
              </w:rPr>
              <w:t>Water quality</w:t>
            </w:r>
          </w:p>
        </w:tc>
        <w:tc>
          <w:tcPr>
            <w:tcW w:w="2030" w:type="pct"/>
            <w:tcBorders>
              <w:top w:val="single" w:sz="4" w:space="0" w:color="auto"/>
            </w:tcBorders>
          </w:tcPr>
          <w:p w14:paraId="0C3F801E" w14:textId="77777777" w:rsidR="0015270F" w:rsidRPr="0015270F" w:rsidRDefault="0015270F" w:rsidP="0015270F">
            <w:pPr>
              <w:spacing w:before="0" w:after="0"/>
              <w:rPr>
                <w:rStyle w:val="BookTitle"/>
              </w:rPr>
            </w:pPr>
            <w:r w:rsidRPr="0015270F">
              <w:rPr>
                <w:rStyle w:val="BookTitle"/>
              </w:rPr>
              <w:t>Dissolved nutrients (µM)</w:t>
            </w:r>
          </w:p>
        </w:tc>
        <w:tc>
          <w:tcPr>
            <w:tcW w:w="1167" w:type="pct"/>
            <w:vMerge w:val="restart"/>
            <w:tcBorders>
              <w:top w:val="single" w:sz="4" w:space="0" w:color="auto"/>
            </w:tcBorders>
          </w:tcPr>
          <w:p w14:paraId="0C3F801F" w14:textId="77777777" w:rsidR="0015270F" w:rsidRPr="0015270F" w:rsidRDefault="0015270F" w:rsidP="0015270F">
            <w:pPr>
              <w:spacing w:before="0" w:after="0"/>
              <w:rPr>
                <w:rStyle w:val="BookTitle"/>
              </w:rPr>
            </w:pPr>
            <w:r w:rsidRPr="0015270F">
              <w:rPr>
                <w:rStyle w:val="BookTitle"/>
              </w:rPr>
              <w:t>Surface sampling only</w:t>
            </w:r>
          </w:p>
        </w:tc>
        <w:tc>
          <w:tcPr>
            <w:tcW w:w="693" w:type="pct"/>
            <w:tcBorders>
              <w:top w:val="single" w:sz="4" w:space="0" w:color="auto"/>
            </w:tcBorders>
          </w:tcPr>
          <w:p w14:paraId="0C3F8020"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26" w14:textId="77777777" w:rsidTr="0015270F">
        <w:trPr>
          <w:trHeight w:val="57"/>
          <w:jc w:val="center"/>
        </w:trPr>
        <w:tc>
          <w:tcPr>
            <w:tcW w:w="1110" w:type="pct"/>
          </w:tcPr>
          <w:p w14:paraId="0C3F8022" w14:textId="77777777" w:rsidR="0015270F" w:rsidRPr="0015270F" w:rsidRDefault="0015270F" w:rsidP="0015270F">
            <w:pPr>
              <w:spacing w:before="0" w:after="0"/>
              <w:rPr>
                <w:rStyle w:val="BookTitle"/>
              </w:rPr>
            </w:pPr>
          </w:p>
        </w:tc>
        <w:tc>
          <w:tcPr>
            <w:tcW w:w="2030" w:type="pct"/>
          </w:tcPr>
          <w:p w14:paraId="0C3F8023" w14:textId="77777777" w:rsidR="0015270F" w:rsidRPr="0015270F" w:rsidRDefault="0015270F" w:rsidP="0015270F">
            <w:pPr>
              <w:spacing w:before="0" w:after="0"/>
              <w:rPr>
                <w:rStyle w:val="BookTitle"/>
              </w:rPr>
            </w:pPr>
            <w:r w:rsidRPr="0015270F">
              <w:rPr>
                <w:rStyle w:val="BookTitle"/>
              </w:rPr>
              <w:t>Particulate Nutrients (µM)</w:t>
            </w:r>
          </w:p>
        </w:tc>
        <w:tc>
          <w:tcPr>
            <w:tcW w:w="1167" w:type="pct"/>
            <w:vMerge/>
          </w:tcPr>
          <w:p w14:paraId="0C3F8024" w14:textId="77777777" w:rsidR="0015270F" w:rsidRPr="0015270F" w:rsidRDefault="0015270F" w:rsidP="0015270F">
            <w:pPr>
              <w:spacing w:before="0" w:after="0"/>
              <w:rPr>
                <w:rStyle w:val="BookTitle"/>
              </w:rPr>
            </w:pPr>
          </w:p>
        </w:tc>
        <w:tc>
          <w:tcPr>
            <w:tcW w:w="693" w:type="pct"/>
          </w:tcPr>
          <w:p w14:paraId="0C3F8025"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2B" w14:textId="77777777" w:rsidTr="0015270F">
        <w:trPr>
          <w:trHeight w:val="57"/>
          <w:jc w:val="center"/>
        </w:trPr>
        <w:tc>
          <w:tcPr>
            <w:tcW w:w="1110" w:type="pct"/>
          </w:tcPr>
          <w:p w14:paraId="0C3F8027" w14:textId="77777777" w:rsidR="0015270F" w:rsidRPr="0015270F" w:rsidRDefault="0015270F" w:rsidP="0015270F">
            <w:pPr>
              <w:spacing w:before="0" w:after="0"/>
              <w:rPr>
                <w:rStyle w:val="BookTitle"/>
              </w:rPr>
            </w:pPr>
          </w:p>
        </w:tc>
        <w:tc>
          <w:tcPr>
            <w:tcW w:w="2030" w:type="pct"/>
          </w:tcPr>
          <w:p w14:paraId="0C3F8028" w14:textId="77777777" w:rsidR="0015270F" w:rsidRPr="0015270F" w:rsidRDefault="00782908" w:rsidP="0015270F">
            <w:pPr>
              <w:spacing w:before="0" w:after="0"/>
              <w:rPr>
                <w:rStyle w:val="BookTitle"/>
              </w:rPr>
            </w:pPr>
            <w:r>
              <w:rPr>
                <w:rStyle w:val="BookTitle"/>
              </w:rPr>
              <w:t>Chlorophyll</w:t>
            </w:r>
            <w:r w:rsidR="0015270F" w:rsidRPr="0015270F">
              <w:rPr>
                <w:rStyle w:val="BookTitle"/>
              </w:rPr>
              <w:t>-a (µg/L)</w:t>
            </w:r>
          </w:p>
        </w:tc>
        <w:tc>
          <w:tcPr>
            <w:tcW w:w="1167" w:type="pct"/>
            <w:vMerge/>
          </w:tcPr>
          <w:p w14:paraId="0C3F8029" w14:textId="77777777" w:rsidR="0015270F" w:rsidRPr="0015270F" w:rsidRDefault="0015270F" w:rsidP="0015270F">
            <w:pPr>
              <w:spacing w:before="0" w:after="0"/>
              <w:rPr>
                <w:rStyle w:val="BookTitle"/>
              </w:rPr>
            </w:pPr>
          </w:p>
        </w:tc>
        <w:tc>
          <w:tcPr>
            <w:tcW w:w="693" w:type="pct"/>
          </w:tcPr>
          <w:p w14:paraId="0C3F802A"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30" w14:textId="77777777" w:rsidTr="0015270F">
        <w:trPr>
          <w:trHeight w:val="57"/>
          <w:jc w:val="center"/>
        </w:trPr>
        <w:tc>
          <w:tcPr>
            <w:tcW w:w="1110" w:type="pct"/>
          </w:tcPr>
          <w:p w14:paraId="0C3F802C" w14:textId="77777777" w:rsidR="0015270F" w:rsidRPr="0015270F" w:rsidRDefault="0015270F" w:rsidP="0015270F">
            <w:pPr>
              <w:spacing w:before="0" w:after="0"/>
              <w:rPr>
                <w:rStyle w:val="BookTitle"/>
              </w:rPr>
            </w:pPr>
          </w:p>
        </w:tc>
        <w:tc>
          <w:tcPr>
            <w:tcW w:w="2030" w:type="pct"/>
          </w:tcPr>
          <w:p w14:paraId="0C3F802D" w14:textId="77777777" w:rsidR="0015270F" w:rsidRPr="0015270F" w:rsidRDefault="0015270F" w:rsidP="0015270F">
            <w:pPr>
              <w:spacing w:before="0" w:after="0"/>
              <w:rPr>
                <w:rStyle w:val="BookTitle"/>
              </w:rPr>
            </w:pPr>
            <w:r w:rsidRPr="0015270F">
              <w:rPr>
                <w:rStyle w:val="BookTitle"/>
              </w:rPr>
              <w:t>Phaeophytin (µg/L)</w:t>
            </w:r>
          </w:p>
        </w:tc>
        <w:tc>
          <w:tcPr>
            <w:tcW w:w="1167" w:type="pct"/>
            <w:vMerge/>
          </w:tcPr>
          <w:p w14:paraId="0C3F802E" w14:textId="77777777" w:rsidR="0015270F" w:rsidRPr="0015270F" w:rsidRDefault="0015270F" w:rsidP="0015270F">
            <w:pPr>
              <w:spacing w:before="0" w:after="0"/>
              <w:rPr>
                <w:rStyle w:val="BookTitle"/>
              </w:rPr>
            </w:pPr>
          </w:p>
        </w:tc>
        <w:tc>
          <w:tcPr>
            <w:tcW w:w="693" w:type="pct"/>
          </w:tcPr>
          <w:p w14:paraId="0C3F802F"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35" w14:textId="77777777" w:rsidTr="0015270F">
        <w:trPr>
          <w:trHeight w:val="57"/>
          <w:jc w:val="center"/>
        </w:trPr>
        <w:tc>
          <w:tcPr>
            <w:tcW w:w="1110" w:type="pct"/>
          </w:tcPr>
          <w:p w14:paraId="0C3F8031" w14:textId="77777777" w:rsidR="0015270F" w:rsidRPr="0015270F" w:rsidRDefault="0015270F" w:rsidP="0015270F">
            <w:pPr>
              <w:spacing w:before="0" w:after="0"/>
              <w:rPr>
                <w:rStyle w:val="BookTitle"/>
              </w:rPr>
            </w:pPr>
          </w:p>
        </w:tc>
        <w:tc>
          <w:tcPr>
            <w:tcW w:w="2030" w:type="pct"/>
          </w:tcPr>
          <w:p w14:paraId="0C3F8032" w14:textId="77777777" w:rsidR="0015270F" w:rsidRPr="0015270F" w:rsidRDefault="0015270F" w:rsidP="0015270F">
            <w:pPr>
              <w:spacing w:before="0" w:after="0"/>
              <w:rPr>
                <w:rStyle w:val="BookTitle"/>
              </w:rPr>
            </w:pPr>
            <w:r w:rsidRPr="0015270F">
              <w:rPr>
                <w:rStyle w:val="BookTitle"/>
              </w:rPr>
              <w:t>Total Suspended solids(mg/L)</w:t>
            </w:r>
          </w:p>
        </w:tc>
        <w:tc>
          <w:tcPr>
            <w:tcW w:w="1167" w:type="pct"/>
            <w:vMerge/>
          </w:tcPr>
          <w:p w14:paraId="0C3F8033" w14:textId="77777777" w:rsidR="0015270F" w:rsidRPr="0015270F" w:rsidRDefault="0015270F" w:rsidP="0015270F">
            <w:pPr>
              <w:spacing w:before="0" w:after="0"/>
              <w:rPr>
                <w:rStyle w:val="BookTitle"/>
              </w:rPr>
            </w:pPr>
          </w:p>
        </w:tc>
        <w:tc>
          <w:tcPr>
            <w:tcW w:w="693" w:type="pct"/>
          </w:tcPr>
          <w:p w14:paraId="0C3F8034"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3A" w14:textId="77777777" w:rsidTr="0015270F">
        <w:trPr>
          <w:trHeight w:val="57"/>
          <w:jc w:val="center"/>
        </w:trPr>
        <w:tc>
          <w:tcPr>
            <w:tcW w:w="1110" w:type="pct"/>
          </w:tcPr>
          <w:p w14:paraId="0C3F8036" w14:textId="77777777" w:rsidR="0015270F" w:rsidRPr="0015270F" w:rsidRDefault="0015270F" w:rsidP="0015270F">
            <w:pPr>
              <w:spacing w:before="0" w:after="0"/>
              <w:rPr>
                <w:rStyle w:val="BookTitle"/>
              </w:rPr>
            </w:pPr>
          </w:p>
        </w:tc>
        <w:tc>
          <w:tcPr>
            <w:tcW w:w="2030" w:type="pct"/>
          </w:tcPr>
          <w:p w14:paraId="0C3F8037" w14:textId="77777777" w:rsidR="0015270F" w:rsidRPr="0015270F" w:rsidRDefault="0015270F" w:rsidP="0015270F">
            <w:pPr>
              <w:spacing w:before="0" w:after="0"/>
              <w:rPr>
                <w:rStyle w:val="BookTitle"/>
              </w:rPr>
            </w:pPr>
            <w:r w:rsidRPr="0015270F">
              <w:rPr>
                <w:rStyle w:val="BookTitle"/>
              </w:rPr>
              <w:t>Coloured Dissolved Organic Matter (443 m</w:t>
            </w:r>
            <w:r w:rsidRPr="00935052">
              <w:rPr>
                <w:rStyle w:val="BookTitle"/>
                <w:vertAlign w:val="superscript"/>
              </w:rPr>
              <w:t>-1</w:t>
            </w:r>
            <w:r w:rsidRPr="0015270F">
              <w:rPr>
                <w:rStyle w:val="BookTitle"/>
              </w:rPr>
              <w:t>)</w:t>
            </w:r>
          </w:p>
        </w:tc>
        <w:tc>
          <w:tcPr>
            <w:tcW w:w="1167" w:type="pct"/>
            <w:vMerge/>
          </w:tcPr>
          <w:p w14:paraId="0C3F8038" w14:textId="77777777" w:rsidR="0015270F" w:rsidRPr="0015270F" w:rsidRDefault="0015270F" w:rsidP="0015270F">
            <w:pPr>
              <w:spacing w:before="0" w:after="0"/>
              <w:rPr>
                <w:rStyle w:val="BookTitle"/>
              </w:rPr>
            </w:pPr>
          </w:p>
        </w:tc>
        <w:tc>
          <w:tcPr>
            <w:tcW w:w="693" w:type="pct"/>
          </w:tcPr>
          <w:p w14:paraId="0C3F8039" w14:textId="77777777" w:rsidR="0015270F" w:rsidRPr="0015270F" w:rsidRDefault="0015270F" w:rsidP="0015270F">
            <w:pPr>
              <w:spacing w:before="0" w:after="0"/>
              <w:rPr>
                <w:rStyle w:val="BookTitle"/>
              </w:rPr>
            </w:pPr>
            <w:r w:rsidRPr="0015270F">
              <w:rPr>
                <w:rStyle w:val="BookTitle"/>
              </w:rPr>
              <w:sym w:font="Symbol" w:char="F0D6"/>
            </w:r>
          </w:p>
        </w:tc>
      </w:tr>
      <w:tr w:rsidR="0015270F" w:rsidRPr="0015270F" w14:paraId="0C3F803F" w14:textId="77777777" w:rsidTr="0015270F">
        <w:trPr>
          <w:trHeight w:val="57"/>
          <w:jc w:val="center"/>
        </w:trPr>
        <w:tc>
          <w:tcPr>
            <w:tcW w:w="1110" w:type="pct"/>
            <w:tcBorders>
              <w:bottom w:val="single" w:sz="4" w:space="0" w:color="auto"/>
            </w:tcBorders>
          </w:tcPr>
          <w:p w14:paraId="0C3F803B" w14:textId="77777777" w:rsidR="0015270F" w:rsidRPr="0015270F" w:rsidRDefault="0015270F" w:rsidP="0015270F">
            <w:pPr>
              <w:spacing w:before="0" w:after="0"/>
              <w:rPr>
                <w:rStyle w:val="BookTitle"/>
              </w:rPr>
            </w:pPr>
          </w:p>
        </w:tc>
        <w:tc>
          <w:tcPr>
            <w:tcW w:w="2030" w:type="pct"/>
            <w:tcBorders>
              <w:bottom w:val="single" w:sz="4" w:space="0" w:color="auto"/>
            </w:tcBorders>
          </w:tcPr>
          <w:p w14:paraId="0C3F803C" w14:textId="77777777" w:rsidR="0015270F" w:rsidRPr="0015270F" w:rsidRDefault="0015270F" w:rsidP="0015270F">
            <w:pPr>
              <w:spacing w:before="0" w:after="0"/>
              <w:rPr>
                <w:rStyle w:val="BookTitle"/>
              </w:rPr>
            </w:pPr>
            <w:r w:rsidRPr="0015270F">
              <w:rPr>
                <w:rStyle w:val="BookTitle"/>
              </w:rPr>
              <w:t>Pesticides (PS-II herbicides) (ng/L)*</w:t>
            </w:r>
          </w:p>
        </w:tc>
        <w:tc>
          <w:tcPr>
            <w:tcW w:w="1167" w:type="pct"/>
            <w:tcBorders>
              <w:bottom w:val="single" w:sz="4" w:space="0" w:color="auto"/>
            </w:tcBorders>
          </w:tcPr>
          <w:p w14:paraId="0C3F803D" w14:textId="77777777" w:rsidR="0015270F" w:rsidRPr="0015270F" w:rsidRDefault="0015270F" w:rsidP="0015270F">
            <w:pPr>
              <w:spacing w:before="0" w:after="0"/>
              <w:rPr>
                <w:rStyle w:val="BookTitle"/>
              </w:rPr>
            </w:pPr>
          </w:p>
        </w:tc>
        <w:tc>
          <w:tcPr>
            <w:tcW w:w="693" w:type="pct"/>
            <w:tcBorders>
              <w:bottom w:val="single" w:sz="4" w:space="0" w:color="auto"/>
            </w:tcBorders>
          </w:tcPr>
          <w:p w14:paraId="0C3F803E" w14:textId="77777777" w:rsidR="0015270F" w:rsidRPr="0015270F" w:rsidRDefault="0015270F" w:rsidP="0015270F">
            <w:pPr>
              <w:spacing w:before="0" w:after="0"/>
              <w:rPr>
                <w:rStyle w:val="BookTitle"/>
              </w:rPr>
            </w:pPr>
          </w:p>
        </w:tc>
      </w:tr>
      <w:tr w:rsidR="0015270F" w:rsidRPr="0015270F" w14:paraId="0C3F8044" w14:textId="77777777" w:rsidTr="0015270F">
        <w:trPr>
          <w:trHeight w:val="57"/>
          <w:jc w:val="center"/>
        </w:trPr>
        <w:tc>
          <w:tcPr>
            <w:tcW w:w="1110" w:type="pct"/>
            <w:tcBorders>
              <w:top w:val="single" w:sz="4" w:space="0" w:color="auto"/>
              <w:bottom w:val="single" w:sz="4" w:space="0" w:color="auto"/>
            </w:tcBorders>
          </w:tcPr>
          <w:p w14:paraId="0C3F8040" w14:textId="77777777" w:rsidR="0015270F" w:rsidRPr="0015270F" w:rsidRDefault="0015270F" w:rsidP="0015270F">
            <w:pPr>
              <w:spacing w:before="0" w:after="0"/>
              <w:rPr>
                <w:rStyle w:val="BookTitle"/>
              </w:rPr>
            </w:pPr>
            <w:r w:rsidRPr="0015270F">
              <w:rPr>
                <w:rStyle w:val="BookTitle"/>
              </w:rPr>
              <w:t>Biological</w:t>
            </w:r>
          </w:p>
        </w:tc>
        <w:tc>
          <w:tcPr>
            <w:tcW w:w="2030" w:type="pct"/>
            <w:tcBorders>
              <w:top w:val="single" w:sz="4" w:space="0" w:color="auto"/>
              <w:bottom w:val="single" w:sz="4" w:space="0" w:color="auto"/>
            </w:tcBorders>
          </w:tcPr>
          <w:p w14:paraId="0C3F8041" w14:textId="77777777" w:rsidR="0015270F" w:rsidRPr="0015270F" w:rsidRDefault="0015270F" w:rsidP="0015270F">
            <w:pPr>
              <w:spacing w:before="0" w:after="0"/>
              <w:rPr>
                <w:rStyle w:val="BookTitle"/>
              </w:rPr>
            </w:pPr>
            <w:r w:rsidRPr="0015270F">
              <w:rPr>
                <w:rStyle w:val="BookTitle"/>
              </w:rPr>
              <w:t>Phytoplankton counts*</w:t>
            </w:r>
          </w:p>
        </w:tc>
        <w:tc>
          <w:tcPr>
            <w:tcW w:w="1167" w:type="pct"/>
            <w:tcBorders>
              <w:top w:val="single" w:sz="4" w:space="0" w:color="auto"/>
              <w:bottom w:val="single" w:sz="4" w:space="0" w:color="auto"/>
            </w:tcBorders>
          </w:tcPr>
          <w:p w14:paraId="0C3F8042" w14:textId="77777777" w:rsidR="0015270F" w:rsidRPr="0015270F" w:rsidRDefault="0015270F" w:rsidP="0015270F">
            <w:pPr>
              <w:spacing w:before="0" w:after="0"/>
              <w:rPr>
                <w:rStyle w:val="BookTitle"/>
              </w:rPr>
            </w:pPr>
          </w:p>
        </w:tc>
        <w:tc>
          <w:tcPr>
            <w:tcW w:w="693" w:type="pct"/>
            <w:tcBorders>
              <w:top w:val="single" w:sz="4" w:space="0" w:color="auto"/>
              <w:bottom w:val="single" w:sz="4" w:space="0" w:color="auto"/>
            </w:tcBorders>
          </w:tcPr>
          <w:p w14:paraId="0C3F8043" w14:textId="77777777" w:rsidR="0015270F" w:rsidRPr="0015270F" w:rsidRDefault="0015270F" w:rsidP="0015270F">
            <w:pPr>
              <w:spacing w:before="0" w:after="0"/>
              <w:rPr>
                <w:rStyle w:val="BookTitle"/>
              </w:rPr>
            </w:pPr>
          </w:p>
        </w:tc>
      </w:tr>
    </w:tbl>
    <w:p w14:paraId="0C3F8045" w14:textId="77777777" w:rsidR="0015270F" w:rsidRPr="0015270F" w:rsidRDefault="0015270F" w:rsidP="0015270F">
      <w:pPr>
        <w:rPr>
          <w:sz w:val="18"/>
          <w:szCs w:val="18"/>
        </w:rPr>
      </w:pPr>
      <w:r w:rsidRPr="0015270F">
        <w:rPr>
          <w:sz w:val="18"/>
          <w:szCs w:val="18"/>
        </w:rPr>
        <w:t xml:space="preserve">* </w:t>
      </w:r>
      <w:r w:rsidR="00EA39D4">
        <w:rPr>
          <w:sz w:val="18"/>
          <w:szCs w:val="18"/>
        </w:rPr>
        <w:t>not sampled at all sites</w:t>
      </w:r>
    </w:p>
    <w:p w14:paraId="0C3F8046" w14:textId="77777777" w:rsidR="0015270F" w:rsidRDefault="0015270F" w:rsidP="00C05A63">
      <w:pPr>
        <w:pStyle w:val="Heading2"/>
        <w:keepNext/>
        <w:numPr>
          <w:ilvl w:val="2"/>
          <w:numId w:val="13"/>
        </w:numPr>
        <w:spacing w:line="80" w:lineRule="atLeast"/>
      </w:pPr>
      <w:bookmarkStart w:id="108" w:name="_Toc428793317"/>
      <w:bookmarkStart w:id="109" w:name="_Toc428851336"/>
      <w:bookmarkStart w:id="110" w:name="_Toc434207996"/>
      <w:r>
        <w:t>Data analysis - spatial</w:t>
      </w:r>
      <w:bookmarkEnd w:id="108"/>
      <w:bookmarkEnd w:id="109"/>
      <w:bookmarkEnd w:id="110"/>
    </w:p>
    <w:p w14:paraId="0C3F8047" w14:textId="77777777" w:rsidR="0015270F" w:rsidRDefault="006D2F0A" w:rsidP="0015270F">
      <w:r>
        <w:t xml:space="preserve">Four </w:t>
      </w:r>
      <w:r w:rsidR="0015270F">
        <w:t xml:space="preserve">strategies were adopted in order to analyse the sampled data. Firstly, </w:t>
      </w:r>
      <w:r>
        <w:t xml:space="preserve">mixing </w:t>
      </w:r>
      <w:r w:rsidR="0015270F">
        <w:t xml:space="preserve">plots were produced for each WQ parameter grouped by </w:t>
      </w:r>
      <w:r>
        <w:t>sampling events for the main sampled rivers (i.e., rivers with more than 20 samples: Tully, Herbert, and Burdekin)</w:t>
      </w:r>
      <w:r w:rsidR="003C19C2">
        <w:t xml:space="preserve">. </w:t>
      </w:r>
      <w:r w:rsidR="00DC605B">
        <w:t xml:space="preserve">The WQ parameters sampled in the Tully, Herbert and Burdekin </w:t>
      </w:r>
      <w:r w:rsidR="003C19C2">
        <w:t xml:space="preserve">area </w:t>
      </w:r>
      <w:r>
        <w:t xml:space="preserve">were </w:t>
      </w:r>
      <w:r w:rsidR="003C19C2">
        <w:t>also</w:t>
      </w:r>
      <w:r w:rsidR="00DC605B">
        <w:t xml:space="preserve"> plotted against two parameters: (a) the distance between the sampling site and the nearest (or influential) river mouth, (b) 5-days average river discharge calculated from the sampling date. </w:t>
      </w:r>
      <w:r w:rsidR="0015270F">
        <w:t>These plots aimed to investigate the temporal and spatial variation of the sampled WQ parameters and describe the influence of river discharge. In order to facilitate the identification of WQ patterns, a non-parametric fitting curve (</w:t>
      </w:r>
      <w:r w:rsidR="0015270F" w:rsidRPr="0015270F">
        <w:rPr>
          <w:i/>
        </w:rPr>
        <w:t>loess</w:t>
      </w:r>
      <w:r w:rsidR="0015270F">
        <w:t xml:space="preserve"> model, see Crawley, 2007) was adjusted to the data.</w:t>
      </w:r>
      <w:r w:rsidR="0015270F" w:rsidRPr="00D85611">
        <w:t xml:space="preserve"> </w:t>
      </w:r>
      <w:r w:rsidR="0015270F">
        <w:t xml:space="preserve">For the distance calculation, sites were assigned to the nearest (or influential) river based on the site </w:t>
      </w:r>
      <w:r w:rsidR="0015270F" w:rsidRPr="00DC605B">
        <w:t>locat</w:t>
      </w:r>
      <w:r w:rsidR="00BD7FB0" w:rsidRPr="00DC605B">
        <w:t xml:space="preserve">ion. </w:t>
      </w:r>
      <w:r w:rsidR="00DC605B">
        <w:t>The “</w:t>
      </w:r>
      <w:r w:rsidR="0015270F" w:rsidRPr="00DC605B">
        <w:rPr>
          <w:rFonts w:cs="Courier New"/>
        </w:rPr>
        <w:t>5-day</w:t>
      </w:r>
      <w:r w:rsidR="00DC605B">
        <w:rPr>
          <w:rFonts w:cs="Courier New"/>
        </w:rPr>
        <w:t>”</w:t>
      </w:r>
      <w:r w:rsidR="0015270F" w:rsidRPr="0015270F">
        <w:rPr>
          <w:rFonts w:cs="Courier New"/>
        </w:rPr>
        <w:t xml:space="preserve"> average was arbitrarily selected as a way to represent a potential delay between water passing the river gauge measurements (average dist. ~36 km from river mouth, ranging from 6 – 91 km) and the measurement at the sampling site (within 1 – 270 km from the river mouth, average dist. ~47 km).</w:t>
      </w:r>
      <w:r w:rsidR="00DC605B">
        <w:t xml:space="preserve"> Furthermore, </w:t>
      </w:r>
      <w:r w:rsidR="0015270F">
        <w:t xml:space="preserve">a correlation table was produced comparing </w:t>
      </w:r>
      <w:r w:rsidR="0015270F" w:rsidRPr="00DC605B">
        <w:t xml:space="preserve">each </w:t>
      </w:r>
      <w:r w:rsidR="0095562E" w:rsidRPr="00DC605B">
        <w:t>water quality</w:t>
      </w:r>
      <w:r w:rsidR="0015270F" w:rsidRPr="00DC605B">
        <w:t xml:space="preserve"> parameter</w:t>
      </w:r>
      <w:r w:rsidR="00DC605B" w:rsidRPr="00DC605B">
        <w:t>,</w:t>
      </w:r>
      <w:r w:rsidR="0015270F" w:rsidRPr="00DC605B">
        <w:t xml:space="preserve"> grouped</w:t>
      </w:r>
      <w:r w:rsidR="0015270F">
        <w:t xml:space="preserve"> by river</w:t>
      </w:r>
      <w:r w:rsidR="00DC605B">
        <w:t>,</w:t>
      </w:r>
      <w:r w:rsidR="0015270F">
        <w:t xml:space="preserve"> </w:t>
      </w:r>
      <w:r w:rsidR="00DC605B">
        <w:t xml:space="preserve">against </w:t>
      </w:r>
      <w:r w:rsidR="0015270F">
        <w:t xml:space="preserve">the two supporting parameters (i.e., distance and discharge). Correlations were </w:t>
      </w:r>
      <w:r w:rsidR="0015270F" w:rsidRPr="00CD4E47">
        <w:t xml:space="preserve">calculated using the Spearman's rank correlation coefficient because </w:t>
      </w:r>
      <w:r w:rsidR="00DC605B">
        <w:t xml:space="preserve">the majority of </w:t>
      </w:r>
      <w:r w:rsidR="003C19C2">
        <w:t xml:space="preserve">the </w:t>
      </w:r>
      <w:r w:rsidR="003C19C2" w:rsidRPr="00CD4E47">
        <w:t>variables</w:t>
      </w:r>
      <w:r w:rsidR="0015270F" w:rsidRPr="00CD4E47">
        <w:t xml:space="preserve"> did </w:t>
      </w:r>
      <w:r w:rsidR="00DC605B">
        <w:t xml:space="preserve">not present normal </w:t>
      </w:r>
      <w:r w:rsidR="003C19C2">
        <w:t>distribution (</w:t>
      </w:r>
      <w:r w:rsidR="0015270F">
        <w:fldChar w:fldCharType="begin"/>
      </w:r>
      <w:r w:rsidR="0015270F">
        <w:instrText xml:space="preserve"> REF _Ref428787955 \h  \* MERGEFORMAT </w:instrText>
      </w:r>
      <w:r w:rsidR="0015270F">
        <w:fldChar w:fldCharType="separate"/>
      </w:r>
      <w:r w:rsidR="00B62B50">
        <w:t xml:space="preserve">Table </w:t>
      </w:r>
      <w:r w:rsidR="00B62B50">
        <w:rPr>
          <w:noProof/>
        </w:rPr>
        <w:t>4</w:t>
      </w:r>
      <w:r w:rsidR="00B62B50">
        <w:rPr>
          <w:noProof/>
        </w:rPr>
        <w:noBreakHyphen/>
        <w:t>3</w:t>
      </w:r>
      <w:r w:rsidR="0015270F">
        <w:fldChar w:fldCharType="end"/>
      </w:r>
      <w:r w:rsidR="0015270F">
        <w:t>).</w:t>
      </w:r>
    </w:p>
    <w:p w14:paraId="0C3F8048" w14:textId="77777777" w:rsidR="00162359" w:rsidRDefault="00162359" w:rsidP="0015270F"/>
    <w:p w14:paraId="0C3F8049" w14:textId="77777777" w:rsidR="00162359" w:rsidRDefault="00162359" w:rsidP="0015270F"/>
    <w:p w14:paraId="0C3F804A" w14:textId="77777777" w:rsidR="0015270F" w:rsidRPr="0015270F" w:rsidRDefault="0015270F" w:rsidP="0095562E">
      <w:pPr>
        <w:pStyle w:val="Caption"/>
      </w:pPr>
      <w:bookmarkStart w:id="111" w:name="_Ref428787955"/>
      <w:bookmarkStart w:id="112" w:name="_Toc434208070"/>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3</w:t>
      </w:r>
      <w:r w:rsidR="00AE4287">
        <w:fldChar w:fldCharType="end"/>
      </w:r>
      <w:bookmarkEnd w:id="111"/>
      <w:r>
        <w:t xml:space="preserve">: </w:t>
      </w:r>
      <w:r w:rsidRPr="0015270F">
        <w:t>Summary of statistical analysis</w:t>
      </w:r>
      <w:r w:rsidR="00BD7FB0">
        <w:t xml:space="preserve"> techniques exploring spatial variation</w:t>
      </w:r>
      <w:r w:rsidRPr="0015270F">
        <w:t xml:space="preserve"> applied to the WQ parameters sampled </w:t>
      </w:r>
      <w:r w:rsidR="00BD7FB0">
        <w:t>within the wet 2012-2013 wet season.</w:t>
      </w:r>
      <w:bookmarkEnd w:id="112"/>
    </w:p>
    <w:tbl>
      <w:tblPr>
        <w:tblW w:w="9404" w:type="dxa"/>
        <w:tblInd w:w="93" w:type="dxa"/>
        <w:tblLook w:val="04A0" w:firstRow="1" w:lastRow="0" w:firstColumn="1" w:lastColumn="0" w:noHBand="0" w:noVBand="1"/>
      </w:tblPr>
      <w:tblGrid>
        <w:gridCol w:w="1275"/>
        <w:gridCol w:w="3971"/>
        <w:gridCol w:w="4158"/>
      </w:tblGrid>
      <w:tr w:rsidR="0015270F" w:rsidRPr="0015270F" w14:paraId="0C3F804E" w14:textId="77777777" w:rsidTr="00282ECB">
        <w:trPr>
          <w:trHeight w:val="170"/>
        </w:trPr>
        <w:tc>
          <w:tcPr>
            <w:tcW w:w="1275" w:type="dxa"/>
            <w:tcBorders>
              <w:top w:val="single" w:sz="4" w:space="0" w:color="auto"/>
              <w:left w:val="nil"/>
              <w:bottom w:val="single" w:sz="4" w:space="0" w:color="auto"/>
              <w:right w:val="nil"/>
            </w:tcBorders>
            <w:shd w:val="clear" w:color="auto" w:fill="auto"/>
            <w:noWrap/>
            <w:vAlign w:val="center"/>
            <w:hideMark/>
          </w:tcPr>
          <w:p w14:paraId="0C3F804B" w14:textId="77777777" w:rsidR="0015270F" w:rsidRPr="0015270F" w:rsidRDefault="0015270F" w:rsidP="0015270F">
            <w:pPr>
              <w:spacing w:before="0" w:after="0"/>
              <w:rPr>
                <w:rStyle w:val="BookTitle"/>
              </w:rPr>
            </w:pPr>
            <w:r w:rsidRPr="0015270F">
              <w:rPr>
                <w:rStyle w:val="BookTitle"/>
              </w:rPr>
              <w:t>Statistical approach</w:t>
            </w:r>
          </w:p>
        </w:tc>
        <w:tc>
          <w:tcPr>
            <w:tcW w:w="3971" w:type="dxa"/>
            <w:tcBorders>
              <w:top w:val="single" w:sz="4" w:space="0" w:color="auto"/>
              <w:left w:val="nil"/>
              <w:bottom w:val="single" w:sz="4" w:space="0" w:color="auto"/>
              <w:right w:val="nil"/>
            </w:tcBorders>
            <w:shd w:val="clear" w:color="auto" w:fill="auto"/>
            <w:noWrap/>
            <w:vAlign w:val="center"/>
            <w:hideMark/>
          </w:tcPr>
          <w:p w14:paraId="0C3F804C" w14:textId="77777777" w:rsidR="0015270F" w:rsidRPr="0015270F" w:rsidRDefault="0015270F" w:rsidP="0015270F">
            <w:pPr>
              <w:spacing w:before="0" w:after="0"/>
              <w:rPr>
                <w:rStyle w:val="BookTitle"/>
              </w:rPr>
            </w:pPr>
            <w:r w:rsidRPr="0015270F">
              <w:rPr>
                <w:rStyle w:val="BookTitle"/>
              </w:rPr>
              <w:t>Data set used and method</w:t>
            </w:r>
          </w:p>
        </w:tc>
        <w:tc>
          <w:tcPr>
            <w:tcW w:w="4158" w:type="dxa"/>
            <w:tcBorders>
              <w:top w:val="single" w:sz="4" w:space="0" w:color="auto"/>
              <w:left w:val="nil"/>
              <w:bottom w:val="single" w:sz="4" w:space="0" w:color="auto"/>
              <w:right w:val="nil"/>
            </w:tcBorders>
            <w:shd w:val="clear" w:color="auto" w:fill="auto"/>
            <w:noWrap/>
            <w:vAlign w:val="center"/>
            <w:hideMark/>
          </w:tcPr>
          <w:p w14:paraId="0C3F804D" w14:textId="77777777" w:rsidR="0015270F" w:rsidRPr="0015270F" w:rsidRDefault="0015270F" w:rsidP="0015270F">
            <w:pPr>
              <w:spacing w:before="0" w:after="0"/>
              <w:rPr>
                <w:rStyle w:val="BookTitle"/>
              </w:rPr>
            </w:pPr>
            <w:r w:rsidRPr="0015270F">
              <w:rPr>
                <w:rStyle w:val="BookTitle"/>
              </w:rPr>
              <w:t>Potential outcome</w:t>
            </w:r>
          </w:p>
        </w:tc>
      </w:tr>
      <w:tr w:rsidR="00282ECB" w:rsidRPr="0015270F" w14:paraId="0C3F8052" w14:textId="77777777" w:rsidTr="00282ECB">
        <w:trPr>
          <w:trHeight w:val="170"/>
        </w:trPr>
        <w:tc>
          <w:tcPr>
            <w:tcW w:w="1275" w:type="dxa"/>
            <w:tcBorders>
              <w:top w:val="single" w:sz="4" w:space="0" w:color="auto"/>
              <w:left w:val="nil"/>
              <w:right w:val="nil"/>
            </w:tcBorders>
            <w:shd w:val="clear" w:color="auto" w:fill="auto"/>
            <w:noWrap/>
            <w:vAlign w:val="center"/>
          </w:tcPr>
          <w:p w14:paraId="0C3F804F" w14:textId="77777777" w:rsidR="00282ECB" w:rsidRPr="0015270F" w:rsidRDefault="006D2F0A" w:rsidP="0015270F">
            <w:pPr>
              <w:spacing w:before="0" w:after="0"/>
              <w:rPr>
                <w:rStyle w:val="BookTitle"/>
              </w:rPr>
            </w:pPr>
            <w:r>
              <w:rPr>
                <w:rStyle w:val="BookTitle"/>
              </w:rPr>
              <w:t xml:space="preserve">Mixing </w:t>
            </w:r>
            <w:r w:rsidR="00282ECB">
              <w:rPr>
                <w:rStyle w:val="BookTitle"/>
              </w:rPr>
              <w:t>plots</w:t>
            </w:r>
          </w:p>
        </w:tc>
        <w:tc>
          <w:tcPr>
            <w:tcW w:w="3971" w:type="dxa"/>
            <w:tcBorders>
              <w:top w:val="single" w:sz="4" w:space="0" w:color="auto"/>
              <w:left w:val="nil"/>
              <w:right w:val="nil"/>
            </w:tcBorders>
            <w:shd w:val="clear" w:color="auto" w:fill="auto"/>
            <w:noWrap/>
            <w:vAlign w:val="center"/>
          </w:tcPr>
          <w:p w14:paraId="0C3F8050" w14:textId="77777777" w:rsidR="00282ECB" w:rsidRPr="0015270F" w:rsidRDefault="00282ECB" w:rsidP="006D2F0A">
            <w:pPr>
              <w:spacing w:before="0" w:after="0"/>
              <w:rPr>
                <w:rStyle w:val="BookTitle"/>
              </w:rPr>
            </w:pPr>
            <w:r w:rsidRPr="0015270F">
              <w:rPr>
                <w:rStyle w:val="BookTitle"/>
              </w:rPr>
              <w:t xml:space="preserve">2012-2013 WQ data grouped by </w:t>
            </w:r>
            <w:r w:rsidR="006D2F0A">
              <w:rPr>
                <w:rStyle w:val="BookTitle"/>
              </w:rPr>
              <w:t>sampling events</w:t>
            </w:r>
            <w:r w:rsidR="006D2F0A" w:rsidRPr="0015270F">
              <w:rPr>
                <w:rStyle w:val="BookTitle"/>
              </w:rPr>
              <w:t xml:space="preserve"> </w:t>
            </w:r>
            <w:r w:rsidRPr="0015270F">
              <w:rPr>
                <w:rStyle w:val="BookTitle"/>
              </w:rPr>
              <w:t>against salinity</w:t>
            </w:r>
            <w:r>
              <w:rPr>
                <w:rStyle w:val="BookTitle"/>
              </w:rPr>
              <w:t>. Lower salinity point taken by average NRM value &lt; 5ppt</w:t>
            </w:r>
          </w:p>
        </w:tc>
        <w:tc>
          <w:tcPr>
            <w:tcW w:w="4158" w:type="dxa"/>
            <w:tcBorders>
              <w:top w:val="single" w:sz="4" w:space="0" w:color="auto"/>
              <w:left w:val="nil"/>
              <w:right w:val="nil"/>
            </w:tcBorders>
            <w:shd w:val="clear" w:color="auto" w:fill="auto"/>
            <w:noWrap/>
            <w:vAlign w:val="center"/>
          </w:tcPr>
          <w:p w14:paraId="0C3F8051" w14:textId="77777777" w:rsidR="00282ECB" w:rsidRPr="0015270F" w:rsidRDefault="00282ECB" w:rsidP="006D2F0A">
            <w:pPr>
              <w:spacing w:before="0" w:after="0"/>
              <w:rPr>
                <w:rStyle w:val="BookTitle"/>
              </w:rPr>
            </w:pPr>
            <w:r>
              <w:rPr>
                <w:rStyle w:val="BookTitle"/>
              </w:rPr>
              <w:t xml:space="preserve">Scatter plots identifying </w:t>
            </w:r>
            <w:r w:rsidR="006D2F0A">
              <w:rPr>
                <w:rStyle w:val="BookTitle"/>
              </w:rPr>
              <w:t xml:space="preserve">superficial mixing profiles </w:t>
            </w:r>
            <w:r>
              <w:rPr>
                <w:rStyle w:val="BookTitle"/>
              </w:rPr>
              <w:t xml:space="preserve">and </w:t>
            </w:r>
            <w:r w:rsidR="006D2F0A">
              <w:rPr>
                <w:rStyle w:val="BookTitle"/>
              </w:rPr>
              <w:t xml:space="preserve">WQ parameter </w:t>
            </w:r>
            <w:r>
              <w:rPr>
                <w:rStyle w:val="BookTitle"/>
              </w:rPr>
              <w:t>reduction from a potential freshwater value</w:t>
            </w:r>
          </w:p>
        </w:tc>
      </w:tr>
      <w:tr w:rsidR="0015270F" w:rsidRPr="0015270F" w14:paraId="0C3F8056" w14:textId="77777777" w:rsidTr="00282ECB">
        <w:trPr>
          <w:trHeight w:val="170"/>
        </w:trPr>
        <w:tc>
          <w:tcPr>
            <w:tcW w:w="1275" w:type="dxa"/>
            <w:tcBorders>
              <w:left w:val="nil"/>
              <w:bottom w:val="nil"/>
              <w:right w:val="nil"/>
            </w:tcBorders>
            <w:shd w:val="clear" w:color="auto" w:fill="auto"/>
            <w:noWrap/>
            <w:vAlign w:val="center"/>
            <w:hideMark/>
          </w:tcPr>
          <w:p w14:paraId="0C3F8053" w14:textId="77777777" w:rsidR="0015270F" w:rsidRPr="0015270F" w:rsidRDefault="0015270F" w:rsidP="0015270F">
            <w:pPr>
              <w:spacing w:before="0" w:after="0"/>
              <w:rPr>
                <w:rStyle w:val="BookTitle"/>
              </w:rPr>
            </w:pPr>
            <w:r w:rsidRPr="0015270F">
              <w:rPr>
                <w:rStyle w:val="BookTitle"/>
              </w:rPr>
              <w:t>Scatter plots</w:t>
            </w:r>
          </w:p>
        </w:tc>
        <w:tc>
          <w:tcPr>
            <w:tcW w:w="3971" w:type="dxa"/>
            <w:tcBorders>
              <w:left w:val="nil"/>
              <w:bottom w:val="nil"/>
              <w:right w:val="nil"/>
            </w:tcBorders>
            <w:shd w:val="clear" w:color="auto" w:fill="auto"/>
            <w:noWrap/>
            <w:vAlign w:val="center"/>
            <w:hideMark/>
          </w:tcPr>
          <w:p w14:paraId="0C3F8054" w14:textId="77777777" w:rsidR="0015270F" w:rsidRPr="0015270F" w:rsidRDefault="0015270F" w:rsidP="006D2F0A">
            <w:pPr>
              <w:spacing w:before="0" w:after="0"/>
              <w:rPr>
                <w:rStyle w:val="BookTitle"/>
              </w:rPr>
            </w:pPr>
            <w:r w:rsidRPr="0015270F">
              <w:rPr>
                <w:rStyle w:val="BookTitle"/>
              </w:rPr>
              <w:t xml:space="preserve">2012-2013 WQ data grouped by </w:t>
            </w:r>
            <w:r w:rsidR="006D2F0A">
              <w:rPr>
                <w:rStyle w:val="BookTitle"/>
              </w:rPr>
              <w:t>River</w:t>
            </w:r>
            <w:r w:rsidR="006D2F0A" w:rsidRPr="0015270F">
              <w:rPr>
                <w:rStyle w:val="BookTitle"/>
              </w:rPr>
              <w:t xml:space="preserve"> </w:t>
            </w:r>
            <w:r w:rsidRPr="0015270F">
              <w:rPr>
                <w:rStyle w:val="BookTitle"/>
              </w:rPr>
              <w:t>against distance and discharge</w:t>
            </w:r>
          </w:p>
        </w:tc>
        <w:tc>
          <w:tcPr>
            <w:tcW w:w="4158" w:type="dxa"/>
            <w:tcBorders>
              <w:left w:val="nil"/>
              <w:bottom w:val="nil"/>
              <w:right w:val="nil"/>
            </w:tcBorders>
            <w:shd w:val="clear" w:color="auto" w:fill="auto"/>
            <w:noWrap/>
            <w:vAlign w:val="center"/>
            <w:hideMark/>
          </w:tcPr>
          <w:p w14:paraId="0C3F8055" w14:textId="77777777" w:rsidR="0015270F" w:rsidRPr="0015270F" w:rsidRDefault="0015270F" w:rsidP="0015270F">
            <w:pPr>
              <w:spacing w:before="0" w:after="0"/>
              <w:rPr>
                <w:rStyle w:val="BookTitle"/>
              </w:rPr>
            </w:pPr>
            <w:r w:rsidRPr="0015270F">
              <w:rPr>
                <w:rStyle w:val="BookTitle"/>
              </w:rPr>
              <w:t>Patterns on the temporal and spatial variation of WQ as resulted from river discharge and proximity to source (i.e., river mouth).</w:t>
            </w:r>
          </w:p>
        </w:tc>
      </w:tr>
      <w:tr w:rsidR="0015270F" w:rsidRPr="0015270F" w14:paraId="0C3F805A" w14:textId="77777777" w:rsidTr="0015270F">
        <w:trPr>
          <w:trHeight w:val="170"/>
        </w:trPr>
        <w:tc>
          <w:tcPr>
            <w:tcW w:w="1275" w:type="dxa"/>
            <w:tcBorders>
              <w:top w:val="nil"/>
              <w:left w:val="nil"/>
              <w:right w:val="nil"/>
            </w:tcBorders>
            <w:shd w:val="clear" w:color="auto" w:fill="auto"/>
            <w:noWrap/>
            <w:vAlign w:val="center"/>
            <w:hideMark/>
          </w:tcPr>
          <w:p w14:paraId="0C3F8057" w14:textId="77777777" w:rsidR="0015270F" w:rsidRPr="0015270F" w:rsidRDefault="0015270F" w:rsidP="0015270F">
            <w:pPr>
              <w:spacing w:before="0" w:after="0"/>
              <w:rPr>
                <w:rStyle w:val="BookTitle"/>
              </w:rPr>
            </w:pPr>
            <w:r w:rsidRPr="00DC605B">
              <w:rPr>
                <w:rStyle w:val="BookTitle"/>
              </w:rPr>
              <w:t>Correlation table</w:t>
            </w:r>
          </w:p>
        </w:tc>
        <w:tc>
          <w:tcPr>
            <w:tcW w:w="3971" w:type="dxa"/>
            <w:tcBorders>
              <w:top w:val="nil"/>
              <w:left w:val="nil"/>
              <w:right w:val="nil"/>
            </w:tcBorders>
            <w:shd w:val="clear" w:color="auto" w:fill="auto"/>
            <w:noWrap/>
            <w:vAlign w:val="center"/>
            <w:hideMark/>
          </w:tcPr>
          <w:p w14:paraId="0C3F8058" w14:textId="77777777" w:rsidR="0015270F" w:rsidRPr="0015270F" w:rsidRDefault="0015270F" w:rsidP="0015270F">
            <w:pPr>
              <w:spacing w:before="0" w:after="0"/>
              <w:rPr>
                <w:rStyle w:val="BookTitle"/>
              </w:rPr>
            </w:pPr>
            <w:r w:rsidRPr="0015270F">
              <w:rPr>
                <w:rStyle w:val="BookTitle"/>
              </w:rPr>
              <w:t>The Spearman's rank correlation was computed for all 2012-2013 WQ and also distance and river discharge.</w:t>
            </w:r>
          </w:p>
        </w:tc>
        <w:tc>
          <w:tcPr>
            <w:tcW w:w="4158" w:type="dxa"/>
            <w:tcBorders>
              <w:top w:val="nil"/>
              <w:left w:val="nil"/>
              <w:right w:val="nil"/>
            </w:tcBorders>
            <w:shd w:val="clear" w:color="auto" w:fill="auto"/>
            <w:noWrap/>
            <w:vAlign w:val="center"/>
            <w:hideMark/>
          </w:tcPr>
          <w:p w14:paraId="0C3F8059" w14:textId="77777777" w:rsidR="0015270F" w:rsidRPr="0015270F" w:rsidRDefault="0015270F" w:rsidP="0015270F">
            <w:pPr>
              <w:spacing w:before="0" w:after="0"/>
              <w:rPr>
                <w:rStyle w:val="BookTitle"/>
              </w:rPr>
            </w:pPr>
            <w:r w:rsidRPr="0015270F">
              <w:rPr>
                <w:rStyle w:val="BookTitle"/>
              </w:rPr>
              <w:t xml:space="preserve">Find out correlated WQ parameters between themselves and with river discharge and distance </w:t>
            </w:r>
          </w:p>
        </w:tc>
      </w:tr>
      <w:tr w:rsidR="0015270F" w:rsidRPr="0015270F" w14:paraId="0C3F805E" w14:textId="77777777" w:rsidTr="00282ECB">
        <w:trPr>
          <w:trHeight w:val="52"/>
        </w:trPr>
        <w:tc>
          <w:tcPr>
            <w:tcW w:w="1275" w:type="dxa"/>
            <w:tcBorders>
              <w:top w:val="nil"/>
              <w:left w:val="nil"/>
              <w:bottom w:val="single" w:sz="4" w:space="0" w:color="auto"/>
              <w:right w:val="nil"/>
            </w:tcBorders>
            <w:shd w:val="clear" w:color="auto" w:fill="auto"/>
            <w:noWrap/>
            <w:vAlign w:val="center"/>
          </w:tcPr>
          <w:p w14:paraId="0C3F805B" w14:textId="77777777" w:rsidR="0015270F" w:rsidRPr="0015270F" w:rsidRDefault="0015270F" w:rsidP="0015270F">
            <w:pPr>
              <w:spacing w:before="0" w:after="0"/>
              <w:rPr>
                <w:rStyle w:val="BookTitle"/>
              </w:rPr>
            </w:pPr>
          </w:p>
        </w:tc>
        <w:tc>
          <w:tcPr>
            <w:tcW w:w="3971" w:type="dxa"/>
            <w:tcBorders>
              <w:top w:val="nil"/>
              <w:left w:val="nil"/>
              <w:bottom w:val="single" w:sz="4" w:space="0" w:color="auto"/>
              <w:right w:val="nil"/>
            </w:tcBorders>
            <w:shd w:val="clear" w:color="auto" w:fill="auto"/>
            <w:noWrap/>
            <w:vAlign w:val="center"/>
          </w:tcPr>
          <w:p w14:paraId="0C3F805C" w14:textId="77777777" w:rsidR="0015270F" w:rsidRPr="0015270F" w:rsidRDefault="0015270F" w:rsidP="0015270F">
            <w:pPr>
              <w:spacing w:before="0" w:after="0"/>
              <w:rPr>
                <w:rStyle w:val="BookTitle"/>
              </w:rPr>
            </w:pPr>
          </w:p>
        </w:tc>
        <w:tc>
          <w:tcPr>
            <w:tcW w:w="4158" w:type="dxa"/>
            <w:tcBorders>
              <w:top w:val="nil"/>
              <w:left w:val="nil"/>
              <w:bottom w:val="single" w:sz="4" w:space="0" w:color="auto"/>
              <w:right w:val="nil"/>
            </w:tcBorders>
            <w:shd w:val="clear" w:color="auto" w:fill="auto"/>
            <w:noWrap/>
            <w:vAlign w:val="center"/>
          </w:tcPr>
          <w:p w14:paraId="0C3F805D" w14:textId="77777777" w:rsidR="0015270F" w:rsidRPr="0015270F" w:rsidRDefault="0015270F" w:rsidP="0015270F">
            <w:pPr>
              <w:spacing w:before="0" w:after="0"/>
              <w:rPr>
                <w:rStyle w:val="BookTitle"/>
              </w:rPr>
            </w:pPr>
          </w:p>
        </w:tc>
      </w:tr>
    </w:tbl>
    <w:p w14:paraId="0C3F805F" w14:textId="77777777" w:rsidR="0015270F" w:rsidRDefault="0015270F" w:rsidP="0015270F"/>
    <w:p w14:paraId="0C3F8060" w14:textId="77777777" w:rsidR="0015270F" w:rsidRPr="0015270F" w:rsidRDefault="0015270F" w:rsidP="00C05A63">
      <w:pPr>
        <w:pStyle w:val="Heading2"/>
        <w:keepNext/>
        <w:numPr>
          <w:ilvl w:val="2"/>
          <w:numId w:val="13"/>
        </w:numPr>
        <w:spacing w:line="80" w:lineRule="atLeast"/>
      </w:pPr>
      <w:bookmarkStart w:id="113" w:name="_Toc428793318"/>
      <w:bookmarkStart w:id="114" w:name="_Toc428851337"/>
      <w:bookmarkStart w:id="115" w:name="_Toc434207997"/>
      <w:r w:rsidRPr="0015270F">
        <w:t>Data analysis – Temporal</w:t>
      </w:r>
      <w:bookmarkEnd w:id="113"/>
      <w:bookmarkEnd w:id="114"/>
      <w:bookmarkEnd w:id="115"/>
    </w:p>
    <w:p w14:paraId="0C3F8061" w14:textId="77777777" w:rsidR="00282ECB" w:rsidRDefault="00DC605B" w:rsidP="00282ECB">
      <w:bookmarkStart w:id="116" w:name="_Ref428875333"/>
      <w:r>
        <w:t>T</w:t>
      </w:r>
      <w:r w:rsidRPr="00CD4E47">
        <w:t xml:space="preserve">he temporal variation of WQ parameters sampled at selected transects were plotted on top of the temporal </w:t>
      </w:r>
      <w:r w:rsidRPr="00E91179">
        <w:t xml:space="preserve">variation of the </w:t>
      </w:r>
      <w:r>
        <w:t>total wet season river discharge. When</w:t>
      </w:r>
      <w:r w:rsidR="00282ECB" w:rsidRPr="0015270F">
        <w:t xml:space="preserve"> comparing multi-annual data sets for temporal variation it is important to consider that differences can be imposed on temporal trends due to inter-annual environmental changes and to differences in the sampling frequency rate and/or in the size of the covered sampling area. </w:t>
      </w:r>
      <w:r w:rsidR="00282ECB">
        <w:t xml:space="preserve">These issues of limitation are true for all data when comparing across </w:t>
      </w:r>
      <w:r w:rsidR="006D2F0A">
        <w:t>long-</w:t>
      </w:r>
      <w:r w:rsidR="00282ECB">
        <w:t xml:space="preserve">term data, where the variability of the parameter can be influenced by many factors. </w:t>
      </w:r>
    </w:p>
    <w:p w14:paraId="0C3F8062" w14:textId="77777777" w:rsidR="002854A3" w:rsidRDefault="002854A3" w:rsidP="002854A3">
      <w:r>
        <w:t>The annual river discharge for 5 GBR rivers is presented for the 4 transects considered in the WQ temporal variation analysis, compared against their long term mean annual discharge (</w:t>
      </w:r>
      <w:r>
        <w:fldChar w:fldCharType="begin"/>
      </w:r>
      <w:r>
        <w:instrText xml:space="preserve"> REF _Ref428875333 \h </w:instrText>
      </w:r>
      <w:r>
        <w:fldChar w:fldCharType="separate"/>
      </w:r>
      <w:r w:rsidR="00B62B50">
        <w:rPr>
          <w:b/>
          <w:bCs/>
          <w:lang w:val="en-US"/>
        </w:rPr>
        <w:t>Error! Not a valid bookmark self-reference.</w:t>
      </w:r>
      <w:r>
        <w:fldChar w:fldCharType="end"/>
      </w:r>
      <w:r>
        <w:t xml:space="preserve">). All the rivers considered presented discharge above the </w:t>
      </w:r>
      <w:r w:rsidR="00E77510">
        <w:t>long-term</w:t>
      </w:r>
      <w:r>
        <w:t xml:space="preserve"> mean in the 2010-2011 wet season (period of the TC Yasi). The Fitzroy River exhibited annual discharges above its mean annual value more often than the other rivers, followed by the Burdekin River. The Russell, Mulgrave and Tully rivers exhibited relative unchanged discharge over the past 8 years with a peak in the 2010-2011 wet season only.</w:t>
      </w:r>
    </w:p>
    <w:p w14:paraId="0C3F8063" w14:textId="77777777" w:rsidR="008172FD" w:rsidRPr="008172FD" w:rsidRDefault="008172FD" w:rsidP="008172FD">
      <w:r w:rsidRPr="008172FD">
        <w:t xml:space="preserve">Temporal trends on the WQ components collected under the Marine Monitoring Program, at surface waters over the Great Barrier Reef, were investigated using Generalized Additive Mixed Models </w:t>
      </w:r>
      <w:r w:rsidRPr="008172FD">
        <w:fldChar w:fldCharType="begin"/>
      </w:r>
      <w:r w:rsidRPr="008172FD">
        <w:instrText xml:space="preserve"> ADDIN ZOTERO_ITEM CSL_CITATION {"citationID":"2fl56qd47i","properties":{"formattedCitation":"(Crawley, 2007)","plainCitation":"(Crawley, 2007)"},"citationItems":[{"id":60,"uris":["http://zotero.org/users/2324349/items/QR8T7IEI"],"uri":["http://zotero.org/users/2324349/items/QR8T7IEI"],"itemData":{"id":60,"type":"book","title":"The R Book","publisher":"John Wiley &amp; Sons, Ltd","publisher-place":"Imperial College London at Silwood Park, UK","number-of-pages":"942","source":"www.bookdepository.com","event-place":"Imperial College London at Silwood Park, UK","URL":"http://www.bookdepository.com/R-Book-Mick-Crawley/9780470973929","author":[{"family":"Crawley","given":"Michael J."}],"issued":{"date-parts":[["2007"]]},"accessed":{"date-parts":[["2015",5,21]]}}}],"schema":"https://github.com/citation-style-language/schema/raw/master/csl-citation.json"} </w:instrText>
      </w:r>
      <w:r w:rsidRPr="008172FD">
        <w:fldChar w:fldCharType="separate"/>
      </w:r>
      <w:r w:rsidRPr="008172FD">
        <w:t>(GAMM, Crawley, 2007)</w:t>
      </w:r>
      <w:r w:rsidRPr="008172FD">
        <w:fldChar w:fldCharType="end"/>
      </w:r>
      <w:r w:rsidRPr="008172FD">
        <w:t xml:space="preserve"> in R language </w:t>
      </w:r>
      <w:r w:rsidRPr="008172FD">
        <w:fldChar w:fldCharType="begin"/>
      </w:r>
      <w:r w:rsidRPr="008172FD">
        <w:instrText xml:space="preserve"> ADDIN ZOTERO_ITEM CSL_CITATION {"citationID":"xbR7D09C","properties":{"formattedCitation":"(R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8172FD">
        <w:fldChar w:fldCharType="separate"/>
      </w:r>
      <w:r w:rsidRPr="008172FD">
        <w:t>(R Development Core Team, 2015)</w:t>
      </w:r>
      <w:r w:rsidRPr="008172FD">
        <w:fldChar w:fldCharType="end"/>
      </w:r>
      <w:r w:rsidRPr="008172FD">
        <w:t>. Data sampled from December, 2005 to April, 2013 (inclusive) constrained to the Central and Southern GRB regions was selected for this analysis because of their better temporal and spatial coverage. The following WQ components were analysis by GAMM: light attenuation coefficient (Kd), coloured dissolved organic matter (CDOM), total suspended solids (TSS), chlorophyll-a (chl-a), particulate nitrogen (PN), dissolved inorganic nitrogen (DIN), particulate phosphorous (PP), dissolved inorganic phosphorous (DIP) and silica (Si), which are the main WQ components driving corals and seagrass communities in the Great Barrier Reef ecosystems.</w:t>
      </w:r>
    </w:p>
    <w:p w14:paraId="0C3F8064" w14:textId="77777777" w:rsidR="008172FD" w:rsidRPr="008172FD" w:rsidRDefault="008172FD" w:rsidP="008172FD">
      <w:r w:rsidRPr="008172FD">
        <w:t xml:space="preserve">The investigation of temporal patterns on the selected WQ components was performed in two steps. Firstly, a multiple regression analysis using non-parametric smoothers in a Generalized Additive Model </w:t>
      </w:r>
      <w:r w:rsidRPr="008172FD">
        <w:fldChar w:fldCharType="begin"/>
      </w:r>
      <w:r w:rsidRPr="008172FD">
        <w:instrText xml:space="preserve"> ADDIN ZOTERO_ITEM CSL_CITATION {"citationID":"UQONisM1","properties":{"formattedCitation":"(GAMM, R Development Core Team, 2015)","plainCitation":"(GAMM, 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Team","given":""}],"issued":{"date-parts":[["2015",2,10]]},"accessed":{"date-parts":[["2015",5,20]]}},"prefix":"GAMM, "}],"schema":"https://github.com/citation-style-language/schema/raw/master/csl-citation.json"} </w:instrText>
      </w:r>
      <w:r w:rsidRPr="008172FD">
        <w:fldChar w:fldCharType="separate"/>
      </w:r>
      <w:r w:rsidRPr="008172FD">
        <w:t>(GAM, R Development Core Team, 2015)</w:t>
      </w:r>
      <w:r w:rsidRPr="008172FD">
        <w:fldChar w:fldCharType="end"/>
      </w:r>
      <w:r w:rsidRPr="008172FD">
        <w:t xml:space="preserve"> was performed to choose a set of predictors that best explain each WQ component. The predictors included (i) mean of 5-days river discharge, (ii) distance between the sampling site and the nearest river mouth, and (iii) surface salinity. These components were used as predictors in the multiple regression analyses and in order to select the most appropriated smooth terms (or predictors), the residual maximum likelihood (REML) method was applied. This method uses a likelihood function calculated from a transformed set of data, so that irrelevant predictors have no effect in the model </w:t>
      </w:r>
      <w:r w:rsidRPr="008172FD">
        <w:fldChar w:fldCharType="begin"/>
      </w:r>
      <w:r w:rsidRPr="008172FD">
        <w:instrText xml:space="preserve"> ADDIN ZOTERO_ITEM CSL_CITATION {"citationID":"pPutF3aP","properties":{"formattedCitation":"(R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8172FD">
        <w:fldChar w:fldCharType="separate"/>
      </w:r>
      <w:r w:rsidRPr="008172FD">
        <w:t>(R Development Core Team, 2015)</w:t>
      </w:r>
      <w:r w:rsidRPr="008172FD">
        <w:fldChar w:fldCharType="end"/>
      </w:r>
      <w:r w:rsidRPr="008172FD">
        <w:t xml:space="preserve">. This method is similar to a stepwise regression analysis but where one uses, in this case, cubic spline to fit each predictor rather than a straight line. In order to investigate the predictors which have more influence in the GAM analysis, the relative importance analysis </w:t>
      </w:r>
      <w:r w:rsidRPr="008172FD">
        <w:fldChar w:fldCharType="begin"/>
      </w:r>
      <w:r w:rsidRPr="008172FD">
        <w:instrText xml:space="preserve"> ADDIN ZOTERO_ITEM CSL_CITATION {"citationID":"1vnec69thc","properties":{"formattedCitation":"{\\rtf (Gr\\uc0\\u246{}mping, 2006)}","plainCitation":"(Grömping, 2006)"},"citationItems":[{"id":150,"uris":["http://zotero.org/users/2324349/items/ANXQFAFK"],"uri":["http://zotero.org/users/2324349/items/ANXQFAFK"],"itemData":{"id":150,"type":"article-journal","title":"Relative Importance for Linear Regression in R: The Package relaimpo.","container-title":"Journal of Statistical Software","page":"1-17","volume":"17","issue":"1","author":[{"family":"Grömping","given":"G."}],"issued":{"date-parts":[["2006"]]}}}],"schema":"https://github.com/citation-style-language/schema/raw/master/csl-citation.json"} </w:instrText>
      </w:r>
      <w:r w:rsidRPr="008172FD">
        <w:fldChar w:fldCharType="separate"/>
      </w:r>
      <w:r w:rsidRPr="008172FD">
        <w:t>(Grömping, 2006)</w:t>
      </w:r>
      <w:r w:rsidRPr="008172FD">
        <w:fldChar w:fldCharType="end"/>
      </w:r>
      <w:r w:rsidRPr="008172FD">
        <w:t xml:space="preserve"> was performed on the data.</w:t>
      </w:r>
    </w:p>
    <w:p w14:paraId="0C3F8065" w14:textId="77777777" w:rsidR="008172FD" w:rsidRPr="008172FD" w:rsidRDefault="008172FD" w:rsidP="008172FD">
      <w:r w:rsidRPr="008172FD">
        <w:t>Secondly, the set of predictors selected from the multiple regression analysis was used in a Generalized Additive Mixed Model (GAMM) in order to investigate temporal trends in each WQ component. In these temporal trend models, time (i.e., Sample Date) was used as fixed effect, which is the variable that influences the mean of the WQ component, and the other selected predictors were used as random effects, i.e., what influences the variance of the WQ component.</w:t>
      </w:r>
    </w:p>
    <w:p w14:paraId="0C3F8066" w14:textId="77777777" w:rsidR="008172FD" w:rsidRDefault="008172FD" w:rsidP="002854A3"/>
    <w:p w14:paraId="0C3F8067" w14:textId="77777777" w:rsidR="0015270F" w:rsidRPr="0015270F" w:rsidRDefault="0015270F" w:rsidP="0015270F">
      <w:pPr>
        <w:pStyle w:val="Caption"/>
      </w:pPr>
      <w:bookmarkStart w:id="117" w:name="_Toc434208071"/>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4</w:t>
      </w:r>
      <w:r w:rsidR="00AE4287">
        <w:fldChar w:fldCharType="end"/>
      </w:r>
      <w:bookmarkEnd w:id="116"/>
      <w:r>
        <w:t xml:space="preserve">: </w:t>
      </w:r>
      <w:r w:rsidRPr="0015270F">
        <w:t>Long term wet season river discharge (ML, megalitre) statistics of five GBR rivers for the last 8 years (c.a., Nov-1 to Apr-30), compared against their long-term (LT) median. Colours indicate levels above the long term median: yellow for 1.5 to 2 times; orange for 2 to 3 times, and red for greater than 3 times. Long term statistics were calculated based on a hydrological year taking into account measurements from 1915 to 2000 (where data available). (Data source: DNRM).</w:t>
      </w:r>
      <w:bookmarkEnd w:id="117"/>
    </w:p>
    <w:p w14:paraId="0C3F8068" w14:textId="77777777" w:rsidR="0015270F" w:rsidRPr="0015270F" w:rsidRDefault="0015270F" w:rsidP="0015270F">
      <w:pPr>
        <w:rPr>
          <w:rFonts w:cs="Arial"/>
        </w:rPr>
      </w:pPr>
    </w:p>
    <w:tbl>
      <w:tblPr>
        <w:tblW w:w="4684" w:type="pct"/>
        <w:tblLayout w:type="fixed"/>
        <w:tblLook w:val="04A0" w:firstRow="1" w:lastRow="0" w:firstColumn="1" w:lastColumn="0" w:noHBand="0" w:noVBand="1"/>
      </w:tblPr>
      <w:tblGrid>
        <w:gridCol w:w="1012"/>
        <w:gridCol w:w="923"/>
        <w:gridCol w:w="814"/>
        <w:gridCol w:w="989"/>
        <w:gridCol w:w="895"/>
        <w:gridCol w:w="814"/>
        <w:gridCol w:w="786"/>
        <w:gridCol w:w="807"/>
        <w:gridCol w:w="809"/>
        <w:gridCol w:w="810"/>
      </w:tblGrid>
      <w:tr w:rsidR="004F15BA" w:rsidRPr="00E77510" w14:paraId="0C3F8073" w14:textId="77777777" w:rsidTr="004F15BA">
        <w:trPr>
          <w:trHeight w:val="57"/>
        </w:trPr>
        <w:tc>
          <w:tcPr>
            <w:tcW w:w="584" w:type="pct"/>
            <w:tcBorders>
              <w:top w:val="single" w:sz="4" w:space="0" w:color="auto"/>
              <w:left w:val="nil"/>
              <w:bottom w:val="single" w:sz="4" w:space="0" w:color="auto"/>
              <w:right w:val="nil"/>
            </w:tcBorders>
            <w:shd w:val="clear" w:color="auto" w:fill="auto"/>
            <w:noWrap/>
            <w:vAlign w:val="center"/>
            <w:hideMark/>
          </w:tcPr>
          <w:p w14:paraId="0C3F8069"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River</w:t>
            </w:r>
          </w:p>
        </w:tc>
        <w:tc>
          <w:tcPr>
            <w:tcW w:w="533" w:type="pct"/>
            <w:tcBorders>
              <w:top w:val="single" w:sz="4" w:space="0" w:color="auto"/>
              <w:left w:val="nil"/>
              <w:bottom w:val="single" w:sz="4" w:space="0" w:color="auto"/>
              <w:right w:val="nil"/>
            </w:tcBorders>
            <w:shd w:val="clear" w:color="auto" w:fill="auto"/>
            <w:noWrap/>
            <w:vAlign w:val="center"/>
            <w:hideMark/>
          </w:tcPr>
          <w:p w14:paraId="0C3F806A"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LT median</w:t>
            </w:r>
          </w:p>
        </w:tc>
        <w:tc>
          <w:tcPr>
            <w:tcW w:w="470" w:type="pct"/>
            <w:tcBorders>
              <w:top w:val="single" w:sz="4" w:space="0" w:color="auto"/>
              <w:left w:val="nil"/>
              <w:bottom w:val="single" w:sz="4" w:space="0" w:color="auto"/>
              <w:right w:val="nil"/>
            </w:tcBorders>
            <w:shd w:val="clear" w:color="auto" w:fill="auto"/>
            <w:noWrap/>
            <w:vAlign w:val="center"/>
            <w:hideMark/>
          </w:tcPr>
          <w:p w14:paraId="0C3F806B"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2005-2006</w:t>
            </w:r>
          </w:p>
        </w:tc>
        <w:tc>
          <w:tcPr>
            <w:tcW w:w="571" w:type="pct"/>
            <w:tcBorders>
              <w:top w:val="single" w:sz="4" w:space="0" w:color="auto"/>
              <w:left w:val="nil"/>
              <w:bottom w:val="single" w:sz="4" w:space="0" w:color="auto"/>
              <w:right w:val="nil"/>
            </w:tcBorders>
            <w:shd w:val="clear" w:color="auto" w:fill="auto"/>
            <w:noWrap/>
            <w:vAlign w:val="center"/>
            <w:hideMark/>
          </w:tcPr>
          <w:p w14:paraId="0C3F806C"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2006-2007</w:t>
            </w:r>
          </w:p>
        </w:tc>
        <w:tc>
          <w:tcPr>
            <w:tcW w:w="517" w:type="pct"/>
            <w:tcBorders>
              <w:top w:val="single" w:sz="4" w:space="0" w:color="auto"/>
              <w:left w:val="nil"/>
              <w:bottom w:val="single" w:sz="4" w:space="0" w:color="auto"/>
              <w:right w:val="nil"/>
            </w:tcBorders>
            <w:shd w:val="clear" w:color="auto" w:fill="auto"/>
            <w:noWrap/>
            <w:vAlign w:val="center"/>
            <w:hideMark/>
          </w:tcPr>
          <w:p w14:paraId="0C3F806D"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2007-2008</w:t>
            </w:r>
          </w:p>
        </w:tc>
        <w:tc>
          <w:tcPr>
            <w:tcW w:w="470" w:type="pct"/>
            <w:tcBorders>
              <w:top w:val="single" w:sz="4" w:space="0" w:color="auto"/>
              <w:left w:val="nil"/>
              <w:bottom w:val="single" w:sz="4" w:space="0" w:color="auto"/>
              <w:right w:val="nil"/>
            </w:tcBorders>
            <w:shd w:val="clear" w:color="auto" w:fill="auto"/>
            <w:noWrap/>
            <w:vAlign w:val="center"/>
            <w:hideMark/>
          </w:tcPr>
          <w:p w14:paraId="0C3F806E"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2008-2009</w:t>
            </w:r>
          </w:p>
        </w:tc>
        <w:tc>
          <w:tcPr>
            <w:tcW w:w="454" w:type="pct"/>
            <w:tcBorders>
              <w:top w:val="single" w:sz="4" w:space="0" w:color="auto"/>
              <w:left w:val="nil"/>
              <w:bottom w:val="single" w:sz="4" w:space="0" w:color="auto"/>
              <w:right w:val="nil"/>
            </w:tcBorders>
            <w:shd w:val="clear" w:color="auto" w:fill="auto"/>
            <w:noWrap/>
            <w:vAlign w:val="center"/>
            <w:hideMark/>
          </w:tcPr>
          <w:p w14:paraId="0C3F806F"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2009-2010</w:t>
            </w:r>
          </w:p>
        </w:tc>
        <w:tc>
          <w:tcPr>
            <w:tcW w:w="466" w:type="pct"/>
            <w:tcBorders>
              <w:top w:val="single" w:sz="4" w:space="0" w:color="auto"/>
              <w:left w:val="nil"/>
              <w:bottom w:val="single" w:sz="4" w:space="0" w:color="auto"/>
              <w:right w:val="nil"/>
            </w:tcBorders>
            <w:shd w:val="clear" w:color="auto" w:fill="auto"/>
            <w:noWrap/>
            <w:vAlign w:val="center"/>
            <w:hideMark/>
          </w:tcPr>
          <w:p w14:paraId="0C3F8070"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2010-2011</w:t>
            </w:r>
          </w:p>
        </w:tc>
        <w:tc>
          <w:tcPr>
            <w:tcW w:w="467" w:type="pct"/>
            <w:tcBorders>
              <w:top w:val="single" w:sz="4" w:space="0" w:color="auto"/>
              <w:left w:val="nil"/>
              <w:bottom w:val="single" w:sz="4" w:space="0" w:color="auto"/>
              <w:right w:val="nil"/>
            </w:tcBorders>
            <w:shd w:val="clear" w:color="auto" w:fill="auto"/>
            <w:noWrap/>
            <w:vAlign w:val="center"/>
            <w:hideMark/>
          </w:tcPr>
          <w:p w14:paraId="0C3F8071" w14:textId="77777777" w:rsidR="0015270F" w:rsidRPr="00935052" w:rsidRDefault="0015270F" w:rsidP="00E77510">
            <w:pPr>
              <w:spacing w:before="0" w:after="0"/>
              <w:rPr>
                <w:rStyle w:val="BookTitle"/>
                <w:rFonts w:asciiTheme="minorHAnsi" w:hAnsiTheme="minorHAnsi"/>
              </w:rPr>
            </w:pPr>
            <w:r w:rsidRPr="00935052">
              <w:rPr>
                <w:rStyle w:val="BookTitle"/>
                <w:rFonts w:asciiTheme="minorHAnsi" w:hAnsiTheme="minorHAnsi"/>
              </w:rPr>
              <w:t>2011</w:t>
            </w:r>
            <w:r w:rsidR="00E77510">
              <w:rPr>
                <w:rStyle w:val="BookTitle"/>
                <w:rFonts w:asciiTheme="minorHAnsi" w:hAnsiTheme="minorHAnsi"/>
              </w:rPr>
              <w:t>-</w:t>
            </w:r>
            <w:r w:rsidRPr="00935052">
              <w:rPr>
                <w:rStyle w:val="BookTitle"/>
                <w:rFonts w:asciiTheme="minorHAnsi" w:hAnsiTheme="minorHAnsi"/>
              </w:rPr>
              <w:t>2012</w:t>
            </w:r>
          </w:p>
        </w:tc>
        <w:tc>
          <w:tcPr>
            <w:tcW w:w="468" w:type="pct"/>
            <w:tcBorders>
              <w:top w:val="single" w:sz="4" w:space="0" w:color="auto"/>
              <w:left w:val="nil"/>
              <w:bottom w:val="single" w:sz="4" w:space="0" w:color="auto"/>
              <w:right w:val="nil"/>
            </w:tcBorders>
            <w:shd w:val="clear" w:color="auto" w:fill="auto"/>
            <w:noWrap/>
            <w:vAlign w:val="center"/>
            <w:hideMark/>
          </w:tcPr>
          <w:p w14:paraId="0C3F8072" w14:textId="77777777" w:rsidR="0015270F" w:rsidRPr="00935052" w:rsidRDefault="0015270F" w:rsidP="00E77510">
            <w:pPr>
              <w:spacing w:before="0" w:after="0"/>
              <w:rPr>
                <w:rStyle w:val="BookTitle"/>
                <w:rFonts w:asciiTheme="minorHAnsi" w:hAnsiTheme="minorHAnsi"/>
              </w:rPr>
            </w:pPr>
            <w:r w:rsidRPr="00935052">
              <w:rPr>
                <w:rStyle w:val="BookTitle"/>
                <w:rFonts w:asciiTheme="minorHAnsi" w:hAnsiTheme="minorHAnsi"/>
              </w:rPr>
              <w:t>2012</w:t>
            </w:r>
            <w:r w:rsidR="00E77510">
              <w:rPr>
                <w:rStyle w:val="BookTitle"/>
                <w:rFonts w:asciiTheme="minorHAnsi" w:hAnsiTheme="minorHAnsi"/>
              </w:rPr>
              <w:t>-</w:t>
            </w:r>
            <w:r w:rsidRPr="00935052">
              <w:rPr>
                <w:rStyle w:val="BookTitle"/>
                <w:rFonts w:asciiTheme="minorHAnsi" w:hAnsiTheme="minorHAnsi"/>
              </w:rPr>
              <w:t>2013</w:t>
            </w:r>
          </w:p>
        </w:tc>
      </w:tr>
      <w:tr w:rsidR="004F15BA" w:rsidRPr="00E77510" w14:paraId="0C3F807E" w14:textId="77777777" w:rsidTr="004F15BA">
        <w:trPr>
          <w:trHeight w:val="57"/>
        </w:trPr>
        <w:tc>
          <w:tcPr>
            <w:tcW w:w="584" w:type="pct"/>
            <w:tcBorders>
              <w:top w:val="single" w:sz="4" w:space="0" w:color="auto"/>
              <w:left w:val="nil"/>
              <w:bottom w:val="nil"/>
              <w:right w:val="nil"/>
            </w:tcBorders>
            <w:shd w:val="clear" w:color="auto" w:fill="auto"/>
            <w:noWrap/>
            <w:vAlign w:val="center"/>
            <w:hideMark/>
          </w:tcPr>
          <w:p w14:paraId="0C3F8074" w14:textId="77777777" w:rsidR="0015270F" w:rsidRPr="00935052" w:rsidRDefault="0015270F" w:rsidP="00935052">
            <w:pPr>
              <w:spacing w:before="0" w:after="0"/>
              <w:rPr>
                <w:rStyle w:val="BookTitle"/>
                <w:rFonts w:asciiTheme="minorHAnsi" w:hAnsiTheme="minorHAnsi"/>
              </w:rPr>
            </w:pPr>
            <w:r w:rsidRPr="00935052">
              <w:rPr>
                <w:rStyle w:val="BookTitle"/>
                <w:rFonts w:asciiTheme="minorHAnsi" w:hAnsiTheme="minorHAnsi"/>
              </w:rPr>
              <w:t>Russ</w:t>
            </w:r>
            <w:r w:rsidR="004F15BA">
              <w:rPr>
                <w:rStyle w:val="BookTitle"/>
                <w:rFonts w:asciiTheme="minorHAnsi" w:hAnsiTheme="minorHAnsi"/>
              </w:rPr>
              <w:t>el</w:t>
            </w:r>
          </w:p>
        </w:tc>
        <w:tc>
          <w:tcPr>
            <w:tcW w:w="533" w:type="pct"/>
            <w:tcBorders>
              <w:top w:val="single" w:sz="4" w:space="0" w:color="auto"/>
              <w:left w:val="nil"/>
              <w:bottom w:val="nil"/>
              <w:right w:val="nil"/>
            </w:tcBorders>
            <w:shd w:val="clear" w:color="auto" w:fill="auto"/>
            <w:noWrap/>
            <w:vAlign w:val="center"/>
            <w:hideMark/>
          </w:tcPr>
          <w:p w14:paraId="0C3F8075"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632,309</w:t>
            </w:r>
          </w:p>
        </w:tc>
        <w:tc>
          <w:tcPr>
            <w:tcW w:w="470" w:type="pct"/>
            <w:tcBorders>
              <w:top w:val="single" w:sz="4" w:space="0" w:color="auto"/>
              <w:left w:val="nil"/>
              <w:bottom w:val="nil"/>
              <w:right w:val="nil"/>
            </w:tcBorders>
            <w:shd w:val="clear" w:color="auto" w:fill="auto"/>
            <w:noWrap/>
            <w:vAlign w:val="center"/>
            <w:hideMark/>
          </w:tcPr>
          <w:p w14:paraId="0C3F8076"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817,392</w:t>
            </w:r>
          </w:p>
        </w:tc>
        <w:tc>
          <w:tcPr>
            <w:tcW w:w="571" w:type="pct"/>
            <w:tcBorders>
              <w:top w:val="single" w:sz="4" w:space="0" w:color="auto"/>
              <w:left w:val="nil"/>
              <w:bottom w:val="nil"/>
              <w:right w:val="nil"/>
            </w:tcBorders>
            <w:shd w:val="clear" w:color="auto" w:fill="auto"/>
            <w:noWrap/>
            <w:vAlign w:val="center"/>
            <w:hideMark/>
          </w:tcPr>
          <w:p w14:paraId="0C3F8077"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912,129</w:t>
            </w:r>
          </w:p>
        </w:tc>
        <w:tc>
          <w:tcPr>
            <w:tcW w:w="517" w:type="pct"/>
            <w:tcBorders>
              <w:top w:val="single" w:sz="4" w:space="0" w:color="auto"/>
              <w:left w:val="nil"/>
              <w:bottom w:val="nil"/>
              <w:right w:val="nil"/>
            </w:tcBorders>
            <w:shd w:val="clear" w:color="auto" w:fill="auto"/>
            <w:noWrap/>
            <w:vAlign w:val="center"/>
            <w:hideMark/>
          </w:tcPr>
          <w:p w14:paraId="0C3F8078"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858,993</w:t>
            </w:r>
          </w:p>
        </w:tc>
        <w:tc>
          <w:tcPr>
            <w:tcW w:w="470" w:type="pct"/>
            <w:tcBorders>
              <w:top w:val="single" w:sz="4" w:space="0" w:color="auto"/>
              <w:left w:val="nil"/>
              <w:bottom w:val="nil"/>
              <w:right w:val="nil"/>
            </w:tcBorders>
            <w:shd w:val="clear" w:color="000000" w:fill="FFFF00"/>
            <w:noWrap/>
            <w:vAlign w:val="center"/>
            <w:hideMark/>
          </w:tcPr>
          <w:p w14:paraId="0C3F8079"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966,983</w:t>
            </w:r>
          </w:p>
        </w:tc>
        <w:tc>
          <w:tcPr>
            <w:tcW w:w="454" w:type="pct"/>
            <w:tcBorders>
              <w:top w:val="single" w:sz="4" w:space="0" w:color="auto"/>
              <w:left w:val="nil"/>
              <w:bottom w:val="nil"/>
              <w:right w:val="nil"/>
            </w:tcBorders>
            <w:shd w:val="clear" w:color="auto" w:fill="auto"/>
            <w:noWrap/>
            <w:vAlign w:val="center"/>
            <w:hideMark/>
          </w:tcPr>
          <w:p w14:paraId="0C3F807A"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878,223</w:t>
            </w:r>
          </w:p>
        </w:tc>
        <w:tc>
          <w:tcPr>
            <w:tcW w:w="466" w:type="pct"/>
            <w:tcBorders>
              <w:top w:val="single" w:sz="4" w:space="0" w:color="auto"/>
              <w:left w:val="nil"/>
              <w:bottom w:val="nil"/>
              <w:right w:val="nil"/>
            </w:tcBorders>
            <w:shd w:val="clear" w:color="000000" w:fill="FFC000"/>
            <w:noWrap/>
            <w:vAlign w:val="center"/>
            <w:hideMark/>
          </w:tcPr>
          <w:p w14:paraId="0C3F807B"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1,293,058</w:t>
            </w:r>
          </w:p>
        </w:tc>
        <w:tc>
          <w:tcPr>
            <w:tcW w:w="467" w:type="pct"/>
            <w:tcBorders>
              <w:top w:val="single" w:sz="4" w:space="0" w:color="auto"/>
              <w:left w:val="nil"/>
              <w:bottom w:val="nil"/>
              <w:right w:val="nil"/>
            </w:tcBorders>
            <w:shd w:val="clear" w:color="auto" w:fill="auto"/>
            <w:noWrap/>
            <w:vAlign w:val="center"/>
            <w:hideMark/>
          </w:tcPr>
          <w:p w14:paraId="0C3F807C"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815,652</w:t>
            </w:r>
          </w:p>
        </w:tc>
        <w:tc>
          <w:tcPr>
            <w:tcW w:w="468" w:type="pct"/>
            <w:tcBorders>
              <w:top w:val="single" w:sz="4" w:space="0" w:color="auto"/>
              <w:left w:val="nil"/>
              <w:bottom w:val="nil"/>
              <w:right w:val="nil"/>
            </w:tcBorders>
            <w:shd w:val="clear" w:color="auto" w:fill="auto"/>
            <w:noWrap/>
            <w:vAlign w:val="center"/>
            <w:hideMark/>
          </w:tcPr>
          <w:p w14:paraId="0C3F807D"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409,489</w:t>
            </w:r>
          </w:p>
        </w:tc>
      </w:tr>
      <w:tr w:rsidR="004F15BA" w:rsidRPr="00E77510" w14:paraId="0C3F8089" w14:textId="77777777" w:rsidTr="004F15BA">
        <w:trPr>
          <w:trHeight w:val="57"/>
        </w:trPr>
        <w:tc>
          <w:tcPr>
            <w:tcW w:w="584" w:type="pct"/>
            <w:tcBorders>
              <w:top w:val="nil"/>
              <w:left w:val="nil"/>
              <w:bottom w:val="nil"/>
              <w:right w:val="nil"/>
            </w:tcBorders>
            <w:shd w:val="clear" w:color="auto" w:fill="auto"/>
            <w:noWrap/>
            <w:vAlign w:val="center"/>
            <w:hideMark/>
          </w:tcPr>
          <w:p w14:paraId="0C3F807F" w14:textId="77777777" w:rsidR="0015270F" w:rsidRPr="00935052" w:rsidRDefault="0015270F" w:rsidP="00E67427">
            <w:pPr>
              <w:spacing w:before="0" w:after="0"/>
              <w:rPr>
                <w:rStyle w:val="BookTitle"/>
                <w:rFonts w:asciiTheme="minorHAnsi" w:hAnsiTheme="minorHAnsi"/>
              </w:rPr>
            </w:pPr>
            <w:r w:rsidRPr="00935052">
              <w:rPr>
                <w:rStyle w:val="BookTitle"/>
                <w:rFonts w:asciiTheme="minorHAnsi" w:hAnsiTheme="minorHAnsi"/>
              </w:rPr>
              <w:t>Mulg</w:t>
            </w:r>
            <w:r w:rsidR="004F15BA">
              <w:rPr>
                <w:rStyle w:val="BookTitle"/>
                <w:rFonts w:asciiTheme="minorHAnsi" w:hAnsiTheme="minorHAnsi"/>
              </w:rPr>
              <w:t>rave</w:t>
            </w:r>
          </w:p>
        </w:tc>
        <w:tc>
          <w:tcPr>
            <w:tcW w:w="533" w:type="pct"/>
            <w:tcBorders>
              <w:top w:val="nil"/>
              <w:left w:val="nil"/>
              <w:bottom w:val="nil"/>
              <w:right w:val="nil"/>
            </w:tcBorders>
            <w:shd w:val="clear" w:color="auto" w:fill="auto"/>
            <w:noWrap/>
            <w:vAlign w:val="center"/>
            <w:hideMark/>
          </w:tcPr>
          <w:p w14:paraId="0C3F8080"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440,347</w:t>
            </w:r>
          </w:p>
        </w:tc>
        <w:tc>
          <w:tcPr>
            <w:tcW w:w="470" w:type="pct"/>
            <w:tcBorders>
              <w:top w:val="nil"/>
              <w:left w:val="nil"/>
              <w:bottom w:val="nil"/>
              <w:right w:val="nil"/>
            </w:tcBorders>
            <w:shd w:val="clear" w:color="auto" w:fill="auto"/>
            <w:noWrap/>
            <w:vAlign w:val="center"/>
            <w:hideMark/>
          </w:tcPr>
          <w:p w14:paraId="0C3F8081"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643,907</w:t>
            </w:r>
          </w:p>
        </w:tc>
        <w:tc>
          <w:tcPr>
            <w:tcW w:w="571" w:type="pct"/>
            <w:tcBorders>
              <w:top w:val="nil"/>
              <w:left w:val="nil"/>
              <w:bottom w:val="nil"/>
              <w:right w:val="nil"/>
            </w:tcBorders>
            <w:shd w:val="clear" w:color="auto" w:fill="auto"/>
            <w:noWrap/>
            <w:vAlign w:val="center"/>
            <w:hideMark/>
          </w:tcPr>
          <w:p w14:paraId="0C3F8082"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530,609</w:t>
            </w:r>
          </w:p>
        </w:tc>
        <w:tc>
          <w:tcPr>
            <w:tcW w:w="517" w:type="pct"/>
            <w:tcBorders>
              <w:top w:val="nil"/>
              <w:left w:val="nil"/>
              <w:bottom w:val="nil"/>
              <w:right w:val="nil"/>
            </w:tcBorders>
            <w:shd w:val="clear" w:color="000000" w:fill="FFFF00"/>
            <w:noWrap/>
            <w:vAlign w:val="center"/>
            <w:hideMark/>
          </w:tcPr>
          <w:p w14:paraId="0C3F8083"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835,704</w:t>
            </w:r>
          </w:p>
        </w:tc>
        <w:tc>
          <w:tcPr>
            <w:tcW w:w="470" w:type="pct"/>
            <w:tcBorders>
              <w:top w:val="nil"/>
              <w:left w:val="nil"/>
              <w:bottom w:val="nil"/>
              <w:right w:val="nil"/>
            </w:tcBorders>
            <w:shd w:val="clear" w:color="auto" w:fill="auto"/>
            <w:noWrap/>
            <w:vAlign w:val="center"/>
            <w:hideMark/>
          </w:tcPr>
          <w:p w14:paraId="0C3F8084"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591,860</w:t>
            </w:r>
          </w:p>
        </w:tc>
        <w:tc>
          <w:tcPr>
            <w:tcW w:w="454" w:type="pct"/>
            <w:tcBorders>
              <w:top w:val="nil"/>
              <w:left w:val="nil"/>
              <w:bottom w:val="nil"/>
              <w:right w:val="nil"/>
            </w:tcBorders>
            <w:shd w:val="clear" w:color="auto" w:fill="auto"/>
            <w:noWrap/>
            <w:vAlign w:val="center"/>
            <w:hideMark/>
          </w:tcPr>
          <w:p w14:paraId="0C3F8085"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541,997</w:t>
            </w:r>
          </w:p>
        </w:tc>
        <w:tc>
          <w:tcPr>
            <w:tcW w:w="466" w:type="pct"/>
            <w:tcBorders>
              <w:top w:val="nil"/>
              <w:left w:val="nil"/>
              <w:bottom w:val="nil"/>
              <w:right w:val="nil"/>
            </w:tcBorders>
            <w:shd w:val="clear" w:color="000000" w:fill="FFC000"/>
            <w:noWrap/>
            <w:vAlign w:val="center"/>
            <w:hideMark/>
          </w:tcPr>
          <w:p w14:paraId="0C3F8086"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1,315,073</w:t>
            </w:r>
          </w:p>
        </w:tc>
        <w:tc>
          <w:tcPr>
            <w:tcW w:w="467" w:type="pct"/>
            <w:tcBorders>
              <w:top w:val="nil"/>
              <w:left w:val="nil"/>
              <w:bottom w:val="nil"/>
              <w:right w:val="nil"/>
            </w:tcBorders>
            <w:shd w:val="clear" w:color="000000" w:fill="FFFF00"/>
            <w:noWrap/>
            <w:vAlign w:val="center"/>
            <w:hideMark/>
          </w:tcPr>
          <w:p w14:paraId="0C3F8087"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751,882</w:t>
            </w:r>
          </w:p>
        </w:tc>
        <w:tc>
          <w:tcPr>
            <w:tcW w:w="468" w:type="pct"/>
            <w:tcBorders>
              <w:top w:val="nil"/>
              <w:left w:val="nil"/>
              <w:bottom w:val="nil"/>
              <w:right w:val="nil"/>
            </w:tcBorders>
            <w:shd w:val="clear" w:color="auto" w:fill="auto"/>
            <w:noWrap/>
            <w:vAlign w:val="center"/>
            <w:hideMark/>
          </w:tcPr>
          <w:p w14:paraId="0C3F8088"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277,050</w:t>
            </w:r>
          </w:p>
        </w:tc>
      </w:tr>
      <w:tr w:rsidR="004F15BA" w:rsidRPr="00E77510" w14:paraId="0C3F8094" w14:textId="77777777" w:rsidTr="004F15BA">
        <w:trPr>
          <w:trHeight w:val="57"/>
        </w:trPr>
        <w:tc>
          <w:tcPr>
            <w:tcW w:w="584" w:type="pct"/>
            <w:tcBorders>
              <w:top w:val="nil"/>
              <w:left w:val="nil"/>
              <w:bottom w:val="nil"/>
              <w:right w:val="nil"/>
            </w:tcBorders>
            <w:shd w:val="clear" w:color="auto" w:fill="auto"/>
            <w:noWrap/>
            <w:vAlign w:val="center"/>
            <w:hideMark/>
          </w:tcPr>
          <w:p w14:paraId="0C3F808A" w14:textId="77777777" w:rsidR="0015270F" w:rsidRPr="00935052" w:rsidRDefault="0015270F" w:rsidP="0015270F">
            <w:pPr>
              <w:spacing w:before="0" w:after="0"/>
              <w:rPr>
                <w:rStyle w:val="BookTitle"/>
                <w:rFonts w:asciiTheme="minorHAnsi" w:hAnsiTheme="minorHAnsi"/>
              </w:rPr>
            </w:pPr>
            <w:r w:rsidRPr="00935052">
              <w:rPr>
                <w:rStyle w:val="BookTitle"/>
                <w:rFonts w:asciiTheme="minorHAnsi" w:hAnsiTheme="minorHAnsi"/>
              </w:rPr>
              <w:t>Tully</w:t>
            </w:r>
          </w:p>
        </w:tc>
        <w:tc>
          <w:tcPr>
            <w:tcW w:w="533" w:type="pct"/>
            <w:tcBorders>
              <w:top w:val="nil"/>
              <w:left w:val="nil"/>
              <w:bottom w:val="nil"/>
              <w:right w:val="nil"/>
            </w:tcBorders>
            <w:shd w:val="clear" w:color="auto" w:fill="auto"/>
            <w:noWrap/>
            <w:vAlign w:val="center"/>
            <w:hideMark/>
          </w:tcPr>
          <w:p w14:paraId="0C3F808B"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1,894,102</w:t>
            </w:r>
          </w:p>
        </w:tc>
        <w:tc>
          <w:tcPr>
            <w:tcW w:w="470" w:type="pct"/>
            <w:tcBorders>
              <w:top w:val="nil"/>
              <w:left w:val="nil"/>
              <w:bottom w:val="nil"/>
              <w:right w:val="nil"/>
            </w:tcBorders>
            <w:shd w:val="clear" w:color="auto" w:fill="auto"/>
            <w:noWrap/>
            <w:vAlign w:val="center"/>
            <w:hideMark/>
          </w:tcPr>
          <w:p w14:paraId="0C3F808C"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2,254,263</w:t>
            </w:r>
          </w:p>
        </w:tc>
        <w:tc>
          <w:tcPr>
            <w:tcW w:w="571" w:type="pct"/>
            <w:tcBorders>
              <w:top w:val="nil"/>
              <w:left w:val="nil"/>
              <w:bottom w:val="nil"/>
              <w:right w:val="nil"/>
            </w:tcBorders>
            <w:shd w:val="clear" w:color="auto" w:fill="auto"/>
            <w:noWrap/>
            <w:vAlign w:val="center"/>
            <w:hideMark/>
          </w:tcPr>
          <w:p w14:paraId="0C3F808D"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2,714,150</w:t>
            </w:r>
          </w:p>
        </w:tc>
        <w:tc>
          <w:tcPr>
            <w:tcW w:w="517" w:type="pct"/>
            <w:tcBorders>
              <w:top w:val="nil"/>
              <w:left w:val="nil"/>
              <w:bottom w:val="nil"/>
              <w:right w:val="nil"/>
            </w:tcBorders>
            <w:shd w:val="clear" w:color="auto" w:fill="auto"/>
            <w:noWrap/>
            <w:vAlign w:val="center"/>
            <w:hideMark/>
          </w:tcPr>
          <w:p w14:paraId="0C3F808E"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2,437,338</w:t>
            </w:r>
          </w:p>
        </w:tc>
        <w:tc>
          <w:tcPr>
            <w:tcW w:w="470" w:type="pct"/>
            <w:tcBorders>
              <w:top w:val="nil"/>
              <w:left w:val="nil"/>
              <w:bottom w:val="nil"/>
              <w:right w:val="nil"/>
            </w:tcBorders>
            <w:shd w:val="clear" w:color="000000" w:fill="FFFF00"/>
            <w:noWrap/>
            <w:vAlign w:val="center"/>
            <w:hideMark/>
          </w:tcPr>
          <w:p w14:paraId="0C3F808F"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2,852,481</w:t>
            </w:r>
          </w:p>
        </w:tc>
        <w:tc>
          <w:tcPr>
            <w:tcW w:w="454" w:type="pct"/>
            <w:tcBorders>
              <w:top w:val="nil"/>
              <w:left w:val="nil"/>
              <w:bottom w:val="nil"/>
              <w:right w:val="nil"/>
            </w:tcBorders>
            <w:shd w:val="clear" w:color="auto" w:fill="auto"/>
            <w:noWrap/>
            <w:vAlign w:val="center"/>
            <w:hideMark/>
          </w:tcPr>
          <w:p w14:paraId="0C3F8090"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1,860,031</w:t>
            </w:r>
          </w:p>
        </w:tc>
        <w:tc>
          <w:tcPr>
            <w:tcW w:w="466" w:type="pct"/>
            <w:tcBorders>
              <w:top w:val="nil"/>
              <w:left w:val="nil"/>
              <w:bottom w:val="nil"/>
              <w:right w:val="nil"/>
            </w:tcBorders>
            <w:shd w:val="clear" w:color="000000" w:fill="FFC000"/>
            <w:noWrap/>
            <w:vAlign w:val="center"/>
            <w:hideMark/>
          </w:tcPr>
          <w:p w14:paraId="0C3F8091"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4,642,874</w:t>
            </w:r>
          </w:p>
        </w:tc>
        <w:tc>
          <w:tcPr>
            <w:tcW w:w="467" w:type="pct"/>
            <w:tcBorders>
              <w:top w:val="nil"/>
              <w:left w:val="nil"/>
              <w:bottom w:val="nil"/>
              <w:right w:val="nil"/>
            </w:tcBorders>
            <w:shd w:val="clear" w:color="auto" w:fill="auto"/>
            <w:noWrap/>
            <w:vAlign w:val="center"/>
            <w:hideMark/>
          </w:tcPr>
          <w:p w14:paraId="0C3F8092"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1,445,101</w:t>
            </w:r>
          </w:p>
        </w:tc>
        <w:tc>
          <w:tcPr>
            <w:tcW w:w="468" w:type="pct"/>
            <w:tcBorders>
              <w:top w:val="nil"/>
              <w:left w:val="nil"/>
              <w:bottom w:val="nil"/>
              <w:right w:val="nil"/>
            </w:tcBorders>
            <w:shd w:val="clear" w:color="auto" w:fill="auto"/>
            <w:noWrap/>
            <w:vAlign w:val="center"/>
            <w:hideMark/>
          </w:tcPr>
          <w:p w14:paraId="0C3F8093"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1,576,555</w:t>
            </w:r>
          </w:p>
        </w:tc>
      </w:tr>
      <w:tr w:rsidR="004F15BA" w:rsidRPr="00E77510" w14:paraId="0C3F809F" w14:textId="77777777" w:rsidTr="004F15BA">
        <w:trPr>
          <w:trHeight w:val="57"/>
        </w:trPr>
        <w:tc>
          <w:tcPr>
            <w:tcW w:w="584" w:type="pct"/>
            <w:tcBorders>
              <w:top w:val="nil"/>
              <w:left w:val="nil"/>
              <w:right w:val="nil"/>
            </w:tcBorders>
            <w:shd w:val="clear" w:color="auto" w:fill="auto"/>
            <w:noWrap/>
            <w:vAlign w:val="center"/>
            <w:hideMark/>
          </w:tcPr>
          <w:p w14:paraId="0C3F8095" w14:textId="77777777" w:rsidR="0015270F" w:rsidRPr="00935052" w:rsidRDefault="0015270F" w:rsidP="00E67427">
            <w:pPr>
              <w:spacing w:before="0" w:after="0"/>
              <w:rPr>
                <w:rStyle w:val="BookTitle"/>
                <w:rFonts w:asciiTheme="minorHAnsi" w:hAnsiTheme="minorHAnsi"/>
              </w:rPr>
            </w:pPr>
            <w:r w:rsidRPr="00935052">
              <w:rPr>
                <w:rStyle w:val="BookTitle"/>
                <w:rFonts w:asciiTheme="minorHAnsi" w:hAnsiTheme="minorHAnsi"/>
              </w:rPr>
              <w:t>Burd</w:t>
            </w:r>
            <w:r w:rsidR="004F15BA">
              <w:rPr>
                <w:rStyle w:val="BookTitle"/>
                <w:rFonts w:asciiTheme="minorHAnsi" w:hAnsiTheme="minorHAnsi"/>
              </w:rPr>
              <w:t>ekin</w:t>
            </w:r>
          </w:p>
        </w:tc>
        <w:tc>
          <w:tcPr>
            <w:tcW w:w="533" w:type="pct"/>
            <w:tcBorders>
              <w:top w:val="nil"/>
              <w:left w:val="nil"/>
              <w:right w:val="nil"/>
            </w:tcBorders>
            <w:shd w:val="clear" w:color="auto" w:fill="auto"/>
            <w:noWrap/>
            <w:vAlign w:val="center"/>
            <w:hideMark/>
          </w:tcPr>
          <w:p w14:paraId="0C3F8096"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4,669,849</w:t>
            </w:r>
          </w:p>
        </w:tc>
        <w:tc>
          <w:tcPr>
            <w:tcW w:w="470" w:type="pct"/>
            <w:tcBorders>
              <w:top w:val="nil"/>
              <w:left w:val="nil"/>
              <w:right w:val="nil"/>
            </w:tcBorders>
            <w:shd w:val="clear" w:color="auto" w:fill="auto"/>
            <w:noWrap/>
            <w:vAlign w:val="center"/>
            <w:hideMark/>
          </w:tcPr>
          <w:p w14:paraId="0C3F8097"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1,798,930</w:t>
            </w:r>
          </w:p>
        </w:tc>
        <w:tc>
          <w:tcPr>
            <w:tcW w:w="571" w:type="pct"/>
            <w:tcBorders>
              <w:top w:val="nil"/>
              <w:left w:val="nil"/>
              <w:right w:val="nil"/>
            </w:tcBorders>
            <w:shd w:val="clear" w:color="000000" w:fill="FFFF00"/>
            <w:noWrap/>
            <w:vAlign w:val="center"/>
            <w:hideMark/>
          </w:tcPr>
          <w:p w14:paraId="0C3F8098"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8,656,136</w:t>
            </w:r>
          </w:p>
        </w:tc>
        <w:tc>
          <w:tcPr>
            <w:tcW w:w="517" w:type="pct"/>
            <w:tcBorders>
              <w:top w:val="nil"/>
              <w:left w:val="nil"/>
              <w:right w:val="nil"/>
            </w:tcBorders>
            <w:shd w:val="clear" w:color="000000" w:fill="FF0000"/>
            <w:noWrap/>
            <w:vAlign w:val="center"/>
            <w:hideMark/>
          </w:tcPr>
          <w:p w14:paraId="0C3F8099"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27,130,969</w:t>
            </w:r>
          </w:p>
        </w:tc>
        <w:tc>
          <w:tcPr>
            <w:tcW w:w="470" w:type="pct"/>
            <w:tcBorders>
              <w:top w:val="nil"/>
              <w:left w:val="nil"/>
              <w:right w:val="nil"/>
            </w:tcBorders>
            <w:shd w:val="clear" w:color="000000" w:fill="FF0000"/>
            <w:noWrap/>
            <w:vAlign w:val="center"/>
            <w:hideMark/>
          </w:tcPr>
          <w:p w14:paraId="0C3F809A"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29,091,190</w:t>
            </w:r>
          </w:p>
        </w:tc>
        <w:tc>
          <w:tcPr>
            <w:tcW w:w="454" w:type="pct"/>
            <w:tcBorders>
              <w:top w:val="nil"/>
              <w:left w:val="nil"/>
              <w:right w:val="nil"/>
            </w:tcBorders>
            <w:shd w:val="clear" w:color="000000" w:fill="FFFF00"/>
            <w:noWrap/>
            <w:vAlign w:val="center"/>
            <w:hideMark/>
          </w:tcPr>
          <w:p w14:paraId="0C3F809B"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7,661,648</w:t>
            </w:r>
          </w:p>
        </w:tc>
        <w:tc>
          <w:tcPr>
            <w:tcW w:w="466" w:type="pct"/>
            <w:tcBorders>
              <w:top w:val="nil"/>
              <w:left w:val="nil"/>
              <w:right w:val="nil"/>
            </w:tcBorders>
            <w:shd w:val="clear" w:color="000000" w:fill="FF0000"/>
            <w:noWrap/>
            <w:vAlign w:val="center"/>
            <w:hideMark/>
          </w:tcPr>
          <w:p w14:paraId="0C3F809C"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33,885,815</w:t>
            </w:r>
          </w:p>
        </w:tc>
        <w:tc>
          <w:tcPr>
            <w:tcW w:w="467" w:type="pct"/>
            <w:tcBorders>
              <w:top w:val="nil"/>
              <w:left w:val="nil"/>
              <w:right w:val="nil"/>
            </w:tcBorders>
            <w:shd w:val="clear" w:color="000000" w:fill="FF0000"/>
            <w:noWrap/>
            <w:vAlign w:val="center"/>
            <w:hideMark/>
          </w:tcPr>
          <w:p w14:paraId="0C3F809D"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14,333,639</w:t>
            </w:r>
          </w:p>
        </w:tc>
        <w:tc>
          <w:tcPr>
            <w:tcW w:w="468" w:type="pct"/>
            <w:tcBorders>
              <w:top w:val="nil"/>
              <w:left w:val="nil"/>
              <w:right w:val="nil"/>
            </w:tcBorders>
            <w:shd w:val="clear" w:color="auto" w:fill="auto"/>
            <w:noWrap/>
            <w:vAlign w:val="center"/>
            <w:hideMark/>
          </w:tcPr>
          <w:p w14:paraId="0C3F809E"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3,110,545</w:t>
            </w:r>
          </w:p>
        </w:tc>
      </w:tr>
      <w:tr w:rsidR="004F15BA" w:rsidRPr="00E77510" w14:paraId="0C3F80AA" w14:textId="77777777" w:rsidTr="004F15BA">
        <w:trPr>
          <w:trHeight w:val="57"/>
        </w:trPr>
        <w:tc>
          <w:tcPr>
            <w:tcW w:w="584" w:type="pct"/>
            <w:tcBorders>
              <w:top w:val="nil"/>
              <w:left w:val="nil"/>
              <w:bottom w:val="single" w:sz="4" w:space="0" w:color="auto"/>
              <w:right w:val="nil"/>
            </w:tcBorders>
            <w:shd w:val="clear" w:color="auto" w:fill="auto"/>
            <w:noWrap/>
            <w:vAlign w:val="center"/>
            <w:hideMark/>
          </w:tcPr>
          <w:p w14:paraId="0C3F80A0" w14:textId="77777777" w:rsidR="0015270F" w:rsidRPr="00935052" w:rsidRDefault="00E67427" w:rsidP="0015270F">
            <w:pPr>
              <w:spacing w:before="0" w:after="0"/>
              <w:rPr>
                <w:rStyle w:val="BookTitle"/>
                <w:rFonts w:asciiTheme="minorHAnsi" w:hAnsiTheme="minorHAnsi"/>
              </w:rPr>
            </w:pPr>
            <w:r w:rsidRPr="00935052">
              <w:rPr>
                <w:rStyle w:val="BookTitle"/>
                <w:rFonts w:asciiTheme="minorHAnsi" w:hAnsiTheme="minorHAnsi"/>
              </w:rPr>
              <w:t>Fitz</w:t>
            </w:r>
            <w:r w:rsidR="004F15BA">
              <w:rPr>
                <w:rStyle w:val="BookTitle"/>
                <w:rFonts w:asciiTheme="minorHAnsi" w:hAnsiTheme="minorHAnsi"/>
              </w:rPr>
              <w:t>roy</w:t>
            </w:r>
          </w:p>
        </w:tc>
        <w:tc>
          <w:tcPr>
            <w:tcW w:w="533" w:type="pct"/>
            <w:tcBorders>
              <w:top w:val="nil"/>
              <w:left w:val="nil"/>
              <w:bottom w:val="single" w:sz="4" w:space="0" w:color="auto"/>
              <w:right w:val="nil"/>
            </w:tcBorders>
            <w:shd w:val="clear" w:color="auto" w:fill="auto"/>
            <w:noWrap/>
            <w:vAlign w:val="center"/>
            <w:hideMark/>
          </w:tcPr>
          <w:p w14:paraId="0C3F80A1"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1,880,471</w:t>
            </w:r>
          </w:p>
        </w:tc>
        <w:tc>
          <w:tcPr>
            <w:tcW w:w="470" w:type="pct"/>
            <w:tcBorders>
              <w:top w:val="nil"/>
              <w:left w:val="nil"/>
              <w:bottom w:val="single" w:sz="4" w:space="0" w:color="auto"/>
              <w:right w:val="nil"/>
            </w:tcBorders>
            <w:shd w:val="clear" w:color="auto" w:fill="auto"/>
            <w:noWrap/>
            <w:vAlign w:val="center"/>
            <w:hideMark/>
          </w:tcPr>
          <w:p w14:paraId="0C3F80A2"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547,415</w:t>
            </w:r>
          </w:p>
        </w:tc>
        <w:tc>
          <w:tcPr>
            <w:tcW w:w="571" w:type="pct"/>
            <w:tcBorders>
              <w:top w:val="nil"/>
              <w:left w:val="nil"/>
              <w:bottom w:val="single" w:sz="4" w:space="0" w:color="auto"/>
              <w:right w:val="nil"/>
            </w:tcBorders>
            <w:shd w:val="clear" w:color="auto" w:fill="auto"/>
            <w:noWrap/>
            <w:vAlign w:val="center"/>
            <w:hideMark/>
          </w:tcPr>
          <w:p w14:paraId="0C3F80A3"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870,801</w:t>
            </w:r>
          </w:p>
        </w:tc>
        <w:tc>
          <w:tcPr>
            <w:tcW w:w="517" w:type="pct"/>
            <w:tcBorders>
              <w:top w:val="nil"/>
              <w:left w:val="nil"/>
              <w:bottom w:val="single" w:sz="4" w:space="0" w:color="auto"/>
              <w:right w:val="nil"/>
            </w:tcBorders>
            <w:shd w:val="clear" w:color="000000" w:fill="FF0000"/>
            <w:noWrap/>
            <w:vAlign w:val="center"/>
            <w:hideMark/>
          </w:tcPr>
          <w:p w14:paraId="0C3F80A4"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12,209,913</w:t>
            </w:r>
          </w:p>
        </w:tc>
        <w:tc>
          <w:tcPr>
            <w:tcW w:w="470" w:type="pct"/>
            <w:tcBorders>
              <w:top w:val="nil"/>
              <w:left w:val="nil"/>
              <w:bottom w:val="single" w:sz="4" w:space="0" w:color="auto"/>
              <w:right w:val="nil"/>
            </w:tcBorders>
            <w:shd w:val="clear" w:color="auto" w:fill="auto"/>
            <w:noWrap/>
            <w:vAlign w:val="center"/>
            <w:hideMark/>
          </w:tcPr>
          <w:p w14:paraId="0C3F80A5"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1,982,217</w:t>
            </w:r>
          </w:p>
        </w:tc>
        <w:tc>
          <w:tcPr>
            <w:tcW w:w="454" w:type="pct"/>
            <w:tcBorders>
              <w:top w:val="nil"/>
              <w:left w:val="nil"/>
              <w:bottom w:val="single" w:sz="4" w:space="0" w:color="auto"/>
              <w:right w:val="nil"/>
            </w:tcBorders>
            <w:shd w:val="clear" w:color="000000" w:fill="FF0000"/>
            <w:noWrap/>
            <w:vAlign w:val="center"/>
            <w:hideMark/>
          </w:tcPr>
          <w:p w14:paraId="0C3F80A6"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10,906,736</w:t>
            </w:r>
          </w:p>
        </w:tc>
        <w:tc>
          <w:tcPr>
            <w:tcW w:w="466" w:type="pct"/>
            <w:tcBorders>
              <w:top w:val="nil"/>
              <w:left w:val="nil"/>
              <w:bottom w:val="single" w:sz="4" w:space="0" w:color="auto"/>
              <w:right w:val="nil"/>
            </w:tcBorders>
            <w:shd w:val="clear" w:color="000000" w:fill="FF0000"/>
            <w:noWrap/>
            <w:vAlign w:val="center"/>
            <w:hideMark/>
          </w:tcPr>
          <w:p w14:paraId="0C3F80A7"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35,886,042</w:t>
            </w:r>
          </w:p>
        </w:tc>
        <w:tc>
          <w:tcPr>
            <w:tcW w:w="467" w:type="pct"/>
            <w:tcBorders>
              <w:top w:val="nil"/>
              <w:left w:val="nil"/>
              <w:bottom w:val="single" w:sz="4" w:space="0" w:color="auto"/>
              <w:right w:val="nil"/>
            </w:tcBorders>
            <w:shd w:val="clear" w:color="000000" w:fill="FF0000"/>
            <w:noWrap/>
            <w:vAlign w:val="center"/>
            <w:hideMark/>
          </w:tcPr>
          <w:p w14:paraId="0C3F80A8"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6,479,801</w:t>
            </w:r>
          </w:p>
        </w:tc>
        <w:tc>
          <w:tcPr>
            <w:tcW w:w="468" w:type="pct"/>
            <w:tcBorders>
              <w:top w:val="nil"/>
              <w:left w:val="nil"/>
              <w:bottom w:val="single" w:sz="4" w:space="0" w:color="auto"/>
              <w:right w:val="nil"/>
            </w:tcBorders>
            <w:shd w:val="clear" w:color="000000" w:fill="FF0000"/>
            <w:noWrap/>
            <w:vAlign w:val="center"/>
            <w:hideMark/>
          </w:tcPr>
          <w:p w14:paraId="0C3F80A9" w14:textId="77777777" w:rsidR="0015270F" w:rsidRPr="00935052" w:rsidRDefault="0015270F" w:rsidP="0015270F">
            <w:pPr>
              <w:spacing w:before="0" w:after="0"/>
              <w:rPr>
                <w:rStyle w:val="BookTitle"/>
                <w:rFonts w:asciiTheme="minorHAnsi" w:hAnsiTheme="minorHAnsi"/>
                <w:sz w:val="18"/>
                <w:szCs w:val="18"/>
                <w:vertAlign w:val="subscript"/>
              </w:rPr>
            </w:pPr>
            <w:r w:rsidRPr="00935052">
              <w:rPr>
                <w:rStyle w:val="BookTitle"/>
                <w:rFonts w:asciiTheme="minorHAnsi" w:hAnsiTheme="minorHAnsi"/>
                <w:sz w:val="18"/>
                <w:szCs w:val="18"/>
                <w:vertAlign w:val="subscript"/>
              </w:rPr>
              <w:t>8,307,455</w:t>
            </w:r>
          </w:p>
        </w:tc>
      </w:tr>
    </w:tbl>
    <w:p w14:paraId="0C3F80AB" w14:textId="77777777" w:rsidR="0015270F" w:rsidRPr="0015270F" w:rsidRDefault="0015270F" w:rsidP="0015270F">
      <w:pPr>
        <w:rPr>
          <w:rFonts w:cs="Arial"/>
        </w:rPr>
      </w:pPr>
    </w:p>
    <w:p w14:paraId="0C3F80AC" w14:textId="77777777" w:rsidR="00162359" w:rsidRDefault="00162359">
      <w:pPr>
        <w:spacing w:before="0" w:after="0"/>
        <w:jc w:val="left"/>
        <w:rPr>
          <w:b/>
          <w:sz w:val="24"/>
        </w:rPr>
      </w:pPr>
      <w:r>
        <w:br w:type="page"/>
      </w:r>
    </w:p>
    <w:p w14:paraId="0C3F80AD" w14:textId="77777777" w:rsidR="0015270F" w:rsidRPr="0095562E" w:rsidRDefault="0015270F" w:rsidP="00C05A63">
      <w:pPr>
        <w:pStyle w:val="Heading2"/>
        <w:keepNext/>
        <w:numPr>
          <w:ilvl w:val="1"/>
          <w:numId w:val="13"/>
        </w:numPr>
        <w:spacing w:line="80" w:lineRule="atLeast"/>
      </w:pPr>
      <w:bookmarkStart w:id="118" w:name="_Toc434207998"/>
      <w:r w:rsidRPr="0095562E">
        <w:t>Results</w:t>
      </w:r>
      <w:bookmarkEnd w:id="118"/>
    </w:p>
    <w:p w14:paraId="0C3F80AE" w14:textId="77777777" w:rsidR="0095562E" w:rsidRDefault="0095562E" w:rsidP="00C05A63">
      <w:pPr>
        <w:pStyle w:val="Heading2"/>
        <w:keepNext/>
        <w:numPr>
          <w:ilvl w:val="2"/>
          <w:numId w:val="13"/>
        </w:numPr>
        <w:spacing w:line="80" w:lineRule="atLeast"/>
      </w:pPr>
      <w:bookmarkStart w:id="119" w:name="_Toc434207999"/>
      <w:r>
        <w:t>Data analysis - spatial</w:t>
      </w:r>
      <w:bookmarkEnd w:id="119"/>
    </w:p>
    <w:p w14:paraId="0C3F80AF" w14:textId="77777777" w:rsidR="0015270F" w:rsidRDefault="00BD7FB0" w:rsidP="0015270F">
      <w:r>
        <w:t xml:space="preserve">Two transects in the </w:t>
      </w:r>
      <w:r w:rsidRPr="005A5D87">
        <w:rPr>
          <w:u w:val="single"/>
        </w:rPr>
        <w:t>Wet Tropics region</w:t>
      </w:r>
      <w:r>
        <w:t xml:space="preserve"> are included in this report</w:t>
      </w:r>
      <w:r w:rsidR="0015270F" w:rsidRPr="006B0902">
        <w:t xml:space="preserve"> </w:t>
      </w:r>
      <w:r w:rsidR="00282ECB">
        <w:t xml:space="preserve">(Tully and </w:t>
      </w:r>
      <w:r w:rsidR="0015270F">
        <w:t>Herbert</w:t>
      </w:r>
      <w:r w:rsidR="00282ECB">
        <w:t>) and the Burdekin in the Dry Tropics</w:t>
      </w:r>
      <w:r w:rsidR="0015270F">
        <w:t xml:space="preserve"> </w:t>
      </w:r>
      <w:r w:rsidR="0015270F" w:rsidRPr="006B0902">
        <w:t xml:space="preserve">(Table </w:t>
      </w:r>
      <w:r w:rsidR="00282ECB">
        <w:t>4-5</w:t>
      </w:r>
      <w:r w:rsidR="0015270F" w:rsidRPr="006B0902">
        <w:t xml:space="preserve">). </w:t>
      </w:r>
      <w:r w:rsidR="0015270F">
        <w:t xml:space="preserve">Overall, the mean values for each WQ parameters sampled in the Wet Tropics were highest in the Southern Herbert transect followed by the sites in the Tully transect. The lowest mean values were observed on average in the Northern Herbert transect. Total suspended solids (TSS) ranged between </w:t>
      </w:r>
      <w:r w:rsidR="00E77510">
        <w:t>3.1</w:t>
      </w:r>
      <w:r w:rsidR="0015270F">
        <w:t xml:space="preserve"> – 57 mg/L, with the highest value sampled at the Herbert River mouth on 25-03-2013, corresponding to a 5-days average river discharge of 11,677 ML/d (below 75</w:t>
      </w:r>
      <w:r w:rsidR="0015270F" w:rsidRPr="0015270F">
        <w:rPr>
          <w:vertAlign w:val="superscript"/>
        </w:rPr>
        <w:t>th</w:t>
      </w:r>
      <w:r w:rsidR="0015270F">
        <w:t xml:space="preserve"> </w:t>
      </w:r>
      <w:r w:rsidR="0015270F" w:rsidRPr="00A75B20">
        <w:t xml:space="preserve">percentile, </w:t>
      </w:r>
      <w:r w:rsidR="0015270F" w:rsidRPr="0015270F">
        <w:rPr>
          <w:color w:val="000000"/>
        </w:rPr>
        <w:t xml:space="preserve">16,470 ML/d, Table </w:t>
      </w:r>
      <w:r w:rsidR="002854A3">
        <w:rPr>
          <w:color w:val="000000"/>
        </w:rPr>
        <w:t>4-5</w:t>
      </w:r>
      <w:r w:rsidR="0015270F" w:rsidRPr="00A75B20">
        <w:t>), suggesting</w:t>
      </w:r>
      <w:r w:rsidR="0015270F">
        <w:t xml:space="preserve"> a potential high suspended solid load from the Herbert catchment. Chl-a ranged </w:t>
      </w:r>
      <w:r w:rsidR="0015270F" w:rsidRPr="003C503B">
        <w:t>between 0.</w:t>
      </w:r>
      <w:r w:rsidR="00E77510">
        <w:t>20</w:t>
      </w:r>
      <w:r w:rsidR="00E77510" w:rsidRPr="003C503B">
        <w:t xml:space="preserve"> </w:t>
      </w:r>
      <w:r w:rsidR="0015270F" w:rsidRPr="003C503B">
        <w:t xml:space="preserve">– 9.74 µg/L, and </w:t>
      </w:r>
      <w:r w:rsidR="0015270F">
        <w:t xml:space="preserve">in </w:t>
      </w:r>
      <w:r w:rsidR="0015270F" w:rsidRPr="003C503B">
        <w:t>70% of the sampled sites it was above the (annual) water quality guideline (i.e., 0.45 µg/L, GBRMPA, 2009</w:t>
      </w:r>
      <w:r w:rsidR="0015270F">
        <w:t>)</w:t>
      </w:r>
      <w:r w:rsidR="0015270F" w:rsidRPr="00C57511">
        <w:t>.</w:t>
      </w:r>
      <w:r w:rsidR="0015270F">
        <w:t xml:space="preserve"> The highest chl-a value was observed at the King Reef (approx. 30 km form the Tully River mouth), u</w:t>
      </w:r>
      <w:r w:rsidR="002854A3">
        <w:t>nder the influence of secondary</w:t>
      </w:r>
      <w:r w:rsidR="000F26F1">
        <w:t xml:space="preserve">, phytoplankton enriched </w:t>
      </w:r>
      <w:r w:rsidR="0015270F">
        <w:t>waters.</w:t>
      </w:r>
      <w:r w:rsidR="0015270F" w:rsidRPr="00A75B20">
        <w:t xml:space="preserve"> The minimum</w:t>
      </w:r>
      <w:r w:rsidR="0015270F">
        <w:t xml:space="preserve"> values for DIN ranged from 0.5 – 1.1</w:t>
      </w:r>
      <w:r w:rsidR="0015270F" w:rsidRPr="00A75B20">
        <w:t xml:space="preserve"> </w:t>
      </w:r>
      <w:r w:rsidR="0015270F">
        <w:t>µ</w:t>
      </w:r>
      <w:r w:rsidR="0015270F" w:rsidRPr="00A75B20">
        <w:t xml:space="preserve">M and minimum DIP values ranged from </w:t>
      </w:r>
      <w:r w:rsidR="0015270F">
        <w:t>0.03 – 0.</w:t>
      </w:r>
      <w:r w:rsidR="00E77510">
        <w:t>06</w:t>
      </w:r>
      <w:r w:rsidR="00E77510" w:rsidRPr="00A75B20">
        <w:t xml:space="preserve"> </w:t>
      </w:r>
      <w:r w:rsidR="0015270F" w:rsidRPr="00A75B20">
        <w:t xml:space="preserve">µM. The maximum values for DIN ranged from </w:t>
      </w:r>
      <w:r w:rsidR="0015270F">
        <w:t>1.</w:t>
      </w:r>
      <w:r w:rsidR="00E77510">
        <w:t>8</w:t>
      </w:r>
      <w:r w:rsidR="00E77510" w:rsidRPr="00A75B20">
        <w:t xml:space="preserve"> </w:t>
      </w:r>
      <w:r w:rsidR="0015270F" w:rsidRPr="00A75B20">
        <w:t xml:space="preserve">– </w:t>
      </w:r>
      <w:r w:rsidR="0015270F">
        <w:t>12.6</w:t>
      </w:r>
      <w:r w:rsidR="0015270F" w:rsidRPr="00A75B20">
        <w:t xml:space="preserve"> </w:t>
      </w:r>
      <w:r w:rsidR="0015270F">
        <w:t>µ</w:t>
      </w:r>
      <w:r w:rsidR="0015270F" w:rsidRPr="00A75B20">
        <w:t xml:space="preserve">M and maximum DIP values ranged from </w:t>
      </w:r>
      <w:r w:rsidR="0015270F">
        <w:t>0.13 – 0.29</w:t>
      </w:r>
      <w:r w:rsidR="0015270F" w:rsidRPr="00A75B20">
        <w:t xml:space="preserve"> µM.  The high</w:t>
      </w:r>
      <w:r w:rsidR="0015270F">
        <w:t>est</w:t>
      </w:r>
      <w:r w:rsidR="0015270F" w:rsidRPr="00A75B20">
        <w:t xml:space="preserve"> value of DIN (</w:t>
      </w:r>
      <w:r w:rsidR="0015270F">
        <w:t>12.6</w:t>
      </w:r>
      <w:r w:rsidR="0015270F" w:rsidRPr="00A75B20">
        <w:t xml:space="preserve"> </w:t>
      </w:r>
      <w:r w:rsidR="0015270F">
        <w:t>µ</w:t>
      </w:r>
      <w:r w:rsidR="0015270F" w:rsidRPr="00A75B20">
        <w:t xml:space="preserve">M) was recorded at </w:t>
      </w:r>
      <w:r w:rsidR="0015270F">
        <w:t>Tully River mouth</w:t>
      </w:r>
      <w:r w:rsidR="0015270F" w:rsidRPr="00A75B20">
        <w:t xml:space="preserve"> on </w:t>
      </w:r>
      <w:r w:rsidR="0015270F">
        <w:t>26-01-2013</w:t>
      </w:r>
      <w:r w:rsidR="0015270F" w:rsidRPr="00A75B20">
        <w:t xml:space="preserve"> at a salinity of </w:t>
      </w:r>
      <w:r w:rsidR="0015270F">
        <w:t>9.5 and under a 5-days average discharge of 64,443 ML/d (higher than the 95</w:t>
      </w:r>
      <w:r w:rsidR="0015270F" w:rsidRPr="0015270F">
        <w:rPr>
          <w:vertAlign w:val="superscript"/>
        </w:rPr>
        <w:t>th</w:t>
      </w:r>
      <w:r w:rsidR="0015270F">
        <w:t xml:space="preserve"> percentile, 28,441 ML/d, Table 2-2), suggesting a strong continental contribution of DIN during flood conditions</w:t>
      </w:r>
      <w:r w:rsidR="0015270F" w:rsidRPr="00A75B20">
        <w:t>.</w:t>
      </w:r>
      <w:r w:rsidR="0015270F">
        <w:t xml:space="preserve"> </w:t>
      </w:r>
      <w:r w:rsidR="00935052">
        <w:t>T</w:t>
      </w:r>
      <w:r w:rsidR="0015270F">
        <w:t xml:space="preserve">he largest variation between WQ parameters was for Si, which varied more than </w:t>
      </w:r>
      <w:r w:rsidR="00E77510">
        <w:t xml:space="preserve">3 </w:t>
      </w:r>
      <w:r w:rsidR="0015270F">
        <w:t xml:space="preserve">fold between Southern Herbert transect (43.97 ± 93.37 µM, mean ± 1SD) and the </w:t>
      </w:r>
      <w:r w:rsidR="00E77510">
        <w:t>Burdekin</w:t>
      </w:r>
      <w:r w:rsidR="0015270F">
        <w:t xml:space="preserve"> transect (</w:t>
      </w:r>
      <w:r w:rsidR="00E77510">
        <w:t>7.72</w:t>
      </w:r>
      <w:r w:rsidR="0015270F">
        <w:t xml:space="preserve"> ± </w:t>
      </w:r>
      <w:r w:rsidR="00E77510">
        <w:t>13.8</w:t>
      </w:r>
      <w:r w:rsidR="0015270F">
        <w:t xml:space="preserve"> µM). </w:t>
      </w:r>
    </w:p>
    <w:p w14:paraId="0C3F80B0" w14:textId="77777777" w:rsidR="005A5D87" w:rsidRDefault="00E77510" w:rsidP="005A5D87">
      <w:r>
        <w:t xml:space="preserve">A long </w:t>
      </w:r>
      <w:r w:rsidR="005A5D87">
        <w:t xml:space="preserve">transect </w:t>
      </w:r>
      <w:r>
        <w:t xml:space="preserve">was </w:t>
      </w:r>
      <w:r w:rsidR="005A5D87">
        <w:t xml:space="preserve">sampled in </w:t>
      </w:r>
      <w:r w:rsidR="005A5D87" w:rsidRPr="005A5D87">
        <w:rPr>
          <w:u w:val="single"/>
        </w:rPr>
        <w:t>the Burdekin region</w:t>
      </w:r>
      <w:r w:rsidR="005A5D87">
        <w:t xml:space="preserve">, </w:t>
      </w:r>
      <w:r>
        <w:t xml:space="preserve">covering </w:t>
      </w:r>
      <w:r w:rsidR="005A5D87">
        <w:t>the Burdekin and Don River</w:t>
      </w:r>
      <w:r>
        <w:t>s</w:t>
      </w:r>
      <w:r w:rsidR="005A5D87">
        <w:t xml:space="preserve">, </w:t>
      </w:r>
      <w:r>
        <w:t xml:space="preserve">with </w:t>
      </w:r>
      <w:r w:rsidR="005A5D87">
        <w:t xml:space="preserve">a total of 36 sites </w:t>
      </w:r>
      <w:r>
        <w:t xml:space="preserve">sampled </w:t>
      </w:r>
      <w:r w:rsidR="005A5D87">
        <w:t xml:space="preserve">from </w:t>
      </w:r>
      <w:r w:rsidR="005A5D87" w:rsidRPr="00C1037B">
        <w:t xml:space="preserve">the Edgecumbe Bay at Bowen </w:t>
      </w:r>
      <w:r w:rsidR="005A5D87">
        <w:t xml:space="preserve">to the </w:t>
      </w:r>
      <w:r w:rsidR="005A5D87" w:rsidRPr="00C1037B">
        <w:t xml:space="preserve">south of Palm Island </w:t>
      </w:r>
      <w:r w:rsidR="005A5D87">
        <w:t xml:space="preserve">(Table </w:t>
      </w:r>
      <w:r>
        <w:t>4-5</w:t>
      </w:r>
      <w:r w:rsidR="005A5D87">
        <w:t xml:space="preserve">). Overall, the mean values for each WQ parameters sampled in </w:t>
      </w:r>
      <w:r>
        <w:t xml:space="preserve">this transect </w:t>
      </w:r>
      <w:r w:rsidR="005A5D87">
        <w:t xml:space="preserve">were higher in the Burdekin </w:t>
      </w:r>
      <w:r>
        <w:t xml:space="preserve">region </w:t>
      </w:r>
      <w:r w:rsidR="005A5D87">
        <w:t xml:space="preserve">than in the Don </w:t>
      </w:r>
      <w:r>
        <w:t>region</w:t>
      </w:r>
      <w:r w:rsidR="005A5D87">
        <w:t>. Total suspended solids (TSS) ranged between 3.10 – 12 mg/L. The highest TSS value was sampled at the Burdekin River plume on 17-03-2013, 10 days after the second major flood event (peak discharge of 173,173 ML/d), at 14 km from the Burdekin River mouth, under a salinity of 33, and under a 5-days average river discharge of 17,981 ML/d (below 95</w:t>
      </w:r>
      <w:r w:rsidR="005A5D87" w:rsidRPr="0015270F">
        <w:rPr>
          <w:vertAlign w:val="superscript"/>
        </w:rPr>
        <w:t>th</w:t>
      </w:r>
      <w:r w:rsidR="005A5D87">
        <w:t xml:space="preserve"> </w:t>
      </w:r>
      <w:r w:rsidR="005A5D87" w:rsidRPr="00A75B20">
        <w:t xml:space="preserve">percentile, </w:t>
      </w:r>
      <w:r w:rsidR="005A5D87" w:rsidRPr="0015270F">
        <w:rPr>
          <w:color w:val="000000"/>
        </w:rPr>
        <w:t>115,249 ML/d, Table 2-2</w:t>
      </w:r>
      <w:r w:rsidR="005A5D87">
        <w:t>). Chl-a ranged between 0.2 – 1.</w:t>
      </w:r>
      <w:r>
        <w:t xml:space="preserve">08 </w:t>
      </w:r>
      <w:r w:rsidR="005A5D87">
        <w:t xml:space="preserve">µg/L, and 60% of the sampled sites were above the </w:t>
      </w:r>
      <w:r w:rsidR="005A5D87" w:rsidRPr="00C57511">
        <w:t xml:space="preserve">(annual) water quality guideline </w:t>
      </w:r>
      <w:r w:rsidR="005A5D87" w:rsidRPr="003C503B">
        <w:t>(i.e., 0.45 µg/L, GBRMPA</w:t>
      </w:r>
      <w:r w:rsidR="005A5D87">
        <w:t>, 2009)</w:t>
      </w:r>
      <w:r w:rsidR="005A5D87" w:rsidRPr="00C57511">
        <w:t>.</w:t>
      </w:r>
      <w:r w:rsidR="005A5D87">
        <w:t xml:space="preserve"> The highest chl-a va</w:t>
      </w:r>
      <w:r w:rsidR="00A26858">
        <w:t xml:space="preserve">lue was observed on 15-03-2013 </w:t>
      </w:r>
      <w:r w:rsidR="005A5D87">
        <w:t>near the Sinclairs Bay (35 km from the Don River mouth), under influence of secondary waters.</w:t>
      </w:r>
      <w:r w:rsidR="005A5D87" w:rsidRPr="00A75B20">
        <w:t xml:space="preserve"> The minimum</w:t>
      </w:r>
      <w:r w:rsidR="005A5D87">
        <w:t xml:space="preserve"> values for DIN ranged from 0.8 – 1.1</w:t>
      </w:r>
      <w:r w:rsidR="005A5D87" w:rsidRPr="00A75B20">
        <w:t xml:space="preserve"> </w:t>
      </w:r>
      <w:r w:rsidR="005A5D87">
        <w:t>µ</w:t>
      </w:r>
      <w:r w:rsidR="005A5D87" w:rsidRPr="00A75B20">
        <w:t xml:space="preserve">M and minimum DIP values ranged from </w:t>
      </w:r>
      <w:r w:rsidR="005A5D87">
        <w:t>0.03 – 0.06</w:t>
      </w:r>
      <w:r w:rsidR="005A5D87" w:rsidRPr="00A75B20">
        <w:t xml:space="preserve"> µM. DIN </w:t>
      </w:r>
      <w:r>
        <w:t xml:space="preserve">values </w:t>
      </w:r>
      <w:r w:rsidR="005A5D87" w:rsidRPr="00A75B20">
        <w:t xml:space="preserve">ranged from </w:t>
      </w:r>
      <w:r w:rsidR="005A5D87">
        <w:t>1.</w:t>
      </w:r>
      <w:r>
        <w:t>07</w:t>
      </w:r>
      <w:r w:rsidRPr="00A75B20">
        <w:t xml:space="preserve"> </w:t>
      </w:r>
      <w:r w:rsidR="005A5D87" w:rsidRPr="00A75B20">
        <w:t xml:space="preserve">– </w:t>
      </w:r>
      <w:r w:rsidR="005A5D87">
        <w:t>3.0</w:t>
      </w:r>
      <w:r w:rsidR="005A5D87" w:rsidRPr="00A75B20">
        <w:t xml:space="preserve"> </w:t>
      </w:r>
      <w:r w:rsidR="005A5D87">
        <w:t>µ</w:t>
      </w:r>
      <w:r w:rsidR="005A5D87" w:rsidRPr="00A75B20">
        <w:t xml:space="preserve">M and DIP values ranged from </w:t>
      </w:r>
      <w:r w:rsidR="005A5D87">
        <w:t>0.</w:t>
      </w:r>
      <w:r>
        <w:t xml:space="preserve">03 </w:t>
      </w:r>
      <w:r w:rsidR="005A5D87">
        <w:t>– 0.23</w:t>
      </w:r>
      <w:r w:rsidR="005A5D87" w:rsidRPr="00A75B20">
        <w:t xml:space="preserve"> µM.  The high</w:t>
      </w:r>
      <w:r w:rsidR="005A5D87">
        <w:t>est</w:t>
      </w:r>
      <w:r w:rsidR="005A5D87" w:rsidRPr="00A75B20">
        <w:t xml:space="preserve"> value of DIN (</w:t>
      </w:r>
      <w:r w:rsidR="005A5D87">
        <w:t>3.0</w:t>
      </w:r>
      <w:r w:rsidR="005A5D87" w:rsidRPr="00A75B20">
        <w:t xml:space="preserve"> </w:t>
      </w:r>
      <w:r w:rsidR="005A5D87">
        <w:t>µ</w:t>
      </w:r>
      <w:r w:rsidR="005A5D87" w:rsidRPr="00A75B20">
        <w:t xml:space="preserve">M) was recorded at </w:t>
      </w:r>
      <w:r w:rsidR="005A5D87">
        <w:t xml:space="preserve">Cape Cleveland </w:t>
      </w:r>
      <w:r w:rsidR="005A5D87" w:rsidRPr="00A75B20">
        <w:t xml:space="preserve">on </w:t>
      </w:r>
      <w:r w:rsidR="005A5D87">
        <w:t>14-03-2013</w:t>
      </w:r>
      <w:r w:rsidR="005A5D87" w:rsidRPr="00A75B20">
        <w:t xml:space="preserve"> at a salinity of </w:t>
      </w:r>
      <w:r w:rsidR="005A5D87">
        <w:t>22.8 and under a 5-days average discharge of 34,057 ML/d (lower than the 95</w:t>
      </w:r>
      <w:r w:rsidR="005A5D87" w:rsidRPr="0015270F">
        <w:rPr>
          <w:vertAlign w:val="superscript"/>
        </w:rPr>
        <w:t>th</w:t>
      </w:r>
      <w:r w:rsidR="005A5D87">
        <w:t xml:space="preserve"> percentile, </w:t>
      </w:r>
      <w:r w:rsidR="005A5D87" w:rsidRPr="0015270F">
        <w:rPr>
          <w:color w:val="000000"/>
        </w:rPr>
        <w:t xml:space="preserve">115,249 </w:t>
      </w:r>
      <w:r w:rsidR="005A5D87">
        <w:t>ML/d, Table 2-2)</w:t>
      </w:r>
      <w:r w:rsidR="005A5D87" w:rsidRPr="00A75B20">
        <w:t>.</w:t>
      </w:r>
      <w:r w:rsidR="005A5D87">
        <w:t xml:space="preserve"> As observed for the previous two NRMs, the largest variation between WQ parameters was for Si, which varied 4.6 fold between Don </w:t>
      </w:r>
      <w:r>
        <w:t xml:space="preserve">area </w:t>
      </w:r>
      <w:r w:rsidR="005A5D87">
        <w:t xml:space="preserve">(1.66 ± 0 µM, mean ± 1SD) and the Burdekin </w:t>
      </w:r>
      <w:r>
        <w:t xml:space="preserve">area </w:t>
      </w:r>
      <w:r w:rsidR="005A5D87">
        <w:t>(7.72 ± 13.81 µM).</w:t>
      </w:r>
    </w:p>
    <w:p w14:paraId="0C3F80B1" w14:textId="77777777" w:rsidR="005A5D87" w:rsidRDefault="005A5D87" w:rsidP="0015270F"/>
    <w:p w14:paraId="0C3F80B2" w14:textId="77777777" w:rsidR="00162359" w:rsidRDefault="00162359" w:rsidP="0015270F"/>
    <w:p w14:paraId="0C3F80B3" w14:textId="77777777" w:rsidR="00162359" w:rsidRDefault="00162359" w:rsidP="0015270F"/>
    <w:p w14:paraId="0C3F80B4" w14:textId="77777777" w:rsidR="00935052" w:rsidRDefault="00935052" w:rsidP="0015270F"/>
    <w:p w14:paraId="0C3F80B5" w14:textId="77777777" w:rsidR="00162359" w:rsidRDefault="00162359" w:rsidP="0015270F"/>
    <w:p w14:paraId="0C3F80B6" w14:textId="77777777" w:rsidR="00BD7FB0" w:rsidRDefault="00BD7FB0" w:rsidP="00BD7FB0">
      <w:pPr>
        <w:pStyle w:val="Caption"/>
      </w:pPr>
      <w:bookmarkStart w:id="120" w:name="_Toc434208072"/>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5</w:t>
      </w:r>
      <w:r w:rsidR="00AE4287">
        <w:fldChar w:fldCharType="end"/>
      </w:r>
      <w:r>
        <w:t xml:space="preserve">: </w:t>
      </w:r>
      <w:r w:rsidRPr="008F1CE3">
        <w:t xml:space="preserve">Summary of </w:t>
      </w:r>
      <w:r>
        <w:t>transects</w:t>
      </w:r>
      <w:r w:rsidRPr="00DF53A4">
        <w:t xml:space="preserve"> that were completed </w:t>
      </w:r>
      <w:r w:rsidR="00282ECB">
        <w:t xml:space="preserve">and including in this report </w:t>
      </w:r>
      <w:r w:rsidRPr="00DF53A4">
        <w:t>during the 201</w:t>
      </w:r>
      <w:r>
        <w:t>2</w:t>
      </w:r>
      <w:r w:rsidRPr="00DF53A4">
        <w:t>-201</w:t>
      </w:r>
      <w:r>
        <w:t>3</w:t>
      </w:r>
      <w:r w:rsidRPr="00DF53A4">
        <w:t xml:space="preserve"> wet season</w:t>
      </w:r>
      <w:r>
        <w:t xml:space="preserve"> </w:t>
      </w:r>
      <w:r w:rsidRPr="00DF53A4">
        <w:t>under the MMP program.</w:t>
      </w:r>
      <w:r>
        <w:t xml:space="preserve"> Minimum (min), maximum (max), mean, standard deviation (SD) and the number of samples are calculated over multiple sites and multiple dates within each river plume water surface and are provided as a guidance of the range of values within each sampling transect.</w:t>
      </w:r>
      <w:bookmarkEnd w:id="120"/>
      <w:r>
        <w:t xml:space="preserve"> </w:t>
      </w:r>
    </w:p>
    <w:tbl>
      <w:tblPr>
        <w:tblW w:w="4030" w:type="pct"/>
        <w:tblInd w:w="1081" w:type="dxa"/>
        <w:tblLook w:val="04A0" w:firstRow="1" w:lastRow="0" w:firstColumn="1" w:lastColumn="0" w:noHBand="0" w:noVBand="1"/>
      </w:tblPr>
      <w:tblGrid>
        <w:gridCol w:w="2154"/>
        <w:gridCol w:w="725"/>
        <w:gridCol w:w="1361"/>
        <w:gridCol w:w="1011"/>
        <w:gridCol w:w="1069"/>
        <w:gridCol w:w="1130"/>
      </w:tblGrid>
      <w:tr w:rsidR="009D74F9" w:rsidRPr="004B2104" w14:paraId="0C3F80BD" w14:textId="77777777" w:rsidTr="009D74F9">
        <w:trPr>
          <w:trHeight w:val="20"/>
          <w:tblHeader/>
        </w:trPr>
        <w:tc>
          <w:tcPr>
            <w:tcW w:w="1484" w:type="pct"/>
            <w:tcBorders>
              <w:top w:val="single" w:sz="4" w:space="0" w:color="auto"/>
              <w:left w:val="nil"/>
              <w:bottom w:val="single" w:sz="4" w:space="0" w:color="auto"/>
              <w:right w:val="nil"/>
            </w:tcBorders>
            <w:shd w:val="clear" w:color="auto" w:fill="auto"/>
            <w:vAlign w:val="center"/>
            <w:hideMark/>
          </w:tcPr>
          <w:p w14:paraId="0C3F80B7" w14:textId="77777777" w:rsidR="009D74F9" w:rsidRPr="004B2104" w:rsidRDefault="009D74F9" w:rsidP="00BD7FB0">
            <w:pPr>
              <w:spacing w:before="0" w:after="0"/>
              <w:jc w:val="left"/>
              <w:rPr>
                <w:rStyle w:val="BookTitle"/>
              </w:rPr>
            </w:pPr>
            <w:r w:rsidRPr="004B2104">
              <w:rPr>
                <w:rStyle w:val="BookTitle"/>
              </w:rPr>
              <w:t>Parameters</w:t>
            </w:r>
          </w:p>
        </w:tc>
        <w:tc>
          <w:tcPr>
            <w:tcW w:w="456" w:type="pct"/>
            <w:tcBorders>
              <w:top w:val="single" w:sz="4" w:space="0" w:color="auto"/>
              <w:left w:val="nil"/>
              <w:bottom w:val="single" w:sz="4" w:space="0" w:color="auto"/>
              <w:right w:val="nil"/>
            </w:tcBorders>
            <w:shd w:val="clear" w:color="auto" w:fill="auto"/>
            <w:vAlign w:val="center"/>
            <w:hideMark/>
          </w:tcPr>
          <w:p w14:paraId="0C3F80B8" w14:textId="77777777" w:rsidR="009D74F9" w:rsidRPr="004B2104" w:rsidRDefault="009D74F9" w:rsidP="00BD7FB0">
            <w:pPr>
              <w:spacing w:before="0" w:after="0"/>
              <w:jc w:val="left"/>
              <w:rPr>
                <w:rStyle w:val="BookTitle"/>
              </w:rPr>
            </w:pPr>
            <w:r w:rsidRPr="004B2104">
              <w:rPr>
                <w:rStyle w:val="BookTitle"/>
              </w:rPr>
              <w:t>Stats.</w:t>
            </w:r>
          </w:p>
        </w:tc>
        <w:tc>
          <w:tcPr>
            <w:tcW w:w="952" w:type="pct"/>
            <w:tcBorders>
              <w:top w:val="single" w:sz="4" w:space="0" w:color="auto"/>
              <w:left w:val="nil"/>
              <w:bottom w:val="single" w:sz="4" w:space="0" w:color="auto"/>
              <w:right w:val="nil"/>
            </w:tcBorders>
            <w:shd w:val="clear" w:color="auto" w:fill="auto"/>
            <w:vAlign w:val="center"/>
            <w:hideMark/>
          </w:tcPr>
          <w:p w14:paraId="0C3F80B9" w14:textId="77777777" w:rsidR="009D74F9" w:rsidRPr="004B2104" w:rsidRDefault="009D74F9" w:rsidP="00BD7FB0">
            <w:pPr>
              <w:spacing w:before="0" w:after="0"/>
              <w:jc w:val="center"/>
              <w:rPr>
                <w:rStyle w:val="BookTitle"/>
              </w:rPr>
            </w:pPr>
            <w:r w:rsidRPr="004B2104">
              <w:rPr>
                <w:rStyle w:val="BookTitle"/>
              </w:rPr>
              <w:t>Tully</w:t>
            </w:r>
          </w:p>
        </w:tc>
        <w:tc>
          <w:tcPr>
            <w:tcW w:w="637" w:type="pct"/>
            <w:tcBorders>
              <w:top w:val="single" w:sz="4" w:space="0" w:color="auto"/>
              <w:left w:val="nil"/>
              <w:bottom w:val="single" w:sz="4" w:space="0" w:color="auto"/>
              <w:right w:val="nil"/>
            </w:tcBorders>
            <w:shd w:val="clear" w:color="auto" w:fill="auto"/>
            <w:vAlign w:val="center"/>
            <w:hideMark/>
          </w:tcPr>
          <w:p w14:paraId="0C3F80BA" w14:textId="77777777" w:rsidR="009D74F9" w:rsidRPr="004B2104" w:rsidRDefault="009D74F9" w:rsidP="00BD7FB0">
            <w:pPr>
              <w:spacing w:before="0" w:after="0"/>
              <w:jc w:val="center"/>
              <w:rPr>
                <w:rStyle w:val="BookTitle"/>
              </w:rPr>
            </w:pPr>
            <w:r w:rsidRPr="004B2104">
              <w:rPr>
                <w:rStyle w:val="BookTitle"/>
              </w:rPr>
              <w:t>Northern Herbert</w:t>
            </w:r>
          </w:p>
        </w:tc>
        <w:tc>
          <w:tcPr>
            <w:tcW w:w="675" w:type="pct"/>
            <w:tcBorders>
              <w:top w:val="single" w:sz="4" w:space="0" w:color="auto"/>
              <w:left w:val="nil"/>
              <w:bottom w:val="single" w:sz="4" w:space="0" w:color="auto"/>
              <w:right w:val="single" w:sz="4" w:space="0" w:color="auto"/>
            </w:tcBorders>
            <w:shd w:val="clear" w:color="auto" w:fill="auto"/>
            <w:vAlign w:val="center"/>
            <w:hideMark/>
          </w:tcPr>
          <w:p w14:paraId="0C3F80BB" w14:textId="77777777" w:rsidR="009D74F9" w:rsidRPr="004B2104" w:rsidRDefault="009D74F9" w:rsidP="00BD7FB0">
            <w:pPr>
              <w:spacing w:before="0" w:after="0"/>
              <w:jc w:val="center"/>
              <w:rPr>
                <w:rStyle w:val="BookTitle"/>
              </w:rPr>
            </w:pPr>
            <w:r w:rsidRPr="004B2104">
              <w:rPr>
                <w:rStyle w:val="BookTitle"/>
              </w:rPr>
              <w:t>Southern-Herbert</w:t>
            </w:r>
          </w:p>
        </w:tc>
        <w:tc>
          <w:tcPr>
            <w:tcW w:w="796" w:type="pct"/>
            <w:tcBorders>
              <w:top w:val="single" w:sz="4" w:space="0" w:color="auto"/>
              <w:left w:val="nil"/>
              <w:bottom w:val="single" w:sz="4" w:space="0" w:color="auto"/>
              <w:right w:val="nil"/>
            </w:tcBorders>
            <w:shd w:val="clear" w:color="auto" w:fill="auto"/>
            <w:vAlign w:val="center"/>
            <w:hideMark/>
          </w:tcPr>
          <w:p w14:paraId="0C3F80BC" w14:textId="77777777" w:rsidR="009D74F9" w:rsidRPr="004B2104" w:rsidRDefault="009D74F9" w:rsidP="00BD7FB0">
            <w:pPr>
              <w:spacing w:before="0" w:after="0"/>
              <w:jc w:val="center"/>
              <w:rPr>
                <w:rStyle w:val="BookTitle"/>
              </w:rPr>
            </w:pPr>
            <w:r w:rsidRPr="004B2104">
              <w:rPr>
                <w:rStyle w:val="BookTitle"/>
              </w:rPr>
              <w:t>Burdekin</w:t>
            </w:r>
          </w:p>
        </w:tc>
      </w:tr>
      <w:tr w:rsidR="009D74F9" w:rsidRPr="004B2104" w14:paraId="0C3F80C4"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0BE" w14:textId="77777777" w:rsidR="009D74F9" w:rsidRPr="004B2104" w:rsidRDefault="009D74F9" w:rsidP="00BD7FB0">
            <w:pPr>
              <w:spacing w:before="0" w:after="0"/>
              <w:jc w:val="center"/>
              <w:rPr>
                <w:rStyle w:val="BookTitle"/>
              </w:rPr>
            </w:pPr>
            <w:r w:rsidRPr="004B2104">
              <w:rPr>
                <w:rStyle w:val="BookTitle"/>
              </w:rPr>
              <w:t>Temperature (˚C)</w:t>
            </w:r>
          </w:p>
        </w:tc>
        <w:tc>
          <w:tcPr>
            <w:tcW w:w="456" w:type="pct"/>
            <w:tcBorders>
              <w:top w:val="nil"/>
              <w:left w:val="nil"/>
              <w:bottom w:val="nil"/>
              <w:right w:val="nil"/>
            </w:tcBorders>
            <w:shd w:val="clear" w:color="auto" w:fill="auto"/>
            <w:noWrap/>
            <w:vAlign w:val="center"/>
            <w:hideMark/>
          </w:tcPr>
          <w:p w14:paraId="0C3F80BF"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0C0" w14:textId="77777777" w:rsidR="009D74F9" w:rsidRPr="004B2104" w:rsidRDefault="009D74F9" w:rsidP="00BD7FB0">
            <w:pPr>
              <w:spacing w:before="0" w:after="0"/>
              <w:jc w:val="center"/>
              <w:rPr>
                <w:rStyle w:val="BookTitle"/>
              </w:rPr>
            </w:pPr>
            <w:r w:rsidRPr="004B2104">
              <w:rPr>
                <w:rStyle w:val="BookTitle"/>
              </w:rPr>
              <w:t>25.70</w:t>
            </w:r>
          </w:p>
        </w:tc>
        <w:tc>
          <w:tcPr>
            <w:tcW w:w="637" w:type="pct"/>
            <w:tcBorders>
              <w:top w:val="nil"/>
              <w:left w:val="nil"/>
              <w:bottom w:val="nil"/>
              <w:right w:val="nil"/>
            </w:tcBorders>
            <w:shd w:val="clear" w:color="auto" w:fill="auto"/>
            <w:noWrap/>
            <w:vAlign w:val="center"/>
            <w:hideMark/>
          </w:tcPr>
          <w:p w14:paraId="0C3F80C1" w14:textId="77777777" w:rsidR="009D74F9" w:rsidRPr="004B2104" w:rsidRDefault="009D74F9" w:rsidP="00BD7FB0">
            <w:pPr>
              <w:spacing w:before="0" w:after="0"/>
              <w:jc w:val="center"/>
              <w:rPr>
                <w:rStyle w:val="BookTitle"/>
              </w:rPr>
            </w:pPr>
            <w:r w:rsidRPr="004B2104">
              <w:rPr>
                <w:rStyle w:val="BookTitle"/>
              </w:rPr>
              <w:t>28.20</w:t>
            </w:r>
          </w:p>
        </w:tc>
        <w:tc>
          <w:tcPr>
            <w:tcW w:w="675" w:type="pct"/>
            <w:tcBorders>
              <w:top w:val="nil"/>
              <w:left w:val="nil"/>
              <w:bottom w:val="nil"/>
              <w:right w:val="single" w:sz="4" w:space="0" w:color="auto"/>
            </w:tcBorders>
            <w:shd w:val="clear" w:color="auto" w:fill="auto"/>
            <w:noWrap/>
            <w:vAlign w:val="center"/>
            <w:hideMark/>
          </w:tcPr>
          <w:p w14:paraId="0C3F80C2" w14:textId="77777777" w:rsidR="009D74F9" w:rsidRPr="004B2104" w:rsidRDefault="009D74F9" w:rsidP="00BD7FB0">
            <w:pPr>
              <w:spacing w:before="0" w:after="0"/>
              <w:jc w:val="center"/>
              <w:rPr>
                <w:rStyle w:val="BookTitle"/>
              </w:rPr>
            </w:pPr>
            <w:r w:rsidRPr="004B2104">
              <w:rPr>
                <w:rStyle w:val="BookTitle"/>
              </w:rPr>
              <w:t>28.40</w:t>
            </w:r>
          </w:p>
        </w:tc>
        <w:tc>
          <w:tcPr>
            <w:tcW w:w="796" w:type="pct"/>
            <w:tcBorders>
              <w:top w:val="nil"/>
              <w:left w:val="nil"/>
              <w:bottom w:val="nil"/>
              <w:right w:val="single" w:sz="4" w:space="0" w:color="auto"/>
            </w:tcBorders>
            <w:shd w:val="clear" w:color="auto" w:fill="auto"/>
            <w:noWrap/>
            <w:vAlign w:val="center"/>
            <w:hideMark/>
          </w:tcPr>
          <w:p w14:paraId="0C3F80C3" w14:textId="77777777" w:rsidR="009D74F9" w:rsidRPr="004B2104" w:rsidRDefault="009D74F9" w:rsidP="00BD7FB0">
            <w:pPr>
              <w:spacing w:before="0" w:after="0"/>
              <w:jc w:val="center"/>
              <w:rPr>
                <w:rStyle w:val="BookTitle"/>
              </w:rPr>
            </w:pPr>
            <w:r w:rsidRPr="004B2104">
              <w:rPr>
                <w:rStyle w:val="BookTitle"/>
              </w:rPr>
              <w:t>27.33</w:t>
            </w:r>
          </w:p>
        </w:tc>
      </w:tr>
      <w:tr w:rsidR="009D74F9" w:rsidRPr="004B2104" w14:paraId="0C3F80CB" w14:textId="77777777" w:rsidTr="009D74F9">
        <w:trPr>
          <w:trHeight w:val="20"/>
        </w:trPr>
        <w:tc>
          <w:tcPr>
            <w:tcW w:w="1484" w:type="pct"/>
            <w:vMerge/>
            <w:tcBorders>
              <w:top w:val="nil"/>
              <w:left w:val="nil"/>
              <w:bottom w:val="single" w:sz="4" w:space="0" w:color="000000"/>
              <w:right w:val="nil"/>
            </w:tcBorders>
            <w:vAlign w:val="center"/>
            <w:hideMark/>
          </w:tcPr>
          <w:p w14:paraId="0C3F80C5"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C6"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0C7" w14:textId="77777777" w:rsidR="009D74F9" w:rsidRPr="004B2104" w:rsidRDefault="009D74F9" w:rsidP="00BD7FB0">
            <w:pPr>
              <w:spacing w:before="0" w:after="0"/>
              <w:jc w:val="center"/>
              <w:rPr>
                <w:rStyle w:val="BookTitle"/>
              </w:rPr>
            </w:pPr>
            <w:r w:rsidRPr="004B2104">
              <w:rPr>
                <w:rStyle w:val="BookTitle"/>
              </w:rPr>
              <w:t>30.75</w:t>
            </w:r>
          </w:p>
        </w:tc>
        <w:tc>
          <w:tcPr>
            <w:tcW w:w="637" w:type="pct"/>
            <w:tcBorders>
              <w:top w:val="nil"/>
              <w:left w:val="nil"/>
              <w:bottom w:val="nil"/>
              <w:right w:val="nil"/>
            </w:tcBorders>
            <w:shd w:val="clear" w:color="auto" w:fill="auto"/>
            <w:noWrap/>
            <w:vAlign w:val="center"/>
            <w:hideMark/>
          </w:tcPr>
          <w:p w14:paraId="0C3F80C8" w14:textId="77777777" w:rsidR="009D74F9" w:rsidRPr="004B2104" w:rsidRDefault="009D74F9" w:rsidP="00BD7FB0">
            <w:pPr>
              <w:spacing w:before="0" w:after="0"/>
              <w:jc w:val="center"/>
              <w:rPr>
                <w:rStyle w:val="BookTitle"/>
              </w:rPr>
            </w:pPr>
            <w:r w:rsidRPr="004B2104">
              <w:rPr>
                <w:rStyle w:val="BookTitle"/>
              </w:rPr>
              <w:t>30.47</w:t>
            </w:r>
          </w:p>
        </w:tc>
        <w:tc>
          <w:tcPr>
            <w:tcW w:w="675" w:type="pct"/>
            <w:tcBorders>
              <w:top w:val="nil"/>
              <w:left w:val="nil"/>
              <w:bottom w:val="nil"/>
              <w:right w:val="single" w:sz="4" w:space="0" w:color="auto"/>
            </w:tcBorders>
            <w:shd w:val="clear" w:color="auto" w:fill="auto"/>
            <w:noWrap/>
            <w:vAlign w:val="center"/>
            <w:hideMark/>
          </w:tcPr>
          <w:p w14:paraId="0C3F80C9" w14:textId="77777777" w:rsidR="009D74F9" w:rsidRPr="004B2104" w:rsidRDefault="009D74F9" w:rsidP="00BD7FB0">
            <w:pPr>
              <w:spacing w:before="0" w:after="0"/>
              <w:jc w:val="center"/>
              <w:rPr>
                <w:rStyle w:val="BookTitle"/>
              </w:rPr>
            </w:pPr>
            <w:r w:rsidRPr="004B2104">
              <w:rPr>
                <w:rStyle w:val="BookTitle"/>
              </w:rPr>
              <w:t>30.79</w:t>
            </w:r>
          </w:p>
        </w:tc>
        <w:tc>
          <w:tcPr>
            <w:tcW w:w="796" w:type="pct"/>
            <w:tcBorders>
              <w:top w:val="nil"/>
              <w:left w:val="nil"/>
              <w:bottom w:val="nil"/>
              <w:right w:val="single" w:sz="4" w:space="0" w:color="auto"/>
            </w:tcBorders>
            <w:shd w:val="clear" w:color="auto" w:fill="auto"/>
            <w:noWrap/>
            <w:vAlign w:val="center"/>
            <w:hideMark/>
          </w:tcPr>
          <w:p w14:paraId="0C3F80CA" w14:textId="77777777" w:rsidR="009D74F9" w:rsidRPr="004B2104" w:rsidRDefault="009D74F9" w:rsidP="00BD7FB0">
            <w:pPr>
              <w:spacing w:before="0" w:after="0"/>
              <w:jc w:val="center"/>
              <w:rPr>
                <w:rStyle w:val="BookTitle"/>
              </w:rPr>
            </w:pPr>
            <w:r w:rsidRPr="004B2104">
              <w:rPr>
                <w:rStyle w:val="BookTitle"/>
              </w:rPr>
              <w:t>28.52</w:t>
            </w:r>
          </w:p>
        </w:tc>
      </w:tr>
      <w:tr w:rsidR="009D74F9" w:rsidRPr="004B2104" w14:paraId="0C3F80D2" w14:textId="77777777" w:rsidTr="009D74F9">
        <w:trPr>
          <w:trHeight w:val="20"/>
        </w:trPr>
        <w:tc>
          <w:tcPr>
            <w:tcW w:w="1484" w:type="pct"/>
            <w:vMerge/>
            <w:tcBorders>
              <w:top w:val="nil"/>
              <w:left w:val="nil"/>
              <w:bottom w:val="single" w:sz="4" w:space="0" w:color="000000"/>
              <w:right w:val="nil"/>
            </w:tcBorders>
            <w:vAlign w:val="center"/>
            <w:hideMark/>
          </w:tcPr>
          <w:p w14:paraId="0C3F80CC"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CD"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0CE" w14:textId="77777777" w:rsidR="009D74F9" w:rsidRPr="004B2104" w:rsidRDefault="009D74F9" w:rsidP="00BD7FB0">
            <w:pPr>
              <w:spacing w:before="0" w:after="0"/>
              <w:jc w:val="center"/>
              <w:rPr>
                <w:rStyle w:val="BookTitle"/>
              </w:rPr>
            </w:pPr>
            <w:r w:rsidRPr="004B2104">
              <w:rPr>
                <w:rStyle w:val="BookTitle"/>
              </w:rPr>
              <w:t>28.08</w:t>
            </w:r>
          </w:p>
        </w:tc>
        <w:tc>
          <w:tcPr>
            <w:tcW w:w="637" w:type="pct"/>
            <w:tcBorders>
              <w:top w:val="nil"/>
              <w:left w:val="nil"/>
              <w:bottom w:val="nil"/>
              <w:right w:val="nil"/>
            </w:tcBorders>
            <w:shd w:val="clear" w:color="auto" w:fill="auto"/>
            <w:noWrap/>
            <w:vAlign w:val="center"/>
            <w:hideMark/>
          </w:tcPr>
          <w:p w14:paraId="0C3F80CF" w14:textId="77777777" w:rsidR="009D74F9" w:rsidRPr="004B2104" w:rsidRDefault="009D74F9" w:rsidP="00BD7FB0">
            <w:pPr>
              <w:spacing w:before="0" w:after="0"/>
              <w:jc w:val="center"/>
              <w:rPr>
                <w:rStyle w:val="BookTitle"/>
              </w:rPr>
            </w:pPr>
            <w:r w:rsidRPr="004B2104">
              <w:rPr>
                <w:rStyle w:val="BookTitle"/>
              </w:rPr>
              <w:t>29.17</w:t>
            </w:r>
          </w:p>
        </w:tc>
        <w:tc>
          <w:tcPr>
            <w:tcW w:w="675" w:type="pct"/>
            <w:tcBorders>
              <w:top w:val="nil"/>
              <w:left w:val="nil"/>
              <w:bottom w:val="nil"/>
              <w:right w:val="single" w:sz="4" w:space="0" w:color="auto"/>
            </w:tcBorders>
            <w:shd w:val="clear" w:color="auto" w:fill="auto"/>
            <w:noWrap/>
            <w:vAlign w:val="center"/>
            <w:hideMark/>
          </w:tcPr>
          <w:p w14:paraId="0C3F80D0" w14:textId="77777777" w:rsidR="009D74F9" w:rsidRPr="004B2104" w:rsidRDefault="009D74F9" w:rsidP="00BD7FB0">
            <w:pPr>
              <w:spacing w:before="0" w:after="0"/>
              <w:jc w:val="center"/>
              <w:rPr>
                <w:rStyle w:val="BookTitle"/>
              </w:rPr>
            </w:pPr>
            <w:r w:rsidRPr="004B2104">
              <w:rPr>
                <w:rStyle w:val="BookTitle"/>
              </w:rPr>
              <w:t>29.39</w:t>
            </w:r>
          </w:p>
        </w:tc>
        <w:tc>
          <w:tcPr>
            <w:tcW w:w="796" w:type="pct"/>
            <w:tcBorders>
              <w:top w:val="nil"/>
              <w:left w:val="nil"/>
              <w:bottom w:val="nil"/>
              <w:right w:val="single" w:sz="4" w:space="0" w:color="auto"/>
            </w:tcBorders>
            <w:shd w:val="clear" w:color="auto" w:fill="auto"/>
            <w:noWrap/>
            <w:vAlign w:val="center"/>
            <w:hideMark/>
          </w:tcPr>
          <w:p w14:paraId="0C3F80D1" w14:textId="77777777" w:rsidR="009D74F9" w:rsidRPr="004B2104" w:rsidRDefault="009D74F9" w:rsidP="00BD7FB0">
            <w:pPr>
              <w:spacing w:before="0" w:after="0"/>
              <w:jc w:val="center"/>
              <w:rPr>
                <w:rStyle w:val="BookTitle"/>
              </w:rPr>
            </w:pPr>
            <w:r w:rsidRPr="004B2104">
              <w:rPr>
                <w:rStyle w:val="BookTitle"/>
              </w:rPr>
              <w:t>27.89</w:t>
            </w:r>
          </w:p>
        </w:tc>
      </w:tr>
      <w:tr w:rsidR="009D74F9" w:rsidRPr="004B2104" w14:paraId="0C3F80D9" w14:textId="77777777" w:rsidTr="009D74F9">
        <w:trPr>
          <w:trHeight w:val="20"/>
        </w:trPr>
        <w:tc>
          <w:tcPr>
            <w:tcW w:w="1484" w:type="pct"/>
            <w:vMerge/>
            <w:tcBorders>
              <w:top w:val="nil"/>
              <w:left w:val="nil"/>
              <w:bottom w:val="single" w:sz="4" w:space="0" w:color="000000"/>
              <w:right w:val="nil"/>
            </w:tcBorders>
            <w:vAlign w:val="center"/>
            <w:hideMark/>
          </w:tcPr>
          <w:p w14:paraId="0C3F80D3"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D4"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0D5" w14:textId="77777777" w:rsidR="009D74F9" w:rsidRPr="004B2104" w:rsidRDefault="009D74F9" w:rsidP="00BD7FB0">
            <w:pPr>
              <w:spacing w:before="0" w:after="0"/>
              <w:jc w:val="center"/>
              <w:rPr>
                <w:rStyle w:val="BookTitle"/>
              </w:rPr>
            </w:pPr>
            <w:r w:rsidRPr="004B2104">
              <w:rPr>
                <w:rStyle w:val="BookTitle"/>
              </w:rPr>
              <w:t>1.38</w:t>
            </w:r>
          </w:p>
        </w:tc>
        <w:tc>
          <w:tcPr>
            <w:tcW w:w="637" w:type="pct"/>
            <w:tcBorders>
              <w:top w:val="nil"/>
              <w:left w:val="nil"/>
              <w:bottom w:val="nil"/>
              <w:right w:val="nil"/>
            </w:tcBorders>
            <w:shd w:val="clear" w:color="auto" w:fill="auto"/>
            <w:noWrap/>
            <w:vAlign w:val="center"/>
            <w:hideMark/>
          </w:tcPr>
          <w:p w14:paraId="0C3F80D6" w14:textId="77777777" w:rsidR="009D74F9" w:rsidRPr="004B2104" w:rsidRDefault="009D74F9" w:rsidP="00BD7FB0">
            <w:pPr>
              <w:spacing w:before="0" w:after="0"/>
              <w:jc w:val="center"/>
              <w:rPr>
                <w:rStyle w:val="BookTitle"/>
              </w:rPr>
            </w:pPr>
            <w:r w:rsidRPr="004B2104">
              <w:rPr>
                <w:rStyle w:val="BookTitle"/>
              </w:rPr>
              <w:t>0.89</w:t>
            </w:r>
          </w:p>
        </w:tc>
        <w:tc>
          <w:tcPr>
            <w:tcW w:w="675" w:type="pct"/>
            <w:tcBorders>
              <w:top w:val="nil"/>
              <w:left w:val="nil"/>
              <w:bottom w:val="nil"/>
              <w:right w:val="single" w:sz="4" w:space="0" w:color="auto"/>
            </w:tcBorders>
            <w:shd w:val="clear" w:color="auto" w:fill="auto"/>
            <w:noWrap/>
            <w:vAlign w:val="center"/>
            <w:hideMark/>
          </w:tcPr>
          <w:p w14:paraId="0C3F80D7" w14:textId="77777777" w:rsidR="009D74F9" w:rsidRPr="004B2104" w:rsidRDefault="009D74F9" w:rsidP="00BD7FB0">
            <w:pPr>
              <w:spacing w:before="0" w:after="0"/>
              <w:jc w:val="center"/>
              <w:rPr>
                <w:rStyle w:val="BookTitle"/>
              </w:rPr>
            </w:pPr>
            <w:r w:rsidRPr="004B2104">
              <w:rPr>
                <w:rStyle w:val="BookTitle"/>
              </w:rPr>
              <w:t>0.70</w:t>
            </w:r>
          </w:p>
        </w:tc>
        <w:tc>
          <w:tcPr>
            <w:tcW w:w="796" w:type="pct"/>
            <w:tcBorders>
              <w:top w:val="nil"/>
              <w:left w:val="nil"/>
              <w:bottom w:val="nil"/>
              <w:right w:val="single" w:sz="4" w:space="0" w:color="auto"/>
            </w:tcBorders>
            <w:shd w:val="clear" w:color="auto" w:fill="auto"/>
            <w:noWrap/>
            <w:vAlign w:val="center"/>
            <w:hideMark/>
          </w:tcPr>
          <w:p w14:paraId="0C3F80D8" w14:textId="77777777" w:rsidR="009D74F9" w:rsidRPr="004B2104" w:rsidRDefault="009D74F9" w:rsidP="00BD7FB0">
            <w:pPr>
              <w:spacing w:before="0" w:after="0"/>
              <w:jc w:val="center"/>
              <w:rPr>
                <w:rStyle w:val="BookTitle"/>
              </w:rPr>
            </w:pPr>
            <w:r w:rsidRPr="004B2104">
              <w:rPr>
                <w:rStyle w:val="BookTitle"/>
              </w:rPr>
              <w:t>0.37</w:t>
            </w:r>
          </w:p>
        </w:tc>
      </w:tr>
      <w:tr w:rsidR="009D74F9" w:rsidRPr="004B2104" w14:paraId="0C3F80E0" w14:textId="77777777" w:rsidTr="009D74F9">
        <w:trPr>
          <w:trHeight w:val="20"/>
        </w:trPr>
        <w:tc>
          <w:tcPr>
            <w:tcW w:w="1484" w:type="pct"/>
            <w:vMerge/>
            <w:tcBorders>
              <w:top w:val="nil"/>
              <w:left w:val="nil"/>
              <w:bottom w:val="single" w:sz="4" w:space="0" w:color="000000"/>
              <w:right w:val="nil"/>
            </w:tcBorders>
            <w:vAlign w:val="center"/>
            <w:hideMark/>
          </w:tcPr>
          <w:p w14:paraId="0C3F80DA"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0DB"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0DC"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0DD"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0DE"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0DF" w14:textId="77777777" w:rsidR="009D74F9" w:rsidRPr="004B2104" w:rsidRDefault="009D74F9" w:rsidP="00BD7FB0">
            <w:pPr>
              <w:spacing w:before="0" w:after="0"/>
              <w:jc w:val="center"/>
              <w:rPr>
                <w:rStyle w:val="BookTitle"/>
              </w:rPr>
            </w:pPr>
            <w:r w:rsidRPr="004B2104">
              <w:rPr>
                <w:rStyle w:val="BookTitle"/>
              </w:rPr>
              <w:t>22</w:t>
            </w:r>
          </w:p>
        </w:tc>
      </w:tr>
      <w:tr w:rsidR="009D74F9" w:rsidRPr="004B2104" w14:paraId="0C3F80E7"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0E1" w14:textId="77777777" w:rsidR="009D74F9" w:rsidRPr="004B2104" w:rsidRDefault="009D74F9" w:rsidP="00BD7FB0">
            <w:pPr>
              <w:spacing w:before="0" w:after="0"/>
              <w:jc w:val="center"/>
              <w:rPr>
                <w:rStyle w:val="BookTitle"/>
              </w:rPr>
            </w:pPr>
            <w:r w:rsidRPr="004B2104">
              <w:rPr>
                <w:rStyle w:val="BookTitle"/>
              </w:rPr>
              <w:t>Salinity</w:t>
            </w:r>
          </w:p>
        </w:tc>
        <w:tc>
          <w:tcPr>
            <w:tcW w:w="456" w:type="pct"/>
            <w:tcBorders>
              <w:top w:val="nil"/>
              <w:left w:val="nil"/>
              <w:bottom w:val="nil"/>
              <w:right w:val="nil"/>
            </w:tcBorders>
            <w:shd w:val="clear" w:color="auto" w:fill="auto"/>
            <w:noWrap/>
            <w:vAlign w:val="center"/>
            <w:hideMark/>
          </w:tcPr>
          <w:p w14:paraId="0C3F80E2"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0E3" w14:textId="77777777" w:rsidR="009D74F9" w:rsidRPr="004B2104" w:rsidRDefault="009D74F9" w:rsidP="00BD7FB0">
            <w:pPr>
              <w:spacing w:before="0" w:after="0"/>
              <w:jc w:val="center"/>
              <w:rPr>
                <w:rStyle w:val="BookTitle"/>
              </w:rPr>
            </w:pPr>
            <w:r w:rsidRPr="004B2104">
              <w:rPr>
                <w:rStyle w:val="BookTitle"/>
              </w:rPr>
              <w:t>9.56</w:t>
            </w:r>
          </w:p>
        </w:tc>
        <w:tc>
          <w:tcPr>
            <w:tcW w:w="637" w:type="pct"/>
            <w:tcBorders>
              <w:top w:val="nil"/>
              <w:left w:val="nil"/>
              <w:bottom w:val="nil"/>
              <w:right w:val="nil"/>
            </w:tcBorders>
            <w:shd w:val="clear" w:color="auto" w:fill="auto"/>
            <w:noWrap/>
            <w:vAlign w:val="center"/>
            <w:hideMark/>
          </w:tcPr>
          <w:p w14:paraId="0C3F80E4" w14:textId="77777777" w:rsidR="009D74F9" w:rsidRPr="004B2104" w:rsidRDefault="009D74F9" w:rsidP="00BD7FB0">
            <w:pPr>
              <w:spacing w:before="0" w:after="0"/>
              <w:jc w:val="center"/>
              <w:rPr>
                <w:rStyle w:val="BookTitle"/>
              </w:rPr>
            </w:pPr>
            <w:r w:rsidRPr="004B2104">
              <w:rPr>
                <w:rStyle w:val="BookTitle"/>
              </w:rPr>
              <w:t>29.44</w:t>
            </w:r>
          </w:p>
        </w:tc>
        <w:tc>
          <w:tcPr>
            <w:tcW w:w="675" w:type="pct"/>
            <w:tcBorders>
              <w:top w:val="nil"/>
              <w:left w:val="nil"/>
              <w:bottom w:val="nil"/>
              <w:right w:val="single" w:sz="4" w:space="0" w:color="auto"/>
            </w:tcBorders>
            <w:shd w:val="clear" w:color="auto" w:fill="auto"/>
            <w:noWrap/>
            <w:vAlign w:val="center"/>
            <w:hideMark/>
          </w:tcPr>
          <w:p w14:paraId="0C3F80E5" w14:textId="77777777" w:rsidR="009D74F9" w:rsidRPr="004B2104" w:rsidRDefault="009D74F9" w:rsidP="00BD7FB0">
            <w:pPr>
              <w:spacing w:before="0" w:after="0"/>
              <w:jc w:val="center"/>
              <w:rPr>
                <w:rStyle w:val="BookTitle"/>
              </w:rPr>
            </w:pPr>
            <w:r w:rsidRPr="004B2104">
              <w:rPr>
                <w:rStyle w:val="BookTitle"/>
              </w:rPr>
              <w:t>3.12</w:t>
            </w:r>
          </w:p>
        </w:tc>
        <w:tc>
          <w:tcPr>
            <w:tcW w:w="796" w:type="pct"/>
            <w:tcBorders>
              <w:top w:val="nil"/>
              <w:left w:val="nil"/>
              <w:bottom w:val="nil"/>
              <w:right w:val="single" w:sz="4" w:space="0" w:color="auto"/>
            </w:tcBorders>
            <w:shd w:val="clear" w:color="auto" w:fill="auto"/>
            <w:noWrap/>
            <w:vAlign w:val="center"/>
            <w:hideMark/>
          </w:tcPr>
          <w:p w14:paraId="0C3F80E6" w14:textId="77777777" w:rsidR="009D74F9" w:rsidRPr="004B2104" w:rsidRDefault="009D74F9" w:rsidP="00BD7FB0">
            <w:pPr>
              <w:spacing w:before="0" w:after="0"/>
              <w:jc w:val="center"/>
              <w:rPr>
                <w:rStyle w:val="BookTitle"/>
              </w:rPr>
            </w:pPr>
            <w:r w:rsidRPr="004B2104">
              <w:rPr>
                <w:rStyle w:val="BookTitle"/>
              </w:rPr>
              <w:t>21.55</w:t>
            </w:r>
          </w:p>
        </w:tc>
      </w:tr>
      <w:tr w:rsidR="009D74F9" w:rsidRPr="004B2104" w14:paraId="0C3F80EE" w14:textId="77777777" w:rsidTr="009D74F9">
        <w:trPr>
          <w:trHeight w:val="20"/>
        </w:trPr>
        <w:tc>
          <w:tcPr>
            <w:tcW w:w="1484" w:type="pct"/>
            <w:vMerge/>
            <w:tcBorders>
              <w:top w:val="nil"/>
              <w:left w:val="nil"/>
              <w:bottom w:val="single" w:sz="4" w:space="0" w:color="000000"/>
              <w:right w:val="nil"/>
            </w:tcBorders>
            <w:vAlign w:val="center"/>
            <w:hideMark/>
          </w:tcPr>
          <w:p w14:paraId="0C3F80E8"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E9"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0EA" w14:textId="77777777" w:rsidR="009D74F9" w:rsidRPr="004B2104" w:rsidRDefault="009D74F9" w:rsidP="00BD7FB0">
            <w:pPr>
              <w:spacing w:before="0" w:after="0"/>
              <w:jc w:val="center"/>
              <w:rPr>
                <w:rStyle w:val="BookTitle"/>
              </w:rPr>
            </w:pPr>
            <w:r w:rsidRPr="004B2104">
              <w:rPr>
                <w:rStyle w:val="BookTitle"/>
              </w:rPr>
              <w:t>35.37</w:t>
            </w:r>
          </w:p>
        </w:tc>
        <w:tc>
          <w:tcPr>
            <w:tcW w:w="637" w:type="pct"/>
            <w:tcBorders>
              <w:top w:val="nil"/>
              <w:left w:val="nil"/>
              <w:bottom w:val="nil"/>
              <w:right w:val="nil"/>
            </w:tcBorders>
            <w:shd w:val="clear" w:color="auto" w:fill="auto"/>
            <w:noWrap/>
            <w:vAlign w:val="center"/>
            <w:hideMark/>
          </w:tcPr>
          <w:p w14:paraId="0C3F80EB" w14:textId="77777777" w:rsidR="009D74F9" w:rsidRPr="004B2104" w:rsidRDefault="009D74F9" w:rsidP="00BD7FB0">
            <w:pPr>
              <w:spacing w:before="0" w:after="0"/>
              <w:jc w:val="center"/>
              <w:rPr>
                <w:rStyle w:val="BookTitle"/>
              </w:rPr>
            </w:pPr>
            <w:r w:rsidRPr="004B2104">
              <w:rPr>
                <w:rStyle w:val="BookTitle"/>
              </w:rPr>
              <w:t>35.64</w:t>
            </w:r>
          </w:p>
        </w:tc>
        <w:tc>
          <w:tcPr>
            <w:tcW w:w="675" w:type="pct"/>
            <w:tcBorders>
              <w:top w:val="nil"/>
              <w:left w:val="nil"/>
              <w:bottom w:val="nil"/>
              <w:right w:val="single" w:sz="4" w:space="0" w:color="auto"/>
            </w:tcBorders>
            <w:shd w:val="clear" w:color="auto" w:fill="auto"/>
            <w:noWrap/>
            <w:vAlign w:val="center"/>
            <w:hideMark/>
          </w:tcPr>
          <w:p w14:paraId="0C3F80EC" w14:textId="77777777" w:rsidR="009D74F9" w:rsidRPr="004B2104" w:rsidRDefault="009D74F9" w:rsidP="00BD7FB0">
            <w:pPr>
              <w:spacing w:before="0" w:after="0"/>
              <w:jc w:val="center"/>
              <w:rPr>
                <w:rStyle w:val="BookTitle"/>
              </w:rPr>
            </w:pPr>
            <w:r w:rsidRPr="004B2104">
              <w:rPr>
                <w:rStyle w:val="BookTitle"/>
              </w:rPr>
              <w:t>35.73</w:t>
            </w:r>
          </w:p>
        </w:tc>
        <w:tc>
          <w:tcPr>
            <w:tcW w:w="796" w:type="pct"/>
            <w:tcBorders>
              <w:top w:val="nil"/>
              <w:left w:val="nil"/>
              <w:bottom w:val="nil"/>
              <w:right w:val="single" w:sz="4" w:space="0" w:color="auto"/>
            </w:tcBorders>
            <w:shd w:val="clear" w:color="auto" w:fill="auto"/>
            <w:noWrap/>
            <w:vAlign w:val="center"/>
            <w:hideMark/>
          </w:tcPr>
          <w:p w14:paraId="0C3F80ED" w14:textId="77777777" w:rsidR="009D74F9" w:rsidRPr="004B2104" w:rsidRDefault="009D74F9" w:rsidP="00BD7FB0">
            <w:pPr>
              <w:spacing w:before="0" w:after="0"/>
              <w:jc w:val="center"/>
              <w:rPr>
                <w:rStyle w:val="BookTitle"/>
              </w:rPr>
            </w:pPr>
            <w:r w:rsidRPr="004B2104">
              <w:rPr>
                <w:rStyle w:val="BookTitle"/>
              </w:rPr>
              <w:t>34.04</w:t>
            </w:r>
          </w:p>
        </w:tc>
      </w:tr>
      <w:tr w:rsidR="009D74F9" w:rsidRPr="004B2104" w14:paraId="0C3F80F5" w14:textId="77777777" w:rsidTr="009D74F9">
        <w:trPr>
          <w:trHeight w:val="20"/>
        </w:trPr>
        <w:tc>
          <w:tcPr>
            <w:tcW w:w="1484" w:type="pct"/>
            <w:vMerge/>
            <w:tcBorders>
              <w:top w:val="nil"/>
              <w:left w:val="nil"/>
              <w:bottom w:val="single" w:sz="4" w:space="0" w:color="000000"/>
              <w:right w:val="nil"/>
            </w:tcBorders>
            <w:vAlign w:val="center"/>
            <w:hideMark/>
          </w:tcPr>
          <w:p w14:paraId="0C3F80EF"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F0"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0F1" w14:textId="77777777" w:rsidR="009D74F9" w:rsidRPr="004B2104" w:rsidRDefault="009D74F9" w:rsidP="00BD7FB0">
            <w:pPr>
              <w:spacing w:before="0" w:after="0"/>
              <w:jc w:val="center"/>
              <w:rPr>
                <w:rStyle w:val="BookTitle"/>
              </w:rPr>
            </w:pPr>
            <w:r w:rsidRPr="004B2104">
              <w:rPr>
                <w:rStyle w:val="BookTitle"/>
              </w:rPr>
              <w:t>30.56</w:t>
            </w:r>
          </w:p>
        </w:tc>
        <w:tc>
          <w:tcPr>
            <w:tcW w:w="637" w:type="pct"/>
            <w:tcBorders>
              <w:top w:val="nil"/>
              <w:left w:val="nil"/>
              <w:bottom w:val="nil"/>
              <w:right w:val="nil"/>
            </w:tcBorders>
            <w:shd w:val="clear" w:color="auto" w:fill="auto"/>
            <w:noWrap/>
            <w:vAlign w:val="center"/>
            <w:hideMark/>
          </w:tcPr>
          <w:p w14:paraId="0C3F80F2" w14:textId="77777777" w:rsidR="009D74F9" w:rsidRPr="004B2104" w:rsidRDefault="009D74F9" w:rsidP="00BD7FB0">
            <w:pPr>
              <w:spacing w:before="0" w:after="0"/>
              <w:jc w:val="center"/>
              <w:rPr>
                <w:rStyle w:val="BookTitle"/>
              </w:rPr>
            </w:pPr>
            <w:r w:rsidRPr="004B2104">
              <w:rPr>
                <w:rStyle w:val="BookTitle"/>
              </w:rPr>
              <w:t>33.50</w:t>
            </w:r>
          </w:p>
        </w:tc>
        <w:tc>
          <w:tcPr>
            <w:tcW w:w="675" w:type="pct"/>
            <w:tcBorders>
              <w:top w:val="nil"/>
              <w:left w:val="nil"/>
              <w:bottom w:val="nil"/>
              <w:right w:val="single" w:sz="4" w:space="0" w:color="auto"/>
            </w:tcBorders>
            <w:shd w:val="clear" w:color="auto" w:fill="auto"/>
            <w:noWrap/>
            <w:vAlign w:val="center"/>
            <w:hideMark/>
          </w:tcPr>
          <w:p w14:paraId="0C3F80F3" w14:textId="77777777" w:rsidR="009D74F9" w:rsidRPr="004B2104" w:rsidRDefault="009D74F9" w:rsidP="00BD7FB0">
            <w:pPr>
              <w:spacing w:before="0" w:after="0"/>
              <w:jc w:val="center"/>
              <w:rPr>
                <w:rStyle w:val="BookTitle"/>
              </w:rPr>
            </w:pPr>
            <w:r w:rsidRPr="004B2104">
              <w:rPr>
                <w:rStyle w:val="BookTitle"/>
              </w:rPr>
              <w:t>30.54</w:t>
            </w:r>
          </w:p>
        </w:tc>
        <w:tc>
          <w:tcPr>
            <w:tcW w:w="796" w:type="pct"/>
            <w:tcBorders>
              <w:top w:val="nil"/>
              <w:left w:val="nil"/>
              <w:bottom w:val="nil"/>
              <w:right w:val="single" w:sz="4" w:space="0" w:color="auto"/>
            </w:tcBorders>
            <w:shd w:val="clear" w:color="auto" w:fill="auto"/>
            <w:noWrap/>
            <w:vAlign w:val="center"/>
            <w:hideMark/>
          </w:tcPr>
          <w:p w14:paraId="0C3F80F4" w14:textId="77777777" w:rsidR="009D74F9" w:rsidRPr="004B2104" w:rsidRDefault="009D74F9" w:rsidP="00BD7FB0">
            <w:pPr>
              <w:spacing w:before="0" w:after="0"/>
              <w:jc w:val="center"/>
              <w:rPr>
                <w:rStyle w:val="BookTitle"/>
              </w:rPr>
            </w:pPr>
            <w:r w:rsidRPr="004B2104">
              <w:rPr>
                <w:rStyle w:val="BookTitle"/>
              </w:rPr>
              <w:t>32.60</w:t>
            </w:r>
          </w:p>
        </w:tc>
      </w:tr>
      <w:tr w:rsidR="009D74F9" w:rsidRPr="004B2104" w14:paraId="0C3F80FC" w14:textId="77777777" w:rsidTr="009D74F9">
        <w:trPr>
          <w:trHeight w:val="20"/>
        </w:trPr>
        <w:tc>
          <w:tcPr>
            <w:tcW w:w="1484" w:type="pct"/>
            <w:vMerge/>
            <w:tcBorders>
              <w:top w:val="nil"/>
              <w:left w:val="nil"/>
              <w:bottom w:val="single" w:sz="4" w:space="0" w:color="000000"/>
              <w:right w:val="nil"/>
            </w:tcBorders>
            <w:vAlign w:val="center"/>
            <w:hideMark/>
          </w:tcPr>
          <w:p w14:paraId="0C3F80F6"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0F7"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0F8" w14:textId="77777777" w:rsidR="009D74F9" w:rsidRPr="004B2104" w:rsidRDefault="009D74F9" w:rsidP="00BD7FB0">
            <w:pPr>
              <w:spacing w:before="0" w:after="0"/>
              <w:jc w:val="center"/>
              <w:rPr>
                <w:rStyle w:val="BookTitle"/>
              </w:rPr>
            </w:pPr>
            <w:r w:rsidRPr="004B2104">
              <w:rPr>
                <w:rStyle w:val="BookTitle"/>
              </w:rPr>
              <w:t>6.11</w:t>
            </w:r>
          </w:p>
        </w:tc>
        <w:tc>
          <w:tcPr>
            <w:tcW w:w="637" w:type="pct"/>
            <w:tcBorders>
              <w:top w:val="nil"/>
              <w:left w:val="nil"/>
              <w:bottom w:val="nil"/>
              <w:right w:val="nil"/>
            </w:tcBorders>
            <w:shd w:val="clear" w:color="auto" w:fill="auto"/>
            <w:noWrap/>
            <w:vAlign w:val="center"/>
            <w:hideMark/>
          </w:tcPr>
          <w:p w14:paraId="0C3F80F9" w14:textId="77777777" w:rsidR="009D74F9" w:rsidRPr="004B2104" w:rsidRDefault="009D74F9" w:rsidP="00BD7FB0">
            <w:pPr>
              <w:spacing w:before="0" w:after="0"/>
              <w:jc w:val="center"/>
              <w:rPr>
                <w:rStyle w:val="BookTitle"/>
              </w:rPr>
            </w:pPr>
            <w:r w:rsidRPr="004B2104">
              <w:rPr>
                <w:rStyle w:val="BookTitle"/>
              </w:rPr>
              <w:t>2.03</w:t>
            </w:r>
          </w:p>
        </w:tc>
        <w:tc>
          <w:tcPr>
            <w:tcW w:w="675" w:type="pct"/>
            <w:tcBorders>
              <w:top w:val="nil"/>
              <w:left w:val="nil"/>
              <w:bottom w:val="nil"/>
              <w:right w:val="single" w:sz="4" w:space="0" w:color="auto"/>
            </w:tcBorders>
            <w:shd w:val="clear" w:color="auto" w:fill="auto"/>
            <w:noWrap/>
            <w:vAlign w:val="center"/>
            <w:hideMark/>
          </w:tcPr>
          <w:p w14:paraId="0C3F80FA" w14:textId="77777777" w:rsidR="009D74F9" w:rsidRPr="004B2104" w:rsidRDefault="009D74F9" w:rsidP="00BD7FB0">
            <w:pPr>
              <w:spacing w:before="0" w:after="0"/>
              <w:jc w:val="center"/>
              <w:rPr>
                <w:rStyle w:val="BookTitle"/>
              </w:rPr>
            </w:pPr>
            <w:r w:rsidRPr="004B2104">
              <w:rPr>
                <w:rStyle w:val="BookTitle"/>
              </w:rPr>
              <w:t>8.74</w:t>
            </w:r>
          </w:p>
        </w:tc>
        <w:tc>
          <w:tcPr>
            <w:tcW w:w="796" w:type="pct"/>
            <w:tcBorders>
              <w:top w:val="nil"/>
              <w:left w:val="nil"/>
              <w:bottom w:val="nil"/>
              <w:right w:val="single" w:sz="4" w:space="0" w:color="auto"/>
            </w:tcBorders>
            <w:shd w:val="clear" w:color="auto" w:fill="auto"/>
            <w:noWrap/>
            <w:vAlign w:val="center"/>
            <w:hideMark/>
          </w:tcPr>
          <w:p w14:paraId="0C3F80FB" w14:textId="77777777" w:rsidR="009D74F9" w:rsidRPr="004B2104" w:rsidRDefault="009D74F9" w:rsidP="00BD7FB0">
            <w:pPr>
              <w:spacing w:before="0" w:after="0"/>
              <w:jc w:val="center"/>
              <w:rPr>
                <w:rStyle w:val="BookTitle"/>
              </w:rPr>
            </w:pPr>
            <w:r w:rsidRPr="004B2104">
              <w:rPr>
                <w:rStyle w:val="BookTitle"/>
              </w:rPr>
              <w:t>3.16</w:t>
            </w:r>
          </w:p>
        </w:tc>
      </w:tr>
      <w:tr w:rsidR="009D74F9" w:rsidRPr="004B2104" w14:paraId="0C3F8103" w14:textId="77777777" w:rsidTr="009D74F9">
        <w:trPr>
          <w:trHeight w:val="20"/>
        </w:trPr>
        <w:tc>
          <w:tcPr>
            <w:tcW w:w="1484" w:type="pct"/>
            <w:vMerge/>
            <w:tcBorders>
              <w:top w:val="nil"/>
              <w:left w:val="nil"/>
              <w:bottom w:val="single" w:sz="4" w:space="0" w:color="000000"/>
              <w:right w:val="nil"/>
            </w:tcBorders>
            <w:vAlign w:val="center"/>
            <w:hideMark/>
          </w:tcPr>
          <w:p w14:paraId="0C3F80FD"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0FE"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0FF"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100"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01"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102"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0A"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04" w14:textId="77777777" w:rsidR="009D74F9" w:rsidRPr="004B2104" w:rsidRDefault="009D74F9" w:rsidP="00BD7FB0">
            <w:pPr>
              <w:spacing w:before="0" w:after="0"/>
              <w:jc w:val="center"/>
              <w:rPr>
                <w:rStyle w:val="BookTitle"/>
              </w:rPr>
            </w:pPr>
            <w:r w:rsidRPr="004B2104">
              <w:rPr>
                <w:rStyle w:val="BookTitle"/>
              </w:rPr>
              <w:t>Underwater Light Extinction Coefficient (/m)</w:t>
            </w:r>
          </w:p>
        </w:tc>
        <w:tc>
          <w:tcPr>
            <w:tcW w:w="456" w:type="pct"/>
            <w:tcBorders>
              <w:top w:val="nil"/>
              <w:left w:val="nil"/>
              <w:bottom w:val="nil"/>
              <w:right w:val="nil"/>
            </w:tcBorders>
            <w:shd w:val="clear" w:color="auto" w:fill="auto"/>
            <w:noWrap/>
            <w:vAlign w:val="center"/>
            <w:hideMark/>
          </w:tcPr>
          <w:p w14:paraId="0C3F8105"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06" w14:textId="77777777" w:rsidR="009D74F9" w:rsidRPr="004B2104" w:rsidRDefault="009D74F9" w:rsidP="00BD7FB0">
            <w:pPr>
              <w:spacing w:before="0" w:after="0"/>
              <w:jc w:val="center"/>
              <w:rPr>
                <w:rStyle w:val="BookTitle"/>
              </w:rPr>
            </w:pPr>
            <w:r w:rsidRPr="004B2104">
              <w:rPr>
                <w:rStyle w:val="BookTitle"/>
              </w:rPr>
              <w:t>0.04</w:t>
            </w:r>
          </w:p>
        </w:tc>
        <w:tc>
          <w:tcPr>
            <w:tcW w:w="637" w:type="pct"/>
            <w:tcBorders>
              <w:top w:val="nil"/>
              <w:left w:val="nil"/>
              <w:bottom w:val="nil"/>
              <w:right w:val="nil"/>
            </w:tcBorders>
            <w:shd w:val="clear" w:color="auto" w:fill="auto"/>
            <w:noWrap/>
            <w:vAlign w:val="center"/>
            <w:hideMark/>
          </w:tcPr>
          <w:p w14:paraId="0C3F8107" w14:textId="77777777" w:rsidR="009D74F9" w:rsidRPr="004B2104" w:rsidRDefault="009D74F9" w:rsidP="00BD7FB0">
            <w:pPr>
              <w:spacing w:before="0" w:after="0"/>
              <w:jc w:val="center"/>
              <w:rPr>
                <w:rStyle w:val="BookTitle"/>
              </w:rPr>
            </w:pPr>
            <w:r w:rsidRPr="004B2104">
              <w:rPr>
                <w:rStyle w:val="BookTitle"/>
              </w:rPr>
              <w:t>0.12</w:t>
            </w:r>
          </w:p>
        </w:tc>
        <w:tc>
          <w:tcPr>
            <w:tcW w:w="675" w:type="pct"/>
            <w:tcBorders>
              <w:top w:val="nil"/>
              <w:left w:val="nil"/>
              <w:bottom w:val="nil"/>
              <w:right w:val="single" w:sz="4" w:space="0" w:color="auto"/>
            </w:tcBorders>
            <w:shd w:val="clear" w:color="auto" w:fill="auto"/>
            <w:noWrap/>
            <w:vAlign w:val="center"/>
            <w:hideMark/>
          </w:tcPr>
          <w:p w14:paraId="0C3F8108" w14:textId="77777777" w:rsidR="009D74F9" w:rsidRPr="004B2104" w:rsidRDefault="009D74F9" w:rsidP="00BD7FB0">
            <w:pPr>
              <w:spacing w:before="0" w:after="0"/>
              <w:jc w:val="center"/>
              <w:rPr>
                <w:rStyle w:val="BookTitle"/>
              </w:rPr>
            </w:pPr>
            <w:r w:rsidRPr="004B2104">
              <w:rPr>
                <w:rStyle w:val="BookTitle"/>
              </w:rPr>
              <w:t>0.18</w:t>
            </w:r>
          </w:p>
        </w:tc>
        <w:tc>
          <w:tcPr>
            <w:tcW w:w="796" w:type="pct"/>
            <w:tcBorders>
              <w:top w:val="nil"/>
              <w:left w:val="nil"/>
              <w:bottom w:val="nil"/>
              <w:right w:val="single" w:sz="4" w:space="0" w:color="auto"/>
            </w:tcBorders>
            <w:shd w:val="clear" w:color="auto" w:fill="auto"/>
            <w:noWrap/>
            <w:vAlign w:val="center"/>
            <w:hideMark/>
          </w:tcPr>
          <w:p w14:paraId="0C3F8109" w14:textId="77777777" w:rsidR="009D74F9" w:rsidRPr="004B2104" w:rsidRDefault="009D74F9" w:rsidP="00BD7FB0">
            <w:pPr>
              <w:spacing w:before="0" w:after="0"/>
              <w:jc w:val="center"/>
              <w:rPr>
                <w:rStyle w:val="BookTitle"/>
              </w:rPr>
            </w:pPr>
            <w:r w:rsidRPr="004B2104">
              <w:rPr>
                <w:rStyle w:val="BookTitle"/>
              </w:rPr>
              <w:t>0.03</w:t>
            </w:r>
          </w:p>
        </w:tc>
      </w:tr>
      <w:tr w:rsidR="009D74F9" w:rsidRPr="004B2104" w14:paraId="0C3F8111" w14:textId="77777777" w:rsidTr="009D74F9">
        <w:trPr>
          <w:trHeight w:val="20"/>
        </w:trPr>
        <w:tc>
          <w:tcPr>
            <w:tcW w:w="1484" w:type="pct"/>
            <w:vMerge/>
            <w:tcBorders>
              <w:top w:val="nil"/>
              <w:left w:val="nil"/>
              <w:bottom w:val="single" w:sz="4" w:space="0" w:color="000000"/>
              <w:right w:val="nil"/>
            </w:tcBorders>
            <w:vAlign w:val="center"/>
            <w:hideMark/>
          </w:tcPr>
          <w:p w14:paraId="0C3F810B"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0C"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0D" w14:textId="77777777" w:rsidR="009D74F9" w:rsidRPr="004B2104" w:rsidRDefault="009D74F9" w:rsidP="00BD7FB0">
            <w:pPr>
              <w:spacing w:before="0" w:after="0"/>
              <w:jc w:val="center"/>
              <w:rPr>
                <w:rStyle w:val="BookTitle"/>
              </w:rPr>
            </w:pPr>
            <w:r w:rsidRPr="004B2104">
              <w:rPr>
                <w:rStyle w:val="BookTitle"/>
              </w:rPr>
              <w:t>1.26</w:t>
            </w:r>
          </w:p>
        </w:tc>
        <w:tc>
          <w:tcPr>
            <w:tcW w:w="637" w:type="pct"/>
            <w:tcBorders>
              <w:top w:val="nil"/>
              <w:left w:val="nil"/>
              <w:bottom w:val="nil"/>
              <w:right w:val="nil"/>
            </w:tcBorders>
            <w:shd w:val="clear" w:color="auto" w:fill="auto"/>
            <w:noWrap/>
            <w:vAlign w:val="center"/>
            <w:hideMark/>
          </w:tcPr>
          <w:p w14:paraId="0C3F810E" w14:textId="77777777" w:rsidR="009D74F9" w:rsidRPr="004B2104" w:rsidRDefault="009D74F9" w:rsidP="00BD7FB0">
            <w:pPr>
              <w:spacing w:before="0" w:after="0"/>
              <w:jc w:val="center"/>
              <w:rPr>
                <w:rStyle w:val="BookTitle"/>
              </w:rPr>
            </w:pPr>
            <w:r w:rsidRPr="004B2104">
              <w:rPr>
                <w:rStyle w:val="BookTitle"/>
              </w:rPr>
              <w:t>0.90</w:t>
            </w:r>
          </w:p>
        </w:tc>
        <w:tc>
          <w:tcPr>
            <w:tcW w:w="675" w:type="pct"/>
            <w:tcBorders>
              <w:top w:val="nil"/>
              <w:left w:val="nil"/>
              <w:bottom w:val="nil"/>
              <w:right w:val="single" w:sz="4" w:space="0" w:color="auto"/>
            </w:tcBorders>
            <w:shd w:val="clear" w:color="auto" w:fill="auto"/>
            <w:noWrap/>
            <w:vAlign w:val="center"/>
            <w:hideMark/>
          </w:tcPr>
          <w:p w14:paraId="0C3F810F" w14:textId="77777777" w:rsidR="009D74F9" w:rsidRPr="004B2104" w:rsidRDefault="009D74F9" w:rsidP="00BD7FB0">
            <w:pPr>
              <w:spacing w:before="0" w:after="0"/>
              <w:jc w:val="center"/>
              <w:rPr>
                <w:rStyle w:val="BookTitle"/>
              </w:rPr>
            </w:pPr>
            <w:r w:rsidRPr="004B2104">
              <w:rPr>
                <w:rStyle w:val="BookTitle"/>
              </w:rPr>
              <w:t>0.92</w:t>
            </w:r>
          </w:p>
        </w:tc>
        <w:tc>
          <w:tcPr>
            <w:tcW w:w="796" w:type="pct"/>
            <w:tcBorders>
              <w:top w:val="nil"/>
              <w:left w:val="nil"/>
              <w:bottom w:val="nil"/>
              <w:right w:val="single" w:sz="4" w:space="0" w:color="auto"/>
            </w:tcBorders>
            <w:shd w:val="clear" w:color="auto" w:fill="auto"/>
            <w:noWrap/>
            <w:vAlign w:val="center"/>
            <w:hideMark/>
          </w:tcPr>
          <w:p w14:paraId="0C3F8110" w14:textId="77777777" w:rsidR="009D74F9" w:rsidRPr="004B2104" w:rsidRDefault="009D74F9" w:rsidP="00BD7FB0">
            <w:pPr>
              <w:spacing w:before="0" w:after="0"/>
              <w:jc w:val="center"/>
              <w:rPr>
                <w:rStyle w:val="BookTitle"/>
              </w:rPr>
            </w:pPr>
            <w:r w:rsidRPr="004B2104">
              <w:rPr>
                <w:rStyle w:val="BookTitle"/>
              </w:rPr>
              <w:t>0.78</w:t>
            </w:r>
          </w:p>
        </w:tc>
      </w:tr>
      <w:tr w:rsidR="009D74F9" w:rsidRPr="004B2104" w14:paraId="0C3F8118" w14:textId="77777777" w:rsidTr="009D74F9">
        <w:trPr>
          <w:trHeight w:val="20"/>
        </w:trPr>
        <w:tc>
          <w:tcPr>
            <w:tcW w:w="1484" w:type="pct"/>
            <w:vMerge/>
            <w:tcBorders>
              <w:top w:val="nil"/>
              <w:left w:val="nil"/>
              <w:bottom w:val="single" w:sz="4" w:space="0" w:color="000000"/>
              <w:right w:val="nil"/>
            </w:tcBorders>
            <w:vAlign w:val="center"/>
            <w:hideMark/>
          </w:tcPr>
          <w:p w14:paraId="0C3F8112"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13"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14" w14:textId="77777777" w:rsidR="009D74F9" w:rsidRPr="004B2104" w:rsidRDefault="009D74F9" w:rsidP="00BD7FB0">
            <w:pPr>
              <w:spacing w:before="0" w:after="0"/>
              <w:jc w:val="center"/>
              <w:rPr>
                <w:rStyle w:val="BookTitle"/>
              </w:rPr>
            </w:pPr>
            <w:r w:rsidRPr="004B2104">
              <w:rPr>
                <w:rStyle w:val="BookTitle"/>
              </w:rPr>
              <w:t>0.36</w:t>
            </w:r>
          </w:p>
        </w:tc>
        <w:tc>
          <w:tcPr>
            <w:tcW w:w="637" w:type="pct"/>
            <w:tcBorders>
              <w:top w:val="nil"/>
              <w:left w:val="nil"/>
              <w:bottom w:val="nil"/>
              <w:right w:val="nil"/>
            </w:tcBorders>
            <w:shd w:val="clear" w:color="auto" w:fill="auto"/>
            <w:noWrap/>
            <w:vAlign w:val="center"/>
            <w:hideMark/>
          </w:tcPr>
          <w:p w14:paraId="0C3F8115" w14:textId="77777777" w:rsidR="009D74F9" w:rsidRPr="004B2104" w:rsidRDefault="009D74F9" w:rsidP="00BD7FB0">
            <w:pPr>
              <w:spacing w:before="0" w:after="0"/>
              <w:jc w:val="center"/>
              <w:rPr>
                <w:rStyle w:val="BookTitle"/>
              </w:rPr>
            </w:pPr>
            <w:r w:rsidRPr="004B2104">
              <w:rPr>
                <w:rStyle w:val="BookTitle"/>
              </w:rPr>
              <w:t>0.41</w:t>
            </w:r>
          </w:p>
        </w:tc>
        <w:tc>
          <w:tcPr>
            <w:tcW w:w="675" w:type="pct"/>
            <w:tcBorders>
              <w:top w:val="nil"/>
              <w:left w:val="nil"/>
              <w:bottom w:val="nil"/>
              <w:right w:val="single" w:sz="4" w:space="0" w:color="auto"/>
            </w:tcBorders>
            <w:shd w:val="clear" w:color="auto" w:fill="auto"/>
            <w:noWrap/>
            <w:vAlign w:val="center"/>
            <w:hideMark/>
          </w:tcPr>
          <w:p w14:paraId="0C3F8116" w14:textId="77777777" w:rsidR="009D74F9" w:rsidRPr="004B2104" w:rsidRDefault="009D74F9" w:rsidP="00BD7FB0">
            <w:pPr>
              <w:spacing w:before="0" w:after="0"/>
              <w:jc w:val="center"/>
              <w:rPr>
                <w:rStyle w:val="BookTitle"/>
              </w:rPr>
            </w:pPr>
            <w:r w:rsidRPr="004B2104">
              <w:rPr>
                <w:rStyle w:val="BookTitle"/>
              </w:rPr>
              <w:t>0.48</w:t>
            </w:r>
          </w:p>
        </w:tc>
        <w:tc>
          <w:tcPr>
            <w:tcW w:w="796" w:type="pct"/>
            <w:tcBorders>
              <w:top w:val="nil"/>
              <w:left w:val="nil"/>
              <w:bottom w:val="nil"/>
              <w:right w:val="single" w:sz="4" w:space="0" w:color="auto"/>
            </w:tcBorders>
            <w:shd w:val="clear" w:color="auto" w:fill="auto"/>
            <w:noWrap/>
            <w:vAlign w:val="center"/>
            <w:hideMark/>
          </w:tcPr>
          <w:p w14:paraId="0C3F8117" w14:textId="77777777" w:rsidR="009D74F9" w:rsidRPr="004B2104" w:rsidRDefault="009D74F9" w:rsidP="00BD7FB0">
            <w:pPr>
              <w:spacing w:before="0" w:after="0"/>
              <w:jc w:val="center"/>
              <w:rPr>
                <w:rStyle w:val="BookTitle"/>
              </w:rPr>
            </w:pPr>
            <w:r w:rsidRPr="004B2104">
              <w:rPr>
                <w:rStyle w:val="BookTitle"/>
              </w:rPr>
              <w:t>0.35</w:t>
            </w:r>
          </w:p>
        </w:tc>
      </w:tr>
      <w:tr w:rsidR="009D74F9" w:rsidRPr="004B2104" w14:paraId="0C3F811F" w14:textId="77777777" w:rsidTr="009D74F9">
        <w:trPr>
          <w:trHeight w:val="20"/>
        </w:trPr>
        <w:tc>
          <w:tcPr>
            <w:tcW w:w="1484" w:type="pct"/>
            <w:vMerge/>
            <w:tcBorders>
              <w:top w:val="nil"/>
              <w:left w:val="nil"/>
              <w:bottom w:val="single" w:sz="4" w:space="0" w:color="000000"/>
              <w:right w:val="nil"/>
            </w:tcBorders>
            <w:vAlign w:val="center"/>
            <w:hideMark/>
          </w:tcPr>
          <w:p w14:paraId="0C3F8119"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1A"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1B" w14:textId="77777777" w:rsidR="009D74F9" w:rsidRPr="004B2104" w:rsidRDefault="009D74F9" w:rsidP="00BD7FB0">
            <w:pPr>
              <w:spacing w:before="0" w:after="0"/>
              <w:jc w:val="center"/>
              <w:rPr>
                <w:rStyle w:val="BookTitle"/>
              </w:rPr>
            </w:pPr>
            <w:r w:rsidRPr="004B2104">
              <w:rPr>
                <w:rStyle w:val="BookTitle"/>
              </w:rPr>
              <w:t>0.27</w:t>
            </w:r>
          </w:p>
        </w:tc>
        <w:tc>
          <w:tcPr>
            <w:tcW w:w="637" w:type="pct"/>
            <w:tcBorders>
              <w:top w:val="nil"/>
              <w:left w:val="nil"/>
              <w:bottom w:val="nil"/>
              <w:right w:val="nil"/>
            </w:tcBorders>
            <w:shd w:val="clear" w:color="auto" w:fill="auto"/>
            <w:noWrap/>
            <w:vAlign w:val="center"/>
            <w:hideMark/>
          </w:tcPr>
          <w:p w14:paraId="0C3F811C" w14:textId="77777777" w:rsidR="009D74F9" w:rsidRPr="004B2104" w:rsidRDefault="009D74F9" w:rsidP="00BD7FB0">
            <w:pPr>
              <w:spacing w:before="0" w:after="0"/>
              <w:jc w:val="center"/>
              <w:rPr>
                <w:rStyle w:val="BookTitle"/>
              </w:rPr>
            </w:pPr>
            <w:r w:rsidRPr="004B2104">
              <w:rPr>
                <w:rStyle w:val="BookTitle"/>
              </w:rPr>
              <w:t>0.29</w:t>
            </w:r>
          </w:p>
        </w:tc>
        <w:tc>
          <w:tcPr>
            <w:tcW w:w="675" w:type="pct"/>
            <w:tcBorders>
              <w:top w:val="nil"/>
              <w:left w:val="nil"/>
              <w:bottom w:val="nil"/>
              <w:right w:val="single" w:sz="4" w:space="0" w:color="auto"/>
            </w:tcBorders>
            <w:shd w:val="clear" w:color="auto" w:fill="auto"/>
            <w:noWrap/>
            <w:vAlign w:val="center"/>
            <w:hideMark/>
          </w:tcPr>
          <w:p w14:paraId="0C3F811D" w14:textId="77777777" w:rsidR="009D74F9" w:rsidRPr="004B2104" w:rsidRDefault="009D74F9" w:rsidP="00BD7FB0">
            <w:pPr>
              <w:spacing w:before="0" w:after="0"/>
              <w:jc w:val="center"/>
              <w:rPr>
                <w:rStyle w:val="BookTitle"/>
              </w:rPr>
            </w:pPr>
            <w:r w:rsidRPr="004B2104">
              <w:rPr>
                <w:rStyle w:val="BookTitle"/>
              </w:rPr>
              <w:t>0.29</w:t>
            </w:r>
          </w:p>
        </w:tc>
        <w:tc>
          <w:tcPr>
            <w:tcW w:w="796" w:type="pct"/>
            <w:tcBorders>
              <w:top w:val="nil"/>
              <w:left w:val="nil"/>
              <w:bottom w:val="nil"/>
              <w:right w:val="single" w:sz="4" w:space="0" w:color="auto"/>
            </w:tcBorders>
            <w:shd w:val="clear" w:color="auto" w:fill="auto"/>
            <w:noWrap/>
            <w:vAlign w:val="center"/>
            <w:hideMark/>
          </w:tcPr>
          <w:p w14:paraId="0C3F811E" w14:textId="77777777" w:rsidR="009D74F9" w:rsidRPr="004B2104" w:rsidRDefault="009D74F9" w:rsidP="00BD7FB0">
            <w:pPr>
              <w:spacing w:before="0" w:after="0"/>
              <w:jc w:val="center"/>
              <w:rPr>
                <w:rStyle w:val="BookTitle"/>
              </w:rPr>
            </w:pPr>
            <w:r w:rsidRPr="004B2104">
              <w:rPr>
                <w:rStyle w:val="BookTitle"/>
              </w:rPr>
              <w:t>0.18</w:t>
            </w:r>
          </w:p>
        </w:tc>
      </w:tr>
      <w:tr w:rsidR="009D74F9" w:rsidRPr="004B2104" w14:paraId="0C3F8126" w14:textId="77777777" w:rsidTr="009D74F9">
        <w:trPr>
          <w:trHeight w:val="20"/>
        </w:trPr>
        <w:tc>
          <w:tcPr>
            <w:tcW w:w="1484" w:type="pct"/>
            <w:vMerge/>
            <w:tcBorders>
              <w:top w:val="nil"/>
              <w:left w:val="nil"/>
              <w:bottom w:val="single" w:sz="4" w:space="0" w:color="000000"/>
              <w:right w:val="nil"/>
            </w:tcBorders>
            <w:vAlign w:val="center"/>
            <w:hideMark/>
          </w:tcPr>
          <w:p w14:paraId="0C3F8120"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21"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22" w14:textId="77777777" w:rsidR="009D74F9" w:rsidRPr="004B2104" w:rsidRDefault="009D74F9" w:rsidP="00BD7FB0">
            <w:pPr>
              <w:spacing w:before="0" w:after="0"/>
              <w:jc w:val="center"/>
              <w:rPr>
                <w:rStyle w:val="BookTitle"/>
              </w:rPr>
            </w:pPr>
            <w:r w:rsidRPr="004B2104">
              <w:rPr>
                <w:rStyle w:val="BookTitle"/>
              </w:rPr>
              <w:t>34</w:t>
            </w:r>
          </w:p>
        </w:tc>
        <w:tc>
          <w:tcPr>
            <w:tcW w:w="637" w:type="pct"/>
            <w:tcBorders>
              <w:top w:val="nil"/>
              <w:left w:val="nil"/>
              <w:bottom w:val="single" w:sz="4" w:space="0" w:color="auto"/>
              <w:right w:val="nil"/>
            </w:tcBorders>
            <w:shd w:val="clear" w:color="auto" w:fill="auto"/>
            <w:noWrap/>
            <w:vAlign w:val="center"/>
            <w:hideMark/>
          </w:tcPr>
          <w:p w14:paraId="0C3F8123" w14:textId="77777777" w:rsidR="009D74F9" w:rsidRPr="004B2104" w:rsidRDefault="009D74F9" w:rsidP="00BD7FB0">
            <w:pPr>
              <w:spacing w:before="0" w:after="0"/>
              <w:jc w:val="center"/>
              <w:rPr>
                <w:rStyle w:val="BookTitle"/>
              </w:rPr>
            </w:pPr>
            <w:r w:rsidRPr="004B2104">
              <w:rPr>
                <w:rStyle w:val="BookTitle"/>
              </w:rPr>
              <w:t>6</w:t>
            </w:r>
          </w:p>
        </w:tc>
        <w:tc>
          <w:tcPr>
            <w:tcW w:w="675" w:type="pct"/>
            <w:tcBorders>
              <w:top w:val="nil"/>
              <w:left w:val="nil"/>
              <w:bottom w:val="single" w:sz="4" w:space="0" w:color="auto"/>
              <w:right w:val="single" w:sz="4" w:space="0" w:color="auto"/>
            </w:tcBorders>
            <w:shd w:val="clear" w:color="auto" w:fill="auto"/>
            <w:noWrap/>
            <w:vAlign w:val="center"/>
            <w:hideMark/>
          </w:tcPr>
          <w:p w14:paraId="0C3F8124" w14:textId="77777777" w:rsidR="009D74F9" w:rsidRPr="004B2104" w:rsidRDefault="009D74F9" w:rsidP="00BD7FB0">
            <w:pPr>
              <w:spacing w:before="0" w:after="0"/>
              <w:jc w:val="center"/>
              <w:rPr>
                <w:rStyle w:val="BookTitle"/>
              </w:rPr>
            </w:pPr>
            <w:r w:rsidRPr="004B2104">
              <w:rPr>
                <w:rStyle w:val="BookTitle"/>
              </w:rPr>
              <w:t>12</w:t>
            </w:r>
          </w:p>
        </w:tc>
        <w:tc>
          <w:tcPr>
            <w:tcW w:w="796" w:type="pct"/>
            <w:tcBorders>
              <w:top w:val="nil"/>
              <w:left w:val="nil"/>
              <w:bottom w:val="single" w:sz="4" w:space="0" w:color="auto"/>
              <w:right w:val="single" w:sz="4" w:space="0" w:color="auto"/>
            </w:tcBorders>
            <w:shd w:val="clear" w:color="auto" w:fill="auto"/>
            <w:noWrap/>
            <w:vAlign w:val="center"/>
            <w:hideMark/>
          </w:tcPr>
          <w:p w14:paraId="0C3F8125" w14:textId="77777777" w:rsidR="009D74F9" w:rsidRPr="004B2104" w:rsidRDefault="009D74F9" w:rsidP="00BD7FB0">
            <w:pPr>
              <w:spacing w:before="0" w:after="0"/>
              <w:jc w:val="center"/>
              <w:rPr>
                <w:rStyle w:val="BookTitle"/>
              </w:rPr>
            </w:pPr>
            <w:r w:rsidRPr="004B2104">
              <w:rPr>
                <w:rStyle w:val="BookTitle"/>
              </w:rPr>
              <w:t>21</w:t>
            </w:r>
          </w:p>
        </w:tc>
      </w:tr>
      <w:tr w:rsidR="009D74F9" w:rsidRPr="004B2104" w14:paraId="0C3F812D"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27" w14:textId="77777777" w:rsidR="009D74F9" w:rsidRPr="004B2104" w:rsidRDefault="009D74F9" w:rsidP="00BD7FB0">
            <w:pPr>
              <w:spacing w:before="0" w:after="0"/>
              <w:jc w:val="center"/>
              <w:rPr>
                <w:rStyle w:val="BookTitle"/>
              </w:rPr>
            </w:pPr>
            <w:r w:rsidRPr="004B2104">
              <w:rPr>
                <w:rStyle w:val="BookTitle"/>
              </w:rPr>
              <w:t>Coloured Dissolved Organic Matter (/m)</w:t>
            </w:r>
          </w:p>
        </w:tc>
        <w:tc>
          <w:tcPr>
            <w:tcW w:w="456" w:type="pct"/>
            <w:tcBorders>
              <w:top w:val="nil"/>
              <w:left w:val="nil"/>
              <w:bottom w:val="nil"/>
              <w:right w:val="single" w:sz="4" w:space="0" w:color="auto"/>
            </w:tcBorders>
            <w:shd w:val="clear" w:color="auto" w:fill="auto"/>
            <w:noWrap/>
            <w:vAlign w:val="center"/>
            <w:hideMark/>
          </w:tcPr>
          <w:p w14:paraId="0C3F8128"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29" w14:textId="77777777" w:rsidR="009D74F9" w:rsidRPr="004B2104" w:rsidRDefault="009D74F9" w:rsidP="00BD7FB0">
            <w:pPr>
              <w:spacing w:before="0" w:after="0"/>
              <w:jc w:val="center"/>
              <w:rPr>
                <w:rStyle w:val="BookTitle"/>
              </w:rPr>
            </w:pPr>
            <w:r w:rsidRPr="004B2104">
              <w:rPr>
                <w:rStyle w:val="BookTitle"/>
              </w:rPr>
              <w:t>0</w:t>
            </w:r>
          </w:p>
        </w:tc>
        <w:tc>
          <w:tcPr>
            <w:tcW w:w="637" w:type="pct"/>
            <w:tcBorders>
              <w:top w:val="nil"/>
              <w:left w:val="nil"/>
              <w:bottom w:val="nil"/>
              <w:right w:val="nil"/>
            </w:tcBorders>
            <w:shd w:val="clear" w:color="auto" w:fill="auto"/>
            <w:noWrap/>
            <w:vAlign w:val="center"/>
            <w:hideMark/>
          </w:tcPr>
          <w:p w14:paraId="0C3F812A" w14:textId="77777777" w:rsidR="009D74F9" w:rsidRPr="004B2104" w:rsidRDefault="009D74F9" w:rsidP="00BD7FB0">
            <w:pPr>
              <w:spacing w:before="0" w:after="0"/>
              <w:jc w:val="center"/>
              <w:rPr>
                <w:rStyle w:val="BookTitle"/>
              </w:rPr>
            </w:pPr>
            <w:r w:rsidRPr="004B2104">
              <w:rPr>
                <w:rStyle w:val="BookTitle"/>
              </w:rPr>
              <w:t>0</w:t>
            </w:r>
          </w:p>
        </w:tc>
        <w:tc>
          <w:tcPr>
            <w:tcW w:w="675" w:type="pct"/>
            <w:tcBorders>
              <w:top w:val="nil"/>
              <w:left w:val="nil"/>
              <w:bottom w:val="nil"/>
              <w:right w:val="single" w:sz="4" w:space="0" w:color="auto"/>
            </w:tcBorders>
            <w:shd w:val="clear" w:color="auto" w:fill="auto"/>
            <w:noWrap/>
            <w:vAlign w:val="center"/>
            <w:hideMark/>
          </w:tcPr>
          <w:p w14:paraId="0C3F812B" w14:textId="77777777" w:rsidR="009D74F9" w:rsidRPr="004B2104" w:rsidRDefault="009D74F9" w:rsidP="00BD7FB0">
            <w:pPr>
              <w:spacing w:before="0" w:after="0"/>
              <w:jc w:val="center"/>
              <w:rPr>
                <w:rStyle w:val="BookTitle"/>
              </w:rPr>
            </w:pPr>
            <w:r w:rsidRPr="004B2104">
              <w:rPr>
                <w:rStyle w:val="BookTitle"/>
              </w:rPr>
              <w:t>0</w:t>
            </w:r>
          </w:p>
        </w:tc>
        <w:tc>
          <w:tcPr>
            <w:tcW w:w="796" w:type="pct"/>
            <w:tcBorders>
              <w:top w:val="nil"/>
              <w:left w:val="nil"/>
              <w:bottom w:val="nil"/>
              <w:right w:val="single" w:sz="4" w:space="0" w:color="auto"/>
            </w:tcBorders>
            <w:shd w:val="clear" w:color="auto" w:fill="auto"/>
            <w:noWrap/>
            <w:vAlign w:val="center"/>
            <w:hideMark/>
          </w:tcPr>
          <w:p w14:paraId="0C3F812C" w14:textId="77777777" w:rsidR="009D74F9" w:rsidRPr="004B2104" w:rsidRDefault="009D74F9" w:rsidP="00BD7FB0">
            <w:pPr>
              <w:spacing w:before="0" w:after="0"/>
              <w:jc w:val="center"/>
              <w:rPr>
                <w:rStyle w:val="BookTitle"/>
              </w:rPr>
            </w:pPr>
            <w:r w:rsidRPr="004B2104">
              <w:rPr>
                <w:rStyle w:val="BookTitle"/>
              </w:rPr>
              <w:t>0</w:t>
            </w:r>
          </w:p>
        </w:tc>
      </w:tr>
      <w:tr w:rsidR="009D74F9" w:rsidRPr="004B2104" w14:paraId="0C3F8134" w14:textId="77777777" w:rsidTr="009D74F9">
        <w:trPr>
          <w:trHeight w:val="20"/>
        </w:trPr>
        <w:tc>
          <w:tcPr>
            <w:tcW w:w="1484" w:type="pct"/>
            <w:vMerge/>
            <w:tcBorders>
              <w:top w:val="nil"/>
              <w:left w:val="nil"/>
              <w:bottom w:val="single" w:sz="4" w:space="0" w:color="000000"/>
              <w:right w:val="nil"/>
            </w:tcBorders>
            <w:vAlign w:val="center"/>
            <w:hideMark/>
          </w:tcPr>
          <w:p w14:paraId="0C3F812E"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2F"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30" w14:textId="77777777" w:rsidR="009D74F9" w:rsidRPr="004B2104" w:rsidRDefault="009D74F9" w:rsidP="00BD7FB0">
            <w:pPr>
              <w:spacing w:before="0" w:after="0"/>
              <w:jc w:val="center"/>
              <w:rPr>
                <w:rStyle w:val="BookTitle"/>
              </w:rPr>
            </w:pPr>
            <w:r w:rsidRPr="004B2104">
              <w:rPr>
                <w:rStyle w:val="BookTitle"/>
              </w:rPr>
              <w:t>2.90</w:t>
            </w:r>
          </w:p>
        </w:tc>
        <w:tc>
          <w:tcPr>
            <w:tcW w:w="637" w:type="pct"/>
            <w:tcBorders>
              <w:top w:val="nil"/>
              <w:left w:val="nil"/>
              <w:bottom w:val="nil"/>
              <w:right w:val="nil"/>
            </w:tcBorders>
            <w:shd w:val="clear" w:color="auto" w:fill="auto"/>
            <w:noWrap/>
            <w:vAlign w:val="center"/>
            <w:hideMark/>
          </w:tcPr>
          <w:p w14:paraId="0C3F8131" w14:textId="77777777" w:rsidR="009D74F9" w:rsidRPr="004B2104" w:rsidRDefault="009D74F9" w:rsidP="00BD7FB0">
            <w:pPr>
              <w:spacing w:before="0" w:after="0"/>
              <w:jc w:val="center"/>
              <w:rPr>
                <w:rStyle w:val="BookTitle"/>
              </w:rPr>
            </w:pPr>
            <w:r w:rsidRPr="004B2104">
              <w:rPr>
                <w:rStyle w:val="BookTitle"/>
              </w:rPr>
              <w:t>0.39</w:t>
            </w:r>
          </w:p>
        </w:tc>
        <w:tc>
          <w:tcPr>
            <w:tcW w:w="675" w:type="pct"/>
            <w:tcBorders>
              <w:top w:val="nil"/>
              <w:left w:val="nil"/>
              <w:bottom w:val="nil"/>
              <w:right w:val="single" w:sz="4" w:space="0" w:color="auto"/>
            </w:tcBorders>
            <w:shd w:val="clear" w:color="auto" w:fill="auto"/>
            <w:noWrap/>
            <w:vAlign w:val="center"/>
            <w:hideMark/>
          </w:tcPr>
          <w:p w14:paraId="0C3F8132" w14:textId="77777777" w:rsidR="009D74F9" w:rsidRPr="004B2104" w:rsidRDefault="009D74F9" w:rsidP="00BD7FB0">
            <w:pPr>
              <w:spacing w:before="0" w:after="0"/>
              <w:jc w:val="center"/>
              <w:rPr>
                <w:rStyle w:val="BookTitle"/>
              </w:rPr>
            </w:pPr>
            <w:r w:rsidRPr="004B2104">
              <w:rPr>
                <w:rStyle w:val="BookTitle"/>
              </w:rPr>
              <w:t>1.24</w:t>
            </w:r>
          </w:p>
        </w:tc>
        <w:tc>
          <w:tcPr>
            <w:tcW w:w="796" w:type="pct"/>
            <w:tcBorders>
              <w:top w:val="nil"/>
              <w:left w:val="nil"/>
              <w:bottom w:val="nil"/>
              <w:right w:val="single" w:sz="4" w:space="0" w:color="auto"/>
            </w:tcBorders>
            <w:shd w:val="clear" w:color="auto" w:fill="auto"/>
            <w:noWrap/>
            <w:vAlign w:val="center"/>
            <w:hideMark/>
          </w:tcPr>
          <w:p w14:paraId="0C3F8133" w14:textId="77777777" w:rsidR="009D74F9" w:rsidRPr="004B2104" w:rsidRDefault="009D74F9" w:rsidP="00BD7FB0">
            <w:pPr>
              <w:spacing w:before="0" w:after="0"/>
              <w:jc w:val="center"/>
              <w:rPr>
                <w:rStyle w:val="BookTitle"/>
              </w:rPr>
            </w:pPr>
            <w:r w:rsidRPr="004B2104">
              <w:rPr>
                <w:rStyle w:val="BookTitle"/>
              </w:rPr>
              <w:t>0.25</w:t>
            </w:r>
          </w:p>
        </w:tc>
      </w:tr>
      <w:tr w:rsidR="009D74F9" w:rsidRPr="004B2104" w14:paraId="0C3F813B" w14:textId="77777777" w:rsidTr="009D74F9">
        <w:trPr>
          <w:trHeight w:val="20"/>
        </w:trPr>
        <w:tc>
          <w:tcPr>
            <w:tcW w:w="1484" w:type="pct"/>
            <w:vMerge/>
            <w:tcBorders>
              <w:top w:val="nil"/>
              <w:left w:val="nil"/>
              <w:bottom w:val="single" w:sz="4" w:space="0" w:color="000000"/>
              <w:right w:val="nil"/>
            </w:tcBorders>
            <w:vAlign w:val="center"/>
            <w:hideMark/>
          </w:tcPr>
          <w:p w14:paraId="0C3F8135"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36"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37" w14:textId="77777777" w:rsidR="009D74F9" w:rsidRPr="004B2104" w:rsidRDefault="009D74F9" w:rsidP="00BD7FB0">
            <w:pPr>
              <w:spacing w:before="0" w:after="0"/>
              <w:jc w:val="center"/>
              <w:rPr>
                <w:rStyle w:val="BookTitle"/>
              </w:rPr>
            </w:pPr>
            <w:r w:rsidRPr="004B2104">
              <w:rPr>
                <w:rStyle w:val="BookTitle"/>
              </w:rPr>
              <w:t>0.80</w:t>
            </w:r>
          </w:p>
        </w:tc>
        <w:tc>
          <w:tcPr>
            <w:tcW w:w="637" w:type="pct"/>
            <w:tcBorders>
              <w:top w:val="nil"/>
              <w:left w:val="nil"/>
              <w:bottom w:val="nil"/>
              <w:right w:val="nil"/>
            </w:tcBorders>
            <w:shd w:val="clear" w:color="auto" w:fill="auto"/>
            <w:noWrap/>
            <w:vAlign w:val="center"/>
            <w:hideMark/>
          </w:tcPr>
          <w:p w14:paraId="0C3F8138" w14:textId="77777777" w:rsidR="009D74F9" w:rsidRPr="004B2104" w:rsidRDefault="009D74F9" w:rsidP="00BD7FB0">
            <w:pPr>
              <w:spacing w:before="0" w:after="0"/>
              <w:jc w:val="center"/>
              <w:rPr>
                <w:rStyle w:val="BookTitle"/>
              </w:rPr>
            </w:pPr>
            <w:r w:rsidRPr="004B2104">
              <w:rPr>
                <w:rStyle w:val="BookTitle"/>
              </w:rPr>
              <w:t>0.12</w:t>
            </w:r>
          </w:p>
        </w:tc>
        <w:tc>
          <w:tcPr>
            <w:tcW w:w="675" w:type="pct"/>
            <w:tcBorders>
              <w:top w:val="nil"/>
              <w:left w:val="nil"/>
              <w:bottom w:val="nil"/>
              <w:right w:val="single" w:sz="4" w:space="0" w:color="auto"/>
            </w:tcBorders>
            <w:shd w:val="clear" w:color="auto" w:fill="auto"/>
            <w:noWrap/>
            <w:vAlign w:val="center"/>
            <w:hideMark/>
          </w:tcPr>
          <w:p w14:paraId="0C3F8139" w14:textId="77777777" w:rsidR="009D74F9" w:rsidRPr="004B2104" w:rsidRDefault="009D74F9" w:rsidP="00BD7FB0">
            <w:pPr>
              <w:spacing w:before="0" w:after="0"/>
              <w:jc w:val="center"/>
              <w:rPr>
                <w:rStyle w:val="BookTitle"/>
              </w:rPr>
            </w:pPr>
            <w:r w:rsidRPr="004B2104">
              <w:rPr>
                <w:rStyle w:val="BookTitle"/>
              </w:rPr>
              <w:t>0.44</w:t>
            </w:r>
          </w:p>
        </w:tc>
        <w:tc>
          <w:tcPr>
            <w:tcW w:w="796" w:type="pct"/>
            <w:tcBorders>
              <w:top w:val="nil"/>
              <w:left w:val="nil"/>
              <w:bottom w:val="nil"/>
              <w:right w:val="single" w:sz="4" w:space="0" w:color="auto"/>
            </w:tcBorders>
            <w:shd w:val="clear" w:color="auto" w:fill="auto"/>
            <w:noWrap/>
            <w:vAlign w:val="center"/>
            <w:hideMark/>
          </w:tcPr>
          <w:p w14:paraId="0C3F813A" w14:textId="77777777" w:rsidR="009D74F9" w:rsidRPr="004B2104" w:rsidRDefault="009D74F9" w:rsidP="00BD7FB0">
            <w:pPr>
              <w:spacing w:before="0" w:after="0"/>
              <w:jc w:val="center"/>
              <w:rPr>
                <w:rStyle w:val="BookTitle"/>
              </w:rPr>
            </w:pPr>
            <w:r w:rsidRPr="004B2104">
              <w:rPr>
                <w:rStyle w:val="BookTitle"/>
              </w:rPr>
              <w:t>0.12</w:t>
            </w:r>
          </w:p>
        </w:tc>
      </w:tr>
      <w:tr w:rsidR="009D74F9" w:rsidRPr="004B2104" w14:paraId="0C3F8142" w14:textId="77777777" w:rsidTr="009D74F9">
        <w:trPr>
          <w:trHeight w:val="20"/>
        </w:trPr>
        <w:tc>
          <w:tcPr>
            <w:tcW w:w="1484" w:type="pct"/>
            <w:vMerge/>
            <w:tcBorders>
              <w:top w:val="nil"/>
              <w:left w:val="nil"/>
              <w:bottom w:val="single" w:sz="4" w:space="0" w:color="000000"/>
              <w:right w:val="nil"/>
            </w:tcBorders>
            <w:vAlign w:val="center"/>
            <w:hideMark/>
          </w:tcPr>
          <w:p w14:paraId="0C3F813C"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3D"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3E" w14:textId="77777777" w:rsidR="009D74F9" w:rsidRPr="004B2104" w:rsidRDefault="009D74F9" w:rsidP="00BD7FB0">
            <w:pPr>
              <w:spacing w:before="0" w:after="0"/>
              <w:jc w:val="center"/>
              <w:rPr>
                <w:rStyle w:val="BookTitle"/>
              </w:rPr>
            </w:pPr>
            <w:r w:rsidRPr="004B2104">
              <w:rPr>
                <w:rStyle w:val="BookTitle"/>
              </w:rPr>
              <w:t>0.96</w:t>
            </w:r>
          </w:p>
        </w:tc>
        <w:tc>
          <w:tcPr>
            <w:tcW w:w="637" w:type="pct"/>
            <w:tcBorders>
              <w:top w:val="nil"/>
              <w:left w:val="nil"/>
              <w:bottom w:val="nil"/>
              <w:right w:val="nil"/>
            </w:tcBorders>
            <w:shd w:val="clear" w:color="auto" w:fill="auto"/>
            <w:noWrap/>
            <w:vAlign w:val="center"/>
            <w:hideMark/>
          </w:tcPr>
          <w:p w14:paraId="0C3F813F" w14:textId="77777777" w:rsidR="009D74F9" w:rsidRPr="004B2104" w:rsidRDefault="009D74F9" w:rsidP="00BD7FB0">
            <w:pPr>
              <w:spacing w:before="0" w:after="0"/>
              <w:jc w:val="center"/>
              <w:rPr>
                <w:rStyle w:val="BookTitle"/>
              </w:rPr>
            </w:pPr>
            <w:r w:rsidRPr="004B2104">
              <w:rPr>
                <w:rStyle w:val="BookTitle"/>
              </w:rPr>
              <w:t>0.12</w:t>
            </w:r>
          </w:p>
        </w:tc>
        <w:tc>
          <w:tcPr>
            <w:tcW w:w="675" w:type="pct"/>
            <w:tcBorders>
              <w:top w:val="nil"/>
              <w:left w:val="nil"/>
              <w:bottom w:val="nil"/>
              <w:right w:val="single" w:sz="4" w:space="0" w:color="auto"/>
            </w:tcBorders>
            <w:shd w:val="clear" w:color="auto" w:fill="auto"/>
            <w:noWrap/>
            <w:vAlign w:val="center"/>
            <w:hideMark/>
          </w:tcPr>
          <w:p w14:paraId="0C3F8140" w14:textId="77777777" w:rsidR="009D74F9" w:rsidRPr="004B2104" w:rsidRDefault="009D74F9" w:rsidP="00BD7FB0">
            <w:pPr>
              <w:spacing w:before="0" w:after="0"/>
              <w:jc w:val="center"/>
              <w:rPr>
                <w:rStyle w:val="BookTitle"/>
              </w:rPr>
            </w:pPr>
            <w:r w:rsidRPr="004B2104">
              <w:rPr>
                <w:rStyle w:val="BookTitle"/>
              </w:rPr>
              <w:t>0.32</w:t>
            </w:r>
          </w:p>
        </w:tc>
        <w:tc>
          <w:tcPr>
            <w:tcW w:w="796" w:type="pct"/>
            <w:tcBorders>
              <w:top w:val="nil"/>
              <w:left w:val="nil"/>
              <w:bottom w:val="nil"/>
              <w:right w:val="single" w:sz="4" w:space="0" w:color="auto"/>
            </w:tcBorders>
            <w:shd w:val="clear" w:color="auto" w:fill="auto"/>
            <w:noWrap/>
            <w:vAlign w:val="center"/>
            <w:hideMark/>
          </w:tcPr>
          <w:p w14:paraId="0C3F8141" w14:textId="77777777" w:rsidR="009D74F9" w:rsidRPr="004B2104" w:rsidRDefault="009D74F9" w:rsidP="00BD7FB0">
            <w:pPr>
              <w:spacing w:before="0" w:after="0"/>
              <w:jc w:val="center"/>
              <w:rPr>
                <w:rStyle w:val="BookTitle"/>
              </w:rPr>
            </w:pPr>
            <w:r w:rsidRPr="004B2104">
              <w:rPr>
                <w:rStyle w:val="BookTitle"/>
              </w:rPr>
              <w:t>0.06</w:t>
            </w:r>
          </w:p>
        </w:tc>
      </w:tr>
      <w:tr w:rsidR="009D74F9" w:rsidRPr="004B2104" w14:paraId="0C3F8149" w14:textId="77777777" w:rsidTr="009D74F9">
        <w:trPr>
          <w:trHeight w:val="20"/>
        </w:trPr>
        <w:tc>
          <w:tcPr>
            <w:tcW w:w="1484" w:type="pct"/>
            <w:vMerge/>
            <w:tcBorders>
              <w:top w:val="nil"/>
              <w:left w:val="nil"/>
              <w:bottom w:val="single" w:sz="4" w:space="0" w:color="000000"/>
              <w:right w:val="nil"/>
            </w:tcBorders>
            <w:vAlign w:val="center"/>
            <w:hideMark/>
          </w:tcPr>
          <w:p w14:paraId="0C3F8143"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44"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45" w14:textId="77777777" w:rsidR="009D74F9" w:rsidRPr="004B2104" w:rsidRDefault="009D74F9" w:rsidP="00BD7FB0">
            <w:pPr>
              <w:spacing w:before="0" w:after="0"/>
              <w:jc w:val="center"/>
              <w:rPr>
                <w:rStyle w:val="BookTitle"/>
              </w:rPr>
            </w:pPr>
            <w:r w:rsidRPr="004B2104">
              <w:rPr>
                <w:rStyle w:val="BookTitle"/>
              </w:rPr>
              <w:t>39</w:t>
            </w:r>
          </w:p>
        </w:tc>
        <w:tc>
          <w:tcPr>
            <w:tcW w:w="637" w:type="pct"/>
            <w:tcBorders>
              <w:top w:val="nil"/>
              <w:left w:val="nil"/>
              <w:bottom w:val="single" w:sz="4" w:space="0" w:color="auto"/>
              <w:right w:val="nil"/>
            </w:tcBorders>
            <w:shd w:val="clear" w:color="auto" w:fill="auto"/>
            <w:noWrap/>
            <w:vAlign w:val="center"/>
            <w:hideMark/>
          </w:tcPr>
          <w:p w14:paraId="0C3F8146"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47" w14:textId="77777777" w:rsidR="009D74F9" w:rsidRPr="004B2104" w:rsidRDefault="009D74F9" w:rsidP="00BD7FB0">
            <w:pPr>
              <w:spacing w:before="0" w:after="0"/>
              <w:jc w:val="center"/>
              <w:rPr>
                <w:rStyle w:val="BookTitle"/>
              </w:rPr>
            </w:pPr>
            <w:r w:rsidRPr="004B2104">
              <w:rPr>
                <w:rStyle w:val="BookTitle"/>
              </w:rPr>
              <w:t>9</w:t>
            </w:r>
          </w:p>
        </w:tc>
        <w:tc>
          <w:tcPr>
            <w:tcW w:w="796" w:type="pct"/>
            <w:tcBorders>
              <w:top w:val="nil"/>
              <w:left w:val="nil"/>
              <w:bottom w:val="single" w:sz="4" w:space="0" w:color="auto"/>
              <w:right w:val="single" w:sz="4" w:space="0" w:color="auto"/>
            </w:tcBorders>
            <w:shd w:val="clear" w:color="auto" w:fill="auto"/>
            <w:noWrap/>
            <w:vAlign w:val="center"/>
            <w:hideMark/>
          </w:tcPr>
          <w:p w14:paraId="0C3F8148" w14:textId="77777777" w:rsidR="009D74F9" w:rsidRPr="004B2104" w:rsidRDefault="009D74F9" w:rsidP="00BD7FB0">
            <w:pPr>
              <w:spacing w:before="0" w:after="0"/>
              <w:jc w:val="center"/>
              <w:rPr>
                <w:rStyle w:val="BookTitle"/>
              </w:rPr>
            </w:pPr>
            <w:r w:rsidRPr="004B2104">
              <w:rPr>
                <w:rStyle w:val="BookTitle"/>
              </w:rPr>
              <w:t>12</w:t>
            </w:r>
          </w:p>
        </w:tc>
      </w:tr>
      <w:tr w:rsidR="009D74F9" w:rsidRPr="004B2104" w14:paraId="0C3F8150"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4A" w14:textId="77777777" w:rsidR="009D74F9" w:rsidRPr="004B2104" w:rsidRDefault="009D74F9" w:rsidP="00BD7FB0">
            <w:pPr>
              <w:spacing w:before="0" w:after="0"/>
              <w:jc w:val="center"/>
              <w:rPr>
                <w:rStyle w:val="BookTitle"/>
              </w:rPr>
            </w:pPr>
            <w:r w:rsidRPr="004B2104">
              <w:rPr>
                <w:rStyle w:val="BookTitle"/>
              </w:rPr>
              <w:t>Total Suspended Solids (mg/L)</w:t>
            </w:r>
          </w:p>
        </w:tc>
        <w:tc>
          <w:tcPr>
            <w:tcW w:w="456" w:type="pct"/>
            <w:tcBorders>
              <w:top w:val="nil"/>
              <w:left w:val="nil"/>
              <w:bottom w:val="nil"/>
              <w:right w:val="nil"/>
            </w:tcBorders>
            <w:shd w:val="clear" w:color="auto" w:fill="auto"/>
            <w:noWrap/>
            <w:vAlign w:val="center"/>
            <w:hideMark/>
          </w:tcPr>
          <w:p w14:paraId="0C3F814B"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4C" w14:textId="77777777" w:rsidR="009D74F9" w:rsidRPr="004B2104" w:rsidRDefault="009D74F9" w:rsidP="00BD7FB0">
            <w:pPr>
              <w:spacing w:before="0" w:after="0"/>
              <w:jc w:val="center"/>
              <w:rPr>
                <w:rStyle w:val="BookTitle"/>
              </w:rPr>
            </w:pPr>
            <w:r w:rsidRPr="004B2104">
              <w:rPr>
                <w:rStyle w:val="BookTitle"/>
              </w:rPr>
              <w:t>3.50</w:t>
            </w:r>
          </w:p>
        </w:tc>
        <w:tc>
          <w:tcPr>
            <w:tcW w:w="637" w:type="pct"/>
            <w:tcBorders>
              <w:top w:val="nil"/>
              <w:left w:val="nil"/>
              <w:bottom w:val="nil"/>
              <w:right w:val="nil"/>
            </w:tcBorders>
            <w:shd w:val="clear" w:color="auto" w:fill="auto"/>
            <w:noWrap/>
            <w:vAlign w:val="center"/>
            <w:hideMark/>
          </w:tcPr>
          <w:p w14:paraId="0C3F814D" w14:textId="77777777" w:rsidR="009D74F9" w:rsidRPr="004B2104" w:rsidRDefault="009D74F9" w:rsidP="00BD7FB0">
            <w:pPr>
              <w:spacing w:before="0" w:after="0"/>
              <w:jc w:val="center"/>
              <w:rPr>
                <w:rStyle w:val="BookTitle"/>
              </w:rPr>
            </w:pPr>
            <w:r w:rsidRPr="004B2104">
              <w:rPr>
                <w:rStyle w:val="BookTitle"/>
              </w:rPr>
              <w:t>4.40</w:t>
            </w:r>
          </w:p>
        </w:tc>
        <w:tc>
          <w:tcPr>
            <w:tcW w:w="675" w:type="pct"/>
            <w:tcBorders>
              <w:top w:val="nil"/>
              <w:left w:val="nil"/>
              <w:bottom w:val="nil"/>
              <w:right w:val="single" w:sz="4" w:space="0" w:color="auto"/>
            </w:tcBorders>
            <w:shd w:val="clear" w:color="auto" w:fill="auto"/>
            <w:noWrap/>
            <w:vAlign w:val="center"/>
            <w:hideMark/>
          </w:tcPr>
          <w:p w14:paraId="0C3F814E" w14:textId="77777777" w:rsidR="009D74F9" w:rsidRPr="004B2104" w:rsidRDefault="009D74F9" w:rsidP="00BD7FB0">
            <w:pPr>
              <w:spacing w:before="0" w:after="0"/>
              <w:jc w:val="center"/>
              <w:rPr>
                <w:rStyle w:val="BookTitle"/>
              </w:rPr>
            </w:pPr>
            <w:r w:rsidRPr="004B2104">
              <w:rPr>
                <w:rStyle w:val="BookTitle"/>
              </w:rPr>
              <w:t>3.50</w:t>
            </w:r>
          </w:p>
        </w:tc>
        <w:tc>
          <w:tcPr>
            <w:tcW w:w="796" w:type="pct"/>
            <w:tcBorders>
              <w:top w:val="nil"/>
              <w:left w:val="nil"/>
              <w:bottom w:val="nil"/>
              <w:right w:val="single" w:sz="4" w:space="0" w:color="auto"/>
            </w:tcBorders>
            <w:shd w:val="clear" w:color="auto" w:fill="auto"/>
            <w:noWrap/>
            <w:vAlign w:val="center"/>
            <w:hideMark/>
          </w:tcPr>
          <w:p w14:paraId="0C3F814F" w14:textId="77777777" w:rsidR="009D74F9" w:rsidRPr="004B2104" w:rsidRDefault="009D74F9" w:rsidP="00BD7FB0">
            <w:pPr>
              <w:spacing w:before="0" w:after="0"/>
              <w:jc w:val="center"/>
              <w:rPr>
                <w:rStyle w:val="BookTitle"/>
              </w:rPr>
            </w:pPr>
            <w:r w:rsidRPr="004B2104">
              <w:rPr>
                <w:rStyle w:val="BookTitle"/>
              </w:rPr>
              <w:t>3.10</w:t>
            </w:r>
          </w:p>
        </w:tc>
      </w:tr>
      <w:tr w:rsidR="009D74F9" w:rsidRPr="004B2104" w14:paraId="0C3F8157" w14:textId="77777777" w:rsidTr="009D74F9">
        <w:trPr>
          <w:trHeight w:val="20"/>
        </w:trPr>
        <w:tc>
          <w:tcPr>
            <w:tcW w:w="1484" w:type="pct"/>
            <w:vMerge/>
            <w:tcBorders>
              <w:top w:val="nil"/>
              <w:left w:val="nil"/>
              <w:bottom w:val="single" w:sz="4" w:space="0" w:color="000000"/>
              <w:right w:val="nil"/>
            </w:tcBorders>
            <w:vAlign w:val="center"/>
            <w:hideMark/>
          </w:tcPr>
          <w:p w14:paraId="0C3F8151"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52"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53" w14:textId="77777777" w:rsidR="009D74F9" w:rsidRPr="004B2104" w:rsidRDefault="009D74F9" w:rsidP="00BD7FB0">
            <w:pPr>
              <w:spacing w:before="0" w:after="0"/>
              <w:jc w:val="center"/>
              <w:rPr>
                <w:rStyle w:val="BookTitle"/>
              </w:rPr>
            </w:pPr>
            <w:r w:rsidRPr="004B2104">
              <w:rPr>
                <w:rStyle w:val="BookTitle"/>
              </w:rPr>
              <w:t>21.00</w:t>
            </w:r>
          </w:p>
        </w:tc>
        <w:tc>
          <w:tcPr>
            <w:tcW w:w="637" w:type="pct"/>
            <w:tcBorders>
              <w:top w:val="nil"/>
              <w:left w:val="nil"/>
              <w:bottom w:val="nil"/>
              <w:right w:val="nil"/>
            </w:tcBorders>
            <w:shd w:val="clear" w:color="auto" w:fill="auto"/>
            <w:noWrap/>
            <w:vAlign w:val="center"/>
            <w:hideMark/>
          </w:tcPr>
          <w:p w14:paraId="0C3F8154" w14:textId="77777777" w:rsidR="009D74F9" w:rsidRPr="004B2104" w:rsidRDefault="009D74F9" w:rsidP="00BD7FB0">
            <w:pPr>
              <w:spacing w:before="0" w:after="0"/>
              <w:jc w:val="center"/>
              <w:rPr>
                <w:rStyle w:val="BookTitle"/>
              </w:rPr>
            </w:pPr>
            <w:r w:rsidRPr="004B2104">
              <w:rPr>
                <w:rStyle w:val="BookTitle"/>
              </w:rPr>
              <w:t>24.00</w:t>
            </w:r>
          </w:p>
        </w:tc>
        <w:tc>
          <w:tcPr>
            <w:tcW w:w="675" w:type="pct"/>
            <w:tcBorders>
              <w:top w:val="nil"/>
              <w:left w:val="nil"/>
              <w:bottom w:val="nil"/>
              <w:right w:val="single" w:sz="4" w:space="0" w:color="auto"/>
            </w:tcBorders>
            <w:shd w:val="clear" w:color="auto" w:fill="auto"/>
            <w:noWrap/>
            <w:vAlign w:val="center"/>
            <w:hideMark/>
          </w:tcPr>
          <w:p w14:paraId="0C3F8155" w14:textId="77777777" w:rsidR="009D74F9" w:rsidRPr="004B2104" w:rsidRDefault="009D74F9" w:rsidP="00BD7FB0">
            <w:pPr>
              <w:spacing w:before="0" w:after="0"/>
              <w:jc w:val="center"/>
              <w:rPr>
                <w:rStyle w:val="BookTitle"/>
              </w:rPr>
            </w:pPr>
            <w:r w:rsidRPr="004B2104">
              <w:rPr>
                <w:rStyle w:val="BookTitle"/>
              </w:rPr>
              <w:t>57.00</w:t>
            </w:r>
          </w:p>
        </w:tc>
        <w:tc>
          <w:tcPr>
            <w:tcW w:w="796" w:type="pct"/>
            <w:tcBorders>
              <w:top w:val="nil"/>
              <w:left w:val="nil"/>
              <w:bottom w:val="nil"/>
              <w:right w:val="single" w:sz="4" w:space="0" w:color="auto"/>
            </w:tcBorders>
            <w:shd w:val="clear" w:color="auto" w:fill="auto"/>
            <w:noWrap/>
            <w:vAlign w:val="center"/>
            <w:hideMark/>
          </w:tcPr>
          <w:p w14:paraId="0C3F8156" w14:textId="77777777" w:rsidR="009D74F9" w:rsidRPr="004B2104" w:rsidRDefault="009D74F9" w:rsidP="00BD7FB0">
            <w:pPr>
              <w:spacing w:before="0" w:after="0"/>
              <w:jc w:val="center"/>
              <w:rPr>
                <w:rStyle w:val="BookTitle"/>
              </w:rPr>
            </w:pPr>
            <w:r w:rsidRPr="004B2104">
              <w:rPr>
                <w:rStyle w:val="BookTitle"/>
              </w:rPr>
              <w:t>12.00</w:t>
            </w:r>
          </w:p>
        </w:tc>
      </w:tr>
      <w:tr w:rsidR="009D74F9" w:rsidRPr="004B2104" w14:paraId="0C3F815E" w14:textId="77777777" w:rsidTr="009D74F9">
        <w:trPr>
          <w:trHeight w:val="20"/>
        </w:trPr>
        <w:tc>
          <w:tcPr>
            <w:tcW w:w="1484" w:type="pct"/>
            <w:vMerge/>
            <w:tcBorders>
              <w:top w:val="nil"/>
              <w:left w:val="nil"/>
              <w:bottom w:val="single" w:sz="4" w:space="0" w:color="000000"/>
              <w:right w:val="nil"/>
            </w:tcBorders>
            <w:vAlign w:val="center"/>
            <w:hideMark/>
          </w:tcPr>
          <w:p w14:paraId="0C3F8158"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59"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5A" w14:textId="77777777" w:rsidR="009D74F9" w:rsidRPr="004B2104" w:rsidRDefault="009D74F9" w:rsidP="00BD7FB0">
            <w:pPr>
              <w:spacing w:before="0" w:after="0"/>
              <w:jc w:val="center"/>
              <w:rPr>
                <w:rStyle w:val="BookTitle"/>
              </w:rPr>
            </w:pPr>
            <w:r w:rsidRPr="004B2104">
              <w:rPr>
                <w:rStyle w:val="BookTitle"/>
              </w:rPr>
              <w:t>7.84</w:t>
            </w:r>
          </w:p>
        </w:tc>
        <w:tc>
          <w:tcPr>
            <w:tcW w:w="637" w:type="pct"/>
            <w:tcBorders>
              <w:top w:val="nil"/>
              <w:left w:val="nil"/>
              <w:bottom w:val="nil"/>
              <w:right w:val="nil"/>
            </w:tcBorders>
            <w:shd w:val="clear" w:color="auto" w:fill="auto"/>
            <w:noWrap/>
            <w:vAlign w:val="center"/>
            <w:hideMark/>
          </w:tcPr>
          <w:p w14:paraId="0C3F815B" w14:textId="77777777" w:rsidR="009D74F9" w:rsidRPr="004B2104" w:rsidRDefault="009D74F9" w:rsidP="00BD7FB0">
            <w:pPr>
              <w:spacing w:before="0" w:after="0"/>
              <w:jc w:val="center"/>
              <w:rPr>
                <w:rStyle w:val="BookTitle"/>
              </w:rPr>
            </w:pPr>
            <w:r w:rsidRPr="004B2104">
              <w:rPr>
                <w:rStyle w:val="BookTitle"/>
              </w:rPr>
              <w:t>9.74</w:t>
            </w:r>
          </w:p>
        </w:tc>
        <w:tc>
          <w:tcPr>
            <w:tcW w:w="675" w:type="pct"/>
            <w:tcBorders>
              <w:top w:val="nil"/>
              <w:left w:val="nil"/>
              <w:bottom w:val="nil"/>
              <w:right w:val="single" w:sz="4" w:space="0" w:color="auto"/>
            </w:tcBorders>
            <w:shd w:val="clear" w:color="auto" w:fill="auto"/>
            <w:noWrap/>
            <w:vAlign w:val="center"/>
            <w:hideMark/>
          </w:tcPr>
          <w:p w14:paraId="0C3F815C" w14:textId="77777777" w:rsidR="009D74F9" w:rsidRPr="004B2104" w:rsidRDefault="009D74F9" w:rsidP="00BD7FB0">
            <w:pPr>
              <w:spacing w:before="0" w:after="0"/>
              <w:jc w:val="center"/>
              <w:rPr>
                <w:rStyle w:val="BookTitle"/>
              </w:rPr>
            </w:pPr>
            <w:r w:rsidRPr="004B2104">
              <w:rPr>
                <w:rStyle w:val="BookTitle"/>
              </w:rPr>
              <w:t>15.66</w:t>
            </w:r>
          </w:p>
        </w:tc>
        <w:tc>
          <w:tcPr>
            <w:tcW w:w="796" w:type="pct"/>
            <w:tcBorders>
              <w:top w:val="nil"/>
              <w:left w:val="nil"/>
              <w:bottom w:val="nil"/>
              <w:right w:val="single" w:sz="4" w:space="0" w:color="auto"/>
            </w:tcBorders>
            <w:shd w:val="clear" w:color="auto" w:fill="auto"/>
            <w:noWrap/>
            <w:vAlign w:val="center"/>
            <w:hideMark/>
          </w:tcPr>
          <w:p w14:paraId="0C3F815D" w14:textId="77777777" w:rsidR="009D74F9" w:rsidRPr="004B2104" w:rsidRDefault="009D74F9" w:rsidP="00BD7FB0">
            <w:pPr>
              <w:spacing w:before="0" w:after="0"/>
              <w:jc w:val="center"/>
              <w:rPr>
                <w:rStyle w:val="BookTitle"/>
              </w:rPr>
            </w:pPr>
            <w:r w:rsidRPr="004B2104">
              <w:rPr>
                <w:rStyle w:val="BookTitle"/>
              </w:rPr>
              <w:t>7.83</w:t>
            </w:r>
          </w:p>
        </w:tc>
      </w:tr>
      <w:tr w:rsidR="009D74F9" w:rsidRPr="004B2104" w14:paraId="0C3F8165" w14:textId="77777777" w:rsidTr="009D74F9">
        <w:trPr>
          <w:trHeight w:val="20"/>
        </w:trPr>
        <w:tc>
          <w:tcPr>
            <w:tcW w:w="1484" w:type="pct"/>
            <w:vMerge/>
            <w:tcBorders>
              <w:top w:val="nil"/>
              <w:left w:val="nil"/>
              <w:bottom w:val="single" w:sz="4" w:space="0" w:color="000000"/>
              <w:right w:val="nil"/>
            </w:tcBorders>
            <w:vAlign w:val="center"/>
            <w:hideMark/>
          </w:tcPr>
          <w:p w14:paraId="0C3F815F"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60"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61" w14:textId="77777777" w:rsidR="009D74F9" w:rsidRPr="004B2104" w:rsidRDefault="009D74F9" w:rsidP="00BD7FB0">
            <w:pPr>
              <w:spacing w:before="0" w:after="0"/>
              <w:jc w:val="center"/>
              <w:rPr>
                <w:rStyle w:val="BookTitle"/>
              </w:rPr>
            </w:pPr>
            <w:r w:rsidRPr="004B2104">
              <w:rPr>
                <w:rStyle w:val="BookTitle"/>
              </w:rPr>
              <w:t>3.78</w:t>
            </w:r>
          </w:p>
        </w:tc>
        <w:tc>
          <w:tcPr>
            <w:tcW w:w="637" w:type="pct"/>
            <w:tcBorders>
              <w:top w:val="nil"/>
              <w:left w:val="nil"/>
              <w:bottom w:val="nil"/>
              <w:right w:val="nil"/>
            </w:tcBorders>
            <w:shd w:val="clear" w:color="auto" w:fill="auto"/>
            <w:noWrap/>
            <w:vAlign w:val="center"/>
            <w:hideMark/>
          </w:tcPr>
          <w:p w14:paraId="0C3F8162" w14:textId="77777777" w:rsidR="009D74F9" w:rsidRPr="004B2104" w:rsidRDefault="009D74F9" w:rsidP="00BD7FB0">
            <w:pPr>
              <w:spacing w:before="0" w:after="0"/>
              <w:jc w:val="center"/>
              <w:rPr>
                <w:rStyle w:val="BookTitle"/>
              </w:rPr>
            </w:pPr>
            <w:r w:rsidRPr="004B2104">
              <w:rPr>
                <w:rStyle w:val="BookTitle"/>
              </w:rPr>
              <w:t>6.08</w:t>
            </w:r>
          </w:p>
        </w:tc>
        <w:tc>
          <w:tcPr>
            <w:tcW w:w="675" w:type="pct"/>
            <w:tcBorders>
              <w:top w:val="nil"/>
              <w:left w:val="nil"/>
              <w:bottom w:val="nil"/>
              <w:right w:val="single" w:sz="4" w:space="0" w:color="auto"/>
            </w:tcBorders>
            <w:shd w:val="clear" w:color="auto" w:fill="auto"/>
            <w:noWrap/>
            <w:vAlign w:val="center"/>
            <w:hideMark/>
          </w:tcPr>
          <w:p w14:paraId="0C3F8163" w14:textId="77777777" w:rsidR="009D74F9" w:rsidRPr="004B2104" w:rsidRDefault="009D74F9" w:rsidP="00BD7FB0">
            <w:pPr>
              <w:spacing w:before="0" w:after="0"/>
              <w:jc w:val="center"/>
              <w:rPr>
                <w:rStyle w:val="BookTitle"/>
              </w:rPr>
            </w:pPr>
            <w:r w:rsidRPr="004B2104">
              <w:rPr>
                <w:rStyle w:val="BookTitle"/>
              </w:rPr>
              <w:t>17.86</w:t>
            </w:r>
          </w:p>
        </w:tc>
        <w:tc>
          <w:tcPr>
            <w:tcW w:w="796" w:type="pct"/>
            <w:tcBorders>
              <w:top w:val="nil"/>
              <w:left w:val="nil"/>
              <w:bottom w:val="nil"/>
              <w:right w:val="single" w:sz="4" w:space="0" w:color="auto"/>
            </w:tcBorders>
            <w:shd w:val="clear" w:color="auto" w:fill="auto"/>
            <w:noWrap/>
            <w:vAlign w:val="center"/>
            <w:hideMark/>
          </w:tcPr>
          <w:p w14:paraId="0C3F8164" w14:textId="77777777" w:rsidR="009D74F9" w:rsidRPr="004B2104" w:rsidRDefault="009D74F9" w:rsidP="00BD7FB0">
            <w:pPr>
              <w:spacing w:before="0" w:after="0"/>
              <w:jc w:val="center"/>
              <w:rPr>
                <w:rStyle w:val="BookTitle"/>
              </w:rPr>
            </w:pPr>
            <w:r w:rsidRPr="004B2104">
              <w:rPr>
                <w:rStyle w:val="BookTitle"/>
              </w:rPr>
              <w:t>2.25</w:t>
            </w:r>
          </w:p>
        </w:tc>
      </w:tr>
      <w:tr w:rsidR="009D74F9" w:rsidRPr="004B2104" w14:paraId="0C3F816C" w14:textId="77777777" w:rsidTr="009D74F9">
        <w:trPr>
          <w:trHeight w:val="20"/>
        </w:trPr>
        <w:tc>
          <w:tcPr>
            <w:tcW w:w="1484" w:type="pct"/>
            <w:vMerge/>
            <w:tcBorders>
              <w:top w:val="nil"/>
              <w:left w:val="nil"/>
              <w:bottom w:val="single" w:sz="4" w:space="0" w:color="000000"/>
              <w:right w:val="nil"/>
            </w:tcBorders>
            <w:vAlign w:val="center"/>
            <w:hideMark/>
          </w:tcPr>
          <w:p w14:paraId="0C3F8166"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67"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68" w14:textId="77777777" w:rsidR="009D74F9" w:rsidRPr="004B2104" w:rsidRDefault="009D74F9" w:rsidP="00BD7FB0">
            <w:pPr>
              <w:spacing w:before="0" w:after="0"/>
              <w:jc w:val="center"/>
              <w:rPr>
                <w:rStyle w:val="BookTitle"/>
              </w:rPr>
            </w:pPr>
            <w:r w:rsidRPr="004B2104">
              <w:rPr>
                <w:rStyle w:val="BookTitle"/>
              </w:rPr>
              <w:t>31</w:t>
            </w:r>
          </w:p>
        </w:tc>
        <w:tc>
          <w:tcPr>
            <w:tcW w:w="637" w:type="pct"/>
            <w:tcBorders>
              <w:top w:val="nil"/>
              <w:left w:val="nil"/>
              <w:bottom w:val="single" w:sz="4" w:space="0" w:color="auto"/>
              <w:right w:val="nil"/>
            </w:tcBorders>
            <w:shd w:val="clear" w:color="auto" w:fill="auto"/>
            <w:noWrap/>
            <w:vAlign w:val="center"/>
            <w:hideMark/>
          </w:tcPr>
          <w:p w14:paraId="0C3F8169"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6A" w14:textId="77777777" w:rsidR="009D74F9" w:rsidRPr="004B2104" w:rsidRDefault="009D74F9" w:rsidP="00BD7FB0">
            <w:pPr>
              <w:spacing w:before="0" w:after="0"/>
              <w:jc w:val="center"/>
              <w:rPr>
                <w:rStyle w:val="BookTitle"/>
              </w:rPr>
            </w:pPr>
            <w:r w:rsidRPr="004B2104">
              <w:rPr>
                <w:rStyle w:val="BookTitle"/>
              </w:rPr>
              <w:t>9</w:t>
            </w:r>
          </w:p>
        </w:tc>
        <w:tc>
          <w:tcPr>
            <w:tcW w:w="796" w:type="pct"/>
            <w:tcBorders>
              <w:top w:val="nil"/>
              <w:left w:val="nil"/>
              <w:bottom w:val="single" w:sz="4" w:space="0" w:color="auto"/>
              <w:right w:val="single" w:sz="4" w:space="0" w:color="auto"/>
            </w:tcBorders>
            <w:shd w:val="clear" w:color="auto" w:fill="auto"/>
            <w:noWrap/>
            <w:vAlign w:val="center"/>
            <w:hideMark/>
          </w:tcPr>
          <w:p w14:paraId="0C3F816B"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73"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6D" w14:textId="77777777" w:rsidR="009D74F9" w:rsidRPr="004B2104" w:rsidRDefault="00E77510" w:rsidP="00E77510">
            <w:pPr>
              <w:spacing w:before="0" w:after="0"/>
              <w:jc w:val="center"/>
              <w:rPr>
                <w:rStyle w:val="BookTitle"/>
              </w:rPr>
            </w:pPr>
            <w:r>
              <w:rPr>
                <w:rStyle w:val="BookTitle"/>
              </w:rPr>
              <w:t>Chlorophyll</w:t>
            </w:r>
            <w:r w:rsidR="009D74F9" w:rsidRPr="004B2104">
              <w:rPr>
                <w:rStyle w:val="BookTitle"/>
              </w:rPr>
              <w:t>-a (</w:t>
            </w:r>
            <w:r w:rsidRPr="004B2104">
              <w:rPr>
                <w:rStyle w:val="BookTitle"/>
              </w:rPr>
              <w:t>µ</w:t>
            </w:r>
            <w:r>
              <w:rPr>
                <w:rStyle w:val="BookTitle"/>
              </w:rPr>
              <w:t>g</w:t>
            </w:r>
            <w:r w:rsidR="009D74F9" w:rsidRPr="004B2104">
              <w:rPr>
                <w:rStyle w:val="BookTitle"/>
              </w:rPr>
              <w:t>/L)</w:t>
            </w:r>
          </w:p>
        </w:tc>
        <w:tc>
          <w:tcPr>
            <w:tcW w:w="456" w:type="pct"/>
            <w:tcBorders>
              <w:top w:val="nil"/>
              <w:left w:val="nil"/>
              <w:bottom w:val="nil"/>
              <w:right w:val="nil"/>
            </w:tcBorders>
            <w:shd w:val="clear" w:color="auto" w:fill="auto"/>
            <w:noWrap/>
            <w:vAlign w:val="center"/>
            <w:hideMark/>
          </w:tcPr>
          <w:p w14:paraId="0C3F816E"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6F" w14:textId="77777777" w:rsidR="009D74F9" w:rsidRPr="004B2104" w:rsidRDefault="009D74F9" w:rsidP="00BD7FB0">
            <w:pPr>
              <w:spacing w:before="0" w:after="0"/>
              <w:jc w:val="center"/>
              <w:rPr>
                <w:rStyle w:val="BookTitle"/>
              </w:rPr>
            </w:pPr>
            <w:r w:rsidRPr="004B2104">
              <w:rPr>
                <w:rStyle w:val="BookTitle"/>
              </w:rPr>
              <w:t>0.23</w:t>
            </w:r>
          </w:p>
        </w:tc>
        <w:tc>
          <w:tcPr>
            <w:tcW w:w="637" w:type="pct"/>
            <w:tcBorders>
              <w:top w:val="nil"/>
              <w:left w:val="nil"/>
              <w:bottom w:val="nil"/>
              <w:right w:val="nil"/>
            </w:tcBorders>
            <w:shd w:val="clear" w:color="auto" w:fill="auto"/>
            <w:noWrap/>
            <w:vAlign w:val="center"/>
            <w:hideMark/>
          </w:tcPr>
          <w:p w14:paraId="0C3F8170" w14:textId="77777777" w:rsidR="009D74F9" w:rsidRPr="004B2104" w:rsidRDefault="009D74F9" w:rsidP="00BD7FB0">
            <w:pPr>
              <w:spacing w:before="0" w:after="0"/>
              <w:jc w:val="center"/>
              <w:rPr>
                <w:rStyle w:val="BookTitle"/>
              </w:rPr>
            </w:pPr>
            <w:r w:rsidRPr="004B2104">
              <w:rPr>
                <w:rStyle w:val="BookTitle"/>
              </w:rPr>
              <w:t>0.29</w:t>
            </w:r>
          </w:p>
        </w:tc>
        <w:tc>
          <w:tcPr>
            <w:tcW w:w="675" w:type="pct"/>
            <w:tcBorders>
              <w:top w:val="nil"/>
              <w:left w:val="nil"/>
              <w:bottom w:val="nil"/>
              <w:right w:val="single" w:sz="4" w:space="0" w:color="auto"/>
            </w:tcBorders>
            <w:shd w:val="clear" w:color="auto" w:fill="auto"/>
            <w:noWrap/>
            <w:vAlign w:val="center"/>
            <w:hideMark/>
          </w:tcPr>
          <w:p w14:paraId="0C3F8171" w14:textId="77777777" w:rsidR="009D74F9" w:rsidRPr="004B2104" w:rsidRDefault="009D74F9" w:rsidP="00BD7FB0">
            <w:pPr>
              <w:spacing w:before="0" w:after="0"/>
              <w:jc w:val="center"/>
              <w:rPr>
                <w:rStyle w:val="BookTitle"/>
              </w:rPr>
            </w:pPr>
            <w:r w:rsidRPr="004B2104">
              <w:rPr>
                <w:rStyle w:val="BookTitle"/>
              </w:rPr>
              <w:t>0.49</w:t>
            </w:r>
          </w:p>
        </w:tc>
        <w:tc>
          <w:tcPr>
            <w:tcW w:w="796" w:type="pct"/>
            <w:tcBorders>
              <w:top w:val="nil"/>
              <w:left w:val="nil"/>
              <w:bottom w:val="nil"/>
              <w:right w:val="single" w:sz="4" w:space="0" w:color="auto"/>
            </w:tcBorders>
            <w:shd w:val="clear" w:color="auto" w:fill="auto"/>
            <w:noWrap/>
            <w:vAlign w:val="center"/>
            <w:hideMark/>
          </w:tcPr>
          <w:p w14:paraId="0C3F8172" w14:textId="77777777" w:rsidR="009D74F9" w:rsidRPr="004B2104" w:rsidRDefault="009D74F9" w:rsidP="00BD7FB0">
            <w:pPr>
              <w:spacing w:before="0" w:after="0"/>
              <w:jc w:val="center"/>
              <w:rPr>
                <w:rStyle w:val="BookTitle"/>
              </w:rPr>
            </w:pPr>
            <w:r w:rsidRPr="004B2104">
              <w:rPr>
                <w:rStyle w:val="BookTitle"/>
              </w:rPr>
              <w:t>0.20</w:t>
            </w:r>
          </w:p>
        </w:tc>
      </w:tr>
      <w:tr w:rsidR="009D74F9" w:rsidRPr="004B2104" w14:paraId="0C3F817A" w14:textId="77777777" w:rsidTr="009D74F9">
        <w:trPr>
          <w:trHeight w:val="20"/>
        </w:trPr>
        <w:tc>
          <w:tcPr>
            <w:tcW w:w="1484" w:type="pct"/>
            <w:vMerge/>
            <w:tcBorders>
              <w:top w:val="nil"/>
              <w:left w:val="nil"/>
              <w:bottom w:val="single" w:sz="4" w:space="0" w:color="000000"/>
              <w:right w:val="nil"/>
            </w:tcBorders>
            <w:vAlign w:val="center"/>
            <w:hideMark/>
          </w:tcPr>
          <w:p w14:paraId="0C3F8174"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75"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76" w14:textId="77777777" w:rsidR="009D74F9" w:rsidRPr="004B2104" w:rsidRDefault="009D74F9" w:rsidP="00BD7FB0">
            <w:pPr>
              <w:spacing w:before="0" w:after="0"/>
              <w:jc w:val="center"/>
              <w:rPr>
                <w:rStyle w:val="BookTitle"/>
              </w:rPr>
            </w:pPr>
            <w:r w:rsidRPr="004B2104">
              <w:rPr>
                <w:rStyle w:val="BookTitle"/>
              </w:rPr>
              <w:t>9.74</w:t>
            </w:r>
          </w:p>
        </w:tc>
        <w:tc>
          <w:tcPr>
            <w:tcW w:w="637" w:type="pct"/>
            <w:tcBorders>
              <w:top w:val="nil"/>
              <w:left w:val="nil"/>
              <w:bottom w:val="nil"/>
              <w:right w:val="nil"/>
            </w:tcBorders>
            <w:shd w:val="clear" w:color="auto" w:fill="auto"/>
            <w:noWrap/>
            <w:vAlign w:val="center"/>
            <w:hideMark/>
          </w:tcPr>
          <w:p w14:paraId="0C3F8177" w14:textId="77777777" w:rsidR="009D74F9" w:rsidRPr="004B2104" w:rsidRDefault="009D74F9" w:rsidP="00BD7FB0">
            <w:pPr>
              <w:spacing w:before="0" w:after="0"/>
              <w:jc w:val="center"/>
              <w:rPr>
                <w:rStyle w:val="BookTitle"/>
              </w:rPr>
            </w:pPr>
            <w:r w:rsidRPr="004B2104">
              <w:rPr>
                <w:rStyle w:val="BookTitle"/>
              </w:rPr>
              <w:t>2.90</w:t>
            </w:r>
          </w:p>
        </w:tc>
        <w:tc>
          <w:tcPr>
            <w:tcW w:w="675" w:type="pct"/>
            <w:tcBorders>
              <w:top w:val="nil"/>
              <w:left w:val="nil"/>
              <w:bottom w:val="nil"/>
              <w:right w:val="single" w:sz="4" w:space="0" w:color="auto"/>
            </w:tcBorders>
            <w:shd w:val="clear" w:color="auto" w:fill="auto"/>
            <w:noWrap/>
            <w:vAlign w:val="center"/>
            <w:hideMark/>
          </w:tcPr>
          <w:p w14:paraId="0C3F8178" w14:textId="77777777" w:rsidR="009D74F9" w:rsidRPr="004B2104" w:rsidRDefault="009D74F9" w:rsidP="00BD7FB0">
            <w:pPr>
              <w:spacing w:before="0" w:after="0"/>
              <w:jc w:val="center"/>
              <w:rPr>
                <w:rStyle w:val="BookTitle"/>
              </w:rPr>
            </w:pPr>
            <w:r w:rsidRPr="004B2104">
              <w:rPr>
                <w:rStyle w:val="BookTitle"/>
              </w:rPr>
              <w:t>3.00</w:t>
            </w:r>
          </w:p>
        </w:tc>
        <w:tc>
          <w:tcPr>
            <w:tcW w:w="796" w:type="pct"/>
            <w:tcBorders>
              <w:top w:val="nil"/>
              <w:left w:val="nil"/>
              <w:bottom w:val="nil"/>
              <w:right w:val="single" w:sz="4" w:space="0" w:color="auto"/>
            </w:tcBorders>
            <w:shd w:val="clear" w:color="auto" w:fill="auto"/>
            <w:noWrap/>
            <w:vAlign w:val="center"/>
            <w:hideMark/>
          </w:tcPr>
          <w:p w14:paraId="0C3F8179" w14:textId="77777777" w:rsidR="009D74F9" w:rsidRPr="004B2104" w:rsidRDefault="009D74F9" w:rsidP="00BD7FB0">
            <w:pPr>
              <w:spacing w:before="0" w:after="0"/>
              <w:jc w:val="center"/>
              <w:rPr>
                <w:rStyle w:val="BookTitle"/>
              </w:rPr>
            </w:pPr>
            <w:r w:rsidRPr="004B2104">
              <w:rPr>
                <w:rStyle w:val="BookTitle"/>
              </w:rPr>
              <w:t>1.08</w:t>
            </w:r>
          </w:p>
        </w:tc>
      </w:tr>
      <w:tr w:rsidR="009D74F9" w:rsidRPr="004B2104" w14:paraId="0C3F8181" w14:textId="77777777" w:rsidTr="009D74F9">
        <w:trPr>
          <w:trHeight w:val="20"/>
        </w:trPr>
        <w:tc>
          <w:tcPr>
            <w:tcW w:w="1484" w:type="pct"/>
            <w:vMerge/>
            <w:tcBorders>
              <w:top w:val="nil"/>
              <w:left w:val="nil"/>
              <w:bottom w:val="single" w:sz="4" w:space="0" w:color="000000"/>
              <w:right w:val="nil"/>
            </w:tcBorders>
            <w:vAlign w:val="center"/>
            <w:hideMark/>
          </w:tcPr>
          <w:p w14:paraId="0C3F817B"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7C"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7D" w14:textId="77777777" w:rsidR="009D74F9" w:rsidRPr="004B2104" w:rsidRDefault="009D74F9" w:rsidP="00BD7FB0">
            <w:pPr>
              <w:spacing w:before="0" w:after="0"/>
              <w:jc w:val="center"/>
              <w:rPr>
                <w:rStyle w:val="BookTitle"/>
              </w:rPr>
            </w:pPr>
            <w:r w:rsidRPr="004B2104">
              <w:rPr>
                <w:rStyle w:val="BookTitle"/>
              </w:rPr>
              <w:t>1.28</w:t>
            </w:r>
          </w:p>
        </w:tc>
        <w:tc>
          <w:tcPr>
            <w:tcW w:w="637" w:type="pct"/>
            <w:tcBorders>
              <w:top w:val="nil"/>
              <w:left w:val="nil"/>
              <w:bottom w:val="nil"/>
              <w:right w:val="nil"/>
            </w:tcBorders>
            <w:shd w:val="clear" w:color="auto" w:fill="auto"/>
            <w:noWrap/>
            <w:vAlign w:val="center"/>
            <w:hideMark/>
          </w:tcPr>
          <w:p w14:paraId="0C3F817E" w14:textId="77777777" w:rsidR="009D74F9" w:rsidRPr="004B2104" w:rsidRDefault="009D74F9" w:rsidP="00BD7FB0">
            <w:pPr>
              <w:spacing w:before="0" w:after="0"/>
              <w:jc w:val="center"/>
              <w:rPr>
                <w:rStyle w:val="BookTitle"/>
              </w:rPr>
            </w:pPr>
            <w:r w:rsidRPr="004B2104">
              <w:rPr>
                <w:rStyle w:val="BookTitle"/>
              </w:rPr>
              <w:t>0.97</w:t>
            </w:r>
          </w:p>
        </w:tc>
        <w:tc>
          <w:tcPr>
            <w:tcW w:w="675" w:type="pct"/>
            <w:tcBorders>
              <w:top w:val="nil"/>
              <w:left w:val="nil"/>
              <w:bottom w:val="nil"/>
              <w:right w:val="single" w:sz="4" w:space="0" w:color="auto"/>
            </w:tcBorders>
            <w:shd w:val="clear" w:color="auto" w:fill="auto"/>
            <w:noWrap/>
            <w:vAlign w:val="center"/>
            <w:hideMark/>
          </w:tcPr>
          <w:p w14:paraId="0C3F817F" w14:textId="77777777" w:rsidR="009D74F9" w:rsidRPr="004B2104" w:rsidRDefault="009D74F9" w:rsidP="00BD7FB0">
            <w:pPr>
              <w:spacing w:before="0" w:after="0"/>
              <w:jc w:val="center"/>
              <w:rPr>
                <w:rStyle w:val="BookTitle"/>
              </w:rPr>
            </w:pPr>
            <w:r w:rsidRPr="004B2104">
              <w:rPr>
                <w:rStyle w:val="BookTitle"/>
              </w:rPr>
              <w:t>1.62</w:t>
            </w:r>
          </w:p>
        </w:tc>
        <w:tc>
          <w:tcPr>
            <w:tcW w:w="796" w:type="pct"/>
            <w:tcBorders>
              <w:top w:val="nil"/>
              <w:left w:val="nil"/>
              <w:bottom w:val="nil"/>
              <w:right w:val="single" w:sz="4" w:space="0" w:color="auto"/>
            </w:tcBorders>
            <w:shd w:val="clear" w:color="auto" w:fill="auto"/>
            <w:noWrap/>
            <w:vAlign w:val="center"/>
            <w:hideMark/>
          </w:tcPr>
          <w:p w14:paraId="0C3F8180" w14:textId="77777777" w:rsidR="009D74F9" w:rsidRPr="004B2104" w:rsidRDefault="009D74F9" w:rsidP="00BD7FB0">
            <w:pPr>
              <w:spacing w:before="0" w:after="0"/>
              <w:jc w:val="center"/>
              <w:rPr>
                <w:rStyle w:val="BookTitle"/>
              </w:rPr>
            </w:pPr>
            <w:r w:rsidRPr="004B2104">
              <w:rPr>
                <w:rStyle w:val="BookTitle"/>
              </w:rPr>
              <w:t>0.65</w:t>
            </w:r>
          </w:p>
        </w:tc>
      </w:tr>
      <w:tr w:rsidR="009D74F9" w:rsidRPr="004B2104" w14:paraId="0C3F8188" w14:textId="77777777" w:rsidTr="009D74F9">
        <w:trPr>
          <w:trHeight w:val="20"/>
        </w:trPr>
        <w:tc>
          <w:tcPr>
            <w:tcW w:w="1484" w:type="pct"/>
            <w:vMerge/>
            <w:tcBorders>
              <w:top w:val="nil"/>
              <w:left w:val="nil"/>
              <w:bottom w:val="single" w:sz="4" w:space="0" w:color="000000"/>
              <w:right w:val="nil"/>
            </w:tcBorders>
            <w:vAlign w:val="center"/>
            <w:hideMark/>
          </w:tcPr>
          <w:p w14:paraId="0C3F8182"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83"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84" w14:textId="77777777" w:rsidR="009D74F9" w:rsidRPr="004B2104" w:rsidRDefault="009D74F9" w:rsidP="00BD7FB0">
            <w:pPr>
              <w:spacing w:before="0" w:after="0"/>
              <w:jc w:val="center"/>
              <w:rPr>
                <w:rStyle w:val="BookTitle"/>
              </w:rPr>
            </w:pPr>
            <w:r w:rsidRPr="004B2104">
              <w:rPr>
                <w:rStyle w:val="BookTitle"/>
              </w:rPr>
              <w:t>1.46</w:t>
            </w:r>
          </w:p>
        </w:tc>
        <w:tc>
          <w:tcPr>
            <w:tcW w:w="637" w:type="pct"/>
            <w:tcBorders>
              <w:top w:val="nil"/>
              <w:left w:val="nil"/>
              <w:bottom w:val="nil"/>
              <w:right w:val="nil"/>
            </w:tcBorders>
            <w:shd w:val="clear" w:color="auto" w:fill="auto"/>
            <w:noWrap/>
            <w:vAlign w:val="center"/>
            <w:hideMark/>
          </w:tcPr>
          <w:p w14:paraId="0C3F8185" w14:textId="77777777" w:rsidR="009D74F9" w:rsidRPr="004B2104" w:rsidRDefault="009D74F9" w:rsidP="00BD7FB0">
            <w:pPr>
              <w:spacing w:before="0" w:after="0"/>
              <w:jc w:val="center"/>
              <w:rPr>
                <w:rStyle w:val="BookTitle"/>
              </w:rPr>
            </w:pPr>
            <w:r w:rsidRPr="004B2104">
              <w:rPr>
                <w:rStyle w:val="BookTitle"/>
              </w:rPr>
              <w:t>0.77</w:t>
            </w:r>
          </w:p>
        </w:tc>
        <w:tc>
          <w:tcPr>
            <w:tcW w:w="675" w:type="pct"/>
            <w:tcBorders>
              <w:top w:val="nil"/>
              <w:left w:val="nil"/>
              <w:bottom w:val="nil"/>
              <w:right w:val="single" w:sz="4" w:space="0" w:color="auto"/>
            </w:tcBorders>
            <w:shd w:val="clear" w:color="auto" w:fill="auto"/>
            <w:noWrap/>
            <w:vAlign w:val="center"/>
            <w:hideMark/>
          </w:tcPr>
          <w:p w14:paraId="0C3F8186" w14:textId="77777777" w:rsidR="009D74F9" w:rsidRPr="004B2104" w:rsidRDefault="009D74F9" w:rsidP="00BD7FB0">
            <w:pPr>
              <w:spacing w:before="0" w:after="0"/>
              <w:jc w:val="center"/>
              <w:rPr>
                <w:rStyle w:val="BookTitle"/>
              </w:rPr>
            </w:pPr>
            <w:r w:rsidRPr="004B2104">
              <w:rPr>
                <w:rStyle w:val="BookTitle"/>
              </w:rPr>
              <w:t>0.86</w:t>
            </w:r>
          </w:p>
        </w:tc>
        <w:tc>
          <w:tcPr>
            <w:tcW w:w="796" w:type="pct"/>
            <w:tcBorders>
              <w:top w:val="nil"/>
              <w:left w:val="nil"/>
              <w:bottom w:val="nil"/>
              <w:right w:val="single" w:sz="4" w:space="0" w:color="auto"/>
            </w:tcBorders>
            <w:shd w:val="clear" w:color="auto" w:fill="auto"/>
            <w:noWrap/>
            <w:vAlign w:val="center"/>
            <w:hideMark/>
          </w:tcPr>
          <w:p w14:paraId="0C3F8187" w14:textId="77777777" w:rsidR="009D74F9" w:rsidRPr="004B2104" w:rsidRDefault="009D74F9" w:rsidP="00BD7FB0">
            <w:pPr>
              <w:spacing w:before="0" w:after="0"/>
              <w:jc w:val="center"/>
              <w:rPr>
                <w:rStyle w:val="BookTitle"/>
              </w:rPr>
            </w:pPr>
            <w:r w:rsidRPr="004B2104">
              <w:rPr>
                <w:rStyle w:val="BookTitle"/>
              </w:rPr>
              <w:t>0.28</w:t>
            </w:r>
          </w:p>
        </w:tc>
      </w:tr>
      <w:tr w:rsidR="009D74F9" w:rsidRPr="004B2104" w14:paraId="0C3F818F" w14:textId="77777777" w:rsidTr="009D74F9">
        <w:trPr>
          <w:trHeight w:val="20"/>
        </w:trPr>
        <w:tc>
          <w:tcPr>
            <w:tcW w:w="1484" w:type="pct"/>
            <w:vMerge/>
            <w:tcBorders>
              <w:top w:val="nil"/>
              <w:left w:val="nil"/>
              <w:bottom w:val="single" w:sz="4" w:space="0" w:color="000000"/>
              <w:right w:val="nil"/>
            </w:tcBorders>
            <w:vAlign w:val="center"/>
            <w:hideMark/>
          </w:tcPr>
          <w:p w14:paraId="0C3F8189"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8A"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8B" w14:textId="77777777" w:rsidR="009D74F9" w:rsidRPr="004B2104" w:rsidRDefault="009D74F9" w:rsidP="00BD7FB0">
            <w:pPr>
              <w:spacing w:before="0" w:after="0"/>
              <w:jc w:val="center"/>
              <w:rPr>
                <w:rStyle w:val="BookTitle"/>
              </w:rPr>
            </w:pPr>
            <w:r w:rsidRPr="004B2104">
              <w:rPr>
                <w:rStyle w:val="BookTitle"/>
              </w:rPr>
              <w:t>44</w:t>
            </w:r>
          </w:p>
        </w:tc>
        <w:tc>
          <w:tcPr>
            <w:tcW w:w="637" w:type="pct"/>
            <w:tcBorders>
              <w:top w:val="nil"/>
              <w:left w:val="nil"/>
              <w:bottom w:val="single" w:sz="4" w:space="0" w:color="auto"/>
              <w:right w:val="nil"/>
            </w:tcBorders>
            <w:shd w:val="clear" w:color="auto" w:fill="auto"/>
            <w:noWrap/>
            <w:vAlign w:val="center"/>
            <w:hideMark/>
          </w:tcPr>
          <w:p w14:paraId="0C3F818C"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8D"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18E"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96"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90" w14:textId="77777777" w:rsidR="009D74F9" w:rsidRPr="004B2104" w:rsidRDefault="009D74F9" w:rsidP="00BD7FB0">
            <w:pPr>
              <w:spacing w:before="0" w:after="0"/>
              <w:jc w:val="center"/>
              <w:rPr>
                <w:rStyle w:val="BookTitle"/>
              </w:rPr>
            </w:pPr>
            <w:r w:rsidRPr="004B2104">
              <w:rPr>
                <w:rStyle w:val="BookTitle"/>
              </w:rPr>
              <w:t>Total Nitrogen (µM)</w:t>
            </w:r>
          </w:p>
        </w:tc>
        <w:tc>
          <w:tcPr>
            <w:tcW w:w="456" w:type="pct"/>
            <w:tcBorders>
              <w:top w:val="nil"/>
              <w:left w:val="nil"/>
              <w:bottom w:val="nil"/>
              <w:right w:val="nil"/>
            </w:tcBorders>
            <w:shd w:val="clear" w:color="auto" w:fill="auto"/>
            <w:noWrap/>
            <w:vAlign w:val="center"/>
            <w:hideMark/>
          </w:tcPr>
          <w:p w14:paraId="0C3F8191"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92" w14:textId="77777777" w:rsidR="009D74F9" w:rsidRPr="004B2104" w:rsidRDefault="009D74F9" w:rsidP="00BD7FB0">
            <w:pPr>
              <w:spacing w:before="0" w:after="0"/>
              <w:jc w:val="center"/>
              <w:rPr>
                <w:rStyle w:val="BookTitle"/>
              </w:rPr>
            </w:pPr>
            <w:r w:rsidRPr="004B2104">
              <w:rPr>
                <w:rStyle w:val="BookTitle"/>
              </w:rPr>
              <w:t>5.50</w:t>
            </w:r>
          </w:p>
        </w:tc>
        <w:tc>
          <w:tcPr>
            <w:tcW w:w="637" w:type="pct"/>
            <w:tcBorders>
              <w:top w:val="nil"/>
              <w:left w:val="nil"/>
              <w:bottom w:val="nil"/>
              <w:right w:val="nil"/>
            </w:tcBorders>
            <w:shd w:val="clear" w:color="auto" w:fill="auto"/>
            <w:noWrap/>
            <w:vAlign w:val="center"/>
            <w:hideMark/>
          </w:tcPr>
          <w:p w14:paraId="0C3F8193" w14:textId="77777777" w:rsidR="009D74F9" w:rsidRPr="004B2104" w:rsidRDefault="009D74F9" w:rsidP="00BD7FB0">
            <w:pPr>
              <w:spacing w:before="0" w:after="0"/>
              <w:jc w:val="center"/>
              <w:rPr>
                <w:rStyle w:val="BookTitle"/>
              </w:rPr>
            </w:pPr>
            <w:r w:rsidRPr="004B2104">
              <w:rPr>
                <w:rStyle w:val="BookTitle"/>
              </w:rPr>
              <w:t>5.71</w:t>
            </w:r>
          </w:p>
        </w:tc>
        <w:tc>
          <w:tcPr>
            <w:tcW w:w="675" w:type="pct"/>
            <w:tcBorders>
              <w:top w:val="nil"/>
              <w:left w:val="nil"/>
              <w:bottom w:val="nil"/>
              <w:right w:val="single" w:sz="4" w:space="0" w:color="auto"/>
            </w:tcBorders>
            <w:shd w:val="clear" w:color="auto" w:fill="auto"/>
            <w:noWrap/>
            <w:vAlign w:val="center"/>
            <w:hideMark/>
          </w:tcPr>
          <w:p w14:paraId="0C3F8194" w14:textId="77777777" w:rsidR="009D74F9" w:rsidRPr="004B2104" w:rsidRDefault="009D74F9" w:rsidP="00BD7FB0">
            <w:pPr>
              <w:spacing w:before="0" w:after="0"/>
              <w:jc w:val="center"/>
              <w:rPr>
                <w:rStyle w:val="BookTitle"/>
              </w:rPr>
            </w:pPr>
            <w:r w:rsidRPr="004B2104">
              <w:rPr>
                <w:rStyle w:val="BookTitle"/>
              </w:rPr>
              <w:t>6.43</w:t>
            </w:r>
          </w:p>
        </w:tc>
        <w:tc>
          <w:tcPr>
            <w:tcW w:w="796" w:type="pct"/>
            <w:tcBorders>
              <w:top w:val="nil"/>
              <w:left w:val="nil"/>
              <w:bottom w:val="nil"/>
              <w:right w:val="single" w:sz="4" w:space="0" w:color="auto"/>
            </w:tcBorders>
            <w:shd w:val="clear" w:color="auto" w:fill="auto"/>
            <w:noWrap/>
            <w:vAlign w:val="center"/>
            <w:hideMark/>
          </w:tcPr>
          <w:p w14:paraId="0C3F8195" w14:textId="77777777" w:rsidR="009D74F9" w:rsidRPr="004B2104" w:rsidRDefault="009D74F9" w:rsidP="00BD7FB0">
            <w:pPr>
              <w:spacing w:before="0" w:after="0"/>
              <w:jc w:val="center"/>
              <w:rPr>
                <w:rStyle w:val="BookTitle"/>
              </w:rPr>
            </w:pPr>
            <w:r w:rsidRPr="004B2104">
              <w:rPr>
                <w:rStyle w:val="BookTitle"/>
              </w:rPr>
              <w:t>8.21</w:t>
            </w:r>
          </w:p>
        </w:tc>
      </w:tr>
      <w:tr w:rsidR="009D74F9" w:rsidRPr="004B2104" w14:paraId="0C3F819D" w14:textId="77777777" w:rsidTr="009D74F9">
        <w:trPr>
          <w:trHeight w:val="20"/>
        </w:trPr>
        <w:tc>
          <w:tcPr>
            <w:tcW w:w="1484" w:type="pct"/>
            <w:vMerge/>
            <w:tcBorders>
              <w:top w:val="nil"/>
              <w:left w:val="nil"/>
              <w:bottom w:val="single" w:sz="4" w:space="0" w:color="000000"/>
              <w:right w:val="nil"/>
            </w:tcBorders>
            <w:vAlign w:val="center"/>
            <w:hideMark/>
          </w:tcPr>
          <w:p w14:paraId="0C3F8197"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98"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99" w14:textId="77777777" w:rsidR="009D74F9" w:rsidRPr="004B2104" w:rsidRDefault="009D74F9" w:rsidP="00BD7FB0">
            <w:pPr>
              <w:spacing w:before="0" w:after="0"/>
              <w:jc w:val="center"/>
              <w:rPr>
                <w:rStyle w:val="BookTitle"/>
              </w:rPr>
            </w:pPr>
            <w:r w:rsidRPr="004B2104">
              <w:rPr>
                <w:rStyle w:val="BookTitle"/>
              </w:rPr>
              <w:t>24.77</w:t>
            </w:r>
          </w:p>
        </w:tc>
        <w:tc>
          <w:tcPr>
            <w:tcW w:w="637" w:type="pct"/>
            <w:tcBorders>
              <w:top w:val="nil"/>
              <w:left w:val="nil"/>
              <w:bottom w:val="nil"/>
              <w:right w:val="nil"/>
            </w:tcBorders>
            <w:shd w:val="clear" w:color="auto" w:fill="auto"/>
            <w:noWrap/>
            <w:vAlign w:val="center"/>
            <w:hideMark/>
          </w:tcPr>
          <w:p w14:paraId="0C3F819A" w14:textId="77777777" w:rsidR="009D74F9" w:rsidRPr="004B2104" w:rsidRDefault="009D74F9" w:rsidP="00BD7FB0">
            <w:pPr>
              <w:spacing w:before="0" w:after="0"/>
              <w:jc w:val="center"/>
              <w:rPr>
                <w:rStyle w:val="BookTitle"/>
              </w:rPr>
            </w:pPr>
            <w:r w:rsidRPr="004B2104">
              <w:rPr>
                <w:rStyle w:val="BookTitle"/>
              </w:rPr>
              <w:t>11.99</w:t>
            </w:r>
          </w:p>
        </w:tc>
        <w:tc>
          <w:tcPr>
            <w:tcW w:w="675" w:type="pct"/>
            <w:tcBorders>
              <w:top w:val="nil"/>
              <w:left w:val="nil"/>
              <w:bottom w:val="nil"/>
              <w:right w:val="single" w:sz="4" w:space="0" w:color="auto"/>
            </w:tcBorders>
            <w:shd w:val="clear" w:color="auto" w:fill="auto"/>
            <w:noWrap/>
            <w:vAlign w:val="center"/>
            <w:hideMark/>
          </w:tcPr>
          <w:p w14:paraId="0C3F819B" w14:textId="77777777" w:rsidR="009D74F9" w:rsidRPr="004B2104" w:rsidRDefault="009D74F9" w:rsidP="00BD7FB0">
            <w:pPr>
              <w:spacing w:before="0" w:after="0"/>
              <w:jc w:val="center"/>
              <w:rPr>
                <w:rStyle w:val="BookTitle"/>
              </w:rPr>
            </w:pPr>
            <w:r w:rsidRPr="004B2104">
              <w:rPr>
                <w:rStyle w:val="BookTitle"/>
              </w:rPr>
              <w:t>20.56</w:t>
            </w:r>
          </w:p>
        </w:tc>
        <w:tc>
          <w:tcPr>
            <w:tcW w:w="796" w:type="pct"/>
            <w:tcBorders>
              <w:top w:val="nil"/>
              <w:left w:val="nil"/>
              <w:bottom w:val="nil"/>
              <w:right w:val="single" w:sz="4" w:space="0" w:color="auto"/>
            </w:tcBorders>
            <w:shd w:val="clear" w:color="auto" w:fill="auto"/>
            <w:noWrap/>
            <w:vAlign w:val="center"/>
            <w:hideMark/>
          </w:tcPr>
          <w:p w14:paraId="0C3F819C" w14:textId="77777777" w:rsidR="009D74F9" w:rsidRPr="004B2104" w:rsidRDefault="009D74F9" w:rsidP="00BD7FB0">
            <w:pPr>
              <w:spacing w:before="0" w:after="0"/>
              <w:jc w:val="center"/>
              <w:rPr>
                <w:rStyle w:val="BookTitle"/>
              </w:rPr>
            </w:pPr>
            <w:r w:rsidRPr="004B2104">
              <w:rPr>
                <w:rStyle w:val="BookTitle"/>
              </w:rPr>
              <w:t>16.78</w:t>
            </w:r>
          </w:p>
        </w:tc>
      </w:tr>
      <w:tr w:rsidR="009D74F9" w:rsidRPr="004B2104" w14:paraId="0C3F81A4" w14:textId="77777777" w:rsidTr="009D74F9">
        <w:trPr>
          <w:trHeight w:val="20"/>
        </w:trPr>
        <w:tc>
          <w:tcPr>
            <w:tcW w:w="1484" w:type="pct"/>
            <w:vMerge/>
            <w:tcBorders>
              <w:top w:val="nil"/>
              <w:left w:val="nil"/>
              <w:bottom w:val="single" w:sz="4" w:space="0" w:color="000000"/>
              <w:right w:val="nil"/>
            </w:tcBorders>
            <w:vAlign w:val="center"/>
            <w:hideMark/>
          </w:tcPr>
          <w:p w14:paraId="0C3F819E"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9F"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A0" w14:textId="77777777" w:rsidR="009D74F9" w:rsidRPr="004B2104" w:rsidRDefault="009D74F9" w:rsidP="00BD7FB0">
            <w:pPr>
              <w:spacing w:before="0" w:after="0"/>
              <w:jc w:val="center"/>
              <w:rPr>
                <w:rStyle w:val="BookTitle"/>
              </w:rPr>
            </w:pPr>
            <w:r w:rsidRPr="004B2104">
              <w:rPr>
                <w:rStyle w:val="BookTitle"/>
              </w:rPr>
              <w:t>13.01</w:t>
            </w:r>
          </w:p>
        </w:tc>
        <w:tc>
          <w:tcPr>
            <w:tcW w:w="637" w:type="pct"/>
            <w:tcBorders>
              <w:top w:val="nil"/>
              <w:left w:val="nil"/>
              <w:bottom w:val="nil"/>
              <w:right w:val="nil"/>
            </w:tcBorders>
            <w:shd w:val="clear" w:color="auto" w:fill="auto"/>
            <w:noWrap/>
            <w:vAlign w:val="center"/>
            <w:hideMark/>
          </w:tcPr>
          <w:p w14:paraId="0C3F81A1" w14:textId="77777777" w:rsidR="009D74F9" w:rsidRPr="004B2104" w:rsidRDefault="009D74F9" w:rsidP="00BD7FB0">
            <w:pPr>
              <w:spacing w:before="0" w:after="0"/>
              <w:jc w:val="center"/>
              <w:rPr>
                <w:rStyle w:val="BookTitle"/>
              </w:rPr>
            </w:pPr>
            <w:r w:rsidRPr="004B2104">
              <w:rPr>
                <w:rStyle w:val="BookTitle"/>
              </w:rPr>
              <w:t>9.83</w:t>
            </w:r>
          </w:p>
        </w:tc>
        <w:tc>
          <w:tcPr>
            <w:tcW w:w="675" w:type="pct"/>
            <w:tcBorders>
              <w:top w:val="nil"/>
              <w:left w:val="nil"/>
              <w:bottom w:val="nil"/>
              <w:right w:val="single" w:sz="4" w:space="0" w:color="auto"/>
            </w:tcBorders>
            <w:shd w:val="clear" w:color="auto" w:fill="auto"/>
            <w:noWrap/>
            <w:vAlign w:val="center"/>
            <w:hideMark/>
          </w:tcPr>
          <w:p w14:paraId="0C3F81A2" w14:textId="77777777" w:rsidR="009D74F9" w:rsidRPr="004B2104" w:rsidRDefault="009D74F9" w:rsidP="00BD7FB0">
            <w:pPr>
              <w:spacing w:before="0" w:after="0"/>
              <w:jc w:val="center"/>
              <w:rPr>
                <w:rStyle w:val="BookTitle"/>
              </w:rPr>
            </w:pPr>
            <w:r w:rsidRPr="004B2104">
              <w:rPr>
                <w:rStyle w:val="BookTitle"/>
              </w:rPr>
              <w:t>12.02</w:t>
            </w:r>
          </w:p>
        </w:tc>
        <w:tc>
          <w:tcPr>
            <w:tcW w:w="796" w:type="pct"/>
            <w:tcBorders>
              <w:top w:val="nil"/>
              <w:left w:val="nil"/>
              <w:bottom w:val="nil"/>
              <w:right w:val="single" w:sz="4" w:space="0" w:color="auto"/>
            </w:tcBorders>
            <w:shd w:val="clear" w:color="auto" w:fill="auto"/>
            <w:noWrap/>
            <w:vAlign w:val="center"/>
            <w:hideMark/>
          </w:tcPr>
          <w:p w14:paraId="0C3F81A3" w14:textId="77777777" w:rsidR="009D74F9" w:rsidRPr="004B2104" w:rsidRDefault="009D74F9" w:rsidP="00BD7FB0">
            <w:pPr>
              <w:spacing w:before="0" w:after="0"/>
              <w:jc w:val="center"/>
              <w:rPr>
                <w:rStyle w:val="BookTitle"/>
              </w:rPr>
            </w:pPr>
            <w:r w:rsidRPr="004B2104">
              <w:rPr>
                <w:rStyle w:val="BookTitle"/>
              </w:rPr>
              <w:t>10.74</w:t>
            </w:r>
          </w:p>
        </w:tc>
      </w:tr>
      <w:tr w:rsidR="009D74F9" w:rsidRPr="004B2104" w14:paraId="0C3F81AB" w14:textId="77777777" w:rsidTr="009D74F9">
        <w:trPr>
          <w:trHeight w:val="20"/>
        </w:trPr>
        <w:tc>
          <w:tcPr>
            <w:tcW w:w="1484" w:type="pct"/>
            <w:vMerge/>
            <w:tcBorders>
              <w:top w:val="nil"/>
              <w:left w:val="nil"/>
              <w:bottom w:val="single" w:sz="4" w:space="0" w:color="000000"/>
              <w:right w:val="nil"/>
            </w:tcBorders>
            <w:vAlign w:val="center"/>
            <w:hideMark/>
          </w:tcPr>
          <w:p w14:paraId="0C3F81A5"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A6"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A7" w14:textId="77777777" w:rsidR="009D74F9" w:rsidRPr="004B2104" w:rsidRDefault="009D74F9" w:rsidP="00BD7FB0">
            <w:pPr>
              <w:spacing w:before="0" w:after="0"/>
              <w:jc w:val="center"/>
              <w:rPr>
                <w:rStyle w:val="BookTitle"/>
              </w:rPr>
            </w:pPr>
            <w:r w:rsidRPr="004B2104">
              <w:rPr>
                <w:rStyle w:val="BookTitle"/>
              </w:rPr>
              <w:t>4.61</w:t>
            </w:r>
          </w:p>
        </w:tc>
        <w:tc>
          <w:tcPr>
            <w:tcW w:w="637" w:type="pct"/>
            <w:tcBorders>
              <w:top w:val="nil"/>
              <w:left w:val="nil"/>
              <w:bottom w:val="nil"/>
              <w:right w:val="nil"/>
            </w:tcBorders>
            <w:shd w:val="clear" w:color="auto" w:fill="auto"/>
            <w:noWrap/>
            <w:vAlign w:val="center"/>
            <w:hideMark/>
          </w:tcPr>
          <w:p w14:paraId="0C3F81A8" w14:textId="77777777" w:rsidR="009D74F9" w:rsidRPr="004B2104" w:rsidRDefault="009D74F9" w:rsidP="00BD7FB0">
            <w:pPr>
              <w:spacing w:before="0" w:after="0"/>
              <w:jc w:val="center"/>
              <w:rPr>
                <w:rStyle w:val="BookTitle"/>
              </w:rPr>
            </w:pPr>
            <w:r w:rsidRPr="004B2104">
              <w:rPr>
                <w:rStyle w:val="BookTitle"/>
              </w:rPr>
              <w:t>1.84</w:t>
            </w:r>
          </w:p>
        </w:tc>
        <w:tc>
          <w:tcPr>
            <w:tcW w:w="675" w:type="pct"/>
            <w:tcBorders>
              <w:top w:val="nil"/>
              <w:left w:val="nil"/>
              <w:bottom w:val="nil"/>
              <w:right w:val="single" w:sz="4" w:space="0" w:color="auto"/>
            </w:tcBorders>
            <w:shd w:val="clear" w:color="auto" w:fill="auto"/>
            <w:noWrap/>
            <w:vAlign w:val="center"/>
            <w:hideMark/>
          </w:tcPr>
          <w:p w14:paraId="0C3F81A9" w14:textId="77777777" w:rsidR="009D74F9" w:rsidRPr="004B2104" w:rsidRDefault="009D74F9" w:rsidP="00BD7FB0">
            <w:pPr>
              <w:spacing w:before="0" w:after="0"/>
              <w:jc w:val="center"/>
              <w:rPr>
                <w:rStyle w:val="BookTitle"/>
              </w:rPr>
            </w:pPr>
            <w:r w:rsidRPr="004B2104">
              <w:rPr>
                <w:rStyle w:val="BookTitle"/>
              </w:rPr>
              <w:t>4.32</w:t>
            </w:r>
          </w:p>
        </w:tc>
        <w:tc>
          <w:tcPr>
            <w:tcW w:w="796" w:type="pct"/>
            <w:tcBorders>
              <w:top w:val="nil"/>
              <w:left w:val="nil"/>
              <w:bottom w:val="nil"/>
              <w:right w:val="single" w:sz="4" w:space="0" w:color="auto"/>
            </w:tcBorders>
            <w:shd w:val="clear" w:color="auto" w:fill="auto"/>
            <w:noWrap/>
            <w:vAlign w:val="center"/>
            <w:hideMark/>
          </w:tcPr>
          <w:p w14:paraId="0C3F81AA" w14:textId="77777777" w:rsidR="009D74F9" w:rsidRPr="004B2104" w:rsidRDefault="009D74F9" w:rsidP="00BD7FB0">
            <w:pPr>
              <w:spacing w:before="0" w:after="0"/>
              <w:jc w:val="center"/>
              <w:rPr>
                <w:rStyle w:val="BookTitle"/>
              </w:rPr>
            </w:pPr>
            <w:r w:rsidRPr="004B2104">
              <w:rPr>
                <w:rStyle w:val="BookTitle"/>
              </w:rPr>
              <w:t>2.03</w:t>
            </w:r>
          </w:p>
        </w:tc>
      </w:tr>
      <w:tr w:rsidR="009D74F9" w:rsidRPr="004B2104" w14:paraId="0C3F81B2" w14:textId="77777777" w:rsidTr="009D74F9">
        <w:trPr>
          <w:trHeight w:val="20"/>
        </w:trPr>
        <w:tc>
          <w:tcPr>
            <w:tcW w:w="1484" w:type="pct"/>
            <w:vMerge/>
            <w:tcBorders>
              <w:top w:val="nil"/>
              <w:left w:val="nil"/>
              <w:bottom w:val="single" w:sz="4" w:space="0" w:color="000000"/>
              <w:right w:val="nil"/>
            </w:tcBorders>
            <w:vAlign w:val="center"/>
            <w:hideMark/>
          </w:tcPr>
          <w:p w14:paraId="0C3F81AC"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AD"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AE"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1AF"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B0"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1B1"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B9"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B3" w14:textId="77777777" w:rsidR="009D74F9" w:rsidRPr="004B2104" w:rsidRDefault="009D74F9" w:rsidP="00BD7FB0">
            <w:pPr>
              <w:spacing w:before="0" w:after="0"/>
              <w:jc w:val="center"/>
              <w:rPr>
                <w:rStyle w:val="BookTitle"/>
              </w:rPr>
            </w:pPr>
            <w:r w:rsidRPr="004B2104">
              <w:rPr>
                <w:rStyle w:val="BookTitle"/>
              </w:rPr>
              <w:t>Total Phosphorus (µM)</w:t>
            </w:r>
          </w:p>
        </w:tc>
        <w:tc>
          <w:tcPr>
            <w:tcW w:w="456" w:type="pct"/>
            <w:tcBorders>
              <w:top w:val="nil"/>
              <w:left w:val="nil"/>
              <w:bottom w:val="nil"/>
              <w:right w:val="nil"/>
            </w:tcBorders>
            <w:shd w:val="clear" w:color="auto" w:fill="auto"/>
            <w:noWrap/>
            <w:vAlign w:val="center"/>
            <w:hideMark/>
          </w:tcPr>
          <w:p w14:paraId="0C3F81B4"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B5" w14:textId="77777777" w:rsidR="009D74F9" w:rsidRPr="004B2104" w:rsidRDefault="009D74F9" w:rsidP="00BD7FB0">
            <w:pPr>
              <w:spacing w:before="0" w:after="0"/>
              <w:jc w:val="center"/>
              <w:rPr>
                <w:rStyle w:val="BookTitle"/>
              </w:rPr>
            </w:pPr>
            <w:r w:rsidRPr="004B2104">
              <w:rPr>
                <w:rStyle w:val="BookTitle"/>
              </w:rPr>
              <w:t>0.13</w:t>
            </w:r>
          </w:p>
        </w:tc>
        <w:tc>
          <w:tcPr>
            <w:tcW w:w="637" w:type="pct"/>
            <w:tcBorders>
              <w:top w:val="nil"/>
              <w:left w:val="nil"/>
              <w:bottom w:val="nil"/>
              <w:right w:val="nil"/>
            </w:tcBorders>
            <w:shd w:val="clear" w:color="auto" w:fill="auto"/>
            <w:noWrap/>
            <w:vAlign w:val="center"/>
            <w:hideMark/>
          </w:tcPr>
          <w:p w14:paraId="0C3F81B6" w14:textId="77777777" w:rsidR="009D74F9" w:rsidRPr="004B2104" w:rsidRDefault="009D74F9" w:rsidP="00BD7FB0">
            <w:pPr>
              <w:spacing w:before="0" w:after="0"/>
              <w:jc w:val="center"/>
              <w:rPr>
                <w:rStyle w:val="BookTitle"/>
              </w:rPr>
            </w:pPr>
            <w:r w:rsidRPr="004B2104">
              <w:rPr>
                <w:rStyle w:val="BookTitle"/>
              </w:rPr>
              <w:t>0.10</w:t>
            </w:r>
          </w:p>
        </w:tc>
        <w:tc>
          <w:tcPr>
            <w:tcW w:w="675" w:type="pct"/>
            <w:tcBorders>
              <w:top w:val="nil"/>
              <w:left w:val="nil"/>
              <w:bottom w:val="nil"/>
              <w:right w:val="single" w:sz="4" w:space="0" w:color="auto"/>
            </w:tcBorders>
            <w:shd w:val="clear" w:color="auto" w:fill="auto"/>
            <w:noWrap/>
            <w:vAlign w:val="center"/>
            <w:hideMark/>
          </w:tcPr>
          <w:p w14:paraId="0C3F81B7" w14:textId="77777777" w:rsidR="009D74F9" w:rsidRPr="004B2104" w:rsidRDefault="009D74F9" w:rsidP="00BD7FB0">
            <w:pPr>
              <w:spacing w:before="0" w:after="0"/>
              <w:jc w:val="center"/>
              <w:rPr>
                <w:rStyle w:val="BookTitle"/>
              </w:rPr>
            </w:pPr>
            <w:r w:rsidRPr="004B2104">
              <w:rPr>
                <w:rStyle w:val="BookTitle"/>
              </w:rPr>
              <w:t>0.10</w:t>
            </w:r>
          </w:p>
        </w:tc>
        <w:tc>
          <w:tcPr>
            <w:tcW w:w="796" w:type="pct"/>
            <w:tcBorders>
              <w:top w:val="nil"/>
              <w:left w:val="nil"/>
              <w:bottom w:val="nil"/>
              <w:right w:val="single" w:sz="4" w:space="0" w:color="auto"/>
            </w:tcBorders>
            <w:shd w:val="clear" w:color="auto" w:fill="auto"/>
            <w:noWrap/>
            <w:vAlign w:val="center"/>
            <w:hideMark/>
          </w:tcPr>
          <w:p w14:paraId="0C3F81B8" w14:textId="77777777" w:rsidR="009D74F9" w:rsidRPr="004B2104" w:rsidRDefault="009D74F9" w:rsidP="00BD7FB0">
            <w:pPr>
              <w:spacing w:before="0" w:after="0"/>
              <w:jc w:val="center"/>
              <w:rPr>
                <w:rStyle w:val="BookTitle"/>
              </w:rPr>
            </w:pPr>
            <w:r w:rsidRPr="004B2104">
              <w:rPr>
                <w:rStyle w:val="BookTitle"/>
              </w:rPr>
              <w:t>0.16</w:t>
            </w:r>
          </w:p>
        </w:tc>
      </w:tr>
      <w:tr w:rsidR="009D74F9" w:rsidRPr="004B2104" w14:paraId="0C3F81C0" w14:textId="77777777" w:rsidTr="009D74F9">
        <w:trPr>
          <w:trHeight w:val="20"/>
        </w:trPr>
        <w:tc>
          <w:tcPr>
            <w:tcW w:w="1484" w:type="pct"/>
            <w:vMerge/>
            <w:tcBorders>
              <w:top w:val="nil"/>
              <w:left w:val="nil"/>
              <w:bottom w:val="single" w:sz="4" w:space="0" w:color="000000"/>
              <w:right w:val="nil"/>
            </w:tcBorders>
            <w:vAlign w:val="center"/>
            <w:hideMark/>
          </w:tcPr>
          <w:p w14:paraId="0C3F81BA"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BB"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BC" w14:textId="77777777" w:rsidR="009D74F9" w:rsidRPr="004B2104" w:rsidRDefault="009D74F9" w:rsidP="00BD7FB0">
            <w:pPr>
              <w:spacing w:before="0" w:after="0"/>
              <w:jc w:val="center"/>
              <w:rPr>
                <w:rStyle w:val="BookTitle"/>
              </w:rPr>
            </w:pPr>
            <w:r w:rsidRPr="004B2104">
              <w:rPr>
                <w:rStyle w:val="BookTitle"/>
              </w:rPr>
              <w:t>0.65</w:t>
            </w:r>
          </w:p>
        </w:tc>
        <w:tc>
          <w:tcPr>
            <w:tcW w:w="637" w:type="pct"/>
            <w:tcBorders>
              <w:top w:val="nil"/>
              <w:left w:val="nil"/>
              <w:bottom w:val="nil"/>
              <w:right w:val="nil"/>
            </w:tcBorders>
            <w:shd w:val="clear" w:color="auto" w:fill="auto"/>
            <w:noWrap/>
            <w:vAlign w:val="center"/>
            <w:hideMark/>
          </w:tcPr>
          <w:p w14:paraId="0C3F81BD" w14:textId="77777777" w:rsidR="009D74F9" w:rsidRPr="004B2104" w:rsidRDefault="009D74F9" w:rsidP="00BD7FB0">
            <w:pPr>
              <w:spacing w:before="0" w:after="0"/>
              <w:jc w:val="center"/>
              <w:rPr>
                <w:rStyle w:val="BookTitle"/>
              </w:rPr>
            </w:pPr>
            <w:r w:rsidRPr="004B2104">
              <w:rPr>
                <w:rStyle w:val="BookTitle"/>
              </w:rPr>
              <w:t>0.36</w:t>
            </w:r>
          </w:p>
        </w:tc>
        <w:tc>
          <w:tcPr>
            <w:tcW w:w="675" w:type="pct"/>
            <w:tcBorders>
              <w:top w:val="nil"/>
              <w:left w:val="nil"/>
              <w:bottom w:val="nil"/>
              <w:right w:val="single" w:sz="4" w:space="0" w:color="auto"/>
            </w:tcBorders>
            <w:shd w:val="clear" w:color="auto" w:fill="auto"/>
            <w:noWrap/>
            <w:vAlign w:val="center"/>
            <w:hideMark/>
          </w:tcPr>
          <w:p w14:paraId="0C3F81BE" w14:textId="77777777" w:rsidR="009D74F9" w:rsidRPr="004B2104" w:rsidRDefault="009D74F9" w:rsidP="00BD7FB0">
            <w:pPr>
              <w:spacing w:before="0" w:after="0"/>
              <w:jc w:val="center"/>
              <w:rPr>
                <w:rStyle w:val="BookTitle"/>
              </w:rPr>
            </w:pPr>
            <w:r w:rsidRPr="004B2104">
              <w:rPr>
                <w:rStyle w:val="BookTitle"/>
              </w:rPr>
              <w:t>1.10</w:t>
            </w:r>
          </w:p>
        </w:tc>
        <w:tc>
          <w:tcPr>
            <w:tcW w:w="796" w:type="pct"/>
            <w:tcBorders>
              <w:top w:val="nil"/>
              <w:left w:val="nil"/>
              <w:bottom w:val="nil"/>
              <w:right w:val="single" w:sz="4" w:space="0" w:color="auto"/>
            </w:tcBorders>
            <w:shd w:val="clear" w:color="auto" w:fill="auto"/>
            <w:noWrap/>
            <w:vAlign w:val="center"/>
            <w:hideMark/>
          </w:tcPr>
          <w:p w14:paraId="0C3F81BF" w14:textId="77777777" w:rsidR="009D74F9" w:rsidRPr="004B2104" w:rsidRDefault="009D74F9" w:rsidP="00BD7FB0">
            <w:pPr>
              <w:spacing w:before="0" w:after="0"/>
              <w:jc w:val="center"/>
              <w:rPr>
                <w:rStyle w:val="BookTitle"/>
              </w:rPr>
            </w:pPr>
            <w:r w:rsidRPr="004B2104">
              <w:rPr>
                <w:rStyle w:val="BookTitle"/>
              </w:rPr>
              <w:t>0.42</w:t>
            </w:r>
          </w:p>
        </w:tc>
      </w:tr>
      <w:tr w:rsidR="009D74F9" w:rsidRPr="004B2104" w14:paraId="0C3F81C7" w14:textId="77777777" w:rsidTr="009D74F9">
        <w:trPr>
          <w:trHeight w:val="20"/>
        </w:trPr>
        <w:tc>
          <w:tcPr>
            <w:tcW w:w="1484" w:type="pct"/>
            <w:vMerge/>
            <w:tcBorders>
              <w:top w:val="nil"/>
              <w:left w:val="nil"/>
              <w:bottom w:val="single" w:sz="4" w:space="0" w:color="000000"/>
              <w:right w:val="nil"/>
            </w:tcBorders>
            <w:vAlign w:val="center"/>
            <w:hideMark/>
          </w:tcPr>
          <w:p w14:paraId="0C3F81C1"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C2"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C3" w14:textId="77777777" w:rsidR="009D74F9" w:rsidRPr="004B2104" w:rsidRDefault="009D74F9" w:rsidP="00BD7FB0">
            <w:pPr>
              <w:spacing w:before="0" w:after="0"/>
              <w:jc w:val="center"/>
              <w:rPr>
                <w:rStyle w:val="BookTitle"/>
              </w:rPr>
            </w:pPr>
            <w:r w:rsidRPr="004B2104">
              <w:rPr>
                <w:rStyle w:val="BookTitle"/>
              </w:rPr>
              <w:t>0.29</w:t>
            </w:r>
          </w:p>
        </w:tc>
        <w:tc>
          <w:tcPr>
            <w:tcW w:w="637" w:type="pct"/>
            <w:tcBorders>
              <w:top w:val="nil"/>
              <w:left w:val="nil"/>
              <w:bottom w:val="nil"/>
              <w:right w:val="nil"/>
            </w:tcBorders>
            <w:shd w:val="clear" w:color="auto" w:fill="auto"/>
            <w:noWrap/>
            <w:vAlign w:val="center"/>
            <w:hideMark/>
          </w:tcPr>
          <w:p w14:paraId="0C3F81C4" w14:textId="77777777" w:rsidR="009D74F9" w:rsidRPr="004B2104" w:rsidRDefault="009D74F9" w:rsidP="00BD7FB0">
            <w:pPr>
              <w:spacing w:before="0" w:after="0"/>
              <w:jc w:val="center"/>
              <w:rPr>
                <w:rStyle w:val="BookTitle"/>
              </w:rPr>
            </w:pPr>
            <w:r w:rsidRPr="004B2104">
              <w:rPr>
                <w:rStyle w:val="BookTitle"/>
              </w:rPr>
              <w:t>0.19</w:t>
            </w:r>
          </w:p>
        </w:tc>
        <w:tc>
          <w:tcPr>
            <w:tcW w:w="675" w:type="pct"/>
            <w:tcBorders>
              <w:top w:val="nil"/>
              <w:left w:val="nil"/>
              <w:bottom w:val="nil"/>
              <w:right w:val="single" w:sz="4" w:space="0" w:color="auto"/>
            </w:tcBorders>
            <w:shd w:val="clear" w:color="auto" w:fill="auto"/>
            <w:noWrap/>
            <w:vAlign w:val="center"/>
            <w:hideMark/>
          </w:tcPr>
          <w:p w14:paraId="0C3F81C5" w14:textId="77777777" w:rsidR="009D74F9" w:rsidRPr="004B2104" w:rsidRDefault="009D74F9" w:rsidP="00BD7FB0">
            <w:pPr>
              <w:spacing w:before="0" w:after="0"/>
              <w:jc w:val="center"/>
              <w:rPr>
                <w:rStyle w:val="BookTitle"/>
              </w:rPr>
            </w:pPr>
            <w:r w:rsidRPr="004B2104">
              <w:rPr>
                <w:rStyle w:val="BookTitle"/>
              </w:rPr>
              <w:t>0.32</w:t>
            </w:r>
          </w:p>
        </w:tc>
        <w:tc>
          <w:tcPr>
            <w:tcW w:w="796" w:type="pct"/>
            <w:tcBorders>
              <w:top w:val="nil"/>
              <w:left w:val="nil"/>
              <w:bottom w:val="nil"/>
              <w:right w:val="single" w:sz="4" w:space="0" w:color="auto"/>
            </w:tcBorders>
            <w:shd w:val="clear" w:color="auto" w:fill="auto"/>
            <w:noWrap/>
            <w:vAlign w:val="center"/>
            <w:hideMark/>
          </w:tcPr>
          <w:p w14:paraId="0C3F81C6" w14:textId="77777777" w:rsidR="009D74F9" w:rsidRPr="004B2104" w:rsidRDefault="009D74F9" w:rsidP="00BD7FB0">
            <w:pPr>
              <w:spacing w:before="0" w:after="0"/>
              <w:jc w:val="center"/>
              <w:rPr>
                <w:rStyle w:val="BookTitle"/>
              </w:rPr>
            </w:pPr>
            <w:r w:rsidRPr="004B2104">
              <w:rPr>
                <w:rStyle w:val="BookTitle"/>
              </w:rPr>
              <w:t>0.25</w:t>
            </w:r>
          </w:p>
        </w:tc>
      </w:tr>
      <w:tr w:rsidR="009D74F9" w:rsidRPr="004B2104" w14:paraId="0C3F81CE" w14:textId="77777777" w:rsidTr="009D74F9">
        <w:trPr>
          <w:trHeight w:val="20"/>
        </w:trPr>
        <w:tc>
          <w:tcPr>
            <w:tcW w:w="1484" w:type="pct"/>
            <w:vMerge/>
            <w:tcBorders>
              <w:top w:val="nil"/>
              <w:left w:val="nil"/>
              <w:bottom w:val="single" w:sz="4" w:space="0" w:color="000000"/>
              <w:right w:val="nil"/>
            </w:tcBorders>
            <w:vAlign w:val="center"/>
            <w:hideMark/>
          </w:tcPr>
          <w:p w14:paraId="0C3F81C8"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C9"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CA" w14:textId="77777777" w:rsidR="009D74F9" w:rsidRPr="004B2104" w:rsidRDefault="009D74F9" w:rsidP="00BD7FB0">
            <w:pPr>
              <w:spacing w:before="0" w:after="0"/>
              <w:jc w:val="center"/>
              <w:rPr>
                <w:rStyle w:val="BookTitle"/>
              </w:rPr>
            </w:pPr>
            <w:r w:rsidRPr="004B2104">
              <w:rPr>
                <w:rStyle w:val="BookTitle"/>
              </w:rPr>
              <w:t>0.14</w:t>
            </w:r>
          </w:p>
        </w:tc>
        <w:tc>
          <w:tcPr>
            <w:tcW w:w="637" w:type="pct"/>
            <w:tcBorders>
              <w:top w:val="nil"/>
              <w:left w:val="nil"/>
              <w:bottom w:val="nil"/>
              <w:right w:val="nil"/>
            </w:tcBorders>
            <w:shd w:val="clear" w:color="auto" w:fill="auto"/>
            <w:noWrap/>
            <w:vAlign w:val="center"/>
            <w:hideMark/>
          </w:tcPr>
          <w:p w14:paraId="0C3F81CB" w14:textId="77777777" w:rsidR="009D74F9" w:rsidRPr="004B2104" w:rsidRDefault="009D74F9" w:rsidP="00BD7FB0">
            <w:pPr>
              <w:spacing w:before="0" w:after="0"/>
              <w:jc w:val="center"/>
              <w:rPr>
                <w:rStyle w:val="BookTitle"/>
              </w:rPr>
            </w:pPr>
            <w:r w:rsidRPr="004B2104">
              <w:rPr>
                <w:rStyle w:val="BookTitle"/>
              </w:rPr>
              <w:t>0.08</w:t>
            </w:r>
          </w:p>
        </w:tc>
        <w:tc>
          <w:tcPr>
            <w:tcW w:w="675" w:type="pct"/>
            <w:tcBorders>
              <w:top w:val="nil"/>
              <w:left w:val="nil"/>
              <w:bottom w:val="nil"/>
              <w:right w:val="single" w:sz="4" w:space="0" w:color="auto"/>
            </w:tcBorders>
            <w:shd w:val="clear" w:color="auto" w:fill="auto"/>
            <w:noWrap/>
            <w:vAlign w:val="center"/>
            <w:hideMark/>
          </w:tcPr>
          <w:p w14:paraId="0C3F81CC" w14:textId="77777777" w:rsidR="009D74F9" w:rsidRPr="004B2104" w:rsidRDefault="009D74F9" w:rsidP="00BD7FB0">
            <w:pPr>
              <w:spacing w:before="0" w:after="0"/>
              <w:jc w:val="center"/>
              <w:rPr>
                <w:rStyle w:val="BookTitle"/>
              </w:rPr>
            </w:pPr>
            <w:r w:rsidRPr="004B2104">
              <w:rPr>
                <w:rStyle w:val="BookTitle"/>
              </w:rPr>
              <w:t>0.28</w:t>
            </w:r>
          </w:p>
        </w:tc>
        <w:tc>
          <w:tcPr>
            <w:tcW w:w="796" w:type="pct"/>
            <w:tcBorders>
              <w:top w:val="nil"/>
              <w:left w:val="nil"/>
              <w:bottom w:val="nil"/>
              <w:right w:val="single" w:sz="4" w:space="0" w:color="auto"/>
            </w:tcBorders>
            <w:shd w:val="clear" w:color="auto" w:fill="auto"/>
            <w:noWrap/>
            <w:vAlign w:val="center"/>
            <w:hideMark/>
          </w:tcPr>
          <w:p w14:paraId="0C3F81CD" w14:textId="77777777" w:rsidR="009D74F9" w:rsidRPr="004B2104" w:rsidRDefault="009D74F9" w:rsidP="00BD7FB0">
            <w:pPr>
              <w:spacing w:before="0" w:after="0"/>
              <w:jc w:val="center"/>
              <w:rPr>
                <w:rStyle w:val="BookTitle"/>
              </w:rPr>
            </w:pPr>
            <w:r w:rsidRPr="004B2104">
              <w:rPr>
                <w:rStyle w:val="BookTitle"/>
              </w:rPr>
              <w:t>0.06</w:t>
            </w:r>
          </w:p>
        </w:tc>
      </w:tr>
      <w:tr w:rsidR="009D74F9" w:rsidRPr="004B2104" w14:paraId="0C3F81D5" w14:textId="77777777" w:rsidTr="009D74F9">
        <w:trPr>
          <w:trHeight w:val="20"/>
        </w:trPr>
        <w:tc>
          <w:tcPr>
            <w:tcW w:w="1484" w:type="pct"/>
            <w:vMerge/>
            <w:tcBorders>
              <w:top w:val="nil"/>
              <w:left w:val="nil"/>
              <w:bottom w:val="single" w:sz="4" w:space="0" w:color="000000"/>
              <w:right w:val="nil"/>
            </w:tcBorders>
            <w:vAlign w:val="center"/>
            <w:hideMark/>
          </w:tcPr>
          <w:p w14:paraId="0C3F81CF"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1D0"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D1"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1D2"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D3"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1D4"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DC"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D6" w14:textId="77777777" w:rsidR="009D74F9" w:rsidRPr="004B2104" w:rsidRDefault="009D74F9" w:rsidP="00BD7FB0">
            <w:pPr>
              <w:spacing w:before="0" w:after="0"/>
              <w:jc w:val="center"/>
              <w:rPr>
                <w:rStyle w:val="BookTitle"/>
              </w:rPr>
            </w:pPr>
            <w:r w:rsidRPr="004B2104">
              <w:rPr>
                <w:rStyle w:val="BookTitle"/>
              </w:rPr>
              <w:t>Dissolved Inorganic Nitrogen (µM)</w:t>
            </w:r>
          </w:p>
        </w:tc>
        <w:tc>
          <w:tcPr>
            <w:tcW w:w="456" w:type="pct"/>
            <w:tcBorders>
              <w:top w:val="nil"/>
              <w:left w:val="nil"/>
              <w:bottom w:val="nil"/>
              <w:right w:val="nil"/>
            </w:tcBorders>
            <w:shd w:val="clear" w:color="auto" w:fill="auto"/>
            <w:noWrap/>
            <w:vAlign w:val="center"/>
            <w:hideMark/>
          </w:tcPr>
          <w:p w14:paraId="0C3F81D7"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D8" w14:textId="77777777" w:rsidR="009D74F9" w:rsidRPr="004B2104" w:rsidRDefault="009D74F9" w:rsidP="00BD7FB0">
            <w:pPr>
              <w:spacing w:before="0" w:after="0"/>
              <w:jc w:val="center"/>
              <w:rPr>
                <w:rStyle w:val="BookTitle"/>
              </w:rPr>
            </w:pPr>
            <w:r w:rsidRPr="004B2104">
              <w:rPr>
                <w:rStyle w:val="BookTitle"/>
              </w:rPr>
              <w:t>0.50</w:t>
            </w:r>
          </w:p>
        </w:tc>
        <w:tc>
          <w:tcPr>
            <w:tcW w:w="637" w:type="pct"/>
            <w:tcBorders>
              <w:top w:val="nil"/>
              <w:left w:val="nil"/>
              <w:bottom w:val="nil"/>
              <w:right w:val="nil"/>
            </w:tcBorders>
            <w:shd w:val="clear" w:color="auto" w:fill="auto"/>
            <w:noWrap/>
            <w:vAlign w:val="center"/>
            <w:hideMark/>
          </w:tcPr>
          <w:p w14:paraId="0C3F81D9" w14:textId="77777777" w:rsidR="009D74F9" w:rsidRPr="004B2104" w:rsidRDefault="009D74F9" w:rsidP="00BD7FB0">
            <w:pPr>
              <w:spacing w:before="0" w:after="0"/>
              <w:jc w:val="center"/>
              <w:rPr>
                <w:rStyle w:val="BookTitle"/>
              </w:rPr>
            </w:pPr>
            <w:r w:rsidRPr="004B2104">
              <w:rPr>
                <w:rStyle w:val="BookTitle"/>
              </w:rPr>
              <w:t>1.07</w:t>
            </w:r>
          </w:p>
        </w:tc>
        <w:tc>
          <w:tcPr>
            <w:tcW w:w="675" w:type="pct"/>
            <w:tcBorders>
              <w:top w:val="nil"/>
              <w:left w:val="nil"/>
              <w:bottom w:val="nil"/>
              <w:right w:val="single" w:sz="4" w:space="0" w:color="auto"/>
            </w:tcBorders>
            <w:shd w:val="clear" w:color="auto" w:fill="auto"/>
            <w:noWrap/>
            <w:vAlign w:val="center"/>
            <w:hideMark/>
          </w:tcPr>
          <w:p w14:paraId="0C3F81DA" w14:textId="77777777" w:rsidR="009D74F9" w:rsidRPr="004B2104" w:rsidRDefault="009D74F9" w:rsidP="00BD7FB0">
            <w:pPr>
              <w:spacing w:before="0" w:after="0"/>
              <w:jc w:val="center"/>
              <w:rPr>
                <w:rStyle w:val="BookTitle"/>
              </w:rPr>
            </w:pPr>
            <w:r w:rsidRPr="004B2104">
              <w:rPr>
                <w:rStyle w:val="BookTitle"/>
              </w:rPr>
              <w:t>1.14</w:t>
            </w:r>
          </w:p>
        </w:tc>
        <w:tc>
          <w:tcPr>
            <w:tcW w:w="796" w:type="pct"/>
            <w:tcBorders>
              <w:top w:val="nil"/>
              <w:left w:val="nil"/>
              <w:bottom w:val="nil"/>
              <w:right w:val="single" w:sz="4" w:space="0" w:color="auto"/>
            </w:tcBorders>
            <w:shd w:val="clear" w:color="auto" w:fill="auto"/>
            <w:noWrap/>
            <w:vAlign w:val="center"/>
            <w:hideMark/>
          </w:tcPr>
          <w:p w14:paraId="0C3F81DB" w14:textId="77777777" w:rsidR="009D74F9" w:rsidRPr="004B2104" w:rsidRDefault="009D74F9" w:rsidP="00BD7FB0">
            <w:pPr>
              <w:spacing w:before="0" w:after="0"/>
              <w:jc w:val="center"/>
              <w:rPr>
                <w:rStyle w:val="BookTitle"/>
              </w:rPr>
            </w:pPr>
            <w:r w:rsidRPr="004B2104">
              <w:rPr>
                <w:rStyle w:val="BookTitle"/>
              </w:rPr>
              <w:t>1.07</w:t>
            </w:r>
          </w:p>
        </w:tc>
      </w:tr>
      <w:tr w:rsidR="009D74F9" w:rsidRPr="004B2104" w14:paraId="0C3F81E3" w14:textId="77777777" w:rsidTr="009D74F9">
        <w:trPr>
          <w:trHeight w:val="20"/>
        </w:trPr>
        <w:tc>
          <w:tcPr>
            <w:tcW w:w="1484" w:type="pct"/>
            <w:vMerge/>
            <w:tcBorders>
              <w:top w:val="nil"/>
              <w:left w:val="nil"/>
              <w:bottom w:val="single" w:sz="4" w:space="0" w:color="000000"/>
              <w:right w:val="nil"/>
            </w:tcBorders>
            <w:vAlign w:val="center"/>
            <w:hideMark/>
          </w:tcPr>
          <w:p w14:paraId="0C3F81DD"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DE"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1DF" w14:textId="77777777" w:rsidR="009D74F9" w:rsidRPr="004B2104" w:rsidRDefault="009D74F9" w:rsidP="00BD7FB0">
            <w:pPr>
              <w:spacing w:before="0" w:after="0"/>
              <w:jc w:val="center"/>
              <w:rPr>
                <w:rStyle w:val="BookTitle"/>
              </w:rPr>
            </w:pPr>
            <w:r w:rsidRPr="004B2104">
              <w:rPr>
                <w:rStyle w:val="BookTitle"/>
              </w:rPr>
              <w:t>12.64</w:t>
            </w:r>
          </w:p>
        </w:tc>
        <w:tc>
          <w:tcPr>
            <w:tcW w:w="637" w:type="pct"/>
            <w:tcBorders>
              <w:top w:val="nil"/>
              <w:left w:val="nil"/>
              <w:bottom w:val="nil"/>
              <w:right w:val="nil"/>
            </w:tcBorders>
            <w:shd w:val="clear" w:color="auto" w:fill="auto"/>
            <w:noWrap/>
            <w:vAlign w:val="center"/>
            <w:hideMark/>
          </w:tcPr>
          <w:p w14:paraId="0C3F81E0" w14:textId="77777777" w:rsidR="009D74F9" w:rsidRPr="004B2104" w:rsidRDefault="009D74F9" w:rsidP="00BD7FB0">
            <w:pPr>
              <w:spacing w:before="0" w:after="0"/>
              <w:jc w:val="center"/>
              <w:rPr>
                <w:rStyle w:val="BookTitle"/>
              </w:rPr>
            </w:pPr>
            <w:r w:rsidRPr="004B2104">
              <w:rPr>
                <w:rStyle w:val="BookTitle"/>
              </w:rPr>
              <w:t>1.78</w:t>
            </w:r>
          </w:p>
        </w:tc>
        <w:tc>
          <w:tcPr>
            <w:tcW w:w="675" w:type="pct"/>
            <w:tcBorders>
              <w:top w:val="nil"/>
              <w:left w:val="nil"/>
              <w:bottom w:val="nil"/>
              <w:right w:val="single" w:sz="4" w:space="0" w:color="auto"/>
            </w:tcBorders>
            <w:shd w:val="clear" w:color="auto" w:fill="auto"/>
            <w:noWrap/>
            <w:vAlign w:val="center"/>
            <w:hideMark/>
          </w:tcPr>
          <w:p w14:paraId="0C3F81E1" w14:textId="77777777" w:rsidR="009D74F9" w:rsidRPr="004B2104" w:rsidRDefault="009D74F9" w:rsidP="00BD7FB0">
            <w:pPr>
              <w:spacing w:before="0" w:after="0"/>
              <w:jc w:val="center"/>
              <w:rPr>
                <w:rStyle w:val="BookTitle"/>
              </w:rPr>
            </w:pPr>
            <w:r w:rsidRPr="004B2104">
              <w:rPr>
                <w:rStyle w:val="BookTitle"/>
              </w:rPr>
              <w:t>9.50</w:t>
            </w:r>
          </w:p>
        </w:tc>
        <w:tc>
          <w:tcPr>
            <w:tcW w:w="796" w:type="pct"/>
            <w:tcBorders>
              <w:top w:val="nil"/>
              <w:left w:val="nil"/>
              <w:bottom w:val="nil"/>
              <w:right w:val="single" w:sz="4" w:space="0" w:color="auto"/>
            </w:tcBorders>
            <w:shd w:val="clear" w:color="auto" w:fill="auto"/>
            <w:noWrap/>
            <w:vAlign w:val="center"/>
            <w:hideMark/>
          </w:tcPr>
          <w:p w14:paraId="0C3F81E2" w14:textId="77777777" w:rsidR="009D74F9" w:rsidRPr="004B2104" w:rsidRDefault="009D74F9" w:rsidP="00BD7FB0">
            <w:pPr>
              <w:spacing w:before="0" w:after="0"/>
              <w:jc w:val="center"/>
              <w:rPr>
                <w:rStyle w:val="BookTitle"/>
              </w:rPr>
            </w:pPr>
            <w:r w:rsidRPr="004B2104">
              <w:rPr>
                <w:rStyle w:val="BookTitle"/>
              </w:rPr>
              <w:t>3.00</w:t>
            </w:r>
          </w:p>
        </w:tc>
      </w:tr>
      <w:tr w:rsidR="009D74F9" w:rsidRPr="004B2104" w14:paraId="0C3F81EA" w14:textId="77777777" w:rsidTr="009D74F9">
        <w:trPr>
          <w:trHeight w:val="20"/>
        </w:trPr>
        <w:tc>
          <w:tcPr>
            <w:tcW w:w="1484" w:type="pct"/>
            <w:vMerge/>
            <w:tcBorders>
              <w:top w:val="nil"/>
              <w:left w:val="nil"/>
              <w:bottom w:val="single" w:sz="4" w:space="0" w:color="000000"/>
              <w:right w:val="nil"/>
            </w:tcBorders>
            <w:vAlign w:val="center"/>
            <w:hideMark/>
          </w:tcPr>
          <w:p w14:paraId="0C3F81E4"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E5"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1E6" w14:textId="77777777" w:rsidR="009D74F9" w:rsidRPr="004B2104" w:rsidRDefault="009D74F9" w:rsidP="00BD7FB0">
            <w:pPr>
              <w:spacing w:before="0" w:after="0"/>
              <w:jc w:val="center"/>
              <w:rPr>
                <w:rStyle w:val="BookTitle"/>
              </w:rPr>
            </w:pPr>
            <w:r w:rsidRPr="004B2104">
              <w:rPr>
                <w:rStyle w:val="BookTitle"/>
              </w:rPr>
              <w:t>2.59</w:t>
            </w:r>
          </w:p>
        </w:tc>
        <w:tc>
          <w:tcPr>
            <w:tcW w:w="637" w:type="pct"/>
            <w:tcBorders>
              <w:top w:val="nil"/>
              <w:left w:val="nil"/>
              <w:bottom w:val="nil"/>
              <w:right w:val="nil"/>
            </w:tcBorders>
            <w:shd w:val="clear" w:color="auto" w:fill="auto"/>
            <w:noWrap/>
            <w:vAlign w:val="center"/>
            <w:hideMark/>
          </w:tcPr>
          <w:p w14:paraId="0C3F81E7" w14:textId="77777777" w:rsidR="009D74F9" w:rsidRPr="004B2104" w:rsidRDefault="009D74F9" w:rsidP="00BD7FB0">
            <w:pPr>
              <w:spacing w:before="0" w:after="0"/>
              <w:jc w:val="center"/>
              <w:rPr>
                <w:rStyle w:val="BookTitle"/>
              </w:rPr>
            </w:pPr>
            <w:r w:rsidRPr="004B2104">
              <w:rPr>
                <w:rStyle w:val="BookTitle"/>
              </w:rPr>
              <w:t>1.40</w:t>
            </w:r>
          </w:p>
        </w:tc>
        <w:tc>
          <w:tcPr>
            <w:tcW w:w="675" w:type="pct"/>
            <w:tcBorders>
              <w:top w:val="nil"/>
              <w:left w:val="nil"/>
              <w:bottom w:val="nil"/>
              <w:right w:val="single" w:sz="4" w:space="0" w:color="auto"/>
            </w:tcBorders>
            <w:shd w:val="clear" w:color="auto" w:fill="auto"/>
            <w:noWrap/>
            <w:vAlign w:val="center"/>
            <w:hideMark/>
          </w:tcPr>
          <w:p w14:paraId="0C3F81E8" w14:textId="77777777" w:rsidR="009D74F9" w:rsidRPr="004B2104" w:rsidRDefault="009D74F9" w:rsidP="00BD7FB0">
            <w:pPr>
              <w:spacing w:before="0" w:after="0"/>
              <w:jc w:val="center"/>
              <w:rPr>
                <w:rStyle w:val="BookTitle"/>
              </w:rPr>
            </w:pPr>
            <w:r w:rsidRPr="004B2104">
              <w:rPr>
                <w:rStyle w:val="BookTitle"/>
              </w:rPr>
              <w:t>3.29</w:t>
            </w:r>
          </w:p>
        </w:tc>
        <w:tc>
          <w:tcPr>
            <w:tcW w:w="796" w:type="pct"/>
            <w:tcBorders>
              <w:top w:val="nil"/>
              <w:left w:val="nil"/>
              <w:bottom w:val="nil"/>
              <w:right w:val="single" w:sz="4" w:space="0" w:color="auto"/>
            </w:tcBorders>
            <w:shd w:val="clear" w:color="auto" w:fill="auto"/>
            <w:noWrap/>
            <w:vAlign w:val="center"/>
            <w:hideMark/>
          </w:tcPr>
          <w:p w14:paraId="0C3F81E9" w14:textId="77777777" w:rsidR="009D74F9" w:rsidRPr="004B2104" w:rsidRDefault="009D74F9" w:rsidP="00BD7FB0">
            <w:pPr>
              <w:spacing w:before="0" w:after="0"/>
              <w:jc w:val="center"/>
              <w:rPr>
                <w:rStyle w:val="BookTitle"/>
              </w:rPr>
            </w:pPr>
            <w:r w:rsidRPr="004B2104">
              <w:rPr>
                <w:rStyle w:val="BookTitle"/>
              </w:rPr>
              <w:t>1.52</w:t>
            </w:r>
          </w:p>
        </w:tc>
      </w:tr>
      <w:tr w:rsidR="009D74F9" w:rsidRPr="004B2104" w14:paraId="0C3F81F1" w14:textId="77777777" w:rsidTr="009D74F9">
        <w:trPr>
          <w:trHeight w:val="20"/>
        </w:trPr>
        <w:tc>
          <w:tcPr>
            <w:tcW w:w="1484" w:type="pct"/>
            <w:vMerge/>
            <w:tcBorders>
              <w:top w:val="nil"/>
              <w:left w:val="nil"/>
              <w:bottom w:val="single" w:sz="4" w:space="0" w:color="000000"/>
              <w:right w:val="nil"/>
            </w:tcBorders>
            <w:vAlign w:val="center"/>
            <w:hideMark/>
          </w:tcPr>
          <w:p w14:paraId="0C3F81EB"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EC"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1ED" w14:textId="77777777" w:rsidR="009D74F9" w:rsidRPr="004B2104" w:rsidRDefault="009D74F9" w:rsidP="00BD7FB0">
            <w:pPr>
              <w:spacing w:before="0" w:after="0"/>
              <w:jc w:val="center"/>
              <w:rPr>
                <w:rStyle w:val="BookTitle"/>
              </w:rPr>
            </w:pPr>
            <w:r w:rsidRPr="004B2104">
              <w:rPr>
                <w:rStyle w:val="BookTitle"/>
              </w:rPr>
              <w:t>2.96</w:t>
            </w:r>
          </w:p>
        </w:tc>
        <w:tc>
          <w:tcPr>
            <w:tcW w:w="637" w:type="pct"/>
            <w:tcBorders>
              <w:top w:val="nil"/>
              <w:left w:val="nil"/>
              <w:bottom w:val="nil"/>
              <w:right w:val="nil"/>
            </w:tcBorders>
            <w:shd w:val="clear" w:color="auto" w:fill="auto"/>
            <w:noWrap/>
            <w:vAlign w:val="center"/>
            <w:hideMark/>
          </w:tcPr>
          <w:p w14:paraId="0C3F81EE" w14:textId="77777777" w:rsidR="009D74F9" w:rsidRPr="004B2104" w:rsidRDefault="009D74F9" w:rsidP="00BD7FB0">
            <w:pPr>
              <w:spacing w:before="0" w:after="0"/>
              <w:jc w:val="center"/>
              <w:rPr>
                <w:rStyle w:val="BookTitle"/>
              </w:rPr>
            </w:pPr>
            <w:r w:rsidRPr="004B2104">
              <w:rPr>
                <w:rStyle w:val="BookTitle"/>
              </w:rPr>
              <w:t>0.25</w:t>
            </w:r>
          </w:p>
        </w:tc>
        <w:tc>
          <w:tcPr>
            <w:tcW w:w="675" w:type="pct"/>
            <w:tcBorders>
              <w:top w:val="nil"/>
              <w:left w:val="nil"/>
              <w:bottom w:val="nil"/>
              <w:right w:val="single" w:sz="4" w:space="0" w:color="auto"/>
            </w:tcBorders>
            <w:shd w:val="clear" w:color="auto" w:fill="auto"/>
            <w:noWrap/>
            <w:vAlign w:val="center"/>
            <w:hideMark/>
          </w:tcPr>
          <w:p w14:paraId="0C3F81EF" w14:textId="77777777" w:rsidR="009D74F9" w:rsidRPr="004B2104" w:rsidRDefault="009D74F9" w:rsidP="00BD7FB0">
            <w:pPr>
              <w:spacing w:before="0" w:after="0"/>
              <w:jc w:val="center"/>
              <w:rPr>
                <w:rStyle w:val="BookTitle"/>
              </w:rPr>
            </w:pPr>
            <w:r w:rsidRPr="004B2104">
              <w:rPr>
                <w:rStyle w:val="BookTitle"/>
              </w:rPr>
              <w:t>2.88</w:t>
            </w:r>
          </w:p>
        </w:tc>
        <w:tc>
          <w:tcPr>
            <w:tcW w:w="796" w:type="pct"/>
            <w:tcBorders>
              <w:top w:val="nil"/>
              <w:left w:val="nil"/>
              <w:bottom w:val="nil"/>
              <w:right w:val="single" w:sz="4" w:space="0" w:color="auto"/>
            </w:tcBorders>
            <w:shd w:val="clear" w:color="auto" w:fill="auto"/>
            <w:noWrap/>
            <w:vAlign w:val="center"/>
            <w:hideMark/>
          </w:tcPr>
          <w:p w14:paraId="0C3F81F0" w14:textId="77777777" w:rsidR="009D74F9" w:rsidRPr="004B2104" w:rsidRDefault="009D74F9" w:rsidP="00BD7FB0">
            <w:pPr>
              <w:spacing w:before="0" w:after="0"/>
              <w:jc w:val="center"/>
              <w:rPr>
                <w:rStyle w:val="BookTitle"/>
              </w:rPr>
            </w:pPr>
            <w:r w:rsidRPr="004B2104">
              <w:rPr>
                <w:rStyle w:val="BookTitle"/>
              </w:rPr>
              <w:t>0.47</w:t>
            </w:r>
          </w:p>
        </w:tc>
      </w:tr>
      <w:tr w:rsidR="009D74F9" w:rsidRPr="004B2104" w14:paraId="0C3F81F8" w14:textId="77777777" w:rsidTr="009D74F9">
        <w:trPr>
          <w:trHeight w:val="20"/>
        </w:trPr>
        <w:tc>
          <w:tcPr>
            <w:tcW w:w="1484" w:type="pct"/>
            <w:vMerge/>
            <w:tcBorders>
              <w:top w:val="nil"/>
              <w:left w:val="nil"/>
              <w:bottom w:val="single" w:sz="4" w:space="0" w:color="000000"/>
              <w:right w:val="nil"/>
            </w:tcBorders>
            <w:vAlign w:val="center"/>
            <w:hideMark/>
          </w:tcPr>
          <w:p w14:paraId="0C3F81F2"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1F3"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1F4"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1F5"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1F6"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1F7"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1FF"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1F9" w14:textId="77777777" w:rsidR="009D74F9" w:rsidRPr="004B2104" w:rsidRDefault="009D74F9" w:rsidP="00BD7FB0">
            <w:pPr>
              <w:spacing w:before="0" w:after="0"/>
              <w:jc w:val="center"/>
              <w:rPr>
                <w:rStyle w:val="BookTitle"/>
              </w:rPr>
            </w:pPr>
            <w:r w:rsidRPr="004B2104">
              <w:rPr>
                <w:rStyle w:val="BookTitle"/>
              </w:rPr>
              <w:t>Dissolved Inorganic Phosphorus (µM)</w:t>
            </w:r>
          </w:p>
        </w:tc>
        <w:tc>
          <w:tcPr>
            <w:tcW w:w="456" w:type="pct"/>
            <w:tcBorders>
              <w:top w:val="single" w:sz="4" w:space="0" w:color="auto"/>
              <w:left w:val="nil"/>
              <w:bottom w:val="nil"/>
              <w:right w:val="single" w:sz="4" w:space="0" w:color="auto"/>
            </w:tcBorders>
            <w:shd w:val="clear" w:color="auto" w:fill="auto"/>
            <w:noWrap/>
            <w:vAlign w:val="center"/>
            <w:hideMark/>
          </w:tcPr>
          <w:p w14:paraId="0C3F81FA"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1FB" w14:textId="77777777" w:rsidR="009D74F9" w:rsidRPr="004B2104" w:rsidRDefault="009D74F9" w:rsidP="00BD7FB0">
            <w:pPr>
              <w:spacing w:before="0" w:after="0"/>
              <w:jc w:val="center"/>
              <w:rPr>
                <w:rStyle w:val="BookTitle"/>
              </w:rPr>
            </w:pPr>
            <w:r w:rsidRPr="004B2104">
              <w:rPr>
                <w:rStyle w:val="BookTitle"/>
              </w:rPr>
              <w:t>0.06</w:t>
            </w:r>
          </w:p>
        </w:tc>
        <w:tc>
          <w:tcPr>
            <w:tcW w:w="637" w:type="pct"/>
            <w:tcBorders>
              <w:top w:val="nil"/>
              <w:left w:val="nil"/>
              <w:bottom w:val="nil"/>
              <w:right w:val="nil"/>
            </w:tcBorders>
            <w:shd w:val="clear" w:color="auto" w:fill="auto"/>
            <w:noWrap/>
            <w:vAlign w:val="center"/>
            <w:hideMark/>
          </w:tcPr>
          <w:p w14:paraId="0C3F81FC" w14:textId="77777777" w:rsidR="009D74F9" w:rsidRPr="004B2104" w:rsidRDefault="009D74F9" w:rsidP="00BD7FB0">
            <w:pPr>
              <w:spacing w:before="0" w:after="0"/>
              <w:jc w:val="center"/>
              <w:rPr>
                <w:rStyle w:val="BookTitle"/>
              </w:rPr>
            </w:pPr>
            <w:r w:rsidRPr="004B2104">
              <w:rPr>
                <w:rStyle w:val="BookTitle"/>
              </w:rPr>
              <w:t>0.03</w:t>
            </w:r>
          </w:p>
        </w:tc>
        <w:tc>
          <w:tcPr>
            <w:tcW w:w="675" w:type="pct"/>
            <w:tcBorders>
              <w:top w:val="nil"/>
              <w:left w:val="nil"/>
              <w:bottom w:val="nil"/>
              <w:right w:val="single" w:sz="4" w:space="0" w:color="auto"/>
            </w:tcBorders>
            <w:shd w:val="clear" w:color="auto" w:fill="auto"/>
            <w:noWrap/>
            <w:vAlign w:val="center"/>
            <w:hideMark/>
          </w:tcPr>
          <w:p w14:paraId="0C3F81FD" w14:textId="77777777" w:rsidR="009D74F9" w:rsidRPr="004B2104" w:rsidRDefault="009D74F9" w:rsidP="00BD7FB0">
            <w:pPr>
              <w:spacing w:before="0" w:after="0"/>
              <w:jc w:val="center"/>
              <w:rPr>
                <w:rStyle w:val="BookTitle"/>
              </w:rPr>
            </w:pPr>
            <w:r w:rsidRPr="004B2104">
              <w:rPr>
                <w:rStyle w:val="BookTitle"/>
              </w:rPr>
              <w:t>0.06</w:t>
            </w:r>
          </w:p>
        </w:tc>
        <w:tc>
          <w:tcPr>
            <w:tcW w:w="796" w:type="pct"/>
            <w:tcBorders>
              <w:top w:val="nil"/>
              <w:left w:val="nil"/>
              <w:bottom w:val="nil"/>
              <w:right w:val="single" w:sz="4" w:space="0" w:color="auto"/>
            </w:tcBorders>
            <w:shd w:val="clear" w:color="auto" w:fill="auto"/>
            <w:noWrap/>
            <w:vAlign w:val="center"/>
            <w:hideMark/>
          </w:tcPr>
          <w:p w14:paraId="0C3F81FE" w14:textId="77777777" w:rsidR="009D74F9" w:rsidRPr="004B2104" w:rsidRDefault="009D74F9" w:rsidP="00BD7FB0">
            <w:pPr>
              <w:spacing w:before="0" w:after="0"/>
              <w:jc w:val="center"/>
              <w:rPr>
                <w:rStyle w:val="BookTitle"/>
              </w:rPr>
            </w:pPr>
            <w:r w:rsidRPr="004B2104">
              <w:rPr>
                <w:rStyle w:val="BookTitle"/>
              </w:rPr>
              <w:t>0.03</w:t>
            </w:r>
          </w:p>
        </w:tc>
      </w:tr>
      <w:tr w:rsidR="009D74F9" w:rsidRPr="004B2104" w14:paraId="0C3F8206" w14:textId="77777777" w:rsidTr="009D74F9">
        <w:trPr>
          <w:trHeight w:val="20"/>
        </w:trPr>
        <w:tc>
          <w:tcPr>
            <w:tcW w:w="1484" w:type="pct"/>
            <w:vMerge/>
            <w:tcBorders>
              <w:top w:val="nil"/>
              <w:left w:val="nil"/>
              <w:bottom w:val="single" w:sz="4" w:space="0" w:color="000000"/>
              <w:right w:val="nil"/>
            </w:tcBorders>
            <w:vAlign w:val="center"/>
            <w:hideMark/>
          </w:tcPr>
          <w:p w14:paraId="0C3F8200"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01"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202" w14:textId="77777777" w:rsidR="009D74F9" w:rsidRPr="004B2104" w:rsidRDefault="009D74F9" w:rsidP="00BD7FB0">
            <w:pPr>
              <w:spacing w:before="0" w:after="0"/>
              <w:jc w:val="center"/>
              <w:rPr>
                <w:rStyle w:val="BookTitle"/>
              </w:rPr>
            </w:pPr>
            <w:r w:rsidRPr="004B2104">
              <w:rPr>
                <w:rStyle w:val="BookTitle"/>
              </w:rPr>
              <w:t>0.29</w:t>
            </w:r>
          </w:p>
        </w:tc>
        <w:tc>
          <w:tcPr>
            <w:tcW w:w="637" w:type="pct"/>
            <w:tcBorders>
              <w:top w:val="nil"/>
              <w:left w:val="nil"/>
              <w:bottom w:val="nil"/>
              <w:right w:val="nil"/>
            </w:tcBorders>
            <w:shd w:val="clear" w:color="auto" w:fill="auto"/>
            <w:noWrap/>
            <w:vAlign w:val="center"/>
            <w:hideMark/>
          </w:tcPr>
          <w:p w14:paraId="0C3F8203" w14:textId="77777777" w:rsidR="009D74F9" w:rsidRPr="004B2104" w:rsidRDefault="009D74F9" w:rsidP="00BD7FB0">
            <w:pPr>
              <w:spacing w:before="0" w:after="0"/>
              <w:jc w:val="center"/>
              <w:rPr>
                <w:rStyle w:val="BookTitle"/>
              </w:rPr>
            </w:pPr>
            <w:r w:rsidRPr="004B2104">
              <w:rPr>
                <w:rStyle w:val="BookTitle"/>
              </w:rPr>
              <w:t>0.13</w:t>
            </w:r>
          </w:p>
        </w:tc>
        <w:tc>
          <w:tcPr>
            <w:tcW w:w="675" w:type="pct"/>
            <w:tcBorders>
              <w:top w:val="nil"/>
              <w:left w:val="nil"/>
              <w:bottom w:val="nil"/>
              <w:right w:val="single" w:sz="4" w:space="0" w:color="auto"/>
            </w:tcBorders>
            <w:shd w:val="clear" w:color="auto" w:fill="auto"/>
            <w:noWrap/>
            <w:vAlign w:val="center"/>
            <w:hideMark/>
          </w:tcPr>
          <w:p w14:paraId="0C3F8204" w14:textId="77777777" w:rsidR="009D74F9" w:rsidRPr="004B2104" w:rsidRDefault="009D74F9" w:rsidP="00BD7FB0">
            <w:pPr>
              <w:spacing w:before="0" w:after="0"/>
              <w:jc w:val="center"/>
              <w:rPr>
                <w:rStyle w:val="BookTitle"/>
              </w:rPr>
            </w:pPr>
            <w:r w:rsidRPr="004B2104">
              <w:rPr>
                <w:rStyle w:val="BookTitle"/>
              </w:rPr>
              <w:t>0.29</w:t>
            </w:r>
          </w:p>
        </w:tc>
        <w:tc>
          <w:tcPr>
            <w:tcW w:w="796" w:type="pct"/>
            <w:tcBorders>
              <w:top w:val="nil"/>
              <w:left w:val="nil"/>
              <w:bottom w:val="nil"/>
              <w:right w:val="single" w:sz="4" w:space="0" w:color="auto"/>
            </w:tcBorders>
            <w:shd w:val="clear" w:color="auto" w:fill="auto"/>
            <w:noWrap/>
            <w:vAlign w:val="center"/>
            <w:hideMark/>
          </w:tcPr>
          <w:p w14:paraId="0C3F8205" w14:textId="77777777" w:rsidR="009D74F9" w:rsidRPr="004B2104" w:rsidRDefault="009D74F9" w:rsidP="00BD7FB0">
            <w:pPr>
              <w:spacing w:before="0" w:after="0"/>
              <w:jc w:val="center"/>
              <w:rPr>
                <w:rStyle w:val="BookTitle"/>
              </w:rPr>
            </w:pPr>
            <w:r w:rsidRPr="004B2104">
              <w:rPr>
                <w:rStyle w:val="BookTitle"/>
              </w:rPr>
              <w:t>0.23</w:t>
            </w:r>
          </w:p>
        </w:tc>
      </w:tr>
      <w:tr w:rsidR="009D74F9" w:rsidRPr="004B2104" w14:paraId="0C3F820D" w14:textId="77777777" w:rsidTr="009D74F9">
        <w:trPr>
          <w:trHeight w:val="20"/>
        </w:trPr>
        <w:tc>
          <w:tcPr>
            <w:tcW w:w="1484" w:type="pct"/>
            <w:vMerge/>
            <w:tcBorders>
              <w:top w:val="nil"/>
              <w:left w:val="nil"/>
              <w:bottom w:val="single" w:sz="4" w:space="0" w:color="000000"/>
              <w:right w:val="nil"/>
            </w:tcBorders>
            <w:vAlign w:val="center"/>
            <w:hideMark/>
          </w:tcPr>
          <w:p w14:paraId="0C3F8207"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08"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209" w14:textId="77777777" w:rsidR="009D74F9" w:rsidRPr="004B2104" w:rsidRDefault="009D74F9" w:rsidP="00BD7FB0">
            <w:pPr>
              <w:spacing w:before="0" w:after="0"/>
              <w:jc w:val="center"/>
              <w:rPr>
                <w:rStyle w:val="BookTitle"/>
              </w:rPr>
            </w:pPr>
            <w:r w:rsidRPr="004B2104">
              <w:rPr>
                <w:rStyle w:val="BookTitle"/>
              </w:rPr>
              <w:t>0.13</w:t>
            </w:r>
          </w:p>
        </w:tc>
        <w:tc>
          <w:tcPr>
            <w:tcW w:w="637" w:type="pct"/>
            <w:tcBorders>
              <w:top w:val="nil"/>
              <w:left w:val="nil"/>
              <w:bottom w:val="nil"/>
              <w:right w:val="nil"/>
            </w:tcBorders>
            <w:shd w:val="clear" w:color="auto" w:fill="auto"/>
            <w:noWrap/>
            <w:vAlign w:val="center"/>
            <w:hideMark/>
          </w:tcPr>
          <w:p w14:paraId="0C3F820A" w14:textId="77777777" w:rsidR="009D74F9" w:rsidRPr="004B2104" w:rsidRDefault="009D74F9" w:rsidP="00BD7FB0">
            <w:pPr>
              <w:spacing w:before="0" w:after="0"/>
              <w:jc w:val="center"/>
              <w:rPr>
                <w:rStyle w:val="BookTitle"/>
              </w:rPr>
            </w:pPr>
            <w:r w:rsidRPr="004B2104">
              <w:rPr>
                <w:rStyle w:val="BookTitle"/>
              </w:rPr>
              <w:t>0.07</w:t>
            </w:r>
          </w:p>
        </w:tc>
        <w:tc>
          <w:tcPr>
            <w:tcW w:w="675" w:type="pct"/>
            <w:tcBorders>
              <w:top w:val="nil"/>
              <w:left w:val="nil"/>
              <w:bottom w:val="nil"/>
              <w:right w:val="single" w:sz="4" w:space="0" w:color="auto"/>
            </w:tcBorders>
            <w:shd w:val="clear" w:color="auto" w:fill="auto"/>
            <w:noWrap/>
            <w:vAlign w:val="center"/>
            <w:hideMark/>
          </w:tcPr>
          <w:p w14:paraId="0C3F820B" w14:textId="77777777" w:rsidR="009D74F9" w:rsidRPr="004B2104" w:rsidRDefault="009D74F9" w:rsidP="00BD7FB0">
            <w:pPr>
              <w:spacing w:before="0" w:after="0"/>
              <w:jc w:val="center"/>
              <w:rPr>
                <w:rStyle w:val="BookTitle"/>
              </w:rPr>
            </w:pPr>
            <w:r w:rsidRPr="004B2104">
              <w:rPr>
                <w:rStyle w:val="BookTitle"/>
              </w:rPr>
              <w:t>0.13</w:t>
            </w:r>
          </w:p>
        </w:tc>
        <w:tc>
          <w:tcPr>
            <w:tcW w:w="796" w:type="pct"/>
            <w:tcBorders>
              <w:top w:val="nil"/>
              <w:left w:val="nil"/>
              <w:bottom w:val="nil"/>
              <w:right w:val="single" w:sz="4" w:space="0" w:color="auto"/>
            </w:tcBorders>
            <w:shd w:val="clear" w:color="auto" w:fill="auto"/>
            <w:noWrap/>
            <w:vAlign w:val="center"/>
            <w:hideMark/>
          </w:tcPr>
          <w:p w14:paraId="0C3F820C" w14:textId="77777777" w:rsidR="009D74F9" w:rsidRPr="004B2104" w:rsidRDefault="009D74F9" w:rsidP="00BD7FB0">
            <w:pPr>
              <w:spacing w:before="0" w:after="0"/>
              <w:jc w:val="center"/>
              <w:rPr>
                <w:rStyle w:val="BookTitle"/>
              </w:rPr>
            </w:pPr>
            <w:r w:rsidRPr="004B2104">
              <w:rPr>
                <w:rStyle w:val="BookTitle"/>
              </w:rPr>
              <w:t>0.09</w:t>
            </w:r>
          </w:p>
        </w:tc>
      </w:tr>
      <w:tr w:rsidR="009D74F9" w:rsidRPr="004B2104" w14:paraId="0C3F8214" w14:textId="77777777" w:rsidTr="009D74F9">
        <w:trPr>
          <w:trHeight w:val="20"/>
        </w:trPr>
        <w:tc>
          <w:tcPr>
            <w:tcW w:w="1484" w:type="pct"/>
            <w:vMerge/>
            <w:tcBorders>
              <w:top w:val="nil"/>
              <w:left w:val="nil"/>
              <w:bottom w:val="single" w:sz="4" w:space="0" w:color="000000"/>
              <w:right w:val="nil"/>
            </w:tcBorders>
            <w:vAlign w:val="center"/>
            <w:hideMark/>
          </w:tcPr>
          <w:p w14:paraId="0C3F820E"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0F"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210" w14:textId="77777777" w:rsidR="009D74F9" w:rsidRPr="004B2104" w:rsidRDefault="009D74F9" w:rsidP="00BD7FB0">
            <w:pPr>
              <w:spacing w:before="0" w:after="0"/>
              <w:jc w:val="center"/>
              <w:rPr>
                <w:rStyle w:val="BookTitle"/>
              </w:rPr>
            </w:pPr>
            <w:r w:rsidRPr="004B2104">
              <w:rPr>
                <w:rStyle w:val="BookTitle"/>
              </w:rPr>
              <w:t>0.06</w:t>
            </w:r>
          </w:p>
        </w:tc>
        <w:tc>
          <w:tcPr>
            <w:tcW w:w="637" w:type="pct"/>
            <w:tcBorders>
              <w:top w:val="nil"/>
              <w:left w:val="nil"/>
              <w:bottom w:val="nil"/>
              <w:right w:val="nil"/>
            </w:tcBorders>
            <w:shd w:val="clear" w:color="auto" w:fill="auto"/>
            <w:noWrap/>
            <w:vAlign w:val="center"/>
            <w:hideMark/>
          </w:tcPr>
          <w:p w14:paraId="0C3F8211" w14:textId="77777777" w:rsidR="009D74F9" w:rsidRPr="004B2104" w:rsidRDefault="009D74F9" w:rsidP="00BD7FB0">
            <w:pPr>
              <w:spacing w:before="0" w:after="0"/>
              <w:jc w:val="center"/>
              <w:rPr>
                <w:rStyle w:val="BookTitle"/>
              </w:rPr>
            </w:pPr>
            <w:r w:rsidRPr="004B2104">
              <w:rPr>
                <w:rStyle w:val="BookTitle"/>
              </w:rPr>
              <w:t>0.04</w:t>
            </w:r>
          </w:p>
        </w:tc>
        <w:tc>
          <w:tcPr>
            <w:tcW w:w="675" w:type="pct"/>
            <w:tcBorders>
              <w:top w:val="nil"/>
              <w:left w:val="nil"/>
              <w:bottom w:val="nil"/>
              <w:right w:val="single" w:sz="4" w:space="0" w:color="auto"/>
            </w:tcBorders>
            <w:shd w:val="clear" w:color="auto" w:fill="auto"/>
            <w:noWrap/>
            <w:vAlign w:val="center"/>
            <w:hideMark/>
          </w:tcPr>
          <w:p w14:paraId="0C3F8212" w14:textId="77777777" w:rsidR="009D74F9" w:rsidRPr="004B2104" w:rsidRDefault="009D74F9" w:rsidP="00BD7FB0">
            <w:pPr>
              <w:spacing w:before="0" w:after="0"/>
              <w:jc w:val="center"/>
              <w:rPr>
                <w:rStyle w:val="BookTitle"/>
              </w:rPr>
            </w:pPr>
            <w:r w:rsidRPr="004B2104">
              <w:rPr>
                <w:rStyle w:val="BookTitle"/>
              </w:rPr>
              <w:t>0.06</w:t>
            </w:r>
          </w:p>
        </w:tc>
        <w:tc>
          <w:tcPr>
            <w:tcW w:w="796" w:type="pct"/>
            <w:tcBorders>
              <w:top w:val="nil"/>
              <w:left w:val="nil"/>
              <w:bottom w:val="nil"/>
              <w:right w:val="single" w:sz="4" w:space="0" w:color="auto"/>
            </w:tcBorders>
            <w:shd w:val="clear" w:color="auto" w:fill="auto"/>
            <w:noWrap/>
            <w:vAlign w:val="center"/>
            <w:hideMark/>
          </w:tcPr>
          <w:p w14:paraId="0C3F8213" w14:textId="77777777" w:rsidR="009D74F9" w:rsidRPr="004B2104" w:rsidRDefault="009D74F9" w:rsidP="00BD7FB0">
            <w:pPr>
              <w:spacing w:before="0" w:after="0"/>
              <w:jc w:val="center"/>
              <w:rPr>
                <w:rStyle w:val="BookTitle"/>
              </w:rPr>
            </w:pPr>
            <w:r w:rsidRPr="004B2104">
              <w:rPr>
                <w:rStyle w:val="BookTitle"/>
              </w:rPr>
              <w:t>0.04</w:t>
            </w:r>
          </w:p>
        </w:tc>
      </w:tr>
      <w:tr w:rsidR="009D74F9" w:rsidRPr="004B2104" w14:paraId="0C3F821B" w14:textId="77777777" w:rsidTr="009D74F9">
        <w:trPr>
          <w:trHeight w:val="20"/>
        </w:trPr>
        <w:tc>
          <w:tcPr>
            <w:tcW w:w="1484" w:type="pct"/>
            <w:vMerge/>
            <w:tcBorders>
              <w:top w:val="nil"/>
              <w:left w:val="nil"/>
              <w:bottom w:val="single" w:sz="4" w:space="0" w:color="000000"/>
              <w:right w:val="nil"/>
            </w:tcBorders>
            <w:vAlign w:val="center"/>
            <w:hideMark/>
          </w:tcPr>
          <w:p w14:paraId="0C3F8215"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216"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217"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218"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219"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21A"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222"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21C" w14:textId="77777777" w:rsidR="009D74F9" w:rsidRPr="004B2104" w:rsidRDefault="009D74F9" w:rsidP="00BD7FB0">
            <w:pPr>
              <w:spacing w:before="0" w:after="0"/>
              <w:jc w:val="center"/>
              <w:rPr>
                <w:rStyle w:val="BookTitle"/>
              </w:rPr>
            </w:pPr>
            <w:r w:rsidRPr="004B2104">
              <w:rPr>
                <w:rStyle w:val="BookTitle"/>
              </w:rPr>
              <w:t>Particulate Nitrogen (µM)</w:t>
            </w:r>
          </w:p>
        </w:tc>
        <w:tc>
          <w:tcPr>
            <w:tcW w:w="456" w:type="pct"/>
            <w:tcBorders>
              <w:top w:val="nil"/>
              <w:left w:val="nil"/>
              <w:bottom w:val="nil"/>
              <w:right w:val="nil"/>
            </w:tcBorders>
            <w:shd w:val="clear" w:color="auto" w:fill="auto"/>
            <w:noWrap/>
            <w:vAlign w:val="center"/>
            <w:hideMark/>
          </w:tcPr>
          <w:p w14:paraId="0C3F821D"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21E" w14:textId="77777777" w:rsidR="009D74F9" w:rsidRPr="004B2104" w:rsidRDefault="009D74F9" w:rsidP="00BD7FB0">
            <w:pPr>
              <w:spacing w:before="0" w:after="0"/>
              <w:jc w:val="center"/>
              <w:rPr>
                <w:rStyle w:val="BookTitle"/>
              </w:rPr>
            </w:pPr>
            <w:r w:rsidRPr="004B2104">
              <w:rPr>
                <w:rStyle w:val="BookTitle"/>
              </w:rPr>
              <w:t>0.07</w:t>
            </w:r>
          </w:p>
        </w:tc>
        <w:tc>
          <w:tcPr>
            <w:tcW w:w="637" w:type="pct"/>
            <w:tcBorders>
              <w:top w:val="nil"/>
              <w:left w:val="nil"/>
              <w:bottom w:val="nil"/>
              <w:right w:val="nil"/>
            </w:tcBorders>
            <w:shd w:val="clear" w:color="auto" w:fill="auto"/>
            <w:noWrap/>
            <w:vAlign w:val="center"/>
            <w:hideMark/>
          </w:tcPr>
          <w:p w14:paraId="0C3F821F" w14:textId="77777777" w:rsidR="009D74F9" w:rsidRPr="004B2104" w:rsidRDefault="009D74F9" w:rsidP="00BD7FB0">
            <w:pPr>
              <w:spacing w:before="0" w:after="0"/>
              <w:jc w:val="center"/>
              <w:rPr>
                <w:rStyle w:val="BookTitle"/>
              </w:rPr>
            </w:pPr>
            <w:r w:rsidRPr="004B2104">
              <w:rPr>
                <w:rStyle w:val="BookTitle"/>
              </w:rPr>
              <w:t>0.29</w:t>
            </w:r>
          </w:p>
        </w:tc>
        <w:tc>
          <w:tcPr>
            <w:tcW w:w="675" w:type="pct"/>
            <w:tcBorders>
              <w:top w:val="nil"/>
              <w:left w:val="nil"/>
              <w:bottom w:val="nil"/>
              <w:right w:val="single" w:sz="4" w:space="0" w:color="auto"/>
            </w:tcBorders>
            <w:shd w:val="clear" w:color="auto" w:fill="auto"/>
            <w:noWrap/>
            <w:vAlign w:val="center"/>
            <w:hideMark/>
          </w:tcPr>
          <w:p w14:paraId="0C3F8220" w14:textId="77777777" w:rsidR="009D74F9" w:rsidRPr="004B2104" w:rsidRDefault="009D74F9" w:rsidP="00BD7FB0">
            <w:pPr>
              <w:spacing w:before="0" w:after="0"/>
              <w:jc w:val="center"/>
              <w:rPr>
                <w:rStyle w:val="BookTitle"/>
              </w:rPr>
            </w:pPr>
            <w:r w:rsidRPr="004B2104">
              <w:rPr>
                <w:rStyle w:val="BookTitle"/>
              </w:rPr>
              <w:t>0.29</w:t>
            </w:r>
          </w:p>
        </w:tc>
        <w:tc>
          <w:tcPr>
            <w:tcW w:w="796" w:type="pct"/>
            <w:tcBorders>
              <w:top w:val="nil"/>
              <w:left w:val="nil"/>
              <w:bottom w:val="nil"/>
              <w:right w:val="single" w:sz="4" w:space="0" w:color="auto"/>
            </w:tcBorders>
            <w:shd w:val="clear" w:color="auto" w:fill="auto"/>
            <w:noWrap/>
            <w:vAlign w:val="center"/>
            <w:hideMark/>
          </w:tcPr>
          <w:p w14:paraId="0C3F8221" w14:textId="77777777" w:rsidR="009D74F9" w:rsidRPr="004B2104" w:rsidRDefault="009D74F9" w:rsidP="00BD7FB0">
            <w:pPr>
              <w:spacing w:before="0" w:after="0"/>
              <w:jc w:val="center"/>
              <w:rPr>
                <w:rStyle w:val="BookTitle"/>
              </w:rPr>
            </w:pPr>
            <w:r w:rsidRPr="004B2104">
              <w:rPr>
                <w:rStyle w:val="BookTitle"/>
              </w:rPr>
              <w:t>0.00</w:t>
            </w:r>
          </w:p>
        </w:tc>
      </w:tr>
      <w:tr w:rsidR="009D74F9" w:rsidRPr="004B2104" w14:paraId="0C3F8229" w14:textId="77777777" w:rsidTr="009D74F9">
        <w:trPr>
          <w:trHeight w:val="20"/>
        </w:trPr>
        <w:tc>
          <w:tcPr>
            <w:tcW w:w="1484" w:type="pct"/>
            <w:vMerge/>
            <w:tcBorders>
              <w:top w:val="nil"/>
              <w:left w:val="nil"/>
              <w:bottom w:val="single" w:sz="4" w:space="0" w:color="000000"/>
              <w:right w:val="nil"/>
            </w:tcBorders>
            <w:vAlign w:val="center"/>
            <w:hideMark/>
          </w:tcPr>
          <w:p w14:paraId="0C3F8223"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24"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225" w14:textId="77777777" w:rsidR="009D74F9" w:rsidRPr="004B2104" w:rsidRDefault="009D74F9" w:rsidP="00BD7FB0">
            <w:pPr>
              <w:spacing w:before="0" w:after="0"/>
              <w:jc w:val="center"/>
              <w:rPr>
                <w:rStyle w:val="BookTitle"/>
              </w:rPr>
            </w:pPr>
            <w:r w:rsidRPr="004B2104">
              <w:rPr>
                <w:rStyle w:val="BookTitle"/>
              </w:rPr>
              <w:t>8.07</w:t>
            </w:r>
          </w:p>
        </w:tc>
        <w:tc>
          <w:tcPr>
            <w:tcW w:w="637" w:type="pct"/>
            <w:tcBorders>
              <w:top w:val="nil"/>
              <w:left w:val="nil"/>
              <w:bottom w:val="nil"/>
              <w:right w:val="nil"/>
            </w:tcBorders>
            <w:shd w:val="clear" w:color="auto" w:fill="auto"/>
            <w:noWrap/>
            <w:vAlign w:val="center"/>
            <w:hideMark/>
          </w:tcPr>
          <w:p w14:paraId="0C3F8226" w14:textId="77777777" w:rsidR="009D74F9" w:rsidRPr="004B2104" w:rsidRDefault="009D74F9" w:rsidP="00BD7FB0">
            <w:pPr>
              <w:spacing w:before="0" w:after="0"/>
              <w:jc w:val="center"/>
              <w:rPr>
                <w:rStyle w:val="BookTitle"/>
              </w:rPr>
            </w:pPr>
            <w:r w:rsidRPr="004B2104">
              <w:rPr>
                <w:rStyle w:val="BookTitle"/>
              </w:rPr>
              <w:t>4.21</w:t>
            </w:r>
          </w:p>
        </w:tc>
        <w:tc>
          <w:tcPr>
            <w:tcW w:w="675" w:type="pct"/>
            <w:tcBorders>
              <w:top w:val="nil"/>
              <w:left w:val="nil"/>
              <w:bottom w:val="nil"/>
              <w:right w:val="single" w:sz="4" w:space="0" w:color="auto"/>
            </w:tcBorders>
            <w:shd w:val="clear" w:color="auto" w:fill="auto"/>
            <w:noWrap/>
            <w:vAlign w:val="center"/>
            <w:hideMark/>
          </w:tcPr>
          <w:p w14:paraId="0C3F8227" w14:textId="77777777" w:rsidR="009D74F9" w:rsidRPr="004B2104" w:rsidRDefault="009D74F9" w:rsidP="00BD7FB0">
            <w:pPr>
              <w:spacing w:before="0" w:after="0"/>
              <w:jc w:val="center"/>
              <w:rPr>
                <w:rStyle w:val="BookTitle"/>
              </w:rPr>
            </w:pPr>
            <w:r w:rsidRPr="004B2104">
              <w:rPr>
                <w:rStyle w:val="BookTitle"/>
              </w:rPr>
              <w:t>6.43</w:t>
            </w:r>
          </w:p>
        </w:tc>
        <w:tc>
          <w:tcPr>
            <w:tcW w:w="796" w:type="pct"/>
            <w:tcBorders>
              <w:top w:val="nil"/>
              <w:left w:val="nil"/>
              <w:bottom w:val="nil"/>
              <w:right w:val="single" w:sz="4" w:space="0" w:color="auto"/>
            </w:tcBorders>
            <w:shd w:val="clear" w:color="auto" w:fill="auto"/>
            <w:noWrap/>
            <w:vAlign w:val="center"/>
            <w:hideMark/>
          </w:tcPr>
          <w:p w14:paraId="0C3F8228" w14:textId="77777777" w:rsidR="009D74F9" w:rsidRPr="004B2104" w:rsidRDefault="009D74F9" w:rsidP="00BD7FB0">
            <w:pPr>
              <w:spacing w:before="0" w:after="0"/>
              <w:jc w:val="center"/>
              <w:rPr>
                <w:rStyle w:val="BookTitle"/>
              </w:rPr>
            </w:pPr>
            <w:r w:rsidRPr="004B2104">
              <w:rPr>
                <w:rStyle w:val="BookTitle"/>
              </w:rPr>
              <w:t>8.00</w:t>
            </w:r>
          </w:p>
        </w:tc>
      </w:tr>
      <w:tr w:rsidR="009D74F9" w:rsidRPr="004B2104" w14:paraId="0C3F8230" w14:textId="77777777" w:rsidTr="009D74F9">
        <w:trPr>
          <w:trHeight w:val="20"/>
        </w:trPr>
        <w:tc>
          <w:tcPr>
            <w:tcW w:w="1484" w:type="pct"/>
            <w:vMerge/>
            <w:tcBorders>
              <w:top w:val="nil"/>
              <w:left w:val="nil"/>
              <w:bottom w:val="single" w:sz="4" w:space="0" w:color="000000"/>
              <w:right w:val="nil"/>
            </w:tcBorders>
            <w:vAlign w:val="center"/>
            <w:hideMark/>
          </w:tcPr>
          <w:p w14:paraId="0C3F822A"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2B"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22C" w14:textId="77777777" w:rsidR="009D74F9" w:rsidRPr="004B2104" w:rsidRDefault="009D74F9" w:rsidP="00BD7FB0">
            <w:pPr>
              <w:spacing w:before="0" w:after="0"/>
              <w:jc w:val="center"/>
              <w:rPr>
                <w:rStyle w:val="BookTitle"/>
              </w:rPr>
            </w:pPr>
            <w:r w:rsidRPr="004B2104">
              <w:rPr>
                <w:rStyle w:val="BookTitle"/>
              </w:rPr>
              <w:t>1.75</w:t>
            </w:r>
          </w:p>
        </w:tc>
        <w:tc>
          <w:tcPr>
            <w:tcW w:w="637" w:type="pct"/>
            <w:tcBorders>
              <w:top w:val="nil"/>
              <w:left w:val="nil"/>
              <w:bottom w:val="nil"/>
              <w:right w:val="nil"/>
            </w:tcBorders>
            <w:shd w:val="clear" w:color="auto" w:fill="auto"/>
            <w:noWrap/>
            <w:vAlign w:val="center"/>
            <w:hideMark/>
          </w:tcPr>
          <w:p w14:paraId="0C3F822D" w14:textId="77777777" w:rsidR="009D74F9" w:rsidRPr="004B2104" w:rsidRDefault="009D74F9" w:rsidP="00BD7FB0">
            <w:pPr>
              <w:spacing w:before="0" w:after="0"/>
              <w:jc w:val="center"/>
              <w:rPr>
                <w:rStyle w:val="BookTitle"/>
              </w:rPr>
            </w:pPr>
            <w:r w:rsidRPr="004B2104">
              <w:rPr>
                <w:rStyle w:val="BookTitle"/>
              </w:rPr>
              <w:t>1.30</w:t>
            </w:r>
          </w:p>
        </w:tc>
        <w:tc>
          <w:tcPr>
            <w:tcW w:w="675" w:type="pct"/>
            <w:tcBorders>
              <w:top w:val="nil"/>
              <w:left w:val="nil"/>
              <w:bottom w:val="nil"/>
              <w:right w:val="single" w:sz="4" w:space="0" w:color="auto"/>
            </w:tcBorders>
            <w:shd w:val="clear" w:color="auto" w:fill="auto"/>
            <w:noWrap/>
            <w:vAlign w:val="center"/>
            <w:hideMark/>
          </w:tcPr>
          <w:p w14:paraId="0C3F822E" w14:textId="77777777" w:rsidR="009D74F9" w:rsidRPr="004B2104" w:rsidRDefault="009D74F9" w:rsidP="00BD7FB0">
            <w:pPr>
              <w:spacing w:before="0" w:after="0"/>
              <w:jc w:val="center"/>
              <w:rPr>
                <w:rStyle w:val="BookTitle"/>
              </w:rPr>
            </w:pPr>
            <w:r w:rsidRPr="004B2104">
              <w:rPr>
                <w:rStyle w:val="BookTitle"/>
              </w:rPr>
              <w:t>2.34</w:t>
            </w:r>
          </w:p>
        </w:tc>
        <w:tc>
          <w:tcPr>
            <w:tcW w:w="796" w:type="pct"/>
            <w:tcBorders>
              <w:top w:val="nil"/>
              <w:left w:val="nil"/>
              <w:bottom w:val="nil"/>
              <w:right w:val="single" w:sz="4" w:space="0" w:color="auto"/>
            </w:tcBorders>
            <w:shd w:val="clear" w:color="auto" w:fill="auto"/>
            <w:noWrap/>
            <w:vAlign w:val="center"/>
            <w:hideMark/>
          </w:tcPr>
          <w:p w14:paraId="0C3F822F" w14:textId="77777777" w:rsidR="009D74F9" w:rsidRPr="004B2104" w:rsidRDefault="009D74F9" w:rsidP="00BD7FB0">
            <w:pPr>
              <w:spacing w:before="0" w:after="0"/>
              <w:jc w:val="center"/>
              <w:rPr>
                <w:rStyle w:val="BookTitle"/>
              </w:rPr>
            </w:pPr>
            <w:r w:rsidRPr="004B2104">
              <w:rPr>
                <w:rStyle w:val="BookTitle"/>
              </w:rPr>
              <w:t>2.15</w:t>
            </w:r>
          </w:p>
        </w:tc>
      </w:tr>
      <w:tr w:rsidR="009D74F9" w:rsidRPr="004B2104" w14:paraId="0C3F8237" w14:textId="77777777" w:rsidTr="009D74F9">
        <w:trPr>
          <w:trHeight w:val="20"/>
        </w:trPr>
        <w:tc>
          <w:tcPr>
            <w:tcW w:w="1484" w:type="pct"/>
            <w:vMerge/>
            <w:tcBorders>
              <w:top w:val="nil"/>
              <w:left w:val="nil"/>
              <w:bottom w:val="single" w:sz="4" w:space="0" w:color="000000"/>
              <w:right w:val="nil"/>
            </w:tcBorders>
            <w:vAlign w:val="center"/>
            <w:hideMark/>
          </w:tcPr>
          <w:p w14:paraId="0C3F8231"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32"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233" w14:textId="77777777" w:rsidR="009D74F9" w:rsidRPr="004B2104" w:rsidRDefault="009D74F9" w:rsidP="00BD7FB0">
            <w:pPr>
              <w:spacing w:before="0" w:after="0"/>
              <w:jc w:val="center"/>
              <w:rPr>
                <w:rStyle w:val="BookTitle"/>
              </w:rPr>
            </w:pPr>
            <w:r w:rsidRPr="004B2104">
              <w:rPr>
                <w:rStyle w:val="BookTitle"/>
              </w:rPr>
              <w:t>1.82</w:t>
            </w:r>
          </w:p>
        </w:tc>
        <w:tc>
          <w:tcPr>
            <w:tcW w:w="637" w:type="pct"/>
            <w:tcBorders>
              <w:top w:val="nil"/>
              <w:left w:val="nil"/>
              <w:bottom w:val="nil"/>
              <w:right w:val="nil"/>
            </w:tcBorders>
            <w:shd w:val="clear" w:color="auto" w:fill="auto"/>
            <w:noWrap/>
            <w:vAlign w:val="center"/>
            <w:hideMark/>
          </w:tcPr>
          <w:p w14:paraId="0C3F8234" w14:textId="77777777" w:rsidR="009D74F9" w:rsidRPr="004B2104" w:rsidRDefault="009D74F9" w:rsidP="00BD7FB0">
            <w:pPr>
              <w:spacing w:before="0" w:after="0"/>
              <w:jc w:val="center"/>
              <w:rPr>
                <w:rStyle w:val="BookTitle"/>
              </w:rPr>
            </w:pPr>
            <w:r w:rsidRPr="004B2104">
              <w:rPr>
                <w:rStyle w:val="BookTitle"/>
              </w:rPr>
              <w:t>1.18</w:t>
            </w:r>
          </w:p>
        </w:tc>
        <w:tc>
          <w:tcPr>
            <w:tcW w:w="675" w:type="pct"/>
            <w:tcBorders>
              <w:top w:val="nil"/>
              <w:left w:val="nil"/>
              <w:bottom w:val="nil"/>
              <w:right w:val="single" w:sz="4" w:space="0" w:color="auto"/>
            </w:tcBorders>
            <w:shd w:val="clear" w:color="auto" w:fill="auto"/>
            <w:noWrap/>
            <w:vAlign w:val="center"/>
            <w:hideMark/>
          </w:tcPr>
          <w:p w14:paraId="0C3F8235" w14:textId="77777777" w:rsidR="009D74F9" w:rsidRPr="004B2104" w:rsidRDefault="009D74F9" w:rsidP="00BD7FB0">
            <w:pPr>
              <w:spacing w:before="0" w:after="0"/>
              <w:jc w:val="center"/>
              <w:rPr>
                <w:rStyle w:val="BookTitle"/>
              </w:rPr>
            </w:pPr>
            <w:r w:rsidRPr="004B2104">
              <w:rPr>
                <w:rStyle w:val="BookTitle"/>
              </w:rPr>
              <w:t>1.87</w:t>
            </w:r>
          </w:p>
        </w:tc>
        <w:tc>
          <w:tcPr>
            <w:tcW w:w="796" w:type="pct"/>
            <w:tcBorders>
              <w:top w:val="nil"/>
              <w:left w:val="nil"/>
              <w:bottom w:val="nil"/>
              <w:right w:val="single" w:sz="4" w:space="0" w:color="auto"/>
            </w:tcBorders>
            <w:shd w:val="clear" w:color="auto" w:fill="auto"/>
            <w:noWrap/>
            <w:vAlign w:val="center"/>
            <w:hideMark/>
          </w:tcPr>
          <w:p w14:paraId="0C3F8236" w14:textId="77777777" w:rsidR="009D74F9" w:rsidRPr="004B2104" w:rsidRDefault="009D74F9" w:rsidP="00BD7FB0">
            <w:pPr>
              <w:spacing w:before="0" w:after="0"/>
              <w:jc w:val="center"/>
              <w:rPr>
                <w:rStyle w:val="BookTitle"/>
              </w:rPr>
            </w:pPr>
            <w:r w:rsidRPr="004B2104">
              <w:rPr>
                <w:rStyle w:val="BookTitle"/>
              </w:rPr>
              <w:t>1.99</w:t>
            </w:r>
          </w:p>
        </w:tc>
      </w:tr>
      <w:tr w:rsidR="009D74F9" w:rsidRPr="004B2104" w14:paraId="0C3F823E" w14:textId="77777777" w:rsidTr="009D74F9">
        <w:trPr>
          <w:trHeight w:val="20"/>
        </w:trPr>
        <w:tc>
          <w:tcPr>
            <w:tcW w:w="1484" w:type="pct"/>
            <w:vMerge/>
            <w:tcBorders>
              <w:top w:val="nil"/>
              <w:left w:val="nil"/>
              <w:bottom w:val="single" w:sz="4" w:space="0" w:color="000000"/>
              <w:right w:val="nil"/>
            </w:tcBorders>
            <w:vAlign w:val="center"/>
            <w:hideMark/>
          </w:tcPr>
          <w:p w14:paraId="0C3F8238"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239"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23A"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23B"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23C"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23D"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245"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23F" w14:textId="77777777" w:rsidR="009D74F9" w:rsidRPr="004B2104" w:rsidRDefault="009D74F9" w:rsidP="00BD7FB0">
            <w:pPr>
              <w:spacing w:before="0" w:after="0"/>
              <w:jc w:val="center"/>
              <w:rPr>
                <w:rStyle w:val="BookTitle"/>
              </w:rPr>
            </w:pPr>
            <w:r w:rsidRPr="004B2104">
              <w:rPr>
                <w:rStyle w:val="BookTitle"/>
              </w:rPr>
              <w:t>Particulate Phosphorus (µM)</w:t>
            </w:r>
          </w:p>
        </w:tc>
        <w:tc>
          <w:tcPr>
            <w:tcW w:w="456" w:type="pct"/>
            <w:tcBorders>
              <w:top w:val="nil"/>
              <w:left w:val="nil"/>
              <w:bottom w:val="nil"/>
              <w:right w:val="nil"/>
            </w:tcBorders>
            <w:shd w:val="clear" w:color="auto" w:fill="auto"/>
            <w:noWrap/>
            <w:vAlign w:val="center"/>
            <w:hideMark/>
          </w:tcPr>
          <w:p w14:paraId="0C3F8240"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241" w14:textId="77777777" w:rsidR="009D74F9" w:rsidRPr="004B2104" w:rsidRDefault="009D74F9" w:rsidP="00BD7FB0">
            <w:pPr>
              <w:spacing w:before="0" w:after="0"/>
              <w:jc w:val="center"/>
              <w:rPr>
                <w:rStyle w:val="BookTitle"/>
              </w:rPr>
            </w:pPr>
            <w:r w:rsidRPr="004B2104">
              <w:rPr>
                <w:rStyle w:val="BookTitle"/>
              </w:rPr>
              <w:t>0.00</w:t>
            </w:r>
          </w:p>
        </w:tc>
        <w:tc>
          <w:tcPr>
            <w:tcW w:w="637" w:type="pct"/>
            <w:tcBorders>
              <w:top w:val="nil"/>
              <w:left w:val="nil"/>
              <w:bottom w:val="nil"/>
              <w:right w:val="nil"/>
            </w:tcBorders>
            <w:shd w:val="clear" w:color="auto" w:fill="auto"/>
            <w:noWrap/>
            <w:vAlign w:val="center"/>
            <w:hideMark/>
          </w:tcPr>
          <w:p w14:paraId="0C3F8242" w14:textId="77777777" w:rsidR="009D74F9" w:rsidRPr="004B2104" w:rsidRDefault="009D74F9" w:rsidP="00BD7FB0">
            <w:pPr>
              <w:spacing w:before="0" w:after="0"/>
              <w:jc w:val="center"/>
              <w:rPr>
                <w:rStyle w:val="BookTitle"/>
              </w:rPr>
            </w:pPr>
            <w:r w:rsidRPr="004B2104">
              <w:rPr>
                <w:rStyle w:val="BookTitle"/>
              </w:rPr>
              <w:t>0.00</w:t>
            </w:r>
          </w:p>
        </w:tc>
        <w:tc>
          <w:tcPr>
            <w:tcW w:w="675" w:type="pct"/>
            <w:tcBorders>
              <w:top w:val="nil"/>
              <w:left w:val="nil"/>
              <w:bottom w:val="nil"/>
              <w:right w:val="single" w:sz="4" w:space="0" w:color="auto"/>
            </w:tcBorders>
            <w:shd w:val="clear" w:color="auto" w:fill="auto"/>
            <w:noWrap/>
            <w:vAlign w:val="center"/>
            <w:hideMark/>
          </w:tcPr>
          <w:p w14:paraId="0C3F8243" w14:textId="77777777" w:rsidR="009D74F9" w:rsidRPr="004B2104" w:rsidRDefault="009D74F9" w:rsidP="00BD7FB0">
            <w:pPr>
              <w:spacing w:before="0" w:after="0"/>
              <w:jc w:val="center"/>
              <w:rPr>
                <w:rStyle w:val="BookTitle"/>
              </w:rPr>
            </w:pPr>
            <w:r w:rsidRPr="004B2104">
              <w:rPr>
                <w:rStyle w:val="BookTitle"/>
              </w:rPr>
              <w:t>0.00</w:t>
            </w:r>
          </w:p>
        </w:tc>
        <w:tc>
          <w:tcPr>
            <w:tcW w:w="796" w:type="pct"/>
            <w:tcBorders>
              <w:top w:val="nil"/>
              <w:left w:val="nil"/>
              <w:bottom w:val="nil"/>
              <w:right w:val="single" w:sz="4" w:space="0" w:color="auto"/>
            </w:tcBorders>
            <w:shd w:val="clear" w:color="auto" w:fill="auto"/>
            <w:noWrap/>
            <w:vAlign w:val="center"/>
            <w:hideMark/>
          </w:tcPr>
          <w:p w14:paraId="0C3F8244" w14:textId="77777777" w:rsidR="009D74F9" w:rsidRPr="004B2104" w:rsidRDefault="009D74F9" w:rsidP="00BD7FB0">
            <w:pPr>
              <w:spacing w:before="0" w:after="0"/>
              <w:jc w:val="center"/>
              <w:rPr>
                <w:rStyle w:val="BookTitle"/>
              </w:rPr>
            </w:pPr>
            <w:r w:rsidRPr="004B2104">
              <w:rPr>
                <w:rStyle w:val="BookTitle"/>
              </w:rPr>
              <w:t>0.00</w:t>
            </w:r>
          </w:p>
        </w:tc>
      </w:tr>
      <w:tr w:rsidR="009D74F9" w:rsidRPr="004B2104" w14:paraId="0C3F824C" w14:textId="77777777" w:rsidTr="009D74F9">
        <w:trPr>
          <w:trHeight w:val="20"/>
        </w:trPr>
        <w:tc>
          <w:tcPr>
            <w:tcW w:w="1484" w:type="pct"/>
            <w:vMerge/>
            <w:tcBorders>
              <w:top w:val="nil"/>
              <w:left w:val="nil"/>
              <w:bottom w:val="single" w:sz="4" w:space="0" w:color="000000"/>
              <w:right w:val="nil"/>
            </w:tcBorders>
            <w:vAlign w:val="center"/>
            <w:hideMark/>
          </w:tcPr>
          <w:p w14:paraId="0C3F8246"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47"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248" w14:textId="77777777" w:rsidR="009D74F9" w:rsidRPr="004B2104" w:rsidRDefault="009D74F9" w:rsidP="00BD7FB0">
            <w:pPr>
              <w:spacing w:before="0" w:after="0"/>
              <w:jc w:val="center"/>
              <w:rPr>
                <w:rStyle w:val="BookTitle"/>
              </w:rPr>
            </w:pPr>
            <w:r w:rsidRPr="004B2104">
              <w:rPr>
                <w:rStyle w:val="BookTitle"/>
              </w:rPr>
              <w:t>0.32</w:t>
            </w:r>
          </w:p>
        </w:tc>
        <w:tc>
          <w:tcPr>
            <w:tcW w:w="637" w:type="pct"/>
            <w:tcBorders>
              <w:top w:val="nil"/>
              <w:left w:val="nil"/>
              <w:bottom w:val="nil"/>
              <w:right w:val="nil"/>
            </w:tcBorders>
            <w:shd w:val="clear" w:color="auto" w:fill="auto"/>
            <w:noWrap/>
            <w:vAlign w:val="center"/>
            <w:hideMark/>
          </w:tcPr>
          <w:p w14:paraId="0C3F8249" w14:textId="77777777" w:rsidR="009D74F9" w:rsidRPr="004B2104" w:rsidRDefault="009D74F9" w:rsidP="00BD7FB0">
            <w:pPr>
              <w:spacing w:before="0" w:after="0"/>
              <w:jc w:val="center"/>
              <w:rPr>
                <w:rStyle w:val="BookTitle"/>
              </w:rPr>
            </w:pPr>
            <w:r w:rsidRPr="004B2104">
              <w:rPr>
                <w:rStyle w:val="BookTitle"/>
              </w:rPr>
              <w:t>0.16</w:t>
            </w:r>
          </w:p>
        </w:tc>
        <w:tc>
          <w:tcPr>
            <w:tcW w:w="675" w:type="pct"/>
            <w:tcBorders>
              <w:top w:val="nil"/>
              <w:left w:val="nil"/>
              <w:bottom w:val="nil"/>
              <w:right w:val="single" w:sz="4" w:space="0" w:color="auto"/>
            </w:tcBorders>
            <w:shd w:val="clear" w:color="auto" w:fill="auto"/>
            <w:noWrap/>
            <w:vAlign w:val="center"/>
            <w:hideMark/>
          </w:tcPr>
          <w:p w14:paraId="0C3F824A" w14:textId="77777777" w:rsidR="009D74F9" w:rsidRPr="004B2104" w:rsidRDefault="009D74F9" w:rsidP="00BD7FB0">
            <w:pPr>
              <w:spacing w:before="0" w:after="0"/>
              <w:jc w:val="center"/>
              <w:rPr>
                <w:rStyle w:val="BookTitle"/>
              </w:rPr>
            </w:pPr>
            <w:r w:rsidRPr="004B2104">
              <w:rPr>
                <w:rStyle w:val="BookTitle"/>
              </w:rPr>
              <w:t>0.87</w:t>
            </w:r>
          </w:p>
        </w:tc>
        <w:tc>
          <w:tcPr>
            <w:tcW w:w="796" w:type="pct"/>
            <w:tcBorders>
              <w:top w:val="nil"/>
              <w:left w:val="nil"/>
              <w:bottom w:val="nil"/>
              <w:right w:val="single" w:sz="4" w:space="0" w:color="auto"/>
            </w:tcBorders>
            <w:shd w:val="clear" w:color="auto" w:fill="auto"/>
            <w:noWrap/>
            <w:vAlign w:val="center"/>
            <w:hideMark/>
          </w:tcPr>
          <w:p w14:paraId="0C3F824B" w14:textId="77777777" w:rsidR="009D74F9" w:rsidRPr="004B2104" w:rsidRDefault="009D74F9" w:rsidP="00BD7FB0">
            <w:pPr>
              <w:spacing w:before="0" w:after="0"/>
              <w:jc w:val="center"/>
              <w:rPr>
                <w:rStyle w:val="BookTitle"/>
              </w:rPr>
            </w:pPr>
            <w:r w:rsidRPr="004B2104">
              <w:rPr>
                <w:rStyle w:val="BookTitle"/>
              </w:rPr>
              <w:t>0.23</w:t>
            </w:r>
          </w:p>
        </w:tc>
      </w:tr>
      <w:tr w:rsidR="009D74F9" w:rsidRPr="004B2104" w14:paraId="0C3F8253" w14:textId="77777777" w:rsidTr="009D74F9">
        <w:trPr>
          <w:trHeight w:val="20"/>
        </w:trPr>
        <w:tc>
          <w:tcPr>
            <w:tcW w:w="1484" w:type="pct"/>
            <w:vMerge/>
            <w:tcBorders>
              <w:top w:val="nil"/>
              <w:left w:val="nil"/>
              <w:bottom w:val="single" w:sz="4" w:space="0" w:color="000000"/>
              <w:right w:val="nil"/>
            </w:tcBorders>
            <w:vAlign w:val="center"/>
            <w:hideMark/>
          </w:tcPr>
          <w:p w14:paraId="0C3F824D"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4E"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24F" w14:textId="77777777" w:rsidR="009D74F9" w:rsidRPr="004B2104" w:rsidRDefault="009D74F9" w:rsidP="00BD7FB0">
            <w:pPr>
              <w:spacing w:before="0" w:after="0"/>
              <w:jc w:val="center"/>
              <w:rPr>
                <w:rStyle w:val="BookTitle"/>
              </w:rPr>
            </w:pPr>
            <w:r w:rsidRPr="004B2104">
              <w:rPr>
                <w:rStyle w:val="BookTitle"/>
              </w:rPr>
              <w:t>0.08</w:t>
            </w:r>
          </w:p>
        </w:tc>
        <w:tc>
          <w:tcPr>
            <w:tcW w:w="637" w:type="pct"/>
            <w:tcBorders>
              <w:top w:val="nil"/>
              <w:left w:val="nil"/>
              <w:bottom w:val="nil"/>
              <w:right w:val="nil"/>
            </w:tcBorders>
            <w:shd w:val="clear" w:color="auto" w:fill="auto"/>
            <w:noWrap/>
            <w:vAlign w:val="center"/>
            <w:hideMark/>
          </w:tcPr>
          <w:p w14:paraId="0C3F8250" w14:textId="77777777" w:rsidR="009D74F9" w:rsidRPr="004B2104" w:rsidRDefault="009D74F9" w:rsidP="00BD7FB0">
            <w:pPr>
              <w:spacing w:before="0" w:after="0"/>
              <w:jc w:val="center"/>
              <w:rPr>
                <w:rStyle w:val="BookTitle"/>
              </w:rPr>
            </w:pPr>
            <w:r w:rsidRPr="004B2104">
              <w:rPr>
                <w:rStyle w:val="BookTitle"/>
              </w:rPr>
              <w:t>0.04</w:t>
            </w:r>
          </w:p>
        </w:tc>
        <w:tc>
          <w:tcPr>
            <w:tcW w:w="675" w:type="pct"/>
            <w:tcBorders>
              <w:top w:val="nil"/>
              <w:left w:val="nil"/>
              <w:bottom w:val="nil"/>
              <w:right w:val="single" w:sz="4" w:space="0" w:color="auto"/>
            </w:tcBorders>
            <w:shd w:val="clear" w:color="auto" w:fill="auto"/>
            <w:noWrap/>
            <w:vAlign w:val="center"/>
            <w:hideMark/>
          </w:tcPr>
          <w:p w14:paraId="0C3F8251" w14:textId="77777777" w:rsidR="009D74F9" w:rsidRPr="004B2104" w:rsidRDefault="009D74F9" w:rsidP="00BD7FB0">
            <w:pPr>
              <w:spacing w:before="0" w:after="0"/>
              <w:jc w:val="center"/>
              <w:rPr>
                <w:rStyle w:val="BookTitle"/>
              </w:rPr>
            </w:pPr>
            <w:r w:rsidRPr="004B2104">
              <w:rPr>
                <w:rStyle w:val="BookTitle"/>
              </w:rPr>
              <w:t>0.15</w:t>
            </w:r>
          </w:p>
        </w:tc>
        <w:tc>
          <w:tcPr>
            <w:tcW w:w="796" w:type="pct"/>
            <w:tcBorders>
              <w:top w:val="nil"/>
              <w:left w:val="nil"/>
              <w:bottom w:val="nil"/>
              <w:right w:val="single" w:sz="4" w:space="0" w:color="auto"/>
            </w:tcBorders>
            <w:shd w:val="clear" w:color="auto" w:fill="auto"/>
            <w:noWrap/>
            <w:vAlign w:val="center"/>
            <w:hideMark/>
          </w:tcPr>
          <w:p w14:paraId="0C3F8252" w14:textId="77777777" w:rsidR="009D74F9" w:rsidRPr="004B2104" w:rsidRDefault="009D74F9" w:rsidP="00BD7FB0">
            <w:pPr>
              <w:spacing w:before="0" w:after="0"/>
              <w:jc w:val="center"/>
              <w:rPr>
                <w:rStyle w:val="BookTitle"/>
              </w:rPr>
            </w:pPr>
            <w:r w:rsidRPr="004B2104">
              <w:rPr>
                <w:rStyle w:val="BookTitle"/>
              </w:rPr>
              <w:t>0.06</w:t>
            </w:r>
          </w:p>
        </w:tc>
      </w:tr>
      <w:tr w:rsidR="009D74F9" w:rsidRPr="004B2104" w14:paraId="0C3F825A" w14:textId="77777777" w:rsidTr="009D74F9">
        <w:trPr>
          <w:trHeight w:val="20"/>
        </w:trPr>
        <w:tc>
          <w:tcPr>
            <w:tcW w:w="1484" w:type="pct"/>
            <w:vMerge/>
            <w:tcBorders>
              <w:top w:val="nil"/>
              <w:left w:val="nil"/>
              <w:bottom w:val="single" w:sz="4" w:space="0" w:color="000000"/>
              <w:right w:val="nil"/>
            </w:tcBorders>
            <w:vAlign w:val="center"/>
            <w:hideMark/>
          </w:tcPr>
          <w:p w14:paraId="0C3F8254"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55"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256" w14:textId="77777777" w:rsidR="009D74F9" w:rsidRPr="004B2104" w:rsidRDefault="009D74F9" w:rsidP="00BD7FB0">
            <w:pPr>
              <w:spacing w:before="0" w:after="0"/>
              <w:jc w:val="center"/>
              <w:rPr>
                <w:rStyle w:val="BookTitle"/>
              </w:rPr>
            </w:pPr>
            <w:r w:rsidRPr="004B2104">
              <w:rPr>
                <w:rStyle w:val="BookTitle"/>
              </w:rPr>
              <w:t>0.07</w:t>
            </w:r>
          </w:p>
        </w:tc>
        <w:tc>
          <w:tcPr>
            <w:tcW w:w="637" w:type="pct"/>
            <w:tcBorders>
              <w:top w:val="nil"/>
              <w:left w:val="nil"/>
              <w:bottom w:val="nil"/>
              <w:right w:val="nil"/>
            </w:tcBorders>
            <w:shd w:val="clear" w:color="auto" w:fill="auto"/>
            <w:noWrap/>
            <w:vAlign w:val="center"/>
            <w:hideMark/>
          </w:tcPr>
          <w:p w14:paraId="0C3F8257" w14:textId="77777777" w:rsidR="009D74F9" w:rsidRPr="004B2104" w:rsidRDefault="009D74F9" w:rsidP="00BD7FB0">
            <w:pPr>
              <w:spacing w:before="0" w:after="0"/>
              <w:jc w:val="center"/>
              <w:rPr>
                <w:rStyle w:val="BookTitle"/>
              </w:rPr>
            </w:pPr>
            <w:r w:rsidRPr="004B2104">
              <w:rPr>
                <w:rStyle w:val="BookTitle"/>
              </w:rPr>
              <w:t>0.05</w:t>
            </w:r>
          </w:p>
        </w:tc>
        <w:tc>
          <w:tcPr>
            <w:tcW w:w="675" w:type="pct"/>
            <w:tcBorders>
              <w:top w:val="nil"/>
              <w:left w:val="nil"/>
              <w:bottom w:val="nil"/>
              <w:right w:val="single" w:sz="4" w:space="0" w:color="auto"/>
            </w:tcBorders>
            <w:shd w:val="clear" w:color="auto" w:fill="auto"/>
            <w:noWrap/>
            <w:vAlign w:val="center"/>
            <w:hideMark/>
          </w:tcPr>
          <w:p w14:paraId="0C3F8258" w14:textId="77777777" w:rsidR="009D74F9" w:rsidRPr="004B2104" w:rsidRDefault="009D74F9" w:rsidP="00BD7FB0">
            <w:pPr>
              <w:spacing w:before="0" w:after="0"/>
              <w:jc w:val="center"/>
              <w:rPr>
                <w:rStyle w:val="BookTitle"/>
              </w:rPr>
            </w:pPr>
            <w:r w:rsidRPr="004B2104">
              <w:rPr>
                <w:rStyle w:val="BookTitle"/>
              </w:rPr>
              <w:t>0.25</w:t>
            </w:r>
          </w:p>
        </w:tc>
        <w:tc>
          <w:tcPr>
            <w:tcW w:w="796" w:type="pct"/>
            <w:tcBorders>
              <w:top w:val="nil"/>
              <w:left w:val="nil"/>
              <w:bottom w:val="nil"/>
              <w:right w:val="single" w:sz="4" w:space="0" w:color="auto"/>
            </w:tcBorders>
            <w:shd w:val="clear" w:color="auto" w:fill="auto"/>
            <w:noWrap/>
            <w:vAlign w:val="center"/>
            <w:hideMark/>
          </w:tcPr>
          <w:p w14:paraId="0C3F8259" w14:textId="77777777" w:rsidR="009D74F9" w:rsidRPr="004B2104" w:rsidRDefault="009D74F9" w:rsidP="00BD7FB0">
            <w:pPr>
              <w:spacing w:before="0" w:after="0"/>
              <w:jc w:val="center"/>
              <w:rPr>
                <w:rStyle w:val="BookTitle"/>
              </w:rPr>
            </w:pPr>
            <w:r w:rsidRPr="004B2104">
              <w:rPr>
                <w:rStyle w:val="BookTitle"/>
              </w:rPr>
              <w:t>0.06</w:t>
            </w:r>
          </w:p>
        </w:tc>
      </w:tr>
      <w:tr w:rsidR="009D74F9" w:rsidRPr="004B2104" w14:paraId="0C3F8261" w14:textId="77777777" w:rsidTr="009D74F9">
        <w:trPr>
          <w:trHeight w:val="20"/>
        </w:trPr>
        <w:tc>
          <w:tcPr>
            <w:tcW w:w="1484" w:type="pct"/>
            <w:vMerge/>
            <w:tcBorders>
              <w:top w:val="nil"/>
              <w:left w:val="nil"/>
              <w:bottom w:val="single" w:sz="4" w:space="0" w:color="000000"/>
              <w:right w:val="nil"/>
            </w:tcBorders>
            <w:vAlign w:val="center"/>
            <w:hideMark/>
          </w:tcPr>
          <w:p w14:paraId="0C3F825B"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25C"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25D" w14:textId="77777777" w:rsidR="009D74F9" w:rsidRPr="004B2104" w:rsidRDefault="009D74F9" w:rsidP="00BD7FB0">
            <w:pPr>
              <w:spacing w:before="0" w:after="0"/>
              <w:jc w:val="center"/>
              <w:rPr>
                <w:rStyle w:val="BookTitle"/>
              </w:rPr>
            </w:pPr>
            <w:r w:rsidRPr="004B2104">
              <w:rPr>
                <w:rStyle w:val="BookTitle"/>
              </w:rPr>
              <w:t>46</w:t>
            </w:r>
          </w:p>
        </w:tc>
        <w:tc>
          <w:tcPr>
            <w:tcW w:w="637" w:type="pct"/>
            <w:tcBorders>
              <w:top w:val="nil"/>
              <w:left w:val="nil"/>
              <w:bottom w:val="single" w:sz="4" w:space="0" w:color="auto"/>
              <w:right w:val="nil"/>
            </w:tcBorders>
            <w:shd w:val="clear" w:color="auto" w:fill="auto"/>
            <w:noWrap/>
            <w:vAlign w:val="center"/>
            <w:hideMark/>
          </w:tcPr>
          <w:p w14:paraId="0C3F825E"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25F" w14:textId="77777777" w:rsidR="009D74F9" w:rsidRPr="004B2104" w:rsidRDefault="009D74F9" w:rsidP="00BD7FB0">
            <w:pPr>
              <w:spacing w:before="0" w:after="0"/>
              <w:jc w:val="center"/>
              <w:rPr>
                <w:rStyle w:val="BookTitle"/>
              </w:rPr>
            </w:pPr>
            <w:r w:rsidRPr="004B2104">
              <w:rPr>
                <w:rStyle w:val="BookTitle"/>
              </w:rPr>
              <w:t>14</w:t>
            </w:r>
          </w:p>
        </w:tc>
        <w:tc>
          <w:tcPr>
            <w:tcW w:w="796" w:type="pct"/>
            <w:tcBorders>
              <w:top w:val="nil"/>
              <w:left w:val="nil"/>
              <w:bottom w:val="single" w:sz="4" w:space="0" w:color="auto"/>
              <w:right w:val="single" w:sz="4" w:space="0" w:color="auto"/>
            </w:tcBorders>
            <w:shd w:val="clear" w:color="auto" w:fill="auto"/>
            <w:noWrap/>
            <w:vAlign w:val="center"/>
            <w:hideMark/>
          </w:tcPr>
          <w:p w14:paraId="0C3F8260" w14:textId="77777777" w:rsidR="009D74F9" w:rsidRPr="004B2104" w:rsidRDefault="009D74F9" w:rsidP="00BD7FB0">
            <w:pPr>
              <w:spacing w:before="0" w:after="0"/>
              <w:jc w:val="center"/>
              <w:rPr>
                <w:rStyle w:val="BookTitle"/>
              </w:rPr>
            </w:pPr>
            <w:r w:rsidRPr="004B2104">
              <w:rPr>
                <w:rStyle w:val="BookTitle"/>
              </w:rPr>
              <w:t>25</w:t>
            </w:r>
          </w:p>
        </w:tc>
      </w:tr>
      <w:tr w:rsidR="009D74F9" w:rsidRPr="004B2104" w14:paraId="0C3F8268" w14:textId="77777777" w:rsidTr="009D74F9">
        <w:trPr>
          <w:trHeight w:val="20"/>
        </w:trPr>
        <w:tc>
          <w:tcPr>
            <w:tcW w:w="1484" w:type="pct"/>
            <w:vMerge w:val="restart"/>
            <w:tcBorders>
              <w:top w:val="nil"/>
              <w:left w:val="nil"/>
              <w:bottom w:val="single" w:sz="4" w:space="0" w:color="000000"/>
              <w:right w:val="nil"/>
            </w:tcBorders>
            <w:shd w:val="clear" w:color="auto" w:fill="auto"/>
            <w:vAlign w:val="center"/>
            <w:hideMark/>
          </w:tcPr>
          <w:p w14:paraId="0C3F8262" w14:textId="77777777" w:rsidR="009D74F9" w:rsidRPr="004B2104" w:rsidRDefault="009D74F9" w:rsidP="00BD7FB0">
            <w:pPr>
              <w:spacing w:before="0" w:after="0"/>
              <w:jc w:val="center"/>
              <w:rPr>
                <w:rStyle w:val="BookTitle"/>
              </w:rPr>
            </w:pPr>
            <w:r w:rsidRPr="004B2104">
              <w:rPr>
                <w:rStyle w:val="BookTitle"/>
              </w:rPr>
              <w:t>Silica (µM)</w:t>
            </w:r>
          </w:p>
        </w:tc>
        <w:tc>
          <w:tcPr>
            <w:tcW w:w="456" w:type="pct"/>
            <w:tcBorders>
              <w:top w:val="nil"/>
              <w:left w:val="nil"/>
              <w:bottom w:val="nil"/>
              <w:right w:val="nil"/>
            </w:tcBorders>
            <w:shd w:val="clear" w:color="auto" w:fill="auto"/>
            <w:noWrap/>
            <w:vAlign w:val="center"/>
            <w:hideMark/>
          </w:tcPr>
          <w:p w14:paraId="0C3F8263" w14:textId="77777777" w:rsidR="009D74F9" w:rsidRPr="004B2104" w:rsidRDefault="009D74F9" w:rsidP="00BD7FB0">
            <w:pPr>
              <w:spacing w:before="0" w:after="0"/>
              <w:jc w:val="left"/>
              <w:rPr>
                <w:rStyle w:val="BookTitle"/>
              </w:rPr>
            </w:pPr>
            <w:r w:rsidRPr="004B2104">
              <w:rPr>
                <w:rStyle w:val="BookTitle"/>
              </w:rPr>
              <w:t>Min.</w:t>
            </w:r>
          </w:p>
        </w:tc>
        <w:tc>
          <w:tcPr>
            <w:tcW w:w="952" w:type="pct"/>
            <w:tcBorders>
              <w:top w:val="nil"/>
              <w:left w:val="nil"/>
              <w:bottom w:val="nil"/>
              <w:right w:val="nil"/>
            </w:tcBorders>
            <w:shd w:val="clear" w:color="auto" w:fill="auto"/>
            <w:noWrap/>
            <w:vAlign w:val="center"/>
            <w:hideMark/>
          </w:tcPr>
          <w:p w14:paraId="0C3F8264" w14:textId="77777777" w:rsidR="009D74F9" w:rsidRPr="004B2104" w:rsidRDefault="009D74F9" w:rsidP="00BD7FB0">
            <w:pPr>
              <w:spacing w:before="0" w:after="0"/>
              <w:jc w:val="center"/>
              <w:rPr>
                <w:rStyle w:val="BookTitle"/>
              </w:rPr>
            </w:pPr>
            <w:r w:rsidRPr="004B2104">
              <w:rPr>
                <w:rStyle w:val="BookTitle"/>
              </w:rPr>
              <w:t>1.66</w:t>
            </w:r>
          </w:p>
        </w:tc>
        <w:tc>
          <w:tcPr>
            <w:tcW w:w="637" w:type="pct"/>
            <w:tcBorders>
              <w:top w:val="nil"/>
              <w:left w:val="nil"/>
              <w:bottom w:val="nil"/>
              <w:right w:val="nil"/>
            </w:tcBorders>
            <w:shd w:val="clear" w:color="auto" w:fill="auto"/>
            <w:noWrap/>
            <w:vAlign w:val="center"/>
            <w:hideMark/>
          </w:tcPr>
          <w:p w14:paraId="0C3F8265" w14:textId="77777777" w:rsidR="009D74F9" w:rsidRPr="004B2104" w:rsidRDefault="009D74F9" w:rsidP="00BD7FB0">
            <w:pPr>
              <w:spacing w:before="0" w:after="0"/>
              <w:jc w:val="center"/>
              <w:rPr>
                <w:rStyle w:val="BookTitle"/>
              </w:rPr>
            </w:pPr>
            <w:r w:rsidRPr="004B2104">
              <w:rPr>
                <w:rStyle w:val="BookTitle"/>
              </w:rPr>
              <w:t>1.66</w:t>
            </w:r>
          </w:p>
        </w:tc>
        <w:tc>
          <w:tcPr>
            <w:tcW w:w="675" w:type="pct"/>
            <w:tcBorders>
              <w:top w:val="nil"/>
              <w:left w:val="nil"/>
              <w:bottom w:val="nil"/>
              <w:right w:val="single" w:sz="4" w:space="0" w:color="auto"/>
            </w:tcBorders>
            <w:shd w:val="clear" w:color="auto" w:fill="auto"/>
            <w:noWrap/>
            <w:vAlign w:val="center"/>
            <w:hideMark/>
          </w:tcPr>
          <w:p w14:paraId="0C3F8266" w14:textId="77777777" w:rsidR="009D74F9" w:rsidRPr="004B2104" w:rsidRDefault="009D74F9" w:rsidP="00BD7FB0">
            <w:pPr>
              <w:spacing w:before="0" w:after="0"/>
              <w:jc w:val="center"/>
              <w:rPr>
                <w:rStyle w:val="BookTitle"/>
              </w:rPr>
            </w:pPr>
            <w:r w:rsidRPr="004B2104">
              <w:rPr>
                <w:rStyle w:val="BookTitle"/>
              </w:rPr>
              <w:t>3.33</w:t>
            </w:r>
          </w:p>
        </w:tc>
        <w:tc>
          <w:tcPr>
            <w:tcW w:w="796" w:type="pct"/>
            <w:tcBorders>
              <w:top w:val="nil"/>
              <w:left w:val="nil"/>
              <w:bottom w:val="nil"/>
              <w:right w:val="single" w:sz="4" w:space="0" w:color="auto"/>
            </w:tcBorders>
            <w:shd w:val="clear" w:color="auto" w:fill="auto"/>
            <w:noWrap/>
            <w:vAlign w:val="center"/>
            <w:hideMark/>
          </w:tcPr>
          <w:p w14:paraId="0C3F8267" w14:textId="77777777" w:rsidR="009D74F9" w:rsidRPr="004B2104" w:rsidRDefault="009D74F9" w:rsidP="00BD7FB0">
            <w:pPr>
              <w:spacing w:before="0" w:after="0"/>
              <w:jc w:val="center"/>
              <w:rPr>
                <w:rStyle w:val="BookTitle"/>
              </w:rPr>
            </w:pPr>
            <w:r w:rsidRPr="004B2104">
              <w:rPr>
                <w:rStyle w:val="BookTitle"/>
              </w:rPr>
              <w:t>1.66</w:t>
            </w:r>
          </w:p>
        </w:tc>
      </w:tr>
      <w:tr w:rsidR="009D74F9" w:rsidRPr="004B2104" w14:paraId="0C3F826F" w14:textId="77777777" w:rsidTr="009D74F9">
        <w:trPr>
          <w:trHeight w:val="20"/>
        </w:trPr>
        <w:tc>
          <w:tcPr>
            <w:tcW w:w="1484" w:type="pct"/>
            <w:vMerge/>
            <w:tcBorders>
              <w:top w:val="nil"/>
              <w:left w:val="nil"/>
              <w:bottom w:val="single" w:sz="4" w:space="0" w:color="000000"/>
              <w:right w:val="nil"/>
            </w:tcBorders>
            <w:vAlign w:val="center"/>
            <w:hideMark/>
          </w:tcPr>
          <w:p w14:paraId="0C3F8269"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6A" w14:textId="77777777" w:rsidR="009D74F9" w:rsidRPr="004B2104" w:rsidRDefault="009D74F9" w:rsidP="00BD7FB0">
            <w:pPr>
              <w:spacing w:before="0" w:after="0"/>
              <w:jc w:val="left"/>
              <w:rPr>
                <w:rStyle w:val="BookTitle"/>
              </w:rPr>
            </w:pPr>
            <w:r w:rsidRPr="004B2104">
              <w:rPr>
                <w:rStyle w:val="BookTitle"/>
              </w:rPr>
              <w:t>Max.</w:t>
            </w:r>
          </w:p>
        </w:tc>
        <w:tc>
          <w:tcPr>
            <w:tcW w:w="952" w:type="pct"/>
            <w:tcBorders>
              <w:top w:val="nil"/>
              <w:left w:val="nil"/>
              <w:bottom w:val="nil"/>
              <w:right w:val="nil"/>
            </w:tcBorders>
            <w:shd w:val="clear" w:color="auto" w:fill="auto"/>
            <w:noWrap/>
            <w:vAlign w:val="center"/>
            <w:hideMark/>
          </w:tcPr>
          <w:p w14:paraId="0C3F826B" w14:textId="77777777" w:rsidR="009D74F9" w:rsidRPr="004B2104" w:rsidRDefault="009D74F9" w:rsidP="00BD7FB0">
            <w:pPr>
              <w:spacing w:before="0" w:after="0"/>
              <w:jc w:val="center"/>
              <w:rPr>
                <w:rStyle w:val="BookTitle"/>
              </w:rPr>
            </w:pPr>
            <w:r w:rsidRPr="004B2104">
              <w:rPr>
                <w:rStyle w:val="BookTitle"/>
              </w:rPr>
              <w:t>184.57</w:t>
            </w:r>
          </w:p>
        </w:tc>
        <w:tc>
          <w:tcPr>
            <w:tcW w:w="637" w:type="pct"/>
            <w:tcBorders>
              <w:top w:val="nil"/>
              <w:left w:val="nil"/>
              <w:bottom w:val="nil"/>
              <w:right w:val="nil"/>
            </w:tcBorders>
            <w:shd w:val="clear" w:color="auto" w:fill="auto"/>
            <w:noWrap/>
            <w:vAlign w:val="center"/>
            <w:hideMark/>
          </w:tcPr>
          <w:p w14:paraId="0C3F826C" w14:textId="77777777" w:rsidR="009D74F9" w:rsidRPr="004B2104" w:rsidRDefault="009D74F9" w:rsidP="00BD7FB0">
            <w:pPr>
              <w:spacing w:before="0" w:after="0"/>
              <w:jc w:val="center"/>
              <w:rPr>
                <w:rStyle w:val="BookTitle"/>
              </w:rPr>
            </w:pPr>
            <w:r w:rsidRPr="004B2104">
              <w:rPr>
                <w:rStyle w:val="BookTitle"/>
              </w:rPr>
              <w:t>111.41</w:t>
            </w:r>
          </w:p>
        </w:tc>
        <w:tc>
          <w:tcPr>
            <w:tcW w:w="675" w:type="pct"/>
            <w:tcBorders>
              <w:top w:val="nil"/>
              <w:left w:val="nil"/>
              <w:bottom w:val="nil"/>
              <w:right w:val="single" w:sz="4" w:space="0" w:color="auto"/>
            </w:tcBorders>
            <w:shd w:val="clear" w:color="auto" w:fill="auto"/>
            <w:noWrap/>
            <w:vAlign w:val="center"/>
            <w:hideMark/>
          </w:tcPr>
          <w:p w14:paraId="0C3F826D" w14:textId="77777777" w:rsidR="009D74F9" w:rsidRPr="004B2104" w:rsidRDefault="009D74F9" w:rsidP="00BD7FB0">
            <w:pPr>
              <w:spacing w:before="0" w:after="0"/>
              <w:jc w:val="center"/>
              <w:rPr>
                <w:rStyle w:val="BookTitle"/>
              </w:rPr>
            </w:pPr>
            <w:r w:rsidRPr="004B2104">
              <w:rPr>
                <w:rStyle w:val="BookTitle"/>
              </w:rPr>
              <w:t>290.99</w:t>
            </w:r>
          </w:p>
        </w:tc>
        <w:tc>
          <w:tcPr>
            <w:tcW w:w="796" w:type="pct"/>
            <w:tcBorders>
              <w:top w:val="nil"/>
              <w:left w:val="nil"/>
              <w:bottom w:val="nil"/>
              <w:right w:val="single" w:sz="4" w:space="0" w:color="auto"/>
            </w:tcBorders>
            <w:shd w:val="clear" w:color="auto" w:fill="auto"/>
            <w:noWrap/>
            <w:vAlign w:val="center"/>
            <w:hideMark/>
          </w:tcPr>
          <w:p w14:paraId="0C3F826E" w14:textId="77777777" w:rsidR="009D74F9" w:rsidRPr="004B2104" w:rsidRDefault="009D74F9" w:rsidP="00BD7FB0">
            <w:pPr>
              <w:spacing w:before="0" w:after="0"/>
              <w:jc w:val="center"/>
              <w:rPr>
                <w:rStyle w:val="BookTitle"/>
              </w:rPr>
            </w:pPr>
            <w:r w:rsidRPr="004B2104">
              <w:rPr>
                <w:rStyle w:val="BookTitle"/>
              </w:rPr>
              <w:t>56.53</w:t>
            </w:r>
          </w:p>
        </w:tc>
      </w:tr>
      <w:tr w:rsidR="009D74F9" w:rsidRPr="004B2104" w14:paraId="0C3F8276" w14:textId="77777777" w:rsidTr="009D74F9">
        <w:trPr>
          <w:trHeight w:val="20"/>
        </w:trPr>
        <w:tc>
          <w:tcPr>
            <w:tcW w:w="1484" w:type="pct"/>
            <w:vMerge/>
            <w:tcBorders>
              <w:top w:val="nil"/>
              <w:left w:val="nil"/>
              <w:bottom w:val="single" w:sz="4" w:space="0" w:color="000000"/>
              <w:right w:val="nil"/>
            </w:tcBorders>
            <w:vAlign w:val="center"/>
            <w:hideMark/>
          </w:tcPr>
          <w:p w14:paraId="0C3F8270"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71" w14:textId="77777777" w:rsidR="009D74F9" w:rsidRPr="004B2104" w:rsidRDefault="009D74F9" w:rsidP="00BD7FB0">
            <w:pPr>
              <w:spacing w:before="0" w:after="0"/>
              <w:jc w:val="left"/>
              <w:rPr>
                <w:rStyle w:val="BookTitle"/>
              </w:rPr>
            </w:pPr>
            <w:r w:rsidRPr="004B2104">
              <w:rPr>
                <w:rStyle w:val="BookTitle"/>
              </w:rPr>
              <w:t>Mean</w:t>
            </w:r>
          </w:p>
        </w:tc>
        <w:tc>
          <w:tcPr>
            <w:tcW w:w="952" w:type="pct"/>
            <w:tcBorders>
              <w:top w:val="nil"/>
              <w:left w:val="nil"/>
              <w:bottom w:val="nil"/>
              <w:right w:val="nil"/>
            </w:tcBorders>
            <w:shd w:val="clear" w:color="auto" w:fill="auto"/>
            <w:noWrap/>
            <w:vAlign w:val="center"/>
            <w:hideMark/>
          </w:tcPr>
          <w:p w14:paraId="0C3F8272" w14:textId="77777777" w:rsidR="009D74F9" w:rsidRPr="004B2104" w:rsidRDefault="009D74F9" w:rsidP="00BD7FB0">
            <w:pPr>
              <w:spacing w:before="0" w:after="0"/>
              <w:jc w:val="center"/>
              <w:rPr>
                <w:rStyle w:val="BookTitle"/>
              </w:rPr>
            </w:pPr>
            <w:r w:rsidRPr="004B2104">
              <w:rPr>
                <w:rStyle w:val="BookTitle"/>
              </w:rPr>
              <w:t>27.59</w:t>
            </w:r>
          </w:p>
        </w:tc>
        <w:tc>
          <w:tcPr>
            <w:tcW w:w="637" w:type="pct"/>
            <w:tcBorders>
              <w:top w:val="nil"/>
              <w:left w:val="nil"/>
              <w:bottom w:val="nil"/>
              <w:right w:val="nil"/>
            </w:tcBorders>
            <w:shd w:val="clear" w:color="auto" w:fill="auto"/>
            <w:noWrap/>
            <w:vAlign w:val="center"/>
            <w:hideMark/>
          </w:tcPr>
          <w:p w14:paraId="0C3F8273" w14:textId="77777777" w:rsidR="009D74F9" w:rsidRPr="004B2104" w:rsidRDefault="009D74F9" w:rsidP="00BD7FB0">
            <w:pPr>
              <w:spacing w:before="0" w:after="0"/>
              <w:jc w:val="center"/>
              <w:rPr>
                <w:rStyle w:val="BookTitle"/>
              </w:rPr>
            </w:pPr>
            <w:r w:rsidRPr="004B2104">
              <w:rPr>
                <w:rStyle w:val="BookTitle"/>
              </w:rPr>
              <w:t>13.86</w:t>
            </w:r>
          </w:p>
        </w:tc>
        <w:tc>
          <w:tcPr>
            <w:tcW w:w="675" w:type="pct"/>
            <w:tcBorders>
              <w:top w:val="nil"/>
              <w:left w:val="nil"/>
              <w:bottom w:val="nil"/>
              <w:right w:val="single" w:sz="4" w:space="0" w:color="auto"/>
            </w:tcBorders>
            <w:shd w:val="clear" w:color="auto" w:fill="auto"/>
            <w:noWrap/>
            <w:vAlign w:val="center"/>
            <w:hideMark/>
          </w:tcPr>
          <w:p w14:paraId="0C3F8274" w14:textId="77777777" w:rsidR="009D74F9" w:rsidRPr="004B2104" w:rsidRDefault="009D74F9" w:rsidP="00BD7FB0">
            <w:pPr>
              <w:spacing w:before="0" w:after="0"/>
              <w:jc w:val="center"/>
              <w:rPr>
                <w:rStyle w:val="BookTitle"/>
              </w:rPr>
            </w:pPr>
            <w:r w:rsidRPr="004B2104">
              <w:rPr>
                <w:rStyle w:val="BookTitle"/>
              </w:rPr>
              <w:t>43.97</w:t>
            </w:r>
          </w:p>
        </w:tc>
        <w:tc>
          <w:tcPr>
            <w:tcW w:w="796" w:type="pct"/>
            <w:tcBorders>
              <w:top w:val="nil"/>
              <w:left w:val="nil"/>
              <w:bottom w:val="nil"/>
              <w:right w:val="single" w:sz="4" w:space="0" w:color="auto"/>
            </w:tcBorders>
            <w:shd w:val="clear" w:color="auto" w:fill="auto"/>
            <w:noWrap/>
            <w:vAlign w:val="center"/>
            <w:hideMark/>
          </w:tcPr>
          <w:p w14:paraId="0C3F8275" w14:textId="77777777" w:rsidR="009D74F9" w:rsidRPr="004B2104" w:rsidRDefault="009D74F9" w:rsidP="00BD7FB0">
            <w:pPr>
              <w:spacing w:before="0" w:after="0"/>
              <w:jc w:val="center"/>
              <w:rPr>
                <w:rStyle w:val="BookTitle"/>
              </w:rPr>
            </w:pPr>
            <w:r w:rsidRPr="004B2104">
              <w:rPr>
                <w:rStyle w:val="BookTitle"/>
              </w:rPr>
              <w:t>7.72</w:t>
            </w:r>
          </w:p>
        </w:tc>
      </w:tr>
      <w:tr w:rsidR="009D74F9" w:rsidRPr="004B2104" w14:paraId="0C3F827D" w14:textId="77777777" w:rsidTr="009D74F9">
        <w:trPr>
          <w:trHeight w:val="20"/>
        </w:trPr>
        <w:tc>
          <w:tcPr>
            <w:tcW w:w="1484" w:type="pct"/>
            <w:vMerge/>
            <w:tcBorders>
              <w:top w:val="nil"/>
              <w:left w:val="nil"/>
              <w:bottom w:val="single" w:sz="4" w:space="0" w:color="000000"/>
              <w:right w:val="nil"/>
            </w:tcBorders>
            <w:vAlign w:val="center"/>
            <w:hideMark/>
          </w:tcPr>
          <w:p w14:paraId="0C3F8277" w14:textId="77777777" w:rsidR="009D74F9" w:rsidRPr="004B2104" w:rsidRDefault="009D74F9" w:rsidP="00BD7FB0">
            <w:pPr>
              <w:spacing w:before="0" w:after="0"/>
              <w:jc w:val="left"/>
              <w:rPr>
                <w:rStyle w:val="BookTitle"/>
              </w:rPr>
            </w:pPr>
          </w:p>
        </w:tc>
        <w:tc>
          <w:tcPr>
            <w:tcW w:w="456" w:type="pct"/>
            <w:tcBorders>
              <w:top w:val="nil"/>
              <w:left w:val="nil"/>
              <w:bottom w:val="nil"/>
              <w:right w:val="nil"/>
            </w:tcBorders>
            <w:shd w:val="clear" w:color="auto" w:fill="auto"/>
            <w:noWrap/>
            <w:vAlign w:val="center"/>
            <w:hideMark/>
          </w:tcPr>
          <w:p w14:paraId="0C3F8278" w14:textId="77777777" w:rsidR="009D74F9" w:rsidRPr="004B2104" w:rsidRDefault="009D74F9" w:rsidP="00BD7FB0">
            <w:pPr>
              <w:spacing w:before="0" w:after="0"/>
              <w:jc w:val="left"/>
              <w:rPr>
                <w:rStyle w:val="BookTitle"/>
              </w:rPr>
            </w:pPr>
            <w:r w:rsidRPr="004B2104">
              <w:rPr>
                <w:rStyle w:val="BookTitle"/>
              </w:rPr>
              <w:t>SD</w:t>
            </w:r>
          </w:p>
        </w:tc>
        <w:tc>
          <w:tcPr>
            <w:tcW w:w="952" w:type="pct"/>
            <w:tcBorders>
              <w:top w:val="nil"/>
              <w:left w:val="nil"/>
              <w:bottom w:val="nil"/>
              <w:right w:val="nil"/>
            </w:tcBorders>
            <w:shd w:val="clear" w:color="auto" w:fill="auto"/>
            <w:noWrap/>
            <w:vAlign w:val="center"/>
            <w:hideMark/>
          </w:tcPr>
          <w:p w14:paraId="0C3F8279" w14:textId="77777777" w:rsidR="009D74F9" w:rsidRPr="004B2104" w:rsidRDefault="009D74F9" w:rsidP="00BD7FB0">
            <w:pPr>
              <w:spacing w:before="0" w:after="0"/>
              <w:jc w:val="center"/>
              <w:rPr>
                <w:rStyle w:val="BookTitle"/>
              </w:rPr>
            </w:pPr>
            <w:r w:rsidRPr="004B2104">
              <w:rPr>
                <w:rStyle w:val="BookTitle"/>
              </w:rPr>
              <w:t>37.70</w:t>
            </w:r>
          </w:p>
        </w:tc>
        <w:tc>
          <w:tcPr>
            <w:tcW w:w="637" w:type="pct"/>
            <w:tcBorders>
              <w:top w:val="nil"/>
              <w:left w:val="nil"/>
              <w:bottom w:val="nil"/>
              <w:right w:val="nil"/>
            </w:tcBorders>
            <w:shd w:val="clear" w:color="auto" w:fill="auto"/>
            <w:noWrap/>
            <w:vAlign w:val="center"/>
            <w:hideMark/>
          </w:tcPr>
          <w:p w14:paraId="0C3F827A" w14:textId="77777777" w:rsidR="009D74F9" w:rsidRPr="004B2104" w:rsidRDefault="009D74F9" w:rsidP="00BD7FB0">
            <w:pPr>
              <w:spacing w:before="0" w:after="0"/>
              <w:jc w:val="center"/>
              <w:rPr>
                <w:rStyle w:val="BookTitle"/>
              </w:rPr>
            </w:pPr>
            <w:r w:rsidRPr="004B2104">
              <w:rPr>
                <w:rStyle w:val="BookTitle"/>
              </w:rPr>
              <w:t>31.22</w:t>
            </w:r>
          </w:p>
        </w:tc>
        <w:tc>
          <w:tcPr>
            <w:tcW w:w="675" w:type="pct"/>
            <w:tcBorders>
              <w:top w:val="nil"/>
              <w:left w:val="nil"/>
              <w:bottom w:val="nil"/>
              <w:right w:val="single" w:sz="4" w:space="0" w:color="auto"/>
            </w:tcBorders>
            <w:shd w:val="clear" w:color="auto" w:fill="auto"/>
            <w:noWrap/>
            <w:vAlign w:val="center"/>
            <w:hideMark/>
          </w:tcPr>
          <w:p w14:paraId="0C3F827B" w14:textId="77777777" w:rsidR="009D74F9" w:rsidRPr="004B2104" w:rsidRDefault="009D74F9" w:rsidP="00BD7FB0">
            <w:pPr>
              <w:spacing w:before="0" w:after="0"/>
              <w:jc w:val="center"/>
              <w:rPr>
                <w:rStyle w:val="BookTitle"/>
              </w:rPr>
            </w:pPr>
            <w:r w:rsidRPr="004B2104">
              <w:rPr>
                <w:rStyle w:val="BookTitle"/>
              </w:rPr>
              <w:t>93.37</w:t>
            </w:r>
          </w:p>
        </w:tc>
        <w:tc>
          <w:tcPr>
            <w:tcW w:w="796" w:type="pct"/>
            <w:tcBorders>
              <w:top w:val="nil"/>
              <w:left w:val="nil"/>
              <w:bottom w:val="nil"/>
              <w:right w:val="single" w:sz="4" w:space="0" w:color="auto"/>
            </w:tcBorders>
            <w:shd w:val="clear" w:color="auto" w:fill="auto"/>
            <w:noWrap/>
            <w:vAlign w:val="center"/>
            <w:hideMark/>
          </w:tcPr>
          <w:p w14:paraId="0C3F827C" w14:textId="77777777" w:rsidR="009D74F9" w:rsidRPr="004B2104" w:rsidRDefault="009D74F9" w:rsidP="00BD7FB0">
            <w:pPr>
              <w:spacing w:before="0" w:after="0"/>
              <w:jc w:val="center"/>
              <w:rPr>
                <w:rStyle w:val="BookTitle"/>
              </w:rPr>
            </w:pPr>
            <w:r w:rsidRPr="004B2104">
              <w:rPr>
                <w:rStyle w:val="BookTitle"/>
              </w:rPr>
              <w:t>13.81</w:t>
            </w:r>
          </w:p>
        </w:tc>
      </w:tr>
      <w:tr w:rsidR="009D74F9" w:rsidRPr="004B2104" w14:paraId="0C3F8284" w14:textId="77777777" w:rsidTr="009D74F9">
        <w:trPr>
          <w:trHeight w:val="20"/>
        </w:trPr>
        <w:tc>
          <w:tcPr>
            <w:tcW w:w="1484" w:type="pct"/>
            <w:vMerge/>
            <w:tcBorders>
              <w:top w:val="nil"/>
              <w:left w:val="nil"/>
              <w:bottom w:val="single" w:sz="4" w:space="0" w:color="000000"/>
              <w:right w:val="nil"/>
            </w:tcBorders>
            <w:vAlign w:val="center"/>
            <w:hideMark/>
          </w:tcPr>
          <w:p w14:paraId="0C3F827E" w14:textId="77777777" w:rsidR="009D74F9" w:rsidRPr="004B2104" w:rsidRDefault="009D74F9" w:rsidP="00BD7FB0">
            <w:pPr>
              <w:spacing w:before="0" w:after="0"/>
              <w:jc w:val="left"/>
              <w:rPr>
                <w:rStyle w:val="BookTitle"/>
              </w:rPr>
            </w:pPr>
          </w:p>
        </w:tc>
        <w:tc>
          <w:tcPr>
            <w:tcW w:w="456" w:type="pct"/>
            <w:tcBorders>
              <w:top w:val="nil"/>
              <w:left w:val="nil"/>
              <w:bottom w:val="single" w:sz="4" w:space="0" w:color="auto"/>
              <w:right w:val="nil"/>
            </w:tcBorders>
            <w:shd w:val="clear" w:color="auto" w:fill="auto"/>
            <w:noWrap/>
            <w:vAlign w:val="center"/>
            <w:hideMark/>
          </w:tcPr>
          <w:p w14:paraId="0C3F827F" w14:textId="77777777" w:rsidR="009D74F9" w:rsidRPr="004B2104" w:rsidRDefault="009D74F9" w:rsidP="00BD7FB0">
            <w:pPr>
              <w:spacing w:before="0" w:after="0"/>
              <w:jc w:val="left"/>
              <w:rPr>
                <w:rStyle w:val="BookTitle"/>
              </w:rPr>
            </w:pPr>
            <w:r w:rsidRPr="004B2104">
              <w:rPr>
                <w:rStyle w:val="BookTitle"/>
              </w:rPr>
              <w:t>Count</w:t>
            </w:r>
          </w:p>
        </w:tc>
        <w:tc>
          <w:tcPr>
            <w:tcW w:w="952" w:type="pct"/>
            <w:tcBorders>
              <w:top w:val="nil"/>
              <w:left w:val="nil"/>
              <w:bottom w:val="single" w:sz="4" w:space="0" w:color="auto"/>
              <w:right w:val="nil"/>
            </w:tcBorders>
            <w:shd w:val="clear" w:color="auto" w:fill="auto"/>
            <w:noWrap/>
            <w:vAlign w:val="center"/>
            <w:hideMark/>
          </w:tcPr>
          <w:p w14:paraId="0C3F8280" w14:textId="77777777" w:rsidR="009D74F9" w:rsidRPr="004B2104" w:rsidRDefault="009D74F9" w:rsidP="00BD7FB0">
            <w:pPr>
              <w:spacing w:before="0" w:after="0"/>
              <w:jc w:val="center"/>
              <w:rPr>
                <w:rStyle w:val="BookTitle"/>
              </w:rPr>
            </w:pPr>
            <w:r w:rsidRPr="004B2104">
              <w:rPr>
                <w:rStyle w:val="BookTitle"/>
              </w:rPr>
              <w:t>42</w:t>
            </w:r>
          </w:p>
        </w:tc>
        <w:tc>
          <w:tcPr>
            <w:tcW w:w="637" w:type="pct"/>
            <w:tcBorders>
              <w:top w:val="nil"/>
              <w:left w:val="nil"/>
              <w:bottom w:val="single" w:sz="4" w:space="0" w:color="auto"/>
              <w:right w:val="nil"/>
            </w:tcBorders>
            <w:shd w:val="clear" w:color="auto" w:fill="auto"/>
            <w:noWrap/>
            <w:vAlign w:val="center"/>
            <w:hideMark/>
          </w:tcPr>
          <w:p w14:paraId="0C3F8281" w14:textId="77777777" w:rsidR="009D74F9" w:rsidRPr="004B2104" w:rsidRDefault="009D74F9" w:rsidP="00BD7FB0">
            <w:pPr>
              <w:spacing w:before="0" w:after="0"/>
              <w:jc w:val="center"/>
              <w:rPr>
                <w:rStyle w:val="BookTitle"/>
              </w:rPr>
            </w:pPr>
            <w:r w:rsidRPr="004B2104">
              <w:rPr>
                <w:rStyle w:val="BookTitle"/>
              </w:rPr>
              <w:t>12</w:t>
            </w:r>
          </w:p>
        </w:tc>
        <w:tc>
          <w:tcPr>
            <w:tcW w:w="675" w:type="pct"/>
            <w:tcBorders>
              <w:top w:val="nil"/>
              <w:left w:val="nil"/>
              <w:bottom w:val="single" w:sz="4" w:space="0" w:color="auto"/>
              <w:right w:val="single" w:sz="4" w:space="0" w:color="auto"/>
            </w:tcBorders>
            <w:shd w:val="clear" w:color="auto" w:fill="auto"/>
            <w:noWrap/>
            <w:vAlign w:val="center"/>
            <w:hideMark/>
          </w:tcPr>
          <w:p w14:paraId="0C3F8282" w14:textId="77777777" w:rsidR="009D74F9" w:rsidRPr="004B2104" w:rsidRDefault="009D74F9" w:rsidP="00BD7FB0">
            <w:pPr>
              <w:spacing w:before="0" w:after="0"/>
              <w:jc w:val="center"/>
              <w:rPr>
                <w:rStyle w:val="BookTitle"/>
              </w:rPr>
            </w:pPr>
            <w:r w:rsidRPr="004B2104">
              <w:rPr>
                <w:rStyle w:val="BookTitle"/>
              </w:rPr>
              <w:t>9</w:t>
            </w:r>
          </w:p>
        </w:tc>
        <w:tc>
          <w:tcPr>
            <w:tcW w:w="796" w:type="pct"/>
            <w:tcBorders>
              <w:top w:val="nil"/>
              <w:left w:val="nil"/>
              <w:bottom w:val="single" w:sz="4" w:space="0" w:color="auto"/>
              <w:right w:val="single" w:sz="4" w:space="0" w:color="auto"/>
            </w:tcBorders>
            <w:shd w:val="clear" w:color="auto" w:fill="auto"/>
            <w:noWrap/>
            <w:vAlign w:val="center"/>
            <w:hideMark/>
          </w:tcPr>
          <w:p w14:paraId="0C3F8283" w14:textId="77777777" w:rsidR="009D74F9" w:rsidRPr="004B2104" w:rsidRDefault="009D74F9" w:rsidP="00BD7FB0">
            <w:pPr>
              <w:spacing w:before="0" w:after="0"/>
              <w:jc w:val="center"/>
              <w:rPr>
                <w:rStyle w:val="BookTitle"/>
              </w:rPr>
            </w:pPr>
            <w:r w:rsidRPr="004B2104">
              <w:rPr>
                <w:rStyle w:val="BookTitle"/>
              </w:rPr>
              <w:t>25</w:t>
            </w:r>
          </w:p>
        </w:tc>
      </w:tr>
    </w:tbl>
    <w:p w14:paraId="0C3F8285" w14:textId="77777777" w:rsidR="00E77510" w:rsidRDefault="00E77510" w:rsidP="009D74F9"/>
    <w:p w14:paraId="0C3F8286" w14:textId="77777777" w:rsidR="009D74F9" w:rsidRDefault="002854A3" w:rsidP="009D74F9">
      <w:r>
        <w:t>It is difficult to compare and contrast data across one sampling period in wet season conditions due to the high variability of the water quality data</w:t>
      </w:r>
      <w:r w:rsidR="00A26858">
        <w:t xml:space="preserve"> in response to river flow and prevailing weather conditions</w:t>
      </w:r>
      <w:r>
        <w:t xml:space="preserve">. </w:t>
      </w:r>
      <w:r w:rsidR="009D74F9">
        <w:t xml:space="preserve">The concentrations of water quality </w:t>
      </w:r>
      <w:r w:rsidR="002827F5">
        <w:t>parameters</w:t>
      </w:r>
      <w:r w:rsidR="009D74F9">
        <w:t xml:space="preserve"> in plumes are directly related to the degree of mixing between the fresh and salt water. </w:t>
      </w:r>
      <w:r w:rsidR="00A26858">
        <w:t xml:space="preserve">If the </w:t>
      </w:r>
      <w:r w:rsidR="009D74F9">
        <w:t>changes in concentration result only from the dilution associated with mixing, the constituents are said to behave conservatively</w:t>
      </w:r>
      <w:r w:rsidR="00A26858">
        <w:t>. O</w:t>
      </w:r>
      <w:r w:rsidR="009D74F9">
        <w:t xml:space="preserve">ne of the most useful techniques available for interpreting mixing processes is to examine whether data is consistent with conservative behaviour. This is undertaken by testing the linearity of the relationship between the concentration of the water quality parameter and an index of conservative mixing. In applying this technique, salinity is usually used as an index of conservative mixing (Devlin et al., 2001). </w:t>
      </w:r>
      <w:r w:rsidR="00A26858">
        <w:t>Salinity m</w:t>
      </w:r>
      <w:r w:rsidR="001B7270">
        <w:t xml:space="preserve">ixing plots for Burdekin, Tully, Herbert are presented from data collected in the 2012-2013 wet season for DIN (Figure </w:t>
      </w:r>
      <w:r w:rsidR="00F81A7B">
        <w:t>4-</w:t>
      </w:r>
      <w:r w:rsidR="001B7270">
        <w:t xml:space="preserve">4a), DIP, (Figure </w:t>
      </w:r>
      <w:r w:rsidR="00F81A7B">
        <w:t>4-</w:t>
      </w:r>
      <w:r w:rsidR="001B7270">
        <w:t xml:space="preserve">4b), </w:t>
      </w:r>
      <w:r w:rsidR="00362A9F">
        <w:t>Kd(PAR)</w:t>
      </w:r>
      <w:r w:rsidR="001B7270">
        <w:t xml:space="preserve"> (Figure </w:t>
      </w:r>
      <w:r w:rsidR="00F81A7B">
        <w:t>4-</w:t>
      </w:r>
      <w:r w:rsidR="001B7270">
        <w:t xml:space="preserve">4c), TSS (Figure </w:t>
      </w:r>
      <w:r w:rsidR="00F81A7B">
        <w:t>4-</w:t>
      </w:r>
      <w:r w:rsidR="001B7270">
        <w:t>4d)</w:t>
      </w:r>
      <w:r w:rsidR="002210C7">
        <w:t xml:space="preserve">, </w:t>
      </w:r>
      <w:r w:rsidR="00362A9F">
        <w:t>chl</w:t>
      </w:r>
      <w:r w:rsidR="002210C7">
        <w:t xml:space="preserve">-a (Figure </w:t>
      </w:r>
      <w:r w:rsidR="00F81A7B">
        <w:t>4-</w:t>
      </w:r>
      <w:r w:rsidR="002210C7">
        <w:t xml:space="preserve">4e) and CDOM (Figure </w:t>
      </w:r>
      <w:r w:rsidR="00F81A7B">
        <w:t>4-</w:t>
      </w:r>
      <w:r w:rsidR="002210C7">
        <w:t>4f).</w:t>
      </w:r>
    </w:p>
    <w:p w14:paraId="0C3F8287" w14:textId="77777777" w:rsidR="002854A3" w:rsidRDefault="004316A7" w:rsidP="0015270F">
      <w:r>
        <w:t xml:space="preserve">No clear pattern </w:t>
      </w:r>
      <w:r w:rsidR="00F81A7B">
        <w:t xml:space="preserve">was </w:t>
      </w:r>
      <w:r>
        <w:t xml:space="preserve">observed for </w:t>
      </w:r>
      <w:r w:rsidR="00F81A7B">
        <w:t xml:space="preserve">the </w:t>
      </w:r>
      <w:r>
        <w:t xml:space="preserve">WQ parameters in the </w:t>
      </w:r>
      <w:r w:rsidR="00F81A7B">
        <w:t>Burdekin sites</w:t>
      </w:r>
      <w:r>
        <w:t xml:space="preserve"> against </w:t>
      </w:r>
      <w:r w:rsidR="00F81A7B">
        <w:t>salinity</w:t>
      </w:r>
      <w:r>
        <w:t xml:space="preserve"> </w:t>
      </w:r>
      <w:r w:rsidR="00F81A7B">
        <w:t xml:space="preserve">. The lack of pattern might be due to a </w:t>
      </w:r>
      <w:r>
        <w:t>low density of data points at low salinities (</w:t>
      </w:r>
      <w:r w:rsidR="00F81A7B">
        <w:fldChar w:fldCharType="begin"/>
      </w:r>
      <w:r w:rsidR="00F81A7B">
        <w:instrText xml:space="preserve"> REF _Ref432675019 \h </w:instrText>
      </w:r>
      <w:r w:rsidR="00F81A7B">
        <w:fldChar w:fldCharType="separate"/>
      </w:r>
      <w:r w:rsidR="00B62B50">
        <w:t xml:space="preserve">Figure </w:t>
      </w:r>
      <w:r w:rsidR="00B62B50">
        <w:rPr>
          <w:noProof/>
        </w:rPr>
        <w:t>4</w:t>
      </w:r>
      <w:r w:rsidR="00B62B50">
        <w:noBreakHyphen/>
      </w:r>
      <w:r w:rsidR="00B62B50">
        <w:rPr>
          <w:noProof/>
        </w:rPr>
        <w:t>5</w:t>
      </w:r>
      <w:r w:rsidR="00F81A7B">
        <w:fldChar w:fldCharType="end"/>
      </w:r>
      <w:r>
        <w:t xml:space="preserve">), even though </w:t>
      </w:r>
      <w:r w:rsidR="00F81A7B">
        <w:t xml:space="preserve"> the sites were sampled just after the second largest river discharge in the season</w:t>
      </w:r>
      <w:r>
        <w:t xml:space="preserve">. </w:t>
      </w:r>
      <w:r w:rsidR="00F81A7B">
        <w:t xml:space="preserve">The other two rivers, Tully and Herbert, exhibited some typical mixing plots with reduction of WQ parameters as moving away from the source (i.e., river mouth). Clearer patterns were always observed for WQ parameters when sites were sampled after some peak discharge. Examples are the </w:t>
      </w:r>
      <w:r w:rsidR="002210C7">
        <w:t>DIN</w:t>
      </w:r>
      <w:r w:rsidR="0002333D">
        <w:t xml:space="preserve"> and DIP concentrations </w:t>
      </w:r>
      <w:r w:rsidR="00F81A7B">
        <w:t xml:space="preserve">that </w:t>
      </w:r>
      <w:r w:rsidR="0002333D">
        <w:t>generally follow a conservative mixing process, diluting in a linear pattern in relation to the salinity concentrations (</w:t>
      </w:r>
      <w:r w:rsidR="00F81A7B">
        <w:t>Figs. 4-</w:t>
      </w:r>
      <w:r w:rsidR="002210C7">
        <w:t xml:space="preserve">4a, </w:t>
      </w:r>
      <w:r w:rsidR="00F81A7B">
        <w:t>4-</w:t>
      </w:r>
      <w:r w:rsidR="002210C7">
        <w:t>4b</w:t>
      </w:r>
      <w:r w:rsidR="0002333D">
        <w:t>). Source and end concentrations are variable between catchment and as a result, there are different slopes to the lines in relation to catchment</w:t>
      </w:r>
      <w:r w:rsidR="000D140E">
        <w:t>.</w:t>
      </w:r>
    </w:p>
    <w:p w14:paraId="0C3F8288" w14:textId="77777777" w:rsidR="00330E11" w:rsidRDefault="00330E11">
      <w:pPr>
        <w:spacing w:before="0" w:after="0"/>
        <w:jc w:val="left"/>
      </w:pPr>
      <w:r>
        <w:br w:type="page"/>
      </w:r>
    </w:p>
    <w:p w14:paraId="0C3F8289" w14:textId="77777777" w:rsidR="00782908" w:rsidRDefault="00782908" w:rsidP="0015270F">
      <w:pPr>
        <w:sectPr w:rsidR="00782908" w:rsidSect="00330E11">
          <w:footerReference w:type="default" r:id="rId60"/>
          <w:type w:val="continuous"/>
          <w:pgSz w:w="11907" w:h="16840" w:code="9"/>
          <w:pgMar w:top="1440" w:right="1440" w:bottom="1440" w:left="1440" w:header="709" w:footer="720" w:gutter="0"/>
          <w:cols w:space="708"/>
          <w:docGrid w:linePitch="360"/>
        </w:sectPr>
      </w:pPr>
    </w:p>
    <w:p w14:paraId="0C3F828A" w14:textId="77777777" w:rsidR="000D140E" w:rsidRDefault="001B7270" w:rsidP="0015270F">
      <w:r>
        <w:rPr>
          <w:noProof/>
        </w:rPr>
        <mc:AlternateContent>
          <mc:Choice Requires="wps">
            <w:drawing>
              <wp:anchor distT="0" distB="0" distL="114300" distR="114300" simplePos="0" relativeHeight="251768832" behindDoc="0" locked="0" layoutInCell="1" allowOverlap="1" wp14:anchorId="0C3F8FCF" wp14:editId="0C3F8FD0">
                <wp:simplePos x="0" y="0"/>
                <wp:positionH relativeFrom="column">
                  <wp:posOffset>5322469</wp:posOffset>
                </wp:positionH>
                <wp:positionV relativeFrom="paragraph">
                  <wp:posOffset>4903</wp:posOffset>
                </wp:positionV>
                <wp:extent cx="2972435" cy="198120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2435" cy="1981200"/>
                        </a:xfrm>
                        <a:prstGeom prst="rect">
                          <a:avLst/>
                        </a:prstGeom>
                        <a:noFill/>
                        <a:ln w="9525">
                          <a:noFill/>
                          <a:miter lim="800000"/>
                          <a:headEnd/>
                          <a:tailEnd/>
                        </a:ln>
                      </wps:spPr>
                      <wps:txbx>
                        <w:txbxContent>
                          <w:p w14:paraId="0C3F9087" w14:textId="77777777" w:rsidR="007E5BBF" w:rsidRPr="001B7270" w:rsidRDefault="007E5BBF" w:rsidP="000D140E">
                            <w:pPr>
                              <w:pStyle w:val="Caption"/>
                              <w:jc w:val="both"/>
                              <w:rPr>
                                <w:sz w:val="20"/>
                              </w:rPr>
                            </w:pPr>
                            <w:bookmarkStart w:id="121" w:name="_Toc434208032"/>
                            <w:r w:rsidRPr="001B7270">
                              <w:rPr>
                                <w:sz w:val="20"/>
                              </w:rPr>
                              <w:t xml:space="preserve">Figure </w:t>
                            </w:r>
                            <w:r>
                              <w:rPr>
                                <w:sz w:val="20"/>
                              </w:rPr>
                              <w:fldChar w:fldCharType="begin"/>
                            </w:r>
                            <w:r>
                              <w:rPr>
                                <w:sz w:val="20"/>
                              </w:rPr>
                              <w:instrText xml:space="preserve"> STYLEREF 1 \s </w:instrText>
                            </w:r>
                            <w:r>
                              <w:rPr>
                                <w:sz w:val="20"/>
                              </w:rPr>
                              <w:fldChar w:fldCharType="separate"/>
                            </w:r>
                            <w:r w:rsidR="00B62B50">
                              <w:rPr>
                                <w:noProof/>
                                <w:sz w:val="20"/>
                              </w:rPr>
                              <w:t>4</w:t>
                            </w:r>
                            <w:r>
                              <w:rPr>
                                <w:sz w:val="20"/>
                              </w:rPr>
                              <w:fldChar w:fldCharType="end"/>
                            </w:r>
                            <w:r>
                              <w:rPr>
                                <w:sz w:val="20"/>
                              </w:rPr>
                              <w:noBreakHyphen/>
                            </w:r>
                            <w:r>
                              <w:rPr>
                                <w:sz w:val="20"/>
                              </w:rPr>
                              <w:fldChar w:fldCharType="begin"/>
                            </w:r>
                            <w:r>
                              <w:rPr>
                                <w:sz w:val="20"/>
                              </w:rPr>
                              <w:instrText xml:space="preserve"> SEQ Figure \* ARABIC \s 1 </w:instrText>
                            </w:r>
                            <w:r>
                              <w:rPr>
                                <w:sz w:val="20"/>
                              </w:rPr>
                              <w:fldChar w:fldCharType="separate"/>
                            </w:r>
                            <w:r w:rsidR="00B62B50">
                              <w:rPr>
                                <w:noProof/>
                                <w:sz w:val="20"/>
                              </w:rPr>
                              <w:t>4</w:t>
                            </w:r>
                            <w:r>
                              <w:rPr>
                                <w:sz w:val="20"/>
                              </w:rPr>
                              <w:fldChar w:fldCharType="end"/>
                            </w:r>
                            <w:r w:rsidRPr="001B7270">
                              <w:rPr>
                                <w:sz w:val="20"/>
                              </w:rPr>
                              <w:t>a: (i) Sites are colour coded to identify location on maps, (ii) date of sampling relative to river flow over wet season, (iii)mixing plots for DIN in the Burdekin, Herbert and Tully</w:t>
                            </w:r>
                            <w:r>
                              <w:rPr>
                                <w:sz w:val="20"/>
                              </w:rPr>
                              <w:t xml:space="preserve"> regions for 2012-13</w:t>
                            </w:r>
                            <w:r w:rsidRPr="001B7270">
                              <w:rPr>
                                <w:sz w:val="20"/>
                              </w:rPr>
                              <w:t>.  Freshwater end end were estimed from all samples collected below 5ppt.</w:t>
                            </w:r>
                            <w:bookmarkEnd w:id="121"/>
                            <w:r w:rsidRPr="001B7270">
                              <w:rPr>
                                <w:sz w:val="20"/>
                              </w:rPr>
                              <w:t xml:space="preserve"> </w:t>
                            </w:r>
                          </w:p>
                          <w:p w14:paraId="0C3F9088" w14:textId="77777777" w:rsidR="007E5BBF" w:rsidRDefault="007E5BB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419.1pt;margin-top:.4pt;width:234.05pt;height:15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" filled="f" stroked="f">
                <v:textbox>
                  <w:txbxContent>
                    <w:p w14:paraId="0C3F9087" w14:textId="77777777" w:rsidR="007E5BBF" w:rsidRPr="001B7270" w:rsidRDefault="007E5BBF" w:rsidP="000D140E">
                      <w:pPr>
                        <w:pStyle w:val="Caption"/>
                        <w:jc w:val="both"/>
                        <w:rPr>
                          <w:sz w:val="20"/>
                        </w:rPr>
                      </w:pPr>
                      <w:bookmarkStart w:id="122" w:name="_Toc434208032"/>
                      <w:r w:rsidRPr="001B7270">
                        <w:rPr>
                          <w:sz w:val="20"/>
                        </w:rPr>
                        <w:t xml:space="preserve">Figure </w:t>
                      </w:r>
                      <w:r>
                        <w:rPr>
                          <w:sz w:val="20"/>
                        </w:rPr>
                        <w:fldChar w:fldCharType="begin"/>
                      </w:r>
                      <w:r>
                        <w:rPr>
                          <w:sz w:val="20"/>
                        </w:rPr>
                        <w:instrText xml:space="preserve"> STYLEREF 1 \s </w:instrText>
                      </w:r>
                      <w:r>
                        <w:rPr>
                          <w:sz w:val="20"/>
                        </w:rPr>
                        <w:fldChar w:fldCharType="separate"/>
                      </w:r>
                      <w:r w:rsidR="00B62B50">
                        <w:rPr>
                          <w:noProof/>
                          <w:sz w:val="20"/>
                        </w:rPr>
                        <w:t>4</w:t>
                      </w:r>
                      <w:r>
                        <w:rPr>
                          <w:sz w:val="20"/>
                        </w:rPr>
                        <w:fldChar w:fldCharType="end"/>
                      </w:r>
                      <w:r>
                        <w:rPr>
                          <w:sz w:val="20"/>
                        </w:rPr>
                        <w:noBreakHyphen/>
                      </w:r>
                      <w:r>
                        <w:rPr>
                          <w:sz w:val="20"/>
                        </w:rPr>
                        <w:fldChar w:fldCharType="begin"/>
                      </w:r>
                      <w:r>
                        <w:rPr>
                          <w:sz w:val="20"/>
                        </w:rPr>
                        <w:instrText xml:space="preserve"> SEQ Figure \* ARABIC \s 1 </w:instrText>
                      </w:r>
                      <w:r>
                        <w:rPr>
                          <w:sz w:val="20"/>
                        </w:rPr>
                        <w:fldChar w:fldCharType="separate"/>
                      </w:r>
                      <w:r w:rsidR="00B62B50">
                        <w:rPr>
                          <w:noProof/>
                          <w:sz w:val="20"/>
                        </w:rPr>
                        <w:t>4</w:t>
                      </w:r>
                      <w:r>
                        <w:rPr>
                          <w:sz w:val="20"/>
                        </w:rPr>
                        <w:fldChar w:fldCharType="end"/>
                      </w:r>
                      <w:r w:rsidRPr="001B7270">
                        <w:rPr>
                          <w:sz w:val="20"/>
                        </w:rPr>
                        <w:t>a: (i) Sites are colour coded to identify location on maps, (ii) date of sampling relative to river flow over wet season, (iii)mixing plots for DIN in the Burdekin, Herbert and Tully</w:t>
                      </w:r>
                      <w:r>
                        <w:rPr>
                          <w:sz w:val="20"/>
                        </w:rPr>
                        <w:t xml:space="preserve"> regions for 2012-13</w:t>
                      </w:r>
                      <w:r w:rsidRPr="001B7270">
                        <w:rPr>
                          <w:sz w:val="20"/>
                        </w:rPr>
                        <w:t>.  Freshwater end end were estimed from all samples collected below 5ppt.</w:t>
                      </w:r>
                      <w:bookmarkEnd w:id="122"/>
                      <w:r w:rsidRPr="001B7270">
                        <w:rPr>
                          <w:sz w:val="20"/>
                        </w:rPr>
                        <w:t xml:space="preserve"> </w:t>
                      </w:r>
                    </w:p>
                    <w:p w14:paraId="0C3F9088" w14:textId="77777777" w:rsidR="007E5BBF" w:rsidRDefault="007E5BBF"/>
                  </w:txbxContent>
                </v:textbox>
              </v:shape>
            </w:pict>
          </mc:Fallback>
        </mc:AlternateContent>
      </w:r>
      <w:r w:rsidR="000D140E" w:rsidRPr="000D140E">
        <w:rPr>
          <w:noProof/>
        </w:rPr>
        <w:drawing>
          <wp:inline distT="0" distB="0" distL="0" distR="0" wp14:anchorId="0C3F8FD1" wp14:editId="0C3F8FD2">
            <wp:extent cx="8280000" cy="5277616"/>
            <wp:effectExtent l="19050" t="19050" r="26035" b="18415"/>
            <wp:docPr id="12" name="Picture 12" descr="(i) Sites are colour coded to identify location on maps, (ii) date of sampling relative to river flow over wet season, (iii)mixing plots for DIN in the Burdekin, Herbert and Tully regions for 2012-13.  Freshwater end end were estimed from all samples collected below 5pp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280000" cy="5277616"/>
                    </a:xfrm>
                    <a:prstGeom prst="rect">
                      <a:avLst/>
                    </a:prstGeom>
                    <a:ln>
                      <a:solidFill>
                        <a:srgbClr val="000000"/>
                      </a:solidFill>
                    </a:ln>
                  </pic:spPr>
                </pic:pic>
              </a:graphicData>
            </a:graphic>
          </wp:inline>
        </w:drawing>
      </w:r>
    </w:p>
    <w:p w14:paraId="0C3F828B" w14:textId="77777777" w:rsidR="000D140E" w:rsidRDefault="00782908" w:rsidP="0015270F">
      <w:r>
        <w:rPr>
          <w:noProof/>
        </w:rPr>
        <mc:AlternateContent>
          <mc:Choice Requires="wps">
            <w:drawing>
              <wp:anchor distT="0" distB="0" distL="114300" distR="114300" simplePos="0" relativeHeight="251770880" behindDoc="0" locked="0" layoutInCell="1" allowOverlap="1" wp14:anchorId="0C3F8FD3" wp14:editId="0C3F8FD4">
                <wp:simplePos x="0" y="0"/>
                <wp:positionH relativeFrom="column">
                  <wp:posOffset>5489829</wp:posOffset>
                </wp:positionH>
                <wp:positionV relativeFrom="paragraph">
                  <wp:posOffset>9678</wp:posOffset>
                </wp:positionV>
                <wp:extent cx="2802255" cy="1981200"/>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255" cy="1981200"/>
                        </a:xfrm>
                        <a:prstGeom prst="rect">
                          <a:avLst/>
                        </a:prstGeom>
                        <a:noFill/>
                        <a:ln w="9525">
                          <a:noFill/>
                          <a:miter lim="800000"/>
                          <a:headEnd/>
                          <a:tailEnd/>
                        </a:ln>
                      </wps:spPr>
                      <wps:txbx>
                        <w:txbxContent>
                          <w:p w14:paraId="0C3F9089" w14:textId="77777777" w:rsidR="007E5BBF" w:rsidRPr="001B7270" w:rsidRDefault="007E5BBF" w:rsidP="001B7270">
                            <w:pPr>
                              <w:pStyle w:val="Caption"/>
                              <w:jc w:val="both"/>
                              <w:rPr>
                                <w:sz w:val="20"/>
                              </w:rPr>
                            </w:pPr>
                            <w:r>
                              <w:rPr>
                                <w:sz w:val="20"/>
                              </w:rPr>
                              <w:t>Figure 4-4b</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DIP</w:t>
                            </w:r>
                            <w:r w:rsidRPr="001B7270">
                              <w:rPr>
                                <w:sz w:val="20"/>
                              </w:rPr>
                              <w:t xml:space="preserve"> in </w:t>
                            </w:r>
                            <w:r>
                              <w:rPr>
                                <w:sz w:val="20"/>
                              </w:rPr>
                              <w:t>the Burdekin, Herbert and Tully regions for 2012-13.</w:t>
                            </w:r>
                            <w:r w:rsidRPr="001B7270">
                              <w:rPr>
                                <w:sz w:val="20"/>
                              </w:rPr>
                              <w:t xml:space="preserve">  </w:t>
                            </w:r>
                          </w:p>
                          <w:p w14:paraId="0C3F908A" w14:textId="77777777" w:rsidR="007E5BBF" w:rsidRDefault="007E5BBF" w:rsidP="001B72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32.25pt;margin-top:.75pt;width:220.65pt;height:156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" filled="f" stroked="f">
                <v:textbox>
                  <w:txbxContent>
                    <w:p w14:paraId="0C3F9089" w14:textId="77777777" w:rsidR="007E5BBF" w:rsidRPr="001B7270" w:rsidRDefault="007E5BBF" w:rsidP="001B7270">
                      <w:pPr>
                        <w:pStyle w:val="Caption"/>
                        <w:jc w:val="both"/>
                        <w:rPr>
                          <w:sz w:val="20"/>
                        </w:rPr>
                      </w:pPr>
                      <w:r>
                        <w:rPr>
                          <w:sz w:val="20"/>
                        </w:rPr>
                        <w:t>Figure 4-4b</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DIP</w:t>
                      </w:r>
                      <w:r w:rsidRPr="001B7270">
                        <w:rPr>
                          <w:sz w:val="20"/>
                        </w:rPr>
                        <w:t xml:space="preserve"> in </w:t>
                      </w:r>
                      <w:r>
                        <w:rPr>
                          <w:sz w:val="20"/>
                        </w:rPr>
                        <w:t>the Burdekin, Herbert and Tully regions for 2012-13.</w:t>
                      </w:r>
                      <w:r w:rsidRPr="001B7270">
                        <w:rPr>
                          <w:sz w:val="20"/>
                        </w:rPr>
                        <w:t xml:space="preserve">  </w:t>
                      </w:r>
                    </w:p>
                    <w:p w14:paraId="0C3F908A" w14:textId="77777777" w:rsidR="007E5BBF" w:rsidRDefault="007E5BBF" w:rsidP="001B7270"/>
                  </w:txbxContent>
                </v:textbox>
              </v:shape>
            </w:pict>
          </mc:Fallback>
        </mc:AlternateContent>
      </w:r>
      <w:r w:rsidR="000D140E" w:rsidRPr="000D140E">
        <w:rPr>
          <w:noProof/>
        </w:rPr>
        <w:drawing>
          <wp:inline distT="0" distB="0" distL="0" distR="0" wp14:anchorId="0C3F8FD5" wp14:editId="0C3F8FD6">
            <wp:extent cx="8280000" cy="5235153"/>
            <wp:effectExtent l="19050" t="19050" r="26035" b="22860"/>
            <wp:docPr id="13" name="Picture 13" descr="(i) Sites are colour coded to identify location on maps, (ii) date of sampling relative to river flow over wet season, (iii) mixing plots for DIP in the Burdekin, Herbert and Tully regions for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8280000" cy="5235153"/>
                    </a:xfrm>
                    <a:prstGeom prst="rect">
                      <a:avLst/>
                    </a:prstGeom>
                    <a:ln>
                      <a:solidFill>
                        <a:srgbClr val="000000"/>
                      </a:solidFill>
                    </a:ln>
                  </pic:spPr>
                </pic:pic>
              </a:graphicData>
            </a:graphic>
          </wp:inline>
        </w:drawing>
      </w:r>
    </w:p>
    <w:p w14:paraId="0C3F828C" w14:textId="77777777" w:rsidR="002854A3" w:rsidRDefault="00782908" w:rsidP="0015270F">
      <w:r>
        <w:rPr>
          <w:noProof/>
        </w:rPr>
        <mc:AlternateContent>
          <mc:Choice Requires="wps">
            <w:drawing>
              <wp:anchor distT="0" distB="0" distL="114300" distR="114300" simplePos="0" relativeHeight="251772928" behindDoc="0" locked="0" layoutInCell="1" allowOverlap="1" wp14:anchorId="0C3F8FD7" wp14:editId="0C3F8FD8">
                <wp:simplePos x="0" y="0"/>
                <wp:positionH relativeFrom="column">
                  <wp:posOffset>5495925</wp:posOffset>
                </wp:positionH>
                <wp:positionV relativeFrom="paragraph">
                  <wp:posOffset>24765</wp:posOffset>
                </wp:positionV>
                <wp:extent cx="2802255" cy="1981200"/>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255" cy="1981200"/>
                        </a:xfrm>
                        <a:prstGeom prst="rect">
                          <a:avLst/>
                        </a:prstGeom>
                        <a:noFill/>
                        <a:ln w="9525">
                          <a:noFill/>
                          <a:miter lim="800000"/>
                          <a:headEnd/>
                          <a:tailEnd/>
                        </a:ln>
                      </wps:spPr>
                      <wps:txbx>
                        <w:txbxContent>
                          <w:p w14:paraId="0C3F908B" w14:textId="77777777" w:rsidR="007E5BBF" w:rsidRPr="001B7270" w:rsidRDefault="007E5BBF" w:rsidP="001B7270">
                            <w:pPr>
                              <w:pStyle w:val="Caption"/>
                              <w:jc w:val="both"/>
                              <w:rPr>
                                <w:sz w:val="20"/>
                              </w:rPr>
                            </w:pPr>
                            <w:r>
                              <w:rPr>
                                <w:sz w:val="20"/>
                              </w:rPr>
                              <w:t>Figure 4-4c</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K</w:t>
                            </w:r>
                            <w:r w:rsidRPr="001B7270">
                              <w:rPr>
                                <w:sz w:val="20"/>
                                <w:vertAlign w:val="subscript"/>
                              </w:rPr>
                              <w:t>d</w:t>
                            </w:r>
                            <w:r w:rsidRPr="001B7270">
                              <w:rPr>
                                <w:sz w:val="20"/>
                              </w:rPr>
                              <w:t xml:space="preserve"> in </w:t>
                            </w:r>
                            <w:r>
                              <w:rPr>
                                <w:sz w:val="20"/>
                              </w:rPr>
                              <w:t>the Burdekin, Herbert and Tully regions for 2012-13.</w:t>
                            </w:r>
                            <w:r w:rsidRPr="001B7270">
                              <w:rPr>
                                <w:sz w:val="20"/>
                              </w:rPr>
                              <w:t xml:space="preserve">  </w:t>
                            </w:r>
                          </w:p>
                          <w:p w14:paraId="0C3F908C" w14:textId="77777777" w:rsidR="007E5BBF" w:rsidRDefault="007E5BBF" w:rsidP="001B72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32.75pt;margin-top:1.95pt;width:220.65pt;height:156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" filled="f" stroked="f">
                <v:textbox>
                  <w:txbxContent>
                    <w:p w14:paraId="0C3F908B" w14:textId="77777777" w:rsidR="007E5BBF" w:rsidRPr="001B7270" w:rsidRDefault="007E5BBF" w:rsidP="001B7270">
                      <w:pPr>
                        <w:pStyle w:val="Caption"/>
                        <w:jc w:val="both"/>
                        <w:rPr>
                          <w:sz w:val="20"/>
                        </w:rPr>
                      </w:pPr>
                      <w:r>
                        <w:rPr>
                          <w:sz w:val="20"/>
                        </w:rPr>
                        <w:t>Figure 4-4c</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K</w:t>
                      </w:r>
                      <w:r w:rsidRPr="001B7270">
                        <w:rPr>
                          <w:sz w:val="20"/>
                          <w:vertAlign w:val="subscript"/>
                        </w:rPr>
                        <w:t>d</w:t>
                      </w:r>
                      <w:r w:rsidRPr="001B7270">
                        <w:rPr>
                          <w:sz w:val="20"/>
                        </w:rPr>
                        <w:t xml:space="preserve"> in </w:t>
                      </w:r>
                      <w:r>
                        <w:rPr>
                          <w:sz w:val="20"/>
                        </w:rPr>
                        <w:t>the Burdekin, Herbert and Tully regions for 2012-13.</w:t>
                      </w:r>
                      <w:r w:rsidRPr="001B7270">
                        <w:rPr>
                          <w:sz w:val="20"/>
                        </w:rPr>
                        <w:t xml:space="preserve">  </w:t>
                      </w:r>
                    </w:p>
                    <w:p w14:paraId="0C3F908C" w14:textId="77777777" w:rsidR="007E5BBF" w:rsidRDefault="007E5BBF" w:rsidP="001B7270"/>
                  </w:txbxContent>
                </v:textbox>
              </v:shape>
            </w:pict>
          </mc:Fallback>
        </mc:AlternateContent>
      </w:r>
      <w:r w:rsidR="002854A3" w:rsidRPr="002854A3">
        <w:rPr>
          <w:noProof/>
        </w:rPr>
        <w:drawing>
          <wp:inline distT="0" distB="0" distL="0" distR="0" wp14:anchorId="0C3F8FD9" wp14:editId="0C3F8FDA">
            <wp:extent cx="8280000" cy="5170577"/>
            <wp:effectExtent l="19050" t="19050" r="26035" b="11430"/>
            <wp:docPr id="11" name="Picture 11" descr="(i) Sites are colour coded to identify location on maps, (ii) date of sampling relative to river flow over wet season, (iii) mixing plots for Kd in the Burdekin, Herbert and Tully regions for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8280000" cy="5170577"/>
                    </a:xfrm>
                    <a:prstGeom prst="rect">
                      <a:avLst/>
                    </a:prstGeom>
                    <a:ln>
                      <a:solidFill>
                        <a:srgbClr val="000000"/>
                      </a:solidFill>
                    </a:ln>
                  </pic:spPr>
                </pic:pic>
              </a:graphicData>
            </a:graphic>
          </wp:inline>
        </w:drawing>
      </w:r>
    </w:p>
    <w:p w14:paraId="0C3F828D" w14:textId="77777777" w:rsidR="002210C7" w:rsidRDefault="00782908" w:rsidP="0015270F">
      <w:r>
        <w:rPr>
          <w:noProof/>
        </w:rPr>
        <mc:AlternateContent>
          <mc:Choice Requires="wps">
            <w:drawing>
              <wp:anchor distT="0" distB="0" distL="114300" distR="114300" simplePos="0" relativeHeight="251780096" behindDoc="0" locked="0" layoutInCell="1" allowOverlap="1" wp14:anchorId="0C3F8FDB" wp14:editId="0C3F8FDC">
                <wp:simplePos x="0" y="0"/>
                <wp:positionH relativeFrom="column">
                  <wp:posOffset>5513705</wp:posOffset>
                </wp:positionH>
                <wp:positionV relativeFrom="paragraph">
                  <wp:posOffset>19685</wp:posOffset>
                </wp:positionV>
                <wp:extent cx="2802255" cy="1981200"/>
                <wp:effectExtent l="0" t="0" r="0"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255" cy="1981200"/>
                        </a:xfrm>
                        <a:prstGeom prst="rect">
                          <a:avLst/>
                        </a:prstGeom>
                        <a:noFill/>
                        <a:ln w="9525">
                          <a:noFill/>
                          <a:miter lim="800000"/>
                          <a:headEnd/>
                          <a:tailEnd/>
                        </a:ln>
                      </wps:spPr>
                      <wps:txbx>
                        <w:txbxContent>
                          <w:p w14:paraId="0C3F908D" w14:textId="77777777" w:rsidR="007E5BBF" w:rsidRPr="001B7270" w:rsidRDefault="007E5BBF" w:rsidP="002210C7">
                            <w:pPr>
                              <w:pStyle w:val="Caption"/>
                              <w:jc w:val="both"/>
                              <w:rPr>
                                <w:sz w:val="20"/>
                              </w:rPr>
                            </w:pPr>
                            <w:r>
                              <w:rPr>
                                <w:sz w:val="20"/>
                              </w:rPr>
                              <w:t>Figure 4-4d</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TSS </w:t>
                            </w:r>
                            <w:r w:rsidRPr="001B7270">
                              <w:rPr>
                                <w:sz w:val="20"/>
                              </w:rPr>
                              <w:t xml:space="preserve">in </w:t>
                            </w:r>
                            <w:r>
                              <w:rPr>
                                <w:sz w:val="20"/>
                              </w:rPr>
                              <w:t>the Burdekin, Herbert and Tully regions for 2012-13.</w:t>
                            </w:r>
                            <w:r w:rsidRPr="001B7270">
                              <w:rPr>
                                <w:sz w:val="20"/>
                              </w:rPr>
                              <w:t xml:space="preserve">  </w:t>
                            </w:r>
                          </w:p>
                          <w:p w14:paraId="0C3F908E" w14:textId="77777777" w:rsidR="007E5BBF" w:rsidRDefault="007E5BBF" w:rsidP="002210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34.15pt;margin-top:1.55pt;width:220.65pt;height:156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" filled="f" stroked="f">
                <v:textbox>
                  <w:txbxContent>
                    <w:p w14:paraId="0C3F908D" w14:textId="77777777" w:rsidR="007E5BBF" w:rsidRPr="001B7270" w:rsidRDefault="007E5BBF" w:rsidP="002210C7">
                      <w:pPr>
                        <w:pStyle w:val="Caption"/>
                        <w:jc w:val="both"/>
                        <w:rPr>
                          <w:sz w:val="20"/>
                        </w:rPr>
                      </w:pPr>
                      <w:r>
                        <w:rPr>
                          <w:sz w:val="20"/>
                        </w:rPr>
                        <w:t>Figure 4-4d</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TSS </w:t>
                      </w:r>
                      <w:r w:rsidRPr="001B7270">
                        <w:rPr>
                          <w:sz w:val="20"/>
                        </w:rPr>
                        <w:t xml:space="preserve">in </w:t>
                      </w:r>
                      <w:r>
                        <w:rPr>
                          <w:sz w:val="20"/>
                        </w:rPr>
                        <w:t>the Burdekin, Herbert and Tully regions for 2012-13.</w:t>
                      </w:r>
                      <w:r w:rsidRPr="001B7270">
                        <w:rPr>
                          <w:sz w:val="20"/>
                        </w:rPr>
                        <w:t xml:space="preserve">  </w:t>
                      </w:r>
                    </w:p>
                    <w:p w14:paraId="0C3F908E" w14:textId="77777777" w:rsidR="007E5BBF" w:rsidRDefault="007E5BBF" w:rsidP="002210C7"/>
                  </w:txbxContent>
                </v:textbox>
              </v:shape>
            </w:pict>
          </mc:Fallback>
        </mc:AlternateContent>
      </w:r>
      <w:r w:rsidR="002210C7" w:rsidRPr="002210C7">
        <w:rPr>
          <w:noProof/>
        </w:rPr>
        <w:drawing>
          <wp:inline distT="0" distB="0" distL="0" distR="0" wp14:anchorId="0C3F8FDD" wp14:editId="0C3F8FDE">
            <wp:extent cx="8280000" cy="5237534"/>
            <wp:effectExtent l="19050" t="19050" r="26035" b="20320"/>
            <wp:docPr id="32" name="Picture 32" descr="(i) Sites are colour coded to identify location on maps, (ii) date of sampling relative to river flow over wet season, (iii) mixing plots for TSS in the Burdekin, Herbert and Tully regions for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8280000" cy="5237534"/>
                    </a:xfrm>
                    <a:prstGeom prst="rect">
                      <a:avLst/>
                    </a:prstGeom>
                    <a:ln>
                      <a:solidFill>
                        <a:srgbClr val="000000"/>
                      </a:solidFill>
                    </a:ln>
                  </pic:spPr>
                </pic:pic>
              </a:graphicData>
            </a:graphic>
          </wp:inline>
        </w:drawing>
      </w:r>
    </w:p>
    <w:p w14:paraId="0C3F828E" w14:textId="77777777" w:rsidR="002210C7" w:rsidRDefault="00782908" w:rsidP="0015270F">
      <w:r>
        <w:rPr>
          <w:noProof/>
        </w:rPr>
        <mc:AlternateContent>
          <mc:Choice Requires="wps">
            <w:drawing>
              <wp:anchor distT="0" distB="0" distL="114300" distR="114300" simplePos="0" relativeHeight="251782144" behindDoc="0" locked="0" layoutInCell="1" allowOverlap="1" wp14:anchorId="0C3F8FDF" wp14:editId="0C3F8FE0">
                <wp:simplePos x="0" y="0"/>
                <wp:positionH relativeFrom="column">
                  <wp:posOffset>5502275</wp:posOffset>
                </wp:positionH>
                <wp:positionV relativeFrom="paragraph">
                  <wp:posOffset>23495</wp:posOffset>
                </wp:positionV>
                <wp:extent cx="2802255" cy="1981200"/>
                <wp:effectExtent l="0" t="0" r="0" b="0"/>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255" cy="1981200"/>
                        </a:xfrm>
                        <a:prstGeom prst="rect">
                          <a:avLst/>
                        </a:prstGeom>
                        <a:noFill/>
                        <a:ln w="9525">
                          <a:noFill/>
                          <a:miter lim="800000"/>
                          <a:headEnd/>
                          <a:tailEnd/>
                        </a:ln>
                      </wps:spPr>
                      <wps:txbx>
                        <w:txbxContent>
                          <w:p w14:paraId="0C3F908F" w14:textId="77777777" w:rsidR="007E5BBF" w:rsidRPr="001B7270" w:rsidRDefault="007E5BBF" w:rsidP="002210C7">
                            <w:pPr>
                              <w:pStyle w:val="Caption"/>
                              <w:jc w:val="both"/>
                              <w:rPr>
                                <w:sz w:val="20"/>
                              </w:rPr>
                            </w:pPr>
                            <w:r>
                              <w:rPr>
                                <w:sz w:val="20"/>
                              </w:rPr>
                              <w:t>Figure 4-4e</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chlorophyll-a </w:t>
                            </w:r>
                            <w:r w:rsidRPr="001B7270">
                              <w:rPr>
                                <w:sz w:val="20"/>
                              </w:rPr>
                              <w:t xml:space="preserve">in </w:t>
                            </w:r>
                            <w:r>
                              <w:rPr>
                                <w:sz w:val="20"/>
                              </w:rPr>
                              <w:t>the Burdekin, Herbert and Tully regions for 2012-13.</w:t>
                            </w:r>
                            <w:r w:rsidRPr="001B7270">
                              <w:rPr>
                                <w:sz w:val="20"/>
                              </w:rPr>
                              <w:t xml:space="preserve">  </w:t>
                            </w:r>
                          </w:p>
                          <w:p w14:paraId="0C3F9090" w14:textId="77777777" w:rsidR="007E5BBF" w:rsidRDefault="007E5BBF" w:rsidP="002210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433.25pt;margin-top:1.85pt;width:220.65pt;height:156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" filled="f" stroked="f">
                <v:textbox>
                  <w:txbxContent>
                    <w:p w14:paraId="0C3F908F" w14:textId="77777777" w:rsidR="007E5BBF" w:rsidRPr="001B7270" w:rsidRDefault="007E5BBF" w:rsidP="002210C7">
                      <w:pPr>
                        <w:pStyle w:val="Caption"/>
                        <w:jc w:val="both"/>
                        <w:rPr>
                          <w:sz w:val="20"/>
                        </w:rPr>
                      </w:pPr>
                      <w:r>
                        <w:rPr>
                          <w:sz w:val="20"/>
                        </w:rPr>
                        <w:t>Figure 4-4e</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chlorophyll-a </w:t>
                      </w:r>
                      <w:r w:rsidRPr="001B7270">
                        <w:rPr>
                          <w:sz w:val="20"/>
                        </w:rPr>
                        <w:t xml:space="preserve">in </w:t>
                      </w:r>
                      <w:r>
                        <w:rPr>
                          <w:sz w:val="20"/>
                        </w:rPr>
                        <w:t>the Burdekin, Herbert and Tully regions for 2012-13.</w:t>
                      </w:r>
                      <w:r w:rsidRPr="001B7270">
                        <w:rPr>
                          <w:sz w:val="20"/>
                        </w:rPr>
                        <w:t xml:space="preserve">  </w:t>
                      </w:r>
                    </w:p>
                    <w:p w14:paraId="0C3F9090" w14:textId="77777777" w:rsidR="007E5BBF" w:rsidRDefault="007E5BBF" w:rsidP="002210C7"/>
                  </w:txbxContent>
                </v:textbox>
              </v:shape>
            </w:pict>
          </mc:Fallback>
        </mc:AlternateContent>
      </w:r>
      <w:r w:rsidR="002210C7" w:rsidRPr="002210C7">
        <w:rPr>
          <w:noProof/>
        </w:rPr>
        <w:drawing>
          <wp:inline distT="0" distB="0" distL="0" distR="0" wp14:anchorId="0C3F8FE1" wp14:editId="0C3F8FE2">
            <wp:extent cx="8280000" cy="5117499"/>
            <wp:effectExtent l="19050" t="19050" r="26035" b="26035"/>
            <wp:docPr id="33" name="Picture 33" descr="(i) Sites are colour coded to identify location on maps, (ii) date of sampling relative to river flow over wet season, (iii) mixing plots for chlorophyll-a in the Burdekin, Herbert and Tully regions for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8280000" cy="5117499"/>
                    </a:xfrm>
                    <a:prstGeom prst="rect">
                      <a:avLst/>
                    </a:prstGeom>
                    <a:ln>
                      <a:solidFill>
                        <a:srgbClr val="000000"/>
                      </a:solidFill>
                    </a:ln>
                  </pic:spPr>
                </pic:pic>
              </a:graphicData>
            </a:graphic>
          </wp:inline>
        </w:drawing>
      </w:r>
    </w:p>
    <w:p w14:paraId="0C3F828F" w14:textId="77777777" w:rsidR="002210C7" w:rsidRPr="00782908" w:rsidRDefault="00782908" w:rsidP="0015270F">
      <w:r>
        <w:rPr>
          <w:noProof/>
        </w:rPr>
        <mc:AlternateContent>
          <mc:Choice Requires="wps">
            <w:drawing>
              <wp:anchor distT="0" distB="0" distL="114300" distR="114300" simplePos="0" relativeHeight="251784192" behindDoc="0" locked="0" layoutInCell="1" allowOverlap="1" wp14:anchorId="0C3F8FE3" wp14:editId="0C3F8FE4">
                <wp:simplePos x="0" y="0"/>
                <wp:positionH relativeFrom="column">
                  <wp:posOffset>5506085</wp:posOffset>
                </wp:positionH>
                <wp:positionV relativeFrom="paragraph">
                  <wp:posOffset>12065</wp:posOffset>
                </wp:positionV>
                <wp:extent cx="2802255" cy="1981200"/>
                <wp:effectExtent l="0" t="0" r="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255" cy="1981200"/>
                        </a:xfrm>
                        <a:prstGeom prst="rect">
                          <a:avLst/>
                        </a:prstGeom>
                        <a:noFill/>
                        <a:ln w="9525">
                          <a:noFill/>
                          <a:miter lim="800000"/>
                          <a:headEnd/>
                          <a:tailEnd/>
                        </a:ln>
                      </wps:spPr>
                      <wps:txbx>
                        <w:txbxContent>
                          <w:p w14:paraId="0C3F9091" w14:textId="77777777" w:rsidR="007E5BBF" w:rsidRPr="001B7270" w:rsidRDefault="007E5BBF" w:rsidP="002210C7">
                            <w:pPr>
                              <w:pStyle w:val="Caption"/>
                              <w:jc w:val="both"/>
                              <w:rPr>
                                <w:sz w:val="20"/>
                              </w:rPr>
                            </w:pPr>
                            <w:r>
                              <w:rPr>
                                <w:sz w:val="20"/>
                              </w:rPr>
                              <w:t>Figure 4-4f</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CDOM </w:t>
                            </w:r>
                            <w:r w:rsidRPr="001B7270">
                              <w:rPr>
                                <w:sz w:val="20"/>
                              </w:rPr>
                              <w:t xml:space="preserve">in </w:t>
                            </w:r>
                            <w:r>
                              <w:rPr>
                                <w:sz w:val="20"/>
                              </w:rPr>
                              <w:t>the Burdekin, Herbert and Tully regions for 2012-13.</w:t>
                            </w:r>
                            <w:r w:rsidRPr="001B7270">
                              <w:rPr>
                                <w:sz w:val="20"/>
                              </w:rPr>
                              <w:t xml:space="preserve">  </w:t>
                            </w:r>
                          </w:p>
                          <w:p w14:paraId="0C3F9092" w14:textId="77777777" w:rsidR="007E5BBF" w:rsidRDefault="007E5BBF" w:rsidP="002210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433.55pt;margin-top:.95pt;width:220.65pt;height:156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" filled="f" stroked="f">
                <v:textbox>
                  <w:txbxContent>
                    <w:p w14:paraId="0C3F9091" w14:textId="77777777" w:rsidR="007E5BBF" w:rsidRPr="001B7270" w:rsidRDefault="007E5BBF" w:rsidP="002210C7">
                      <w:pPr>
                        <w:pStyle w:val="Caption"/>
                        <w:jc w:val="both"/>
                        <w:rPr>
                          <w:sz w:val="20"/>
                        </w:rPr>
                      </w:pPr>
                      <w:r>
                        <w:rPr>
                          <w:sz w:val="20"/>
                        </w:rPr>
                        <w:t>Figure 4-4f</w:t>
                      </w:r>
                      <w:r w:rsidRPr="001B7270">
                        <w:rPr>
                          <w:sz w:val="20"/>
                        </w:rPr>
                        <w:t xml:space="preserve"> (i) Sites are colour coded to identify location on maps, (ii) date of sampling relative to river flow over wet season, (iii)</w:t>
                      </w:r>
                      <w:r>
                        <w:rPr>
                          <w:sz w:val="20"/>
                        </w:rPr>
                        <w:t xml:space="preserve"> </w:t>
                      </w:r>
                      <w:r w:rsidRPr="001B7270">
                        <w:rPr>
                          <w:sz w:val="20"/>
                        </w:rPr>
                        <w:t xml:space="preserve">mixing plots for </w:t>
                      </w:r>
                      <w:r>
                        <w:rPr>
                          <w:sz w:val="20"/>
                        </w:rPr>
                        <w:t xml:space="preserve">CDOM </w:t>
                      </w:r>
                      <w:r w:rsidRPr="001B7270">
                        <w:rPr>
                          <w:sz w:val="20"/>
                        </w:rPr>
                        <w:t xml:space="preserve">in </w:t>
                      </w:r>
                      <w:r>
                        <w:rPr>
                          <w:sz w:val="20"/>
                        </w:rPr>
                        <w:t>the Burdekin, Herbert and Tully regions for 2012-13.</w:t>
                      </w:r>
                      <w:r w:rsidRPr="001B7270">
                        <w:rPr>
                          <w:sz w:val="20"/>
                        </w:rPr>
                        <w:t xml:space="preserve">  </w:t>
                      </w:r>
                    </w:p>
                    <w:p w14:paraId="0C3F9092" w14:textId="77777777" w:rsidR="007E5BBF" w:rsidRDefault="007E5BBF" w:rsidP="002210C7"/>
                  </w:txbxContent>
                </v:textbox>
              </v:shape>
            </w:pict>
          </mc:Fallback>
        </mc:AlternateContent>
      </w:r>
      <w:r w:rsidR="002210C7" w:rsidRPr="00782908">
        <w:rPr>
          <w:noProof/>
        </w:rPr>
        <w:drawing>
          <wp:inline distT="0" distB="0" distL="0" distR="0" wp14:anchorId="0C3F8FE5" wp14:editId="0C3F8FE6">
            <wp:extent cx="8280000" cy="5103346"/>
            <wp:effectExtent l="19050" t="19050" r="26035" b="21590"/>
            <wp:docPr id="35" name="Picture 35" descr="(i) Sites are colour coded to identify location on maps, (ii) date of sampling relative to river flow over wet season, (iii) mixing plots for CDOM in the Burdekin, Herbert and Tully regions for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8280000" cy="5103346"/>
                    </a:xfrm>
                    <a:prstGeom prst="rect">
                      <a:avLst/>
                    </a:prstGeom>
                    <a:ln>
                      <a:solidFill>
                        <a:srgbClr val="000000"/>
                      </a:solidFill>
                    </a:ln>
                  </pic:spPr>
                </pic:pic>
              </a:graphicData>
            </a:graphic>
          </wp:inline>
        </w:drawing>
      </w:r>
    </w:p>
    <w:p w14:paraId="0C3F8290" w14:textId="77777777" w:rsidR="00782908" w:rsidRPr="00782908" w:rsidRDefault="00782908" w:rsidP="0015270F">
      <w:pPr>
        <w:sectPr w:rsidR="00782908" w:rsidRPr="00782908" w:rsidSect="00935052">
          <w:pgSz w:w="16840" w:h="11907" w:orient="landscape" w:code="9"/>
          <w:pgMar w:top="1440" w:right="1440" w:bottom="1440" w:left="1440" w:header="709" w:footer="720" w:gutter="0"/>
          <w:cols w:space="708"/>
          <w:docGrid w:linePitch="360"/>
        </w:sectPr>
      </w:pPr>
    </w:p>
    <w:p w14:paraId="0C3F8291" w14:textId="77777777" w:rsidR="002210C7" w:rsidRDefault="002210C7" w:rsidP="0015270F"/>
    <w:p w14:paraId="0C3F8292" w14:textId="77777777" w:rsidR="0015270F" w:rsidRDefault="0015270F" w:rsidP="0015270F">
      <w:r>
        <w:t>The WQ parameters</w:t>
      </w:r>
      <w:r w:rsidR="003C19C2">
        <w:t>,</w:t>
      </w:r>
      <w:r>
        <w:t xml:space="preserve"> sampled </w:t>
      </w:r>
      <w:r w:rsidR="00BD425B">
        <w:t>in</w:t>
      </w:r>
      <w:r>
        <w:t xml:space="preserve"> </w:t>
      </w:r>
      <w:r w:rsidR="003C535B">
        <w:t>the Tully (Figure 4-5</w:t>
      </w:r>
      <w:r w:rsidR="00A31E76">
        <w:t>)</w:t>
      </w:r>
      <w:r w:rsidR="003C19C2">
        <w:t>,</w:t>
      </w:r>
      <w:r w:rsidR="00A31E76">
        <w:t xml:space="preserve"> </w:t>
      </w:r>
      <w:r w:rsidR="003C19C2">
        <w:t>are</w:t>
      </w:r>
      <w:r>
        <w:t xml:space="preserve"> plotted against </w:t>
      </w:r>
      <w:r w:rsidR="003C535B">
        <w:t>two</w:t>
      </w:r>
      <w:r>
        <w:t xml:space="preserve"> parameters: (a) the distance between the sampling site and the nearest (or influential) river mouth, (b) 5-days average river discharge calculated from the sampling date. These plots </w:t>
      </w:r>
      <w:r w:rsidR="00A26858">
        <w:t xml:space="preserve">highlighted </w:t>
      </w:r>
      <w:r>
        <w:t>the variable river inputs from several Wet Tropics Rivers</w:t>
      </w:r>
      <w:r w:rsidR="00F81A7B">
        <w:t xml:space="preserve"> and events</w:t>
      </w:r>
      <w:r w:rsidR="003C19C2">
        <w:t>,</w:t>
      </w:r>
      <w:r w:rsidR="00A26858">
        <w:t xml:space="preserve"> which </w:t>
      </w:r>
      <w:r w:rsidR="003C19C2">
        <w:t xml:space="preserve">can </w:t>
      </w:r>
      <w:r w:rsidR="00A26858">
        <w:t>influence the shape of the model</w:t>
      </w:r>
      <w:r>
        <w:t xml:space="preserve">. For example, </w:t>
      </w:r>
      <w:r w:rsidR="00362A9F">
        <w:t>Kd(PAR)</w:t>
      </w:r>
      <w:r w:rsidR="00D22969">
        <w:t xml:space="preserve"> and TSS</w:t>
      </w:r>
      <w:r w:rsidR="004316A7">
        <w:t xml:space="preserve"> in the Tully</w:t>
      </w:r>
      <w:r w:rsidR="00D22969">
        <w:t xml:space="preserve"> exhibited a decreasing concentrations in response to </w:t>
      </w:r>
      <w:r>
        <w:t>the distance plots,</w:t>
      </w:r>
      <w:r w:rsidR="00D22969">
        <w:t xml:space="preserve"> with CDOM </w:t>
      </w:r>
      <w:r w:rsidR="003C19C2">
        <w:t xml:space="preserve">also </w:t>
      </w:r>
      <w:r w:rsidR="00D22969">
        <w:t>having</w:t>
      </w:r>
      <w:r w:rsidR="004316A7">
        <w:t xml:space="preserve"> the</w:t>
      </w:r>
      <w:r w:rsidR="00D22969">
        <w:t xml:space="preserve"> converse relationship with discharge</w:t>
      </w:r>
      <w:r w:rsidR="004316A7">
        <w:t>, increasing to a maximum value at maximum flow</w:t>
      </w:r>
      <w:r w:rsidR="003C19C2">
        <w:t>, but with high scatter in response to distance</w:t>
      </w:r>
      <w:r w:rsidR="004316A7">
        <w:t xml:space="preserve">. CDOM is a </w:t>
      </w:r>
      <w:r w:rsidR="002827F5">
        <w:t>well-recognised</w:t>
      </w:r>
      <w:r w:rsidR="004316A7">
        <w:t xml:space="preserve"> proxy for freshwater influence and generally exhibits strong linear patterns with </w:t>
      </w:r>
      <w:r w:rsidR="002827F5">
        <w:t>discharge</w:t>
      </w:r>
      <w:r w:rsidR="004316A7">
        <w:t>. TSS in the Tully sites is elevated at maximum flow, but high TSS values are also associated with low flow conditions, close to the shore</w:t>
      </w:r>
      <w:r w:rsidR="003C19C2">
        <w:t>,</w:t>
      </w:r>
      <w:r w:rsidR="004316A7">
        <w:t xml:space="preserve"> suggesting strong tidal influence, and/or first flush conditions. </w:t>
      </w:r>
      <w:r w:rsidR="00362A9F">
        <w:t>Chl-a</w:t>
      </w:r>
      <w:r w:rsidR="004316A7">
        <w:t xml:space="preserve"> in the Tully transect</w:t>
      </w:r>
      <w:r>
        <w:t xml:space="preserve"> remained constant across distance (</w:t>
      </w:r>
      <w:r w:rsidR="002210C7">
        <w:fldChar w:fldCharType="begin"/>
      </w:r>
      <w:r w:rsidR="002210C7">
        <w:instrText xml:space="preserve"> REF _Ref432675019 \h </w:instrText>
      </w:r>
      <w:r w:rsidR="002210C7">
        <w:fldChar w:fldCharType="separate"/>
      </w:r>
      <w:r w:rsidR="00B62B50">
        <w:t xml:space="preserve">Figure </w:t>
      </w:r>
      <w:r w:rsidR="00B62B50">
        <w:rPr>
          <w:noProof/>
        </w:rPr>
        <w:t>4</w:t>
      </w:r>
      <w:r w:rsidR="00B62B50">
        <w:noBreakHyphen/>
      </w:r>
      <w:r w:rsidR="00B62B50">
        <w:rPr>
          <w:noProof/>
        </w:rPr>
        <w:t>5</w:t>
      </w:r>
      <w:r w:rsidR="002210C7">
        <w:fldChar w:fldCharType="end"/>
      </w:r>
      <w:r>
        <w:t>)</w:t>
      </w:r>
      <w:r w:rsidR="004316A7">
        <w:t>, with some elevated peaks at 15 to 30km offshore</w:t>
      </w:r>
      <w:r>
        <w:t xml:space="preserve">. </w:t>
      </w:r>
      <w:r w:rsidR="004316A7">
        <w:t xml:space="preserve"> </w:t>
      </w:r>
    </w:p>
    <w:p w14:paraId="0C3F8293" w14:textId="77777777" w:rsidR="0015270F" w:rsidRDefault="00A14B19" w:rsidP="0015270F">
      <w:r>
        <w:t>DIN</w:t>
      </w:r>
      <w:r w:rsidR="0015270F">
        <w:t xml:space="preserve"> present</w:t>
      </w:r>
      <w:r w:rsidR="00F81A7B">
        <w:t>s</w:t>
      </w:r>
      <w:r w:rsidR="0015270F">
        <w:t xml:space="preserve"> a clear </w:t>
      </w:r>
      <w:r>
        <w:t>dilution</w:t>
      </w:r>
      <w:r w:rsidR="0015270F">
        <w:t xml:space="preserve"> pattern</w:t>
      </w:r>
      <w:r>
        <w:t xml:space="preserve"> in the Tully</w:t>
      </w:r>
      <w:r w:rsidR="0015270F">
        <w:t xml:space="preserve">, </w:t>
      </w:r>
      <w:r w:rsidR="005118C1">
        <w:t xml:space="preserve">with elevated concentrations </w:t>
      </w:r>
      <w:r w:rsidR="00F81A7B">
        <w:t>close to the river mouth, that is reduced moving away from the mouth.</w:t>
      </w:r>
      <w:r>
        <w:t xml:space="preserve">. </w:t>
      </w:r>
      <w:r w:rsidR="00F81A7B">
        <w:t xml:space="preserve">A clear trend is also observed </w:t>
      </w:r>
      <w:r w:rsidR="00935052">
        <w:t>against</w:t>
      </w:r>
      <w:r w:rsidR="00F81A7B">
        <w:t xml:space="preserve"> river discharge, as the greater the discharge the higher the DIN concentration. Such pattern was not observed for DIP, although in general DIP decreases away from the coast. </w:t>
      </w:r>
      <w:r w:rsidR="00A31E76" w:rsidRPr="00A75B20">
        <w:t>The minimum</w:t>
      </w:r>
      <w:r w:rsidR="00A31E76">
        <w:t xml:space="preserve"> values for DIN ranged from 0.5 – 1.1</w:t>
      </w:r>
      <w:r w:rsidR="00A31E76" w:rsidRPr="00A75B20">
        <w:t xml:space="preserve"> </w:t>
      </w:r>
      <w:r w:rsidR="00A31E76">
        <w:t>µ</w:t>
      </w:r>
      <w:r w:rsidR="00A31E76" w:rsidRPr="00A75B20">
        <w:t xml:space="preserve">M and minimum DIP values ranged from </w:t>
      </w:r>
      <w:r w:rsidR="00A31E76">
        <w:t>0.03 – 0.10</w:t>
      </w:r>
      <w:r w:rsidR="00A31E76" w:rsidRPr="00A75B20">
        <w:t xml:space="preserve"> µM. The maximum values for DIN ranged from </w:t>
      </w:r>
      <w:r w:rsidR="00A31E76">
        <w:t>1.6</w:t>
      </w:r>
      <w:r w:rsidR="00A31E76" w:rsidRPr="00A75B20">
        <w:t xml:space="preserve"> – </w:t>
      </w:r>
      <w:r w:rsidR="00A31E76">
        <w:t>12.6</w:t>
      </w:r>
      <w:r w:rsidR="00A31E76" w:rsidRPr="00A75B20">
        <w:t xml:space="preserve"> </w:t>
      </w:r>
      <w:r w:rsidR="00A31E76">
        <w:t>µ</w:t>
      </w:r>
      <w:r w:rsidR="00A31E76" w:rsidRPr="00A75B20">
        <w:t xml:space="preserve">M and maximum DIP values ranged from </w:t>
      </w:r>
      <w:r w:rsidR="00A31E76">
        <w:t>0.13 – 0.29</w:t>
      </w:r>
      <w:r w:rsidR="00A31E76" w:rsidRPr="00A75B20">
        <w:t xml:space="preserve"> µM.  The high</w:t>
      </w:r>
      <w:r w:rsidR="00A31E76">
        <w:t>est</w:t>
      </w:r>
      <w:r w:rsidR="00A31E76" w:rsidRPr="00A75B20">
        <w:t xml:space="preserve"> value of DIN (</w:t>
      </w:r>
      <w:r w:rsidR="00A31E76">
        <w:t>12.6</w:t>
      </w:r>
      <w:r w:rsidR="00A31E76" w:rsidRPr="00A75B20">
        <w:t xml:space="preserve"> </w:t>
      </w:r>
      <w:r w:rsidR="00A31E76">
        <w:t>µ</w:t>
      </w:r>
      <w:r w:rsidR="00A31E76" w:rsidRPr="00A75B20">
        <w:t xml:space="preserve">M) was recorded at </w:t>
      </w:r>
      <w:r w:rsidR="00A31E76">
        <w:t>Tully River mouth</w:t>
      </w:r>
      <w:r w:rsidR="00A31E76" w:rsidRPr="00A75B20">
        <w:t xml:space="preserve"> on </w:t>
      </w:r>
      <w:r w:rsidR="00A31E76">
        <w:t>26-01-2013</w:t>
      </w:r>
      <w:r w:rsidR="00A31E76" w:rsidRPr="00A75B20">
        <w:t xml:space="preserve"> at a salinity of </w:t>
      </w:r>
      <w:r w:rsidR="00A31E76">
        <w:t>9.5 and under a 5-days average discharge of 64,443 ML/d (higher than the 95</w:t>
      </w:r>
      <w:r w:rsidR="00A31E76" w:rsidRPr="0015270F">
        <w:rPr>
          <w:vertAlign w:val="superscript"/>
        </w:rPr>
        <w:t>th</w:t>
      </w:r>
      <w:r w:rsidR="00A31E76">
        <w:t xml:space="preserve"> percentile, 28,441 ML/d</w:t>
      </w:r>
      <w:r w:rsidR="003C19C2">
        <w:t xml:space="preserve">), suggesting either a </w:t>
      </w:r>
      <w:r w:rsidR="00A31E76">
        <w:t xml:space="preserve">strong continental contribution of DIN during flood </w:t>
      </w:r>
      <w:r w:rsidR="002827F5">
        <w:t>conditions</w:t>
      </w:r>
      <w:r w:rsidR="003C19C2">
        <w:t xml:space="preserve"> or in response to first flush</w:t>
      </w:r>
      <w:r w:rsidR="002827F5" w:rsidRPr="00A75B20">
        <w:t>.</w:t>
      </w:r>
      <w:r w:rsidR="002827F5">
        <w:t xml:space="preserve"> The</w:t>
      </w:r>
      <w:r w:rsidR="00D22969">
        <w:t xml:space="preserve"> highest concentrations of DIN was observed </w:t>
      </w:r>
      <w:r w:rsidR="00A31E76">
        <w:t>in moderate flow</w:t>
      </w:r>
      <w:r w:rsidR="00D22969">
        <w:t xml:space="preserve"> conditions, suggesting this was an example of first flush, where a small amount of flow can transport very high concentrations of pollutants into the nearshore marine environment. The site representing the “T</w:t>
      </w:r>
      <w:r w:rsidR="00BC0B37">
        <w:t xml:space="preserve">ully River mouth” is situated after extensive wet land and coastal areas, in which up to 40% of the Tully River can be discharged across, resulting in estuarine processes before the first </w:t>
      </w:r>
      <w:r w:rsidR="003C19C2">
        <w:t>plume-sampling</w:t>
      </w:r>
      <w:r w:rsidR="00BC0B37">
        <w:t xml:space="preserve"> site </w:t>
      </w:r>
      <w:r w:rsidR="0015270F">
        <w:t>(</w:t>
      </w:r>
      <w:r w:rsidR="002210C7">
        <w:fldChar w:fldCharType="begin"/>
      </w:r>
      <w:r w:rsidR="002210C7">
        <w:instrText xml:space="preserve"> REF _Ref432675019 \h </w:instrText>
      </w:r>
      <w:r w:rsidR="002210C7">
        <w:fldChar w:fldCharType="separate"/>
      </w:r>
      <w:r w:rsidR="00B62B50">
        <w:t xml:space="preserve">Figure </w:t>
      </w:r>
      <w:r w:rsidR="00B62B50">
        <w:rPr>
          <w:noProof/>
        </w:rPr>
        <w:t>4</w:t>
      </w:r>
      <w:r w:rsidR="00B62B50">
        <w:noBreakHyphen/>
      </w:r>
      <w:r w:rsidR="00B62B50">
        <w:rPr>
          <w:noProof/>
        </w:rPr>
        <w:t>5</w:t>
      </w:r>
      <w:r w:rsidR="002210C7">
        <w:fldChar w:fldCharType="end"/>
      </w:r>
      <w:r w:rsidR="00BC0B37">
        <w:t xml:space="preserve">). DIN </w:t>
      </w:r>
      <w:r>
        <w:t>also exhibits only a small increase</w:t>
      </w:r>
      <w:r w:rsidR="0015270F">
        <w:t xml:space="preserve"> against river discharge</w:t>
      </w:r>
      <w:r>
        <w:t xml:space="preserve">, however </w:t>
      </w:r>
      <w:r w:rsidR="00D22969">
        <w:t xml:space="preserve">high values </w:t>
      </w:r>
      <w:r>
        <w:t xml:space="preserve"> are associated with the high discharge</w:t>
      </w:r>
      <w:r w:rsidR="00D22969">
        <w:t xml:space="preserve"> condit</w:t>
      </w:r>
      <w:r w:rsidR="004316A7">
        <w:t>ions</w:t>
      </w:r>
      <w:r w:rsidR="0015270F">
        <w:t xml:space="preserve"> (</w:t>
      </w:r>
      <w:r w:rsidR="002210C7">
        <w:fldChar w:fldCharType="begin"/>
      </w:r>
      <w:r w:rsidR="002210C7">
        <w:instrText xml:space="preserve"> REF _Ref432675019 \h </w:instrText>
      </w:r>
      <w:r w:rsidR="002210C7">
        <w:fldChar w:fldCharType="separate"/>
      </w:r>
      <w:r w:rsidR="00B62B50">
        <w:t xml:space="preserve">Figure </w:t>
      </w:r>
      <w:r w:rsidR="00B62B50">
        <w:rPr>
          <w:noProof/>
        </w:rPr>
        <w:t>4</w:t>
      </w:r>
      <w:r w:rsidR="00B62B50">
        <w:noBreakHyphen/>
      </w:r>
      <w:r w:rsidR="00B62B50">
        <w:rPr>
          <w:noProof/>
        </w:rPr>
        <w:t>5</w:t>
      </w:r>
      <w:r w:rsidR="002210C7">
        <w:fldChar w:fldCharType="end"/>
      </w:r>
      <w:r w:rsidR="0015270F">
        <w:t xml:space="preserve">), but </w:t>
      </w:r>
      <w:r w:rsidR="00BC0B37">
        <w:t xml:space="preserve">only </w:t>
      </w:r>
      <w:r w:rsidR="00D22969">
        <w:t>one</w:t>
      </w:r>
      <w:r w:rsidR="00BC0B37">
        <w:t xml:space="preserve"> maximum</w:t>
      </w:r>
      <w:r w:rsidR="0015270F">
        <w:t xml:space="preserve"> discharge </w:t>
      </w:r>
      <w:r w:rsidR="00BC0B37">
        <w:t xml:space="preserve">event </w:t>
      </w:r>
      <w:r w:rsidR="0015270F">
        <w:t>were capture by the 2012-2013 wet season sampling</w:t>
      </w:r>
      <w:r w:rsidR="00BC0B37">
        <w:t>, with most data representing flux or fall of the river flow</w:t>
      </w:r>
      <w:r w:rsidR="0015270F">
        <w:t xml:space="preserve">. </w:t>
      </w:r>
    </w:p>
    <w:p w14:paraId="0C3F8294" w14:textId="77777777" w:rsidR="00A31E76" w:rsidRDefault="00A31E76" w:rsidP="00A31E76">
      <w:r>
        <w:t xml:space="preserve">The WQ parameters sampled in the Herbert (Figure 4-6) were plotted against two parameters: (a) the distance between the sampling site and the nearest (or influential) river mouth, (b) 5-days average river discharge calculated from the sampling date. These plots highlighted the variable river inputs from </w:t>
      </w:r>
      <w:r w:rsidR="003C19C2">
        <w:t>the Herbert River</w:t>
      </w:r>
      <w:r w:rsidR="00F81A7B">
        <w:t xml:space="preserve"> on several events</w:t>
      </w:r>
      <w:r w:rsidR="003C19C2">
        <w:t>, smaller coastal rivers and Hinchinbrook Channel, all which can</w:t>
      </w:r>
      <w:r>
        <w:t xml:space="preserve"> influence the shape of the model. </w:t>
      </w:r>
      <w:r w:rsidR="00362A9F">
        <w:t>Kd(PAR)</w:t>
      </w:r>
      <w:r>
        <w:t xml:space="preserve"> in the Herbert River exhibited a ‘U’ shape curve for the distance plots, with the initial reduction in </w:t>
      </w:r>
      <w:r w:rsidR="00362A9F">
        <w:t>Kd(PAR)</w:t>
      </w:r>
      <w:r>
        <w:t xml:space="preserve"> following similar reductions in </w:t>
      </w:r>
      <w:r w:rsidR="00F81A7B">
        <w:t>chlorophyll</w:t>
      </w:r>
      <w:r>
        <w:t>-a and CDOM across distance. Highest TSS in the Herbert sites is against the maximum flow conditions</w:t>
      </w:r>
      <w:r w:rsidR="0036562E">
        <w:t>.</w:t>
      </w:r>
      <w:r>
        <w:t xml:space="preserve"> </w:t>
      </w:r>
      <w:r w:rsidR="00362A9F">
        <w:t xml:space="preserve">Chl-a </w:t>
      </w:r>
      <w:r>
        <w:t xml:space="preserve"> in the Herbert transect reduces from </w:t>
      </w:r>
      <w:r w:rsidR="002827F5">
        <w:t>initial</w:t>
      </w:r>
      <w:r>
        <w:t xml:space="preserve"> high values between 0.5 </w:t>
      </w:r>
      <w:r w:rsidR="00F81A7B">
        <w:t xml:space="preserve">µg/L </w:t>
      </w:r>
      <w:r>
        <w:t>and 3.0</w:t>
      </w:r>
      <w:r w:rsidR="00F81A7B">
        <w:t xml:space="preserve"> µ</w:t>
      </w:r>
      <w:r>
        <w:t>g/L in the first  10km, with some reduction across distance, but increasing or stabilising at 35km distance (</w:t>
      </w:r>
      <w:r w:rsidR="0036562E">
        <w:t>6</w:t>
      </w:r>
      <w:r>
        <w:t>), with some elevated peaks at 15</w:t>
      </w:r>
      <w:r w:rsidR="00F81A7B">
        <w:t xml:space="preserve"> km</w:t>
      </w:r>
      <w:r>
        <w:t xml:space="preserve"> to 30</w:t>
      </w:r>
      <w:r w:rsidR="00F81A7B">
        <w:t xml:space="preserve"> </w:t>
      </w:r>
      <w:r>
        <w:t>km offshore</w:t>
      </w:r>
      <w:r w:rsidR="00362A9F">
        <w:t xml:space="preserve">. </w:t>
      </w:r>
      <w:r>
        <w:t xml:space="preserve">All of the Herbert plots for OAC’s and </w:t>
      </w:r>
      <w:r w:rsidR="00362A9F">
        <w:t>Kd(PAR)</w:t>
      </w:r>
      <w:r>
        <w:t xml:space="preserve"> represent two sources of river inputs, (north and south transects with different river inputs)</w:t>
      </w:r>
      <w:r w:rsidR="005118C1">
        <w:t xml:space="preserve"> and are also influenced by the movement of water around and through the Hinchinbrook channel</w:t>
      </w:r>
      <w:r>
        <w:t xml:space="preserve"> and are variable due to the mixing of </w:t>
      </w:r>
      <w:r w:rsidR="005118C1">
        <w:t>the</w:t>
      </w:r>
      <w:r>
        <w:t xml:space="preserve"> fresh-end sources</w:t>
      </w:r>
      <w:r w:rsidR="005118C1">
        <w:t xml:space="preserve"> and the tidal dynamics around Hinchinbrook Island</w:t>
      </w:r>
      <w:r>
        <w:t>.</w:t>
      </w:r>
    </w:p>
    <w:p w14:paraId="0C3F8295" w14:textId="77777777" w:rsidR="00A31E76" w:rsidRDefault="00A31E76" w:rsidP="00A31E76">
      <w:r>
        <w:t>DIN</w:t>
      </w:r>
      <w:r w:rsidR="005118C1">
        <w:t xml:space="preserve"> and DIP do</w:t>
      </w:r>
      <w:r>
        <w:t xml:space="preserve"> not presented a clear dilution pattern in the Herbert, with </w:t>
      </w:r>
      <w:r w:rsidR="005118C1">
        <w:t xml:space="preserve">elevated concentrations </w:t>
      </w:r>
      <w:r>
        <w:t xml:space="preserve">across </w:t>
      </w:r>
      <w:r w:rsidR="005118C1">
        <w:t xml:space="preserve">the whole of </w:t>
      </w:r>
      <w:r>
        <w:t>distance</w:t>
      </w:r>
      <w:r w:rsidR="005118C1">
        <w:t xml:space="preserve"> plots</w:t>
      </w:r>
      <w:r>
        <w:t xml:space="preserve">, with </w:t>
      </w:r>
      <w:r w:rsidR="005118C1">
        <w:t>highest</w:t>
      </w:r>
      <w:r>
        <w:t xml:space="preserve"> concentrations measured </w:t>
      </w:r>
      <w:r w:rsidR="005118C1">
        <w:t>between 50</w:t>
      </w:r>
      <w:r w:rsidR="00F81A7B">
        <w:t xml:space="preserve"> km</w:t>
      </w:r>
      <w:r w:rsidR="005118C1">
        <w:t xml:space="preserve"> to 100</w:t>
      </w:r>
      <w:r w:rsidR="00F81A7B">
        <w:t xml:space="preserve"> </w:t>
      </w:r>
      <w:r w:rsidR="005118C1">
        <w:t>km</w:t>
      </w:r>
      <w:r w:rsidR="0036562E">
        <w:t xml:space="preserve"> </w:t>
      </w:r>
      <w:r w:rsidR="008E03E9">
        <w:t>distances</w:t>
      </w:r>
      <w:r w:rsidR="0036562E">
        <w:t xml:space="preserve"> from the Herbert mouth</w:t>
      </w:r>
      <w:r>
        <w:t>.</w:t>
      </w:r>
      <w:r w:rsidR="002521E6">
        <w:t xml:space="preserve"> These distance plots are taken from the point of the Herbert River, and the high DIN concentration was taken just north of the Hinchinbrook Channel, where the influence</w:t>
      </w:r>
      <w:r w:rsidR="0036562E">
        <w:t xml:space="preserve"> of the Hinchinbrook channel is significant.</w:t>
      </w:r>
      <w:r w:rsidR="002521E6">
        <w:t xml:space="preserve"> </w:t>
      </w:r>
      <w:r>
        <w:t xml:space="preserve"> </w:t>
      </w:r>
    </w:p>
    <w:p w14:paraId="0C3F8296" w14:textId="77777777" w:rsidR="00A31E76" w:rsidRDefault="00377B44" w:rsidP="0015270F">
      <w:r>
        <w:rPr>
          <w:noProof/>
        </w:rPr>
        <mc:AlternateContent>
          <mc:Choice Requires="wps">
            <w:drawing>
              <wp:anchor distT="0" distB="0" distL="114300" distR="114300" simplePos="0" relativeHeight="251777024" behindDoc="0" locked="0" layoutInCell="1" allowOverlap="1" wp14:anchorId="0C3F8FE7" wp14:editId="0C3F8FE8">
                <wp:simplePos x="0" y="0"/>
                <wp:positionH relativeFrom="column">
                  <wp:posOffset>3552190</wp:posOffset>
                </wp:positionH>
                <wp:positionV relativeFrom="paragraph">
                  <wp:posOffset>314960</wp:posOffset>
                </wp:positionV>
                <wp:extent cx="533400" cy="31242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3" w14:textId="77777777" w:rsidR="007E5BBF" w:rsidRDefault="007E5BBF" w:rsidP="00AF2690">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79.7pt;margin-top:24.8pt;width:42pt;height:24.6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" filled="f" stroked="f">
                <v:textbox>
                  <w:txbxContent>
                    <w:p w14:paraId="0C3F9093" w14:textId="77777777" w:rsidR="007E5BBF" w:rsidRDefault="007E5BBF" w:rsidP="00AF2690">
                      <w:r>
                        <w:t>(a)</w:t>
                      </w:r>
                    </w:p>
                  </w:txbxContent>
                </v:textbox>
              </v:shape>
            </w:pict>
          </mc:Fallback>
        </mc:AlternateContent>
      </w:r>
    </w:p>
    <w:p w14:paraId="0C3F8297" w14:textId="77777777" w:rsidR="00AF2690" w:rsidRDefault="00377B44" w:rsidP="00AF2690">
      <w:r>
        <w:rPr>
          <w:noProof/>
        </w:rPr>
        <mc:AlternateContent>
          <mc:Choice Requires="wps">
            <w:drawing>
              <wp:anchor distT="0" distB="0" distL="114300" distR="114300" simplePos="0" relativeHeight="251778048" behindDoc="0" locked="0" layoutInCell="1" allowOverlap="1" wp14:anchorId="0C3F8FE9" wp14:editId="0C3F8FEA">
                <wp:simplePos x="0" y="0"/>
                <wp:positionH relativeFrom="column">
                  <wp:posOffset>4949645</wp:posOffset>
                </wp:positionH>
                <wp:positionV relativeFrom="paragraph">
                  <wp:posOffset>1593</wp:posOffset>
                </wp:positionV>
                <wp:extent cx="533400" cy="31242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4" w14:textId="77777777" w:rsidR="007E5BBF" w:rsidRDefault="007E5BBF" w:rsidP="00AF2690">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389.75pt;margin-top:.15pt;width:42pt;height:24.6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" filled="f" stroked="f">
                <v:textbox>
                  <w:txbxContent>
                    <w:p w14:paraId="0C3F9094" w14:textId="77777777" w:rsidR="007E5BBF" w:rsidRDefault="007E5BBF" w:rsidP="00AF2690">
                      <w:r>
                        <w:t>(b)</w:t>
                      </w:r>
                    </w:p>
                  </w:txbxContent>
                </v:textbox>
              </v:shape>
            </w:pict>
          </mc:Fallback>
        </mc:AlternateContent>
      </w:r>
      <w:r>
        <w:rPr>
          <w:noProof/>
        </w:rPr>
        <mc:AlternateContent>
          <mc:Choice Requires="wps">
            <w:drawing>
              <wp:anchor distT="0" distB="0" distL="114300" distR="114300" simplePos="0" relativeHeight="251776000" behindDoc="0" locked="0" layoutInCell="1" allowOverlap="1" wp14:anchorId="0C3F8FEB" wp14:editId="0C3F8FEC">
                <wp:simplePos x="0" y="0"/>
                <wp:positionH relativeFrom="column">
                  <wp:posOffset>2188210</wp:posOffset>
                </wp:positionH>
                <wp:positionV relativeFrom="paragraph">
                  <wp:posOffset>17780</wp:posOffset>
                </wp:positionV>
                <wp:extent cx="533400" cy="312420"/>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5" w14:textId="77777777" w:rsidR="007E5BBF" w:rsidRDefault="007E5BBF" w:rsidP="00AF2690">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172.3pt;margin-top:1.4pt;width:42pt;height:24.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" filled="f" stroked="f">
                <v:textbox>
                  <w:txbxContent>
                    <w:p w14:paraId="0C3F9095" w14:textId="77777777" w:rsidR="007E5BBF" w:rsidRDefault="007E5BBF" w:rsidP="00AF2690">
                      <w:r>
                        <w:t>(b)</w:t>
                      </w:r>
                    </w:p>
                  </w:txbxContent>
                </v:textbox>
              </v:shape>
            </w:pict>
          </mc:Fallback>
        </mc:AlternateContent>
      </w:r>
      <w:r>
        <w:rPr>
          <w:noProof/>
        </w:rPr>
        <mc:AlternateContent>
          <mc:Choice Requires="wps">
            <w:drawing>
              <wp:anchor distT="0" distB="0" distL="114300" distR="114300" simplePos="0" relativeHeight="251774976" behindDoc="0" locked="0" layoutInCell="1" allowOverlap="1" wp14:anchorId="0C3F8FED" wp14:editId="0C3F8FEE">
                <wp:simplePos x="0" y="0"/>
                <wp:positionH relativeFrom="column">
                  <wp:posOffset>829310</wp:posOffset>
                </wp:positionH>
                <wp:positionV relativeFrom="paragraph">
                  <wp:posOffset>15240</wp:posOffset>
                </wp:positionV>
                <wp:extent cx="533400" cy="31242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6" w14:textId="77777777" w:rsidR="007E5BBF" w:rsidRDefault="007E5BBF" w:rsidP="00AF2690">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65.3pt;margin-top:1.2pt;width:42pt;height:24.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" filled="f" stroked="f">
                <v:textbox>
                  <w:txbxContent>
                    <w:p w14:paraId="0C3F9096" w14:textId="77777777" w:rsidR="007E5BBF" w:rsidRDefault="007E5BBF" w:rsidP="00AF2690">
                      <w:r>
                        <w:t>(a)</w:t>
                      </w:r>
                    </w:p>
                  </w:txbxContent>
                </v:textbox>
              </v:shape>
            </w:pict>
          </mc:Fallback>
        </mc:AlternateContent>
      </w:r>
      <w:r w:rsidR="003C19C2" w:rsidRPr="003C19C2">
        <w:rPr>
          <w:noProof/>
        </w:rPr>
        <w:drawing>
          <wp:inline distT="0" distB="0" distL="0" distR="0" wp14:anchorId="0C3F8FEF" wp14:editId="0C3F8FF0">
            <wp:extent cx="5732145" cy="5732145"/>
            <wp:effectExtent l="0" t="0" r="1905" b="1905"/>
            <wp:docPr id="17" name="Picture 17" descr="Variation of selected WQ parameters sampled in the Tully region for Kd(PAR), CDOM, TSS, and chl-a, dissolved and particulate nutrients. All water quality parameters are plotted against (a) distance between the sampling site and nearest/influential river mouth (distance), (b) 5-day average river discharge calculated from the sampling date (discharge). Red solid line stands for a non-parametric fitting curve (loess model, see Crawley, 2007) and red dashed lines stand for 2 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732145" cy="5732145"/>
                    </a:xfrm>
                    <a:prstGeom prst="rect">
                      <a:avLst/>
                    </a:prstGeom>
                  </pic:spPr>
                </pic:pic>
              </a:graphicData>
            </a:graphic>
          </wp:inline>
        </w:drawing>
      </w:r>
    </w:p>
    <w:p w14:paraId="0C3F8298" w14:textId="77777777" w:rsidR="00AF2690" w:rsidRDefault="00AF2690" w:rsidP="00AF2690">
      <w:pPr>
        <w:pStyle w:val="Caption"/>
      </w:pPr>
      <w:bookmarkStart w:id="123" w:name="_Ref432675019"/>
      <w:bookmarkStart w:id="124" w:name="_Toc434208033"/>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5</w:t>
      </w:r>
      <w:r w:rsidR="00D243CD">
        <w:fldChar w:fldCharType="end"/>
      </w:r>
      <w:bookmarkEnd w:id="123"/>
      <w:r>
        <w:t xml:space="preserve">: Variation of selected WQ parameters </w:t>
      </w:r>
      <w:r w:rsidR="00BC0B37">
        <w:t xml:space="preserve">sampled </w:t>
      </w:r>
      <w:r>
        <w:t xml:space="preserve">in the </w:t>
      </w:r>
      <w:r w:rsidR="00BC0B37">
        <w:t>Tully</w:t>
      </w:r>
      <w:r>
        <w:t xml:space="preserve"> region</w:t>
      </w:r>
      <w:r w:rsidR="00BC0B37">
        <w:t xml:space="preserve"> for </w:t>
      </w:r>
      <w:r w:rsidR="00362A9F">
        <w:t>Kd(PAR)</w:t>
      </w:r>
      <w:r>
        <w:t xml:space="preserve">, CDOM, TSS, and </w:t>
      </w:r>
      <w:r w:rsidR="005F304A">
        <w:t>chl</w:t>
      </w:r>
      <w:r>
        <w:t>-a, dissolved and particulate nutrients</w:t>
      </w:r>
      <w:r w:rsidR="00BC0B37">
        <w:t xml:space="preserve">. All water quality </w:t>
      </w:r>
      <w:r w:rsidR="002827F5">
        <w:t>parameters</w:t>
      </w:r>
      <w:r>
        <w:t xml:space="preserve"> are plotted against (a) distance between the sampling site and nearest/influential river mouth (distance), (b) 5-day average river discharge calculated from the sampling date (discharge). Red solid line stands for a non-parametric fitting curve (</w:t>
      </w:r>
      <w:r w:rsidRPr="0015270F">
        <w:rPr>
          <w:i/>
        </w:rPr>
        <w:t>loess</w:t>
      </w:r>
      <w:r>
        <w:t xml:space="preserve"> model, see Crawley, 2007) and red dashed lines stand for 2 SE</w:t>
      </w:r>
      <w:r w:rsidRPr="00577FE1">
        <w:t>.</w:t>
      </w:r>
      <w:bookmarkEnd w:id="124"/>
    </w:p>
    <w:p w14:paraId="0C3F8299" w14:textId="77777777" w:rsidR="00AF2690" w:rsidRDefault="003C19C2" w:rsidP="0015270F">
      <w:r w:rsidRPr="003C19C2">
        <w:rPr>
          <w:noProof/>
        </w:rPr>
        <mc:AlternateContent>
          <mc:Choice Requires="wps">
            <w:drawing>
              <wp:anchor distT="0" distB="0" distL="114300" distR="114300" simplePos="0" relativeHeight="251791360" behindDoc="0" locked="0" layoutInCell="1" allowOverlap="1" wp14:anchorId="0C3F8FF1" wp14:editId="0C3F8FF2">
                <wp:simplePos x="0" y="0"/>
                <wp:positionH relativeFrom="column">
                  <wp:posOffset>3887971</wp:posOffset>
                </wp:positionH>
                <wp:positionV relativeFrom="paragraph">
                  <wp:posOffset>220044</wp:posOffset>
                </wp:positionV>
                <wp:extent cx="533400" cy="312420"/>
                <wp:effectExtent l="0" t="0" r="0" b="0"/>
                <wp:wrapNone/>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7" w14:textId="77777777" w:rsidR="007E5BBF" w:rsidRDefault="007E5BBF" w:rsidP="003C19C2">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306.15pt;margin-top:17.35pt;width:42pt;height:24.6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" filled="f" stroked="f">
                <v:textbox>
                  <w:txbxContent>
                    <w:p w14:paraId="0C3F9097" w14:textId="77777777" w:rsidR="007E5BBF" w:rsidRDefault="007E5BBF" w:rsidP="003C19C2">
                      <w:r>
                        <w:t>(a)</w:t>
                      </w:r>
                    </w:p>
                  </w:txbxContent>
                </v:textbox>
              </v:shape>
            </w:pict>
          </mc:Fallback>
        </mc:AlternateContent>
      </w:r>
      <w:r w:rsidRPr="003C19C2">
        <w:rPr>
          <w:noProof/>
        </w:rPr>
        <mc:AlternateContent>
          <mc:Choice Requires="wps">
            <w:drawing>
              <wp:anchor distT="0" distB="0" distL="114300" distR="114300" simplePos="0" relativeHeight="251792384" behindDoc="0" locked="0" layoutInCell="1" allowOverlap="1" wp14:anchorId="0C3F8FF3" wp14:editId="0C3F8FF4">
                <wp:simplePos x="0" y="0"/>
                <wp:positionH relativeFrom="column">
                  <wp:posOffset>5158105</wp:posOffset>
                </wp:positionH>
                <wp:positionV relativeFrom="paragraph">
                  <wp:posOffset>256540</wp:posOffset>
                </wp:positionV>
                <wp:extent cx="533400" cy="312420"/>
                <wp:effectExtent l="0" t="0" r="0" b="0"/>
                <wp:wrapNone/>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8" w14:textId="77777777" w:rsidR="007E5BBF" w:rsidRDefault="007E5BBF" w:rsidP="003C19C2">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406.15pt;margin-top:20.2pt;width:42pt;height:24.6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" filled="f" stroked="f">
                <v:textbox>
                  <w:txbxContent>
                    <w:p w14:paraId="0C3F9098" w14:textId="77777777" w:rsidR="007E5BBF" w:rsidRDefault="007E5BBF" w:rsidP="003C19C2">
                      <w:r>
                        <w:t>(b)</w:t>
                      </w:r>
                    </w:p>
                  </w:txbxContent>
                </v:textbox>
              </v:shape>
            </w:pict>
          </mc:Fallback>
        </mc:AlternateContent>
      </w:r>
      <w:r w:rsidRPr="003C19C2">
        <w:rPr>
          <w:noProof/>
        </w:rPr>
        <mc:AlternateContent>
          <mc:Choice Requires="wps">
            <w:drawing>
              <wp:anchor distT="0" distB="0" distL="114300" distR="114300" simplePos="0" relativeHeight="251790336" behindDoc="0" locked="0" layoutInCell="1" allowOverlap="1" wp14:anchorId="0C3F8FF5" wp14:editId="0C3F8FF6">
                <wp:simplePos x="0" y="0"/>
                <wp:positionH relativeFrom="column">
                  <wp:posOffset>2196465</wp:posOffset>
                </wp:positionH>
                <wp:positionV relativeFrom="paragraph">
                  <wp:posOffset>218440</wp:posOffset>
                </wp:positionV>
                <wp:extent cx="533400" cy="312420"/>
                <wp:effectExtent l="0" t="0" r="0" b="0"/>
                <wp:wrapNone/>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9" w14:textId="77777777" w:rsidR="007E5BBF" w:rsidRDefault="007E5BBF" w:rsidP="003C19C2">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72.95pt;margin-top:17.2pt;width:42pt;height:24.6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" filled="f" stroked="f">
                <v:textbox>
                  <w:txbxContent>
                    <w:p w14:paraId="0C3F9099" w14:textId="77777777" w:rsidR="007E5BBF" w:rsidRDefault="007E5BBF" w:rsidP="003C19C2">
                      <w:r>
                        <w:t>(b)</w:t>
                      </w:r>
                    </w:p>
                  </w:txbxContent>
                </v:textbox>
              </v:shape>
            </w:pict>
          </mc:Fallback>
        </mc:AlternateContent>
      </w:r>
      <w:r w:rsidRPr="003C19C2">
        <w:rPr>
          <w:noProof/>
        </w:rPr>
        <mc:AlternateContent>
          <mc:Choice Requires="wps">
            <w:drawing>
              <wp:anchor distT="0" distB="0" distL="114300" distR="114300" simplePos="0" relativeHeight="251789312" behindDoc="0" locked="0" layoutInCell="1" allowOverlap="1" wp14:anchorId="0C3F8FF7" wp14:editId="0C3F8FF8">
                <wp:simplePos x="0" y="0"/>
                <wp:positionH relativeFrom="column">
                  <wp:posOffset>770088</wp:posOffset>
                </wp:positionH>
                <wp:positionV relativeFrom="paragraph">
                  <wp:posOffset>217738</wp:posOffset>
                </wp:positionV>
                <wp:extent cx="533400" cy="312420"/>
                <wp:effectExtent l="0" t="0" r="0" b="0"/>
                <wp:wrapNone/>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12420"/>
                        </a:xfrm>
                        <a:prstGeom prst="rect">
                          <a:avLst/>
                        </a:prstGeom>
                        <a:noFill/>
                        <a:ln w="9525">
                          <a:noFill/>
                          <a:miter lim="800000"/>
                          <a:headEnd/>
                          <a:tailEnd/>
                        </a:ln>
                      </wps:spPr>
                      <wps:txbx>
                        <w:txbxContent>
                          <w:p w14:paraId="0C3F909A" w14:textId="77777777" w:rsidR="007E5BBF" w:rsidRDefault="007E5BBF" w:rsidP="003C19C2">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60.65pt;margin-top:17.15pt;width:42pt;height:24.6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" filled="f" stroked="f">
                <v:textbox>
                  <w:txbxContent>
                    <w:p w14:paraId="0C3F909A" w14:textId="77777777" w:rsidR="007E5BBF" w:rsidRDefault="007E5BBF" w:rsidP="003C19C2">
                      <w:r>
                        <w:t>(a)</w:t>
                      </w:r>
                    </w:p>
                  </w:txbxContent>
                </v:textbox>
              </v:shape>
            </w:pict>
          </mc:Fallback>
        </mc:AlternateContent>
      </w:r>
      <w:r w:rsidRPr="003C19C2">
        <w:rPr>
          <w:noProof/>
        </w:rPr>
        <w:drawing>
          <wp:inline distT="0" distB="0" distL="0" distR="0" wp14:anchorId="0C3F8FF9" wp14:editId="0C3F8FFA">
            <wp:extent cx="5732145" cy="5732145"/>
            <wp:effectExtent l="0" t="0" r="1905" b="1905"/>
            <wp:docPr id="40" name="Picture 40" descr="Variation of selected WQ parameters sampled in the Herbert region for Kd(PAR), CDOM, TSS, and chl-a, dissolved and particulate nutrients. All water quality parameters are plotted against (a) distance between the sampling site and nearest/influential river mouth (distance), (b) 5-day average river discharge calculated from the sampling date (discharge). Red solid line stands for a non-parametric fitting curve (loess model, see Crawley, 2007) and red dashed lines stand for 2 SE." title="Variation of selected WQ parameters sampled in the Herbert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732145" cy="5732145"/>
                    </a:xfrm>
                    <a:prstGeom prst="rect">
                      <a:avLst/>
                    </a:prstGeom>
                  </pic:spPr>
                </pic:pic>
              </a:graphicData>
            </a:graphic>
          </wp:inline>
        </w:drawing>
      </w:r>
    </w:p>
    <w:p w14:paraId="0C3F829A" w14:textId="77777777" w:rsidR="00BC0B37" w:rsidRDefault="00BC0B37" w:rsidP="00BC0B37">
      <w:pPr>
        <w:pStyle w:val="Caption"/>
      </w:pPr>
      <w:bookmarkStart w:id="125" w:name="_Toc434208034"/>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6</w:t>
      </w:r>
      <w:r w:rsidR="00D243CD">
        <w:fldChar w:fldCharType="end"/>
      </w:r>
      <w:r>
        <w:t xml:space="preserve">: Variation of selected WQ parameters sampled in the Herbert region for </w:t>
      </w:r>
      <w:r w:rsidR="00362A9F">
        <w:t>Kd(PAR)</w:t>
      </w:r>
      <w:r>
        <w:t>, CDOM, TSS, and</w:t>
      </w:r>
      <w:r w:rsidR="005F304A">
        <w:t xml:space="preserve"> chl</w:t>
      </w:r>
      <w:r>
        <w:t xml:space="preserve">-a, dissolved and particulate nutrients. All water quality </w:t>
      </w:r>
      <w:r w:rsidR="005F304A">
        <w:t>parameters</w:t>
      </w:r>
      <w:r>
        <w:t xml:space="preserve"> are plotted against (a) distance between the sampling site and nearest/influential river mouth (distance), (b) 5-day average river discharge calculated from the sampling date (discharge). Red solid line stands for a non-parametric fitting curve (</w:t>
      </w:r>
      <w:r w:rsidRPr="0015270F">
        <w:rPr>
          <w:i/>
        </w:rPr>
        <w:t>loess</w:t>
      </w:r>
      <w:r>
        <w:t xml:space="preserve"> model, see Crawley, 2007) and red dashed lines stand for 2 SE</w:t>
      </w:r>
      <w:r w:rsidRPr="00577FE1">
        <w:t>.</w:t>
      </w:r>
      <w:bookmarkEnd w:id="125"/>
    </w:p>
    <w:p w14:paraId="0C3F829B" w14:textId="77777777" w:rsidR="00162359" w:rsidRDefault="00162359">
      <w:pPr>
        <w:spacing w:before="0" w:after="0"/>
        <w:jc w:val="left"/>
      </w:pPr>
      <w:r>
        <w:br w:type="page"/>
      </w:r>
    </w:p>
    <w:p w14:paraId="0C3F829C" w14:textId="77777777" w:rsidR="00D23C68" w:rsidRDefault="00D23C68" w:rsidP="00D23C68">
      <w:r>
        <w:t>The WQ para</w:t>
      </w:r>
      <w:r w:rsidR="003C535B">
        <w:t>meters sampled in</w:t>
      </w:r>
      <w:r w:rsidR="00BD425B">
        <w:t xml:space="preserve"> the Burdekin</w:t>
      </w:r>
      <w:r w:rsidR="003C535B">
        <w:t xml:space="preserve"> region</w:t>
      </w:r>
      <w:r>
        <w:t xml:space="preserve"> were plotted against </w:t>
      </w:r>
      <w:r w:rsidR="003C535B">
        <w:t>two</w:t>
      </w:r>
      <w:r>
        <w:t xml:space="preserve"> parameters: (a) the distance between the sampling site and the nearest (or influential) river mouth, (b) 5-days average river discharge ca</w:t>
      </w:r>
      <w:r w:rsidR="00BD425B">
        <w:t>lculated from the sampling date</w:t>
      </w:r>
      <w:r w:rsidR="0036562E">
        <w:t xml:space="preserve"> (Figure 4-6)</w:t>
      </w:r>
      <w:r w:rsidR="00BD425B">
        <w:t xml:space="preserve">. </w:t>
      </w:r>
      <w:r w:rsidR="0036562E">
        <w:t xml:space="preserve">CDOM and </w:t>
      </w:r>
      <w:r w:rsidR="003C19C2">
        <w:t>Chl</w:t>
      </w:r>
      <w:r w:rsidR="0036562E">
        <w:t xml:space="preserve">-a both look to be influencing </w:t>
      </w:r>
      <w:r w:rsidR="00362A9F">
        <w:t>Kd(PAR)</w:t>
      </w:r>
      <w:r w:rsidR="0036562E">
        <w:t xml:space="preserve"> with a significant decrease </w:t>
      </w:r>
      <w:r w:rsidR="002827F5">
        <w:t>across</w:t>
      </w:r>
      <w:r w:rsidR="0036562E">
        <w:t xml:space="preserve"> distance aligning with</w:t>
      </w:r>
      <w:r w:rsidR="003C19C2">
        <w:t xml:space="preserve"> the initial decrease in the </w:t>
      </w:r>
      <w:r w:rsidR="0036562E">
        <w:t xml:space="preserve"> </w:t>
      </w:r>
      <w:r w:rsidR="00362A9F">
        <w:t>Kd(PAR)</w:t>
      </w:r>
      <w:r w:rsidR="0036562E">
        <w:t xml:space="preserve"> values. </w:t>
      </w:r>
      <w:r w:rsidR="00362A9F">
        <w:t>Kd(PAR)</w:t>
      </w:r>
      <w:r w:rsidR="0036562E">
        <w:t xml:space="preserve"> values decrease initially</w:t>
      </w:r>
      <w:r w:rsidR="003C19C2">
        <w:t xml:space="preserve"> from a maximum of 0.8 to  minimum of 0.05. There is a secondary</w:t>
      </w:r>
      <w:r w:rsidR="0036562E">
        <w:t xml:space="preserve"> peak after 100</w:t>
      </w:r>
      <w:r w:rsidR="00F81A7B">
        <w:t xml:space="preserve"> </w:t>
      </w:r>
      <w:r w:rsidR="0036562E">
        <w:t xml:space="preserve">km, </w:t>
      </w:r>
      <w:r w:rsidR="00F81A7B">
        <w:t xml:space="preserve">coincident with the Cape Cleveland, a region with common high turbid waters due to </w:t>
      </w:r>
      <w:r w:rsidR="002827F5">
        <w:t>resuspension</w:t>
      </w:r>
      <w:r w:rsidR="0036562E">
        <w:t xml:space="preserve"> and the influence of the finer sediment transport. </w:t>
      </w:r>
      <w:r w:rsidR="002827F5">
        <w:t>TSS concentrations show a slight decrease across distance, but</w:t>
      </w:r>
      <w:r w:rsidR="0036562E">
        <w:t xml:space="preserve"> with </w:t>
      </w:r>
      <w:r w:rsidR="002827F5">
        <w:t>high</w:t>
      </w:r>
      <w:r w:rsidR="0036562E">
        <w:t xml:space="preserve"> scatter around </w:t>
      </w:r>
      <w:r w:rsidR="002827F5">
        <w:t>all point</w:t>
      </w:r>
      <w:r w:rsidR="003C19C2">
        <w:t>s</w:t>
      </w:r>
      <w:r w:rsidR="002827F5">
        <w:t>, particularly those taken within 20</w:t>
      </w:r>
      <w:r w:rsidR="00F81A7B">
        <w:t xml:space="preserve"> </w:t>
      </w:r>
      <w:r w:rsidR="002827F5">
        <w:t xml:space="preserve">km. The TSS concentrations are </w:t>
      </w:r>
      <w:r w:rsidR="00362A9F">
        <w:t>reduced in</w:t>
      </w:r>
      <w:r w:rsidR="003C19C2">
        <w:t xml:space="preserve"> the lower salinity, nearshore sites in</w:t>
      </w:r>
      <w:r w:rsidR="00362A9F">
        <w:t xml:space="preserve"> comparison to other Burdekin events (Devlin et al., 2001; Devlin et al., 2012) due to the sampling period </w:t>
      </w:r>
      <w:r w:rsidR="003C19C2">
        <w:t xml:space="preserve">only being </w:t>
      </w:r>
      <w:r w:rsidR="00362A9F">
        <w:t>at the end (flux) of the second flow events</w:t>
      </w:r>
      <w:r w:rsidR="003C19C2">
        <w:t xml:space="preserve"> and not representative of a large Burdekin peak flow event</w:t>
      </w:r>
      <w:r w:rsidR="00362A9F">
        <w:t xml:space="preserve">. </w:t>
      </w:r>
      <w:r w:rsidR="0036562E">
        <w:t xml:space="preserve"> </w:t>
      </w:r>
    </w:p>
    <w:p w14:paraId="0C3F829D" w14:textId="77777777" w:rsidR="00D23C68" w:rsidRDefault="00D23C68" w:rsidP="00D23C68">
      <w:r>
        <w:t xml:space="preserve">Nutrients in general do not present a </w:t>
      </w:r>
      <w:r w:rsidR="0036562E">
        <w:t>dilution pattern</w:t>
      </w:r>
      <w:r>
        <w:t xml:space="preserve">, </w:t>
      </w:r>
      <w:r w:rsidR="0036562E">
        <w:t xml:space="preserve">with </w:t>
      </w:r>
      <w:r w:rsidR="00F81A7B">
        <w:t xml:space="preserve">DIN and </w:t>
      </w:r>
      <w:r w:rsidR="0036562E">
        <w:t xml:space="preserve">DIP </w:t>
      </w:r>
      <w:r>
        <w:t xml:space="preserve">being relatively unchanged across </w:t>
      </w:r>
      <w:r w:rsidR="008E03E9">
        <w:t xml:space="preserve">start and end </w:t>
      </w:r>
      <w:r>
        <w:t>distance</w:t>
      </w:r>
      <w:r w:rsidR="008E03E9">
        <w:t>s</w:t>
      </w:r>
      <w:r>
        <w:t xml:space="preserve"> from </w:t>
      </w:r>
      <w:r w:rsidR="0036562E">
        <w:t>the river mouth</w:t>
      </w:r>
      <w:r w:rsidR="00F81A7B">
        <w:t xml:space="preserve"> and discharge</w:t>
      </w:r>
      <w:r w:rsidR="0036562E">
        <w:t xml:space="preserve"> (Figure 4-6</w:t>
      </w:r>
      <w:r>
        <w:t>)</w:t>
      </w:r>
      <w:r w:rsidR="00F81A7B">
        <w:t>.</w:t>
      </w:r>
      <w:r w:rsidR="0036562E">
        <w:t xml:space="preserve"> </w:t>
      </w:r>
      <w:r w:rsidR="00F81A7B">
        <w:t xml:space="preserve">These patterns suggest that due to the low discharge regime the samples were taken, nutrients were more driven by local process than external input. PP shows a pattern similar to DIP, being relatively unchanged across distances. </w:t>
      </w:r>
      <w:r w:rsidR="0036562E">
        <w:t>PN</w:t>
      </w:r>
      <w:r w:rsidR="00F81A7B">
        <w:t xml:space="preserve">is more </w:t>
      </w:r>
      <w:r w:rsidR="0036562E">
        <w:t>variable s</w:t>
      </w:r>
      <w:r w:rsidR="002827F5">
        <w:t>howing</w:t>
      </w:r>
      <w:r w:rsidR="0036562E">
        <w:t xml:space="preserve"> </w:t>
      </w:r>
      <w:r w:rsidR="00F81A7B">
        <w:t xml:space="preserve">increasing </w:t>
      </w:r>
      <w:r w:rsidR="0036562E">
        <w:t>concentration</w:t>
      </w:r>
      <w:r w:rsidR="00F81A7B">
        <w:t>s away from the river mouth</w:t>
      </w:r>
      <w:r w:rsidR="0036562E">
        <w:t xml:space="preserve">, suggesting </w:t>
      </w:r>
      <w:r w:rsidR="002827F5">
        <w:t>biological</w:t>
      </w:r>
      <w:r w:rsidR="0036562E">
        <w:t xml:space="preserve"> mediated processes may be influencing the transport and formation of the PN through flood influenced waters. </w:t>
      </w:r>
      <w:r w:rsidR="003C535B">
        <w:t xml:space="preserve"> </w:t>
      </w:r>
      <w:r>
        <w:t xml:space="preserve">Once again, these models show wider error bars due to the reduced number of data points, so caution must be taken on their interpretation. </w:t>
      </w:r>
    </w:p>
    <w:p w14:paraId="0C3F829E" w14:textId="77777777" w:rsidR="00BC0B37" w:rsidRDefault="00BC0B37" w:rsidP="0015270F"/>
    <w:p w14:paraId="0C3F829F" w14:textId="77777777" w:rsidR="00BC0B37" w:rsidRDefault="003C19C2" w:rsidP="0015270F">
      <w:r w:rsidRPr="003C19C2">
        <w:rPr>
          <w:noProof/>
        </w:rPr>
        <w:drawing>
          <wp:inline distT="0" distB="0" distL="0" distR="0" wp14:anchorId="0C3F8FFB" wp14:editId="0C3F8FFC">
            <wp:extent cx="5732145" cy="5732145"/>
            <wp:effectExtent l="0" t="0" r="1905" b="1905"/>
            <wp:docPr id="45" name="Picture 45" descr="Variation of selected WQ parameters sampled in the Burdekin region for Kd(PAR), CDOM, TSS, and chl-a, dissolved and particulate nutrients. All water quality parameters are plotted against (a) distance between the sampling site and nearest/influential river mouth (distance), (b) 5-day average river discharge calculated from the sampling date (discharge). Red solid line stands for a non-parametric fitting curve (loess model, see Crawley, 2007) and red dashed lines stand for 2 SE." title="Variation of selected WQ parameters sample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732145" cy="5732145"/>
                    </a:xfrm>
                    <a:prstGeom prst="rect">
                      <a:avLst/>
                    </a:prstGeom>
                  </pic:spPr>
                </pic:pic>
              </a:graphicData>
            </a:graphic>
          </wp:inline>
        </w:drawing>
      </w:r>
    </w:p>
    <w:p w14:paraId="0C3F82A0" w14:textId="77777777" w:rsidR="00BC0B37" w:rsidRDefault="00BC0B37" w:rsidP="00BC0B37">
      <w:pPr>
        <w:pStyle w:val="Caption"/>
      </w:pPr>
      <w:bookmarkStart w:id="126" w:name="_Toc434208035"/>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7</w:t>
      </w:r>
      <w:r w:rsidR="00D243CD">
        <w:fldChar w:fldCharType="end"/>
      </w:r>
      <w:r>
        <w:t xml:space="preserve">: Variation of selected WQ parameters sampled in the Burdekin region for </w:t>
      </w:r>
      <w:r w:rsidR="00362A9F">
        <w:t>Kd(PAR)</w:t>
      </w:r>
      <w:r>
        <w:t>, CDOM, TSS, and</w:t>
      </w:r>
      <w:r w:rsidR="005F304A">
        <w:t xml:space="preserve"> chl</w:t>
      </w:r>
      <w:r>
        <w:t xml:space="preserve">-a, dissolved and particulate nutrients. All water quality </w:t>
      </w:r>
      <w:r w:rsidR="00F329CC">
        <w:t>parameters</w:t>
      </w:r>
      <w:r>
        <w:t xml:space="preserve"> are plotted against (a) distance between the sampling site and nearest/influential river mouth (distance), (b) 5-day average river discharge calculated from the sampling date (discharge). Red solid line stands for a non-parametric fitting curve (</w:t>
      </w:r>
      <w:r w:rsidRPr="0015270F">
        <w:rPr>
          <w:i/>
        </w:rPr>
        <w:t>loess</w:t>
      </w:r>
      <w:r>
        <w:t xml:space="preserve"> model, see Crawley, 2007) and red dashed lines stand for 2 SE</w:t>
      </w:r>
      <w:r w:rsidRPr="00577FE1">
        <w:t>.</w:t>
      </w:r>
      <w:bookmarkEnd w:id="126"/>
    </w:p>
    <w:p w14:paraId="0C3F82A1" w14:textId="77777777" w:rsidR="00BC0B37" w:rsidRDefault="00BC0B37" w:rsidP="0015270F"/>
    <w:p w14:paraId="0C3F82A2" w14:textId="77777777" w:rsidR="0015270F" w:rsidRDefault="0015270F" w:rsidP="0015270F">
      <w:r>
        <w:t xml:space="preserve">Spearman’s rank correlation coefficient identified few significant high correlations (&gt;0.61) for the WQ parameters sampled in the Wet Tropics (Table </w:t>
      </w:r>
      <w:r w:rsidR="009259F9">
        <w:t>4-6</w:t>
      </w:r>
      <w:r>
        <w:t xml:space="preserve">), differently from what was observed for the </w:t>
      </w:r>
      <w:r w:rsidR="009259F9">
        <w:t>Tully and Herbert transects when analysed individually.</w:t>
      </w:r>
      <w:r>
        <w:t xml:space="preserve"> Only Si and TDP exhibited some correlation with salinity and river discharge. Other significant correlations presented were between different nutrients (e.g., TN and TP, r = 0.65) and forms of the same nutrient (e.g., TDN and TN, r = 0.79). When data is analysed for individual rivers in the Wet Tropics, some more significant correlations are identified (</w:t>
      </w:r>
      <w:r w:rsidR="008E03E9">
        <w:t>Table 4-</w:t>
      </w:r>
      <w:r w:rsidR="00F329CC">
        <w:t>7</w:t>
      </w:r>
      <w:r>
        <w:t xml:space="preserve">), compared to those obtained when all the rivers are analysed together. This ‘by river’ analysis could be done for the Tully and Herbert Rivers. The analysis was compromised for the other rivers due to their reduced number of data points. Salinity is correlated with most of the forms of nitrogen and phosphorous, excluding the dissolved forms. River discharge correlates with DIN and Si for the Tully River samples and with TP for the Herbert. Distance did not presented any significant correlation, indicating that linear dilution processes are not occurring in these regions, which can be resulted from the mixing of river plumes from close rivers and or the hydrodynamic complexity of these areas. Dissolved nutrients are not correlated with any factor, indicating that both coastal hydrodynamic and biological processes are influencing the transport and uptake of the WQ parameters in these regions. </w:t>
      </w:r>
    </w:p>
    <w:p w14:paraId="0C3F82A3" w14:textId="77777777" w:rsidR="0015270F" w:rsidRDefault="0015270F" w:rsidP="0095562E">
      <w:pPr>
        <w:pStyle w:val="Caption"/>
      </w:pPr>
      <w:bookmarkStart w:id="127" w:name="_Toc434208073"/>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6</w:t>
      </w:r>
      <w:r w:rsidR="00AE4287">
        <w:fldChar w:fldCharType="end"/>
      </w:r>
      <w:r>
        <w:t xml:space="preserve">: </w:t>
      </w:r>
      <w:r w:rsidRPr="0089419E">
        <w:t xml:space="preserve">Spearman’s </w:t>
      </w:r>
      <w:r>
        <w:t xml:space="preserve">rank </w:t>
      </w:r>
      <w:r w:rsidRPr="0089419E">
        <w:t xml:space="preserve">correlation coefficients </w:t>
      </w:r>
      <w:r>
        <w:t xml:space="preserve">for the parameters </w:t>
      </w:r>
      <w:r w:rsidR="009259F9">
        <w:t>from</w:t>
      </w:r>
      <w:r>
        <w:t xml:space="preserve"> the Wet Tropics region. A</w:t>
      </w:r>
      <w:r w:rsidRPr="0089419E">
        <w:t xml:space="preserve">ll </w:t>
      </w:r>
      <w:r>
        <w:t xml:space="preserve">highlighted values </w:t>
      </w:r>
      <w:r w:rsidR="002827F5">
        <w:t>are significant</w:t>
      </w:r>
      <w:r w:rsidRPr="0089419E">
        <w:t xml:space="preserve"> at p &lt; 0.01</w:t>
      </w:r>
      <w:r>
        <w:t xml:space="preserve"> and represent a correlation &gt;0.6 or &lt;-.06</w:t>
      </w:r>
      <w:r w:rsidRPr="0089419E">
        <w:t>.</w:t>
      </w:r>
      <w:r>
        <w:t xml:space="preserve"> Parameter on the table are surface salinity (Sal.), 5-day average discharge (Disch.), distance between the river mouth and the sampling site (Dist.), TS</w:t>
      </w:r>
      <w:r w:rsidR="000313CF">
        <w:t xml:space="preserve">S, </w:t>
      </w:r>
      <w:r w:rsidR="005F304A">
        <w:t>chl</w:t>
      </w:r>
      <w:r w:rsidR="000313CF">
        <w:t>-a TN</w:t>
      </w:r>
      <w:r>
        <w:t>,</w:t>
      </w:r>
      <w:r w:rsidR="000313CF">
        <w:t xml:space="preserve"> </w:t>
      </w:r>
      <w:r>
        <w:t xml:space="preserve">TDN, </w:t>
      </w:r>
      <w:r w:rsidR="000313CF">
        <w:t>DIN</w:t>
      </w:r>
      <w:r>
        <w:t>,</w:t>
      </w:r>
      <w:r w:rsidRPr="00405A8D">
        <w:t xml:space="preserve"> </w:t>
      </w:r>
      <w:r>
        <w:t xml:space="preserve">TP, </w:t>
      </w:r>
      <w:r w:rsidR="000313CF">
        <w:t>TDP</w:t>
      </w:r>
      <w:r>
        <w:t xml:space="preserve">, </w:t>
      </w:r>
      <w:r w:rsidR="000313CF">
        <w:t>DIP</w:t>
      </w:r>
      <w:r>
        <w:t xml:space="preserve">, </w:t>
      </w:r>
      <w:r w:rsidR="000313CF">
        <w:t>PN</w:t>
      </w:r>
      <w:r>
        <w:t xml:space="preserve">, </w:t>
      </w:r>
      <w:r w:rsidR="000313CF">
        <w:t xml:space="preserve">PP </w:t>
      </w:r>
      <w:r>
        <w:t xml:space="preserve">and </w:t>
      </w:r>
      <w:r w:rsidR="000313CF">
        <w:t>Si</w:t>
      </w:r>
      <w:r>
        <w:t>.</w:t>
      </w:r>
      <w:bookmarkEnd w:id="127"/>
    </w:p>
    <w:tbl>
      <w:tblPr>
        <w:tblW w:w="5074" w:type="pct"/>
        <w:tblLook w:val="04A0" w:firstRow="1" w:lastRow="0" w:firstColumn="1" w:lastColumn="0" w:noHBand="0" w:noVBand="1"/>
        <w:tblCaption w:val="Spearman’s rank correlation coefficients for the parameters from the Wet Tropics region"/>
        <w:tblDescription w:val="Spearman’s rank correlation coefficients for the parameters from the Wet Tropics region. All highlighted values are significant at p &lt; 0.01 and represent a correlation &gt;0.6 or &lt;-.06. Parameter on the table are surface salinity (Sal.), 5-day average discharge (Disch.), distance between the river mouth and the sampling site (Dist.), TSS, chl-a TN, TDN, DIN, TP, TDP, DIP, PN, PP and Si."/>
      </w:tblPr>
      <w:tblGrid>
        <w:gridCol w:w="679"/>
        <w:gridCol w:w="612"/>
        <w:gridCol w:w="679"/>
        <w:gridCol w:w="612"/>
        <w:gridCol w:w="612"/>
        <w:gridCol w:w="612"/>
        <w:gridCol w:w="612"/>
        <w:gridCol w:w="612"/>
        <w:gridCol w:w="612"/>
        <w:gridCol w:w="612"/>
        <w:gridCol w:w="612"/>
        <w:gridCol w:w="612"/>
        <w:gridCol w:w="612"/>
        <w:gridCol w:w="612"/>
        <w:gridCol w:w="677"/>
      </w:tblGrid>
      <w:tr w:rsidR="0015270F" w:rsidRPr="0095562E" w14:paraId="0C3F82B3" w14:textId="77777777" w:rsidTr="0015270F">
        <w:trPr>
          <w:trHeight w:val="20"/>
        </w:trPr>
        <w:tc>
          <w:tcPr>
            <w:tcW w:w="360" w:type="pct"/>
            <w:tcBorders>
              <w:top w:val="single" w:sz="4" w:space="0" w:color="auto"/>
              <w:left w:val="nil"/>
              <w:bottom w:val="single" w:sz="4" w:space="0" w:color="auto"/>
              <w:right w:val="nil"/>
            </w:tcBorders>
            <w:shd w:val="clear" w:color="auto" w:fill="auto"/>
            <w:noWrap/>
            <w:vAlign w:val="center"/>
            <w:hideMark/>
          </w:tcPr>
          <w:p w14:paraId="0C3F82A4" w14:textId="77777777" w:rsidR="0015270F" w:rsidRPr="0095562E" w:rsidRDefault="0015270F" w:rsidP="0095562E">
            <w:pPr>
              <w:spacing w:before="0" w:after="0"/>
              <w:rPr>
                <w:rStyle w:val="BookTitle"/>
                <w:sz w:val="18"/>
                <w:szCs w:val="18"/>
              </w:rPr>
            </w:pPr>
            <w:r w:rsidRPr="0095562E">
              <w:rPr>
                <w:rStyle w:val="BookTitle"/>
                <w:sz w:val="18"/>
                <w:szCs w:val="18"/>
              </w:rPr>
              <w:t> </w:t>
            </w:r>
          </w:p>
        </w:tc>
        <w:tc>
          <w:tcPr>
            <w:tcW w:w="324" w:type="pct"/>
            <w:tcBorders>
              <w:top w:val="single" w:sz="4" w:space="0" w:color="auto"/>
              <w:left w:val="nil"/>
              <w:bottom w:val="single" w:sz="4" w:space="0" w:color="auto"/>
              <w:right w:val="nil"/>
            </w:tcBorders>
            <w:shd w:val="clear" w:color="auto" w:fill="auto"/>
            <w:noWrap/>
            <w:vAlign w:val="center"/>
            <w:hideMark/>
          </w:tcPr>
          <w:p w14:paraId="0C3F82A5" w14:textId="77777777" w:rsidR="0015270F" w:rsidRPr="0095562E" w:rsidRDefault="0015270F" w:rsidP="0095562E">
            <w:pPr>
              <w:spacing w:before="0" w:after="0"/>
              <w:rPr>
                <w:rStyle w:val="BookTitle"/>
                <w:sz w:val="18"/>
                <w:szCs w:val="18"/>
              </w:rPr>
            </w:pPr>
            <w:r w:rsidRPr="0095562E">
              <w:rPr>
                <w:rStyle w:val="BookTitle"/>
                <w:sz w:val="18"/>
                <w:szCs w:val="18"/>
              </w:rPr>
              <w:t>Sal.</w:t>
            </w:r>
          </w:p>
        </w:tc>
        <w:tc>
          <w:tcPr>
            <w:tcW w:w="360" w:type="pct"/>
            <w:tcBorders>
              <w:top w:val="single" w:sz="4" w:space="0" w:color="auto"/>
              <w:left w:val="nil"/>
              <w:bottom w:val="single" w:sz="4" w:space="0" w:color="auto"/>
              <w:right w:val="nil"/>
            </w:tcBorders>
            <w:shd w:val="clear" w:color="auto" w:fill="auto"/>
            <w:noWrap/>
            <w:vAlign w:val="center"/>
            <w:hideMark/>
          </w:tcPr>
          <w:p w14:paraId="0C3F82A6" w14:textId="77777777" w:rsidR="0015270F" w:rsidRPr="0095562E" w:rsidRDefault="0015270F" w:rsidP="0095562E">
            <w:pPr>
              <w:spacing w:before="0" w:after="0"/>
              <w:rPr>
                <w:rStyle w:val="BookTitle"/>
                <w:sz w:val="18"/>
                <w:szCs w:val="18"/>
              </w:rPr>
            </w:pPr>
            <w:r w:rsidRPr="0095562E">
              <w:rPr>
                <w:rStyle w:val="BookTitle"/>
                <w:sz w:val="18"/>
                <w:szCs w:val="18"/>
              </w:rPr>
              <w:t>Disch.</w:t>
            </w:r>
          </w:p>
        </w:tc>
        <w:tc>
          <w:tcPr>
            <w:tcW w:w="324" w:type="pct"/>
            <w:tcBorders>
              <w:top w:val="single" w:sz="4" w:space="0" w:color="auto"/>
              <w:left w:val="nil"/>
              <w:bottom w:val="single" w:sz="4" w:space="0" w:color="auto"/>
              <w:right w:val="nil"/>
            </w:tcBorders>
            <w:shd w:val="clear" w:color="auto" w:fill="auto"/>
            <w:noWrap/>
            <w:vAlign w:val="center"/>
            <w:hideMark/>
          </w:tcPr>
          <w:p w14:paraId="0C3F82A7" w14:textId="77777777" w:rsidR="0015270F" w:rsidRPr="0095562E" w:rsidRDefault="0015270F" w:rsidP="0095562E">
            <w:pPr>
              <w:spacing w:before="0" w:after="0"/>
              <w:rPr>
                <w:rStyle w:val="BookTitle"/>
                <w:sz w:val="18"/>
                <w:szCs w:val="18"/>
              </w:rPr>
            </w:pPr>
            <w:r w:rsidRPr="0095562E">
              <w:rPr>
                <w:rStyle w:val="BookTitle"/>
                <w:sz w:val="18"/>
                <w:szCs w:val="18"/>
              </w:rPr>
              <w:t>Dist.</w:t>
            </w:r>
          </w:p>
        </w:tc>
        <w:tc>
          <w:tcPr>
            <w:tcW w:w="324" w:type="pct"/>
            <w:tcBorders>
              <w:top w:val="single" w:sz="4" w:space="0" w:color="auto"/>
              <w:left w:val="nil"/>
              <w:bottom w:val="single" w:sz="4" w:space="0" w:color="auto"/>
              <w:right w:val="nil"/>
            </w:tcBorders>
            <w:shd w:val="clear" w:color="auto" w:fill="auto"/>
            <w:noWrap/>
            <w:vAlign w:val="center"/>
            <w:hideMark/>
          </w:tcPr>
          <w:p w14:paraId="0C3F82A8" w14:textId="77777777" w:rsidR="0015270F" w:rsidRPr="0095562E" w:rsidRDefault="0015270F" w:rsidP="0095562E">
            <w:pPr>
              <w:spacing w:before="0" w:after="0"/>
              <w:rPr>
                <w:rStyle w:val="BookTitle"/>
                <w:sz w:val="18"/>
                <w:szCs w:val="18"/>
              </w:rPr>
            </w:pPr>
            <w:r w:rsidRPr="0095562E">
              <w:rPr>
                <w:rStyle w:val="BookTitle"/>
                <w:sz w:val="18"/>
                <w:szCs w:val="18"/>
              </w:rPr>
              <w:t>TSS</w:t>
            </w:r>
          </w:p>
        </w:tc>
        <w:tc>
          <w:tcPr>
            <w:tcW w:w="324" w:type="pct"/>
            <w:tcBorders>
              <w:top w:val="single" w:sz="4" w:space="0" w:color="auto"/>
              <w:left w:val="nil"/>
              <w:bottom w:val="single" w:sz="4" w:space="0" w:color="auto"/>
              <w:right w:val="nil"/>
            </w:tcBorders>
            <w:shd w:val="clear" w:color="auto" w:fill="auto"/>
            <w:noWrap/>
            <w:vAlign w:val="center"/>
            <w:hideMark/>
          </w:tcPr>
          <w:p w14:paraId="0C3F82A9" w14:textId="77777777" w:rsidR="0015270F" w:rsidRPr="0095562E" w:rsidRDefault="0015270F" w:rsidP="0095562E">
            <w:pPr>
              <w:spacing w:before="0" w:after="0"/>
              <w:rPr>
                <w:rStyle w:val="BookTitle"/>
                <w:sz w:val="18"/>
                <w:szCs w:val="18"/>
              </w:rPr>
            </w:pPr>
            <w:r w:rsidRPr="0095562E">
              <w:rPr>
                <w:rStyle w:val="BookTitle"/>
                <w:sz w:val="18"/>
                <w:szCs w:val="18"/>
              </w:rPr>
              <w:t>chl-a</w:t>
            </w:r>
          </w:p>
        </w:tc>
        <w:tc>
          <w:tcPr>
            <w:tcW w:w="324" w:type="pct"/>
            <w:tcBorders>
              <w:top w:val="single" w:sz="4" w:space="0" w:color="auto"/>
              <w:left w:val="nil"/>
              <w:bottom w:val="single" w:sz="4" w:space="0" w:color="auto"/>
              <w:right w:val="nil"/>
            </w:tcBorders>
            <w:shd w:val="clear" w:color="auto" w:fill="auto"/>
            <w:noWrap/>
            <w:vAlign w:val="center"/>
            <w:hideMark/>
          </w:tcPr>
          <w:p w14:paraId="0C3F82AA" w14:textId="77777777" w:rsidR="0015270F" w:rsidRPr="0095562E" w:rsidRDefault="0015270F" w:rsidP="0095562E">
            <w:pPr>
              <w:spacing w:before="0" w:after="0"/>
              <w:rPr>
                <w:rStyle w:val="BookTitle"/>
                <w:sz w:val="18"/>
                <w:szCs w:val="18"/>
              </w:rPr>
            </w:pPr>
            <w:r w:rsidRPr="0095562E">
              <w:rPr>
                <w:rStyle w:val="BookTitle"/>
                <w:sz w:val="18"/>
                <w:szCs w:val="18"/>
              </w:rPr>
              <w:t>TN</w:t>
            </w:r>
          </w:p>
        </w:tc>
        <w:tc>
          <w:tcPr>
            <w:tcW w:w="324" w:type="pct"/>
            <w:tcBorders>
              <w:top w:val="single" w:sz="4" w:space="0" w:color="auto"/>
              <w:left w:val="nil"/>
              <w:bottom w:val="single" w:sz="4" w:space="0" w:color="auto"/>
              <w:right w:val="nil"/>
            </w:tcBorders>
            <w:shd w:val="clear" w:color="auto" w:fill="auto"/>
            <w:noWrap/>
            <w:vAlign w:val="center"/>
            <w:hideMark/>
          </w:tcPr>
          <w:p w14:paraId="0C3F82AB" w14:textId="77777777" w:rsidR="0015270F" w:rsidRPr="0095562E" w:rsidRDefault="0015270F" w:rsidP="0095562E">
            <w:pPr>
              <w:spacing w:before="0" w:after="0"/>
              <w:rPr>
                <w:rStyle w:val="BookTitle"/>
                <w:sz w:val="18"/>
                <w:szCs w:val="18"/>
              </w:rPr>
            </w:pPr>
            <w:r w:rsidRPr="0095562E">
              <w:rPr>
                <w:rStyle w:val="BookTitle"/>
                <w:sz w:val="18"/>
                <w:szCs w:val="18"/>
              </w:rPr>
              <w:t>TDN</w:t>
            </w:r>
          </w:p>
        </w:tc>
        <w:tc>
          <w:tcPr>
            <w:tcW w:w="324" w:type="pct"/>
            <w:tcBorders>
              <w:top w:val="single" w:sz="4" w:space="0" w:color="auto"/>
              <w:left w:val="nil"/>
              <w:bottom w:val="single" w:sz="4" w:space="0" w:color="auto"/>
              <w:right w:val="nil"/>
            </w:tcBorders>
            <w:shd w:val="clear" w:color="auto" w:fill="auto"/>
            <w:noWrap/>
            <w:vAlign w:val="center"/>
            <w:hideMark/>
          </w:tcPr>
          <w:p w14:paraId="0C3F82AC" w14:textId="77777777" w:rsidR="0015270F" w:rsidRPr="0095562E" w:rsidRDefault="0015270F" w:rsidP="0095562E">
            <w:pPr>
              <w:spacing w:before="0" w:after="0"/>
              <w:rPr>
                <w:rStyle w:val="BookTitle"/>
                <w:sz w:val="18"/>
                <w:szCs w:val="18"/>
              </w:rPr>
            </w:pPr>
            <w:r w:rsidRPr="0095562E">
              <w:rPr>
                <w:rStyle w:val="BookTitle"/>
                <w:sz w:val="18"/>
                <w:szCs w:val="18"/>
              </w:rPr>
              <w:t>DIN</w:t>
            </w:r>
          </w:p>
        </w:tc>
        <w:tc>
          <w:tcPr>
            <w:tcW w:w="324" w:type="pct"/>
            <w:tcBorders>
              <w:top w:val="single" w:sz="4" w:space="0" w:color="auto"/>
              <w:left w:val="nil"/>
              <w:bottom w:val="single" w:sz="4" w:space="0" w:color="auto"/>
              <w:right w:val="nil"/>
            </w:tcBorders>
            <w:shd w:val="clear" w:color="auto" w:fill="auto"/>
            <w:noWrap/>
            <w:vAlign w:val="center"/>
            <w:hideMark/>
          </w:tcPr>
          <w:p w14:paraId="0C3F82AD" w14:textId="77777777" w:rsidR="0015270F" w:rsidRPr="0095562E" w:rsidRDefault="0015270F" w:rsidP="0095562E">
            <w:pPr>
              <w:spacing w:before="0" w:after="0"/>
              <w:rPr>
                <w:rStyle w:val="BookTitle"/>
                <w:sz w:val="18"/>
                <w:szCs w:val="18"/>
              </w:rPr>
            </w:pPr>
            <w:r w:rsidRPr="0095562E">
              <w:rPr>
                <w:rStyle w:val="BookTitle"/>
                <w:sz w:val="18"/>
                <w:szCs w:val="18"/>
              </w:rPr>
              <w:t>TP</w:t>
            </w:r>
          </w:p>
        </w:tc>
        <w:tc>
          <w:tcPr>
            <w:tcW w:w="324" w:type="pct"/>
            <w:tcBorders>
              <w:top w:val="single" w:sz="4" w:space="0" w:color="auto"/>
              <w:left w:val="nil"/>
              <w:bottom w:val="single" w:sz="4" w:space="0" w:color="auto"/>
              <w:right w:val="nil"/>
            </w:tcBorders>
            <w:shd w:val="clear" w:color="auto" w:fill="auto"/>
            <w:noWrap/>
            <w:vAlign w:val="center"/>
            <w:hideMark/>
          </w:tcPr>
          <w:p w14:paraId="0C3F82AE" w14:textId="77777777" w:rsidR="0015270F" w:rsidRPr="0095562E" w:rsidRDefault="0015270F" w:rsidP="0095562E">
            <w:pPr>
              <w:spacing w:before="0" w:after="0"/>
              <w:rPr>
                <w:rStyle w:val="BookTitle"/>
                <w:sz w:val="18"/>
                <w:szCs w:val="18"/>
              </w:rPr>
            </w:pPr>
            <w:r w:rsidRPr="0095562E">
              <w:rPr>
                <w:rStyle w:val="BookTitle"/>
                <w:sz w:val="18"/>
                <w:szCs w:val="18"/>
              </w:rPr>
              <w:t>TDP</w:t>
            </w:r>
          </w:p>
        </w:tc>
        <w:tc>
          <w:tcPr>
            <w:tcW w:w="324" w:type="pct"/>
            <w:tcBorders>
              <w:top w:val="single" w:sz="4" w:space="0" w:color="auto"/>
              <w:left w:val="nil"/>
              <w:bottom w:val="single" w:sz="4" w:space="0" w:color="auto"/>
              <w:right w:val="nil"/>
            </w:tcBorders>
            <w:shd w:val="clear" w:color="auto" w:fill="auto"/>
            <w:noWrap/>
            <w:vAlign w:val="center"/>
            <w:hideMark/>
          </w:tcPr>
          <w:p w14:paraId="0C3F82AF" w14:textId="77777777" w:rsidR="0015270F" w:rsidRPr="0095562E" w:rsidRDefault="0015270F" w:rsidP="0095562E">
            <w:pPr>
              <w:spacing w:before="0" w:after="0"/>
              <w:rPr>
                <w:rStyle w:val="BookTitle"/>
                <w:sz w:val="18"/>
                <w:szCs w:val="18"/>
              </w:rPr>
            </w:pPr>
            <w:r w:rsidRPr="0095562E">
              <w:rPr>
                <w:rStyle w:val="BookTitle"/>
                <w:sz w:val="18"/>
                <w:szCs w:val="18"/>
              </w:rPr>
              <w:t>DIP</w:t>
            </w:r>
          </w:p>
        </w:tc>
        <w:tc>
          <w:tcPr>
            <w:tcW w:w="324" w:type="pct"/>
            <w:tcBorders>
              <w:top w:val="single" w:sz="4" w:space="0" w:color="auto"/>
              <w:left w:val="nil"/>
              <w:bottom w:val="single" w:sz="4" w:space="0" w:color="auto"/>
              <w:right w:val="nil"/>
            </w:tcBorders>
            <w:shd w:val="clear" w:color="auto" w:fill="auto"/>
            <w:noWrap/>
            <w:vAlign w:val="center"/>
            <w:hideMark/>
          </w:tcPr>
          <w:p w14:paraId="0C3F82B0" w14:textId="77777777" w:rsidR="0015270F" w:rsidRPr="0095562E" w:rsidRDefault="0015270F" w:rsidP="0095562E">
            <w:pPr>
              <w:spacing w:before="0" w:after="0"/>
              <w:rPr>
                <w:rStyle w:val="BookTitle"/>
                <w:sz w:val="18"/>
                <w:szCs w:val="18"/>
              </w:rPr>
            </w:pPr>
            <w:r w:rsidRPr="0095562E">
              <w:rPr>
                <w:rStyle w:val="BookTitle"/>
                <w:sz w:val="18"/>
                <w:szCs w:val="18"/>
              </w:rPr>
              <w:t>PN</w:t>
            </w:r>
          </w:p>
        </w:tc>
        <w:tc>
          <w:tcPr>
            <w:tcW w:w="324" w:type="pct"/>
            <w:tcBorders>
              <w:top w:val="single" w:sz="4" w:space="0" w:color="auto"/>
              <w:left w:val="nil"/>
              <w:bottom w:val="single" w:sz="4" w:space="0" w:color="auto"/>
              <w:right w:val="nil"/>
            </w:tcBorders>
            <w:shd w:val="clear" w:color="auto" w:fill="auto"/>
            <w:noWrap/>
            <w:vAlign w:val="center"/>
            <w:hideMark/>
          </w:tcPr>
          <w:p w14:paraId="0C3F82B1" w14:textId="77777777" w:rsidR="0015270F" w:rsidRPr="0095562E" w:rsidRDefault="0015270F" w:rsidP="0095562E">
            <w:pPr>
              <w:spacing w:before="0" w:after="0"/>
              <w:rPr>
                <w:rStyle w:val="BookTitle"/>
                <w:sz w:val="18"/>
                <w:szCs w:val="18"/>
              </w:rPr>
            </w:pPr>
            <w:r w:rsidRPr="0095562E">
              <w:rPr>
                <w:rStyle w:val="BookTitle"/>
                <w:sz w:val="18"/>
                <w:szCs w:val="18"/>
              </w:rPr>
              <w:t>PP</w:t>
            </w:r>
          </w:p>
        </w:tc>
        <w:tc>
          <w:tcPr>
            <w:tcW w:w="396" w:type="pct"/>
            <w:tcBorders>
              <w:top w:val="single" w:sz="4" w:space="0" w:color="auto"/>
              <w:left w:val="nil"/>
              <w:bottom w:val="single" w:sz="4" w:space="0" w:color="auto"/>
              <w:right w:val="nil"/>
            </w:tcBorders>
            <w:shd w:val="clear" w:color="auto" w:fill="auto"/>
            <w:noWrap/>
            <w:vAlign w:val="center"/>
            <w:hideMark/>
          </w:tcPr>
          <w:p w14:paraId="0C3F82B2" w14:textId="77777777" w:rsidR="0015270F" w:rsidRPr="0095562E" w:rsidRDefault="0015270F" w:rsidP="0095562E">
            <w:pPr>
              <w:spacing w:before="0" w:after="0"/>
              <w:rPr>
                <w:rStyle w:val="BookTitle"/>
                <w:sz w:val="18"/>
                <w:szCs w:val="18"/>
              </w:rPr>
            </w:pPr>
            <w:r w:rsidRPr="0095562E">
              <w:rPr>
                <w:rStyle w:val="BookTitle"/>
                <w:sz w:val="18"/>
                <w:szCs w:val="18"/>
              </w:rPr>
              <w:t>Si</w:t>
            </w:r>
          </w:p>
        </w:tc>
      </w:tr>
      <w:tr w:rsidR="0015270F" w:rsidRPr="0095562E" w14:paraId="0C3F82C3" w14:textId="77777777" w:rsidTr="0015270F">
        <w:trPr>
          <w:trHeight w:val="20"/>
        </w:trPr>
        <w:tc>
          <w:tcPr>
            <w:tcW w:w="360" w:type="pct"/>
            <w:tcBorders>
              <w:top w:val="nil"/>
              <w:left w:val="nil"/>
              <w:bottom w:val="nil"/>
              <w:right w:val="nil"/>
            </w:tcBorders>
            <w:shd w:val="clear" w:color="auto" w:fill="auto"/>
            <w:noWrap/>
            <w:vAlign w:val="center"/>
            <w:hideMark/>
          </w:tcPr>
          <w:p w14:paraId="0C3F82B4" w14:textId="77777777" w:rsidR="0015270F" w:rsidRPr="0095562E" w:rsidRDefault="0015270F" w:rsidP="0095562E">
            <w:pPr>
              <w:spacing w:before="0" w:after="0"/>
              <w:rPr>
                <w:rStyle w:val="BookTitle"/>
                <w:sz w:val="18"/>
                <w:szCs w:val="18"/>
              </w:rPr>
            </w:pPr>
            <w:r w:rsidRPr="0095562E">
              <w:rPr>
                <w:rStyle w:val="BookTitle"/>
                <w:sz w:val="18"/>
                <w:szCs w:val="18"/>
              </w:rPr>
              <w:t>Sal.</w:t>
            </w:r>
          </w:p>
        </w:tc>
        <w:tc>
          <w:tcPr>
            <w:tcW w:w="324" w:type="pct"/>
            <w:tcBorders>
              <w:top w:val="nil"/>
              <w:left w:val="nil"/>
              <w:bottom w:val="nil"/>
              <w:right w:val="nil"/>
            </w:tcBorders>
            <w:shd w:val="clear" w:color="auto" w:fill="auto"/>
            <w:noWrap/>
            <w:vAlign w:val="center"/>
            <w:hideMark/>
          </w:tcPr>
          <w:p w14:paraId="0C3F82B5"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60" w:type="pct"/>
            <w:tcBorders>
              <w:top w:val="nil"/>
              <w:left w:val="nil"/>
              <w:bottom w:val="nil"/>
              <w:right w:val="nil"/>
            </w:tcBorders>
            <w:shd w:val="clear" w:color="auto" w:fill="auto"/>
            <w:noWrap/>
            <w:vAlign w:val="center"/>
            <w:hideMark/>
          </w:tcPr>
          <w:p w14:paraId="0C3F82B6" w14:textId="77777777" w:rsidR="0015270F" w:rsidRPr="0095562E" w:rsidRDefault="0015270F" w:rsidP="0095562E">
            <w:pPr>
              <w:spacing w:before="0" w:after="0"/>
              <w:rPr>
                <w:rStyle w:val="BookTitle"/>
                <w:sz w:val="18"/>
                <w:szCs w:val="18"/>
              </w:rPr>
            </w:pPr>
            <w:r w:rsidRPr="0095562E">
              <w:rPr>
                <w:rStyle w:val="BookTitle"/>
                <w:sz w:val="18"/>
                <w:szCs w:val="18"/>
              </w:rPr>
              <w:t>-0.58</w:t>
            </w:r>
          </w:p>
        </w:tc>
        <w:tc>
          <w:tcPr>
            <w:tcW w:w="324" w:type="pct"/>
            <w:tcBorders>
              <w:top w:val="nil"/>
              <w:left w:val="nil"/>
              <w:bottom w:val="nil"/>
              <w:right w:val="nil"/>
            </w:tcBorders>
            <w:shd w:val="clear" w:color="auto" w:fill="auto"/>
            <w:noWrap/>
            <w:vAlign w:val="center"/>
            <w:hideMark/>
          </w:tcPr>
          <w:p w14:paraId="0C3F82B7"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2B8" w14:textId="77777777" w:rsidR="0015270F" w:rsidRPr="0095562E" w:rsidRDefault="0015270F" w:rsidP="0095562E">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center"/>
            <w:hideMark/>
          </w:tcPr>
          <w:p w14:paraId="0C3F82B9"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2BA" w14:textId="77777777" w:rsidR="0015270F" w:rsidRPr="0095562E" w:rsidRDefault="0015270F" w:rsidP="0095562E">
            <w:pPr>
              <w:spacing w:before="0" w:after="0"/>
              <w:rPr>
                <w:rStyle w:val="BookTitle"/>
                <w:sz w:val="18"/>
                <w:szCs w:val="18"/>
              </w:rPr>
            </w:pPr>
            <w:r w:rsidRPr="0095562E">
              <w:rPr>
                <w:rStyle w:val="BookTitle"/>
                <w:sz w:val="18"/>
                <w:szCs w:val="18"/>
              </w:rPr>
              <w:t>-0.41</w:t>
            </w:r>
          </w:p>
        </w:tc>
        <w:tc>
          <w:tcPr>
            <w:tcW w:w="324" w:type="pct"/>
            <w:tcBorders>
              <w:top w:val="nil"/>
              <w:left w:val="nil"/>
              <w:bottom w:val="nil"/>
              <w:right w:val="nil"/>
            </w:tcBorders>
            <w:shd w:val="clear" w:color="auto" w:fill="auto"/>
            <w:noWrap/>
            <w:vAlign w:val="center"/>
            <w:hideMark/>
          </w:tcPr>
          <w:p w14:paraId="0C3F82BB"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24" w:type="pct"/>
            <w:tcBorders>
              <w:top w:val="nil"/>
              <w:left w:val="nil"/>
              <w:bottom w:val="nil"/>
              <w:right w:val="nil"/>
            </w:tcBorders>
            <w:shd w:val="clear" w:color="auto" w:fill="auto"/>
            <w:noWrap/>
            <w:vAlign w:val="center"/>
            <w:hideMark/>
          </w:tcPr>
          <w:p w14:paraId="0C3F82BC" w14:textId="77777777" w:rsidR="0015270F" w:rsidRPr="0095562E" w:rsidRDefault="0015270F" w:rsidP="0095562E">
            <w:pPr>
              <w:spacing w:before="0" w:after="0"/>
              <w:rPr>
                <w:rStyle w:val="BookTitle"/>
                <w:sz w:val="18"/>
                <w:szCs w:val="18"/>
              </w:rPr>
            </w:pPr>
            <w:r w:rsidRPr="0095562E">
              <w:rPr>
                <w:rStyle w:val="BookTitle"/>
                <w:sz w:val="18"/>
                <w:szCs w:val="18"/>
              </w:rPr>
              <w:t>-0.46</w:t>
            </w:r>
          </w:p>
        </w:tc>
        <w:tc>
          <w:tcPr>
            <w:tcW w:w="324" w:type="pct"/>
            <w:tcBorders>
              <w:top w:val="nil"/>
              <w:left w:val="nil"/>
              <w:bottom w:val="nil"/>
              <w:right w:val="nil"/>
            </w:tcBorders>
            <w:shd w:val="clear" w:color="auto" w:fill="auto"/>
            <w:noWrap/>
            <w:vAlign w:val="center"/>
            <w:hideMark/>
          </w:tcPr>
          <w:p w14:paraId="0C3F82BD" w14:textId="77777777" w:rsidR="0015270F" w:rsidRPr="0095562E" w:rsidRDefault="0015270F" w:rsidP="0095562E">
            <w:pPr>
              <w:spacing w:before="0" w:after="0"/>
              <w:rPr>
                <w:rStyle w:val="BookTitle"/>
                <w:sz w:val="18"/>
                <w:szCs w:val="18"/>
              </w:rPr>
            </w:pPr>
            <w:r w:rsidRPr="0095562E">
              <w:rPr>
                <w:rStyle w:val="BookTitle"/>
                <w:sz w:val="18"/>
                <w:szCs w:val="18"/>
              </w:rPr>
              <w:t>-0.59</w:t>
            </w:r>
          </w:p>
        </w:tc>
        <w:tc>
          <w:tcPr>
            <w:tcW w:w="324" w:type="pct"/>
            <w:tcBorders>
              <w:top w:val="nil"/>
              <w:left w:val="nil"/>
              <w:bottom w:val="nil"/>
              <w:right w:val="nil"/>
            </w:tcBorders>
            <w:shd w:val="clear" w:color="000000" w:fill="FFFF00"/>
            <w:noWrap/>
            <w:vAlign w:val="center"/>
            <w:hideMark/>
          </w:tcPr>
          <w:p w14:paraId="0C3F82BE" w14:textId="77777777" w:rsidR="0015270F" w:rsidRPr="0095562E" w:rsidRDefault="0015270F" w:rsidP="0095562E">
            <w:pPr>
              <w:spacing w:before="0" w:after="0"/>
              <w:rPr>
                <w:rStyle w:val="BookTitle"/>
                <w:sz w:val="18"/>
                <w:szCs w:val="18"/>
              </w:rPr>
            </w:pPr>
            <w:r w:rsidRPr="0095562E">
              <w:rPr>
                <w:rStyle w:val="BookTitle"/>
                <w:sz w:val="18"/>
                <w:szCs w:val="18"/>
              </w:rPr>
              <w:t>-0.61</w:t>
            </w:r>
          </w:p>
        </w:tc>
        <w:tc>
          <w:tcPr>
            <w:tcW w:w="324" w:type="pct"/>
            <w:tcBorders>
              <w:top w:val="nil"/>
              <w:left w:val="nil"/>
              <w:bottom w:val="nil"/>
              <w:right w:val="nil"/>
            </w:tcBorders>
            <w:shd w:val="clear" w:color="auto" w:fill="auto"/>
            <w:noWrap/>
            <w:vAlign w:val="center"/>
            <w:hideMark/>
          </w:tcPr>
          <w:p w14:paraId="0C3F82BF" w14:textId="77777777" w:rsidR="0015270F" w:rsidRPr="0095562E" w:rsidRDefault="0015270F" w:rsidP="0095562E">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center"/>
            <w:hideMark/>
          </w:tcPr>
          <w:p w14:paraId="0C3F82C0"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center"/>
            <w:hideMark/>
          </w:tcPr>
          <w:p w14:paraId="0C3F82C1"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96" w:type="pct"/>
            <w:tcBorders>
              <w:top w:val="nil"/>
              <w:left w:val="nil"/>
              <w:bottom w:val="nil"/>
              <w:right w:val="nil"/>
            </w:tcBorders>
            <w:shd w:val="clear" w:color="000000" w:fill="FFFF00"/>
            <w:noWrap/>
            <w:vAlign w:val="center"/>
            <w:hideMark/>
          </w:tcPr>
          <w:p w14:paraId="0C3F82C2" w14:textId="77777777" w:rsidR="0015270F" w:rsidRPr="0095562E" w:rsidRDefault="0015270F" w:rsidP="0095562E">
            <w:pPr>
              <w:spacing w:before="0" w:after="0"/>
              <w:rPr>
                <w:rStyle w:val="BookTitle"/>
                <w:sz w:val="18"/>
                <w:szCs w:val="18"/>
              </w:rPr>
            </w:pPr>
            <w:r w:rsidRPr="0095562E">
              <w:rPr>
                <w:rStyle w:val="BookTitle"/>
                <w:sz w:val="18"/>
                <w:szCs w:val="18"/>
              </w:rPr>
              <w:t>-0.67</w:t>
            </w:r>
          </w:p>
        </w:tc>
      </w:tr>
      <w:tr w:rsidR="0015270F" w:rsidRPr="0095562E" w14:paraId="0C3F82D3" w14:textId="77777777" w:rsidTr="0015270F">
        <w:trPr>
          <w:trHeight w:val="20"/>
        </w:trPr>
        <w:tc>
          <w:tcPr>
            <w:tcW w:w="360" w:type="pct"/>
            <w:tcBorders>
              <w:top w:val="nil"/>
              <w:left w:val="nil"/>
              <w:bottom w:val="nil"/>
              <w:right w:val="nil"/>
            </w:tcBorders>
            <w:shd w:val="clear" w:color="auto" w:fill="auto"/>
            <w:noWrap/>
            <w:vAlign w:val="center"/>
            <w:hideMark/>
          </w:tcPr>
          <w:p w14:paraId="0C3F82C4" w14:textId="77777777" w:rsidR="0015270F" w:rsidRPr="0095562E" w:rsidRDefault="0015270F" w:rsidP="0095562E">
            <w:pPr>
              <w:spacing w:before="0" w:after="0"/>
              <w:rPr>
                <w:rStyle w:val="BookTitle"/>
                <w:sz w:val="18"/>
                <w:szCs w:val="18"/>
              </w:rPr>
            </w:pPr>
            <w:r w:rsidRPr="0095562E">
              <w:rPr>
                <w:rStyle w:val="BookTitle"/>
                <w:sz w:val="18"/>
                <w:szCs w:val="18"/>
              </w:rPr>
              <w:t>Disch.</w:t>
            </w:r>
          </w:p>
        </w:tc>
        <w:tc>
          <w:tcPr>
            <w:tcW w:w="324" w:type="pct"/>
            <w:tcBorders>
              <w:top w:val="nil"/>
              <w:left w:val="nil"/>
              <w:bottom w:val="nil"/>
              <w:right w:val="nil"/>
            </w:tcBorders>
            <w:shd w:val="clear" w:color="auto" w:fill="auto"/>
            <w:noWrap/>
            <w:vAlign w:val="center"/>
            <w:hideMark/>
          </w:tcPr>
          <w:p w14:paraId="0C3F82C5" w14:textId="77777777" w:rsidR="0015270F" w:rsidRPr="0095562E" w:rsidRDefault="0015270F" w:rsidP="0095562E">
            <w:pPr>
              <w:spacing w:before="0" w:after="0"/>
              <w:rPr>
                <w:rStyle w:val="BookTitle"/>
                <w:sz w:val="18"/>
                <w:szCs w:val="18"/>
              </w:rPr>
            </w:pPr>
            <w:r w:rsidRPr="0095562E">
              <w:rPr>
                <w:rStyle w:val="BookTitle"/>
                <w:sz w:val="18"/>
                <w:szCs w:val="18"/>
              </w:rPr>
              <w:t>-0.58</w:t>
            </w:r>
          </w:p>
        </w:tc>
        <w:tc>
          <w:tcPr>
            <w:tcW w:w="360" w:type="pct"/>
            <w:tcBorders>
              <w:top w:val="nil"/>
              <w:left w:val="nil"/>
              <w:bottom w:val="nil"/>
              <w:right w:val="nil"/>
            </w:tcBorders>
            <w:shd w:val="clear" w:color="auto" w:fill="auto"/>
            <w:noWrap/>
            <w:vAlign w:val="center"/>
            <w:hideMark/>
          </w:tcPr>
          <w:p w14:paraId="0C3F82C6"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2C7"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2C8"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2C9"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2CA" w14:textId="77777777" w:rsidR="0015270F" w:rsidRPr="0095562E" w:rsidRDefault="0015270F" w:rsidP="0095562E">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center"/>
            <w:hideMark/>
          </w:tcPr>
          <w:p w14:paraId="0C3F82CB"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center"/>
            <w:hideMark/>
          </w:tcPr>
          <w:p w14:paraId="0C3F82CC" w14:textId="77777777" w:rsidR="0015270F" w:rsidRPr="0095562E" w:rsidRDefault="0015270F" w:rsidP="0095562E">
            <w:pPr>
              <w:spacing w:before="0" w:after="0"/>
              <w:rPr>
                <w:rStyle w:val="BookTitle"/>
                <w:sz w:val="18"/>
                <w:szCs w:val="18"/>
              </w:rPr>
            </w:pPr>
            <w:r w:rsidRPr="0095562E">
              <w:rPr>
                <w:rStyle w:val="BookTitle"/>
                <w:sz w:val="18"/>
                <w:szCs w:val="18"/>
              </w:rPr>
              <w:t>0.48</w:t>
            </w:r>
          </w:p>
        </w:tc>
        <w:tc>
          <w:tcPr>
            <w:tcW w:w="324" w:type="pct"/>
            <w:tcBorders>
              <w:top w:val="nil"/>
              <w:left w:val="nil"/>
              <w:bottom w:val="nil"/>
              <w:right w:val="nil"/>
            </w:tcBorders>
            <w:shd w:val="clear" w:color="auto" w:fill="auto"/>
            <w:noWrap/>
            <w:vAlign w:val="center"/>
            <w:hideMark/>
          </w:tcPr>
          <w:p w14:paraId="0C3F82CD"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center"/>
            <w:hideMark/>
          </w:tcPr>
          <w:p w14:paraId="0C3F82CE"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center"/>
            <w:hideMark/>
          </w:tcPr>
          <w:p w14:paraId="0C3F82CF"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2D0"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center"/>
            <w:hideMark/>
          </w:tcPr>
          <w:p w14:paraId="0C3F82D1" w14:textId="77777777" w:rsidR="0015270F" w:rsidRPr="0095562E" w:rsidRDefault="0015270F" w:rsidP="0095562E">
            <w:pPr>
              <w:spacing w:before="0" w:after="0"/>
              <w:rPr>
                <w:rStyle w:val="BookTitle"/>
                <w:sz w:val="18"/>
                <w:szCs w:val="18"/>
              </w:rPr>
            </w:pPr>
            <w:r w:rsidRPr="0095562E">
              <w:rPr>
                <w:rStyle w:val="BookTitle"/>
                <w:sz w:val="18"/>
                <w:szCs w:val="18"/>
              </w:rPr>
              <w:t>0.10</w:t>
            </w:r>
          </w:p>
        </w:tc>
        <w:tc>
          <w:tcPr>
            <w:tcW w:w="396" w:type="pct"/>
            <w:tcBorders>
              <w:top w:val="nil"/>
              <w:left w:val="nil"/>
              <w:bottom w:val="nil"/>
              <w:right w:val="nil"/>
            </w:tcBorders>
            <w:shd w:val="clear" w:color="000000" w:fill="FFFF00"/>
            <w:noWrap/>
            <w:vAlign w:val="center"/>
            <w:hideMark/>
          </w:tcPr>
          <w:p w14:paraId="0C3F82D2" w14:textId="77777777" w:rsidR="0015270F" w:rsidRPr="0095562E" w:rsidRDefault="0015270F" w:rsidP="0095562E">
            <w:pPr>
              <w:spacing w:before="0" w:after="0"/>
              <w:rPr>
                <w:rStyle w:val="BookTitle"/>
                <w:sz w:val="18"/>
                <w:szCs w:val="18"/>
              </w:rPr>
            </w:pPr>
            <w:r w:rsidRPr="0095562E">
              <w:rPr>
                <w:rStyle w:val="BookTitle"/>
                <w:sz w:val="18"/>
                <w:szCs w:val="18"/>
              </w:rPr>
              <w:t>0.68</w:t>
            </w:r>
          </w:p>
        </w:tc>
      </w:tr>
      <w:tr w:rsidR="0015270F" w:rsidRPr="0095562E" w14:paraId="0C3F82E3" w14:textId="77777777" w:rsidTr="0015270F">
        <w:trPr>
          <w:trHeight w:val="20"/>
        </w:trPr>
        <w:tc>
          <w:tcPr>
            <w:tcW w:w="360" w:type="pct"/>
            <w:tcBorders>
              <w:top w:val="nil"/>
              <w:left w:val="nil"/>
              <w:bottom w:val="nil"/>
              <w:right w:val="nil"/>
            </w:tcBorders>
            <w:shd w:val="clear" w:color="auto" w:fill="auto"/>
            <w:noWrap/>
            <w:vAlign w:val="center"/>
            <w:hideMark/>
          </w:tcPr>
          <w:p w14:paraId="0C3F82D4" w14:textId="77777777" w:rsidR="0015270F" w:rsidRPr="0095562E" w:rsidRDefault="0015270F" w:rsidP="0095562E">
            <w:pPr>
              <w:spacing w:before="0" w:after="0"/>
              <w:rPr>
                <w:rStyle w:val="BookTitle"/>
                <w:sz w:val="18"/>
                <w:szCs w:val="18"/>
              </w:rPr>
            </w:pPr>
            <w:r w:rsidRPr="0095562E">
              <w:rPr>
                <w:rStyle w:val="BookTitle"/>
                <w:sz w:val="18"/>
                <w:szCs w:val="18"/>
              </w:rPr>
              <w:t>Dist.</w:t>
            </w:r>
          </w:p>
        </w:tc>
        <w:tc>
          <w:tcPr>
            <w:tcW w:w="324" w:type="pct"/>
            <w:tcBorders>
              <w:top w:val="nil"/>
              <w:left w:val="nil"/>
              <w:bottom w:val="nil"/>
              <w:right w:val="nil"/>
            </w:tcBorders>
            <w:shd w:val="clear" w:color="auto" w:fill="auto"/>
            <w:noWrap/>
            <w:vAlign w:val="center"/>
            <w:hideMark/>
          </w:tcPr>
          <w:p w14:paraId="0C3F82D5"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60" w:type="pct"/>
            <w:tcBorders>
              <w:top w:val="nil"/>
              <w:left w:val="nil"/>
              <w:bottom w:val="nil"/>
              <w:right w:val="nil"/>
            </w:tcBorders>
            <w:shd w:val="clear" w:color="auto" w:fill="auto"/>
            <w:noWrap/>
            <w:vAlign w:val="center"/>
            <w:hideMark/>
          </w:tcPr>
          <w:p w14:paraId="0C3F82D6"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2D7"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2D8"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center"/>
            <w:hideMark/>
          </w:tcPr>
          <w:p w14:paraId="0C3F82D9"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center"/>
            <w:hideMark/>
          </w:tcPr>
          <w:p w14:paraId="0C3F82DA"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center"/>
            <w:hideMark/>
          </w:tcPr>
          <w:p w14:paraId="0C3F82DB"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2DC"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2DD"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2DE"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center"/>
            <w:hideMark/>
          </w:tcPr>
          <w:p w14:paraId="0C3F82DF"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2E0"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2E1"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96" w:type="pct"/>
            <w:tcBorders>
              <w:top w:val="nil"/>
              <w:left w:val="nil"/>
              <w:bottom w:val="nil"/>
              <w:right w:val="nil"/>
            </w:tcBorders>
            <w:shd w:val="clear" w:color="auto" w:fill="auto"/>
            <w:noWrap/>
            <w:vAlign w:val="center"/>
            <w:hideMark/>
          </w:tcPr>
          <w:p w14:paraId="0C3F82E2" w14:textId="77777777" w:rsidR="0015270F" w:rsidRPr="0095562E" w:rsidRDefault="0015270F" w:rsidP="0095562E">
            <w:pPr>
              <w:spacing w:before="0" w:after="0"/>
              <w:rPr>
                <w:rStyle w:val="BookTitle"/>
                <w:sz w:val="18"/>
                <w:szCs w:val="18"/>
              </w:rPr>
            </w:pPr>
            <w:r w:rsidRPr="0095562E">
              <w:rPr>
                <w:rStyle w:val="BookTitle"/>
                <w:sz w:val="18"/>
                <w:szCs w:val="18"/>
              </w:rPr>
              <w:t>-0.32</w:t>
            </w:r>
          </w:p>
        </w:tc>
      </w:tr>
      <w:tr w:rsidR="0015270F" w:rsidRPr="0095562E" w14:paraId="0C3F82F3" w14:textId="77777777" w:rsidTr="0015270F">
        <w:trPr>
          <w:trHeight w:val="20"/>
        </w:trPr>
        <w:tc>
          <w:tcPr>
            <w:tcW w:w="360" w:type="pct"/>
            <w:tcBorders>
              <w:top w:val="nil"/>
              <w:left w:val="nil"/>
              <w:bottom w:val="nil"/>
              <w:right w:val="nil"/>
            </w:tcBorders>
            <w:shd w:val="clear" w:color="auto" w:fill="auto"/>
            <w:noWrap/>
            <w:vAlign w:val="center"/>
            <w:hideMark/>
          </w:tcPr>
          <w:p w14:paraId="0C3F82E4" w14:textId="77777777" w:rsidR="0015270F" w:rsidRPr="0095562E" w:rsidRDefault="0015270F" w:rsidP="0095562E">
            <w:pPr>
              <w:spacing w:before="0" w:after="0"/>
              <w:rPr>
                <w:rStyle w:val="BookTitle"/>
                <w:sz w:val="18"/>
                <w:szCs w:val="18"/>
              </w:rPr>
            </w:pPr>
            <w:r w:rsidRPr="0095562E">
              <w:rPr>
                <w:rStyle w:val="BookTitle"/>
                <w:sz w:val="18"/>
                <w:szCs w:val="18"/>
              </w:rPr>
              <w:t>TSS</w:t>
            </w:r>
          </w:p>
        </w:tc>
        <w:tc>
          <w:tcPr>
            <w:tcW w:w="324" w:type="pct"/>
            <w:tcBorders>
              <w:top w:val="nil"/>
              <w:left w:val="nil"/>
              <w:bottom w:val="nil"/>
              <w:right w:val="nil"/>
            </w:tcBorders>
            <w:shd w:val="clear" w:color="auto" w:fill="auto"/>
            <w:noWrap/>
            <w:vAlign w:val="center"/>
            <w:hideMark/>
          </w:tcPr>
          <w:p w14:paraId="0C3F82E5" w14:textId="77777777" w:rsidR="0015270F" w:rsidRPr="0095562E" w:rsidRDefault="0015270F" w:rsidP="0095562E">
            <w:pPr>
              <w:spacing w:before="0" w:after="0"/>
              <w:rPr>
                <w:rStyle w:val="BookTitle"/>
                <w:sz w:val="18"/>
                <w:szCs w:val="18"/>
              </w:rPr>
            </w:pPr>
            <w:r w:rsidRPr="0095562E">
              <w:rPr>
                <w:rStyle w:val="BookTitle"/>
                <w:sz w:val="18"/>
                <w:szCs w:val="18"/>
              </w:rPr>
              <w:t>-0.30</w:t>
            </w:r>
          </w:p>
        </w:tc>
        <w:tc>
          <w:tcPr>
            <w:tcW w:w="360" w:type="pct"/>
            <w:tcBorders>
              <w:top w:val="nil"/>
              <w:left w:val="nil"/>
              <w:bottom w:val="nil"/>
              <w:right w:val="nil"/>
            </w:tcBorders>
            <w:shd w:val="clear" w:color="auto" w:fill="auto"/>
            <w:noWrap/>
            <w:vAlign w:val="center"/>
            <w:hideMark/>
          </w:tcPr>
          <w:p w14:paraId="0C3F82E6"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2E7"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center"/>
            <w:hideMark/>
          </w:tcPr>
          <w:p w14:paraId="0C3F82E8"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2E9" w14:textId="77777777" w:rsidR="0015270F" w:rsidRPr="0095562E" w:rsidRDefault="0015270F" w:rsidP="0095562E">
            <w:pPr>
              <w:spacing w:before="0" w:after="0"/>
              <w:rPr>
                <w:rStyle w:val="BookTitle"/>
                <w:sz w:val="18"/>
                <w:szCs w:val="18"/>
              </w:rPr>
            </w:pPr>
            <w:r w:rsidRPr="0095562E">
              <w:rPr>
                <w:rStyle w:val="BookTitle"/>
                <w:sz w:val="18"/>
                <w:szCs w:val="18"/>
              </w:rPr>
              <w:t>0.52</w:t>
            </w:r>
          </w:p>
        </w:tc>
        <w:tc>
          <w:tcPr>
            <w:tcW w:w="324" w:type="pct"/>
            <w:tcBorders>
              <w:top w:val="nil"/>
              <w:left w:val="nil"/>
              <w:bottom w:val="nil"/>
              <w:right w:val="nil"/>
            </w:tcBorders>
            <w:shd w:val="clear" w:color="auto" w:fill="auto"/>
            <w:noWrap/>
            <w:vAlign w:val="center"/>
            <w:hideMark/>
          </w:tcPr>
          <w:p w14:paraId="0C3F82EA" w14:textId="77777777" w:rsidR="0015270F" w:rsidRPr="0095562E" w:rsidRDefault="0015270F" w:rsidP="0095562E">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center"/>
            <w:hideMark/>
          </w:tcPr>
          <w:p w14:paraId="0C3F82EB"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2EC"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center"/>
            <w:hideMark/>
          </w:tcPr>
          <w:p w14:paraId="0C3F82ED"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2EE"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center"/>
            <w:hideMark/>
          </w:tcPr>
          <w:p w14:paraId="0C3F82EF"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center"/>
            <w:hideMark/>
          </w:tcPr>
          <w:p w14:paraId="0C3F82F0"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4" w:type="pct"/>
            <w:tcBorders>
              <w:top w:val="nil"/>
              <w:left w:val="nil"/>
              <w:bottom w:val="nil"/>
              <w:right w:val="nil"/>
            </w:tcBorders>
            <w:shd w:val="clear" w:color="auto" w:fill="auto"/>
            <w:noWrap/>
            <w:vAlign w:val="center"/>
            <w:hideMark/>
          </w:tcPr>
          <w:p w14:paraId="0C3F82F1"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96" w:type="pct"/>
            <w:tcBorders>
              <w:top w:val="nil"/>
              <w:left w:val="nil"/>
              <w:bottom w:val="nil"/>
              <w:right w:val="nil"/>
            </w:tcBorders>
            <w:shd w:val="clear" w:color="auto" w:fill="auto"/>
            <w:noWrap/>
            <w:vAlign w:val="center"/>
            <w:hideMark/>
          </w:tcPr>
          <w:p w14:paraId="0C3F82F2" w14:textId="77777777" w:rsidR="0015270F" w:rsidRPr="0095562E" w:rsidRDefault="0015270F" w:rsidP="0095562E">
            <w:pPr>
              <w:spacing w:before="0" w:after="0"/>
              <w:rPr>
                <w:rStyle w:val="BookTitle"/>
                <w:sz w:val="18"/>
                <w:szCs w:val="18"/>
              </w:rPr>
            </w:pPr>
            <w:r w:rsidRPr="0095562E">
              <w:rPr>
                <w:rStyle w:val="BookTitle"/>
                <w:sz w:val="18"/>
                <w:szCs w:val="18"/>
              </w:rPr>
              <w:t>0.27</w:t>
            </w:r>
          </w:p>
        </w:tc>
      </w:tr>
      <w:tr w:rsidR="0015270F" w:rsidRPr="0095562E" w14:paraId="0C3F8303" w14:textId="77777777" w:rsidTr="0015270F">
        <w:trPr>
          <w:trHeight w:val="20"/>
        </w:trPr>
        <w:tc>
          <w:tcPr>
            <w:tcW w:w="360" w:type="pct"/>
            <w:tcBorders>
              <w:top w:val="nil"/>
              <w:left w:val="nil"/>
              <w:bottom w:val="nil"/>
              <w:right w:val="nil"/>
            </w:tcBorders>
            <w:shd w:val="clear" w:color="auto" w:fill="auto"/>
            <w:noWrap/>
            <w:vAlign w:val="center"/>
            <w:hideMark/>
          </w:tcPr>
          <w:p w14:paraId="0C3F82F4" w14:textId="77777777" w:rsidR="0015270F" w:rsidRPr="0095562E" w:rsidRDefault="0015270F" w:rsidP="0095562E">
            <w:pPr>
              <w:spacing w:before="0" w:after="0"/>
              <w:rPr>
                <w:rStyle w:val="BookTitle"/>
                <w:sz w:val="18"/>
                <w:szCs w:val="18"/>
              </w:rPr>
            </w:pPr>
            <w:r w:rsidRPr="0095562E">
              <w:rPr>
                <w:rStyle w:val="BookTitle"/>
                <w:sz w:val="18"/>
                <w:szCs w:val="18"/>
              </w:rPr>
              <w:t>chl-a</w:t>
            </w:r>
          </w:p>
        </w:tc>
        <w:tc>
          <w:tcPr>
            <w:tcW w:w="324" w:type="pct"/>
            <w:tcBorders>
              <w:top w:val="nil"/>
              <w:left w:val="nil"/>
              <w:bottom w:val="nil"/>
              <w:right w:val="nil"/>
            </w:tcBorders>
            <w:shd w:val="clear" w:color="auto" w:fill="auto"/>
            <w:noWrap/>
            <w:vAlign w:val="center"/>
            <w:hideMark/>
          </w:tcPr>
          <w:p w14:paraId="0C3F82F5"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60" w:type="pct"/>
            <w:tcBorders>
              <w:top w:val="nil"/>
              <w:left w:val="nil"/>
              <w:bottom w:val="nil"/>
              <w:right w:val="nil"/>
            </w:tcBorders>
            <w:shd w:val="clear" w:color="auto" w:fill="auto"/>
            <w:noWrap/>
            <w:vAlign w:val="center"/>
            <w:hideMark/>
          </w:tcPr>
          <w:p w14:paraId="0C3F82F6"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2F7"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center"/>
            <w:hideMark/>
          </w:tcPr>
          <w:p w14:paraId="0C3F82F8" w14:textId="77777777" w:rsidR="0015270F" w:rsidRPr="0095562E" w:rsidRDefault="0015270F" w:rsidP="0095562E">
            <w:pPr>
              <w:spacing w:before="0" w:after="0"/>
              <w:rPr>
                <w:rStyle w:val="BookTitle"/>
                <w:sz w:val="18"/>
                <w:szCs w:val="18"/>
              </w:rPr>
            </w:pPr>
            <w:r w:rsidRPr="0095562E">
              <w:rPr>
                <w:rStyle w:val="BookTitle"/>
                <w:sz w:val="18"/>
                <w:szCs w:val="18"/>
              </w:rPr>
              <w:t>0.52</w:t>
            </w:r>
          </w:p>
        </w:tc>
        <w:tc>
          <w:tcPr>
            <w:tcW w:w="324" w:type="pct"/>
            <w:tcBorders>
              <w:top w:val="nil"/>
              <w:left w:val="nil"/>
              <w:bottom w:val="nil"/>
              <w:right w:val="nil"/>
            </w:tcBorders>
            <w:shd w:val="clear" w:color="auto" w:fill="auto"/>
            <w:noWrap/>
            <w:vAlign w:val="center"/>
            <w:hideMark/>
          </w:tcPr>
          <w:p w14:paraId="0C3F82F9"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2FA"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center"/>
            <w:hideMark/>
          </w:tcPr>
          <w:p w14:paraId="0C3F82FB"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2FC"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24" w:type="pct"/>
            <w:tcBorders>
              <w:top w:val="nil"/>
              <w:left w:val="nil"/>
              <w:bottom w:val="nil"/>
              <w:right w:val="nil"/>
            </w:tcBorders>
            <w:shd w:val="clear" w:color="auto" w:fill="auto"/>
            <w:noWrap/>
            <w:vAlign w:val="center"/>
            <w:hideMark/>
          </w:tcPr>
          <w:p w14:paraId="0C3F82FD"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auto" w:fill="auto"/>
            <w:noWrap/>
            <w:vAlign w:val="center"/>
            <w:hideMark/>
          </w:tcPr>
          <w:p w14:paraId="0C3F82FE"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center"/>
            <w:hideMark/>
          </w:tcPr>
          <w:p w14:paraId="0C3F82FF"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auto" w:fill="auto"/>
            <w:noWrap/>
            <w:vAlign w:val="center"/>
            <w:hideMark/>
          </w:tcPr>
          <w:p w14:paraId="0C3F8300" w14:textId="77777777" w:rsidR="0015270F" w:rsidRPr="0095562E" w:rsidRDefault="0015270F" w:rsidP="0095562E">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center"/>
            <w:hideMark/>
          </w:tcPr>
          <w:p w14:paraId="0C3F8301"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96" w:type="pct"/>
            <w:tcBorders>
              <w:top w:val="nil"/>
              <w:left w:val="nil"/>
              <w:bottom w:val="nil"/>
              <w:right w:val="nil"/>
            </w:tcBorders>
            <w:shd w:val="clear" w:color="auto" w:fill="auto"/>
            <w:noWrap/>
            <w:vAlign w:val="center"/>
            <w:hideMark/>
          </w:tcPr>
          <w:p w14:paraId="0C3F8302" w14:textId="77777777" w:rsidR="0015270F" w:rsidRPr="0095562E" w:rsidRDefault="0015270F" w:rsidP="0095562E">
            <w:pPr>
              <w:spacing w:before="0" w:after="0"/>
              <w:rPr>
                <w:rStyle w:val="BookTitle"/>
                <w:sz w:val="18"/>
                <w:szCs w:val="18"/>
              </w:rPr>
            </w:pPr>
            <w:r w:rsidRPr="0095562E">
              <w:rPr>
                <w:rStyle w:val="BookTitle"/>
                <w:sz w:val="18"/>
                <w:szCs w:val="18"/>
              </w:rPr>
              <w:t>0.21</w:t>
            </w:r>
          </w:p>
        </w:tc>
      </w:tr>
      <w:tr w:rsidR="0015270F" w:rsidRPr="0095562E" w14:paraId="0C3F8313" w14:textId="77777777" w:rsidTr="0015270F">
        <w:trPr>
          <w:trHeight w:val="20"/>
        </w:trPr>
        <w:tc>
          <w:tcPr>
            <w:tcW w:w="360" w:type="pct"/>
            <w:tcBorders>
              <w:top w:val="nil"/>
              <w:left w:val="nil"/>
              <w:bottom w:val="nil"/>
              <w:right w:val="nil"/>
            </w:tcBorders>
            <w:shd w:val="clear" w:color="auto" w:fill="auto"/>
            <w:noWrap/>
            <w:vAlign w:val="center"/>
            <w:hideMark/>
          </w:tcPr>
          <w:p w14:paraId="0C3F8304" w14:textId="77777777" w:rsidR="0015270F" w:rsidRPr="0095562E" w:rsidRDefault="0015270F" w:rsidP="0095562E">
            <w:pPr>
              <w:spacing w:before="0" w:after="0"/>
              <w:rPr>
                <w:rStyle w:val="BookTitle"/>
                <w:sz w:val="18"/>
                <w:szCs w:val="18"/>
              </w:rPr>
            </w:pPr>
            <w:r w:rsidRPr="0095562E">
              <w:rPr>
                <w:rStyle w:val="BookTitle"/>
                <w:sz w:val="18"/>
                <w:szCs w:val="18"/>
              </w:rPr>
              <w:t>TN</w:t>
            </w:r>
          </w:p>
        </w:tc>
        <w:tc>
          <w:tcPr>
            <w:tcW w:w="324" w:type="pct"/>
            <w:tcBorders>
              <w:top w:val="nil"/>
              <w:left w:val="nil"/>
              <w:bottom w:val="nil"/>
              <w:right w:val="nil"/>
            </w:tcBorders>
            <w:shd w:val="clear" w:color="auto" w:fill="auto"/>
            <w:noWrap/>
            <w:vAlign w:val="center"/>
            <w:hideMark/>
          </w:tcPr>
          <w:p w14:paraId="0C3F8305" w14:textId="77777777" w:rsidR="0015270F" w:rsidRPr="0095562E" w:rsidRDefault="0015270F" w:rsidP="0095562E">
            <w:pPr>
              <w:spacing w:before="0" w:after="0"/>
              <w:rPr>
                <w:rStyle w:val="BookTitle"/>
                <w:sz w:val="18"/>
                <w:szCs w:val="18"/>
              </w:rPr>
            </w:pPr>
            <w:r w:rsidRPr="0095562E">
              <w:rPr>
                <w:rStyle w:val="BookTitle"/>
                <w:sz w:val="18"/>
                <w:szCs w:val="18"/>
              </w:rPr>
              <w:t>-0.41</w:t>
            </w:r>
          </w:p>
        </w:tc>
        <w:tc>
          <w:tcPr>
            <w:tcW w:w="360" w:type="pct"/>
            <w:tcBorders>
              <w:top w:val="nil"/>
              <w:left w:val="nil"/>
              <w:bottom w:val="nil"/>
              <w:right w:val="nil"/>
            </w:tcBorders>
            <w:shd w:val="clear" w:color="auto" w:fill="auto"/>
            <w:noWrap/>
            <w:vAlign w:val="center"/>
            <w:hideMark/>
          </w:tcPr>
          <w:p w14:paraId="0C3F8306" w14:textId="77777777" w:rsidR="0015270F" w:rsidRPr="0095562E" w:rsidRDefault="0015270F" w:rsidP="0095562E">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center"/>
            <w:hideMark/>
          </w:tcPr>
          <w:p w14:paraId="0C3F8307"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center"/>
            <w:hideMark/>
          </w:tcPr>
          <w:p w14:paraId="0C3F8308" w14:textId="77777777" w:rsidR="0015270F" w:rsidRPr="0095562E" w:rsidRDefault="0015270F" w:rsidP="0095562E">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center"/>
            <w:hideMark/>
          </w:tcPr>
          <w:p w14:paraId="0C3F8309"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center"/>
            <w:hideMark/>
          </w:tcPr>
          <w:p w14:paraId="0C3F830A"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center"/>
            <w:hideMark/>
          </w:tcPr>
          <w:p w14:paraId="0C3F830B" w14:textId="77777777" w:rsidR="0015270F" w:rsidRPr="0095562E" w:rsidRDefault="0015270F" w:rsidP="0095562E">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center"/>
            <w:hideMark/>
          </w:tcPr>
          <w:p w14:paraId="0C3F830C"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000000" w:fill="FFFF00"/>
            <w:noWrap/>
            <w:vAlign w:val="center"/>
            <w:hideMark/>
          </w:tcPr>
          <w:p w14:paraId="0C3F830D" w14:textId="77777777" w:rsidR="0015270F" w:rsidRPr="0095562E" w:rsidRDefault="0015270F" w:rsidP="0095562E">
            <w:pPr>
              <w:spacing w:before="0" w:after="0"/>
              <w:rPr>
                <w:rStyle w:val="BookTitle"/>
                <w:sz w:val="18"/>
                <w:szCs w:val="18"/>
              </w:rPr>
            </w:pPr>
            <w:r w:rsidRPr="0095562E">
              <w:rPr>
                <w:rStyle w:val="BookTitle"/>
                <w:sz w:val="18"/>
                <w:szCs w:val="18"/>
              </w:rPr>
              <w:t>0.65</w:t>
            </w:r>
          </w:p>
        </w:tc>
        <w:tc>
          <w:tcPr>
            <w:tcW w:w="324" w:type="pct"/>
            <w:tcBorders>
              <w:top w:val="nil"/>
              <w:left w:val="nil"/>
              <w:bottom w:val="nil"/>
              <w:right w:val="nil"/>
            </w:tcBorders>
            <w:shd w:val="clear" w:color="auto" w:fill="auto"/>
            <w:noWrap/>
            <w:vAlign w:val="center"/>
            <w:hideMark/>
          </w:tcPr>
          <w:p w14:paraId="0C3F830E" w14:textId="77777777" w:rsidR="0015270F" w:rsidRPr="0095562E" w:rsidRDefault="0015270F" w:rsidP="0095562E">
            <w:pPr>
              <w:spacing w:before="0" w:after="0"/>
              <w:rPr>
                <w:rStyle w:val="BookTitle"/>
                <w:sz w:val="18"/>
                <w:szCs w:val="18"/>
              </w:rPr>
            </w:pPr>
            <w:r w:rsidRPr="0095562E">
              <w:rPr>
                <w:rStyle w:val="BookTitle"/>
                <w:sz w:val="18"/>
                <w:szCs w:val="18"/>
              </w:rPr>
              <w:t>0.54</w:t>
            </w:r>
          </w:p>
        </w:tc>
        <w:tc>
          <w:tcPr>
            <w:tcW w:w="324" w:type="pct"/>
            <w:tcBorders>
              <w:top w:val="nil"/>
              <w:left w:val="nil"/>
              <w:bottom w:val="nil"/>
              <w:right w:val="nil"/>
            </w:tcBorders>
            <w:shd w:val="clear" w:color="auto" w:fill="auto"/>
            <w:noWrap/>
            <w:vAlign w:val="center"/>
            <w:hideMark/>
          </w:tcPr>
          <w:p w14:paraId="0C3F830F" w14:textId="77777777" w:rsidR="0015270F" w:rsidRPr="0095562E" w:rsidRDefault="0015270F" w:rsidP="0095562E">
            <w:pPr>
              <w:spacing w:before="0" w:after="0"/>
              <w:rPr>
                <w:rStyle w:val="BookTitle"/>
                <w:sz w:val="18"/>
                <w:szCs w:val="18"/>
              </w:rPr>
            </w:pPr>
            <w:r w:rsidRPr="0095562E">
              <w:rPr>
                <w:rStyle w:val="BookTitle"/>
                <w:sz w:val="18"/>
                <w:szCs w:val="18"/>
              </w:rPr>
              <w:t>0.36</w:t>
            </w:r>
          </w:p>
        </w:tc>
        <w:tc>
          <w:tcPr>
            <w:tcW w:w="324" w:type="pct"/>
            <w:tcBorders>
              <w:top w:val="nil"/>
              <w:left w:val="nil"/>
              <w:bottom w:val="nil"/>
              <w:right w:val="nil"/>
            </w:tcBorders>
            <w:shd w:val="clear" w:color="auto" w:fill="auto"/>
            <w:noWrap/>
            <w:vAlign w:val="center"/>
            <w:hideMark/>
          </w:tcPr>
          <w:p w14:paraId="0C3F8310"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311" w14:textId="77777777" w:rsidR="0015270F" w:rsidRPr="0095562E" w:rsidRDefault="0015270F" w:rsidP="0095562E">
            <w:pPr>
              <w:spacing w:before="0" w:after="0"/>
              <w:rPr>
                <w:rStyle w:val="BookTitle"/>
                <w:sz w:val="18"/>
                <w:szCs w:val="18"/>
              </w:rPr>
            </w:pPr>
            <w:r w:rsidRPr="0095562E">
              <w:rPr>
                <w:rStyle w:val="BookTitle"/>
                <w:sz w:val="18"/>
                <w:szCs w:val="18"/>
              </w:rPr>
              <w:t>0.44</w:t>
            </w:r>
          </w:p>
        </w:tc>
        <w:tc>
          <w:tcPr>
            <w:tcW w:w="396" w:type="pct"/>
            <w:tcBorders>
              <w:top w:val="nil"/>
              <w:left w:val="nil"/>
              <w:bottom w:val="nil"/>
              <w:right w:val="nil"/>
            </w:tcBorders>
            <w:shd w:val="clear" w:color="auto" w:fill="auto"/>
            <w:noWrap/>
            <w:vAlign w:val="center"/>
            <w:hideMark/>
          </w:tcPr>
          <w:p w14:paraId="0C3F8312" w14:textId="77777777" w:rsidR="0015270F" w:rsidRPr="0095562E" w:rsidRDefault="0015270F" w:rsidP="0095562E">
            <w:pPr>
              <w:spacing w:before="0" w:after="0"/>
              <w:rPr>
                <w:rStyle w:val="BookTitle"/>
                <w:sz w:val="18"/>
                <w:szCs w:val="18"/>
              </w:rPr>
            </w:pPr>
            <w:r w:rsidRPr="0095562E">
              <w:rPr>
                <w:rStyle w:val="BookTitle"/>
                <w:sz w:val="18"/>
                <w:szCs w:val="18"/>
              </w:rPr>
              <w:t>0.20</w:t>
            </w:r>
          </w:p>
        </w:tc>
      </w:tr>
      <w:tr w:rsidR="0015270F" w:rsidRPr="0095562E" w14:paraId="0C3F8323" w14:textId="77777777" w:rsidTr="0015270F">
        <w:trPr>
          <w:trHeight w:val="20"/>
        </w:trPr>
        <w:tc>
          <w:tcPr>
            <w:tcW w:w="360" w:type="pct"/>
            <w:tcBorders>
              <w:top w:val="nil"/>
              <w:left w:val="nil"/>
              <w:bottom w:val="nil"/>
              <w:right w:val="nil"/>
            </w:tcBorders>
            <w:shd w:val="clear" w:color="auto" w:fill="auto"/>
            <w:noWrap/>
            <w:vAlign w:val="center"/>
            <w:hideMark/>
          </w:tcPr>
          <w:p w14:paraId="0C3F8314" w14:textId="77777777" w:rsidR="0015270F" w:rsidRPr="0095562E" w:rsidRDefault="0015270F" w:rsidP="0095562E">
            <w:pPr>
              <w:spacing w:before="0" w:after="0"/>
              <w:rPr>
                <w:rStyle w:val="BookTitle"/>
                <w:sz w:val="18"/>
                <w:szCs w:val="18"/>
              </w:rPr>
            </w:pPr>
            <w:r w:rsidRPr="0095562E">
              <w:rPr>
                <w:rStyle w:val="BookTitle"/>
                <w:sz w:val="18"/>
                <w:szCs w:val="18"/>
              </w:rPr>
              <w:t>TDN</w:t>
            </w:r>
          </w:p>
        </w:tc>
        <w:tc>
          <w:tcPr>
            <w:tcW w:w="324" w:type="pct"/>
            <w:tcBorders>
              <w:top w:val="nil"/>
              <w:left w:val="nil"/>
              <w:bottom w:val="nil"/>
              <w:right w:val="nil"/>
            </w:tcBorders>
            <w:shd w:val="clear" w:color="auto" w:fill="auto"/>
            <w:noWrap/>
            <w:vAlign w:val="center"/>
            <w:hideMark/>
          </w:tcPr>
          <w:p w14:paraId="0C3F8315"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60" w:type="pct"/>
            <w:tcBorders>
              <w:top w:val="nil"/>
              <w:left w:val="nil"/>
              <w:bottom w:val="nil"/>
              <w:right w:val="nil"/>
            </w:tcBorders>
            <w:shd w:val="clear" w:color="auto" w:fill="auto"/>
            <w:noWrap/>
            <w:vAlign w:val="center"/>
            <w:hideMark/>
          </w:tcPr>
          <w:p w14:paraId="0C3F8316"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center"/>
            <w:hideMark/>
          </w:tcPr>
          <w:p w14:paraId="0C3F8317"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318"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319"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000000" w:fill="FFFF00"/>
            <w:noWrap/>
            <w:vAlign w:val="center"/>
            <w:hideMark/>
          </w:tcPr>
          <w:p w14:paraId="0C3F831A" w14:textId="77777777" w:rsidR="0015270F" w:rsidRPr="0095562E" w:rsidRDefault="0015270F" w:rsidP="0095562E">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center"/>
            <w:hideMark/>
          </w:tcPr>
          <w:p w14:paraId="0C3F831B"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31C"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000000" w:fill="FFFF00"/>
            <w:noWrap/>
            <w:vAlign w:val="center"/>
            <w:hideMark/>
          </w:tcPr>
          <w:p w14:paraId="0C3F831D" w14:textId="77777777" w:rsidR="0015270F" w:rsidRPr="0095562E" w:rsidRDefault="0015270F" w:rsidP="0095562E">
            <w:pPr>
              <w:spacing w:before="0" w:after="0"/>
              <w:rPr>
                <w:rStyle w:val="BookTitle"/>
                <w:sz w:val="18"/>
                <w:szCs w:val="18"/>
              </w:rPr>
            </w:pPr>
            <w:r w:rsidRPr="0095562E">
              <w:rPr>
                <w:rStyle w:val="BookTitle"/>
                <w:sz w:val="18"/>
                <w:szCs w:val="18"/>
              </w:rPr>
              <w:t>0.60</w:t>
            </w:r>
          </w:p>
        </w:tc>
        <w:tc>
          <w:tcPr>
            <w:tcW w:w="324" w:type="pct"/>
            <w:tcBorders>
              <w:top w:val="nil"/>
              <w:left w:val="nil"/>
              <w:bottom w:val="nil"/>
              <w:right w:val="nil"/>
            </w:tcBorders>
            <w:shd w:val="clear" w:color="auto" w:fill="auto"/>
            <w:noWrap/>
            <w:vAlign w:val="center"/>
            <w:hideMark/>
          </w:tcPr>
          <w:p w14:paraId="0C3F831E"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24" w:type="pct"/>
            <w:tcBorders>
              <w:top w:val="nil"/>
              <w:left w:val="nil"/>
              <w:bottom w:val="nil"/>
              <w:right w:val="nil"/>
            </w:tcBorders>
            <w:shd w:val="clear" w:color="auto" w:fill="auto"/>
            <w:noWrap/>
            <w:vAlign w:val="center"/>
            <w:hideMark/>
          </w:tcPr>
          <w:p w14:paraId="0C3F831F" w14:textId="77777777" w:rsidR="0015270F" w:rsidRPr="0095562E" w:rsidRDefault="0015270F" w:rsidP="0095562E">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center"/>
            <w:hideMark/>
          </w:tcPr>
          <w:p w14:paraId="0C3F8320"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center"/>
            <w:hideMark/>
          </w:tcPr>
          <w:p w14:paraId="0C3F8321"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96" w:type="pct"/>
            <w:tcBorders>
              <w:top w:val="nil"/>
              <w:left w:val="nil"/>
              <w:bottom w:val="nil"/>
              <w:right w:val="nil"/>
            </w:tcBorders>
            <w:shd w:val="clear" w:color="auto" w:fill="auto"/>
            <w:noWrap/>
            <w:vAlign w:val="center"/>
            <w:hideMark/>
          </w:tcPr>
          <w:p w14:paraId="0C3F8322" w14:textId="77777777" w:rsidR="0015270F" w:rsidRPr="0095562E" w:rsidRDefault="0015270F" w:rsidP="0095562E">
            <w:pPr>
              <w:spacing w:before="0" w:after="0"/>
              <w:rPr>
                <w:rStyle w:val="BookTitle"/>
                <w:sz w:val="18"/>
                <w:szCs w:val="18"/>
              </w:rPr>
            </w:pPr>
            <w:r w:rsidRPr="0095562E">
              <w:rPr>
                <w:rStyle w:val="BookTitle"/>
                <w:sz w:val="18"/>
                <w:szCs w:val="18"/>
              </w:rPr>
              <w:t>0.31</w:t>
            </w:r>
          </w:p>
        </w:tc>
      </w:tr>
      <w:tr w:rsidR="0015270F" w:rsidRPr="0095562E" w14:paraId="0C3F8333" w14:textId="77777777" w:rsidTr="0015270F">
        <w:trPr>
          <w:trHeight w:val="20"/>
        </w:trPr>
        <w:tc>
          <w:tcPr>
            <w:tcW w:w="360" w:type="pct"/>
            <w:tcBorders>
              <w:top w:val="nil"/>
              <w:left w:val="nil"/>
              <w:bottom w:val="nil"/>
              <w:right w:val="nil"/>
            </w:tcBorders>
            <w:shd w:val="clear" w:color="auto" w:fill="auto"/>
            <w:noWrap/>
            <w:vAlign w:val="center"/>
            <w:hideMark/>
          </w:tcPr>
          <w:p w14:paraId="0C3F8324" w14:textId="77777777" w:rsidR="0015270F" w:rsidRPr="0095562E" w:rsidRDefault="0015270F" w:rsidP="0095562E">
            <w:pPr>
              <w:spacing w:before="0" w:after="0"/>
              <w:rPr>
                <w:rStyle w:val="BookTitle"/>
                <w:sz w:val="18"/>
                <w:szCs w:val="18"/>
              </w:rPr>
            </w:pPr>
            <w:r w:rsidRPr="0095562E">
              <w:rPr>
                <w:rStyle w:val="BookTitle"/>
                <w:sz w:val="18"/>
                <w:szCs w:val="18"/>
              </w:rPr>
              <w:t>DIN</w:t>
            </w:r>
          </w:p>
        </w:tc>
        <w:tc>
          <w:tcPr>
            <w:tcW w:w="324" w:type="pct"/>
            <w:tcBorders>
              <w:top w:val="nil"/>
              <w:left w:val="nil"/>
              <w:bottom w:val="nil"/>
              <w:right w:val="nil"/>
            </w:tcBorders>
            <w:shd w:val="clear" w:color="auto" w:fill="auto"/>
            <w:noWrap/>
            <w:vAlign w:val="center"/>
            <w:hideMark/>
          </w:tcPr>
          <w:p w14:paraId="0C3F8325" w14:textId="77777777" w:rsidR="0015270F" w:rsidRPr="0095562E" w:rsidRDefault="0015270F" w:rsidP="0095562E">
            <w:pPr>
              <w:spacing w:before="0" w:after="0"/>
              <w:rPr>
                <w:rStyle w:val="BookTitle"/>
                <w:sz w:val="18"/>
                <w:szCs w:val="18"/>
              </w:rPr>
            </w:pPr>
            <w:r w:rsidRPr="0095562E">
              <w:rPr>
                <w:rStyle w:val="BookTitle"/>
                <w:sz w:val="18"/>
                <w:szCs w:val="18"/>
              </w:rPr>
              <w:t>-0.46</w:t>
            </w:r>
          </w:p>
        </w:tc>
        <w:tc>
          <w:tcPr>
            <w:tcW w:w="360" w:type="pct"/>
            <w:tcBorders>
              <w:top w:val="nil"/>
              <w:left w:val="nil"/>
              <w:bottom w:val="nil"/>
              <w:right w:val="nil"/>
            </w:tcBorders>
            <w:shd w:val="clear" w:color="auto" w:fill="auto"/>
            <w:noWrap/>
            <w:vAlign w:val="center"/>
            <w:hideMark/>
          </w:tcPr>
          <w:p w14:paraId="0C3F8326" w14:textId="77777777" w:rsidR="0015270F" w:rsidRPr="0095562E" w:rsidRDefault="0015270F" w:rsidP="0095562E">
            <w:pPr>
              <w:spacing w:before="0" w:after="0"/>
              <w:rPr>
                <w:rStyle w:val="BookTitle"/>
                <w:sz w:val="18"/>
                <w:szCs w:val="18"/>
              </w:rPr>
            </w:pPr>
            <w:r w:rsidRPr="0095562E">
              <w:rPr>
                <w:rStyle w:val="BookTitle"/>
                <w:sz w:val="18"/>
                <w:szCs w:val="18"/>
              </w:rPr>
              <w:t>0.48</w:t>
            </w:r>
          </w:p>
        </w:tc>
        <w:tc>
          <w:tcPr>
            <w:tcW w:w="324" w:type="pct"/>
            <w:tcBorders>
              <w:top w:val="nil"/>
              <w:left w:val="nil"/>
              <w:bottom w:val="nil"/>
              <w:right w:val="nil"/>
            </w:tcBorders>
            <w:shd w:val="clear" w:color="auto" w:fill="auto"/>
            <w:noWrap/>
            <w:vAlign w:val="center"/>
            <w:hideMark/>
          </w:tcPr>
          <w:p w14:paraId="0C3F8327"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328"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center"/>
            <w:hideMark/>
          </w:tcPr>
          <w:p w14:paraId="0C3F8329"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24" w:type="pct"/>
            <w:tcBorders>
              <w:top w:val="nil"/>
              <w:left w:val="nil"/>
              <w:bottom w:val="nil"/>
              <w:right w:val="nil"/>
            </w:tcBorders>
            <w:shd w:val="clear" w:color="auto" w:fill="auto"/>
            <w:noWrap/>
            <w:vAlign w:val="center"/>
            <w:hideMark/>
          </w:tcPr>
          <w:p w14:paraId="0C3F832A"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center"/>
            <w:hideMark/>
          </w:tcPr>
          <w:p w14:paraId="0C3F832B"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center"/>
            <w:hideMark/>
          </w:tcPr>
          <w:p w14:paraId="0C3F832C"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32D"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center"/>
            <w:hideMark/>
          </w:tcPr>
          <w:p w14:paraId="0C3F832E" w14:textId="77777777" w:rsidR="0015270F" w:rsidRPr="0095562E" w:rsidRDefault="0015270F" w:rsidP="0095562E">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auto" w:fill="auto"/>
            <w:noWrap/>
            <w:vAlign w:val="center"/>
            <w:hideMark/>
          </w:tcPr>
          <w:p w14:paraId="0C3F832F" w14:textId="77777777" w:rsidR="0015270F" w:rsidRPr="0095562E" w:rsidRDefault="0015270F" w:rsidP="0095562E">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center"/>
            <w:hideMark/>
          </w:tcPr>
          <w:p w14:paraId="0C3F8330"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331"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96" w:type="pct"/>
            <w:tcBorders>
              <w:top w:val="nil"/>
              <w:left w:val="nil"/>
              <w:bottom w:val="nil"/>
              <w:right w:val="nil"/>
            </w:tcBorders>
            <w:shd w:val="clear" w:color="auto" w:fill="auto"/>
            <w:noWrap/>
            <w:vAlign w:val="center"/>
            <w:hideMark/>
          </w:tcPr>
          <w:p w14:paraId="0C3F8332" w14:textId="77777777" w:rsidR="0015270F" w:rsidRPr="0095562E" w:rsidRDefault="0015270F" w:rsidP="0095562E">
            <w:pPr>
              <w:spacing w:before="0" w:after="0"/>
              <w:rPr>
                <w:rStyle w:val="BookTitle"/>
                <w:sz w:val="18"/>
                <w:szCs w:val="18"/>
              </w:rPr>
            </w:pPr>
            <w:r w:rsidRPr="0095562E">
              <w:rPr>
                <w:rStyle w:val="BookTitle"/>
                <w:sz w:val="18"/>
                <w:szCs w:val="18"/>
              </w:rPr>
              <w:t>0.56</w:t>
            </w:r>
          </w:p>
        </w:tc>
      </w:tr>
      <w:tr w:rsidR="0015270F" w:rsidRPr="0095562E" w14:paraId="0C3F8343" w14:textId="77777777" w:rsidTr="0015270F">
        <w:trPr>
          <w:trHeight w:val="20"/>
        </w:trPr>
        <w:tc>
          <w:tcPr>
            <w:tcW w:w="360" w:type="pct"/>
            <w:tcBorders>
              <w:top w:val="nil"/>
              <w:left w:val="nil"/>
              <w:bottom w:val="nil"/>
              <w:right w:val="nil"/>
            </w:tcBorders>
            <w:shd w:val="clear" w:color="auto" w:fill="auto"/>
            <w:noWrap/>
            <w:vAlign w:val="center"/>
            <w:hideMark/>
          </w:tcPr>
          <w:p w14:paraId="0C3F8334" w14:textId="77777777" w:rsidR="0015270F" w:rsidRPr="0095562E" w:rsidRDefault="0015270F" w:rsidP="0095562E">
            <w:pPr>
              <w:spacing w:before="0" w:after="0"/>
              <w:rPr>
                <w:rStyle w:val="BookTitle"/>
                <w:sz w:val="18"/>
                <w:szCs w:val="18"/>
              </w:rPr>
            </w:pPr>
            <w:r w:rsidRPr="0095562E">
              <w:rPr>
                <w:rStyle w:val="BookTitle"/>
                <w:sz w:val="18"/>
                <w:szCs w:val="18"/>
              </w:rPr>
              <w:t>TP</w:t>
            </w:r>
          </w:p>
        </w:tc>
        <w:tc>
          <w:tcPr>
            <w:tcW w:w="324" w:type="pct"/>
            <w:tcBorders>
              <w:top w:val="nil"/>
              <w:left w:val="nil"/>
              <w:bottom w:val="nil"/>
              <w:right w:val="nil"/>
            </w:tcBorders>
            <w:shd w:val="clear" w:color="auto" w:fill="auto"/>
            <w:noWrap/>
            <w:vAlign w:val="center"/>
            <w:hideMark/>
          </w:tcPr>
          <w:p w14:paraId="0C3F8335" w14:textId="77777777" w:rsidR="0015270F" w:rsidRPr="0095562E" w:rsidRDefault="0015270F" w:rsidP="0095562E">
            <w:pPr>
              <w:spacing w:before="0" w:after="0"/>
              <w:rPr>
                <w:rStyle w:val="BookTitle"/>
                <w:sz w:val="18"/>
                <w:szCs w:val="18"/>
              </w:rPr>
            </w:pPr>
            <w:r w:rsidRPr="0095562E">
              <w:rPr>
                <w:rStyle w:val="BookTitle"/>
                <w:sz w:val="18"/>
                <w:szCs w:val="18"/>
              </w:rPr>
              <w:t>-0.59</w:t>
            </w:r>
          </w:p>
        </w:tc>
        <w:tc>
          <w:tcPr>
            <w:tcW w:w="360" w:type="pct"/>
            <w:tcBorders>
              <w:top w:val="nil"/>
              <w:left w:val="nil"/>
              <w:bottom w:val="nil"/>
              <w:right w:val="nil"/>
            </w:tcBorders>
            <w:shd w:val="clear" w:color="auto" w:fill="auto"/>
            <w:noWrap/>
            <w:vAlign w:val="center"/>
            <w:hideMark/>
          </w:tcPr>
          <w:p w14:paraId="0C3F8336"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center"/>
            <w:hideMark/>
          </w:tcPr>
          <w:p w14:paraId="0C3F8337"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338"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339"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000000" w:fill="FFFF00"/>
            <w:noWrap/>
            <w:vAlign w:val="center"/>
            <w:hideMark/>
          </w:tcPr>
          <w:p w14:paraId="0C3F833A" w14:textId="77777777" w:rsidR="0015270F" w:rsidRPr="0095562E" w:rsidRDefault="0015270F" w:rsidP="0095562E">
            <w:pPr>
              <w:spacing w:before="0" w:after="0"/>
              <w:rPr>
                <w:rStyle w:val="BookTitle"/>
                <w:sz w:val="18"/>
                <w:szCs w:val="18"/>
              </w:rPr>
            </w:pPr>
            <w:r w:rsidRPr="0095562E">
              <w:rPr>
                <w:rStyle w:val="BookTitle"/>
                <w:sz w:val="18"/>
                <w:szCs w:val="18"/>
              </w:rPr>
              <w:t>0.65</w:t>
            </w:r>
          </w:p>
        </w:tc>
        <w:tc>
          <w:tcPr>
            <w:tcW w:w="324" w:type="pct"/>
            <w:tcBorders>
              <w:top w:val="nil"/>
              <w:left w:val="nil"/>
              <w:bottom w:val="nil"/>
              <w:right w:val="nil"/>
            </w:tcBorders>
            <w:shd w:val="clear" w:color="000000" w:fill="FFFF00"/>
            <w:noWrap/>
            <w:vAlign w:val="center"/>
            <w:hideMark/>
          </w:tcPr>
          <w:p w14:paraId="0C3F833B" w14:textId="77777777" w:rsidR="0015270F" w:rsidRPr="0095562E" w:rsidRDefault="0015270F" w:rsidP="0095562E">
            <w:pPr>
              <w:spacing w:before="0" w:after="0"/>
              <w:rPr>
                <w:rStyle w:val="BookTitle"/>
                <w:sz w:val="18"/>
                <w:szCs w:val="18"/>
              </w:rPr>
            </w:pPr>
            <w:r w:rsidRPr="0095562E">
              <w:rPr>
                <w:rStyle w:val="BookTitle"/>
                <w:sz w:val="18"/>
                <w:szCs w:val="18"/>
              </w:rPr>
              <w:t>0.60</w:t>
            </w:r>
          </w:p>
        </w:tc>
        <w:tc>
          <w:tcPr>
            <w:tcW w:w="324" w:type="pct"/>
            <w:tcBorders>
              <w:top w:val="nil"/>
              <w:left w:val="nil"/>
              <w:bottom w:val="nil"/>
              <w:right w:val="nil"/>
            </w:tcBorders>
            <w:shd w:val="clear" w:color="auto" w:fill="auto"/>
            <w:noWrap/>
            <w:vAlign w:val="center"/>
            <w:hideMark/>
          </w:tcPr>
          <w:p w14:paraId="0C3F833C"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center"/>
            <w:hideMark/>
          </w:tcPr>
          <w:p w14:paraId="0C3F833D"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center"/>
            <w:hideMark/>
          </w:tcPr>
          <w:p w14:paraId="0C3F833E" w14:textId="77777777" w:rsidR="0015270F" w:rsidRPr="0095562E" w:rsidRDefault="0015270F" w:rsidP="0095562E">
            <w:pPr>
              <w:spacing w:before="0" w:after="0"/>
              <w:rPr>
                <w:rStyle w:val="BookTitle"/>
                <w:sz w:val="18"/>
                <w:szCs w:val="18"/>
              </w:rPr>
            </w:pPr>
            <w:r w:rsidRPr="0095562E">
              <w:rPr>
                <w:rStyle w:val="BookTitle"/>
                <w:sz w:val="18"/>
                <w:szCs w:val="18"/>
              </w:rPr>
              <w:t>0.82</w:t>
            </w:r>
          </w:p>
        </w:tc>
        <w:tc>
          <w:tcPr>
            <w:tcW w:w="324" w:type="pct"/>
            <w:tcBorders>
              <w:top w:val="nil"/>
              <w:left w:val="nil"/>
              <w:bottom w:val="nil"/>
              <w:right w:val="nil"/>
            </w:tcBorders>
            <w:shd w:val="clear" w:color="auto" w:fill="auto"/>
            <w:noWrap/>
            <w:vAlign w:val="center"/>
            <w:hideMark/>
          </w:tcPr>
          <w:p w14:paraId="0C3F833F" w14:textId="77777777" w:rsidR="0015270F" w:rsidRPr="0095562E" w:rsidRDefault="0015270F" w:rsidP="0095562E">
            <w:pPr>
              <w:spacing w:before="0" w:after="0"/>
              <w:rPr>
                <w:rStyle w:val="BookTitle"/>
                <w:sz w:val="18"/>
                <w:szCs w:val="18"/>
              </w:rPr>
            </w:pPr>
            <w:r w:rsidRPr="0095562E">
              <w:rPr>
                <w:rStyle w:val="BookTitle"/>
                <w:sz w:val="18"/>
                <w:szCs w:val="18"/>
              </w:rPr>
              <w:t>0.49</w:t>
            </w:r>
          </w:p>
        </w:tc>
        <w:tc>
          <w:tcPr>
            <w:tcW w:w="324" w:type="pct"/>
            <w:tcBorders>
              <w:top w:val="nil"/>
              <w:left w:val="nil"/>
              <w:bottom w:val="nil"/>
              <w:right w:val="nil"/>
            </w:tcBorders>
            <w:shd w:val="clear" w:color="auto" w:fill="auto"/>
            <w:noWrap/>
            <w:vAlign w:val="center"/>
            <w:hideMark/>
          </w:tcPr>
          <w:p w14:paraId="0C3F8340"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000000" w:fill="FFFF00"/>
            <w:noWrap/>
            <w:vAlign w:val="center"/>
            <w:hideMark/>
          </w:tcPr>
          <w:p w14:paraId="0C3F8341" w14:textId="77777777" w:rsidR="0015270F" w:rsidRPr="0095562E" w:rsidRDefault="0015270F" w:rsidP="0095562E">
            <w:pPr>
              <w:spacing w:before="0" w:after="0"/>
              <w:rPr>
                <w:rStyle w:val="BookTitle"/>
                <w:sz w:val="18"/>
                <w:szCs w:val="18"/>
              </w:rPr>
            </w:pPr>
            <w:r w:rsidRPr="0095562E">
              <w:rPr>
                <w:rStyle w:val="BookTitle"/>
                <w:sz w:val="18"/>
                <w:szCs w:val="18"/>
              </w:rPr>
              <w:t>0.75</w:t>
            </w:r>
          </w:p>
        </w:tc>
        <w:tc>
          <w:tcPr>
            <w:tcW w:w="396" w:type="pct"/>
            <w:tcBorders>
              <w:top w:val="nil"/>
              <w:left w:val="nil"/>
              <w:bottom w:val="nil"/>
              <w:right w:val="nil"/>
            </w:tcBorders>
            <w:shd w:val="clear" w:color="auto" w:fill="auto"/>
            <w:noWrap/>
            <w:vAlign w:val="center"/>
            <w:hideMark/>
          </w:tcPr>
          <w:p w14:paraId="0C3F8342" w14:textId="77777777" w:rsidR="0015270F" w:rsidRPr="0095562E" w:rsidRDefault="0015270F" w:rsidP="0095562E">
            <w:pPr>
              <w:spacing w:before="0" w:after="0"/>
              <w:rPr>
                <w:rStyle w:val="BookTitle"/>
                <w:sz w:val="18"/>
                <w:szCs w:val="18"/>
              </w:rPr>
            </w:pPr>
            <w:r w:rsidRPr="0095562E">
              <w:rPr>
                <w:rStyle w:val="BookTitle"/>
                <w:sz w:val="18"/>
                <w:szCs w:val="18"/>
              </w:rPr>
              <w:t>0.41</w:t>
            </w:r>
          </w:p>
        </w:tc>
      </w:tr>
      <w:tr w:rsidR="0015270F" w:rsidRPr="0095562E" w14:paraId="0C3F8353" w14:textId="77777777" w:rsidTr="0015270F">
        <w:trPr>
          <w:trHeight w:val="20"/>
        </w:trPr>
        <w:tc>
          <w:tcPr>
            <w:tcW w:w="360" w:type="pct"/>
            <w:tcBorders>
              <w:top w:val="nil"/>
              <w:left w:val="nil"/>
              <w:bottom w:val="nil"/>
              <w:right w:val="nil"/>
            </w:tcBorders>
            <w:shd w:val="clear" w:color="auto" w:fill="auto"/>
            <w:noWrap/>
            <w:vAlign w:val="center"/>
            <w:hideMark/>
          </w:tcPr>
          <w:p w14:paraId="0C3F8344" w14:textId="77777777" w:rsidR="0015270F" w:rsidRPr="0095562E" w:rsidRDefault="0015270F" w:rsidP="0095562E">
            <w:pPr>
              <w:spacing w:before="0" w:after="0"/>
              <w:rPr>
                <w:rStyle w:val="BookTitle"/>
                <w:sz w:val="18"/>
                <w:szCs w:val="18"/>
              </w:rPr>
            </w:pPr>
            <w:r w:rsidRPr="0095562E">
              <w:rPr>
                <w:rStyle w:val="BookTitle"/>
                <w:sz w:val="18"/>
                <w:szCs w:val="18"/>
              </w:rPr>
              <w:t>TDP</w:t>
            </w:r>
          </w:p>
        </w:tc>
        <w:tc>
          <w:tcPr>
            <w:tcW w:w="324" w:type="pct"/>
            <w:tcBorders>
              <w:top w:val="nil"/>
              <w:left w:val="nil"/>
              <w:bottom w:val="nil"/>
              <w:right w:val="nil"/>
            </w:tcBorders>
            <w:shd w:val="clear" w:color="000000" w:fill="FFFF00"/>
            <w:noWrap/>
            <w:vAlign w:val="center"/>
            <w:hideMark/>
          </w:tcPr>
          <w:p w14:paraId="0C3F8345" w14:textId="77777777" w:rsidR="0015270F" w:rsidRPr="0095562E" w:rsidRDefault="0015270F" w:rsidP="0095562E">
            <w:pPr>
              <w:spacing w:before="0" w:after="0"/>
              <w:rPr>
                <w:rStyle w:val="BookTitle"/>
                <w:sz w:val="18"/>
                <w:szCs w:val="18"/>
              </w:rPr>
            </w:pPr>
            <w:r w:rsidRPr="0095562E">
              <w:rPr>
                <w:rStyle w:val="BookTitle"/>
                <w:sz w:val="18"/>
                <w:szCs w:val="18"/>
              </w:rPr>
              <w:t>-0.61</w:t>
            </w:r>
          </w:p>
        </w:tc>
        <w:tc>
          <w:tcPr>
            <w:tcW w:w="360" w:type="pct"/>
            <w:tcBorders>
              <w:top w:val="nil"/>
              <w:left w:val="nil"/>
              <w:bottom w:val="nil"/>
              <w:right w:val="nil"/>
            </w:tcBorders>
            <w:shd w:val="clear" w:color="auto" w:fill="auto"/>
            <w:noWrap/>
            <w:vAlign w:val="center"/>
            <w:hideMark/>
          </w:tcPr>
          <w:p w14:paraId="0C3F8346"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center"/>
            <w:hideMark/>
          </w:tcPr>
          <w:p w14:paraId="0C3F8347"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center"/>
            <w:hideMark/>
          </w:tcPr>
          <w:p w14:paraId="0C3F8348"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center"/>
            <w:hideMark/>
          </w:tcPr>
          <w:p w14:paraId="0C3F8349"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center"/>
            <w:hideMark/>
          </w:tcPr>
          <w:p w14:paraId="0C3F834A" w14:textId="77777777" w:rsidR="0015270F" w:rsidRPr="0095562E" w:rsidRDefault="0015270F" w:rsidP="0095562E">
            <w:pPr>
              <w:spacing w:before="0" w:after="0"/>
              <w:rPr>
                <w:rStyle w:val="BookTitle"/>
                <w:sz w:val="18"/>
                <w:szCs w:val="18"/>
              </w:rPr>
            </w:pPr>
            <w:r w:rsidRPr="0095562E">
              <w:rPr>
                <w:rStyle w:val="BookTitle"/>
                <w:sz w:val="18"/>
                <w:szCs w:val="18"/>
              </w:rPr>
              <w:t>0.54</w:t>
            </w:r>
          </w:p>
        </w:tc>
        <w:tc>
          <w:tcPr>
            <w:tcW w:w="324" w:type="pct"/>
            <w:tcBorders>
              <w:top w:val="nil"/>
              <w:left w:val="nil"/>
              <w:bottom w:val="nil"/>
              <w:right w:val="nil"/>
            </w:tcBorders>
            <w:shd w:val="clear" w:color="auto" w:fill="auto"/>
            <w:noWrap/>
            <w:vAlign w:val="center"/>
            <w:hideMark/>
          </w:tcPr>
          <w:p w14:paraId="0C3F834B"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24" w:type="pct"/>
            <w:tcBorders>
              <w:top w:val="nil"/>
              <w:left w:val="nil"/>
              <w:bottom w:val="nil"/>
              <w:right w:val="nil"/>
            </w:tcBorders>
            <w:shd w:val="clear" w:color="auto" w:fill="auto"/>
            <w:noWrap/>
            <w:vAlign w:val="center"/>
            <w:hideMark/>
          </w:tcPr>
          <w:p w14:paraId="0C3F834C" w14:textId="77777777" w:rsidR="0015270F" w:rsidRPr="0095562E" w:rsidRDefault="0015270F" w:rsidP="0095562E">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000000" w:fill="FFFF00"/>
            <w:noWrap/>
            <w:vAlign w:val="center"/>
            <w:hideMark/>
          </w:tcPr>
          <w:p w14:paraId="0C3F834D" w14:textId="77777777" w:rsidR="0015270F" w:rsidRPr="0095562E" w:rsidRDefault="0015270F" w:rsidP="0095562E">
            <w:pPr>
              <w:spacing w:before="0" w:after="0"/>
              <w:rPr>
                <w:rStyle w:val="BookTitle"/>
                <w:sz w:val="18"/>
                <w:szCs w:val="18"/>
              </w:rPr>
            </w:pPr>
            <w:r w:rsidRPr="0095562E">
              <w:rPr>
                <w:rStyle w:val="BookTitle"/>
                <w:sz w:val="18"/>
                <w:szCs w:val="18"/>
              </w:rPr>
              <w:t>0.82</w:t>
            </w:r>
          </w:p>
        </w:tc>
        <w:tc>
          <w:tcPr>
            <w:tcW w:w="324" w:type="pct"/>
            <w:tcBorders>
              <w:top w:val="nil"/>
              <w:left w:val="nil"/>
              <w:bottom w:val="nil"/>
              <w:right w:val="nil"/>
            </w:tcBorders>
            <w:shd w:val="clear" w:color="auto" w:fill="auto"/>
            <w:noWrap/>
            <w:vAlign w:val="center"/>
            <w:hideMark/>
          </w:tcPr>
          <w:p w14:paraId="0C3F834E"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34F"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24" w:type="pct"/>
            <w:tcBorders>
              <w:top w:val="nil"/>
              <w:left w:val="nil"/>
              <w:bottom w:val="nil"/>
              <w:right w:val="nil"/>
            </w:tcBorders>
            <w:shd w:val="clear" w:color="auto" w:fill="auto"/>
            <w:noWrap/>
            <w:vAlign w:val="center"/>
            <w:hideMark/>
          </w:tcPr>
          <w:p w14:paraId="0C3F8350" w14:textId="77777777" w:rsidR="0015270F" w:rsidRPr="0095562E" w:rsidRDefault="0015270F" w:rsidP="0095562E">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auto" w:fill="auto"/>
            <w:noWrap/>
            <w:vAlign w:val="center"/>
            <w:hideMark/>
          </w:tcPr>
          <w:p w14:paraId="0C3F8351" w14:textId="77777777" w:rsidR="0015270F" w:rsidRPr="0095562E" w:rsidRDefault="0015270F" w:rsidP="0095562E">
            <w:pPr>
              <w:spacing w:before="0" w:after="0"/>
              <w:rPr>
                <w:rStyle w:val="BookTitle"/>
                <w:sz w:val="18"/>
                <w:szCs w:val="18"/>
              </w:rPr>
            </w:pPr>
            <w:r w:rsidRPr="0095562E">
              <w:rPr>
                <w:rStyle w:val="BookTitle"/>
                <w:sz w:val="18"/>
                <w:szCs w:val="18"/>
              </w:rPr>
              <w:t>0.30</w:t>
            </w:r>
          </w:p>
        </w:tc>
        <w:tc>
          <w:tcPr>
            <w:tcW w:w="396" w:type="pct"/>
            <w:tcBorders>
              <w:top w:val="nil"/>
              <w:left w:val="nil"/>
              <w:bottom w:val="nil"/>
              <w:right w:val="nil"/>
            </w:tcBorders>
            <w:shd w:val="clear" w:color="auto" w:fill="auto"/>
            <w:noWrap/>
            <w:vAlign w:val="center"/>
            <w:hideMark/>
          </w:tcPr>
          <w:p w14:paraId="0C3F8352" w14:textId="77777777" w:rsidR="0015270F" w:rsidRPr="0095562E" w:rsidRDefault="0015270F" w:rsidP="0095562E">
            <w:pPr>
              <w:spacing w:before="0" w:after="0"/>
              <w:rPr>
                <w:rStyle w:val="BookTitle"/>
                <w:sz w:val="18"/>
                <w:szCs w:val="18"/>
              </w:rPr>
            </w:pPr>
            <w:r w:rsidRPr="0095562E">
              <w:rPr>
                <w:rStyle w:val="BookTitle"/>
                <w:sz w:val="18"/>
                <w:szCs w:val="18"/>
              </w:rPr>
              <w:t>0.47</w:t>
            </w:r>
          </w:p>
        </w:tc>
      </w:tr>
      <w:tr w:rsidR="0015270F" w:rsidRPr="0095562E" w14:paraId="0C3F8363" w14:textId="77777777" w:rsidTr="0015270F">
        <w:trPr>
          <w:trHeight w:val="20"/>
        </w:trPr>
        <w:tc>
          <w:tcPr>
            <w:tcW w:w="360" w:type="pct"/>
            <w:tcBorders>
              <w:top w:val="nil"/>
              <w:left w:val="nil"/>
              <w:bottom w:val="nil"/>
              <w:right w:val="nil"/>
            </w:tcBorders>
            <w:shd w:val="clear" w:color="auto" w:fill="auto"/>
            <w:noWrap/>
            <w:vAlign w:val="center"/>
            <w:hideMark/>
          </w:tcPr>
          <w:p w14:paraId="0C3F8354" w14:textId="77777777" w:rsidR="0015270F" w:rsidRPr="0095562E" w:rsidRDefault="0015270F" w:rsidP="0095562E">
            <w:pPr>
              <w:spacing w:before="0" w:after="0"/>
              <w:rPr>
                <w:rStyle w:val="BookTitle"/>
                <w:sz w:val="18"/>
                <w:szCs w:val="18"/>
              </w:rPr>
            </w:pPr>
            <w:r w:rsidRPr="0095562E">
              <w:rPr>
                <w:rStyle w:val="BookTitle"/>
                <w:sz w:val="18"/>
                <w:szCs w:val="18"/>
              </w:rPr>
              <w:t>DIP</w:t>
            </w:r>
          </w:p>
        </w:tc>
        <w:tc>
          <w:tcPr>
            <w:tcW w:w="324" w:type="pct"/>
            <w:tcBorders>
              <w:top w:val="nil"/>
              <w:left w:val="nil"/>
              <w:bottom w:val="nil"/>
              <w:right w:val="nil"/>
            </w:tcBorders>
            <w:shd w:val="clear" w:color="auto" w:fill="auto"/>
            <w:noWrap/>
            <w:vAlign w:val="center"/>
            <w:hideMark/>
          </w:tcPr>
          <w:p w14:paraId="0C3F8355" w14:textId="77777777" w:rsidR="0015270F" w:rsidRPr="0095562E" w:rsidRDefault="0015270F" w:rsidP="0095562E">
            <w:pPr>
              <w:spacing w:before="0" w:after="0"/>
              <w:rPr>
                <w:rStyle w:val="BookTitle"/>
                <w:sz w:val="18"/>
                <w:szCs w:val="18"/>
              </w:rPr>
            </w:pPr>
            <w:r w:rsidRPr="0095562E">
              <w:rPr>
                <w:rStyle w:val="BookTitle"/>
                <w:sz w:val="18"/>
                <w:szCs w:val="18"/>
              </w:rPr>
              <w:t>-0.40</w:t>
            </w:r>
          </w:p>
        </w:tc>
        <w:tc>
          <w:tcPr>
            <w:tcW w:w="360" w:type="pct"/>
            <w:tcBorders>
              <w:top w:val="nil"/>
              <w:left w:val="nil"/>
              <w:bottom w:val="nil"/>
              <w:right w:val="nil"/>
            </w:tcBorders>
            <w:shd w:val="clear" w:color="auto" w:fill="auto"/>
            <w:noWrap/>
            <w:vAlign w:val="center"/>
            <w:hideMark/>
          </w:tcPr>
          <w:p w14:paraId="0C3F8356"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357"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center"/>
            <w:hideMark/>
          </w:tcPr>
          <w:p w14:paraId="0C3F8358"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center"/>
            <w:hideMark/>
          </w:tcPr>
          <w:p w14:paraId="0C3F8359"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auto" w:fill="auto"/>
            <w:noWrap/>
            <w:vAlign w:val="center"/>
            <w:hideMark/>
          </w:tcPr>
          <w:p w14:paraId="0C3F835A" w14:textId="77777777" w:rsidR="0015270F" w:rsidRPr="0095562E" w:rsidRDefault="0015270F" w:rsidP="0095562E">
            <w:pPr>
              <w:spacing w:before="0" w:after="0"/>
              <w:rPr>
                <w:rStyle w:val="BookTitle"/>
                <w:sz w:val="18"/>
                <w:szCs w:val="18"/>
              </w:rPr>
            </w:pPr>
            <w:r w:rsidRPr="0095562E">
              <w:rPr>
                <w:rStyle w:val="BookTitle"/>
                <w:sz w:val="18"/>
                <w:szCs w:val="18"/>
              </w:rPr>
              <w:t>0.36</w:t>
            </w:r>
          </w:p>
        </w:tc>
        <w:tc>
          <w:tcPr>
            <w:tcW w:w="324" w:type="pct"/>
            <w:tcBorders>
              <w:top w:val="nil"/>
              <w:left w:val="nil"/>
              <w:bottom w:val="nil"/>
              <w:right w:val="nil"/>
            </w:tcBorders>
            <w:shd w:val="clear" w:color="auto" w:fill="auto"/>
            <w:noWrap/>
            <w:vAlign w:val="center"/>
            <w:hideMark/>
          </w:tcPr>
          <w:p w14:paraId="0C3F835B" w14:textId="77777777" w:rsidR="0015270F" w:rsidRPr="0095562E" w:rsidRDefault="0015270F" w:rsidP="0095562E">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center"/>
            <w:hideMark/>
          </w:tcPr>
          <w:p w14:paraId="0C3F835C" w14:textId="77777777" w:rsidR="0015270F" w:rsidRPr="0095562E" w:rsidRDefault="0015270F" w:rsidP="0095562E">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center"/>
            <w:hideMark/>
          </w:tcPr>
          <w:p w14:paraId="0C3F835D" w14:textId="77777777" w:rsidR="0015270F" w:rsidRPr="0095562E" w:rsidRDefault="0015270F" w:rsidP="0095562E">
            <w:pPr>
              <w:spacing w:before="0" w:after="0"/>
              <w:rPr>
                <w:rStyle w:val="BookTitle"/>
                <w:sz w:val="18"/>
                <w:szCs w:val="18"/>
              </w:rPr>
            </w:pPr>
            <w:r w:rsidRPr="0095562E">
              <w:rPr>
                <w:rStyle w:val="BookTitle"/>
                <w:sz w:val="18"/>
                <w:szCs w:val="18"/>
              </w:rPr>
              <w:t>0.49</w:t>
            </w:r>
          </w:p>
        </w:tc>
        <w:tc>
          <w:tcPr>
            <w:tcW w:w="324" w:type="pct"/>
            <w:tcBorders>
              <w:top w:val="nil"/>
              <w:left w:val="nil"/>
              <w:bottom w:val="nil"/>
              <w:right w:val="nil"/>
            </w:tcBorders>
            <w:shd w:val="clear" w:color="auto" w:fill="auto"/>
            <w:noWrap/>
            <w:vAlign w:val="center"/>
            <w:hideMark/>
          </w:tcPr>
          <w:p w14:paraId="0C3F835E" w14:textId="77777777" w:rsidR="0015270F" w:rsidRPr="0095562E" w:rsidRDefault="0015270F" w:rsidP="0095562E">
            <w:pPr>
              <w:spacing w:before="0" w:after="0"/>
              <w:rPr>
                <w:rStyle w:val="BookTitle"/>
                <w:sz w:val="18"/>
                <w:szCs w:val="18"/>
              </w:rPr>
            </w:pPr>
            <w:r w:rsidRPr="0095562E">
              <w:rPr>
                <w:rStyle w:val="BookTitle"/>
                <w:sz w:val="18"/>
                <w:szCs w:val="18"/>
              </w:rPr>
              <w:t>0.57</w:t>
            </w:r>
          </w:p>
        </w:tc>
        <w:tc>
          <w:tcPr>
            <w:tcW w:w="324" w:type="pct"/>
            <w:tcBorders>
              <w:top w:val="nil"/>
              <w:left w:val="nil"/>
              <w:bottom w:val="nil"/>
              <w:right w:val="nil"/>
            </w:tcBorders>
            <w:shd w:val="clear" w:color="auto" w:fill="auto"/>
            <w:noWrap/>
            <w:vAlign w:val="center"/>
            <w:hideMark/>
          </w:tcPr>
          <w:p w14:paraId="0C3F835F"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360"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center"/>
            <w:hideMark/>
          </w:tcPr>
          <w:p w14:paraId="0C3F8361"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96" w:type="pct"/>
            <w:tcBorders>
              <w:top w:val="nil"/>
              <w:left w:val="nil"/>
              <w:bottom w:val="nil"/>
              <w:right w:val="nil"/>
            </w:tcBorders>
            <w:shd w:val="clear" w:color="auto" w:fill="auto"/>
            <w:noWrap/>
            <w:vAlign w:val="center"/>
            <w:hideMark/>
          </w:tcPr>
          <w:p w14:paraId="0C3F8362" w14:textId="77777777" w:rsidR="0015270F" w:rsidRPr="0095562E" w:rsidRDefault="0015270F" w:rsidP="0095562E">
            <w:pPr>
              <w:spacing w:before="0" w:after="0"/>
              <w:rPr>
                <w:rStyle w:val="BookTitle"/>
                <w:sz w:val="18"/>
                <w:szCs w:val="18"/>
              </w:rPr>
            </w:pPr>
            <w:r w:rsidRPr="0095562E">
              <w:rPr>
                <w:rStyle w:val="BookTitle"/>
                <w:sz w:val="18"/>
                <w:szCs w:val="18"/>
              </w:rPr>
              <w:t>0.55</w:t>
            </w:r>
          </w:p>
        </w:tc>
      </w:tr>
      <w:tr w:rsidR="0015270F" w:rsidRPr="0095562E" w14:paraId="0C3F8373" w14:textId="77777777" w:rsidTr="0015270F">
        <w:trPr>
          <w:trHeight w:val="20"/>
        </w:trPr>
        <w:tc>
          <w:tcPr>
            <w:tcW w:w="360" w:type="pct"/>
            <w:tcBorders>
              <w:top w:val="nil"/>
              <w:left w:val="nil"/>
              <w:bottom w:val="nil"/>
              <w:right w:val="nil"/>
            </w:tcBorders>
            <w:shd w:val="clear" w:color="auto" w:fill="auto"/>
            <w:noWrap/>
            <w:vAlign w:val="center"/>
            <w:hideMark/>
          </w:tcPr>
          <w:p w14:paraId="0C3F8364" w14:textId="77777777" w:rsidR="0015270F" w:rsidRPr="0095562E" w:rsidRDefault="0015270F" w:rsidP="0095562E">
            <w:pPr>
              <w:spacing w:before="0" w:after="0"/>
              <w:rPr>
                <w:rStyle w:val="BookTitle"/>
                <w:sz w:val="18"/>
                <w:szCs w:val="18"/>
              </w:rPr>
            </w:pPr>
            <w:r w:rsidRPr="0095562E">
              <w:rPr>
                <w:rStyle w:val="BookTitle"/>
                <w:sz w:val="18"/>
                <w:szCs w:val="18"/>
              </w:rPr>
              <w:t>PN</w:t>
            </w:r>
          </w:p>
        </w:tc>
        <w:tc>
          <w:tcPr>
            <w:tcW w:w="324" w:type="pct"/>
            <w:tcBorders>
              <w:top w:val="nil"/>
              <w:left w:val="nil"/>
              <w:bottom w:val="nil"/>
              <w:right w:val="nil"/>
            </w:tcBorders>
            <w:shd w:val="clear" w:color="auto" w:fill="auto"/>
            <w:noWrap/>
            <w:vAlign w:val="center"/>
            <w:hideMark/>
          </w:tcPr>
          <w:p w14:paraId="0C3F8365"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60" w:type="pct"/>
            <w:tcBorders>
              <w:top w:val="nil"/>
              <w:left w:val="nil"/>
              <w:bottom w:val="nil"/>
              <w:right w:val="nil"/>
            </w:tcBorders>
            <w:shd w:val="clear" w:color="auto" w:fill="auto"/>
            <w:noWrap/>
            <w:vAlign w:val="center"/>
            <w:hideMark/>
          </w:tcPr>
          <w:p w14:paraId="0C3F8366"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center"/>
            <w:hideMark/>
          </w:tcPr>
          <w:p w14:paraId="0C3F8367"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368"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4" w:type="pct"/>
            <w:tcBorders>
              <w:top w:val="nil"/>
              <w:left w:val="nil"/>
              <w:bottom w:val="nil"/>
              <w:right w:val="nil"/>
            </w:tcBorders>
            <w:shd w:val="clear" w:color="auto" w:fill="auto"/>
            <w:noWrap/>
            <w:vAlign w:val="center"/>
            <w:hideMark/>
          </w:tcPr>
          <w:p w14:paraId="0C3F8369" w14:textId="77777777" w:rsidR="0015270F" w:rsidRPr="0095562E" w:rsidRDefault="0015270F" w:rsidP="0095562E">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center"/>
            <w:hideMark/>
          </w:tcPr>
          <w:p w14:paraId="0C3F836A"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36B"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center"/>
            <w:hideMark/>
          </w:tcPr>
          <w:p w14:paraId="0C3F836C"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center"/>
            <w:hideMark/>
          </w:tcPr>
          <w:p w14:paraId="0C3F836D"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36E" w14:textId="77777777" w:rsidR="0015270F" w:rsidRPr="0095562E" w:rsidRDefault="0015270F" w:rsidP="0095562E">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auto" w:fill="auto"/>
            <w:noWrap/>
            <w:vAlign w:val="center"/>
            <w:hideMark/>
          </w:tcPr>
          <w:p w14:paraId="0C3F836F"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center"/>
            <w:hideMark/>
          </w:tcPr>
          <w:p w14:paraId="0C3F8370"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center"/>
            <w:hideMark/>
          </w:tcPr>
          <w:p w14:paraId="0C3F8371"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96" w:type="pct"/>
            <w:tcBorders>
              <w:top w:val="nil"/>
              <w:left w:val="nil"/>
              <w:bottom w:val="nil"/>
              <w:right w:val="nil"/>
            </w:tcBorders>
            <w:shd w:val="clear" w:color="auto" w:fill="auto"/>
            <w:noWrap/>
            <w:vAlign w:val="center"/>
            <w:hideMark/>
          </w:tcPr>
          <w:p w14:paraId="0C3F8372" w14:textId="77777777" w:rsidR="0015270F" w:rsidRPr="0095562E" w:rsidRDefault="0015270F" w:rsidP="0095562E">
            <w:pPr>
              <w:spacing w:before="0" w:after="0"/>
              <w:rPr>
                <w:rStyle w:val="BookTitle"/>
                <w:sz w:val="18"/>
                <w:szCs w:val="18"/>
              </w:rPr>
            </w:pPr>
            <w:r w:rsidRPr="0095562E">
              <w:rPr>
                <w:rStyle w:val="BookTitle"/>
                <w:sz w:val="18"/>
                <w:szCs w:val="18"/>
              </w:rPr>
              <w:t>-0.20</w:t>
            </w:r>
          </w:p>
        </w:tc>
      </w:tr>
      <w:tr w:rsidR="0015270F" w:rsidRPr="0095562E" w14:paraId="0C3F8383" w14:textId="77777777" w:rsidTr="0015270F">
        <w:trPr>
          <w:trHeight w:val="20"/>
        </w:trPr>
        <w:tc>
          <w:tcPr>
            <w:tcW w:w="360" w:type="pct"/>
            <w:tcBorders>
              <w:top w:val="nil"/>
              <w:left w:val="nil"/>
              <w:bottom w:val="nil"/>
              <w:right w:val="nil"/>
            </w:tcBorders>
            <w:shd w:val="clear" w:color="auto" w:fill="auto"/>
            <w:noWrap/>
            <w:vAlign w:val="center"/>
            <w:hideMark/>
          </w:tcPr>
          <w:p w14:paraId="0C3F8374" w14:textId="77777777" w:rsidR="0015270F" w:rsidRPr="0095562E" w:rsidRDefault="0015270F" w:rsidP="0095562E">
            <w:pPr>
              <w:spacing w:before="0" w:after="0"/>
              <w:rPr>
                <w:rStyle w:val="BookTitle"/>
                <w:sz w:val="18"/>
                <w:szCs w:val="18"/>
              </w:rPr>
            </w:pPr>
            <w:r w:rsidRPr="0095562E">
              <w:rPr>
                <w:rStyle w:val="BookTitle"/>
                <w:sz w:val="18"/>
                <w:szCs w:val="18"/>
              </w:rPr>
              <w:t>PP</w:t>
            </w:r>
          </w:p>
        </w:tc>
        <w:tc>
          <w:tcPr>
            <w:tcW w:w="324" w:type="pct"/>
            <w:tcBorders>
              <w:top w:val="nil"/>
              <w:left w:val="nil"/>
              <w:bottom w:val="nil"/>
              <w:right w:val="nil"/>
            </w:tcBorders>
            <w:shd w:val="clear" w:color="auto" w:fill="auto"/>
            <w:noWrap/>
            <w:vAlign w:val="center"/>
            <w:hideMark/>
          </w:tcPr>
          <w:p w14:paraId="0C3F8375"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60" w:type="pct"/>
            <w:tcBorders>
              <w:top w:val="nil"/>
              <w:left w:val="nil"/>
              <w:bottom w:val="nil"/>
              <w:right w:val="nil"/>
            </w:tcBorders>
            <w:shd w:val="clear" w:color="auto" w:fill="auto"/>
            <w:noWrap/>
            <w:vAlign w:val="center"/>
            <w:hideMark/>
          </w:tcPr>
          <w:p w14:paraId="0C3F8376" w14:textId="77777777" w:rsidR="0015270F" w:rsidRPr="0095562E" w:rsidRDefault="0015270F" w:rsidP="0095562E">
            <w:pPr>
              <w:spacing w:before="0" w:after="0"/>
              <w:rPr>
                <w:rStyle w:val="BookTitle"/>
                <w:sz w:val="18"/>
                <w:szCs w:val="18"/>
              </w:rPr>
            </w:pPr>
            <w:r w:rsidRPr="0095562E">
              <w:rPr>
                <w:rStyle w:val="BookTitle"/>
                <w:sz w:val="18"/>
                <w:szCs w:val="18"/>
              </w:rPr>
              <w:t>0.10</w:t>
            </w:r>
          </w:p>
        </w:tc>
        <w:tc>
          <w:tcPr>
            <w:tcW w:w="324" w:type="pct"/>
            <w:tcBorders>
              <w:top w:val="nil"/>
              <w:left w:val="nil"/>
              <w:bottom w:val="nil"/>
              <w:right w:val="nil"/>
            </w:tcBorders>
            <w:shd w:val="clear" w:color="auto" w:fill="auto"/>
            <w:noWrap/>
            <w:vAlign w:val="center"/>
            <w:hideMark/>
          </w:tcPr>
          <w:p w14:paraId="0C3F8377"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center"/>
            <w:hideMark/>
          </w:tcPr>
          <w:p w14:paraId="0C3F8378"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center"/>
            <w:hideMark/>
          </w:tcPr>
          <w:p w14:paraId="0C3F8379"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center"/>
            <w:hideMark/>
          </w:tcPr>
          <w:p w14:paraId="0C3F837A" w14:textId="77777777" w:rsidR="0015270F" w:rsidRPr="0095562E" w:rsidRDefault="0015270F" w:rsidP="0095562E">
            <w:pPr>
              <w:spacing w:before="0" w:after="0"/>
              <w:rPr>
                <w:rStyle w:val="BookTitle"/>
                <w:sz w:val="18"/>
                <w:szCs w:val="18"/>
              </w:rPr>
            </w:pPr>
            <w:r w:rsidRPr="0095562E">
              <w:rPr>
                <w:rStyle w:val="BookTitle"/>
                <w:sz w:val="18"/>
                <w:szCs w:val="18"/>
              </w:rPr>
              <w:t>0.44</w:t>
            </w:r>
          </w:p>
        </w:tc>
        <w:tc>
          <w:tcPr>
            <w:tcW w:w="324" w:type="pct"/>
            <w:tcBorders>
              <w:top w:val="nil"/>
              <w:left w:val="nil"/>
              <w:bottom w:val="nil"/>
              <w:right w:val="nil"/>
            </w:tcBorders>
            <w:shd w:val="clear" w:color="auto" w:fill="auto"/>
            <w:noWrap/>
            <w:vAlign w:val="center"/>
            <w:hideMark/>
          </w:tcPr>
          <w:p w14:paraId="0C3F837B"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center"/>
            <w:hideMark/>
          </w:tcPr>
          <w:p w14:paraId="0C3F837C"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000000" w:fill="FFFF00"/>
            <w:noWrap/>
            <w:vAlign w:val="center"/>
            <w:hideMark/>
          </w:tcPr>
          <w:p w14:paraId="0C3F837D" w14:textId="77777777" w:rsidR="0015270F" w:rsidRPr="0095562E" w:rsidRDefault="0015270F" w:rsidP="0095562E">
            <w:pPr>
              <w:spacing w:before="0" w:after="0"/>
              <w:rPr>
                <w:rStyle w:val="BookTitle"/>
                <w:sz w:val="18"/>
                <w:szCs w:val="18"/>
              </w:rPr>
            </w:pPr>
            <w:r w:rsidRPr="0095562E">
              <w:rPr>
                <w:rStyle w:val="BookTitle"/>
                <w:sz w:val="18"/>
                <w:szCs w:val="18"/>
              </w:rPr>
              <w:t>0.75</w:t>
            </w:r>
          </w:p>
        </w:tc>
        <w:tc>
          <w:tcPr>
            <w:tcW w:w="324" w:type="pct"/>
            <w:tcBorders>
              <w:top w:val="nil"/>
              <w:left w:val="nil"/>
              <w:bottom w:val="nil"/>
              <w:right w:val="nil"/>
            </w:tcBorders>
            <w:shd w:val="clear" w:color="auto" w:fill="auto"/>
            <w:noWrap/>
            <w:vAlign w:val="center"/>
            <w:hideMark/>
          </w:tcPr>
          <w:p w14:paraId="0C3F837E" w14:textId="77777777" w:rsidR="0015270F" w:rsidRPr="0095562E" w:rsidRDefault="0015270F" w:rsidP="0095562E">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center"/>
            <w:hideMark/>
          </w:tcPr>
          <w:p w14:paraId="0C3F837F"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center"/>
            <w:hideMark/>
          </w:tcPr>
          <w:p w14:paraId="0C3F8380"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24" w:type="pct"/>
            <w:tcBorders>
              <w:top w:val="nil"/>
              <w:left w:val="nil"/>
              <w:bottom w:val="nil"/>
              <w:right w:val="nil"/>
            </w:tcBorders>
            <w:shd w:val="clear" w:color="auto" w:fill="auto"/>
            <w:noWrap/>
            <w:vAlign w:val="center"/>
            <w:hideMark/>
          </w:tcPr>
          <w:p w14:paraId="0C3F8381"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96" w:type="pct"/>
            <w:tcBorders>
              <w:top w:val="nil"/>
              <w:left w:val="nil"/>
              <w:bottom w:val="nil"/>
              <w:right w:val="nil"/>
            </w:tcBorders>
            <w:shd w:val="clear" w:color="auto" w:fill="auto"/>
            <w:noWrap/>
            <w:vAlign w:val="center"/>
            <w:hideMark/>
          </w:tcPr>
          <w:p w14:paraId="0C3F8382" w14:textId="77777777" w:rsidR="0015270F" w:rsidRPr="0095562E" w:rsidRDefault="0015270F" w:rsidP="0095562E">
            <w:pPr>
              <w:spacing w:before="0" w:after="0"/>
              <w:rPr>
                <w:rStyle w:val="BookTitle"/>
                <w:sz w:val="18"/>
                <w:szCs w:val="18"/>
              </w:rPr>
            </w:pPr>
            <w:r w:rsidRPr="0095562E">
              <w:rPr>
                <w:rStyle w:val="BookTitle"/>
                <w:sz w:val="18"/>
                <w:szCs w:val="18"/>
              </w:rPr>
              <w:t>0.18</w:t>
            </w:r>
          </w:p>
        </w:tc>
      </w:tr>
      <w:tr w:rsidR="0015270F" w:rsidRPr="0095562E" w14:paraId="0C3F8393" w14:textId="77777777" w:rsidTr="0015270F">
        <w:trPr>
          <w:trHeight w:val="20"/>
        </w:trPr>
        <w:tc>
          <w:tcPr>
            <w:tcW w:w="360" w:type="pct"/>
            <w:tcBorders>
              <w:top w:val="nil"/>
              <w:left w:val="nil"/>
              <w:bottom w:val="single" w:sz="4" w:space="0" w:color="auto"/>
              <w:right w:val="nil"/>
            </w:tcBorders>
            <w:shd w:val="clear" w:color="auto" w:fill="auto"/>
            <w:noWrap/>
            <w:vAlign w:val="center"/>
            <w:hideMark/>
          </w:tcPr>
          <w:p w14:paraId="0C3F8384" w14:textId="77777777" w:rsidR="0015270F" w:rsidRPr="0095562E" w:rsidRDefault="0015270F" w:rsidP="0095562E">
            <w:pPr>
              <w:spacing w:before="0" w:after="0"/>
              <w:rPr>
                <w:rStyle w:val="BookTitle"/>
                <w:sz w:val="18"/>
                <w:szCs w:val="18"/>
              </w:rPr>
            </w:pPr>
            <w:r w:rsidRPr="0095562E">
              <w:rPr>
                <w:rStyle w:val="BookTitle"/>
                <w:sz w:val="18"/>
                <w:szCs w:val="18"/>
              </w:rPr>
              <w:t>Si</w:t>
            </w:r>
          </w:p>
        </w:tc>
        <w:tc>
          <w:tcPr>
            <w:tcW w:w="324" w:type="pct"/>
            <w:tcBorders>
              <w:top w:val="nil"/>
              <w:left w:val="nil"/>
              <w:bottom w:val="single" w:sz="4" w:space="0" w:color="auto"/>
              <w:right w:val="nil"/>
            </w:tcBorders>
            <w:shd w:val="clear" w:color="000000" w:fill="FFFF00"/>
            <w:noWrap/>
            <w:vAlign w:val="center"/>
            <w:hideMark/>
          </w:tcPr>
          <w:p w14:paraId="0C3F8385" w14:textId="77777777" w:rsidR="0015270F" w:rsidRPr="0095562E" w:rsidRDefault="0015270F" w:rsidP="0095562E">
            <w:pPr>
              <w:spacing w:before="0" w:after="0"/>
              <w:rPr>
                <w:rStyle w:val="BookTitle"/>
                <w:sz w:val="18"/>
                <w:szCs w:val="18"/>
              </w:rPr>
            </w:pPr>
            <w:r w:rsidRPr="0095562E">
              <w:rPr>
                <w:rStyle w:val="BookTitle"/>
                <w:sz w:val="18"/>
                <w:szCs w:val="18"/>
              </w:rPr>
              <w:t>-0.67</w:t>
            </w:r>
          </w:p>
        </w:tc>
        <w:tc>
          <w:tcPr>
            <w:tcW w:w="360" w:type="pct"/>
            <w:tcBorders>
              <w:top w:val="nil"/>
              <w:left w:val="nil"/>
              <w:bottom w:val="single" w:sz="4" w:space="0" w:color="auto"/>
              <w:right w:val="nil"/>
            </w:tcBorders>
            <w:shd w:val="clear" w:color="000000" w:fill="FFFF00"/>
            <w:noWrap/>
            <w:vAlign w:val="center"/>
            <w:hideMark/>
          </w:tcPr>
          <w:p w14:paraId="0C3F8386" w14:textId="77777777" w:rsidR="0015270F" w:rsidRPr="0095562E" w:rsidRDefault="0015270F" w:rsidP="0095562E">
            <w:pPr>
              <w:spacing w:before="0" w:after="0"/>
              <w:rPr>
                <w:rStyle w:val="BookTitle"/>
                <w:sz w:val="18"/>
                <w:szCs w:val="18"/>
              </w:rPr>
            </w:pPr>
            <w:r w:rsidRPr="0095562E">
              <w:rPr>
                <w:rStyle w:val="BookTitle"/>
                <w:sz w:val="18"/>
                <w:szCs w:val="18"/>
              </w:rPr>
              <w:t>0.68</w:t>
            </w:r>
          </w:p>
        </w:tc>
        <w:tc>
          <w:tcPr>
            <w:tcW w:w="324" w:type="pct"/>
            <w:tcBorders>
              <w:top w:val="nil"/>
              <w:left w:val="nil"/>
              <w:bottom w:val="single" w:sz="4" w:space="0" w:color="auto"/>
              <w:right w:val="nil"/>
            </w:tcBorders>
            <w:shd w:val="clear" w:color="auto" w:fill="auto"/>
            <w:noWrap/>
            <w:vAlign w:val="center"/>
            <w:hideMark/>
          </w:tcPr>
          <w:p w14:paraId="0C3F8387" w14:textId="77777777" w:rsidR="0015270F" w:rsidRPr="0095562E" w:rsidRDefault="0015270F" w:rsidP="0095562E">
            <w:pPr>
              <w:spacing w:before="0" w:after="0"/>
              <w:rPr>
                <w:rStyle w:val="BookTitle"/>
                <w:sz w:val="18"/>
                <w:szCs w:val="18"/>
              </w:rPr>
            </w:pPr>
            <w:r w:rsidRPr="0095562E">
              <w:rPr>
                <w:rStyle w:val="BookTitle"/>
                <w:sz w:val="18"/>
                <w:szCs w:val="18"/>
              </w:rPr>
              <w:t>-0.32</w:t>
            </w:r>
          </w:p>
        </w:tc>
        <w:tc>
          <w:tcPr>
            <w:tcW w:w="324" w:type="pct"/>
            <w:tcBorders>
              <w:top w:val="nil"/>
              <w:left w:val="nil"/>
              <w:bottom w:val="single" w:sz="4" w:space="0" w:color="auto"/>
              <w:right w:val="nil"/>
            </w:tcBorders>
            <w:shd w:val="clear" w:color="auto" w:fill="auto"/>
            <w:noWrap/>
            <w:vAlign w:val="center"/>
            <w:hideMark/>
          </w:tcPr>
          <w:p w14:paraId="0C3F8388"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4" w:type="pct"/>
            <w:tcBorders>
              <w:top w:val="nil"/>
              <w:left w:val="nil"/>
              <w:bottom w:val="single" w:sz="4" w:space="0" w:color="auto"/>
              <w:right w:val="nil"/>
            </w:tcBorders>
            <w:shd w:val="clear" w:color="auto" w:fill="auto"/>
            <w:noWrap/>
            <w:vAlign w:val="center"/>
            <w:hideMark/>
          </w:tcPr>
          <w:p w14:paraId="0C3F8389"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4" w:type="pct"/>
            <w:tcBorders>
              <w:top w:val="nil"/>
              <w:left w:val="nil"/>
              <w:bottom w:val="single" w:sz="4" w:space="0" w:color="auto"/>
              <w:right w:val="nil"/>
            </w:tcBorders>
            <w:shd w:val="clear" w:color="auto" w:fill="auto"/>
            <w:noWrap/>
            <w:vAlign w:val="center"/>
            <w:hideMark/>
          </w:tcPr>
          <w:p w14:paraId="0C3F838A"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single" w:sz="4" w:space="0" w:color="auto"/>
              <w:right w:val="nil"/>
            </w:tcBorders>
            <w:shd w:val="clear" w:color="auto" w:fill="auto"/>
            <w:noWrap/>
            <w:vAlign w:val="center"/>
            <w:hideMark/>
          </w:tcPr>
          <w:p w14:paraId="0C3F838B" w14:textId="77777777" w:rsidR="0015270F" w:rsidRPr="0095562E" w:rsidRDefault="0015270F" w:rsidP="0095562E">
            <w:pPr>
              <w:spacing w:before="0" w:after="0"/>
              <w:rPr>
                <w:rStyle w:val="BookTitle"/>
                <w:sz w:val="18"/>
                <w:szCs w:val="18"/>
              </w:rPr>
            </w:pPr>
            <w:r w:rsidRPr="0095562E">
              <w:rPr>
                <w:rStyle w:val="BookTitle"/>
                <w:sz w:val="18"/>
                <w:szCs w:val="18"/>
              </w:rPr>
              <w:t>0.31</w:t>
            </w:r>
          </w:p>
        </w:tc>
        <w:tc>
          <w:tcPr>
            <w:tcW w:w="324" w:type="pct"/>
            <w:tcBorders>
              <w:top w:val="nil"/>
              <w:left w:val="nil"/>
              <w:bottom w:val="single" w:sz="4" w:space="0" w:color="auto"/>
              <w:right w:val="nil"/>
            </w:tcBorders>
            <w:shd w:val="clear" w:color="auto" w:fill="auto"/>
            <w:noWrap/>
            <w:vAlign w:val="center"/>
            <w:hideMark/>
          </w:tcPr>
          <w:p w14:paraId="0C3F838C" w14:textId="77777777" w:rsidR="0015270F" w:rsidRPr="0095562E" w:rsidRDefault="0015270F" w:rsidP="0095562E">
            <w:pPr>
              <w:spacing w:before="0" w:after="0"/>
              <w:rPr>
                <w:rStyle w:val="BookTitle"/>
                <w:sz w:val="18"/>
                <w:szCs w:val="18"/>
              </w:rPr>
            </w:pPr>
            <w:r w:rsidRPr="0095562E">
              <w:rPr>
                <w:rStyle w:val="BookTitle"/>
                <w:sz w:val="18"/>
                <w:szCs w:val="18"/>
              </w:rPr>
              <w:t>0.56</w:t>
            </w:r>
          </w:p>
        </w:tc>
        <w:tc>
          <w:tcPr>
            <w:tcW w:w="324" w:type="pct"/>
            <w:tcBorders>
              <w:top w:val="nil"/>
              <w:left w:val="nil"/>
              <w:bottom w:val="single" w:sz="4" w:space="0" w:color="auto"/>
              <w:right w:val="nil"/>
            </w:tcBorders>
            <w:shd w:val="clear" w:color="auto" w:fill="auto"/>
            <w:noWrap/>
            <w:vAlign w:val="center"/>
            <w:hideMark/>
          </w:tcPr>
          <w:p w14:paraId="0C3F838D" w14:textId="77777777" w:rsidR="0015270F" w:rsidRPr="0095562E" w:rsidRDefault="0015270F" w:rsidP="0095562E">
            <w:pPr>
              <w:spacing w:before="0" w:after="0"/>
              <w:rPr>
                <w:rStyle w:val="BookTitle"/>
                <w:sz w:val="18"/>
                <w:szCs w:val="18"/>
              </w:rPr>
            </w:pPr>
            <w:r w:rsidRPr="0095562E">
              <w:rPr>
                <w:rStyle w:val="BookTitle"/>
                <w:sz w:val="18"/>
                <w:szCs w:val="18"/>
              </w:rPr>
              <w:t>0.41</w:t>
            </w:r>
          </w:p>
        </w:tc>
        <w:tc>
          <w:tcPr>
            <w:tcW w:w="324" w:type="pct"/>
            <w:tcBorders>
              <w:top w:val="nil"/>
              <w:left w:val="nil"/>
              <w:bottom w:val="single" w:sz="4" w:space="0" w:color="auto"/>
              <w:right w:val="nil"/>
            </w:tcBorders>
            <w:shd w:val="clear" w:color="auto" w:fill="auto"/>
            <w:noWrap/>
            <w:vAlign w:val="center"/>
            <w:hideMark/>
          </w:tcPr>
          <w:p w14:paraId="0C3F838E" w14:textId="77777777" w:rsidR="0015270F" w:rsidRPr="0095562E" w:rsidRDefault="0015270F" w:rsidP="0095562E">
            <w:pPr>
              <w:spacing w:before="0" w:after="0"/>
              <w:rPr>
                <w:rStyle w:val="BookTitle"/>
                <w:sz w:val="18"/>
                <w:szCs w:val="18"/>
              </w:rPr>
            </w:pPr>
            <w:r w:rsidRPr="0095562E">
              <w:rPr>
                <w:rStyle w:val="BookTitle"/>
                <w:sz w:val="18"/>
                <w:szCs w:val="18"/>
              </w:rPr>
              <w:t>0.47</w:t>
            </w:r>
          </w:p>
        </w:tc>
        <w:tc>
          <w:tcPr>
            <w:tcW w:w="324" w:type="pct"/>
            <w:tcBorders>
              <w:top w:val="nil"/>
              <w:left w:val="nil"/>
              <w:bottom w:val="single" w:sz="4" w:space="0" w:color="auto"/>
              <w:right w:val="nil"/>
            </w:tcBorders>
            <w:shd w:val="clear" w:color="auto" w:fill="auto"/>
            <w:noWrap/>
            <w:vAlign w:val="center"/>
            <w:hideMark/>
          </w:tcPr>
          <w:p w14:paraId="0C3F838F" w14:textId="77777777" w:rsidR="0015270F" w:rsidRPr="0095562E" w:rsidRDefault="0015270F" w:rsidP="0095562E">
            <w:pPr>
              <w:spacing w:before="0" w:after="0"/>
              <w:rPr>
                <w:rStyle w:val="BookTitle"/>
                <w:sz w:val="18"/>
                <w:szCs w:val="18"/>
              </w:rPr>
            </w:pPr>
            <w:r w:rsidRPr="0095562E">
              <w:rPr>
                <w:rStyle w:val="BookTitle"/>
                <w:sz w:val="18"/>
                <w:szCs w:val="18"/>
              </w:rPr>
              <w:t>0.55</w:t>
            </w:r>
          </w:p>
        </w:tc>
        <w:tc>
          <w:tcPr>
            <w:tcW w:w="324" w:type="pct"/>
            <w:tcBorders>
              <w:top w:val="nil"/>
              <w:left w:val="nil"/>
              <w:bottom w:val="single" w:sz="4" w:space="0" w:color="auto"/>
              <w:right w:val="nil"/>
            </w:tcBorders>
            <w:shd w:val="clear" w:color="auto" w:fill="auto"/>
            <w:noWrap/>
            <w:vAlign w:val="center"/>
            <w:hideMark/>
          </w:tcPr>
          <w:p w14:paraId="0C3F8390" w14:textId="77777777" w:rsidR="0015270F" w:rsidRPr="0095562E" w:rsidRDefault="0015270F" w:rsidP="0095562E">
            <w:pPr>
              <w:spacing w:before="0" w:after="0"/>
              <w:rPr>
                <w:rStyle w:val="BookTitle"/>
                <w:sz w:val="18"/>
                <w:szCs w:val="18"/>
              </w:rPr>
            </w:pPr>
            <w:r w:rsidRPr="0095562E">
              <w:rPr>
                <w:rStyle w:val="BookTitle"/>
                <w:sz w:val="18"/>
                <w:szCs w:val="18"/>
              </w:rPr>
              <w:t>-0.20</w:t>
            </w:r>
          </w:p>
        </w:tc>
        <w:tc>
          <w:tcPr>
            <w:tcW w:w="324" w:type="pct"/>
            <w:tcBorders>
              <w:top w:val="nil"/>
              <w:left w:val="nil"/>
              <w:bottom w:val="single" w:sz="4" w:space="0" w:color="auto"/>
              <w:right w:val="nil"/>
            </w:tcBorders>
            <w:shd w:val="clear" w:color="auto" w:fill="auto"/>
            <w:noWrap/>
            <w:vAlign w:val="center"/>
            <w:hideMark/>
          </w:tcPr>
          <w:p w14:paraId="0C3F8391"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96" w:type="pct"/>
            <w:tcBorders>
              <w:top w:val="nil"/>
              <w:left w:val="nil"/>
              <w:bottom w:val="single" w:sz="4" w:space="0" w:color="auto"/>
              <w:right w:val="nil"/>
            </w:tcBorders>
            <w:shd w:val="clear" w:color="auto" w:fill="auto"/>
            <w:noWrap/>
            <w:vAlign w:val="center"/>
            <w:hideMark/>
          </w:tcPr>
          <w:p w14:paraId="0C3F8392" w14:textId="77777777" w:rsidR="0015270F" w:rsidRPr="0095562E" w:rsidRDefault="0015270F" w:rsidP="0095562E">
            <w:pPr>
              <w:spacing w:before="0" w:after="0"/>
              <w:rPr>
                <w:rStyle w:val="BookTitle"/>
                <w:sz w:val="18"/>
                <w:szCs w:val="18"/>
              </w:rPr>
            </w:pPr>
            <w:r w:rsidRPr="0095562E">
              <w:rPr>
                <w:rStyle w:val="BookTitle"/>
                <w:sz w:val="18"/>
                <w:szCs w:val="18"/>
              </w:rPr>
              <w:t>1</w:t>
            </w:r>
          </w:p>
        </w:tc>
      </w:tr>
    </w:tbl>
    <w:p w14:paraId="0C3F8394" w14:textId="77777777" w:rsidR="0015270F" w:rsidRDefault="0015270F" w:rsidP="0015270F"/>
    <w:p w14:paraId="0C3F8395" w14:textId="77777777" w:rsidR="0015270F" w:rsidRDefault="0015270F" w:rsidP="0095562E">
      <w:pPr>
        <w:pStyle w:val="Caption"/>
      </w:pPr>
      <w:bookmarkStart w:id="128" w:name="_Toc434208074"/>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7</w:t>
      </w:r>
      <w:r w:rsidR="00AE4287">
        <w:fldChar w:fldCharType="end"/>
      </w:r>
      <w:r>
        <w:t xml:space="preserve">:  </w:t>
      </w:r>
      <w:r w:rsidRPr="0089419E">
        <w:t xml:space="preserve">Spearman’s </w:t>
      </w:r>
      <w:r>
        <w:t xml:space="preserve">rank </w:t>
      </w:r>
      <w:r w:rsidRPr="0089419E">
        <w:t xml:space="preserve">correlation coefficients </w:t>
      </w:r>
      <w:r>
        <w:t>for the pa</w:t>
      </w:r>
      <w:r w:rsidR="00BC0B37">
        <w:t>rameters from Tully and Herbert</w:t>
      </w:r>
      <w:r>
        <w:t xml:space="preserve"> rivers sampled more than 20 times in the Wet Trop</w:t>
      </w:r>
      <w:r w:rsidR="00BC0B37">
        <w:t xml:space="preserve">ics in the 2012-2013 wet season. </w:t>
      </w:r>
      <w:r>
        <w:t>A</w:t>
      </w:r>
      <w:r w:rsidRPr="0089419E">
        <w:t xml:space="preserve">ll </w:t>
      </w:r>
      <w:r>
        <w:t xml:space="preserve">highlighted values </w:t>
      </w:r>
      <w:r w:rsidRPr="0089419E">
        <w:t>are significa</w:t>
      </w:r>
      <w:r w:rsidR="002827F5">
        <w:t>nt</w:t>
      </w:r>
      <w:r w:rsidRPr="0089419E">
        <w:t xml:space="preserve"> at p &lt; 0.01</w:t>
      </w:r>
      <w:r>
        <w:t xml:space="preserve"> and represent a correlation &gt;0.6 or &lt;-.06</w:t>
      </w:r>
      <w:r w:rsidRPr="0089419E">
        <w:t>.</w:t>
      </w:r>
      <w:r>
        <w:t xml:space="preserve"> Parameters listed in the table are surface salinity (Sal.), 5-day average discharge (Disch.), distance between the river mouth and the sampling site </w:t>
      </w:r>
      <w:r w:rsidR="000313CF">
        <w:t xml:space="preserve">Dist.), TSS, </w:t>
      </w:r>
      <w:r w:rsidR="005F304A">
        <w:t>chl</w:t>
      </w:r>
      <w:r w:rsidR="000313CF">
        <w:t>-a TN, TDN, DIN,</w:t>
      </w:r>
      <w:r w:rsidR="000313CF" w:rsidRPr="00405A8D">
        <w:t xml:space="preserve"> </w:t>
      </w:r>
      <w:r w:rsidR="000313CF">
        <w:t>TP, TDP, DIP, PN, PP and Si.</w:t>
      </w:r>
      <w:bookmarkEnd w:id="128"/>
    </w:p>
    <w:tbl>
      <w:tblPr>
        <w:tblW w:w="5070" w:type="pct"/>
        <w:tblLook w:val="04A0" w:firstRow="1" w:lastRow="0" w:firstColumn="1" w:lastColumn="0" w:noHBand="0" w:noVBand="1"/>
        <w:tblCaption w:val="Spearman’s rank correlation coefficients for the parameters from Tully and Herbert rivers "/>
        <w:tblDescription w:val="Spearman’s rank correlation coefficients for the parameters from Tully and Herbert rivers sampled more than 20 times in the Wet Tropics in the 2012-2013 wet season. All highlighted values are significant at p &lt; 0.01 and represent a correlation &gt;0.6 or &lt;-.06. Parameters listed in the table are surface salinity (Sal.), 5-day average discharge (Disch.), distance between the river mouth and the sampling site Dist.), TSS, chl-a TN, TDN, DIN, TP, TDP, DIP, PN, PP and Si."/>
      </w:tblPr>
      <w:tblGrid>
        <w:gridCol w:w="679"/>
        <w:gridCol w:w="612"/>
        <w:gridCol w:w="736"/>
        <w:gridCol w:w="612"/>
        <w:gridCol w:w="612"/>
        <w:gridCol w:w="612"/>
        <w:gridCol w:w="612"/>
        <w:gridCol w:w="612"/>
        <w:gridCol w:w="612"/>
        <w:gridCol w:w="612"/>
        <w:gridCol w:w="612"/>
        <w:gridCol w:w="612"/>
        <w:gridCol w:w="612"/>
        <w:gridCol w:w="612"/>
        <w:gridCol w:w="612"/>
      </w:tblGrid>
      <w:tr w:rsidR="0015270F" w:rsidRPr="0095562E" w14:paraId="0C3F8398" w14:textId="77777777" w:rsidTr="00162359">
        <w:trPr>
          <w:trHeight w:val="20"/>
        </w:trPr>
        <w:tc>
          <w:tcPr>
            <w:tcW w:w="5000" w:type="pct"/>
            <w:gridSpan w:val="15"/>
            <w:tcBorders>
              <w:top w:val="nil"/>
              <w:left w:val="nil"/>
              <w:bottom w:val="single" w:sz="4" w:space="0" w:color="auto"/>
              <w:right w:val="nil"/>
            </w:tcBorders>
            <w:shd w:val="clear" w:color="auto" w:fill="auto"/>
            <w:noWrap/>
            <w:vAlign w:val="center"/>
            <w:hideMark/>
          </w:tcPr>
          <w:p w14:paraId="0C3F8396" w14:textId="77777777" w:rsidR="0015270F" w:rsidRPr="0095562E" w:rsidRDefault="0015270F" w:rsidP="00162359">
            <w:pPr>
              <w:spacing w:before="0" w:after="0"/>
              <w:rPr>
                <w:rStyle w:val="BookTitle"/>
                <w:sz w:val="18"/>
                <w:szCs w:val="18"/>
              </w:rPr>
            </w:pPr>
          </w:p>
          <w:p w14:paraId="0C3F8397" w14:textId="77777777" w:rsidR="0015270F" w:rsidRPr="0095562E" w:rsidRDefault="0015270F" w:rsidP="00162359">
            <w:pPr>
              <w:spacing w:before="0" w:after="0"/>
              <w:rPr>
                <w:rStyle w:val="BookTitle"/>
                <w:sz w:val="18"/>
                <w:szCs w:val="18"/>
              </w:rPr>
            </w:pPr>
            <w:r w:rsidRPr="0095562E">
              <w:rPr>
                <w:rStyle w:val="BookTitle"/>
                <w:sz w:val="18"/>
                <w:szCs w:val="18"/>
              </w:rPr>
              <w:t>Tully [46]</w:t>
            </w:r>
          </w:p>
        </w:tc>
      </w:tr>
      <w:tr w:rsidR="0015270F" w:rsidRPr="0095562E" w14:paraId="0C3F83A8" w14:textId="77777777" w:rsidTr="00162359">
        <w:trPr>
          <w:trHeight w:val="20"/>
        </w:trPr>
        <w:tc>
          <w:tcPr>
            <w:tcW w:w="360" w:type="pct"/>
            <w:tcBorders>
              <w:top w:val="nil"/>
              <w:left w:val="nil"/>
              <w:bottom w:val="single" w:sz="4" w:space="0" w:color="auto"/>
              <w:right w:val="nil"/>
            </w:tcBorders>
            <w:shd w:val="clear" w:color="auto" w:fill="auto"/>
            <w:noWrap/>
            <w:vAlign w:val="center"/>
            <w:hideMark/>
          </w:tcPr>
          <w:p w14:paraId="0C3F8399" w14:textId="77777777" w:rsidR="0015270F" w:rsidRPr="0095562E" w:rsidRDefault="0015270F" w:rsidP="00162359">
            <w:pPr>
              <w:spacing w:before="0" w:after="0"/>
              <w:rPr>
                <w:rStyle w:val="BookTitle"/>
                <w:sz w:val="18"/>
                <w:szCs w:val="18"/>
              </w:rPr>
            </w:pPr>
            <w:r w:rsidRPr="0095562E">
              <w:rPr>
                <w:rStyle w:val="BookTitle"/>
                <w:sz w:val="18"/>
                <w:szCs w:val="18"/>
              </w:rPr>
              <w:t> </w:t>
            </w:r>
          </w:p>
        </w:tc>
        <w:tc>
          <w:tcPr>
            <w:tcW w:w="324" w:type="pct"/>
            <w:tcBorders>
              <w:top w:val="nil"/>
              <w:left w:val="nil"/>
              <w:bottom w:val="single" w:sz="4" w:space="0" w:color="auto"/>
              <w:right w:val="nil"/>
            </w:tcBorders>
            <w:shd w:val="clear" w:color="auto" w:fill="auto"/>
            <w:noWrap/>
            <w:vAlign w:val="center"/>
            <w:hideMark/>
          </w:tcPr>
          <w:p w14:paraId="0C3F839A" w14:textId="77777777" w:rsidR="0015270F" w:rsidRPr="0095562E" w:rsidRDefault="0015270F" w:rsidP="00162359">
            <w:pPr>
              <w:spacing w:before="0" w:after="0"/>
              <w:rPr>
                <w:rStyle w:val="BookTitle"/>
                <w:sz w:val="18"/>
                <w:szCs w:val="18"/>
              </w:rPr>
            </w:pPr>
            <w:r w:rsidRPr="0095562E">
              <w:rPr>
                <w:rStyle w:val="BookTitle"/>
                <w:sz w:val="18"/>
                <w:szCs w:val="18"/>
              </w:rPr>
              <w:t>Sal.</w:t>
            </w:r>
          </w:p>
        </w:tc>
        <w:tc>
          <w:tcPr>
            <w:tcW w:w="429" w:type="pct"/>
            <w:tcBorders>
              <w:top w:val="nil"/>
              <w:left w:val="nil"/>
              <w:bottom w:val="single" w:sz="4" w:space="0" w:color="auto"/>
              <w:right w:val="nil"/>
            </w:tcBorders>
            <w:shd w:val="clear" w:color="auto" w:fill="auto"/>
            <w:noWrap/>
            <w:vAlign w:val="center"/>
            <w:hideMark/>
          </w:tcPr>
          <w:p w14:paraId="0C3F839B" w14:textId="77777777" w:rsidR="0015270F" w:rsidRPr="0095562E" w:rsidRDefault="0015270F" w:rsidP="00162359">
            <w:pPr>
              <w:spacing w:before="0" w:after="0"/>
              <w:rPr>
                <w:rStyle w:val="BookTitle"/>
                <w:sz w:val="18"/>
                <w:szCs w:val="18"/>
              </w:rPr>
            </w:pPr>
            <w:r w:rsidRPr="0095562E">
              <w:rPr>
                <w:rStyle w:val="BookTitle"/>
                <w:sz w:val="18"/>
                <w:szCs w:val="18"/>
              </w:rPr>
              <w:t>Disch.</w:t>
            </w:r>
          </w:p>
        </w:tc>
        <w:tc>
          <w:tcPr>
            <w:tcW w:w="324" w:type="pct"/>
            <w:tcBorders>
              <w:top w:val="nil"/>
              <w:left w:val="nil"/>
              <w:bottom w:val="single" w:sz="4" w:space="0" w:color="auto"/>
              <w:right w:val="nil"/>
            </w:tcBorders>
            <w:shd w:val="clear" w:color="auto" w:fill="auto"/>
            <w:noWrap/>
            <w:vAlign w:val="center"/>
            <w:hideMark/>
          </w:tcPr>
          <w:p w14:paraId="0C3F839C" w14:textId="77777777" w:rsidR="0015270F" w:rsidRPr="0095562E" w:rsidRDefault="0015270F" w:rsidP="00162359">
            <w:pPr>
              <w:spacing w:before="0" w:after="0"/>
              <w:rPr>
                <w:rStyle w:val="BookTitle"/>
                <w:sz w:val="18"/>
                <w:szCs w:val="18"/>
              </w:rPr>
            </w:pPr>
            <w:r w:rsidRPr="0095562E">
              <w:rPr>
                <w:rStyle w:val="BookTitle"/>
                <w:sz w:val="18"/>
                <w:szCs w:val="18"/>
              </w:rPr>
              <w:t>Dist.</w:t>
            </w:r>
          </w:p>
        </w:tc>
        <w:tc>
          <w:tcPr>
            <w:tcW w:w="324" w:type="pct"/>
            <w:tcBorders>
              <w:top w:val="nil"/>
              <w:left w:val="nil"/>
              <w:bottom w:val="single" w:sz="4" w:space="0" w:color="auto"/>
              <w:right w:val="nil"/>
            </w:tcBorders>
            <w:shd w:val="clear" w:color="auto" w:fill="auto"/>
            <w:noWrap/>
            <w:vAlign w:val="center"/>
            <w:hideMark/>
          </w:tcPr>
          <w:p w14:paraId="0C3F839D" w14:textId="77777777" w:rsidR="0015270F" w:rsidRPr="0095562E" w:rsidRDefault="0015270F" w:rsidP="00162359">
            <w:pPr>
              <w:spacing w:before="0" w:after="0"/>
              <w:rPr>
                <w:rStyle w:val="BookTitle"/>
                <w:sz w:val="18"/>
                <w:szCs w:val="18"/>
              </w:rPr>
            </w:pPr>
            <w:r w:rsidRPr="0095562E">
              <w:rPr>
                <w:rStyle w:val="BookTitle"/>
                <w:sz w:val="18"/>
                <w:szCs w:val="18"/>
              </w:rPr>
              <w:t>TSS</w:t>
            </w:r>
          </w:p>
        </w:tc>
        <w:tc>
          <w:tcPr>
            <w:tcW w:w="324" w:type="pct"/>
            <w:tcBorders>
              <w:top w:val="nil"/>
              <w:left w:val="nil"/>
              <w:bottom w:val="single" w:sz="4" w:space="0" w:color="auto"/>
              <w:right w:val="nil"/>
            </w:tcBorders>
            <w:shd w:val="clear" w:color="auto" w:fill="auto"/>
            <w:noWrap/>
            <w:vAlign w:val="center"/>
            <w:hideMark/>
          </w:tcPr>
          <w:p w14:paraId="0C3F839E" w14:textId="77777777" w:rsidR="0015270F" w:rsidRPr="0095562E" w:rsidRDefault="0015270F" w:rsidP="00162359">
            <w:pPr>
              <w:spacing w:before="0" w:after="0"/>
              <w:rPr>
                <w:rStyle w:val="BookTitle"/>
                <w:sz w:val="18"/>
                <w:szCs w:val="18"/>
              </w:rPr>
            </w:pPr>
            <w:r w:rsidRPr="0095562E">
              <w:rPr>
                <w:rStyle w:val="BookTitle"/>
                <w:sz w:val="18"/>
                <w:szCs w:val="18"/>
              </w:rPr>
              <w:t>chl-a</w:t>
            </w:r>
          </w:p>
        </w:tc>
        <w:tc>
          <w:tcPr>
            <w:tcW w:w="324" w:type="pct"/>
            <w:tcBorders>
              <w:top w:val="nil"/>
              <w:left w:val="nil"/>
              <w:bottom w:val="single" w:sz="4" w:space="0" w:color="auto"/>
              <w:right w:val="nil"/>
            </w:tcBorders>
            <w:shd w:val="clear" w:color="auto" w:fill="auto"/>
            <w:noWrap/>
            <w:vAlign w:val="center"/>
            <w:hideMark/>
          </w:tcPr>
          <w:p w14:paraId="0C3F839F" w14:textId="77777777" w:rsidR="0015270F" w:rsidRPr="0095562E" w:rsidRDefault="0015270F" w:rsidP="00162359">
            <w:pPr>
              <w:spacing w:before="0" w:after="0"/>
              <w:rPr>
                <w:rStyle w:val="BookTitle"/>
                <w:sz w:val="18"/>
                <w:szCs w:val="18"/>
              </w:rPr>
            </w:pPr>
            <w:r w:rsidRPr="0095562E">
              <w:rPr>
                <w:rStyle w:val="BookTitle"/>
                <w:sz w:val="18"/>
                <w:szCs w:val="18"/>
              </w:rPr>
              <w:t>TN</w:t>
            </w:r>
          </w:p>
        </w:tc>
        <w:tc>
          <w:tcPr>
            <w:tcW w:w="324" w:type="pct"/>
            <w:tcBorders>
              <w:top w:val="nil"/>
              <w:left w:val="nil"/>
              <w:bottom w:val="single" w:sz="4" w:space="0" w:color="auto"/>
              <w:right w:val="nil"/>
            </w:tcBorders>
            <w:shd w:val="clear" w:color="auto" w:fill="auto"/>
            <w:noWrap/>
            <w:vAlign w:val="center"/>
            <w:hideMark/>
          </w:tcPr>
          <w:p w14:paraId="0C3F83A0" w14:textId="77777777" w:rsidR="0015270F" w:rsidRPr="0095562E" w:rsidRDefault="0015270F" w:rsidP="00162359">
            <w:pPr>
              <w:spacing w:before="0" w:after="0"/>
              <w:rPr>
                <w:rStyle w:val="BookTitle"/>
                <w:sz w:val="18"/>
                <w:szCs w:val="18"/>
              </w:rPr>
            </w:pPr>
            <w:r w:rsidRPr="0095562E">
              <w:rPr>
                <w:rStyle w:val="BookTitle"/>
                <w:sz w:val="18"/>
                <w:szCs w:val="18"/>
              </w:rPr>
              <w:t>TDN</w:t>
            </w:r>
          </w:p>
        </w:tc>
        <w:tc>
          <w:tcPr>
            <w:tcW w:w="324" w:type="pct"/>
            <w:tcBorders>
              <w:top w:val="nil"/>
              <w:left w:val="nil"/>
              <w:bottom w:val="single" w:sz="4" w:space="0" w:color="auto"/>
              <w:right w:val="nil"/>
            </w:tcBorders>
            <w:shd w:val="clear" w:color="auto" w:fill="auto"/>
            <w:noWrap/>
            <w:vAlign w:val="center"/>
            <w:hideMark/>
          </w:tcPr>
          <w:p w14:paraId="0C3F83A1" w14:textId="77777777" w:rsidR="0015270F" w:rsidRPr="0095562E" w:rsidRDefault="0015270F" w:rsidP="00162359">
            <w:pPr>
              <w:spacing w:before="0" w:after="0"/>
              <w:rPr>
                <w:rStyle w:val="BookTitle"/>
                <w:sz w:val="18"/>
                <w:szCs w:val="18"/>
              </w:rPr>
            </w:pPr>
            <w:r w:rsidRPr="0095562E">
              <w:rPr>
                <w:rStyle w:val="BookTitle"/>
                <w:sz w:val="18"/>
                <w:szCs w:val="18"/>
              </w:rPr>
              <w:t>DIN</w:t>
            </w:r>
          </w:p>
        </w:tc>
        <w:tc>
          <w:tcPr>
            <w:tcW w:w="324" w:type="pct"/>
            <w:tcBorders>
              <w:top w:val="nil"/>
              <w:left w:val="nil"/>
              <w:bottom w:val="single" w:sz="4" w:space="0" w:color="auto"/>
              <w:right w:val="nil"/>
            </w:tcBorders>
            <w:shd w:val="clear" w:color="auto" w:fill="auto"/>
            <w:noWrap/>
            <w:vAlign w:val="center"/>
            <w:hideMark/>
          </w:tcPr>
          <w:p w14:paraId="0C3F83A2" w14:textId="77777777" w:rsidR="0015270F" w:rsidRPr="0095562E" w:rsidRDefault="0015270F" w:rsidP="00162359">
            <w:pPr>
              <w:spacing w:before="0" w:after="0"/>
              <w:rPr>
                <w:rStyle w:val="BookTitle"/>
                <w:sz w:val="18"/>
                <w:szCs w:val="18"/>
              </w:rPr>
            </w:pPr>
            <w:r w:rsidRPr="0095562E">
              <w:rPr>
                <w:rStyle w:val="BookTitle"/>
                <w:sz w:val="18"/>
                <w:szCs w:val="18"/>
              </w:rPr>
              <w:t>TP</w:t>
            </w:r>
          </w:p>
        </w:tc>
        <w:tc>
          <w:tcPr>
            <w:tcW w:w="324" w:type="pct"/>
            <w:tcBorders>
              <w:top w:val="nil"/>
              <w:left w:val="nil"/>
              <w:bottom w:val="single" w:sz="4" w:space="0" w:color="auto"/>
              <w:right w:val="nil"/>
            </w:tcBorders>
            <w:shd w:val="clear" w:color="auto" w:fill="auto"/>
            <w:noWrap/>
            <w:vAlign w:val="center"/>
            <w:hideMark/>
          </w:tcPr>
          <w:p w14:paraId="0C3F83A3" w14:textId="77777777" w:rsidR="0015270F" w:rsidRPr="0095562E" w:rsidRDefault="0015270F" w:rsidP="00162359">
            <w:pPr>
              <w:spacing w:before="0" w:after="0"/>
              <w:rPr>
                <w:rStyle w:val="BookTitle"/>
                <w:sz w:val="18"/>
                <w:szCs w:val="18"/>
              </w:rPr>
            </w:pPr>
            <w:r w:rsidRPr="0095562E">
              <w:rPr>
                <w:rStyle w:val="BookTitle"/>
                <w:sz w:val="18"/>
                <w:szCs w:val="18"/>
              </w:rPr>
              <w:t>TDP</w:t>
            </w:r>
          </w:p>
        </w:tc>
        <w:tc>
          <w:tcPr>
            <w:tcW w:w="324" w:type="pct"/>
            <w:tcBorders>
              <w:top w:val="nil"/>
              <w:left w:val="nil"/>
              <w:bottom w:val="single" w:sz="4" w:space="0" w:color="auto"/>
              <w:right w:val="nil"/>
            </w:tcBorders>
            <w:shd w:val="clear" w:color="auto" w:fill="auto"/>
            <w:noWrap/>
            <w:vAlign w:val="center"/>
            <w:hideMark/>
          </w:tcPr>
          <w:p w14:paraId="0C3F83A4" w14:textId="77777777" w:rsidR="0015270F" w:rsidRPr="0095562E" w:rsidRDefault="0015270F" w:rsidP="00162359">
            <w:pPr>
              <w:spacing w:before="0" w:after="0"/>
              <w:rPr>
                <w:rStyle w:val="BookTitle"/>
                <w:sz w:val="18"/>
                <w:szCs w:val="18"/>
              </w:rPr>
            </w:pPr>
            <w:r w:rsidRPr="0095562E">
              <w:rPr>
                <w:rStyle w:val="BookTitle"/>
                <w:sz w:val="18"/>
                <w:szCs w:val="18"/>
              </w:rPr>
              <w:t>DIP</w:t>
            </w:r>
          </w:p>
        </w:tc>
        <w:tc>
          <w:tcPr>
            <w:tcW w:w="324" w:type="pct"/>
            <w:tcBorders>
              <w:top w:val="nil"/>
              <w:left w:val="nil"/>
              <w:bottom w:val="single" w:sz="4" w:space="0" w:color="auto"/>
              <w:right w:val="nil"/>
            </w:tcBorders>
            <w:shd w:val="clear" w:color="auto" w:fill="auto"/>
            <w:noWrap/>
            <w:vAlign w:val="center"/>
            <w:hideMark/>
          </w:tcPr>
          <w:p w14:paraId="0C3F83A5" w14:textId="77777777" w:rsidR="0015270F" w:rsidRPr="0095562E" w:rsidRDefault="0015270F" w:rsidP="00162359">
            <w:pPr>
              <w:spacing w:before="0" w:after="0"/>
              <w:rPr>
                <w:rStyle w:val="BookTitle"/>
                <w:sz w:val="18"/>
                <w:szCs w:val="18"/>
              </w:rPr>
            </w:pPr>
            <w:r w:rsidRPr="0095562E">
              <w:rPr>
                <w:rStyle w:val="BookTitle"/>
                <w:sz w:val="18"/>
                <w:szCs w:val="18"/>
              </w:rPr>
              <w:t>PN</w:t>
            </w:r>
          </w:p>
        </w:tc>
        <w:tc>
          <w:tcPr>
            <w:tcW w:w="324" w:type="pct"/>
            <w:tcBorders>
              <w:top w:val="nil"/>
              <w:left w:val="nil"/>
              <w:bottom w:val="single" w:sz="4" w:space="0" w:color="auto"/>
              <w:right w:val="nil"/>
            </w:tcBorders>
            <w:shd w:val="clear" w:color="auto" w:fill="auto"/>
            <w:noWrap/>
            <w:vAlign w:val="center"/>
            <w:hideMark/>
          </w:tcPr>
          <w:p w14:paraId="0C3F83A6" w14:textId="77777777" w:rsidR="0015270F" w:rsidRPr="0095562E" w:rsidRDefault="0015270F" w:rsidP="00162359">
            <w:pPr>
              <w:spacing w:before="0" w:after="0"/>
              <w:rPr>
                <w:rStyle w:val="BookTitle"/>
                <w:sz w:val="18"/>
                <w:szCs w:val="18"/>
              </w:rPr>
            </w:pPr>
            <w:r w:rsidRPr="0095562E">
              <w:rPr>
                <w:rStyle w:val="BookTitle"/>
                <w:sz w:val="18"/>
                <w:szCs w:val="18"/>
              </w:rPr>
              <w:t>PP</w:t>
            </w:r>
          </w:p>
        </w:tc>
        <w:tc>
          <w:tcPr>
            <w:tcW w:w="324" w:type="pct"/>
            <w:tcBorders>
              <w:top w:val="nil"/>
              <w:left w:val="nil"/>
              <w:bottom w:val="single" w:sz="4" w:space="0" w:color="auto"/>
              <w:right w:val="nil"/>
            </w:tcBorders>
            <w:shd w:val="clear" w:color="auto" w:fill="auto"/>
            <w:noWrap/>
            <w:vAlign w:val="center"/>
            <w:hideMark/>
          </w:tcPr>
          <w:p w14:paraId="0C3F83A7" w14:textId="77777777" w:rsidR="0015270F" w:rsidRPr="0095562E" w:rsidRDefault="0015270F" w:rsidP="00162359">
            <w:pPr>
              <w:spacing w:before="0" w:after="0"/>
              <w:rPr>
                <w:rStyle w:val="BookTitle"/>
                <w:sz w:val="18"/>
                <w:szCs w:val="18"/>
              </w:rPr>
            </w:pPr>
            <w:r w:rsidRPr="0095562E">
              <w:rPr>
                <w:rStyle w:val="BookTitle"/>
                <w:sz w:val="18"/>
                <w:szCs w:val="18"/>
              </w:rPr>
              <w:t>Si</w:t>
            </w:r>
          </w:p>
        </w:tc>
      </w:tr>
      <w:tr w:rsidR="0015270F" w:rsidRPr="0095562E" w14:paraId="0C3F83B8" w14:textId="77777777" w:rsidTr="00162359">
        <w:trPr>
          <w:trHeight w:val="20"/>
        </w:trPr>
        <w:tc>
          <w:tcPr>
            <w:tcW w:w="360" w:type="pct"/>
            <w:tcBorders>
              <w:top w:val="nil"/>
              <w:left w:val="nil"/>
              <w:bottom w:val="nil"/>
              <w:right w:val="nil"/>
            </w:tcBorders>
            <w:shd w:val="clear" w:color="auto" w:fill="auto"/>
            <w:noWrap/>
            <w:vAlign w:val="center"/>
            <w:hideMark/>
          </w:tcPr>
          <w:p w14:paraId="0C3F83A9" w14:textId="77777777" w:rsidR="0015270F" w:rsidRPr="0095562E" w:rsidRDefault="0015270F" w:rsidP="00162359">
            <w:pPr>
              <w:spacing w:before="0" w:after="0"/>
              <w:rPr>
                <w:rStyle w:val="BookTitle"/>
                <w:sz w:val="18"/>
                <w:szCs w:val="18"/>
              </w:rPr>
            </w:pPr>
            <w:r w:rsidRPr="0095562E">
              <w:rPr>
                <w:rStyle w:val="BookTitle"/>
                <w:sz w:val="18"/>
                <w:szCs w:val="18"/>
              </w:rPr>
              <w:t>Sal.</w:t>
            </w:r>
          </w:p>
        </w:tc>
        <w:tc>
          <w:tcPr>
            <w:tcW w:w="324" w:type="pct"/>
            <w:tcBorders>
              <w:top w:val="nil"/>
              <w:left w:val="nil"/>
              <w:bottom w:val="nil"/>
              <w:right w:val="nil"/>
            </w:tcBorders>
            <w:shd w:val="clear" w:color="auto" w:fill="auto"/>
            <w:noWrap/>
            <w:vAlign w:val="bottom"/>
            <w:hideMark/>
          </w:tcPr>
          <w:p w14:paraId="0C3F83AA"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429" w:type="pct"/>
            <w:tcBorders>
              <w:top w:val="nil"/>
              <w:left w:val="nil"/>
              <w:bottom w:val="nil"/>
              <w:right w:val="nil"/>
            </w:tcBorders>
            <w:shd w:val="clear" w:color="000000" w:fill="FFFF00"/>
            <w:noWrap/>
            <w:vAlign w:val="bottom"/>
            <w:hideMark/>
          </w:tcPr>
          <w:p w14:paraId="0C3F83AB"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324" w:type="pct"/>
            <w:tcBorders>
              <w:top w:val="nil"/>
              <w:left w:val="nil"/>
              <w:bottom w:val="nil"/>
              <w:right w:val="nil"/>
            </w:tcBorders>
            <w:shd w:val="clear" w:color="auto" w:fill="auto"/>
            <w:noWrap/>
            <w:vAlign w:val="bottom"/>
            <w:hideMark/>
          </w:tcPr>
          <w:p w14:paraId="0C3F83AC"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bottom"/>
            <w:hideMark/>
          </w:tcPr>
          <w:p w14:paraId="0C3F83AD"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bottom"/>
            <w:hideMark/>
          </w:tcPr>
          <w:p w14:paraId="0C3F83AE" w14:textId="77777777" w:rsidR="0015270F" w:rsidRPr="0095562E" w:rsidRDefault="0015270F" w:rsidP="00162359">
            <w:pPr>
              <w:spacing w:before="0" w:after="0"/>
              <w:rPr>
                <w:rStyle w:val="BookTitle"/>
                <w:sz w:val="18"/>
                <w:szCs w:val="18"/>
              </w:rPr>
            </w:pPr>
            <w:r w:rsidRPr="0095562E">
              <w:rPr>
                <w:rStyle w:val="BookTitle"/>
                <w:sz w:val="18"/>
                <w:szCs w:val="18"/>
              </w:rPr>
              <w:t>0.14</w:t>
            </w:r>
          </w:p>
        </w:tc>
        <w:tc>
          <w:tcPr>
            <w:tcW w:w="324" w:type="pct"/>
            <w:tcBorders>
              <w:top w:val="nil"/>
              <w:left w:val="nil"/>
              <w:bottom w:val="nil"/>
              <w:right w:val="nil"/>
            </w:tcBorders>
            <w:shd w:val="clear" w:color="auto" w:fill="auto"/>
            <w:noWrap/>
            <w:vAlign w:val="bottom"/>
            <w:hideMark/>
          </w:tcPr>
          <w:p w14:paraId="0C3F83AF" w14:textId="77777777" w:rsidR="0015270F" w:rsidRPr="0095562E" w:rsidRDefault="0015270F" w:rsidP="00162359">
            <w:pPr>
              <w:spacing w:before="0" w:after="0"/>
              <w:rPr>
                <w:rStyle w:val="BookTitle"/>
                <w:sz w:val="18"/>
                <w:szCs w:val="18"/>
              </w:rPr>
            </w:pPr>
            <w:r w:rsidRPr="0095562E">
              <w:rPr>
                <w:rStyle w:val="BookTitle"/>
                <w:sz w:val="18"/>
                <w:szCs w:val="18"/>
              </w:rPr>
              <w:t>-0.38</w:t>
            </w:r>
          </w:p>
        </w:tc>
        <w:tc>
          <w:tcPr>
            <w:tcW w:w="324" w:type="pct"/>
            <w:tcBorders>
              <w:top w:val="nil"/>
              <w:left w:val="nil"/>
              <w:bottom w:val="nil"/>
              <w:right w:val="nil"/>
            </w:tcBorders>
            <w:shd w:val="clear" w:color="auto" w:fill="auto"/>
            <w:noWrap/>
            <w:vAlign w:val="bottom"/>
            <w:hideMark/>
          </w:tcPr>
          <w:p w14:paraId="0C3F83B0" w14:textId="77777777" w:rsidR="0015270F" w:rsidRPr="0095562E" w:rsidRDefault="0015270F" w:rsidP="00162359">
            <w:pPr>
              <w:spacing w:before="0" w:after="0"/>
              <w:rPr>
                <w:rStyle w:val="BookTitle"/>
                <w:sz w:val="18"/>
                <w:szCs w:val="18"/>
              </w:rPr>
            </w:pPr>
            <w:r w:rsidRPr="0095562E">
              <w:rPr>
                <w:rStyle w:val="BookTitle"/>
                <w:sz w:val="18"/>
                <w:szCs w:val="18"/>
              </w:rPr>
              <w:t>-0.60</w:t>
            </w:r>
          </w:p>
        </w:tc>
        <w:tc>
          <w:tcPr>
            <w:tcW w:w="324" w:type="pct"/>
            <w:tcBorders>
              <w:top w:val="nil"/>
              <w:left w:val="nil"/>
              <w:bottom w:val="nil"/>
              <w:right w:val="nil"/>
            </w:tcBorders>
            <w:shd w:val="clear" w:color="auto" w:fill="auto"/>
            <w:noWrap/>
            <w:vAlign w:val="bottom"/>
            <w:hideMark/>
          </w:tcPr>
          <w:p w14:paraId="0C3F83B1" w14:textId="77777777" w:rsidR="0015270F" w:rsidRPr="0095562E" w:rsidRDefault="0015270F" w:rsidP="00162359">
            <w:pPr>
              <w:spacing w:before="0" w:after="0"/>
              <w:rPr>
                <w:rStyle w:val="BookTitle"/>
                <w:sz w:val="18"/>
                <w:szCs w:val="18"/>
              </w:rPr>
            </w:pPr>
            <w:r w:rsidRPr="0095562E">
              <w:rPr>
                <w:rStyle w:val="BookTitle"/>
                <w:sz w:val="18"/>
                <w:szCs w:val="18"/>
              </w:rPr>
              <w:t>-0.54</w:t>
            </w:r>
          </w:p>
        </w:tc>
        <w:tc>
          <w:tcPr>
            <w:tcW w:w="324" w:type="pct"/>
            <w:tcBorders>
              <w:top w:val="nil"/>
              <w:left w:val="nil"/>
              <w:bottom w:val="nil"/>
              <w:right w:val="nil"/>
            </w:tcBorders>
            <w:shd w:val="clear" w:color="000000" w:fill="FFFF00"/>
            <w:noWrap/>
            <w:vAlign w:val="bottom"/>
            <w:hideMark/>
          </w:tcPr>
          <w:p w14:paraId="0C3F83B2"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324" w:type="pct"/>
            <w:tcBorders>
              <w:top w:val="nil"/>
              <w:left w:val="nil"/>
              <w:bottom w:val="nil"/>
              <w:right w:val="nil"/>
            </w:tcBorders>
            <w:shd w:val="clear" w:color="000000" w:fill="FFFF00"/>
            <w:noWrap/>
            <w:vAlign w:val="bottom"/>
            <w:hideMark/>
          </w:tcPr>
          <w:p w14:paraId="0C3F83B3" w14:textId="77777777" w:rsidR="0015270F" w:rsidRPr="0095562E" w:rsidRDefault="0015270F" w:rsidP="00162359">
            <w:pPr>
              <w:spacing w:before="0" w:after="0"/>
              <w:rPr>
                <w:rStyle w:val="BookTitle"/>
                <w:sz w:val="18"/>
                <w:szCs w:val="18"/>
              </w:rPr>
            </w:pPr>
            <w:r w:rsidRPr="0095562E">
              <w:rPr>
                <w:rStyle w:val="BookTitle"/>
                <w:sz w:val="18"/>
                <w:szCs w:val="18"/>
              </w:rPr>
              <w:t>-0.69</w:t>
            </w:r>
          </w:p>
        </w:tc>
        <w:tc>
          <w:tcPr>
            <w:tcW w:w="324" w:type="pct"/>
            <w:tcBorders>
              <w:top w:val="nil"/>
              <w:left w:val="nil"/>
              <w:bottom w:val="nil"/>
              <w:right w:val="nil"/>
            </w:tcBorders>
            <w:shd w:val="clear" w:color="000000" w:fill="FFFF00"/>
            <w:noWrap/>
            <w:vAlign w:val="bottom"/>
            <w:hideMark/>
          </w:tcPr>
          <w:p w14:paraId="0C3F83B4" w14:textId="77777777" w:rsidR="0015270F" w:rsidRPr="0095562E" w:rsidRDefault="0015270F" w:rsidP="00162359">
            <w:pPr>
              <w:spacing w:before="0" w:after="0"/>
              <w:rPr>
                <w:rStyle w:val="BookTitle"/>
                <w:sz w:val="18"/>
                <w:szCs w:val="18"/>
              </w:rPr>
            </w:pPr>
            <w:r w:rsidRPr="0095562E">
              <w:rPr>
                <w:rStyle w:val="BookTitle"/>
                <w:sz w:val="18"/>
                <w:szCs w:val="18"/>
              </w:rPr>
              <w:t>-0.65</w:t>
            </w:r>
          </w:p>
        </w:tc>
        <w:tc>
          <w:tcPr>
            <w:tcW w:w="324" w:type="pct"/>
            <w:tcBorders>
              <w:top w:val="nil"/>
              <w:left w:val="nil"/>
              <w:bottom w:val="nil"/>
              <w:right w:val="nil"/>
            </w:tcBorders>
            <w:shd w:val="clear" w:color="auto" w:fill="auto"/>
            <w:noWrap/>
            <w:vAlign w:val="bottom"/>
            <w:hideMark/>
          </w:tcPr>
          <w:p w14:paraId="0C3F83B5"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3B6"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000000" w:fill="FFFF00"/>
            <w:noWrap/>
            <w:vAlign w:val="bottom"/>
            <w:hideMark/>
          </w:tcPr>
          <w:p w14:paraId="0C3F83B7" w14:textId="77777777" w:rsidR="0015270F" w:rsidRPr="0095562E" w:rsidRDefault="0015270F" w:rsidP="00162359">
            <w:pPr>
              <w:spacing w:before="0" w:after="0"/>
              <w:rPr>
                <w:rStyle w:val="BookTitle"/>
                <w:sz w:val="18"/>
                <w:szCs w:val="18"/>
              </w:rPr>
            </w:pPr>
            <w:r w:rsidRPr="0095562E">
              <w:rPr>
                <w:rStyle w:val="BookTitle"/>
                <w:sz w:val="18"/>
                <w:szCs w:val="18"/>
              </w:rPr>
              <w:t>-0.84</w:t>
            </w:r>
          </w:p>
        </w:tc>
      </w:tr>
      <w:tr w:rsidR="0015270F" w:rsidRPr="0095562E" w14:paraId="0C3F83C8" w14:textId="77777777" w:rsidTr="00162359">
        <w:trPr>
          <w:trHeight w:val="20"/>
        </w:trPr>
        <w:tc>
          <w:tcPr>
            <w:tcW w:w="360" w:type="pct"/>
            <w:tcBorders>
              <w:top w:val="nil"/>
              <w:left w:val="nil"/>
              <w:bottom w:val="nil"/>
              <w:right w:val="nil"/>
            </w:tcBorders>
            <w:shd w:val="clear" w:color="auto" w:fill="auto"/>
            <w:noWrap/>
            <w:vAlign w:val="center"/>
            <w:hideMark/>
          </w:tcPr>
          <w:p w14:paraId="0C3F83B9" w14:textId="77777777" w:rsidR="0015270F" w:rsidRPr="0095562E" w:rsidRDefault="0015270F" w:rsidP="00162359">
            <w:pPr>
              <w:spacing w:before="0" w:after="0"/>
              <w:rPr>
                <w:rStyle w:val="BookTitle"/>
                <w:sz w:val="18"/>
                <w:szCs w:val="18"/>
              </w:rPr>
            </w:pPr>
            <w:r w:rsidRPr="0095562E">
              <w:rPr>
                <w:rStyle w:val="BookTitle"/>
                <w:sz w:val="18"/>
                <w:szCs w:val="18"/>
              </w:rPr>
              <w:t>Disch.</w:t>
            </w:r>
          </w:p>
        </w:tc>
        <w:tc>
          <w:tcPr>
            <w:tcW w:w="324" w:type="pct"/>
            <w:tcBorders>
              <w:top w:val="nil"/>
              <w:left w:val="nil"/>
              <w:bottom w:val="nil"/>
              <w:right w:val="nil"/>
            </w:tcBorders>
            <w:shd w:val="clear" w:color="000000" w:fill="FFFF00"/>
            <w:noWrap/>
            <w:vAlign w:val="bottom"/>
            <w:hideMark/>
          </w:tcPr>
          <w:p w14:paraId="0C3F83BA"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429" w:type="pct"/>
            <w:tcBorders>
              <w:top w:val="nil"/>
              <w:left w:val="nil"/>
              <w:bottom w:val="nil"/>
              <w:right w:val="nil"/>
            </w:tcBorders>
            <w:shd w:val="clear" w:color="auto" w:fill="auto"/>
            <w:noWrap/>
            <w:vAlign w:val="bottom"/>
            <w:hideMark/>
          </w:tcPr>
          <w:p w14:paraId="0C3F83BB"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3BC"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3BD" w14:textId="77777777" w:rsidR="0015270F" w:rsidRPr="0095562E" w:rsidRDefault="0015270F" w:rsidP="00162359">
            <w:pPr>
              <w:spacing w:before="0" w:after="0"/>
              <w:rPr>
                <w:rStyle w:val="BookTitle"/>
                <w:sz w:val="18"/>
                <w:szCs w:val="18"/>
              </w:rPr>
            </w:pPr>
            <w:r w:rsidRPr="0095562E">
              <w:rPr>
                <w:rStyle w:val="BookTitle"/>
                <w:sz w:val="18"/>
                <w:szCs w:val="18"/>
              </w:rPr>
              <w:t>-0.14</w:t>
            </w:r>
          </w:p>
        </w:tc>
        <w:tc>
          <w:tcPr>
            <w:tcW w:w="324" w:type="pct"/>
            <w:tcBorders>
              <w:top w:val="nil"/>
              <w:left w:val="nil"/>
              <w:bottom w:val="nil"/>
              <w:right w:val="nil"/>
            </w:tcBorders>
            <w:shd w:val="clear" w:color="auto" w:fill="auto"/>
            <w:noWrap/>
            <w:vAlign w:val="bottom"/>
            <w:hideMark/>
          </w:tcPr>
          <w:p w14:paraId="0C3F83BE" w14:textId="77777777" w:rsidR="0015270F" w:rsidRPr="0095562E" w:rsidRDefault="0015270F" w:rsidP="00162359">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bottom"/>
            <w:hideMark/>
          </w:tcPr>
          <w:p w14:paraId="0C3F83BF"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auto" w:fill="auto"/>
            <w:noWrap/>
            <w:vAlign w:val="bottom"/>
            <w:hideMark/>
          </w:tcPr>
          <w:p w14:paraId="0C3F83C0"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000000" w:fill="FFFF00"/>
            <w:noWrap/>
            <w:vAlign w:val="bottom"/>
            <w:hideMark/>
          </w:tcPr>
          <w:p w14:paraId="0C3F83C1"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324" w:type="pct"/>
            <w:tcBorders>
              <w:top w:val="nil"/>
              <w:left w:val="nil"/>
              <w:bottom w:val="nil"/>
              <w:right w:val="nil"/>
            </w:tcBorders>
            <w:shd w:val="clear" w:color="auto" w:fill="auto"/>
            <w:noWrap/>
            <w:vAlign w:val="bottom"/>
            <w:hideMark/>
          </w:tcPr>
          <w:p w14:paraId="0C3F83C2" w14:textId="77777777" w:rsidR="0015270F" w:rsidRPr="0095562E" w:rsidRDefault="0015270F" w:rsidP="00162359">
            <w:pPr>
              <w:spacing w:before="0" w:after="0"/>
              <w:rPr>
                <w:rStyle w:val="BookTitle"/>
                <w:sz w:val="18"/>
                <w:szCs w:val="18"/>
              </w:rPr>
            </w:pPr>
            <w:r w:rsidRPr="0095562E">
              <w:rPr>
                <w:rStyle w:val="BookTitle"/>
                <w:sz w:val="18"/>
                <w:szCs w:val="18"/>
              </w:rPr>
              <w:t>0.32</w:t>
            </w:r>
          </w:p>
        </w:tc>
        <w:tc>
          <w:tcPr>
            <w:tcW w:w="324" w:type="pct"/>
            <w:tcBorders>
              <w:top w:val="nil"/>
              <w:left w:val="nil"/>
              <w:bottom w:val="nil"/>
              <w:right w:val="nil"/>
            </w:tcBorders>
            <w:shd w:val="clear" w:color="auto" w:fill="auto"/>
            <w:noWrap/>
            <w:vAlign w:val="bottom"/>
            <w:hideMark/>
          </w:tcPr>
          <w:p w14:paraId="0C3F83C3" w14:textId="77777777" w:rsidR="0015270F" w:rsidRPr="0095562E" w:rsidRDefault="0015270F" w:rsidP="00162359">
            <w:pPr>
              <w:spacing w:before="0" w:after="0"/>
              <w:rPr>
                <w:rStyle w:val="BookTitle"/>
                <w:sz w:val="18"/>
                <w:szCs w:val="18"/>
              </w:rPr>
            </w:pPr>
            <w:r w:rsidRPr="0095562E">
              <w:rPr>
                <w:rStyle w:val="BookTitle"/>
                <w:sz w:val="18"/>
                <w:szCs w:val="18"/>
              </w:rPr>
              <w:t>0.49</w:t>
            </w:r>
          </w:p>
        </w:tc>
        <w:tc>
          <w:tcPr>
            <w:tcW w:w="324" w:type="pct"/>
            <w:tcBorders>
              <w:top w:val="nil"/>
              <w:left w:val="nil"/>
              <w:bottom w:val="nil"/>
              <w:right w:val="nil"/>
            </w:tcBorders>
            <w:shd w:val="clear" w:color="auto" w:fill="auto"/>
            <w:noWrap/>
            <w:vAlign w:val="bottom"/>
            <w:hideMark/>
          </w:tcPr>
          <w:p w14:paraId="0C3F83C4" w14:textId="77777777" w:rsidR="0015270F" w:rsidRPr="0095562E" w:rsidRDefault="0015270F" w:rsidP="00162359">
            <w:pPr>
              <w:spacing w:before="0" w:after="0"/>
              <w:rPr>
                <w:rStyle w:val="BookTitle"/>
                <w:sz w:val="18"/>
                <w:szCs w:val="18"/>
              </w:rPr>
            </w:pPr>
            <w:r w:rsidRPr="0095562E">
              <w:rPr>
                <w:rStyle w:val="BookTitle"/>
                <w:sz w:val="18"/>
                <w:szCs w:val="18"/>
              </w:rPr>
              <w:t>0.46</w:t>
            </w:r>
          </w:p>
        </w:tc>
        <w:tc>
          <w:tcPr>
            <w:tcW w:w="324" w:type="pct"/>
            <w:tcBorders>
              <w:top w:val="nil"/>
              <w:left w:val="nil"/>
              <w:bottom w:val="nil"/>
              <w:right w:val="nil"/>
            </w:tcBorders>
            <w:shd w:val="clear" w:color="auto" w:fill="auto"/>
            <w:noWrap/>
            <w:vAlign w:val="bottom"/>
            <w:hideMark/>
          </w:tcPr>
          <w:p w14:paraId="0C3F83C5"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3C6" w14:textId="77777777" w:rsidR="0015270F" w:rsidRPr="0095562E" w:rsidRDefault="0015270F" w:rsidP="00162359">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000000" w:fill="FFFF00"/>
            <w:noWrap/>
            <w:vAlign w:val="bottom"/>
            <w:hideMark/>
          </w:tcPr>
          <w:p w14:paraId="0C3F83C7" w14:textId="77777777" w:rsidR="0015270F" w:rsidRPr="0095562E" w:rsidRDefault="0015270F" w:rsidP="00162359">
            <w:pPr>
              <w:spacing w:before="0" w:after="0"/>
              <w:rPr>
                <w:rStyle w:val="BookTitle"/>
                <w:sz w:val="18"/>
                <w:szCs w:val="18"/>
              </w:rPr>
            </w:pPr>
            <w:r w:rsidRPr="0095562E">
              <w:rPr>
                <w:rStyle w:val="BookTitle"/>
                <w:sz w:val="18"/>
                <w:szCs w:val="18"/>
              </w:rPr>
              <w:t>0.79</w:t>
            </w:r>
          </w:p>
        </w:tc>
      </w:tr>
      <w:tr w:rsidR="0015270F" w:rsidRPr="0095562E" w14:paraId="0C3F83D8" w14:textId="77777777" w:rsidTr="00162359">
        <w:trPr>
          <w:trHeight w:val="20"/>
        </w:trPr>
        <w:tc>
          <w:tcPr>
            <w:tcW w:w="360" w:type="pct"/>
            <w:tcBorders>
              <w:top w:val="nil"/>
              <w:left w:val="nil"/>
              <w:bottom w:val="nil"/>
              <w:right w:val="nil"/>
            </w:tcBorders>
            <w:shd w:val="clear" w:color="auto" w:fill="auto"/>
            <w:noWrap/>
            <w:vAlign w:val="center"/>
            <w:hideMark/>
          </w:tcPr>
          <w:p w14:paraId="0C3F83C9" w14:textId="77777777" w:rsidR="0015270F" w:rsidRPr="0095562E" w:rsidRDefault="0015270F" w:rsidP="00162359">
            <w:pPr>
              <w:spacing w:before="0" w:after="0"/>
              <w:rPr>
                <w:rStyle w:val="BookTitle"/>
                <w:sz w:val="18"/>
                <w:szCs w:val="18"/>
              </w:rPr>
            </w:pPr>
            <w:r w:rsidRPr="0095562E">
              <w:rPr>
                <w:rStyle w:val="BookTitle"/>
                <w:sz w:val="18"/>
                <w:szCs w:val="18"/>
              </w:rPr>
              <w:t>Dist.</w:t>
            </w:r>
          </w:p>
        </w:tc>
        <w:tc>
          <w:tcPr>
            <w:tcW w:w="324" w:type="pct"/>
            <w:tcBorders>
              <w:top w:val="nil"/>
              <w:left w:val="nil"/>
              <w:bottom w:val="nil"/>
              <w:right w:val="nil"/>
            </w:tcBorders>
            <w:shd w:val="clear" w:color="auto" w:fill="auto"/>
            <w:noWrap/>
            <w:vAlign w:val="bottom"/>
            <w:hideMark/>
          </w:tcPr>
          <w:p w14:paraId="0C3F83CA"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429" w:type="pct"/>
            <w:tcBorders>
              <w:top w:val="nil"/>
              <w:left w:val="nil"/>
              <w:bottom w:val="nil"/>
              <w:right w:val="nil"/>
            </w:tcBorders>
            <w:shd w:val="clear" w:color="auto" w:fill="auto"/>
            <w:noWrap/>
            <w:vAlign w:val="bottom"/>
            <w:hideMark/>
          </w:tcPr>
          <w:p w14:paraId="0C3F83CB"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3CC"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3CD" w14:textId="77777777" w:rsidR="0015270F" w:rsidRPr="0095562E" w:rsidRDefault="0015270F" w:rsidP="00162359">
            <w:pPr>
              <w:spacing w:before="0" w:after="0"/>
              <w:rPr>
                <w:rStyle w:val="BookTitle"/>
                <w:sz w:val="18"/>
                <w:szCs w:val="18"/>
              </w:rPr>
            </w:pPr>
            <w:r w:rsidRPr="0095562E">
              <w:rPr>
                <w:rStyle w:val="BookTitle"/>
                <w:sz w:val="18"/>
                <w:szCs w:val="18"/>
              </w:rPr>
              <w:t>-0.46</w:t>
            </w:r>
          </w:p>
        </w:tc>
        <w:tc>
          <w:tcPr>
            <w:tcW w:w="324" w:type="pct"/>
            <w:tcBorders>
              <w:top w:val="nil"/>
              <w:left w:val="nil"/>
              <w:bottom w:val="nil"/>
              <w:right w:val="nil"/>
            </w:tcBorders>
            <w:shd w:val="clear" w:color="auto" w:fill="auto"/>
            <w:noWrap/>
            <w:vAlign w:val="bottom"/>
            <w:hideMark/>
          </w:tcPr>
          <w:p w14:paraId="0C3F83CE"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3CF" w14:textId="77777777" w:rsidR="0015270F" w:rsidRPr="0095562E" w:rsidRDefault="0015270F" w:rsidP="00162359">
            <w:pPr>
              <w:spacing w:before="0" w:after="0"/>
              <w:rPr>
                <w:rStyle w:val="BookTitle"/>
                <w:sz w:val="18"/>
                <w:szCs w:val="18"/>
              </w:rPr>
            </w:pPr>
            <w:r w:rsidRPr="0095562E">
              <w:rPr>
                <w:rStyle w:val="BookTitle"/>
                <w:sz w:val="18"/>
                <w:szCs w:val="18"/>
              </w:rPr>
              <w:t>-0.44</w:t>
            </w:r>
          </w:p>
        </w:tc>
        <w:tc>
          <w:tcPr>
            <w:tcW w:w="324" w:type="pct"/>
            <w:tcBorders>
              <w:top w:val="nil"/>
              <w:left w:val="nil"/>
              <w:bottom w:val="nil"/>
              <w:right w:val="nil"/>
            </w:tcBorders>
            <w:shd w:val="clear" w:color="auto" w:fill="auto"/>
            <w:noWrap/>
            <w:vAlign w:val="bottom"/>
            <w:hideMark/>
          </w:tcPr>
          <w:p w14:paraId="0C3F83D0"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3D1" w14:textId="77777777" w:rsidR="0015270F" w:rsidRPr="0095562E" w:rsidRDefault="0015270F" w:rsidP="00162359">
            <w:pPr>
              <w:spacing w:before="0" w:after="0"/>
              <w:rPr>
                <w:rStyle w:val="BookTitle"/>
                <w:sz w:val="18"/>
                <w:szCs w:val="18"/>
              </w:rPr>
            </w:pPr>
            <w:r w:rsidRPr="0095562E">
              <w:rPr>
                <w:rStyle w:val="BookTitle"/>
                <w:sz w:val="18"/>
                <w:szCs w:val="18"/>
              </w:rPr>
              <w:t>-0.35</w:t>
            </w:r>
          </w:p>
        </w:tc>
        <w:tc>
          <w:tcPr>
            <w:tcW w:w="324" w:type="pct"/>
            <w:tcBorders>
              <w:top w:val="nil"/>
              <w:left w:val="nil"/>
              <w:bottom w:val="nil"/>
              <w:right w:val="nil"/>
            </w:tcBorders>
            <w:shd w:val="clear" w:color="auto" w:fill="auto"/>
            <w:noWrap/>
            <w:vAlign w:val="bottom"/>
            <w:hideMark/>
          </w:tcPr>
          <w:p w14:paraId="0C3F83D2" w14:textId="77777777" w:rsidR="0015270F" w:rsidRPr="0095562E" w:rsidRDefault="0015270F" w:rsidP="00162359">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bottom"/>
            <w:hideMark/>
          </w:tcPr>
          <w:p w14:paraId="0C3F83D3" w14:textId="77777777" w:rsidR="0015270F" w:rsidRPr="0095562E" w:rsidRDefault="0015270F" w:rsidP="00162359">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bottom"/>
            <w:hideMark/>
          </w:tcPr>
          <w:p w14:paraId="0C3F83D4" w14:textId="77777777" w:rsidR="0015270F" w:rsidRPr="0095562E" w:rsidRDefault="0015270F" w:rsidP="00162359">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bottom"/>
            <w:hideMark/>
          </w:tcPr>
          <w:p w14:paraId="0C3F83D5"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3D6"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3D7" w14:textId="77777777" w:rsidR="0015270F" w:rsidRPr="0095562E" w:rsidRDefault="0015270F" w:rsidP="00162359">
            <w:pPr>
              <w:spacing w:before="0" w:after="0"/>
              <w:rPr>
                <w:rStyle w:val="BookTitle"/>
                <w:sz w:val="18"/>
                <w:szCs w:val="18"/>
              </w:rPr>
            </w:pPr>
            <w:r w:rsidRPr="0095562E">
              <w:rPr>
                <w:rStyle w:val="BookTitle"/>
                <w:sz w:val="18"/>
                <w:szCs w:val="18"/>
              </w:rPr>
              <w:t>-0.42</w:t>
            </w:r>
          </w:p>
        </w:tc>
      </w:tr>
      <w:tr w:rsidR="0015270F" w:rsidRPr="0095562E" w14:paraId="0C3F83E8" w14:textId="77777777" w:rsidTr="00162359">
        <w:trPr>
          <w:trHeight w:val="20"/>
        </w:trPr>
        <w:tc>
          <w:tcPr>
            <w:tcW w:w="360" w:type="pct"/>
            <w:tcBorders>
              <w:top w:val="nil"/>
              <w:left w:val="nil"/>
              <w:bottom w:val="nil"/>
              <w:right w:val="nil"/>
            </w:tcBorders>
            <w:shd w:val="clear" w:color="auto" w:fill="auto"/>
            <w:noWrap/>
            <w:vAlign w:val="center"/>
            <w:hideMark/>
          </w:tcPr>
          <w:p w14:paraId="0C3F83D9" w14:textId="77777777" w:rsidR="0015270F" w:rsidRPr="0095562E" w:rsidRDefault="0015270F" w:rsidP="00162359">
            <w:pPr>
              <w:spacing w:before="0" w:after="0"/>
              <w:rPr>
                <w:rStyle w:val="BookTitle"/>
                <w:sz w:val="18"/>
                <w:szCs w:val="18"/>
              </w:rPr>
            </w:pPr>
            <w:r w:rsidRPr="0095562E">
              <w:rPr>
                <w:rStyle w:val="BookTitle"/>
                <w:sz w:val="18"/>
                <w:szCs w:val="18"/>
              </w:rPr>
              <w:t>TSS</w:t>
            </w:r>
          </w:p>
        </w:tc>
        <w:tc>
          <w:tcPr>
            <w:tcW w:w="324" w:type="pct"/>
            <w:tcBorders>
              <w:top w:val="nil"/>
              <w:left w:val="nil"/>
              <w:bottom w:val="nil"/>
              <w:right w:val="nil"/>
            </w:tcBorders>
            <w:shd w:val="clear" w:color="auto" w:fill="auto"/>
            <w:noWrap/>
            <w:vAlign w:val="bottom"/>
            <w:hideMark/>
          </w:tcPr>
          <w:p w14:paraId="0C3F83DA"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429" w:type="pct"/>
            <w:tcBorders>
              <w:top w:val="nil"/>
              <w:left w:val="nil"/>
              <w:bottom w:val="nil"/>
              <w:right w:val="nil"/>
            </w:tcBorders>
            <w:shd w:val="clear" w:color="auto" w:fill="auto"/>
            <w:noWrap/>
            <w:vAlign w:val="bottom"/>
            <w:hideMark/>
          </w:tcPr>
          <w:p w14:paraId="0C3F83DB" w14:textId="77777777" w:rsidR="0015270F" w:rsidRPr="0095562E" w:rsidRDefault="0015270F" w:rsidP="00162359">
            <w:pPr>
              <w:spacing w:before="0" w:after="0"/>
              <w:rPr>
                <w:rStyle w:val="BookTitle"/>
                <w:sz w:val="18"/>
                <w:szCs w:val="18"/>
              </w:rPr>
            </w:pPr>
            <w:r w:rsidRPr="0095562E">
              <w:rPr>
                <w:rStyle w:val="BookTitle"/>
                <w:sz w:val="18"/>
                <w:szCs w:val="18"/>
              </w:rPr>
              <w:t>-0.14</w:t>
            </w:r>
          </w:p>
        </w:tc>
        <w:tc>
          <w:tcPr>
            <w:tcW w:w="324" w:type="pct"/>
            <w:tcBorders>
              <w:top w:val="nil"/>
              <w:left w:val="nil"/>
              <w:bottom w:val="nil"/>
              <w:right w:val="nil"/>
            </w:tcBorders>
            <w:shd w:val="clear" w:color="auto" w:fill="auto"/>
            <w:noWrap/>
            <w:vAlign w:val="bottom"/>
            <w:hideMark/>
          </w:tcPr>
          <w:p w14:paraId="0C3F83DC" w14:textId="77777777" w:rsidR="0015270F" w:rsidRPr="0095562E" w:rsidRDefault="0015270F" w:rsidP="00162359">
            <w:pPr>
              <w:spacing w:before="0" w:after="0"/>
              <w:rPr>
                <w:rStyle w:val="BookTitle"/>
                <w:sz w:val="18"/>
                <w:szCs w:val="18"/>
              </w:rPr>
            </w:pPr>
            <w:r w:rsidRPr="0095562E">
              <w:rPr>
                <w:rStyle w:val="BookTitle"/>
                <w:sz w:val="18"/>
                <w:szCs w:val="18"/>
              </w:rPr>
              <w:t>-0.46</w:t>
            </w:r>
          </w:p>
        </w:tc>
        <w:tc>
          <w:tcPr>
            <w:tcW w:w="324" w:type="pct"/>
            <w:tcBorders>
              <w:top w:val="nil"/>
              <w:left w:val="nil"/>
              <w:bottom w:val="nil"/>
              <w:right w:val="nil"/>
            </w:tcBorders>
            <w:shd w:val="clear" w:color="auto" w:fill="auto"/>
            <w:noWrap/>
            <w:vAlign w:val="bottom"/>
            <w:hideMark/>
          </w:tcPr>
          <w:p w14:paraId="0C3F83DD"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3DE"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3DF" w14:textId="77777777" w:rsidR="0015270F" w:rsidRPr="0095562E" w:rsidRDefault="0015270F" w:rsidP="00162359">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bottom"/>
            <w:hideMark/>
          </w:tcPr>
          <w:p w14:paraId="0C3F83E0" w14:textId="77777777" w:rsidR="0015270F" w:rsidRPr="0095562E" w:rsidRDefault="0015270F" w:rsidP="00162359">
            <w:pPr>
              <w:spacing w:before="0" w:after="0"/>
              <w:rPr>
                <w:rStyle w:val="BookTitle"/>
                <w:sz w:val="18"/>
                <w:szCs w:val="18"/>
              </w:rPr>
            </w:pPr>
            <w:r w:rsidRPr="0095562E">
              <w:rPr>
                <w:rStyle w:val="BookTitle"/>
                <w:sz w:val="18"/>
                <w:szCs w:val="18"/>
              </w:rPr>
              <w:t>0.24</w:t>
            </w:r>
          </w:p>
        </w:tc>
        <w:tc>
          <w:tcPr>
            <w:tcW w:w="324" w:type="pct"/>
            <w:tcBorders>
              <w:top w:val="nil"/>
              <w:left w:val="nil"/>
              <w:bottom w:val="nil"/>
              <w:right w:val="nil"/>
            </w:tcBorders>
            <w:shd w:val="clear" w:color="auto" w:fill="auto"/>
            <w:noWrap/>
            <w:vAlign w:val="bottom"/>
            <w:hideMark/>
          </w:tcPr>
          <w:p w14:paraId="0C3F83E1" w14:textId="77777777" w:rsidR="0015270F" w:rsidRPr="0095562E" w:rsidRDefault="0015270F" w:rsidP="00162359">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bottom"/>
            <w:hideMark/>
          </w:tcPr>
          <w:p w14:paraId="0C3F83E2"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3E3"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3E4" w14:textId="77777777" w:rsidR="0015270F" w:rsidRPr="0095562E" w:rsidRDefault="0015270F" w:rsidP="00162359">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bottom"/>
            <w:hideMark/>
          </w:tcPr>
          <w:p w14:paraId="0C3F83E5"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bottom"/>
            <w:hideMark/>
          </w:tcPr>
          <w:p w14:paraId="0C3F83E6"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3E7" w14:textId="77777777" w:rsidR="0015270F" w:rsidRPr="0095562E" w:rsidRDefault="0015270F" w:rsidP="00162359">
            <w:pPr>
              <w:spacing w:before="0" w:after="0"/>
              <w:rPr>
                <w:rStyle w:val="BookTitle"/>
                <w:sz w:val="18"/>
                <w:szCs w:val="18"/>
              </w:rPr>
            </w:pPr>
            <w:r w:rsidRPr="0095562E">
              <w:rPr>
                <w:rStyle w:val="BookTitle"/>
                <w:sz w:val="18"/>
                <w:szCs w:val="18"/>
              </w:rPr>
              <w:t>0.02</w:t>
            </w:r>
          </w:p>
        </w:tc>
      </w:tr>
      <w:tr w:rsidR="0015270F" w:rsidRPr="0095562E" w14:paraId="0C3F83F8" w14:textId="77777777" w:rsidTr="00162359">
        <w:trPr>
          <w:trHeight w:val="20"/>
        </w:trPr>
        <w:tc>
          <w:tcPr>
            <w:tcW w:w="360" w:type="pct"/>
            <w:tcBorders>
              <w:top w:val="nil"/>
              <w:left w:val="nil"/>
              <w:bottom w:val="nil"/>
              <w:right w:val="nil"/>
            </w:tcBorders>
            <w:shd w:val="clear" w:color="auto" w:fill="auto"/>
            <w:noWrap/>
            <w:vAlign w:val="center"/>
            <w:hideMark/>
          </w:tcPr>
          <w:p w14:paraId="0C3F83E9" w14:textId="77777777" w:rsidR="0015270F" w:rsidRPr="0095562E" w:rsidRDefault="0015270F" w:rsidP="00162359">
            <w:pPr>
              <w:spacing w:before="0" w:after="0"/>
              <w:rPr>
                <w:rStyle w:val="BookTitle"/>
                <w:sz w:val="18"/>
                <w:szCs w:val="18"/>
              </w:rPr>
            </w:pPr>
            <w:r w:rsidRPr="0095562E">
              <w:rPr>
                <w:rStyle w:val="BookTitle"/>
                <w:sz w:val="18"/>
                <w:szCs w:val="18"/>
              </w:rPr>
              <w:t>chl-a</w:t>
            </w:r>
          </w:p>
        </w:tc>
        <w:tc>
          <w:tcPr>
            <w:tcW w:w="324" w:type="pct"/>
            <w:tcBorders>
              <w:top w:val="nil"/>
              <w:left w:val="nil"/>
              <w:bottom w:val="nil"/>
              <w:right w:val="nil"/>
            </w:tcBorders>
            <w:shd w:val="clear" w:color="auto" w:fill="auto"/>
            <w:noWrap/>
            <w:vAlign w:val="bottom"/>
            <w:hideMark/>
          </w:tcPr>
          <w:p w14:paraId="0C3F83EA" w14:textId="77777777" w:rsidR="0015270F" w:rsidRPr="0095562E" w:rsidRDefault="0015270F" w:rsidP="00162359">
            <w:pPr>
              <w:spacing w:before="0" w:after="0"/>
              <w:rPr>
                <w:rStyle w:val="BookTitle"/>
                <w:sz w:val="18"/>
                <w:szCs w:val="18"/>
              </w:rPr>
            </w:pPr>
            <w:r w:rsidRPr="0095562E">
              <w:rPr>
                <w:rStyle w:val="BookTitle"/>
                <w:sz w:val="18"/>
                <w:szCs w:val="18"/>
              </w:rPr>
              <w:t>0.14</w:t>
            </w:r>
          </w:p>
        </w:tc>
        <w:tc>
          <w:tcPr>
            <w:tcW w:w="429" w:type="pct"/>
            <w:tcBorders>
              <w:top w:val="nil"/>
              <w:left w:val="nil"/>
              <w:bottom w:val="nil"/>
              <w:right w:val="nil"/>
            </w:tcBorders>
            <w:shd w:val="clear" w:color="auto" w:fill="auto"/>
            <w:noWrap/>
            <w:vAlign w:val="bottom"/>
            <w:hideMark/>
          </w:tcPr>
          <w:p w14:paraId="0C3F83EB" w14:textId="77777777" w:rsidR="0015270F" w:rsidRPr="0095562E" w:rsidRDefault="0015270F" w:rsidP="00162359">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bottom"/>
            <w:hideMark/>
          </w:tcPr>
          <w:p w14:paraId="0C3F83EC"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3ED"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3EE"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3EF" w14:textId="77777777" w:rsidR="0015270F" w:rsidRPr="0095562E" w:rsidRDefault="0015270F" w:rsidP="00162359">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bottom"/>
            <w:hideMark/>
          </w:tcPr>
          <w:p w14:paraId="0C3F83F0"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bottom"/>
            <w:hideMark/>
          </w:tcPr>
          <w:p w14:paraId="0C3F83F1"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3F2" w14:textId="77777777" w:rsidR="0015270F" w:rsidRPr="0095562E" w:rsidRDefault="0015270F" w:rsidP="00162359">
            <w:pPr>
              <w:spacing w:before="0" w:after="0"/>
              <w:rPr>
                <w:rStyle w:val="BookTitle"/>
                <w:sz w:val="18"/>
                <w:szCs w:val="18"/>
              </w:rPr>
            </w:pPr>
            <w:r w:rsidRPr="0095562E">
              <w:rPr>
                <w:rStyle w:val="BookTitle"/>
                <w:sz w:val="18"/>
                <w:szCs w:val="18"/>
              </w:rPr>
              <w:t>-0.10</w:t>
            </w:r>
          </w:p>
        </w:tc>
        <w:tc>
          <w:tcPr>
            <w:tcW w:w="324" w:type="pct"/>
            <w:tcBorders>
              <w:top w:val="nil"/>
              <w:left w:val="nil"/>
              <w:bottom w:val="nil"/>
              <w:right w:val="nil"/>
            </w:tcBorders>
            <w:shd w:val="clear" w:color="auto" w:fill="auto"/>
            <w:noWrap/>
            <w:vAlign w:val="bottom"/>
            <w:hideMark/>
          </w:tcPr>
          <w:p w14:paraId="0C3F83F3"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bottom"/>
            <w:hideMark/>
          </w:tcPr>
          <w:p w14:paraId="0C3F83F4"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3F5"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3F6"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3F7" w14:textId="77777777" w:rsidR="0015270F" w:rsidRPr="0095562E" w:rsidRDefault="0015270F" w:rsidP="00162359">
            <w:pPr>
              <w:spacing w:before="0" w:after="0"/>
              <w:rPr>
                <w:rStyle w:val="BookTitle"/>
                <w:sz w:val="18"/>
                <w:szCs w:val="18"/>
              </w:rPr>
            </w:pPr>
            <w:r w:rsidRPr="0095562E">
              <w:rPr>
                <w:rStyle w:val="BookTitle"/>
                <w:sz w:val="18"/>
                <w:szCs w:val="18"/>
              </w:rPr>
              <w:t>-0.39</w:t>
            </w:r>
          </w:p>
        </w:tc>
      </w:tr>
      <w:tr w:rsidR="0015270F" w:rsidRPr="0095562E" w14:paraId="0C3F8408" w14:textId="77777777" w:rsidTr="00162359">
        <w:trPr>
          <w:trHeight w:val="20"/>
        </w:trPr>
        <w:tc>
          <w:tcPr>
            <w:tcW w:w="360" w:type="pct"/>
            <w:tcBorders>
              <w:top w:val="nil"/>
              <w:left w:val="nil"/>
              <w:bottom w:val="nil"/>
              <w:right w:val="nil"/>
            </w:tcBorders>
            <w:shd w:val="clear" w:color="auto" w:fill="auto"/>
            <w:noWrap/>
            <w:vAlign w:val="center"/>
            <w:hideMark/>
          </w:tcPr>
          <w:p w14:paraId="0C3F83F9" w14:textId="77777777" w:rsidR="0015270F" w:rsidRPr="0095562E" w:rsidRDefault="0015270F" w:rsidP="00162359">
            <w:pPr>
              <w:spacing w:before="0" w:after="0"/>
              <w:rPr>
                <w:rStyle w:val="BookTitle"/>
                <w:sz w:val="18"/>
                <w:szCs w:val="18"/>
              </w:rPr>
            </w:pPr>
            <w:r w:rsidRPr="0095562E">
              <w:rPr>
                <w:rStyle w:val="BookTitle"/>
                <w:sz w:val="18"/>
                <w:szCs w:val="18"/>
              </w:rPr>
              <w:t>TN</w:t>
            </w:r>
          </w:p>
        </w:tc>
        <w:tc>
          <w:tcPr>
            <w:tcW w:w="324" w:type="pct"/>
            <w:tcBorders>
              <w:top w:val="nil"/>
              <w:left w:val="nil"/>
              <w:bottom w:val="nil"/>
              <w:right w:val="nil"/>
            </w:tcBorders>
            <w:shd w:val="clear" w:color="auto" w:fill="auto"/>
            <w:noWrap/>
            <w:vAlign w:val="bottom"/>
            <w:hideMark/>
          </w:tcPr>
          <w:p w14:paraId="0C3F83FA" w14:textId="77777777" w:rsidR="0015270F" w:rsidRPr="0095562E" w:rsidRDefault="0015270F" w:rsidP="00162359">
            <w:pPr>
              <w:spacing w:before="0" w:after="0"/>
              <w:rPr>
                <w:rStyle w:val="BookTitle"/>
                <w:sz w:val="18"/>
                <w:szCs w:val="18"/>
              </w:rPr>
            </w:pPr>
            <w:r w:rsidRPr="0095562E">
              <w:rPr>
                <w:rStyle w:val="BookTitle"/>
                <w:sz w:val="18"/>
                <w:szCs w:val="18"/>
              </w:rPr>
              <w:t>-0.38</w:t>
            </w:r>
          </w:p>
        </w:tc>
        <w:tc>
          <w:tcPr>
            <w:tcW w:w="429" w:type="pct"/>
            <w:tcBorders>
              <w:top w:val="nil"/>
              <w:left w:val="nil"/>
              <w:bottom w:val="nil"/>
              <w:right w:val="nil"/>
            </w:tcBorders>
            <w:shd w:val="clear" w:color="auto" w:fill="auto"/>
            <w:noWrap/>
            <w:vAlign w:val="bottom"/>
            <w:hideMark/>
          </w:tcPr>
          <w:p w14:paraId="0C3F83FB"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auto" w:fill="auto"/>
            <w:noWrap/>
            <w:vAlign w:val="bottom"/>
            <w:hideMark/>
          </w:tcPr>
          <w:p w14:paraId="0C3F83FC" w14:textId="77777777" w:rsidR="0015270F" w:rsidRPr="0095562E" w:rsidRDefault="0015270F" w:rsidP="00162359">
            <w:pPr>
              <w:spacing w:before="0" w:after="0"/>
              <w:rPr>
                <w:rStyle w:val="BookTitle"/>
                <w:sz w:val="18"/>
                <w:szCs w:val="18"/>
              </w:rPr>
            </w:pPr>
            <w:r w:rsidRPr="0095562E">
              <w:rPr>
                <w:rStyle w:val="BookTitle"/>
                <w:sz w:val="18"/>
                <w:szCs w:val="18"/>
              </w:rPr>
              <w:t>-0.44</w:t>
            </w:r>
          </w:p>
        </w:tc>
        <w:tc>
          <w:tcPr>
            <w:tcW w:w="324" w:type="pct"/>
            <w:tcBorders>
              <w:top w:val="nil"/>
              <w:left w:val="nil"/>
              <w:bottom w:val="nil"/>
              <w:right w:val="nil"/>
            </w:tcBorders>
            <w:shd w:val="clear" w:color="auto" w:fill="auto"/>
            <w:noWrap/>
            <w:vAlign w:val="bottom"/>
            <w:hideMark/>
          </w:tcPr>
          <w:p w14:paraId="0C3F83FD" w14:textId="77777777" w:rsidR="0015270F" w:rsidRPr="0095562E" w:rsidRDefault="0015270F" w:rsidP="00162359">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bottom"/>
            <w:hideMark/>
          </w:tcPr>
          <w:p w14:paraId="0C3F83FE" w14:textId="77777777" w:rsidR="0015270F" w:rsidRPr="0095562E" w:rsidRDefault="0015270F" w:rsidP="00162359">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bottom"/>
            <w:hideMark/>
          </w:tcPr>
          <w:p w14:paraId="0C3F83FF"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400" w14:textId="77777777" w:rsidR="0015270F" w:rsidRPr="0095562E" w:rsidRDefault="0015270F" w:rsidP="00162359">
            <w:pPr>
              <w:spacing w:before="0" w:after="0"/>
              <w:rPr>
                <w:rStyle w:val="BookTitle"/>
                <w:sz w:val="18"/>
                <w:szCs w:val="18"/>
              </w:rPr>
            </w:pPr>
            <w:r w:rsidRPr="0095562E">
              <w:rPr>
                <w:rStyle w:val="BookTitle"/>
                <w:sz w:val="18"/>
                <w:szCs w:val="18"/>
              </w:rPr>
              <w:t>0.81</w:t>
            </w:r>
          </w:p>
        </w:tc>
        <w:tc>
          <w:tcPr>
            <w:tcW w:w="324" w:type="pct"/>
            <w:tcBorders>
              <w:top w:val="nil"/>
              <w:left w:val="nil"/>
              <w:bottom w:val="nil"/>
              <w:right w:val="nil"/>
            </w:tcBorders>
            <w:shd w:val="clear" w:color="auto" w:fill="auto"/>
            <w:noWrap/>
            <w:vAlign w:val="bottom"/>
            <w:hideMark/>
          </w:tcPr>
          <w:p w14:paraId="0C3F8401"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402" w14:textId="77777777" w:rsidR="0015270F" w:rsidRPr="0095562E" w:rsidRDefault="0015270F" w:rsidP="00162359">
            <w:pPr>
              <w:spacing w:before="0" w:after="0"/>
              <w:rPr>
                <w:rStyle w:val="BookTitle"/>
                <w:sz w:val="18"/>
                <w:szCs w:val="18"/>
              </w:rPr>
            </w:pPr>
            <w:r w:rsidRPr="0095562E">
              <w:rPr>
                <w:rStyle w:val="BookTitle"/>
                <w:sz w:val="18"/>
                <w:szCs w:val="18"/>
              </w:rPr>
              <w:t>0.56</w:t>
            </w:r>
          </w:p>
        </w:tc>
        <w:tc>
          <w:tcPr>
            <w:tcW w:w="324" w:type="pct"/>
            <w:tcBorders>
              <w:top w:val="nil"/>
              <w:left w:val="nil"/>
              <w:bottom w:val="nil"/>
              <w:right w:val="nil"/>
            </w:tcBorders>
            <w:shd w:val="clear" w:color="auto" w:fill="auto"/>
            <w:noWrap/>
            <w:vAlign w:val="bottom"/>
            <w:hideMark/>
          </w:tcPr>
          <w:p w14:paraId="0C3F8403" w14:textId="77777777" w:rsidR="0015270F" w:rsidRPr="0095562E" w:rsidRDefault="0015270F" w:rsidP="00162359">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bottom"/>
            <w:hideMark/>
          </w:tcPr>
          <w:p w14:paraId="0C3F8404"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405" w14:textId="77777777" w:rsidR="0015270F" w:rsidRPr="0095562E" w:rsidRDefault="0015270F" w:rsidP="00162359">
            <w:pPr>
              <w:spacing w:before="0" w:after="0"/>
              <w:rPr>
                <w:rStyle w:val="BookTitle"/>
                <w:sz w:val="18"/>
                <w:szCs w:val="18"/>
              </w:rPr>
            </w:pPr>
            <w:r w:rsidRPr="0095562E">
              <w:rPr>
                <w:rStyle w:val="BookTitle"/>
                <w:sz w:val="18"/>
                <w:szCs w:val="18"/>
              </w:rPr>
              <w:t>0.24</w:t>
            </w:r>
          </w:p>
        </w:tc>
        <w:tc>
          <w:tcPr>
            <w:tcW w:w="324" w:type="pct"/>
            <w:tcBorders>
              <w:top w:val="nil"/>
              <w:left w:val="nil"/>
              <w:bottom w:val="nil"/>
              <w:right w:val="nil"/>
            </w:tcBorders>
            <w:shd w:val="clear" w:color="auto" w:fill="auto"/>
            <w:noWrap/>
            <w:vAlign w:val="bottom"/>
            <w:hideMark/>
          </w:tcPr>
          <w:p w14:paraId="0C3F8406" w14:textId="77777777" w:rsidR="0015270F" w:rsidRPr="0095562E" w:rsidRDefault="0015270F" w:rsidP="00162359">
            <w:pPr>
              <w:spacing w:before="0" w:after="0"/>
              <w:rPr>
                <w:rStyle w:val="BookTitle"/>
                <w:sz w:val="18"/>
                <w:szCs w:val="18"/>
              </w:rPr>
            </w:pPr>
            <w:r w:rsidRPr="0095562E">
              <w:rPr>
                <w:rStyle w:val="BookTitle"/>
                <w:sz w:val="18"/>
                <w:szCs w:val="18"/>
              </w:rPr>
              <w:t>0.42</w:t>
            </w:r>
          </w:p>
        </w:tc>
        <w:tc>
          <w:tcPr>
            <w:tcW w:w="324" w:type="pct"/>
            <w:tcBorders>
              <w:top w:val="nil"/>
              <w:left w:val="nil"/>
              <w:bottom w:val="nil"/>
              <w:right w:val="nil"/>
            </w:tcBorders>
            <w:shd w:val="clear" w:color="auto" w:fill="auto"/>
            <w:noWrap/>
            <w:vAlign w:val="bottom"/>
            <w:hideMark/>
          </w:tcPr>
          <w:p w14:paraId="0C3F8407" w14:textId="77777777" w:rsidR="0015270F" w:rsidRPr="0095562E" w:rsidRDefault="0015270F" w:rsidP="00162359">
            <w:pPr>
              <w:spacing w:before="0" w:after="0"/>
              <w:rPr>
                <w:rStyle w:val="BookTitle"/>
                <w:sz w:val="18"/>
                <w:szCs w:val="18"/>
              </w:rPr>
            </w:pPr>
            <w:r w:rsidRPr="0095562E">
              <w:rPr>
                <w:rStyle w:val="BookTitle"/>
                <w:sz w:val="18"/>
                <w:szCs w:val="18"/>
              </w:rPr>
              <w:t>0.27</w:t>
            </w:r>
          </w:p>
        </w:tc>
      </w:tr>
      <w:tr w:rsidR="0015270F" w:rsidRPr="0095562E" w14:paraId="0C3F8418" w14:textId="77777777" w:rsidTr="00162359">
        <w:trPr>
          <w:trHeight w:val="20"/>
        </w:trPr>
        <w:tc>
          <w:tcPr>
            <w:tcW w:w="360" w:type="pct"/>
            <w:tcBorders>
              <w:top w:val="nil"/>
              <w:left w:val="nil"/>
              <w:bottom w:val="nil"/>
              <w:right w:val="nil"/>
            </w:tcBorders>
            <w:shd w:val="clear" w:color="auto" w:fill="auto"/>
            <w:noWrap/>
            <w:vAlign w:val="center"/>
            <w:hideMark/>
          </w:tcPr>
          <w:p w14:paraId="0C3F8409" w14:textId="77777777" w:rsidR="0015270F" w:rsidRPr="0095562E" w:rsidRDefault="0015270F" w:rsidP="00162359">
            <w:pPr>
              <w:spacing w:before="0" w:after="0"/>
              <w:rPr>
                <w:rStyle w:val="BookTitle"/>
                <w:sz w:val="18"/>
                <w:szCs w:val="18"/>
              </w:rPr>
            </w:pPr>
            <w:r w:rsidRPr="0095562E">
              <w:rPr>
                <w:rStyle w:val="BookTitle"/>
                <w:sz w:val="18"/>
                <w:szCs w:val="18"/>
              </w:rPr>
              <w:t>TDN</w:t>
            </w:r>
          </w:p>
        </w:tc>
        <w:tc>
          <w:tcPr>
            <w:tcW w:w="324" w:type="pct"/>
            <w:tcBorders>
              <w:top w:val="nil"/>
              <w:left w:val="nil"/>
              <w:bottom w:val="nil"/>
              <w:right w:val="nil"/>
            </w:tcBorders>
            <w:shd w:val="clear" w:color="auto" w:fill="auto"/>
            <w:noWrap/>
            <w:vAlign w:val="bottom"/>
            <w:hideMark/>
          </w:tcPr>
          <w:p w14:paraId="0C3F840A" w14:textId="77777777" w:rsidR="0015270F" w:rsidRPr="0095562E" w:rsidRDefault="0015270F" w:rsidP="00162359">
            <w:pPr>
              <w:spacing w:before="0" w:after="0"/>
              <w:rPr>
                <w:rStyle w:val="BookTitle"/>
                <w:sz w:val="18"/>
                <w:szCs w:val="18"/>
              </w:rPr>
            </w:pPr>
            <w:r w:rsidRPr="0095562E">
              <w:rPr>
                <w:rStyle w:val="BookTitle"/>
                <w:sz w:val="18"/>
                <w:szCs w:val="18"/>
              </w:rPr>
              <w:t>-0.60</w:t>
            </w:r>
          </w:p>
        </w:tc>
        <w:tc>
          <w:tcPr>
            <w:tcW w:w="429" w:type="pct"/>
            <w:tcBorders>
              <w:top w:val="nil"/>
              <w:left w:val="nil"/>
              <w:bottom w:val="nil"/>
              <w:right w:val="nil"/>
            </w:tcBorders>
            <w:shd w:val="clear" w:color="auto" w:fill="auto"/>
            <w:noWrap/>
            <w:vAlign w:val="bottom"/>
            <w:hideMark/>
          </w:tcPr>
          <w:p w14:paraId="0C3F840B"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auto" w:fill="auto"/>
            <w:noWrap/>
            <w:vAlign w:val="bottom"/>
            <w:hideMark/>
          </w:tcPr>
          <w:p w14:paraId="0C3F840C"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40D" w14:textId="77777777" w:rsidR="0015270F" w:rsidRPr="0095562E" w:rsidRDefault="0015270F" w:rsidP="00162359">
            <w:pPr>
              <w:spacing w:before="0" w:after="0"/>
              <w:rPr>
                <w:rStyle w:val="BookTitle"/>
                <w:sz w:val="18"/>
                <w:szCs w:val="18"/>
              </w:rPr>
            </w:pPr>
            <w:r w:rsidRPr="0095562E">
              <w:rPr>
                <w:rStyle w:val="BookTitle"/>
                <w:sz w:val="18"/>
                <w:szCs w:val="18"/>
              </w:rPr>
              <w:t>0.24</w:t>
            </w:r>
          </w:p>
        </w:tc>
        <w:tc>
          <w:tcPr>
            <w:tcW w:w="324" w:type="pct"/>
            <w:tcBorders>
              <w:top w:val="nil"/>
              <w:left w:val="nil"/>
              <w:bottom w:val="nil"/>
              <w:right w:val="nil"/>
            </w:tcBorders>
            <w:shd w:val="clear" w:color="auto" w:fill="auto"/>
            <w:noWrap/>
            <w:vAlign w:val="bottom"/>
            <w:hideMark/>
          </w:tcPr>
          <w:p w14:paraId="0C3F840E"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000000" w:fill="FFFF00"/>
            <w:noWrap/>
            <w:vAlign w:val="bottom"/>
            <w:hideMark/>
          </w:tcPr>
          <w:p w14:paraId="0C3F840F" w14:textId="77777777" w:rsidR="0015270F" w:rsidRPr="0095562E" w:rsidRDefault="0015270F" w:rsidP="00162359">
            <w:pPr>
              <w:spacing w:before="0" w:after="0"/>
              <w:rPr>
                <w:rStyle w:val="BookTitle"/>
                <w:sz w:val="18"/>
                <w:szCs w:val="18"/>
              </w:rPr>
            </w:pPr>
            <w:r w:rsidRPr="0095562E">
              <w:rPr>
                <w:rStyle w:val="BookTitle"/>
                <w:sz w:val="18"/>
                <w:szCs w:val="18"/>
              </w:rPr>
              <w:t>0.81</w:t>
            </w:r>
          </w:p>
        </w:tc>
        <w:tc>
          <w:tcPr>
            <w:tcW w:w="324" w:type="pct"/>
            <w:tcBorders>
              <w:top w:val="nil"/>
              <w:left w:val="nil"/>
              <w:bottom w:val="nil"/>
              <w:right w:val="nil"/>
            </w:tcBorders>
            <w:shd w:val="clear" w:color="auto" w:fill="auto"/>
            <w:noWrap/>
            <w:vAlign w:val="bottom"/>
            <w:hideMark/>
          </w:tcPr>
          <w:p w14:paraId="0C3F8410"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11"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000000" w:fill="FFFF00"/>
            <w:noWrap/>
            <w:vAlign w:val="bottom"/>
            <w:hideMark/>
          </w:tcPr>
          <w:p w14:paraId="0C3F8412" w14:textId="77777777" w:rsidR="0015270F" w:rsidRPr="0095562E" w:rsidRDefault="0015270F" w:rsidP="00162359">
            <w:pPr>
              <w:spacing w:before="0" w:after="0"/>
              <w:rPr>
                <w:rStyle w:val="BookTitle"/>
                <w:sz w:val="18"/>
                <w:szCs w:val="18"/>
              </w:rPr>
            </w:pPr>
            <w:r w:rsidRPr="0095562E">
              <w:rPr>
                <w:rStyle w:val="BookTitle"/>
                <w:sz w:val="18"/>
                <w:szCs w:val="18"/>
              </w:rPr>
              <w:t>0.73</w:t>
            </w:r>
          </w:p>
        </w:tc>
        <w:tc>
          <w:tcPr>
            <w:tcW w:w="324" w:type="pct"/>
            <w:tcBorders>
              <w:top w:val="nil"/>
              <w:left w:val="nil"/>
              <w:bottom w:val="nil"/>
              <w:right w:val="nil"/>
            </w:tcBorders>
            <w:shd w:val="clear" w:color="000000" w:fill="FFFF00"/>
            <w:noWrap/>
            <w:vAlign w:val="bottom"/>
            <w:hideMark/>
          </w:tcPr>
          <w:p w14:paraId="0C3F8413"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auto" w:fill="auto"/>
            <w:noWrap/>
            <w:vAlign w:val="bottom"/>
            <w:hideMark/>
          </w:tcPr>
          <w:p w14:paraId="0C3F8414" w14:textId="77777777" w:rsidR="0015270F" w:rsidRPr="0095562E" w:rsidRDefault="0015270F" w:rsidP="00162359">
            <w:pPr>
              <w:spacing w:before="0" w:after="0"/>
              <w:rPr>
                <w:rStyle w:val="BookTitle"/>
                <w:sz w:val="18"/>
                <w:szCs w:val="18"/>
              </w:rPr>
            </w:pPr>
            <w:r w:rsidRPr="0095562E">
              <w:rPr>
                <w:rStyle w:val="BookTitle"/>
                <w:sz w:val="18"/>
                <w:szCs w:val="18"/>
              </w:rPr>
              <w:t>0.59</w:t>
            </w:r>
          </w:p>
        </w:tc>
        <w:tc>
          <w:tcPr>
            <w:tcW w:w="324" w:type="pct"/>
            <w:tcBorders>
              <w:top w:val="nil"/>
              <w:left w:val="nil"/>
              <w:bottom w:val="nil"/>
              <w:right w:val="nil"/>
            </w:tcBorders>
            <w:shd w:val="clear" w:color="auto" w:fill="auto"/>
            <w:noWrap/>
            <w:vAlign w:val="bottom"/>
            <w:hideMark/>
          </w:tcPr>
          <w:p w14:paraId="0C3F8415"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bottom"/>
            <w:hideMark/>
          </w:tcPr>
          <w:p w14:paraId="0C3F8416"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417" w14:textId="77777777" w:rsidR="0015270F" w:rsidRPr="0095562E" w:rsidRDefault="0015270F" w:rsidP="00162359">
            <w:pPr>
              <w:spacing w:before="0" w:after="0"/>
              <w:rPr>
                <w:rStyle w:val="BookTitle"/>
                <w:sz w:val="18"/>
                <w:szCs w:val="18"/>
              </w:rPr>
            </w:pPr>
            <w:r w:rsidRPr="0095562E">
              <w:rPr>
                <w:rStyle w:val="BookTitle"/>
                <w:sz w:val="18"/>
                <w:szCs w:val="18"/>
              </w:rPr>
              <w:t>0.56</w:t>
            </w:r>
          </w:p>
        </w:tc>
      </w:tr>
      <w:tr w:rsidR="0015270F" w:rsidRPr="0095562E" w14:paraId="0C3F8428" w14:textId="77777777" w:rsidTr="00162359">
        <w:trPr>
          <w:trHeight w:val="20"/>
        </w:trPr>
        <w:tc>
          <w:tcPr>
            <w:tcW w:w="360" w:type="pct"/>
            <w:tcBorders>
              <w:top w:val="nil"/>
              <w:left w:val="nil"/>
              <w:bottom w:val="nil"/>
              <w:right w:val="nil"/>
            </w:tcBorders>
            <w:shd w:val="clear" w:color="auto" w:fill="auto"/>
            <w:noWrap/>
            <w:vAlign w:val="center"/>
            <w:hideMark/>
          </w:tcPr>
          <w:p w14:paraId="0C3F8419" w14:textId="77777777" w:rsidR="0015270F" w:rsidRPr="0095562E" w:rsidRDefault="0015270F" w:rsidP="00162359">
            <w:pPr>
              <w:spacing w:before="0" w:after="0"/>
              <w:rPr>
                <w:rStyle w:val="BookTitle"/>
                <w:sz w:val="18"/>
                <w:szCs w:val="18"/>
              </w:rPr>
            </w:pPr>
            <w:r w:rsidRPr="0095562E">
              <w:rPr>
                <w:rStyle w:val="BookTitle"/>
                <w:sz w:val="18"/>
                <w:szCs w:val="18"/>
              </w:rPr>
              <w:t>DIN</w:t>
            </w:r>
          </w:p>
        </w:tc>
        <w:tc>
          <w:tcPr>
            <w:tcW w:w="324" w:type="pct"/>
            <w:tcBorders>
              <w:top w:val="nil"/>
              <w:left w:val="nil"/>
              <w:bottom w:val="nil"/>
              <w:right w:val="nil"/>
            </w:tcBorders>
            <w:shd w:val="clear" w:color="auto" w:fill="auto"/>
            <w:noWrap/>
            <w:vAlign w:val="bottom"/>
            <w:hideMark/>
          </w:tcPr>
          <w:p w14:paraId="0C3F841A" w14:textId="77777777" w:rsidR="0015270F" w:rsidRPr="0095562E" w:rsidRDefault="0015270F" w:rsidP="00162359">
            <w:pPr>
              <w:spacing w:before="0" w:after="0"/>
              <w:rPr>
                <w:rStyle w:val="BookTitle"/>
                <w:sz w:val="18"/>
                <w:szCs w:val="18"/>
              </w:rPr>
            </w:pPr>
            <w:r w:rsidRPr="0095562E">
              <w:rPr>
                <w:rStyle w:val="BookTitle"/>
                <w:sz w:val="18"/>
                <w:szCs w:val="18"/>
              </w:rPr>
              <w:t>-0.54</w:t>
            </w:r>
          </w:p>
        </w:tc>
        <w:tc>
          <w:tcPr>
            <w:tcW w:w="429" w:type="pct"/>
            <w:tcBorders>
              <w:top w:val="nil"/>
              <w:left w:val="nil"/>
              <w:bottom w:val="nil"/>
              <w:right w:val="nil"/>
            </w:tcBorders>
            <w:shd w:val="clear" w:color="000000" w:fill="FFFF00"/>
            <w:noWrap/>
            <w:vAlign w:val="bottom"/>
            <w:hideMark/>
          </w:tcPr>
          <w:p w14:paraId="0C3F841B"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324" w:type="pct"/>
            <w:tcBorders>
              <w:top w:val="nil"/>
              <w:left w:val="nil"/>
              <w:bottom w:val="nil"/>
              <w:right w:val="nil"/>
            </w:tcBorders>
            <w:shd w:val="clear" w:color="auto" w:fill="auto"/>
            <w:noWrap/>
            <w:vAlign w:val="bottom"/>
            <w:hideMark/>
          </w:tcPr>
          <w:p w14:paraId="0C3F841C" w14:textId="77777777" w:rsidR="0015270F" w:rsidRPr="0095562E" w:rsidRDefault="0015270F" w:rsidP="00162359">
            <w:pPr>
              <w:spacing w:before="0" w:after="0"/>
              <w:rPr>
                <w:rStyle w:val="BookTitle"/>
                <w:sz w:val="18"/>
                <w:szCs w:val="18"/>
              </w:rPr>
            </w:pPr>
            <w:r w:rsidRPr="0095562E">
              <w:rPr>
                <w:rStyle w:val="BookTitle"/>
                <w:sz w:val="18"/>
                <w:szCs w:val="18"/>
              </w:rPr>
              <w:t>-0.35</w:t>
            </w:r>
          </w:p>
        </w:tc>
        <w:tc>
          <w:tcPr>
            <w:tcW w:w="324" w:type="pct"/>
            <w:tcBorders>
              <w:top w:val="nil"/>
              <w:left w:val="nil"/>
              <w:bottom w:val="nil"/>
              <w:right w:val="nil"/>
            </w:tcBorders>
            <w:shd w:val="clear" w:color="auto" w:fill="auto"/>
            <w:noWrap/>
            <w:vAlign w:val="bottom"/>
            <w:hideMark/>
          </w:tcPr>
          <w:p w14:paraId="0C3F841D" w14:textId="77777777" w:rsidR="0015270F" w:rsidRPr="0095562E" w:rsidRDefault="0015270F" w:rsidP="00162359">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bottom"/>
            <w:hideMark/>
          </w:tcPr>
          <w:p w14:paraId="0C3F841E"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41F"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420"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bottom"/>
            <w:hideMark/>
          </w:tcPr>
          <w:p w14:paraId="0C3F8421"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22" w14:textId="77777777" w:rsidR="0015270F" w:rsidRPr="0095562E" w:rsidRDefault="0015270F" w:rsidP="00162359">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auto" w:fill="auto"/>
            <w:noWrap/>
            <w:vAlign w:val="bottom"/>
            <w:hideMark/>
          </w:tcPr>
          <w:p w14:paraId="0C3F8423"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424" w14:textId="77777777" w:rsidR="0015270F" w:rsidRPr="0095562E" w:rsidRDefault="0015270F" w:rsidP="00162359">
            <w:pPr>
              <w:spacing w:before="0" w:after="0"/>
              <w:rPr>
                <w:rStyle w:val="BookTitle"/>
                <w:sz w:val="18"/>
                <w:szCs w:val="18"/>
              </w:rPr>
            </w:pPr>
            <w:r w:rsidRPr="0095562E">
              <w:rPr>
                <w:rStyle w:val="BookTitle"/>
                <w:sz w:val="18"/>
                <w:szCs w:val="18"/>
              </w:rPr>
              <w:t>0.38</w:t>
            </w:r>
          </w:p>
        </w:tc>
        <w:tc>
          <w:tcPr>
            <w:tcW w:w="324" w:type="pct"/>
            <w:tcBorders>
              <w:top w:val="nil"/>
              <w:left w:val="nil"/>
              <w:bottom w:val="nil"/>
              <w:right w:val="nil"/>
            </w:tcBorders>
            <w:shd w:val="clear" w:color="auto" w:fill="auto"/>
            <w:noWrap/>
            <w:vAlign w:val="bottom"/>
            <w:hideMark/>
          </w:tcPr>
          <w:p w14:paraId="0C3F8425" w14:textId="77777777" w:rsidR="0015270F" w:rsidRPr="0095562E" w:rsidRDefault="0015270F" w:rsidP="00162359">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bottom"/>
            <w:hideMark/>
          </w:tcPr>
          <w:p w14:paraId="0C3F8426"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000000" w:fill="FFFF00"/>
            <w:noWrap/>
            <w:vAlign w:val="bottom"/>
            <w:hideMark/>
          </w:tcPr>
          <w:p w14:paraId="0C3F8427" w14:textId="77777777" w:rsidR="0015270F" w:rsidRPr="0095562E" w:rsidRDefault="0015270F" w:rsidP="00162359">
            <w:pPr>
              <w:spacing w:before="0" w:after="0"/>
              <w:rPr>
                <w:rStyle w:val="BookTitle"/>
                <w:sz w:val="18"/>
                <w:szCs w:val="18"/>
              </w:rPr>
            </w:pPr>
            <w:r w:rsidRPr="0095562E">
              <w:rPr>
                <w:rStyle w:val="BookTitle"/>
                <w:sz w:val="18"/>
                <w:szCs w:val="18"/>
              </w:rPr>
              <w:t>0.68</w:t>
            </w:r>
          </w:p>
        </w:tc>
      </w:tr>
      <w:tr w:rsidR="0015270F" w:rsidRPr="0095562E" w14:paraId="0C3F8438" w14:textId="77777777" w:rsidTr="00162359">
        <w:trPr>
          <w:trHeight w:val="20"/>
        </w:trPr>
        <w:tc>
          <w:tcPr>
            <w:tcW w:w="360" w:type="pct"/>
            <w:tcBorders>
              <w:top w:val="nil"/>
              <w:left w:val="nil"/>
              <w:bottom w:val="nil"/>
              <w:right w:val="nil"/>
            </w:tcBorders>
            <w:shd w:val="clear" w:color="auto" w:fill="auto"/>
            <w:noWrap/>
            <w:vAlign w:val="center"/>
            <w:hideMark/>
          </w:tcPr>
          <w:p w14:paraId="0C3F8429" w14:textId="77777777" w:rsidR="0015270F" w:rsidRPr="0095562E" w:rsidRDefault="0015270F" w:rsidP="00162359">
            <w:pPr>
              <w:spacing w:before="0" w:after="0"/>
              <w:rPr>
                <w:rStyle w:val="BookTitle"/>
                <w:sz w:val="18"/>
                <w:szCs w:val="18"/>
              </w:rPr>
            </w:pPr>
            <w:r w:rsidRPr="0095562E">
              <w:rPr>
                <w:rStyle w:val="BookTitle"/>
                <w:sz w:val="18"/>
                <w:szCs w:val="18"/>
              </w:rPr>
              <w:t>TP</w:t>
            </w:r>
          </w:p>
        </w:tc>
        <w:tc>
          <w:tcPr>
            <w:tcW w:w="324" w:type="pct"/>
            <w:tcBorders>
              <w:top w:val="nil"/>
              <w:left w:val="nil"/>
              <w:bottom w:val="nil"/>
              <w:right w:val="nil"/>
            </w:tcBorders>
            <w:shd w:val="clear" w:color="000000" w:fill="FFFF00"/>
            <w:noWrap/>
            <w:vAlign w:val="bottom"/>
            <w:hideMark/>
          </w:tcPr>
          <w:p w14:paraId="0C3F842A"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429" w:type="pct"/>
            <w:tcBorders>
              <w:top w:val="nil"/>
              <w:left w:val="nil"/>
              <w:bottom w:val="nil"/>
              <w:right w:val="nil"/>
            </w:tcBorders>
            <w:shd w:val="clear" w:color="auto" w:fill="auto"/>
            <w:noWrap/>
            <w:vAlign w:val="bottom"/>
            <w:hideMark/>
          </w:tcPr>
          <w:p w14:paraId="0C3F842B" w14:textId="77777777" w:rsidR="0015270F" w:rsidRPr="0095562E" w:rsidRDefault="0015270F" w:rsidP="00162359">
            <w:pPr>
              <w:spacing w:before="0" w:after="0"/>
              <w:rPr>
                <w:rStyle w:val="BookTitle"/>
                <w:sz w:val="18"/>
                <w:szCs w:val="18"/>
              </w:rPr>
            </w:pPr>
            <w:r w:rsidRPr="0095562E">
              <w:rPr>
                <w:rStyle w:val="BookTitle"/>
                <w:sz w:val="18"/>
                <w:szCs w:val="18"/>
              </w:rPr>
              <w:t>0.32</w:t>
            </w:r>
          </w:p>
        </w:tc>
        <w:tc>
          <w:tcPr>
            <w:tcW w:w="324" w:type="pct"/>
            <w:tcBorders>
              <w:top w:val="nil"/>
              <w:left w:val="nil"/>
              <w:bottom w:val="nil"/>
              <w:right w:val="nil"/>
            </w:tcBorders>
            <w:shd w:val="clear" w:color="auto" w:fill="auto"/>
            <w:noWrap/>
            <w:vAlign w:val="bottom"/>
            <w:hideMark/>
          </w:tcPr>
          <w:p w14:paraId="0C3F842C" w14:textId="77777777" w:rsidR="0015270F" w:rsidRPr="0095562E" w:rsidRDefault="0015270F" w:rsidP="00162359">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bottom"/>
            <w:hideMark/>
          </w:tcPr>
          <w:p w14:paraId="0C3F842D"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42E" w14:textId="77777777" w:rsidR="0015270F" w:rsidRPr="0095562E" w:rsidRDefault="0015270F" w:rsidP="00162359">
            <w:pPr>
              <w:spacing w:before="0" w:after="0"/>
              <w:rPr>
                <w:rStyle w:val="BookTitle"/>
                <w:sz w:val="18"/>
                <w:szCs w:val="18"/>
              </w:rPr>
            </w:pPr>
            <w:r w:rsidRPr="0095562E">
              <w:rPr>
                <w:rStyle w:val="BookTitle"/>
                <w:sz w:val="18"/>
                <w:szCs w:val="18"/>
              </w:rPr>
              <w:t>-0.10</w:t>
            </w:r>
          </w:p>
        </w:tc>
        <w:tc>
          <w:tcPr>
            <w:tcW w:w="324" w:type="pct"/>
            <w:tcBorders>
              <w:top w:val="nil"/>
              <w:left w:val="nil"/>
              <w:bottom w:val="nil"/>
              <w:right w:val="nil"/>
            </w:tcBorders>
            <w:shd w:val="clear" w:color="auto" w:fill="auto"/>
            <w:noWrap/>
            <w:vAlign w:val="bottom"/>
            <w:hideMark/>
          </w:tcPr>
          <w:p w14:paraId="0C3F842F" w14:textId="77777777" w:rsidR="0015270F" w:rsidRPr="0095562E" w:rsidRDefault="0015270F" w:rsidP="00162359">
            <w:pPr>
              <w:spacing w:before="0" w:after="0"/>
              <w:rPr>
                <w:rStyle w:val="BookTitle"/>
                <w:sz w:val="18"/>
                <w:szCs w:val="18"/>
              </w:rPr>
            </w:pPr>
            <w:r w:rsidRPr="0095562E">
              <w:rPr>
                <w:rStyle w:val="BookTitle"/>
                <w:sz w:val="18"/>
                <w:szCs w:val="18"/>
              </w:rPr>
              <w:t>0.56</w:t>
            </w:r>
          </w:p>
        </w:tc>
        <w:tc>
          <w:tcPr>
            <w:tcW w:w="324" w:type="pct"/>
            <w:tcBorders>
              <w:top w:val="nil"/>
              <w:left w:val="nil"/>
              <w:bottom w:val="nil"/>
              <w:right w:val="nil"/>
            </w:tcBorders>
            <w:shd w:val="clear" w:color="000000" w:fill="FFFF00"/>
            <w:noWrap/>
            <w:vAlign w:val="bottom"/>
            <w:hideMark/>
          </w:tcPr>
          <w:p w14:paraId="0C3F8430" w14:textId="77777777" w:rsidR="0015270F" w:rsidRPr="0095562E" w:rsidRDefault="0015270F" w:rsidP="00162359">
            <w:pPr>
              <w:spacing w:before="0" w:after="0"/>
              <w:rPr>
                <w:rStyle w:val="BookTitle"/>
                <w:sz w:val="18"/>
                <w:szCs w:val="18"/>
              </w:rPr>
            </w:pPr>
            <w:r w:rsidRPr="0095562E">
              <w:rPr>
                <w:rStyle w:val="BookTitle"/>
                <w:sz w:val="18"/>
                <w:szCs w:val="18"/>
              </w:rPr>
              <w:t>0.73</w:t>
            </w:r>
          </w:p>
        </w:tc>
        <w:tc>
          <w:tcPr>
            <w:tcW w:w="324" w:type="pct"/>
            <w:tcBorders>
              <w:top w:val="nil"/>
              <w:left w:val="nil"/>
              <w:bottom w:val="nil"/>
              <w:right w:val="nil"/>
            </w:tcBorders>
            <w:shd w:val="clear" w:color="auto" w:fill="auto"/>
            <w:noWrap/>
            <w:vAlign w:val="bottom"/>
            <w:hideMark/>
          </w:tcPr>
          <w:p w14:paraId="0C3F8431" w14:textId="77777777" w:rsidR="0015270F" w:rsidRPr="0095562E" w:rsidRDefault="0015270F" w:rsidP="00162359">
            <w:pPr>
              <w:spacing w:before="0" w:after="0"/>
              <w:rPr>
                <w:rStyle w:val="BookTitle"/>
                <w:sz w:val="18"/>
                <w:szCs w:val="18"/>
              </w:rPr>
            </w:pPr>
            <w:r w:rsidRPr="0095562E">
              <w:rPr>
                <w:rStyle w:val="BookTitle"/>
                <w:sz w:val="18"/>
                <w:szCs w:val="18"/>
              </w:rPr>
              <w:t>0.26</w:t>
            </w:r>
          </w:p>
        </w:tc>
        <w:tc>
          <w:tcPr>
            <w:tcW w:w="324" w:type="pct"/>
            <w:tcBorders>
              <w:top w:val="nil"/>
              <w:left w:val="nil"/>
              <w:bottom w:val="nil"/>
              <w:right w:val="nil"/>
            </w:tcBorders>
            <w:shd w:val="clear" w:color="auto" w:fill="auto"/>
            <w:noWrap/>
            <w:vAlign w:val="bottom"/>
            <w:hideMark/>
          </w:tcPr>
          <w:p w14:paraId="0C3F8432"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433" w14:textId="77777777" w:rsidR="0015270F" w:rsidRPr="0095562E" w:rsidRDefault="0015270F" w:rsidP="00162359">
            <w:pPr>
              <w:spacing w:before="0" w:after="0"/>
              <w:rPr>
                <w:rStyle w:val="BookTitle"/>
                <w:sz w:val="18"/>
                <w:szCs w:val="18"/>
              </w:rPr>
            </w:pPr>
            <w:r w:rsidRPr="0095562E">
              <w:rPr>
                <w:rStyle w:val="BookTitle"/>
                <w:sz w:val="18"/>
                <w:szCs w:val="18"/>
              </w:rPr>
              <w:t>0.77</w:t>
            </w:r>
          </w:p>
        </w:tc>
        <w:tc>
          <w:tcPr>
            <w:tcW w:w="324" w:type="pct"/>
            <w:tcBorders>
              <w:top w:val="nil"/>
              <w:left w:val="nil"/>
              <w:bottom w:val="nil"/>
              <w:right w:val="nil"/>
            </w:tcBorders>
            <w:shd w:val="clear" w:color="000000" w:fill="FFFF00"/>
            <w:noWrap/>
            <w:vAlign w:val="bottom"/>
            <w:hideMark/>
          </w:tcPr>
          <w:p w14:paraId="0C3F8434"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auto" w:fill="auto"/>
            <w:noWrap/>
            <w:vAlign w:val="bottom"/>
            <w:hideMark/>
          </w:tcPr>
          <w:p w14:paraId="0C3F8435" w14:textId="77777777" w:rsidR="0015270F" w:rsidRPr="0095562E" w:rsidRDefault="0015270F" w:rsidP="00162359">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000000" w:fill="FFFF00"/>
            <w:noWrap/>
            <w:vAlign w:val="bottom"/>
            <w:hideMark/>
          </w:tcPr>
          <w:p w14:paraId="0C3F8436" w14:textId="77777777" w:rsidR="0015270F" w:rsidRPr="0095562E" w:rsidRDefault="0015270F" w:rsidP="00162359">
            <w:pPr>
              <w:spacing w:before="0" w:after="0"/>
              <w:rPr>
                <w:rStyle w:val="BookTitle"/>
                <w:sz w:val="18"/>
                <w:szCs w:val="18"/>
              </w:rPr>
            </w:pPr>
            <w:r w:rsidRPr="0095562E">
              <w:rPr>
                <w:rStyle w:val="BookTitle"/>
                <w:sz w:val="18"/>
                <w:szCs w:val="18"/>
              </w:rPr>
              <w:t>0.66</w:t>
            </w:r>
          </w:p>
        </w:tc>
        <w:tc>
          <w:tcPr>
            <w:tcW w:w="324" w:type="pct"/>
            <w:tcBorders>
              <w:top w:val="nil"/>
              <w:left w:val="nil"/>
              <w:bottom w:val="nil"/>
              <w:right w:val="nil"/>
            </w:tcBorders>
            <w:shd w:val="clear" w:color="000000" w:fill="FFFF00"/>
            <w:noWrap/>
            <w:vAlign w:val="bottom"/>
            <w:hideMark/>
          </w:tcPr>
          <w:p w14:paraId="0C3F8437" w14:textId="77777777" w:rsidR="0015270F" w:rsidRPr="0095562E" w:rsidRDefault="0015270F" w:rsidP="00162359">
            <w:pPr>
              <w:spacing w:before="0" w:after="0"/>
              <w:rPr>
                <w:rStyle w:val="BookTitle"/>
                <w:sz w:val="18"/>
                <w:szCs w:val="18"/>
              </w:rPr>
            </w:pPr>
            <w:r w:rsidRPr="0095562E">
              <w:rPr>
                <w:rStyle w:val="BookTitle"/>
                <w:sz w:val="18"/>
                <w:szCs w:val="18"/>
              </w:rPr>
              <w:t>0.65</w:t>
            </w:r>
          </w:p>
        </w:tc>
      </w:tr>
      <w:tr w:rsidR="0015270F" w:rsidRPr="0095562E" w14:paraId="0C3F8448" w14:textId="77777777" w:rsidTr="00162359">
        <w:trPr>
          <w:trHeight w:val="20"/>
        </w:trPr>
        <w:tc>
          <w:tcPr>
            <w:tcW w:w="360" w:type="pct"/>
            <w:tcBorders>
              <w:top w:val="nil"/>
              <w:left w:val="nil"/>
              <w:bottom w:val="nil"/>
              <w:right w:val="nil"/>
            </w:tcBorders>
            <w:shd w:val="clear" w:color="auto" w:fill="auto"/>
            <w:noWrap/>
            <w:vAlign w:val="center"/>
            <w:hideMark/>
          </w:tcPr>
          <w:p w14:paraId="0C3F8439" w14:textId="77777777" w:rsidR="0015270F" w:rsidRPr="0095562E" w:rsidRDefault="0015270F" w:rsidP="00162359">
            <w:pPr>
              <w:spacing w:before="0" w:after="0"/>
              <w:rPr>
                <w:rStyle w:val="BookTitle"/>
                <w:sz w:val="18"/>
                <w:szCs w:val="18"/>
              </w:rPr>
            </w:pPr>
            <w:r w:rsidRPr="0095562E">
              <w:rPr>
                <w:rStyle w:val="BookTitle"/>
                <w:sz w:val="18"/>
                <w:szCs w:val="18"/>
              </w:rPr>
              <w:t>TDP</w:t>
            </w:r>
          </w:p>
        </w:tc>
        <w:tc>
          <w:tcPr>
            <w:tcW w:w="324" w:type="pct"/>
            <w:tcBorders>
              <w:top w:val="nil"/>
              <w:left w:val="nil"/>
              <w:bottom w:val="nil"/>
              <w:right w:val="nil"/>
            </w:tcBorders>
            <w:shd w:val="clear" w:color="000000" w:fill="FFFF00"/>
            <w:noWrap/>
            <w:vAlign w:val="bottom"/>
            <w:hideMark/>
          </w:tcPr>
          <w:p w14:paraId="0C3F843A" w14:textId="77777777" w:rsidR="0015270F" w:rsidRPr="0095562E" w:rsidRDefault="0015270F" w:rsidP="00162359">
            <w:pPr>
              <w:spacing w:before="0" w:after="0"/>
              <w:rPr>
                <w:rStyle w:val="BookTitle"/>
                <w:sz w:val="18"/>
                <w:szCs w:val="18"/>
              </w:rPr>
            </w:pPr>
            <w:r w:rsidRPr="0095562E">
              <w:rPr>
                <w:rStyle w:val="BookTitle"/>
                <w:sz w:val="18"/>
                <w:szCs w:val="18"/>
              </w:rPr>
              <w:t>-0.69</w:t>
            </w:r>
          </w:p>
        </w:tc>
        <w:tc>
          <w:tcPr>
            <w:tcW w:w="429" w:type="pct"/>
            <w:tcBorders>
              <w:top w:val="nil"/>
              <w:left w:val="nil"/>
              <w:bottom w:val="nil"/>
              <w:right w:val="nil"/>
            </w:tcBorders>
            <w:shd w:val="clear" w:color="auto" w:fill="auto"/>
            <w:noWrap/>
            <w:vAlign w:val="bottom"/>
            <w:hideMark/>
          </w:tcPr>
          <w:p w14:paraId="0C3F843B" w14:textId="77777777" w:rsidR="0015270F" w:rsidRPr="0095562E" w:rsidRDefault="0015270F" w:rsidP="00162359">
            <w:pPr>
              <w:spacing w:before="0" w:after="0"/>
              <w:rPr>
                <w:rStyle w:val="BookTitle"/>
                <w:sz w:val="18"/>
                <w:szCs w:val="18"/>
              </w:rPr>
            </w:pPr>
            <w:r w:rsidRPr="0095562E">
              <w:rPr>
                <w:rStyle w:val="BookTitle"/>
                <w:sz w:val="18"/>
                <w:szCs w:val="18"/>
              </w:rPr>
              <w:t>0.49</w:t>
            </w:r>
          </w:p>
        </w:tc>
        <w:tc>
          <w:tcPr>
            <w:tcW w:w="324" w:type="pct"/>
            <w:tcBorders>
              <w:top w:val="nil"/>
              <w:left w:val="nil"/>
              <w:bottom w:val="nil"/>
              <w:right w:val="nil"/>
            </w:tcBorders>
            <w:shd w:val="clear" w:color="auto" w:fill="auto"/>
            <w:noWrap/>
            <w:vAlign w:val="bottom"/>
            <w:hideMark/>
          </w:tcPr>
          <w:p w14:paraId="0C3F843C" w14:textId="77777777" w:rsidR="0015270F" w:rsidRPr="0095562E" w:rsidRDefault="0015270F" w:rsidP="00162359">
            <w:pPr>
              <w:spacing w:before="0" w:after="0"/>
              <w:rPr>
                <w:rStyle w:val="BookTitle"/>
                <w:sz w:val="18"/>
                <w:szCs w:val="18"/>
              </w:rPr>
            </w:pPr>
            <w:r w:rsidRPr="0095562E">
              <w:rPr>
                <w:rStyle w:val="BookTitle"/>
                <w:sz w:val="18"/>
                <w:szCs w:val="18"/>
              </w:rPr>
              <w:t>-0.20</w:t>
            </w:r>
          </w:p>
        </w:tc>
        <w:tc>
          <w:tcPr>
            <w:tcW w:w="324" w:type="pct"/>
            <w:tcBorders>
              <w:top w:val="nil"/>
              <w:left w:val="nil"/>
              <w:bottom w:val="nil"/>
              <w:right w:val="nil"/>
            </w:tcBorders>
            <w:shd w:val="clear" w:color="auto" w:fill="auto"/>
            <w:noWrap/>
            <w:vAlign w:val="bottom"/>
            <w:hideMark/>
          </w:tcPr>
          <w:p w14:paraId="0C3F843D"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43E"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bottom"/>
            <w:hideMark/>
          </w:tcPr>
          <w:p w14:paraId="0C3F843F" w14:textId="77777777" w:rsidR="0015270F" w:rsidRPr="0095562E" w:rsidRDefault="0015270F" w:rsidP="00162359">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000000" w:fill="FFFF00"/>
            <w:noWrap/>
            <w:vAlign w:val="bottom"/>
            <w:hideMark/>
          </w:tcPr>
          <w:p w14:paraId="0C3F8440"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auto" w:fill="auto"/>
            <w:noWrap/>
            <w:vAlign w:val="bottom"/>
            <w:hideMark/>
          </w:tcPr>
          <w:p w14:paraId="0C3F8441"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000000" w:fill="FFFF00"/>
            <w:noWrap/>
            <w:vAlign w:val="bottom"/>
            <w:hideMark/>
          </w:tcPr>
          <w:p w14:paraId="0C3F8442" w14:textId="77777777" w:rsidR="0015270F" w:rsidRPr="0095562E" w:rsidRDefault="0015270F" w:rsidP="00162359">
            <w:pPr>
              <w:spacing w:before="0" w:after="0"/>
              <w:rPr>
                <w:rStyle w:val="BookTitle"/>
                <w:sz w:val="18"/>
                <w:szCs w:val="18"/>
              </w:rPr>
            </w:pPr>
            <w:r w:rsidRPr="0095562E">
              <w:rPr>
                <w:rStyle w:val="BookTitle"/>
                <w:sz w:val="18"/>
                <w:szCs w:val="18"/>
              </w:rPr>
              <w:t>0.77</w:t>
            </w:r>
          </w:p>
        </w:tc>
        <w:tc>
          <w:tcPr>
            <w:tcW w:w="324" w:type="pct"/>
            <w:tcBorders>
              <w:top w:val="nil"/>
              <w:left w:val="nil"/>
              <w:bottom w:val="nil"/>
              <w:right w:val="nil"/>
            </w:tcBorders>
            <w:shd w:val="clear" w:color="auto" w:fill="auto"/>
            <w:noWrap/>
            <w:vAlign w:val="bottom"/>
            <w:hideMark/>
          </w:tcPr>
          <w:p w14:paraId="0C3F8443"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444" w14:textId="77777777" w:rsidR="0015270F" w:rsidRPr="0095562E" w:rsidRDefault="0015270F" w:rsidP="00162359">
            <w:pPr>
              <w:spacing w:before="0" w:after="0"/>
              <w:rPr>
                <w:rStyle w:val="BookTitle"/>
                <w:sz w:val="18"/>
                <w:szCs w:val="18"/>
              </w:rPr>
            </w:pPr>
            <w:r w:rsidRPr="0095562E">
              <w:rPr>
                <w:rStyle w:val="BookTitle"/>
                <w:sz w:val="18"/>
                <w:szCs w:val="18"/>
              </w:rPr>
              <w:t>0.81</w:t>
            </w:r>
          </w:p>
        </w:tc>
        <w:tc>
          <w:tcPr>
            <w:tcW w:w="324" w:type="pct"/>
            <w:tcBorders>
              <w:top w:val="nil"/>
              <w:left w:val="nil"/>
              <w:bottom w:val="nil"/>
              <w:right w:val="nil"/>
            </w:tcBorders>
            <w:shd w:val="clear" w:color="auto" w:fill="auto"/>
            <w:noWrap/>
            <w:vAlign w:val="bottom"/>
            <w:hideMark/>
          </w:tcPr>
          <w:p w14:paraId="0C3F8445" w14:textId="77777777" w:rsidR="0015270F" w:rsidRPr="0095562E" w:rsidRDefault="0015270F" w:rsidP="00162359">
            <w:pPr>
              <w:spacing w:before="0" w:after="0"/>
              <w:rPr>
                <w:rStyle w:val="BookTitle"/>
                <w:sz w:val="18"/>
                <w:szCs w:val="18"/>
              </w:rPr>
            </w:pPr>
            <w:r w:rsidRPr="0095562E">
              <w:rPr>
                <w:rStyle w:val="BookTitle"/>
                <w:sz w:val="18"/>
                <w:szCs w:val="18"/>
              </w:rPr>
              <w:t>-0.50</w:t>
            </w:r>
          </w:p>
        </w:tc>
        <w:tc>
          <w:tcPr>
            <w:tcW w:w="324" w:type="pct"/>
            <w:tcBorders>
              <w:top w:val="nil"/>
              <w:left w:val="nil"/>
              <w:bottom w:val="nil"/>
              <w:right w:val="nil"/>
            </w:tcBorders>
            <w:shd w:val="clear" w:color="auto" w:fill="auto"/>
            <w:noWrap/>
            <w:vAlign w:val="bottom"/>
            <w:hideMark/>
          </w:tcPr>
          <w:p w14:paraId="0C3F8446" w14:textId="77777777" w:rsidR="0015270F" w:rsidRPr="0095562E" w:rsidRDefault="0015270F" w:rsidP="00162359">
            <w:pPr>
              <w:spacing w:before="0" w:after="0"/>
              <w:rPr>
                <w:rStyle w:val="BookTitle"/>
                <w:sz w:val="18"/>
                <w:szCs w:val="18"/>
              </w:rPr>
            </w:pPr>
            <w:r w:rsidRPr="0095562E">
              <w:rPr>
                <w:rStyle w:val="BookTitle"/>
                <w:sz w:val="18"/>
                <w:szCs w:val="18"/>
              </w:rPr>
              <w:t>0.09</w:t>
            </w:r>
          </w:p>
        </w:tc>
        <w:tc>
          <w:tcPr>
            <w:tcW w:w="324" w:type="pct"/>
            <w:tcBorders>
              <w:top w:val="nil"/>
              <w:left w:val="nil"/>
              <w:bottom w:val="nil"/>
              <w:right w:val="nil"/>
            </w:tcBorders>
            <w:shd w:val="clear" w:color="000000" w:fill="FFFF00"/>
            <w:noWrap/>
            <w:vAlign w:val="bottom"/>
            <w:hideMark/>
          </w:tcPr>
          <w:p w14:paraId="0C3F8447" w14:textId="77777777" w:rsidR="0015270F" w:rsidRPr="0095562E" w:rsidRDefault="0015270F" w:rsidP="00162359">
            <w:pPr>
              <w:spacing w:before="0" w:after="0"/>
              <w:rPr>
                <w:rStyle w:val="BookTitle"/>
                <w:sz w:val="18"/>
                <w:szCs w:val="18"/>
              </w:rPr>
            </w:pPr>
            <w:r w:rsidRPr="0095562E">
              <w:rPr>
                <w:rStyle w:val="BookTitle"/>
                <w:sz w:val="18"/>
                <w:szCs w:val="18"/>
              </w:rPr>
              <w:t>0.74</w:t>
            </w:r>
          </w:p>
        </w:tc>
      </w:tr>
      <w:tr w:rsidR="0015270F" w:rsidRPr="0095562E" w14:paraId="0C3F8458" w14:textId="77777777" w:rsidTr="00162359">
        <w:trPr>
          <w:trHeight w:val="20"/>
        </w:trPr>
        <w:tc>
          <w:tcPr>
            <w:tcW w:w="360" w:type="pct"/>
            <w:tcBorders>
              <w:top w:val="nil"/>
              <w:left w:val="nil"/>
              <w:bottom w:val="nil"/>
              <w:right w:val="nil"/>
            </w:tcBorders>
            <w:shd w:val="clear" w:color="auto" w:fill="auto"/>
            <w:noWrap/>
            <w:vAlign w:val="center"/>
            <w:hideMark/>
          </w:tcPr>
          <w:p w14:paraId="0C3F8449" w14:textId="77777777" w:rsidR="0015270F" w:rsidRPr="0095562E" w:rsidRDefault="0015270F" w:rsidP="00162359">
            <w:pPr>
              <w:spacing w:before="0" w:after="0"/>
              <w:rPr>
                <w:rStyle w:val="BookTitle"/>
                <w:sz w:val="18"/>
                <w:szCs w:val="18"/>
              </w:rPr>
            </w:pPr>
            <w:r w:rsidRPr="0095562E">
              <w:rPr>
                <w:rStyle w:val="BookTitle"/>
                <w:sz w:val="18"/>
                <w:szCs w:val="18"/>
              </w:rPr>
              <w:t>DIP</w:t>
            </w:r>
          </w:p>
        </w:tc>
        <w:tc>
          <w:tcPr>
            <w:tcW w:w="324" w:type="pct"/>
            <w:tcBorders>
              <w:top w:val="nil"/>
              <w:left w:val="nil"/>
              <w:bottom w:val="nil"/>
              <w:right w:val="nil"/>
            </w:tcBorders>
            <w:shd w:val="clear" w:color="000000" w:fill="FFFF00"/>
            <w:noWrap/>
            <w:vAlign w:val="bottom"/>
            <w:hideMark/>
          </w:tcPr>
          <w:p w14:paraId="0C3F844A" w14:textId="77777777" w:rsidR="0015270F" w:rsidRPr="0095562E" w:rsidRDefault="0015270F" w:rsidP="00162359">
            <w:pPr>
              <w:spacing w:before="0" w:after="0"/>
              <w:rPr>
                <w:rStyle w:val="BookTitle"/>
                <w:sz w:val="18"/>
                <w:szCs w:val="18"/>
              </w:rPr>
            </w:pPr>
            <w:r w:rsidRPr="0095562E">
              <w:rPr>
                <w:rStyle w:val="BookTitle"/>
                <w:sz w:val="18"/>
                <w:szCs w:val="18"/>
              </w:rPr>
              <w:t>-0.65</w:t>
            </w:r>
          </w:p>
        </w:tc>
        <w:tc>
          <w:tcPr>
            <w:tcW w:w="429" w:type="pct"/>
            <w:tcBorders>
              <w:top w:val="nil"/>
              <w:left w:val="nil"/>
              <w:bottom w:val="nil"/>
              <w:right w:val="nil"/>
            </w:tcBorders>
            <w:shd w:val="clear" w:color="auto" w:fill="auto"/>
            <w:noWrap/>
            <w:vAlign w:val="bottom"/>
            <w:hideMark/>
          </w:tcPr>
          <w:p w14:paraId="0C3F844B" w14:textId="77777777" w:rsidR="0015270F" w:rsidRPr="0095562E" w:rsidRDefault="0015270F" w:rsidP="00162359">
            <w:pPr>
              <w:spacing w:before="0" w:after="0"/>
              <w:rPr>
                <w:rStyle w:val="BookTitle"/>
                <w:sz w:val="18"/>
                <w:szCs w:val="18"/>
              </w:rPr>
            </w:pPr>
            <w:r w:rsidRPr="0095562E">
              <w:rPr>
                <w:rStyle w:val="BookTitle"/>
                <w:sz w:val="18"/>
                <w:szCs w:val="18"/>
              </w:rPr>
              <w:t>0.46</w:t>
            </w:r>
          </w:p>
        </w:tc>
        <w:tc>
          <w:tcPr>
            <w:tcW w:w="324" w:type="pct"/>
            <w:tcBorders>
              <w:top w:val="nil"/>
              <w:left w:val="nil"/>
              <w:bottom w:val="nil"/>
              <w:right w:val="nil"/>
            </w:tcBorders>
            <w:shd w:val="clear" w:color="auto" w:fill="auto"/>
            <w:noWrap/>
            <w:vAlign w:val="bottom"/>
            <w:hideMark/>
          </w:tcPr>
          <w:p w14:paraId="0C3F844C" w14:textId="77777777" w:rsidR="0015270F" w:rsidRPr="0095562E" w:rsidRDefault="0015270F" w:rsidP="00162359">
            <w:pPr>
              <w:spacing w:before="0" w:after="0"/>
              <w:rPr>
                <w:rStyle w:val="BookTitle"/>
                <w:sz w:val="18"/>
                <w:szCs w:val="18"/>
              </w:rPr>
            </w:pPr>
            <w:r w:rsidRPr="0095562E">
              <w:rPr>
                <w:rStyle w:val="BookTitle"/>
                <w:sz w:val="18"/>
                <w:szCs w:val="18"/>
              </w:rPr>
              <w:t>-0.39</w:t>
            </w:r>
          </w:p>
        </w:tc>
        <w:tc>
          <w:tcPr>
            <w:tcW w:w="324" w:type="pct"/>
            <w:tcBorders>
              <w:top w:val="nil"/>
              <w:left w:val="nil"/>
              <w:bottom w:val="nil"/>
              <w:right w:val="nil"/>
            </w:tcBorders>
            <w:shd w:val="clear" w:color="auto" w:fill="auto"/>
            <w:noWrap/>
            <w:vAlign w:val="bottom"/>
            <w:hideMark/>
          </w:tcPr>
          <w:p w14:paraId="0C3F844D" w14:textId="77777777" w:rsidR="0015270F" w:rsidRPr="0095562E" w:rsidRDefault="0015270F" w:rsidP="00162359">
            <w:pPr>
              <w:spacing w:before="0" w:after="0"/>
              <w:rPr>
                <w:rStyle w:val="BookTitle"/>
                <w:sz w:val="18"/>
                <w:szCs w:val="18"/>
              </w:rPr>
            </w:pPr>
            <w:r w:rsidRPr="0095562E">
              <w:rPr>
                <w:rStyle w:val="BookTitle"/>
                <w:sz w:val="18"/>
                <w:szCs w:val="18"/>
              </w:rPr>
              <w:t>0.16</w:t>
            </w:r>
          </w:p>
        </w:tc>
        <w:tc>
          <w:tcPr>
            <w:tcW w:w="324" w:type="pct"/>
            <w:tcBorders>
              <w:top w:val="nil"/>
              <w:left w:val="nil"/>
              <w:bottom w:val="nil"/>
              <w:right w:val="nil"/>
            </w:tcBorders>
            <w:shd w:val="clear" w:color="auto" w:fill="auto"/>
            <w:noWrap/>
            <w:vAlign w:val="bottom"/>
            <w:hideMark/>
          </w:tcPr>
          <w:p w14:paraId="0C3F844E"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44F"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450" w14:textId="77777777" w:rsidR="0015270F" w:rsidRPr="0095562E" w:rsidRDefault="0015270F" w:rsidP="00162359">
            <w:pPr>
              <w:spacing w:before="0" w:after="0"/>
              <w:rPr>
                <w:rStyle w:val="BookTitle"/>
                <w:sz w:val="18"/>
                <w:szCs w:val="18"/>
              </w:rPr>
            </w:pPr>
            <w:r w:rsidRPr="0095562E">
              <w:rPr>
                <w:rStyle w:val="BookTitle"/>
                <w:sz w:val="18"/>
                <w:szCs w:val="18"/>
              </w:rPr>
              <w:t>0.59</w:t>
            </w:r>
          </w:p>
        </w:tc>
        <w:tc>
          <w:tcPr>
            <w:tcW w:w="324" w:type="pct"/>
            <w:tcBorders>
              <w:top w:val="nil"/>
              <w:left w:val="nil"/>
              <w:bottom w:val="nil"/>
              <w:right w:val="nil"/>
            </w:tcBorders>
            <w:shd w:val="clear" w:color="auto" w:fill="auto"/>
            <w:noWrap/>
            <w:vAlign w:val="bottom"/>
            <w:hideMark/>
          </w:tcPr>
          <w:p w14:paraId="0C3F8451" w14:textId="77777777" w:rsidR="0015270F" w:rsidRPr="0095562E" w:rsidRDefault="0015270F" w:rsidP="00162359">
            <w:pPr>
              <w:spacing w:before="0" w:after="0"/>
              <w:rPr>
                <w:rStyle w:val="BookTitle"/>
                <w:sz w:val="18"/>
                <w:szCs w:val="18"/>
              </w:rPr>
            </w:pPr>
            <w:r w:rsidRPr="0095562E">
              <w:rPr>
                <w:rStyle w:val="BookTitle"/>
                <w:sz w:val="18"/>
                <w:szCs w:val="18"/>
              </w:rPr>
              <w:t>0.38</w:t>
            </w:r>
          </w:p>
        </w:tc>
        <w:tc>
          <w:tcPr>
            <w:tcW w:w="324" w:type="pct"/>
            <w:tcBorders>
              <w:top w:val="nil"/>
              <w:left w:val="nil"/>
              <w:bottom w:val="nil"/>
              <w:right w:val="nil"/>
            </w:tcBorders>
            <w:shd w:val="clear" w:color="000000" w:fill="FFFF00"/>
            <w:noWrap/>
            <w:vAlign w:val="bottom"/>
            <w:hideMark/>
          </w:tcPr>
          <w:p w14:paraId="0C3F8452"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000000" w:fill="FFFF00"/>
            <w:noWrap/>
            <w:vAlign w:val="bottom"/>
            <w:hideMark/>
          </w:tcPr>
          <w:p w14:paraId="0C3F8453" w14:textId="77777777" w:rsidR="0015270F" w:rsidRPr="0095562E" w:rsidRDefault="0015270F" w:rsidP="00162359">
            <w:pPr>
              <w:spacing w:before="0" w:after="0"/>
              <w:rPr>
                <w:rStyle w:val="BookTitle"/>
                <w:sz w:val="18"/>
                <w:szCs w:val="18"/>
              </w:rPr>
            </w:pPr>
            <w:r w:rsidRPr="0095562E">
              <w:rPr>
                <w:rStyle w:val="BookTitle"/>
                <w:sz w:val="18"/>
                <w:szCs w:val="18"/>
              </w:rPr>
              <w:t>0.81</w:t>
            </w:r>
          </w:p>
        </w:tc>
        <w:tc>
          <w:tcPr>
            <w:tcW w:w="324" w:type="pct"/>
            <w:tcBorders>
              <w:top w:val="nil"/>
              <w:left w:val="nil"/>
              <w:bottom w:val="nil"/>
              <w:right w:val="nil"/>
            </w:tcBorders>
            <w:shd w:val="clear" w:color="auto" w:fill="auto"/>
            <w:noWrap/>
            <w:vAlign w:val="bottom"/>
            <w:hideMark/>
          </w:tcPr>
          <w:p w14:paraId="0C3F8454"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55" w14:textId="77777777" w:rsidR="0015270F" w:rsidRPr="0095562E" w:rsidRDefault="0015270F" w:rsidP="00162359">
            <w:pPr>
              <w:spacing w:before="0" w:after="0"/>
              <w:rPr>
                <w:rStyle w:val="BookTitle"/>
                <w:sz w:val="18"/>
                <w:szCs w:val="18"/>
              </w:rPr>
            </w:pPr>
            <w:r w:rsidRPr="0095562E">
              <w:rPr>
                <w:rStyle w:val="BookTitle"/>
                <w:sz w:val="18"/>
                <w:szCs w:val="18"/>
              </w:rPr>
              <w:t>-0.42</w:t>
            </w:r>
          </w:p>
        </w:tc>
        <w:tc>
          <w:tcPr>
            <w:tcW w:w="324" w:type="pct"/>
            <w:tcBorders>
              <w:top w:val="nil"/>
              <w:left w:val="nil"/>
              <w:bottom w:val="nil"/>
              <w:right w:val="nil"/>
            </w:tcBorders>
            <w:shd w:val="clear" w:color="auto" w:fill="auto"/>
            <w:noWrap/>
            <w:vAlign w:val="bottom"/>
            <w:hideMark/>
          </w:tcPr>
          <w:p w14:paraId="0C3F8456" w14:textId="77777777" w:rsidR="0015270F" w:rsidRPr="0095562E" w:rsidRDefault="0015270F" w:rsidP="00162359">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000000" w:fill="FFFF00"/>
            <w:noWrap/>
            <w:vAlign w:val="bottom"/>
            <w:hideMark/>
          </w:tcPr>
          <w:p w14:paraId="0C3F8457" w14:textId="77777777" w:rsidR="0015270F" w:rsidRPr="0095562E" w:rsidRDefault="0015270F" w:rsidP="00162359">
            <w:pPr>
              <w:spacing w:before="0" w:after="0"/>
              <w:rPr>
                <w:rStyle w:val="BookTitle"/>
                <w:sz w:val="18"/>
                <w:szCs w:val="18"/>
              </w:rPr>
            </w:pPr>
            <w:r w:rsidRPr="0095562E">
              <w:rPr>
                <w:rStyle w:val="BookTitle"/>
                <w:sz w:val="18"/>
                <w:szCs w:val="18"/>
              </w:rPr>
              <w:t>0.81</w:t>
            </w:r>
          </w:p>
        </w:tc>
      </w:tr>
      <w:tr w:rsidR="0015270F" w:rsidRPr="0095562E" w14:paraId="0C3F8468" w14:textId="77777777" w:rsidTr="00162359">
        <w:trPr>
          <w:trHeight w:val="20"/>
        </w:trPr>
        <w:tc>
          <w:tcPr>
            <w:tcW w:w="360" w:type="pct"/>
            <w:tcBorders>
              <w:top w:val="nil"/>
              <w:left w:val="nil"/>
              <w:bottom w:val="nil"/>
              <w:right w:val="nil"/>
            </w:tcBorders>
            <w:shd w:val="clear" w:color="auto" w:fill="auto"/>
            <w:noWrap/>
            <w:vAlign w:val="center"/>
            <w:hideMark/>
          </w:tcPr>
          <w:p w14:paraId="0C3F8459" w14:textId="77777777" w:rsidR="0015270F" w:rsidRPr="0095562E" w:rsidRDefault="0015270F" w:rsidP="00162359">
            <w:pPr>
              <w:spacing w:before="0" w:after="0"/>
              <w:rPr>
                <w:rStyle w:val="BookTitle"/>
                <w:sz w:val="18"/>
                <w:szCs w:val="18"/>
              </w:rPr>
            </w:pPr>
            <w:r w:rsidRPr="0095562E">
              <w:rPr>
                <w:rStyle w:val="BookTitle"/>
                <w:sz w:val="18"/>
                <w:szCs w:val="18"/>
              </w:rPr>
              <w:t>PN</w:t>
            </w:r>
          </w:p>
        </w:tc>
        <w:tc>
          <w:tcPr>
            <w:tcW w:w="324" w:type="pct"/>
            <w:tcBorders>
              <w:top w:val="nil"/>
              <w:left w:val="nil"/>
              <w:bottom w:val="nil"/>
              <w:right w:val="nil"/>
            </w:tcBorders>
            <w:shd w:val="clear" w:color="auto" w:fill="auto"/>
            <w:noWrap/>
            <w:vAlign w:val="bottom"/>
            <w:hideMark/>
          </w:tcPr>
          <w:p w14:paraId="0C3F845A"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429" w:type="pct"/>
            <w:tcBorders>
              <w:top w:val="nil"/>
              <w:left w:val="nil"/>
              <w:bottom w:val="nil"/>
              <w:right w:val="nil"/>
            </w:tcBorders>
            <w:shd w:val="clear" w:color="auto" w:fill="auto"/>
            <w:noWrap/>
            <w:vAlign w:val="bottom"/>
            <w:hideMark/>
          </w:tcPr>
          <w:p w14:paraId="0C3F845B"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45C"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45D"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bottom"/>
            <w:hideMark/>
          </w:tcPr>
          <w:p w14:paraId="0C3F845E"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45F" w14:textId="77777777" w:rsidR="0015270F" w:rsidRPr="0095562E" w:rsidRDefault="0015270F" w:rsidP="00162359">
            <w:pPr>
              <w:spacing w:before="0" w:after="0"/>
              <w:rPr>
                <w:rStyle w:val="BookTitle"/>
                <w:sz w:val="18"/>
                <w:szCs w:val="18"/>
              </w:rPr>
            </w:pPr>
            <w:r w:rsidRPr="0095562E">
              <w:rPr>
                <w:rStyle w:val="BookTitle"/>
                <w:sz w:val="18"/>
                <w:szCs w:val="18"/>
              </w:rPr>
              <w:t>0.24</w:t>
            </w:r>
          </w:p>
        </w:tc>
        <w:tc>
          <w:tcPr>
            <w:tcW w:w="324" w:type="pct"/>
            <w:tcBorders>
              <w:top w:val="nil"/>
              <w:left w:val="nil"/>
              <w:bottom w:val="nil"/>
              <w:right w:val="nil"/>
            </w:tcBorders>
            <w:shd w:val="clear" w:color="auto" w:fill="auto"/>
            <w:noWrap/>
            <w:vAlign w:val="bottom"/>
            <w:hideMark/>
          </w:tcPr>
          <w:p w14:paraId="0C3F8460"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324" w:type="pct"/>
            <w:tcBorders>
              <w:top w:val="nil"/>
              <w:left w:val="nil"/>
              <w:bottom w:val="nil"/>
              <w:right w:val="nil"/>
            </w:tcBorders>
            <w:shd w:val="clear" w:color="auto" w:fill="auto"/>
            <w:noWrap/>
            <w:vAlign w:val="bottom"/>
            <w:hideMark/>
          </w:tcPr>
          <w:p w14:paraId="0C3F8461" w14:textId="77777777" w:rsidR="0015270F" w:rsidRPr="0095562E" w:rsidRDefault="0015270F" w:rsidP="00162359">
            <w:pPr>
              <w:spacing w:before="0" w:after="0"/>
              <w:rPr>
                <w:rStyle w:val="BookTitle"/>
                <w:sz w:val="18"/>
                <w:szCs w:val="18"/>
              </w:rPr>
            </w:pPr>
            <w:r w:rsidRPr="0095562E">
              <w:rPr>
                <w:rStyle w:val="BookTitle"/>
                <w:sz w:val="18"/>
                <w:szCs w:val="18"/>
              </w:rPr>
              <w:t>-0.19</w:t>
            </w:r>
          </w:p>
        </w:tc>
        <w:tc>
          <w:tcPr>
            <w:tcW w:w="324" w:type="pct"/>
            <w:tcBorders>
              <w:top w:val="nil"/>
              <w:left w:val="nil"/>
              <w:bottom w:val="nil"/>
              <w:right w:val="nil"/>
            </w:tcBorders>
            <w:shd w:val="clear" w:color="auto" w:fill="auto"/>
            <w:noWrap/>
            <w:vAlign w:val="bottom"/>
            <w:hideMark/>
          </w:tcPr>
          <w:p w14:paraId="0C3F8462" w14:textId="77777777" w:rsidR="0015270F" w:rsidRPr="0095562E" w:rsidRDefault="0015270F" w:rsidP="00162359">
            <w:pPr>
              <w:spacing w:before="0" w:after="0"/>
              <w:rPr>
                <w:rStyle w:val="BookTitle"/>
                <w:sz w:val="18"/>
                <w:szCs w:val="18"/>
              </w:rPr>
            </w:pPr>
            <w:r w:rsidRPr="0095562E">
              <w:rPr>
                <w:rStyle w:val="BookTitle"/>
                <w:sz w:val="18"/>
                <w:szCs w:val="18"/>
              </w:rPr>
              <w:t>-0.33</w:t>
            </w:r>
          </w:p>
        </w:tc>
        <w:tc>
          <w:tcPr>
            <w:tcW w:w="324" w:type="pct"/>
            <w:tcBorders>
              <w:top w:val="nil"/>
              <w:left w:val="nil"/>
              <w:bottom w:val="nil"/>
              <w:right w:val="nil"/>
            </w:tcBorders>
            <w:shd w:val="clear" w:color="auto" w:fill="auto"/>
            <w:noWrap/>
            <w:vAlign w:val="bottom"/>
            <w:hideMark/>
          </w:tcPr>
          <w:p w14:paraId="0C3F8463" w14:textId="77777777" w:rsidR="0015270F" w:rsidRPr="0095562E" w:rsidRDefault="0015270F" w:rsidP="00162359">
            <w:pPr>
              <w:spacing w:before="0" w:after="0"/>
              <w:rPr>
                <w:rStyle w:val="BookTitle"/>
                <w:sz w:val="18"/>
                <w:szCs w:val="18"/>
              </w:rPr>
            </w:pPr>
            <w:r w:rsidRPr="0095562E">
              <w:rPr>
                <w:rStyle w:val="BookTitle"/>
                <w:sz w:val="18"/>
                <w:szCs w:val="18"/>
              </w:rPr>
              <w:t>-0.50</w:t>
            </w:r>
          </w:p>
        </w:tc>
        <w:tc>
          <w:tcPr>
            <w:tcW w:w="324" w:type="pct"/>
            <w:tcBorders>
              <w:top w:val="nil"/>
              <w:left w:val="nil"/>
              <w:bottom w:val="nil"/>
              <w:right w:val="nil"/>
            </w:tcBorders>
            <w:shd w:val="clear" w:color="auto" w:fill="auto"/>
            <w:noWrap/>
            <w:vAlign w:val="bottom"/>
            <w:hideMark/>
          </w:tcPr>
          <w:p w14:paraId="0C3F8464" w14:textId="77777777" w:rsidR="0015270F" w:rsidRPr="0095562E" w:rsidRDefault="0015270F" w:rsidP="00162359">
            <w:pPr>
              <w:spacing w:before="0" w:after="0"/>
              <w:rPr>
                <w:rStyle w:val="BookTitle"/>
                <w:sz w:val="18"/>
                <w:szCs w:val="18"/>
              </w:rPr>
            </w:pPr>
            <w:r w:rsidRPr="0095562E">
              <w:rPr>
                <w:rStyle w:val="BookTitle"/>
                <w:sz w:val="18"/>
                <w:szCs w:val="18"/>
              </w:rPr>
              <w:t>-0.42</w:t>
            </w:r>
          </w:p>
        </w:tc>
        <w:tc>
          <w:tcPr>
            <w:tcW w:w="324" w:type="pct"/>
            <w:tcBorders>
              <w:top w:val="nil"/>
              <w:left w:val="nil"/>
              <w:bottom w:val="nil"/>
              <w:right w:val="nil"/>
            </w:tcBorders>
            <w:shd w:val="clear" w:color="auto" w:fill="auto"/>
            <w:noWrap/>
            <w:vAlign w:val="bottom"/>
            <w:hideMark/>
          </w:tcPr>
          <w:p w14:paraId="0C3F8465"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66"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467" w14:textId="77777777" w:rsidR="0015270F" w:rsidRPr="0095562E" w:rsidRDefault="0015270F" w:rsidP="00162359">
            <w:pPr>
              <w:spacing w:before="0" w:after="0"/>
              <w:rPr>
                <w:rStyle w:val="BookTitle"/>
                <w:sz w:val="18"/>
                <w:szCs w:val="18"/>
              </w:rPr>
            </w:pPr>
            <w:r w:rsidRPr="0095562E">
              <w:rPr>
                <w:rStyle w:val="BookTitle"/>
                <w:sz w:val="18"/>
                <w:szCs w:val="18"/>
              </w:rPr>
              <w:t>-0.38</w:t>
            </w:r>
          </w:p>
        </w:tc>
      </w:tr>
      <w:tr w:rsidR="0015270F" w:rsidRPr="0095562E" w14:paraId="0C3F8478" w14:textId="77777777" w:rsidTr="00162359">
        <w:trPr>
          <w:trHeight w:val="20"/>
        </w:trPr>
        <w:tc>
          <w:tcPr>
            <w:tcW w:w="360" w:type="pct"/>
            <w:tcBorders>
              <w:top w:val="nil"/>
              <w:left w:val="nil"/>
              <w:bottom w:val="nil"/>
              <w:right w:val="nil"/>
            </w:tcBorders>
            <w:shd w:val="clear" w:color="auto" w:fill="auto"/>
            <w:noWrap/>
            <w:vAlign w:val="center"/>
            <w:hideMark/>
          </w:tcPr>
          <w:p w14:paraId="0C3F8469" w14:textId="77777777" w:rsidR="0015270F" w:rsidRPr="0095562E" w:rsidRDefault="0015270F" w:rsidP="00162359">
            <w:pPr>
              <w:spacing w:before="0" w:after="0"/>
              <w:rPr>
                <w:rStyle w:val="BookTitle"/>
                <w:sz w:val="18"/>
                <w:szCs w:val="18"/>
              </w:rPr>
            </w:pPr>
            <w:r w:rsidRPr="0095562E">
              <w:rPr>
                <w:rStyle w:val="BookTitle"/>
                <w:sz w:val="18"/>
                <w:szCs w:val="18"/>
              </w:rPr>
              <w:t>PP</w:t>
            </w:r>
          </w:p>
        </w:tc>
        <w:tc>
          <w:tcPr>
            <w:tcW w:w="324" w:type="pct"/>
            <w:tcBorders>
              <w:top w:val="nil"/>
              <w:left w:val="nil"/>
              <w:bottom w:val="nil"/>
              <w:right w:val="nil"/>
            </w:tcBorders>
            <w:shd w:val="clear" w:color="auto" w:fill="auto"/>
            <w:noWrap/>
            <w:vAlign w:val="bottom"/>
            <w:hideMark/>
          </w:tcPr>
          <w:p w14:paraId="0C3F846A" w14:textId="77777777" w:rsidR="0015270F" w:rsidRPr="0095562E" w:rsidRDefault="0015270F" w:rsidP="00162359">
            <w:pPr>
              <w:spacing w:before="0" w:after="0"/>
              <w:rPr>
                <w:rStyle w:val="BookTitle"/>
                <w:sz w:val="18"/>
                <w:szCs w:val="18"/>
              </w:rPr>
            </w:pPr>
            <w:r w:rsidRPr="0095562E">
              <w:rPr>
                <w:rStyle w:val="BookTitle"/>
                <w:sz w:val="18"/>
                <w:szCs w:val="18"/>
              </w:rPr>
              <w:t>-0.28</w:t>
            </w:r>
          </w:p>
        </w:tc>
        <w:tc>
          <w:tcPr>
            <w:tcW w:w="429" w:type="pct"/>
            <w:tcBorders>
              <w:top w:val="nil"/>
              <w:left w:val="nil"/>
              <w:bottom w:val="nil"/>
              <w:right w:val="nil"/>
            </w:tcBorders>
            <w:shd w:val="clear" w:color="auto" w:fill="auto"/>
            <w:noWrap/>
            <w:vAlign w:val="bottom"/>
            <w:hideMark/>
          </w:tcPr>
          <w:p w14:paraId="0C3F846B" w14:textId="77777777" w:rsidR="0015270F" w:rsidRPr="0095562E" w:rsidRDefault="0015270F" w:rsidP="00162359">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auto" w:fill="auto"/>
            <w:noWrap/>
            <w:vAlign w:val="bottom"/>
            <w:hideMark/>
          </w:tcPr>
          <w:p w14:paraId="0C3F846C"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46D"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auto" w:fill="auto"/>
            <w:noWrap/>
            <w:vAlign w:val="bottom"/>
            <w:hideMark/>
          </w:tcPr>
          <w:p w14:paraId="0C3F846E"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46F" w14:textId="77777777" w:rsidR="0015270F" w:rsidRPr="0095562E" w:rsidRDefault="0015270F" w:rsidP="00162359">
            <w:pPr>
              <w:spacing w:before="0" w:after="0"/>
              <w:rPr>
                <w:rStyle w:val="BookTitle"/>
                <w:sz w:val="18"/>
                <w:szCs w:val="18"/>
              </w:rPr>
            </w:pPr>
            <w:r w:rsidRPr="0095562E">
              <w:rPr>
                <w:rStyle w:val="BookTitle"/>
                <w:sz w:val="18"/>
                <w:szCs w:val="18"/>
              </w:rPr>
              <w:t>0.42</w:t>
            </w:r>
          </w:p>
        </w:tc>
        <w:tc>
          <w:tcPr>
            <w:tcW w:w="324" w:type="pct"/>
            <w:tcBorders>
              <w:top w:val="nil"/>
              <w:left w:val="nil"/>
              <w:bottom w:val="nil"/>
              <w:right w:val="nil"/>
            </w:tcBorders>
            <w:shd w:val="clear" w:color="auto" w:fill="auto"/>
            <w:noWrap/>
            <w:vAlign w:val="bottom"/>
            <w:hideMark/>
          </w:tcPr>
          <w:p w14:paraId="0C3F8470"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471"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000000" w:fill="FFFF00"/>
            <w:noWrap/>
            <w:vAlign w:val="bottom"/>
            <w:hideMark/>
          </w:tcPr>
          <w:p w14:paraId="0C3F8472" w14:textId="77777777" w:rsidR="0015270F" w:rsidRPr="0095562E" w:rsidRDefault="0015270F" w:rsidP="00162359">
            <w:pPr>
              <w:spacing w:before="0" w:after="0"/>
              <w:rPr>
                <w:rStyle w:val="BookTitle"/>
                <w:sz w:val="18"/>
                <w:szCs w:val="18"/>
              </w:rPr>
            </w:pPr>
            <w:r w:rsidRPr="0095562E">
              <w:rPr>
                <w:rStyle w:val="BookTitle"/>
                <w:sz w:val="18"/>
                <w:szCs w:val="18"/>
              </w:rPr>
              <w:t>0.66</w:t>
            </w:r>
          </w:p>
        </w:tc>
        <w:tc>
          <w:tcPr>
            <w:tcW w:w="324" w:type="pct"/>
            <w:tcBorders>
              <w:top w:val="nil"/>
              <w:left w:val="nil"/>
              <w:bottom w:val="nil"/>
              <w:right w:val="nil"/>
            </w:tcBorders>
            <w:shd w:val="clear" w:color="auto" w:fill="auto"/>
            <w:noWrap/>
            <w:vAlign w:val="bottom"/>
            <w:hideMark/>
          </w:tcPr>
          <w:p w14:paraId="0C3F8473" w14:textId="77777777" w:rsidR="0015270F" w:rsidRPr="0095562E" w:rsidRDefault="0015270F" w:rsidP="00162359">
            <w:pPr>
              <w:spacing w:before="0" w:after="0"/>
              <w:rPr>
                <w:rStyle w:val="BookTitle"/>
                <w:sz w:val="18"/>
                <w:szCs w:val="18"/>
              </w:rPr>
            </w:pPr>
            <w:r w:rsidRPr="0095562E">
              <w:rPr>
                <w:rStyle w:val="BookTitle"/>
                <w:sz w:val="18"/>
                <w:szCs w:val="18"/>
              </w:rPr>
              <w:t>0.09</w:t>
            </w:r>
          </w:p>
        </w:tc>
        <w:tc>
          <w:tcPr>
            <w:tcW w:w="324" w:type="pct"/>
            <w:tcBorders>
              <w:top w:val="nil"/>
              <w:left w:val="nil"/>
              <w:bottom w:val="nil"/>
              <w:right w:val="nil"/>
            </w:tcBorders>
            <w:shd w:val="clear" w:color="auto" w:fill="auto"/>
            <w:noWrap/>
            <w:vAlign w:val="bottom"/>
            <w:hideMark/>
          </w:tcPr>
          <w:p w14:paraId="0C3F8474" w14:textId="77777777" w:rsidR="0015270F" w:rsidRPr="0095562E" w:rsidRDefault="0015270F" w:rsidP="00162359">
            <w:pPr>
              <w:spacing w:before="0" w:after="0"/>
              <w:rPr>
                <w:rStyle w:val="BookTitle"/>
                <w:sz w:val="18"/>
                <w:szCs w:val="18"/>
              </w:rPr>
            </w:pPr>
            <w:r w:rsidRPr="0095562E">
              <w:rPr>
                <w:rStyle w:val="BookTitle"/>
                <w:sz w:val="18"/>
                <w:szCs w:val="18"/>
              </w:rPr>
              <w:t>0.18</w:t>
            </w:r>
          </w:p>
        </w:tc>
        <w:tc>
          <w:tcPr>
            <w:tcW w:w="324" w:type="pct"/>
            <w:tcBorders>
              <w:top w:val="nil"/>
              <w:left w:val="nil"/>
              <w:bottom w:val="nil"/>
              <w:right w:val="nil"/>
            </w:tcBorders>
            <w:shd w:val="clear" w:color="auto" w:fill="auto"/>
            <w:noWrap/>
            <w:vAlign w:val="bottom"/>
            <w:hideMark/>
          </w:tcPr>
          <w:p w14:paraId="0C3F8475"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476"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77" w14:textId="77777777" w:rsidR="0015270F" w:rsidRPr="0095562E" w:rsidRDefault="0015270F" w:rsidP="00162359">
            <w:pPr>
              <w:spacing w:before="0" w:after="0"/>
              <w:rPr>
                <w:rStyle w:val="BookTitle"/>
                <w:sz w:val="18"/>
                <w:szCs w:val="18"/>
              </w:rPr>
            </w:pPr>
            <w:r w:rsidRPr="0095562E">
              <w:rPr>
                <w:rStyle w:val="BookTitle"/>
                <w:sz w:val="18"/>
                <w:szCs w:val="18"/>
              </w:rPr>
              <w:t>0.21</w:t>
            </w:r>
          </w:p>
        </w:tc>
      </w:tr>
      <w:tr w:rsidR="0015270F" w:rsidRPr="0095562E" w14:paraId="0C3F8488" w14:textId="77777777" w:rsidTr="00162359">
        <w:trPr>
          <w:trHeight w:val="20"/>
        </w:trPr>
        <w:tc>
          <w:tcPr>
            <w:tcW w:w="360" w:type="pct"/>
            <w:tcBorders>
              <w:top w:val="nil"/>
              <w:left w:val="nil"/>
              <w:bottom w:val="single" w:sz="4" w:space="0" w:color="auto"/>
              <w:right w:val="nil"/>
            </w:tcBorders>
            <w:shd w:val="clear" w:color="auto" w:fill="auto"/>
            <w:noWrap/>
            <w:vAlign w:val="center"/>
            <w:hideMark/>
          </w:tcPr>
          <w:p w14:paraId="0C3F8479" w14:textId="77777777" w:rsidR="0015270F" w:rsidRPr="0095562E" w:rsidRDefault="0015270F" w:rsidP="00162359">
            <w:pPr>
              <w:spacing w:before="0" w:after="0"/>
              <w:rPr>
                <w:rStyle w:val="BookTitle"/>
                <w:sz w:val="18"/>
                <w:szCs w:val="18"/>
              </w:rPr>
            </w:pPr>
            <w:r w:rsidRPr="0095562E">
              <w:rPr>
                <w:rStyle w:val="BookTitle"/>
                <w:sz w:val="18"/>
                <w:szCs w:val="18"/>
              </w:rPr>
              <w:t>Si</w:t>
            </w:r>
          </w:p>
        </w:tc>
        <w:tc>
          <w:tcPr>
            <w:tcW w:w="324" w:type="pct"/>
            <w:tcBorders>
              <w:top w:val="nil"/>
              <w:left w:val="nil"/>
              <w:bottom w:val="single" w:sz="4" w:space="0" w:color="auto"/>
              <w:right w:val="nil"/>
            </w:tcBorders>
            <w:shd w:val="clear" w:color="000000" w:fill="FFFF00"/>
            <w:noWrap/>
            <w:vAlign w:val="bottom"/>
            <w:hideMark/>
          </w:tcPr>
          <w:p w14:paraId="0C3F847A" w14:textId="77777777" w:rsidR="0015270F" w:rsidRPr="0095562E" w:rsidRDefault="0015270F" w:rsidP="00162359">
            <w:pPr>
              <w:spacing w:before="0" w:after="0"/>
              <w:rPr>
                <w:rStyle w:val="BookTitle"/>
                <w:sz w:val="18"/>
                <w:szCs w:val="18"/>
              </w:rPr>
            </w:pPr>
            <w:r w:rsidRPr="0095562E">
              <w:rPr>
                <w:rStyle w:val="BookTitle"/>
                <w:sz w:val="18"/>
                <w:szCs w:val="18"/>
              </w:rPr>
              <w:t>-0.84</w:t>
            </w:r>
          </w:p>
        </w:tc>
        <w:tc>
          <w:tcPr>
            <w:tcW w:w="429" w:type="pct"/>
            <w:tcBorders>
              <w:top w:val="nil"/>
              <w:left w:val="nil"/>
              <w:bottom w:val="single" w:sz="4" w:space="0" w:color="auto"/>
              <w:right w:val="nil"/>
            </w:tcBorders>
            <w:shd w:val="clear" w:color="000000" w:fill="FFFF00"/>
            <w:noWrap/>
            <w:vAlign w:val="bottom"/>
            <w:hideMark/>
          </w:tcPr>
          <w:p w14:paraId="0C3F847B" w14:textId="77777777" w:rsidR="0015270F" w:rsidRPr="0095562E" w:rsidRDefault="0015270F" w:rsidP="00162359">
            <w:pPr>
              <w:spacing w:before="0" w:after="0"/>
              <w:rPr>
                <w:rStyle w:val="BookTitle"/>
                <w:sz w:val="18"/>
                <w:szCs w:val="18"/>
              </w:rPr>
            </w:pPr>
            <w:r w:rsidRPr="0095562E">
              <w:rPr>
                <w:rStyle w:val="BookTitle"/>
                <w:sz w:val="18"/>
                <w:szCs w:val="18"/>
              </w:rPr>
              <w:t>0.79</w:t>
            </w:r>
          </w:p>
        </w:tc>
        <w:tc>
          <w:tcPr>
            <w:tcW w:w="324" w:type="pct"/>
            <w:tcBorders>
              <w:top w:val="nil"/>
              <w:left w:val="nil"/>
              <w:bottom w:val="single" w:sz="4" w:space="0" w:color="auto"/>
              <w:right w:val="nil"/>
            </w:tcBorders>
            <w:shd w:val="clear" w:color="auto" w:fill="auto"/>
            <w:noWrap/>
            <w:vAlign w:val="bottom"/>
            <w:hideMark/>
          </w:tcPr>
          <w:p w14:paraId="0C3F847C" w14:textId="77777777" w:rsidR="0015270F" w:rsidRPr="0095562E" w:rsidRDefault="0015270F" w:rsidP="00162359">
            <w:pPr>
              <w:spacing w:before="0" w:after="0"/>
              <w:rPr>
                <w:rStyle w:val="BookTitle"/>
                <w:sz w:val="18"/>
                <w:szCs w:val="18"/>
              </w:rPr>
            </w:pPr>
            <w:r w:rsidRPr="0095562E">
              <w:rPr>
                <w:rStyle w:val="BookTitle"/>
                <w:sz w:val="18"/>
                <w:szCs w:val="18"/>
              </w:rPr>
              <w:t>-0.42</w:t>
            </w:r>
          </w:p>
        </w:tc>
        <w:tc>
          <w:tcPr>
            <w:tcW w:w="324" w:type="pct"/>
            <w:tcBorders>
              <w:top w:val="nil"/>
              <w:left w:val="nil"/>
              <w:bottom w:val="single" w:sz="4" w:space="0" w:color="auto"/>
              <w:right w:val="nil"/>
            </w:tcBorders>
            <w:shd w:val="clear" w:color="auto" w:fill="auto"/>
            <w:noWrap/>
            <w:vAlign w:val="bottom"/>
            <w:hideMark/>
          </w:tcPr>
          <w:p w14:paraId="0C3F847D"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single" w:sz="4" w:space="0" w:color="auto"/>
              <w:right w:val="nil"/>
            </w:tcBorders>
            <w:shd w:val="clear" w:color="auto" w:fill="auto"/>
            <w:noWrap/>
            <w:vAlign w:val="bottom"/>
            <w:hideMark/>
          </w:tcPr>
          <w:p w14:paraId="0C3F847E" w14:textId="77777777" w:rsidR="0015270F" w:rsidRPr="0095562E" w:rsidRDefault="0015270F" w:rsidP="00162359">
            <w:pPr>
              <w:spacing w:before="0" w:after="0"/>
              <w:rPr>
                <w:rStyle w:val="BookTitle"/>
                <w:sz w:val="18"/>
                <w:szCs w:val="18"/>
              </w:rPr>
            </w:pPr>
            <w:r w:rsidRPr="0095562E">
              <w:rPr>
                <w:rStyle w:val="BookTitle"/>
                <w:sz w:val="18"/>
                <w:szCs w:val="18"/>
              </w:rPr>
              <w:t>-0.39</w:t>
            </w:r>
          </w:p>
        </w:tc>
        <w:tc>
          <w:tcPr>
            <w:tcW w:w="324" w:type="pct"/>
            <w:tcBorders>
              <w:top w:val="nil"/>
              <w:left w:val="nil"/>
              <w:bottom w:val="single" w:sz="4" w:space="0" w:color="auto"/>
              <w:right w:val="nil"/>
            </w:tcBorders>
            <w:shd w:val="clear" w:color="auto" w:fill="auto"/>
            <w:noWrap/>
            <w:vAlign w:val="bottom"/>
            <w:hideMark/>
          </w:tcPr>
          <w:p w14:paraId="0C3F847F"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single" w:sz="4" w:space="0" w:color="auto"/>
              <w:right w:val="nil"/>
            </w:tcBorders>
            <w:shd w:val="clear" w:color="auto" w:fill="auto"/>
            <w:noWrap/>
            <w:vAlign w:val="bottom"/>
            <w:hideMark/>
          </w:tcPr>
          <w:p w14:paraId="0C3F8480" w14:textId="77777777" w:rsidR="0015270F" w:rsidRPr="0095562E" w:rsidRDefault="0015270F" w:rsidP="00162359">
            <w:pPr>
              <w:spacing w:before="0" w:after="0"/>
              <w:rPr>
                <w:rStyle w:val="BookTitle"/>
                <w:sz w:val="18"/>
                <w:szCs w:val="18"/>
              </w:rPr>
            </w:pPr>
            <w:r w:rsidRPr="0095562E">
              <w:rPr>
                <w:rStyle w:val="BookTitle"/>
                <w:sz w:val="18"/>
                <w:szCs w:val="18"/>
              </w:rPr>
              <w:t>0.56</w:t>
            </w:r>
          </w:p>
        </w:tc>
        <w:tc>
          <w:tcPr>
            <w:tcW w:w="324" w:type="pct"/>
            <w:tcBorders>
              <w:top w:val="nil"/>
              <w:left w:val="nil"/>
              <w:bottom w:val="single" w:sz="4" w:space="0" w:color="auto"/>
              <w:right w:val="nil"/>
            </w:tcBorders>
            <w:shd w:val="clear" w:color="000000" w:fill="FFFF00"/>
            <w:noWrap/>
            <w:vAlign w:val="bottom"/>
            <w:hideMark/>
          </w:tcPr>
          <w:p w14:paraId="0C3F8481"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single" w:sz="4" w:space="0" w:color="auto"/>
              <w:right w:val="nil"/>
            </w:tcBorders>
            <w:shd w:val="clear" w:color="000000" w:fill="FFFF00"/>
            <w:noWrap/>
            <w:vAlign w:val="bottom"/>
            <w:hideMark/>
          </w:tcPr>
          <w:p w14:paraId="0C3F8482" w14:textId="77777777" w:rsidR="0015270F" w:rsidRPr="0095562E" w:rsidRDefault="0015270F" w:rsidP="00162359">
            <w:pPr>
              <w:spacing w:before="0" w:after="0"/>
              <w:rPr>
                <w:rStyle w:val="BookTitle"/>
                <w:sz w:val="18"/>
                <w:szCs w:val="18"/>
              </w:rPr>
            </w:pPr>
            <w:r w:rsidRPr="0095562E">
              <w:rPr>
                <w:rStyle w:val="BookTitle"/>
                <w:sz w:val="18"/>
                <w:szCs w:val="18"/>
              </w:rPr>
              <w:t>0.65</w:t>
            </w:r>
          </w:p>
        </w:tc>
        <w:tc>
          <w:tcPr>
            <w:tcW w:w="324" w:type="pct"/>
            <w:tcBorders>
              <w:top w:val="nil"/>
              <w:left w:val="nil"/>
              <w:bottom w:val="single" w:sz="4" w:space="0" w:color="auto"/>
              <w:right w:val="nil"/>
            </w:tcBorders>
            <w:shd w:val="clear" w:color="000000" w:fill="FFFF00"/>
            <w:noWrap/>
            <w:vAlign w:val="bottom"/>
            <w:hideMark/>
          </w:tcPr>
          <w:p w14:paraId="0C3F8483" w14:textId="77777777" w:rsidR="0015270F" w:rsidRPr="0095562E" w:rsidRDefault="0015270F" w:rsidP="00162359">
            <w:pPr>
              <w:spacing w:before="0" w:after="0"/>
              <w:rPr>
                <w:rStyle w:val="BookTitle"/>
                <w:sz w:val="18"/>
                <w:szCs w:val="18"/>
              </w:rPr>
            </w:pPr>
            <w:r w:rsidRPr="0095562E">
              <w:rPr>
                <w:rStyle w:val="BookTitle"/>
                <w:sz w:val="18"/>
                <w:szCs w:val="18"/>
              </w:rPr>
              <w:t>0.74</w:t>
            </w:r>
          </w:p>
        </w:tc>
        <w:tc>
          <w:tcPr>
            <w:tcW w:w="324" w:type="pct"/>
            <w:tcBorders>
              <w:top w:val="nil"/>
              <w:left w:val="nil"/>
              <w:bottom w:val="single" w:sz="4" w:space="0" w:color="auto"/>
              <w:right w:val="nil"/>
            </w:tcBorders>
            <w:shd w:val="clear" w:color="000000" w:fill="FFFF00"/>
            <w:noWrap/>
            <w:vAlign w:val="bottom"/>
            <w:hideMark/>
          </w:tcPr>
          <w:p w14:paraId="0C3F8484" w14:textId="77777777" w:rsidR="0015270F" w:rsidRPr="0095562E" w:rsidRDefault="0015270F" w:rsidP="00162359">
            <w:pPr>
              <w:spacing w:before="0" w:after="0"/>
              <w:rPr>
                <w:rStyle w:val="BookTitle"/>
                <w:sz w:val="18"/>
                <w:szCs w:val="18"/>
              </w:rPr>
            </w:pPr>
            <w:r w:rsidRPr="0095562E">
              <w:rPr>
                <w:rStyle w:val="BookTitle"/>
                <w:sz w:val="18"/>
                <w:szCs w:val="18"/>
              </w:rPr>
              <w:t>0.81</w:t>
            </w:r>
          </w:p>
        </w:tc>
        <w:tc>
          <w:tcPr>
            <w:tcW w:w="324" w:type="pct"/>
            <w:tcBorders>
              <w:top w:val="nil"/>
              <w:left w:val="nil"/>
              <w:bottom w:val="single" w:sz="4" w:space="0" w:color="auto"/>
              <w:right w:val="nil"/>
            </w:tcBorders>
            <w:shd w:val="clear" w:color="auto" w:fill="auto"/>
            <w:noWrap/>
            <w:vAlign w:val="bottom"/>
            <w:hideMark/>
          </w:tcPr>
          <w:p w14:paraId="0C3F8485" w14:textId="77777777" w:rsidR="0015270F" w:rsidRPr="0095562E" w:rsidRDefault="0015270F" w:rsidP="00162359">
            <w:pPr>
              <w:spacing w:before="0" w:after="0"/>
              <w:rPr>
                <w:rStyle w:val="BookTitle"/>
                <w:sz w:val="18"/>
                <w:szCs w:val="18"/>
              </w:rPr>
            </w:pPr>
            <w:r w:rsidRPr="0095562E">
              <w:rPr>
                <w:rStyle w:val="BookTitle"/>
                <w:sz w:val="18"/>
                <w:szCs w:val="18"/>
              </w:rPr>
              <w:t>-0.38</w:t>
            </w:r>
          </w:p>
        </w:tc>
        <w:tc>
          <w:tcPr>
            <w:tcW w:w="324" w:type="pct"/>
            <w:tcBorders>
              <w:top w:val="nil"/>
              <w:left w:val="nil"/>
              <w:bottom w:val="single" w:sz="4" w:space="0" w:color="auto"/>
              <w:right w:val="nil"/>
            </w:tcBorders>
            <w:shd w:val="clear" w:color="auto" w:fill="auto"/>
            <w:noWrap/>
            <w:vAlign w:val="bottom"/>
            <w:hideMark/>
          </w:tcPr>
          <w:p w14:paraId="0C3F8486"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single" w:sz="4" w:space="0" w:color="auto"/>
              <w:right w:val="nil"/>
            </w:tcBorders>
            <w:shd w:val="clear" w:color="auto" w:fill="auto"/>
            <w:noWrap/>
            <w:vAlign w:val="bottom"/>
            <w:hideMark/>
          </w:tcPr>
          <w:p w14:paraId="0C3F8487" w14:textId="77777777" w:rsidR="0015270F" w:rsidRPr="0095562E" w:rsidRDefault="0015270F" w:rsidP="00162359">
            <w:pPr>
              <w:spacing w:before="0" w:after="0"/>
              <w:rPr>
                <w:rStyle w:val="BookTitle"/>
                <w:sz w:val="18"/>
                <w:szCs w:val="18"/>
              </w:rPr>
            </w:pPr>
            <w:r w:rsidRPr="0095562E">
              <w:rPr>
                <w:rStyle w:val="BookTitle"/>
                <w:sz w:val="18"/>
                <w:szCs w:val="18"/>
              </w:rPr>
              <w:t>1</w:t>
            </w:r>
          </w:p>
        </w:tc>
      </w:tr>
      <w:tr w:rsidR="0015270F" w:rsidRPr="0095562E" w14:paraId="0C3F8498" w14:textId="77777777" w:rsidTr="00162359">
        <w:trPr>
          <w:trHeight w:val="20"/>
        </w:trPr>
        <w:tc>
          <w:tcPr>
            <w:tcW w:w="360" w:type="pct"/>
            <w:tcBorders>
              <w:top w:val="nil"/>
              <w:left w:val="nil"/>
              <w:right w:val="nil"/>
            </w:tcBorders>
            <w:shd w:val="clear" w:color="auto" w:fill="auto"/>
            <w:noWrap/>
            <w:vAlign w:val="center"/>
            <w:hideMark/>
          </w:tcPr>
          <w:p w14:paraId="0C3F8489"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8A" w14:textId="77777777" w:rsidR="0015270F" w:rsidRPr="0095562E" w:rsidRDefault="0015270F" w:rsidP="00162359">
            <w:pPr>
              <w:spacing w:before="0" w:after="0"/>
              <w:rPr>
                <w:rStyle w:val="BookTitle"/>
                <w:sz w:val="18"/>
                <w:szCs w:val="18"/>
              </w:rPr>
            </w:pPr>
          </w:p>
        </w:tc>
        <w:tc>
          <w:tcPr>
            <w:tcW w:w="429" w:type="pct"/>
            <w:tcBorders>
              <w:top w:val="nil"/>
              <w:left w:val="nil"/>
              <w:right w:val="nil"/>
            </w:tcBorders>
            <w:shd w:val="clear" w:color="auto" w:fill="auto"/>
            <w:noWrap/>
            <w:vAlign w:val="center"/>
            <w:hideMark/>
          </w:tcPr>
          <w:p w14:paraId="0C3F848B"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8C"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8D"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8E"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8F"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0"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1"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2"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3"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4"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5"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6" w14:textId="77777777" w:rsidR="0015270F" w:rsidRPr="0095562E" w:rsidRDefault="0015270F" w:rsidP="00162359">
            <w:pPr>
              <w:spacing w:before="0" w:after="0"/>
              <w:rPr>
                <w:rStyle w:val="BookTitle"/>
                <w:sz w:val="18"/>
                <w:szCs w:val="18"/>
              </w:rPr>
            </w:pPr>
          </w:p>
        </w:tc>
        <w:tc>
          <w:tcPr>
            <w:tcW w:w="324" w:type="pct"/>
            <w:tcBorders>
              <w:top w:val="nil"/>
              <w:left w:val="nil"/>
              <w:right w:val="nil"/>
            </w:tcBorders>
            <w:shd w:val="clear" w:color="auto" w:fill="auto"/>
            <w:noWrap/>
            <w:vAlign w:val="center"/>
            <w:hideMark/>
          </w:tcPr>
          <w:p w14:paraId="0C3F8497" w14:textId="77777777" w:rsidR="0015270F" w:rsidRPr="0095562E" w:rsidRDefault="0015270F" w:rsidP="00162359">
            <w:pPr>
              <w:spacing w:before="0" w:after="0"/>
              <w:rPr>
                <w:rStyle w:val="BookTitle"/>
                <w:sz w:val="18"/>
                <w:szCs w:val="18"/>
              </w:rPr>
            </w:pPr>
          </w:p>
        </w:tc>
      </w:tr>
      <w:tr w:rsidR="0015270F" w:rsidRPr="0095562E" w14:paraId="0C3F849B" w14:textId="77777777" w:rsidTr="00162359">
        <w:trPr>
          <w:trHeight w:val="20"/>
        </w:trPr>
        <w:tc>
          <w:tcPr>
            <w:tcW w:w="5000" w:type="pct"/>
            <w:gridSpan w:val="15"/>
            <w:tcBorders>
              <w:left w:val="nil"/>
              <w:right w:val="nil"/>
            </w:tcBorders>
            <w:shd w:val="clear" w:color="auto" w:fill="auto"/>
            <w:noWrap/>
            <w:vAlign w:val="center"/>
            <w:hideMark/>
          </w:tcPr>
          <w:p w14:paraId="0C3F8499" w14:textId="77777777" w:rsidR="0015270F" w:rsidRPr="0095562E" w:rsidRDefault="0015270F" w:rsidP="00162359">
            <w:pPr>
              <w:spacing w:before="0" w:after="0"/>
              <w:rPr>
                <w:rStyle w:val="BookTitle"/>
                <w:sz w:val="18"/>
                <w:szCs w:val="18"/>
              </w:rPr>
            </w:pPr>
          </w:p>
          <w:p w14:paraId="0C3F849A" w14:textId="77777777" w:rsidR="0015270F" w:rsidRPr="0095562E" w:rsidRDefault="0015270F" w:rsidP="00162359">
            <w:pPr>
              <w:spacing w:before="0" w:after="0"/>
              <w:rPr>
                <w:rStyle w:val="BookTitle"/>
                <w:sz w:val="18"/>
                <w:szCs w:val="18"/>
              </w:rPr>
            </w:pPr>
            <w:r w:rsidRPr="0095562E">
              <w:rPr>
                <w:rStyle w:val="BookTitle"/>
                <w:sz w:val="18"/>
                <w:szCs w:val="18"/>
              </w:rPr>
              <w:t>Herbert [26]</w:t>
            </w:r>
          </w:p>
        </w:tc>
      </w:tr>
      <w:tr w:rsidR="0015270F" w:rsidRPr="0095562E" w14:paraId="0C3F84AB" w14:textId="77777777" w:rsidTr="00162359">
        <w:trPr>
          <w:trHeight w:val="20"/>
        </w:trPr>
        <w:tc>
          <w:tcPr>
            <w:tcW w:w="360" w:type="pct"/>
            <w:tcBorders>
              <w:top w:val="single" w:sz="4" w:space="0" w:color="auto"/>
              <w:left w:val="nil"/>
              <w:bottom w:val="single" w:sz="4" w:space="0" w:color="auto"/>
              <w:right w:val="nil"/>
            </w:tcBorders>
            <w:shd w:val="clear" w:color="auto" w:fill="auto"/>
            <w:noWrap/>
            <w:vAlign w:val="center"/>
            <w:hideMark/>
          </w:tcPr>
          <w:p w14:paraId="0C3F849C" w14:textId="77777777" w:rsidR="0015270F" w:rsidRPr="0095562E" w:rsidRDefault="0015270F" w:rsidP="00162359">
            <w:pPr>
              <w:spacing w:before="0" w:after="0"/>
              <w:rPr>
                <w:rStyle w:val="BookTitle"/>
                <w:sz w:val="18"/>
                <w:szCs w:val="18"/>
              </w:rPr>
            </w:pPr>
            <w:r w:rsidRPr="0095562E">
              <w:rPr>
                <w:rStyle w:val="BookTitle"/>
                <w:sz w:val="18"/>
                <w:szCs w:val="18"/>
              </w:rPr>
              <w:t> </w:t>
            </w:r>
          </w:p>
        </w:tc>
        <w:tc>
          <w:tcPr>
            <w:tcW w:w="324" w:type="pct"/>
            <w:tcBorders>
              <w:top w:val="single" w:sz="4" w:space="0" w:color="auto"/>
              <w:left w:val="nil"/>
              <w:bottom w:val="single" w:sz="4" w:space="0" w:color="auto"/>
              <w:right w:val="nil"/>
            </w:tcBorders>
            <w:shd w:val="clear" w:color="auto" w:fill="auto"/>
            <w:noWrap/>
            <w:vAlign w:val="center"/>
            <w:hideMark/>
          </w:tcPr>
          <w:p w14:paraId="0C3F849D" w14:textId="77777777" w:rsidR="0015270F" w:rsidRPr="0095562E" w:rsidRDefault="0015270F" w:rsidP="00162359">
            <w:pPr>
              <w:spacing w:before="0" w:after="0"/>
              <w:rPr>
                <w:rStyle w:val="BookTitle"/>
                <w:sz w:val="18"/>
                <w:szCs w:val="18"/>
              </w:rPr>
            </w:pPr>
            <w:r w:rsidRPr="0095562E">
              <w:rPr>
                <w:rStyle w:val="BookTitle"/>
                <w:sz w:val="18"/>
                <w:szCs w:val="18"/>
              </w:rPr>
              <w:t>Sal.</w:t>
            </w:r>
          </w:p>
        </w:tc>
        <w:tc>
          <w:tcPr>
            <w:tcW w:w="429" w:type="pct"/>
            <w:tcBorders>
              <w:top w:val="single" w:sz="4" w:space="0" w:color="auto"/>
              <w:left w:val="nil"/>
              <w:bottom w:val="single" w:sz="4" w:space="0" w:color="auto"/>
              <w:right w:val="nil"/>
            </w:tcBorders>
            <w:shd w:val="clear" w:color="auto" w:fill="auto"/>
            <w:noWrap/>
            <w:vAlign w:val="center"/>
            <w:hideMark/>
          </w:tcPr>
          <w:p w14:paraId="0C3F849E" w14:textId="77777777" w:rsidR="0015270F" w:rsidRPr="0095562E" w:rsidRDefault="0015270F" w:rsidP="00162359">
            <w:pPr>
              <w:spacing w:before="0" w:after="0"/>
              <w:rPr>
                <w:rStyle w:val="BookTitle"/>
                <w:sz w:val="18"/>
                <w:szCs w:val="18"/>
              </w:rPr>
            </w:pPr>
            <w:r w:rsidRPr="0095562E">
              <w:rPr>
                <w:rStyle w:val="BookTitle"/>
                <w:sz w:val="18"/>
                <w:szCs w:val="18"/>
              </w:rPr>
              <w:t>Disch.</w:t>
            </w:r>
          </w:p>
        </w:tc>
        <w:tc>
          <w:tcPr>
            <w:tcW w:w="324" w:type="pct"/>
            <w:tcBorders>
              <w:top w:val="single" w:sz="4" w:space="0" w:color="auto"/>
              <w:left w:val="nil"/>
              <w:bottom w:val="single" w:sz="4" w:space="0" w:color="auto"/>
              <w:right w:val="nil"/>
            </w:tcBorders>
            <w:shd w:val="clear" w:color="auto" w:fill="auto"/>
            <w:noWrap/>
            <w:vAlign w:val="center"/>
            <w:hideMark/>
          </w:tcPr>
          <w:p w14:paraId="0C3F849F" w14:textId="77777777" w:rsidR="0015270F" w:rsidRPr="0095562E" w:rsidRDefault="0015270F" w:rsidP="00162359">
            <w:pPr>
              <w:spacing w:before="0" w:after="0"/>
              <w:rPr>
                <w:rStyle w:val="BookTitle"/>
                <w:sz w:val="18"/>
                <w:szCs w:val="18"/>
              </w:rPr>
            </w:pPr>
            <w:r w:rsidRPr="0095562E">
              <w:rPr>
                <w:rStyle w:val="BookTitle"/>
                <w:sz w:val="18"/>
                <w:szCs w:val="18"/>
              </w:rPr>
              <w:t>Dist.</w:t>
            </w:r>
          </w:p>
        </w:tc>
        <w:tc>
          <w:tcPr>
            <w:tcW w:w="324" w:type="pct"/>
            <w:tcBorders>
              <w:top w:val="single" w:sz="4" w:space="0" w:color="auto"/>
              <w:left w:val="nil"/>
              <w:bottom w:val="single" w:sz="4" w:space="0" w:color="auto"/>
              <w:right w:val="nil"/>
            </w:tcBorders>
            <w:shd w:val="clear" w:color="auto" w:fill="auto"/>
            <w:noWrap/>
            <w:vAlign w:val="center"/>
            <w:hideMark/>
          </w:tcPr>
          <w:p w14:paraId="0C3F84A0" w14:textId="77777777" w:rsidR="0015270F" w:rsidRPr="0095562E" w:rsidRDefault="0015270F" w:rsidP="00162359">
            <w:pPr>
              <w:spacing w:before="0" w:after="0"/>
              <w:rPr>
                <w:rStyle w:val="BookTitle"/>
                <w:sz w:val="18"/>
                <w:szCs w:val="18"/>
              </w:rPr>
            </w:pPr>
            <w:r w:rsidRPr="0095562E">
              <w:rPr>
                <w:rStyle w:val="BookTitle"/>
                <w:sz w:val="18"/>
                <w:szCs w:val="18"/>
              </w:rPr>
              <w:t>TSS</w:t>
            </w:r>
          </w:p>
        </w:tc>
        <w:tc>
          <w:tcPr>
            <w:tcW w:w="324" w:type="pct"/>
            <w:tcBorders>
              <w:top w:val="single" w:sz="4" w:space="0" w:color="auto"/>
              <w:left w:val="nil"/>
              <w:bottom w:val="single" w:sz="4" w:space="0" w:color="auto"/>
              <w:right w:val="nil"/>
            </w:tcBorders>
            <w:shd w:val="clear" w:color="auto" w:fill="auto"/>
            <w:noWrap/>
            <w:vAlign w:val="center"/>
            <w:hideMark/>
          </w:tcPr>
          <w:p w14:paraId="0C3F84A1" w14:textId="77777777" w:rsidR="0015270F" w:rsidRPr="0095562E" w:rsidRDefault="0015270F" w:rsidP="00162359">
            <w:pPr>
              <w:spacing w:before="0" w:after="0"/>
              <w:rPr>
                <w:rStyle w:val="BookTitle"/>
                <w:sz w:val="18"/>
                <w:szCs w:val="18"/>
              </w:rPr>
            </w:pPr>
            <w:r w:rsidRPr="0095562E">
              <w:rPr>
                <w:rStyle w:val="BookTitle"/>
                <w:sz w:val="18"/>
                <w:szCs w:val="18"/>
              </w:rPr>
              <w:t>chl-a</w:t>
            </w:r>
          </w:p>
        </w:tc>
        <w:tc>
          <w:tcPr>
            <w:tcW w:w="324" w:type="pct"/>
            <w:tcBorders>
              <w:top w:val="single" w:sz="4" w:space="0" w:color="auto"/>
              <w:left w:val="nil"/>
              <w:bottom w:val="single" w:sz="4" w:space="0" w:color="auto"/>
              <w:right w:val="nil"/>
            </w:tcBorders>
            <w:shd w:val="clear" w:color="auto" w:fill="auto"/>
            <w:noWrap/>
            <w:vAlign w:val="center"/>
            <w:hideMark/>
          </w:tcPr>
          <w:p w14:paraId="0C3F84A2" w14:textId="77777777" w:rsidR="0015270F" w:rsidRPr="0095562E" w:rsidRDefault="0015270F" w:rsidP="00162359">
            <w:pPr>
              <w:spacing w:before="0" w:after="0"/>
              <w:rPr>
                <w:rStyle w:val="BookTitle"/>
                <w:sz w:val="18"/>
                <w:szCs w:val="18"/>
              </w:rPr>
            </w:pPr>
            <w:r w:rsidRPr="0095562E">
              <w:rPr>
                <w:rStyle w:val="BookTitle"/>
                <w:sz w:val="18"/>
                <w:szCs w:val="18"/>
              </w:rPr>
              <w:t>TN</w:t>
            </w:r>
          </w:p>
        </w:tc>
        <w:tc>
          <w:tcPr>
            <w:tcW w:w="324" w:type="pct"/>
            <w:tcBorders>
              <w:top w:val="single" w:sz="4" w:space="0" w:color="auto"/>
              <w:left w:val="nil"/>
              <w:bottom w:val="single" w:sz="4" w:space="0" w:color="auto"/>
              <w:right w:val="nil"/>
            </w:tcBorders>
            <w:shd w:val="clear" w:color="auto" w:fill="auto"/>
            <w:noWrap/>
            <w:vAlign w:val="center"/>
            <w:hideMark/>
          </w:tcPr>
          <w:p w14:paraId="0C3F84A3" w14:textId="77777777" w:rsidR="0015270F" w:rsidRPr="0095562E" w:rsidRDefault="0015270F" w:rsidP="00162359">
            <w:pPr>
              <w:spacing w:before="0" w:after="0"/>
              <w:rPr>
                <w:rStyle w:val="BookTitle"/>
                <w:sz w:val="18"/>
                <w:szCs w:val="18"/>
              </w:rPr>
            </w:pPr>
            <w:r w:rsidRPr="0095562E">
              <w:rPr>
                <w:rStyle w:val="BookTitle"/>
                <w:sz w:val="18"/>
                <w:szCs w:val="18"/>
              </w:rPr>
              <w:t>TDN</w:t>
            </w:r>
          </w:p>
        </w:tc>
        <w:tc>
          <w:tcPr>
            <w:tcW w:w="324" w:type="pct"/>
            <w:tcBorders>
              <w:top w:val="single" w:sz="4" w:space="0" w:color="auto"/>
              <w:left w:val="nil"/>
              <w:bottom w:val="single" w:sz="4" w:space="0" w:color="auto"/>
              <w:right w:val="nil"/>
            </w:tcBorders>
            <w:shd w:val="clear" w:color="auto" w:fill="auto"/>
            <w:noWrap/>
            <w:vAlign w:val="center"/>
            <w:hideMark/>
          </w:tcPr>
          <w:p w14:paraId="0C3F84A4" w14:textId="77777777" w:rsidR="0015270F" w:rsidRPr="0095562E" w:rsidRDefault="0015270F" w:rsidP="00162359">
            <w:pPr>
              <w:spacing w:before="0" w:after="0"/>
              <w:rPr>
                <w:rStyle w:val="BookTitle"/>
                <w:sz w:val="18"/>
                <w:szCs w:val="18"/>
              </w:rPr>
            </w:pPr>
            <w:r w:rsidRPr="0095562E">
              <w:rPr>
                <w:rStyle w:val="BookTitle"/>
                <w:sz w:val="18"/>
                <w:szCs w:val="18"/>
              </w:rPr>
              <w:t>DIN</w:t>
            </w:r>
          </w:p>
        </w:tc>
        <w:tc>
          <w:tcPr>
            <w:tcW w:w="324" w:type="pct"/>
            <w:tcBorders>
              <w:top w:val="single" w:sz="4" w:space="0" w:color="auto"/>
              <w:left w:val="nil"/>
              <w:bottom w:val="single" w:sz="4" w:space="0" w:color="auto"/>
              <w:right w:val="nil"/>
            </w:tcBorders>
            <w:shd w:val="clear" w:color="auto" w:fill="auto"/>
            <w:noWrap/>
            <w:vAlign w:val="center"/>
            <w:hideMark/>
          </w:tcPr>
          <w:p w14:paraId="0C3F84A5" w14:textId="77777777" w:rsidR="0015270F" w:rsidRPr="0095562E" w:rsidRDefault="0015270F" w:rsidP="00162359">
            <w:pPr>
              <w:spacing w:before="0" w:after="0"/>
              <w:rPr>
                <w:rStyle w:val="BookTitle"/>
                <w:sz w:val="18"/>
                <w:szCs w:val="18"/>
              </w:rPr>
            </w:pPr>
            <w:r w:rsidRPr="0095562E">
              <w:rPr>
                <w:rStyle w:val="BookTitle"/>
                <w:sz w:val="18"/>
                <w:szCs w:val="18"/>
              </w:rPr>
              <w:t>TP</w:t>
            </w:r>
          </w:p>
        </w:tc>
        <w:tc>
          <w:tcPr>
            <w:tcW w:w="324" w:type="pct"/>
            <w:tcBorders>
              <w:top w:val="single" w:sz="4" w:space="0" w:color="auto"/>
              <w:left w:val="nil"/>
              <w:bottom w:val="single" w:sz="4" w:space="0" w:color="auto"/>
              <w:right w:val="nil"/>
            </w:tcBorders>
            <w:shd w:val="clear" w:color="auto" w:fill="auto"/>
            <w:noWrap/>
            <w:vAlign w:val="center"/>
            <w:hideMark/>
          </w:tcPr>
          <w:p w14:paraId="0C3F84A6" w14:textId="77777777" w:rsidR="0015270F" w:rsidRPr="0095562E" w:rsidRDefault="0015270F" w:rsidP="00162359">
            <w:pPr>
              <w:spacing w:before="0" w:after="0"/>
              <w:rPr>
                <w:rStyle w:val="BookTitle"/>
                <w:sz w:val="18"/>
                <w:szCs w:val="18"/>
              </w:rPr>
            </w:pPr>
            <w:r w:rsidRPr="0095562E">
              <w:rPr>
                <w:rStyle w:val="BookTitle"/>
                <w:sz w:val="18"/>
                <w:szCs w:val="18"/>
              </w:rPr>
              <w:t>TDP</w:t>
            </w:r>
          </w:p>
        </w:tc>
        <w:tc>
          <w:tcPr>
            <w:tcW w:w="324" w:type="pct"/>
            <w:tcBorders>
              <w:top w:val="single" w:sz="4" w:space="0" w:color="auto"/>
              <w:left w:val="nil"/>
              <w:bottom w:val="single" w:sz="4" w:space="0" w:color="auto"/>
              <w:right w:val="nil"/>
            </w:tcBorders>
            <w:shd w:val="clear" w:color="auto" w:fill="auto"/>
            <w:noWrap/>
            <w:vAlign w:val="center"/>
            <w:hideMark/>
          </w:tcPr>
          <w:p w14:paraId="0C3F84A7" w14:textId="77777777" w:rsidR="0015270F" w:rsidRPr="0095562E" w:rsidRDefault="0015270F" w:rsidP="00162359">
            <w:pPr>
              <w:spacing w:before="0" w:after="0"/>
              <w:rPr>
                <w:rStyle w:val="BookTitle"/>
                <w:sz w:val="18"/>
                <w:szCs w:val="18"/>
              </w:rPr>
            </w:pPr>
            <w:r w:rsidRPr="0095562E">
              <w:rPr>
                <w:rStyle w:val="BookTitle"/>
                <w:sz w:val="18"/>
                <w:szCs w:val="18"/>
              </w:rPr>
              <w:t>DIP</w:t>
            </w:r>
          </w:p>
        </w:tc>
        <w:tc>
          <w:tcPr>
            <w:tcW w:w="324" w:type="pct"/>
            <w:tcBorders>
              <w:top w:val="single" w:sz="4" w:space="0" w:color="auto"/>
              <w:left w:val="nil"/>
              <w:bottom w:val="single" w:sz="4" w:space="0" w:color="auto"/>
              <w:right w:val="nil"/>
            </w:tcBorders>
            <w:shd w:val="clear" w:color="auto" w:fill="auto"/>
            <w:noWrap/>
            <w:vAlign w:val="center"/>
            <w:hideMark/>
          </w:tcPr>
          <w:p w14:paraId="0C3F84A8" w14:textId="77777777" w:rsidR="0015270F" w:rsidRPr="0095562E" w:rsidRDefault="0015270F" w:rsidP="00162359">
            <w:pPr>
              <w:spacing w:before="0" w:after="0"/>
              <w:rPr>
                <w:rStyle w:val="BookTitle"/>
                <w:sz w:val="18"/>
                <w:szCs w:val="18"/>
              </w:rPr>
            </w:pPr>
            <w:r w:rsidRPr="0095562E">
              <w:rPr>
                <w:rStyle w:val="BookTitle"/>
                <w:sz w:val="18"/>
                <w:szCs w:val="18"/>
              </w:rPr>
              <w:t>PN</w:t>
            </w:r>
          </w:p>
        </w:tc>
        <w:tc>
          <w:tcPr>
            <w:tcW w:w="324" w:type="pct"/>
            <w:tcBorders>
              <w:top w:val="single" w:sz="4" w:space="0" w:color="auto"/>
              <w:left w:val="nil"/>
              <w:bottom w:val="single" w:sz="4" w:space="0" w:color="auto"/>
              <w:right w:val="nil"/>
            </w:tcBorders>
            <w:shd w:val="clear" w:color="auto" w:fill="auto"/>
            <w:noWrap/>
            <w:vAlign w:val="center"/>
            <w:hideMark/>
          </w:tcPr>
          <w:p w14:paraId="0C3F84A9" w14:textId="77777777" w:rsidR="0015270F" w:rsidRPr="0095562E" w:rsidRDefault="0015270F" w:rsidP="00162359">
            <w:pPr>
              <w:spacing w:before="0" w:after="0"/>
              <w:rPr>
                <w:rStyle w:val="BookTitle"/>
                <w:sz w:val="18"/>
                <w:szCs w:val="18"/>
              </w:rPr>
            </w:pPr>
            <w:r w:rsidRPr="0095562E">
              <w:rPr>
                <w:rStyle w:val="BookTitle"/>
                <w:sz w:val="18"/>
                <w:szCs w:val="18"/>
              </w:rPr>
              <w:t>PP</w:t>
            </w:r>
          </w:p>
        </w:tc>
        <w:tc>
          <w:tcPr>
            <w:tcW w:w="324" w:type="pct"/>
            <w:tcBorders>
              <w:top w:val="single" w:sz="4" w:space="0" w:color="auto"/>
              <w:left w:val="nil"/>
              <w:bottom w:val="single" w:sz="4" w:space="0" w:color="auto"/>
              <w:right w:val="nil"/>
            </w:tcBorders>
            <w:shd w:val="clear" w:color="auto" w:fill="auto"/>
            <w:noWrap/>
            <w:vAlign w:val="center"/>
            <w:hideMark/>
          </w:tcPr>
          <w:p w14:paraId="0C3F84AA" w14:textId="77777777" w:rsidR="0015270F" w:rsidRPr="0095562E" w:rsidRDefault="0015270F" w:rsidP="00162359">
            <w:pPr>
              <w:spacing w:before="0" w:after="0"/>
              <w:rPr>
                <w:rStyle w:val="BookTitle"/>
                <w:sz w:val="18"/>
                <w:szCs w:val="18"/>
              </w:rPr>
            </w:pPr>
            <w:r w:rsidRPr="0095562E">
              <w:rPr>
                <w:rStyle w:val="BookTitle"/>
                <w:sz w:val="18"/>
                <w:szCs w:val="18"/>
              </w:rPr>
              <w:t>Si</w:t>
            </w:r>
          </w:p>
        </w:tc>
      </w:tr>
      <w:tr w:rsidR="0015270F" w:rsidRPr="0095562E" w14:paraId="0C3F84BB" w14:textId="77777777" w:rsidTr="00162359">
        <w:trPr>
          <w:trHeight w:val="20"/>
        </w:trPr>
        <w:tc>
          <w:tcPr>
            <w:tcW w:w="360" w:type="pct"/>
            <w:tcBorders>
              <w:top w:val="nil"/>
              <w:left w:val="nil"/>
              <w:bottom w:val="nil"/>
              <w:right w:val="nil"/>
            </w:tcBorders>
            <w:shd w:val="clear" w:color="auto" w:fill="auto"/>
            <w:noWrap/>
            <w:vAlign w:val="center"/>
            <w:hideMark/>
          </w:tcPr>
          <w:p w14:paraId="0C3F84AC" w14:textId="77777777" w:rsidR="0015270F" w:rsidRPr="0095562E" w:rsidRDefault="0015270F" w:rsidP="00162359">
            <w:pPr>
              <w:spacing w:before="0" w:after="0"/>
              <w:rPr>
                <w:rStyle w:val="BookTitle"/>
                <w:sz w:val="18"/>
                <w:szCs w:val="18"/>
              </w:rPr>
            </w:pPr>
            <w:r w:rsidRPr="0095562E">
              <w:rPr>
                <w:rStyle w:val="BookTitle"/>
                <w:sz w:val="18"/>
                <w:szCs w:val="18"/>
              </w:rPr>
              <w:t>Sal.</w:t>
            </w:r>
          </w:p>
        </w:tc>
        <w:tc>
          <w:tcPr>
            <w:tcW w:w="324" w:type="pct"/>
            <w:tcBorders>
              <w:top w:val="nil"/>
              <w:left w:val="nil"/>
              <w:bottom w:val="nil"/>
              <w:right w:val="nil"/>
            </w:tcBorders>
            <w:shd w:val="clear" w:color="auto" w:fill="auto"/>
            <w:noWrap/>
            <w:vAlign w:val="bottom"/>
            <w:hideMark/>
          </w:tcPr>
          <w:p w14:paraId="0C3F84AD"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429" w:type="pct"/>
            <w:tcBorders>
              <w:top w:val="nil"/>
              <w:left w:val="nil"/>
              <w:bottom w:val="nil"/>
              <w:right w:val="nil"/>
            </w:tcBorders>
            <w:shd w:val="clear" w:color="auto" w:fill="auto"/>
            <w:noWrap/>
            <w:vAlign w:val="bottom"/>
            <w:hideMark/>
          </w:tcPr>
          <w:p w14:paraId="0C3F84AE" w14:textId="77777777" w:rsidR="0015270F" w:rsidRPr="0095562E" w:rsidRDefault="0015270F" w:rsidP="00162359">
            <w:pPr>
              <w:spacing w:before="0" w:after="0"/>
              <w:rPr>
                <w:rStyle w:val="BookTitle"/>
                <w:sz w:val="18"/>
                <w:szCs w:val="18"/>
              </w:rPr>
            </w:pPr>
            <w:r w:rsidRPr="0095562E">
              <w:rPr>
                <w:rStyle w:val="BookTitle"/>
                <w:sz w:val="18"/>
                <w:szCs w:val="18"/>
              </w:rPr>
              <w:t>-0.56</w:t>
            </w:r>
          </w:p>
        </w:tc>
        <w:tc>
          <w:tcPr>
            <w:tcW w:w="324" w:type="pct"/>
            <w:tcBorders>
              <w:top w:val="nil"/>
              <w:left w:val="nil"/>
              <w:bottom w:val="nil"/>
              <w:right w:val="nil"/>
            </w:tcBorders>
            <w:shd w:val="clear" w:color="auto" w:fill="auto"/>
            <w:noWrap/>
            <w:vAlign w:val="bottom"/>
            <w:hideMark/>
          </w:tcPr>
          <w:p w14:paraId="0C3F84AF"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324" w:type="pct"/>
            <w:tcBorders>
              <w:top w:val="nil"/>
              <w:left w:val="nil"/>
              <w:bottom w:val="nil"/>
              <w:right w:val="nil"/>
            </w:tcBorders>
            <w:shd w:val="clear" w:color="000000" w:fill="FFFF00"/>
            <w:noWrap/>
            <w:vAlign w:val="bottom"/>
            <w:hideMark/>
          </w:tcPr>
          <w:p w14:paraId="0C3F84B0"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324" w:type="pct"/>
            <w:tcBorders>
              <w:top w:val="nil"/>
              <w:left w:val="nil"/>
              <w:bottom w:val="nil"/>
              <w:right w:val="nil"/>
            </w:tcBorders>
            <w:shd w:val="clear" w:color="auto" w:fill="auto"/>
            <w:noWrap/>
            <w:vAlign w:val="bottom"/>
            <w:hideMark/>
          </w:tcPr>
          <w:p w14:paraId="0C3F84B1" w14:textId="77777777" w:rsidR="0015270F" w:rsidRPr="0095562E" w:rsidRDefault="0015270F" w:rsidP="00162359">
            <w:pPr>
              <w:spacing w:before="0" w:after="0"/>
              <w:rPr>
                <w:rStyle w:val="BookTitle"/>
                <w:sz w:val="18"/>
                <w:szCs w:val="18"/>
              </w:rPr>
            </w:pPr>
            <w:r w:rsidRPr="0095562E">
              <w:rPr>
                <w:rStyle w:val="BookTitle"/>
                <w:sz w:val="18"/>
                <w:szCs w:val="18"/>
              </w:rPr>
              <w:t>-0.44</w:t>
            </w:r>
          </w:p>
        </w:tc>
        <w:tc>
          <w:tcPr>
            <w:tcW w:w="324" w:type="pct"/>
            <w:tcBorders>
              <w:top w:val="nil"/>
              <w:left w:val="nil"/>
              <w:bottom w:val="nil"/>
              <w:right w:val="nil"/>
            </w:tcBorders>
            <w:shd w:val="clear" w:color="000000" w:fill="FFFF00"/>
            <w:noWrap/>
            <w:vAlign w:val="bottom"/>
            <w:hideMark/>
          </w:tcPr>
          <w:p w14:paraId="0C3F84B2"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324" w:type="pct"/>
            <w:tcBorders>
              <w:top w:val="nil"/>
              <w:left w:val="nil"/>
              <w:bottom w:val="nil"/>
              <w:right w:val="nil"/>
            </w:tcBorders>
            <w:shd w:val="clear" w:color="000000" w:fill="FFFF00"/>
            <w:noWrap/>
            <w:vAlign w:val="bottom"/>
            <w:hideMark/>
          </w:tcPr>
          <w:p w14:paraId="0C3F84B3" w14:textId="77777777" w:rsidR="0015270F" w:rsidRPr="0095562E" w:rsidRDefault="0015270F" w:rsidP="00162359">
            <w:pPr>
              <w:spacing w:before="0" w:after="0"/>
              <w:rPr>
                <w:rStyle w:val="BookTitle"/>
                <w:sz w:val="18"/>
                <w:szCs w:val="18"/>
              </w:rPr>
            </w:pPr>
            <w:r w:rsidRPr="0095562E">
              <w:rPr>
                <w:rStyle w:val="BookTitle"/>
                <w:sz w:val="18"/>
                <w:szCs w:val="18"/>
              </w:rPr>
              <w:t>-0.73</w:t>
            </w:r>
          </w:p>
        </w:tc>
        <w:tc>
          <w:tcPr>
            <w:tcW w:w="324" w:type="pct"/>
            <w:tcBorders>
              <w:top w:val="nil"/>
              <w:left w:val="nil"/>
              <w:bottom w:val="nil"/>
              <w:right w:val="nil"/>
            </w:tcBorders>
            <w:shd w:val="clear" w:color="auto" w:fill="auto"/>
            <w:noWrap/>
            <w:vAlign w:val="bottom"/>
            <w:hideMark/>
          </w:tcPr>
          <w:p w14:paraId="0C3F84B4"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000000" w:fill="FFFF00"/>
            <w:noWrap/>
            <w:vAlign w:val="bottom"/>
            <w:hideMark/>
          </w:tcPr>
          <w:p w14:paraId="0C3F84B5"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nil"/>
              <w:right w:val="nil"/>
            </w:tcBorders>
            <w:shd w:val="clear" w:color="000000" w:fill="FFFF00"/>
            <w:noWrap/>
            <w:vAlign w:val="bottom"/>
            <w:hideMark/>
          </w:tcPr>
          <w:p w14:paraId="0C3F84B6" w14:textId="77777777" w:rsidR="0015270F" w:rsidRPr="0095562E" w:rsidRDefault="0015270F" w:rsidP="00162359">
            <w:pPr>
              <w:spacing w:before="0" w:after="0"/>
              <w:rPr>
                <w:rStyle w:val="BookTitle"/>
                <w:sz w:val="18"/>
                <w:szCs w:val="18"/>
              </w:rPr>
            </w:pPr>
            <w:r w:rsidRPr="0095562E">
              <w:rPr>
                <w:rStyle w:val="BookTitle"/>
                <w:sz w:val="18"/>
                <w:szCs w:val="18"/>
              </w:rPr>
              <w:t>-0.66</w:t>
            </w:r>
          </w:p>
        </w:tc>
        <w:tc>
          <w:tcPr>
            <w:tcW w:w="324" w:type="pct"/>
            <w:tcBorders>
              <w:top w:val="nil"/>
              <w:left w:val="nil"/>
              <w:bottom w:val="nil"/>
              <w:right w:val="nil"/>
            </w:tcBorders>
            <w:shd w:val="clear" w:color="auto" w:fill="auto"/>
            <w:noWrap/>
            <w:vAlign w:val="bottom"/>
            <w:hideMark/>
          </w:tcPr>
          <w:p w14:paraId="0C3F84B7"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4B8" w14:textId="77777777" w:rsidR="0015270F" w:rsidRPr="0095562E" w:rsidRDefault="0015270F" w:rsidP="00162359">
            <w:pPr>
              <w:spacing w:before="0" w:after="0"/>
              <w:rPr>
                <w:rStyle w:val="BookTitle"/>
                <w:sz w:val="18"/>
                <w:szCs w:val="18"/>
              </w:rPr>
            </w:pPr>
            <w:r w:rsidRPr="0095562E">
              <w:rPr>
                <w:rStyle w:val="BookTitle"/>
                <w:sz w:val="18"/>
                <w:szCs w:val="18"/>
              </w:rPr>
              <w:t>0.22</w:t>
            </w:r>
          </w:p>
        </w:tc>
        <w:tc>
          <w:tcPr>
            <w:tcW w:w="324" w:type="pct"/>
            <w:tcBorders>
              <w:top w:val="nil"/>
              <w:left w:val="nil"/>
              <w:bottom w:val="nil"/>
              <w:right w:val="nil"/>
            </w:tcBorders>
            <w:shd w:val="clear" w:color="auto" w:fill="auto"/>
            <w:noWrap/>
            <w:vAlign w:val="bottom"/>
            <w:hideMark/>
          </w:tcPr>
          <w:p w14:paraId="0C3F84B9" w14:textId="77777777" w:rsidR="0015270F" w:rsidRPr="0095562E" w:rsidRDefault="0015270F" w:rsidP="00162359">
            <w:pPr>
              <w:spacing w:before="0" w:after="0"/>
              <w:rPr>
                <w:rStyle w:val="BookTitle"/>
                <w:sz w:val="18"/>
                <w:szCs w:val="18"/>
              </w:rPr>
            </w:pPr>
            <w:r w:rsidRPr="0095562E">
              <w:rPr>
                <w:rStyle w:val="BookTitle"/>
                <w:sz w:val="18"/>
                <w:szCs w:val="18"/>
              </w:rPr>
              <w:t>-0.49</w:t>
            </w:r>
          </w:p>
        </w:tc>
        <w:tc>
          <w:tcPr>
            <w:tcW w:w="324" w:type="pct"/>
            <w:tcBorders>
              <w:top w:val="nil"/>
              <w:left w:val="nil"/>
              <w:bottom w:val="nil"/>
              <w:right w:val="nil"/>
            </w:tcBorders>
            <w:shd w:val="clear" w:color="auto" w:fill="auto"/>
            <w:noWrap/>
            <w:vAlign w:val="bottom"/>
            <w:hideMark/>
          </w:tcPr>
          <w:p w14:paraId="0C3F84BA" w14:textId="77777777" w:rsidR="0015270F" w:rsidRPr="0095562E" w:rsidRDefault="0015270F" w:rsidP="00162359">
            <w:pPr>
              <w:spacing w:before="0" w:after="0"/>
              <w:rPr>
                <w:rStyle w:val="BookTitle"/>
                <w:sz w:val="18"/>
                <w:szCs w:val="18"/>
              </w:rPr>
            </w:pPr>
            <w:r w:rsidRPr="0095562E">
              <w:rPr>
                <w:rStyle w:val="BookTitle"/>
                <w:sz w:val="18"/>
                <w:szCs w:val="18"/>
              </w:rPr>
              <w:t>-0.34</w:t>
            </w:r>
          </w:p>
        </w:tc>
      </w:tr>
      <w:tr w:rsidR="0015270F" w:rsidRPr="0095562E" w14:paraId="0C3F84CB" w14:textId="77777777" w:rsidTr="00162359">
        <w:trPr>
          <w:trHeight w:val="20"/>
        </w:trPr>
        <w:tc>
          <w:tcPr>
            <w:tcW w:w="360" w:type="pct"/>
            <w:tcBorders>
              <w:top w:val="nil"/>
              <w:left w:val="nil"/>
              <w:bottom w:val="nil"/>
              <w:right w:val="nil"/>
            </w:tcBorders>
            <w:shd w:val="clear" w:color="auto" w:fill="auto"/>
            <w:noWrap/>
            <w:vAlign w:val="center"/>
            <w:hideMark/>
          </w:tcPr>
          <w:p w14:paraId="0C3F84BC" w14:textId="77777777" w:rsidR="0015270F" w:rsidRPr="0095562E" w:rsidRDefault="0015270F" w:rsidP="00162359">
            <w:pPr>
              <w:spacing w:before="0" w:after="0"/>
              <w:rPr>
                <w:rStyle w:val="BookTitle"/>
                <w:sz w:val="18"/>
                <w:szCs w:val="18"/>
              </w:rPr>
            </w:pPr>
            <w:r w:rsidRPr="0095562E">
              <w:rPr>
                <w:rStyle w:val="BookTitle"/>
                <w:sz w:val="18"/>
                <w:szCs w:val="18"/>
              </w:rPr>
              <w:t>Disch.</w:t>
            </w:r>
          </w:p>
        </w:tc>
        <w:tc>
          <w:tcPr>
            <w:tcW w:w="324" w:type="pct"/>
            <w:tcBorders>
              <w:top w:val="nil"/>
              <w:left w:val="nil"/>
              <w:bottom w:val="nil"/>
              <w:right w:val="nil"/>
            </w:tcBorders>
            <w:shd w:val="clear" w:color="auto" w:fill="auto"/>
            <w:noWrap/>
            <w:vAlign w:val="bottom"/>
            <w:hideMark/>
          </w:tcPr>
          <w:p w14:paraId="0C3F84BD" w14:textId="77777777" w:rsidR="0015270F" w:rsidRPr="0095562E" w:rsidRDefault="0015270F" w:rsidP="00162359">
            <w:pPr>
              <w:spacing w:before="0" w:after="0"/>
              <w:rPr>
                <w:rStyle w:val="BookTitle"/>
                <w:sz w:val="18"/>
                <w:szCs w:val="18"/>
              </w:rPr>
            </w:pPr>
            <w:r w:rsidRPr="0095562E">
              <w:rPr>
                <w:rStyle w:val="BookTitle"/>
                <w:sz w:val="18"/>
                <w:szCs w:val="18"/>
              </w:rPr>
              <w:t>-0.56</w:t>
            </w:r>
          </w:p>
        </w:tc>
        <w:tc>
          <w:tcPr>
            <w:tcW w:w="429" w:type="pct"/>
            <w:tcBorders>
              <w:top w:val="nil"/>
              <w:left w:val="nil"/>
              <w:bottom w:val="nil"/>
              <w:right w:val="nil"/>
            </w:tcBorders>
            <w:shd w:val="clear" w:color="auto" w:fill="auto"/>
            <w:noWrap/>
            <w:vAlign w:val="bottom"/>
            <w:hideMark/>
          </w:tcPr>
          <w:p w14:paraId="0C3F84BE"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BF"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4C0" w14:textId="77777777" w:rsidR="0015270F" w:rsidRPr="0095562E" w:rsidRDefault="0015270F" w:rsidP="00162359">
            <w:pPr>
              <w:spacing w:before="0" w:after="0"/>
              <w:rPr>
                <w:rStyle w:val="BookTitle"/>
                <w:sz w:val="18"/>
                <w:szCs w:val="18"/>
              </w:rPr>
            </w:pPr>
            <w:r w:rsidRPr="0095562E">
              <w:rPr>
                <w:rStyle w:val="BookTitle"/>
                <w:sz w:val="18"/>
                <w:szCs w:val="18"/>
              </w:rPr>
              <w:t>0.47</w:t>
            </w:r>
          </w:p>
        </w:tc>
        <w:tc>
          <w:tcPr>
            <w:tcW w:w="324" w:type="pct"/>
            <w:tcBorders>
              <w:top w:val="nil"/>
              <w:left w:val="nil"/>
              <w:bottom w:val="nil"/>
              <w:right w:val="nil"/>
            </w:tcBorders>
            <w:shd w:val="clear" w:color="auto" w:fill="auto"/>
            <w:noWrap/>
            <w:vAlign w:val="bottom"/>
            <w:hideMark/>
          </w:tcPr>
          <w:p w14:paraId="0C3F84C1"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4C2"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4C3"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4C4"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000000" w:fill="FFFF00"/>
            <w:noWrap/>
            <w:vAlign w:val="bottom"/>
            <w:hideMark/>
          </w:tcPr>
          <w:p w14:paraId="0C3F84C5" w14:textId="77777777" w:rsidR="0015270F" w:rsidRPr="0095562E" w:rsidRDefault="0015270F" w:rsidP="00162359">
            <w:pPr>
              <w:spacing w:before="0" w:after="0"/>
              <w:rPr>
                <w:rStyle w:val="BookTitle"/>
                <w:sz w:val="18"/>
                <w:szCs w:val="18"/>
              </w:rPr>
            </w:pPr>
            <w:r w:rsidRPr="0095562E">
              <w:rPr>
                <w:rStyle w:val="BookTitle"/>
                <w:sz w:val="18"/>
                <w:szCs w:val="18"/>
              </w:rPr>
              <w:t>0.69</w:t>
            </w:r>
          </w:p>
        </w:tc>
        <w:tc>
          <w:tcPr>
            <w:tcW w:w="324" w:type="pct"/>
            <w:tcBorders>
              <w:top w:val="nil"/>
              <w:left w:val="nil"/>
              <w:bottom w:val="nil"/>
              <w:right w:val="nil"/>
            </w:tcBorders>
            <w:shd w:val="clear" w:color="auto" w:fill="auto"/>
            <w:noWrap/>
            <w:vAlign w:val="bottom"/>
            <w:hideMark/>
          </w:tcPr>
          <w:p w14:paraId="0C3F84C6" w14:textId="77777777" w:rsidR="0015270F" w:rsidRPr="0095562E" w:rsidRDefault="0015270F" w:rsidP="00162359">
            <w:pPr>
              <w:spacing w:before="0" w:after="0"/>
              <w:rPr>
                <w:rStyle w:val="BookTitle"/>
                <w:sz w:val="18"/>
                <w:szCs w:val="18"/>
              </w:rPr>
            </w:pPr>
            <w:r w:rsidRPr="0095562E">
              <w:rPr>
                <w:rStyle w:val="BookTitle"/>
                <w:sz w:val="18"/>
                <w:szCs w:val="18"/>
              </w:rPr>
              <w:t>0.48</w:t>
            </w:r>
          </w:p>
        </w:tc>
        <w:tc>
          <w:tcPr>
            <w:tcW w:w="324" w:type="pct"/>
            <w:tcBorders>
              <w:top w:val="nil"/>
              <w:left w:val="nil"/>
              <w:bottom w:val="nil"/>
              <w:right w:val="nil"/>
            </w:tcBorders>
            <w:shd w:val="clear" w:color="auto" w:fill="auto"/>
            <w:noWrap/>
            <w:vAlign w:val="bottom"/>
            <w:hideMark/>
          </w:tcPr>
          <w:p w14:paraId="0C3F84C7"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4C8"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4C9" w14:textId="77777777" w:rsidR="0015270F" w:rsidRPr="0095562E" w:rsidRDefault="0015270F" w:rsidP="00162359">
            <w:pPr>
              <w:spacing w:before="0" w:after="0"/>
              <w:rPr>
                <w:rStyle w:val="BookTitle"/>
                <w:sz w:val="18"/>
                <w:szCs w:val="18"/>
              </w:rPr>
            </w:pPr>
            <w:r w:rsidRPr="0095562E">
              <w:rPr>
                <w:rStyle w:val="BookTitle"/>
                <w:sz w:val="18"/>
                <w:szCs w:val="18"/>
              </w:rPr>
              <w:t>0.53</w:t>
            </w:r>
          </w:p>
        </w:tc>
        <w:tc>
          <w:tcPr>
            <w:tcW w:w="324" w:type="pct"/>
            <w:tcBorders>
              <w:top w:val="nil"/>
              <w:left w:val="nil"/>
              <w:bottom w:val="nil"/>
              <w:right w:val="nil"/>
            </w:tcBorders>
            <w:shd w:val="clear" w:color="auto" w:fill="auto"/>
            <w:noWrap/>
            <w:vAlign w:val="bottom"/>
            <w:hideMark/>
          </w:tcPr>
          <w:p w14:paraId="0C3F84CA" w14:textId="77777777" w:rsidR="0015270F" w:rsidRPr="0095562E" w:rsidRDefault="0015270F" w:rsidP="00162359">
            <w:pPr>
              <w:spacing w:before="0" w:after="0"/>
              <w:rPr>
                <w:rStyle w:val="BookTitle"/>
                <w:sz w:val="18"/>
                <w:szCs w:val="18"/>
              </w:rPr>
            </w:pPr>
            <w:r w:rsidRPr="0095562E">
              <w:rPr>
                <w:rStyle w:val="BookTitle"/>
                <w:sz w:val="18"/>
                <w:szCs w:val="18"/>
              </w:rPr>
              <w:t>-0.09</w:t>
            </w:r>
          </w:p>
        </w:tc>
      </w:tr>
      <w:tr w:rsidR="0015270F" w:rsidRPr="0095562E" w14:paraId="0C3F84DB" w14:textId="77777777" w:rsidTr="00162359">
        <w:trPr>
          <w:trHeight w:val="20"/>
        </w:trPr>
        <w:tc>
          <w:tcPr>
            <w:tcW w:w="360" w:type="pct"/>
            <w:tcBorders>
              <w:top w:val="nil"/>
              <w:left w:val="nil"/>
              <w:bottom w:val="nil"/>
              <w:right w:val="nil"/>
            </w:tcBorders>
            <w:shd w:val="clear" w:color="auto" w:fill="auto"/>
            <w:noWrap/>
            <w:vAlign w:val="center"/>
            <w:hideMark/>
          </w:tcPr>
          <w:p w14:paraId="0C3F84CC" w14:textId="77777777" w:rsidR="0015270F" w:rsidRPr="0095562E" w:rsidRDefault="0015270F" w:rsidP="00162359">
            <w:pPr>
              <w:spacing w:before="0" w:after="0"/>
              <w:rPr>
                <w:rStyle w:val="BookTitle"/>
                <w:sz w:val="18"/>
                <w:szCs w:val="18"/>
              </w:rPr>
            </w:pPr>
            <w:r w:rsidRPr="0095562E">
              <w:rPr>
                <w:rStyle w:val="BookTitle"/>
                <w:sz w:val="18"/>
                <w:szCs w:val="18"/>
              </w:rPr>
              <w:t>Dist.</w:t>
            </w:r>
          </w:p>
        </w:tc>
        <w:tc>
          <w:tcPr>
            <w:tcW w:w="324" w:type="pct"/>
            <w:tcBorders>
              <w:top w:val="nil"/>
              <w:left w:val="nil"/>
              <w:bottom w:val="nil"/>
              <w:right w:val="nil"/>
            </w:tcBorders>
            <w:shd w:val="clear" w:color="auto" w:fill="auto"/>
            <w:noWrap/>
            <w:vAlign w:val="bottom"/>
            <w:hideMark/>
          </w:tcPr>
          <w:p w14:paraId="0C3F84CD" w14:textId="77777777" w:rsidR="0015270F" w:rsidRPr="0095562E" w:rsidRDefault="0015270F" w:rsidP="00162359">
            <w:pPr>
              <w:spacing w:before="0" w:after="0"/>
              <w:rPr>
                <w:rStyle w:val="BookTitle"/>
                <w:sz w:val="18"/>
                <w:szCs w:val="18"/>
              </w:rPr>
            </w:pPr>
            <w:r w:rsidRPr="0095562E">
              <w:rPr>
                <w:rStyle w:val="BookTitle"/>
                <w:sz w:val="18"/>
                <w:szCs w:val="18"/>
              </w:rPr>
              <w:t>-0.01</w:t>
            </w:r>
          </w:p>
        </w:tc>
        <w:tc>
          <w:tcPr>
            <w:tcW w:w="429" w:type="pct"/>
            <w:tcBorders>
              <w:top w:val="nil"/>
              <w:left w:val="nil"/>
              <w:bottom w:val="nil"/>
              <w:right w:val="nil"/>
            </w:tcBorders>
            <w:shd w:val="clear" w:color="auto" w:fill="auto"/>
            <w:noWrap/>
            <w:vAlign w:val="bottom"/>
            <w:hideMark/>
          </w:tcPr>
          <w:p w14:paraId="0C3F84CE"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4CF"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D0"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4D1"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4D2"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4D3"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4D4" w14:textId="77777777" w:rsidR="0015270F" w:rsidRPr="0095562E" w:rsidRDefault="0015270F" w:rsidP="00162359">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bottom"/>
            <w:hideMark/>
          </w:tcPr>
          <w:p w14:paraId="0C3F84D5"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bottom"/>
            <w:hideMark/>
          </w:tcPr>
          <w:p w14:paraId="0C3F84D6" w14:textId="77777777" w:rsidR="0015270F" w:rsidRPr="0095562E" w:rsidRDefault="0015270F" w:rsidP="00162359">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auto" w:fill="auto"/>
            <w:noWrap/>
            <w:vAlign w:val="bottom"/>
            <w:hideMark/>
          </w:tcPr>
          <w:p w14:paraId="0C3F84D7"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4D8" w14:textId="77777777" w:rsidR="0015270F" w:rsidRPr="0095562E" w:rsidRDefault="0015270F" w:rsidP="00162359">
            <w:pPr>
              <w:spacing w:before="0" w:after="0"/>
              <w:rPr>
                <w:rStyle w:val="BookTitle"/>
                <w:sz w:val="18"/>
                <w:szCs w:val="18"/>
              </w:rPr>
            </w:pPr>
            <w:r w:rsidRPr="0095562E">
              <w:rPr>
                <w:rStyle w:val="BookTitle"/>
                <w:sz w:val="18"/>
                <w:szCs w:val="18"/>
              </w:rPr>
              <w:t>-0.32</w:t>
            </w:r>
          </w:p>
        </w:tc>
        <w:tc>
          <w:tcPr>
            <w:tcW w:w="324" w:type="pct"/>
            <w:tcBorders>
              <w:top w:val="nil"/>
              <w:left w:val="nil"/>
              <w:bottom w:val="nil"/>
              <w:right w:val="nil"/>
            </w:tcBorders>
            <w:shd w:val="clear" w:color="auto" w:fill="auto"/>
            <w:noWrap/>
            <w:vAlign w:val="bottom"/>
            <w:hideMark/>
          </w:tcPr>
          <w:p w14:paraId="0C3F84D9"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4DA" w14:textId="77777777" w:rsidR="0015270F" w:rsidRPr="0095562E" w:rsidRDefault="0015270F" w:rsidP="00162359">
            <w:pPr>
              <w:spacing w:before="0" w:after="0"/>
              <w:rPr>
                <w:rStyle w:val="BookTitle"/>
                <w:sz w:val="18"/>
                <w:szCs w:val="18"/>
              </w:rPr>
            </w:pPr>
            <w:r w:rsidRPr="0095562E">
              <w:rPr>
                <w:rStyle w:val="BookTitle"/>
                <w:sz w:val="18"/>
                <w:szCs w:val="18"/>
              </w:rPr>
              <w:t>-0.21</w:t>
            </w:r>
          </w:p>
        </w:tc>
      </w:tr>
      <w:tr w:rsidR="0015270F" w:rsidRPr="0095562E" w14:paraId="0C3F84EB" w14:textId="77777777" w:rsidTr="00162359">
        <w:trPr>
          <w:trHeight w:val="20"/>
        </w:trPr>
        <w:tc>
          <w:tcPr>
            <w:tcW w:w="360" w:type="pct"/>
            <w:tcBorders>
              <w:top w:val="nil"/>
              <w:left w:val="nil"/>
              <w:bottom w:val="nil"/>
              <w:right w:val="nil"/>
            </w:tcBorders>
            <w:shd w:val="clear" w:color="auto" w:fill="auto"/>
            <w:noWrap/>
            <w:vAlign w:val="center"/>
            <w:hideMark/>
          </w:tcPr>
          <w:p w14:paraId="0C3F84DC" w14:textId="77777777" w:rsidR="0015270F" w:rsidRPr="0095562E" w:rsidRDefault="0015270F" w:rsidP="00162359">
            <w:pPr>
              <w:spacing w:before="0" w:after="0"/>
              <w:rPr>
                <w:rStyle w:val="BookTitle"/>
                <w:sz w:val="18"/>
                <w:szCs w:val="18"/>
              </w:rPr>
            </w:pPr>
            <w:r w:rsidRPr="0095562E">
              <w:rPr>
                <w:rStyle w:val="BookTitle"/>
                <w:sz w:val="18"/>
                <w:szCs w:val="18"/>
              </w:rPr>
              <w:t>TSS</w:t>
            </w:r>
          </w:p>
        </w:tc>
        <w:tc>
          <w:tcPr>
            <w:tcW w:w="324" w:type="pct"/>
            <w:tcBorders>
              <w:top w:val="nil"/>
              <w:left w:val="nil"/>
              <w:bottom w:val="nil"/>
              <w:right w:val="nil"/>
            </w:tcBorders>
            <w:shd w:val="clear" w:color="000000" w:fill="FFFF00"/>
            <w:noWrap/>
            <w:vAlign w:val="bottom"/>
            <w:hideMark/>
          </w:tcPr>
          <w:p w14:paraId="0C3F84DD"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429" w:type="pct"/>
            <w:tcBorders>
              <w:top w:val="nil"/>
              <w:left w:val="nil"/>
              <w:bottom w:val="nil"/>
              <w:right w:val="nil"/>
            </w:tcBorders>
            <w:shd w:val="clear" w:color="auto" w:fill="auto"/>
            <w:noWrap/>
            <w:vAlign w:val="bottom"/>
            <w:hideMark/>
          </w:tcPr>
          <w:p w14:paraId="0C3F84DE" w14:textId="77777777" w:rsidR="0015270F" w:rsidRPr="0095562E" w:rsidRDefault="0015270F" w:rsidP="00162359">
            <w:pPr>
              <w:spacing w:before="0" w:after="0"/>
              <w:rPr>
                <w:rStyle w:val="BookTitle"/>
                <w:sz w:val="18"/>
                <w:szCs w:val="18"/>
              </w:rPr>
            </w:pPr>
            <w:r w:rsidRPr="0095562E">
              <w:rPr>
                <w:rStyle w:val="BookTitle"/>
                <w:sz w:val="18"/>
                <w:szCs w:val="18"/>
              </w:rPr>
              <w:t>0.47</w:t>
            </w:r>
          </w:p>
        </w:tc>
        <w:tc>
          <w:tcPr>
            <w:tcW w:w="324" w:type="pct"/>
            <w:tcBorders>
              <w:top w:val="nil"/>
              <w:left w:val="nil"/>
              <w:bottom w:val="nil"/>
              <w:right w:val="nil"/>
            </w:tcBorders>
            <w:shd w:val="clear" w:color="auto" w:fill="auto"/>
            <w:noWrap/>
            <w:vAlign w:val="bottom"/>
            <w:hideMark/>
          </w:tcPr>
          <w:p w14:paraId="0C3F84DF" w14:textId="77777777" w:rsidR="0015270F" w:rsidRPr="0095562E" w:rsidRDefault="0015270F" w:rsidP="00162359">
            <w:pPr>
              <w:spacing w:before="0" w:after="0"/>
              <w:rPr>
                <w:rStyle w:val="BookTitle"/>
                <w:sz w:val="18"/>
                <w:szCs w:val="18"/>
              </w:rPr>
            </w:pPr>
            <w:r w:rsidRPr="0095562E">
              <w:rPr>
                <w:rStyle w:val="BookTitle"/>
                <w:sz w:val="18"/>
                <w:szCs w:val="18"/>
              </w:rPr>
              <w:t>0.04</w:t>
            </w:r>
          </w:p>
        </w:tc>
        <w:tc>
          <w:tcPr>
            <w:tcW w:w="324" w:type="pct"/>
            <w:tcBorders>
              <w:top w:val="nil"/>
              <w:left w:val="nil"/>
              <w:bottom w:val="nil"/>
              <w:right w:val="nil"/>
            </w:tcBorders>
            <w:shd w:val="clear" w:color="auto" w:fill="auto"/>
            <w:noWrap/>
            <w:vAlign w:val="bottom"/>
            <w:hideMark/>
          </w:tcPr>
          <w:p w14:paraId="0C3F84E0"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4E1" w14:textId="77777777" w:rsidR="0015270F" w:rsidRPr="0095562E" w:rsidRDefault="0015270F" w:rsidP="00162359">
            <w:pPr>
              <w:spacing w:before="0" w:after="0"/>
              <w:rPr>
                <w:rStyle w:val="BookTitle"/>
                <w:sz w:val="18"/>
                <w:szCs w:val="18"/>
              </w:rPr>
            </w:pPr>
            <w:r w:rsidRPr="0095562E">
              <w:rPr>
                <w:rStyle w:val="BookTitle"/>
                <w:sz w:val="18"/>
                <w:szCs w:val="18"/>
              </w:rPr>
              <w:t>0.75</w:t>
            </w:r>
          </w:p>
        </w:tc>
        <w:tc>
          <w:tcPr>
            <w:tcW w:w="324" w:type="pct"/>
            <w:tcBorders>
              <w:top w:val="nil"/>
              <w:left w:val="nil"/>
              <w:bottom w:val="nil"/>
              <w:right w:val="nil"/>
            </w:tcBorders>
            <w:shd w:val="clear" w:color="000000" w:fill="FFFF00"/>
            <w:noWrap/>
            <w:vAlign w:val="bottom"/>
            <w:hideMark/>
          </w:tcPr>
          <w:p w14:paraId="0C3F84E2"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nil"/>
              <w:right w:val="nil"/>
            </w:tcBorders>
            <w:shd w:val="clear" w:color="auto" w:fill="auto"/>
            <w:noWrap/>
            <w:vAlign w:val="bottom"/>
            <w:hideMark/>
          </w:tcPr>
          <w:p w14:paraId="0C3F84E3" w14:textId="77777777" w:rsidR="0015270F" w:rsidRPr="0095562E" w:rsidRDefault="0015270F" w:rsidP="00162359">
            <w:pPr>
              <w:spacing w:before="0" w:after="0"/>
              <w:rPr>
                <w:rStyle w:val="BookTitle"/>
                <w:sz w:val="18"/>
                <w:szCs w:val="18"/>
              </w:rPr>
            </w:pPr>
            <w:r w:rsidRPr="0095562E">
              <w:rPr>
                <w:rStyle w:val="BookTitle"/>
                <w:sz w:val="18"/>
                <w:szCs w:val="18"/>
              </w:rPr>
              <w:t>0.60</w:t>
            </w:r>
          </w:p>
        </w:tc>
        <w:tc>
          <w:tcPr>
            <w:tcW w:w="324" w:type="pct"/>
            <w:tcBorders>
              <w:top w:val="nil"/>
              <w:left w:val="nil"/>
              <w:bottom w:val="nil"/>
              <w:right w:val="nil"/>
            </w:tcBorders>
            <w:shd w:val="clear" w:color="auto" w:fill="auto"/>
            <w:noWrap/>
            <w:vAlign w:val="bottom"/>
            <w:hideMark/>
          </w:tcPr>
          <w:p w14:paraId="0C3F84E4" w14:textId="77777777" w:rsidR="0015270F" w:rsidRPr="0095562E" w:rsidRDefault="0015270F" w:rsidP="00162359">
            <w:pPr>
              <w:spacing w:before="0" w:after="0"/>
              <w:rPr>
                <w:rStyle w:val="BookTitle"/>
                <w:sz w:val="18"/>
                <w:szCs w:val="18"/>
              </w:rPr>
            </w:pPr>
            <w:r w:rsidRPr="0095562E">
              <w:rPr>
                <w:rStyle w:val="BookTitle"/>
                <w:sz w:val="18"/>
                <w:szCs w:val="18"/>
              </w:rPr>
              <w:t>0.10</w:t>
            </w:r>
          </w:p>
        </w:tc>
        <w:tc>
          <w:tcPr>
            <w:tcW w:w="324" w:type="pct"/>
            <w:tcBorders>
              <w:top w:val="nil"/>
              <w:left w:val="nil"/>
              <w:bottom w:val="nil"/>
              <w:right w:val="nil"/>
            </w:tcBorders>
            <w:shd w:val="clear" w:color="000000" w:fill="FFFF00"/>
            <w:noWrap/>
            <w:vAlign w:val="bottom"/>
            <w:hideMark/>
          </w:tcPr>
          <w:p w14:paraId="0C3F84E5"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324" w:type="pct"/>
            <w:tcBorders>
              <w:top w:val="nil"/>
              <w:left w:val="nil"/>
              <w:bottom w:val="nil"/>
              <w:right w:val="nil"/>
            </w:tcBorders>
            <w:shd w:val="clear" w:color="000000" w:fill="FFFF00"/>
            <w:noWrap/>
            <w:vAlign w:val="bottom"/>
            <w:hideMark/>
          </w:tcPr>
          <w:p w14:paraId="0C3F84E6"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auto" w:fill="auto"/>
            <w:noWrap/>
            <w:vAlign w:val="bottom"/>
            <w:hideMark/>
          </w:tcPr>
          <w:p w14:paraId="0C3F84E7" w14:textId="77777777" w:rsidR="0015270F" w:rsidRPr="0095562E" w:rsidRDefault="0015270F" w:rsidP="00162359">
            <w:pPr>
              <w:spacing w:before="0" w:after="0"/>
              <w:rPr>
                <w:rStyle w:val="BookTitle"/>
                <w:sz w:val="18"/>
                <w:szCs w:val="18"/>
              </w:rPr>
            </w:pPr>
            <w:r w:rsidRPr="0095562E">
              <w:rPr>
                <w:rStyle w:val="BookTitle"/>
                <w:sz w:val="18"/>
                <w:szCs w:val="18"/>
              </w:rPr>
              <w:t>-0.09</w:t>
            </w:r>
          </w:p>
        </w:tc>
        <w:tc>
          <w:tcPr>
            <w:tcW w:w="324" w:type="pct"/>
            <w:tcBorders>
              <w:top w:val="nil"/>
              <w:left w:val="nil"/>
              <w:bottom w:val="nil"/>
              <w:right w:val="nil"/>
            </w:tcBorders>
            <w:shd w:val="clear" w:color="auto" w:fill="auto"/>
            <w:noWrap/>
            <w:vAlign w:val="bottom"/>
            <w:hideMark/>
          </w:tcPr>
          <w:p w14:paraId="0C3F84E8"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4E9" w14:textId="77777777" w:rsidR="0015270F" w:rsidRPr="0095562E" w:rsidRDefault="0015270F" w:rsidP="00162359">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bottom"/>
            <w:hideMark/>
          </w:tcPr>
          <w:p w14:paraId="0C3F84EA" w14:textId="77777777" w:rsidR="0015270F" w:rsidRPr="0095562E" w:rsidRDefault="0015270F" w:rsidP="00162359">
            <w:pPr>
              <w:spacing w:before="0" w:after="0"/>
              <w:rPr>
                <w:rStyle w:val="BookTitle"/>
                <w:sz w:val="18"/>
                <w:szCs w:val="18"/>
              </w:rPr>
            </w:pPr>
            <w:r w:rsidRPr="0095562E">
              <w:rPr>
                <w:rStyle w:val="BookTitle"/>
                <w:sz w:val="18"/>
                <w:szCs w:val="18"/>
              </w:rPr>
              <w:t>0.59</w:t>
            </w:r>
          </w:p>
        </w:tc>
      </w:tr>
      <w:tr w:rsidR="0015270F" w:rsidRPr="0095562E" w14:paraId="0C3F84FB" w14:textId="77777777" w:rsidTr="00162359">
        <w:trPr>
          <w:trHeight w:val="20"/>
        </w:trPr>
        <w:tc>
          <w:tcPr>
            <w:tcW w:w="360" w:type="pct"/>
            <w:tcBorders>
              <w:top w:val="nil"/>
              <w:left w:val="nil"/>
              <w:bottom w:val="nil"/>
              <w:right w:val="nil"/>
            </w:tcBorders>
            <w:shd w:val="clear" w:color="auto" w:fill="auto"/>
            <w:noWrap/>
            <w:vAlign w:val="center"/>
            <w:hideMark/>
          </w:tcPr>
          <w:p w14:paraId="0C3F84EC" w14:textId="77777777" w:rsidR="0015270F" w:rsidRPr="0095562E" w:rsidRDefault="0015270F" w:rsidP="00162359">
            <w:pPr>
              <w:spacing w:before="0" w:after="0"/>
              <w:rPr>
                <w:rStyle w:val="BookTitle"/>
                <w:sz w:val="18"/>
                <w:szCs w:val="18"/>
              </w:rPr>
            </w:pPr>
            <w:r w:rsidRPr="0095562E">
              <w:rPr>
                <w:rStyle w:val="BookTitle"/>
                <w:sz w:val="18"/>
                <w:szCs w:val="18"/>
              </w:rPr>
              <w:t>chl-a</w:t>
            </w:r>
          </w:p>
        </w:tc>
        <w:tc>
          <w:tcPr>
            <w:tcW w:w="324" w:type="pct"/>
            <w:tcBorders>
              <w:top w:val="nil"/>
              <w:left w:val="nil"/>
              <w:bottom w:val="nil"/>
              <w:right w:val="nil"/>
            </w:tcBorders>
            <w:shd w:val="clear" w:color="auto" w:fill="auto"/>
            <w:noWrap/>
            <w:vAlign w:val="bottom"/>
            <w:hideMark/>
          </w:tcPr>
          <w:p w14:paraId="0C3F84ED" w14:textId="77777777" w:rsidR="0015270F" w:rsidRPr="0095562E" w:rsidRDefault="0015270F" w:rsidP="00162359">
            <w:pPr>
              <w:spacing w:before="0" w:after="0"/>
              <w:rPr>
                <w:rStyle w:val="BookTitle"/>
                <w:sz w:val="18"/>
                <w:szCs w:val="18"/>
              </w:rPr>
            </w:pPr>
            <w:r w:rsidRPr="0095562E">
              <w:rPr>
                <w:rStyle w:val="BookTitle"/>
                <w:sz w:val="18"/>
                <w:szCs w:val="18"/>
              </w:rPr>
              <w:t>-0.44</w:t>
            </w:r>
          </w:p>
        </w:tc>
        <w:tc>
          <w:tcPr>
            <w:tcW w:w="429" w:type="pct"/>
            <w:tcBorders>
              <w:top w:val="nil"/>
              <w:left w:val="nil"/>
              <w:bottom w:val="nil"/>
              <w:right w:val="nil"/>
            </w:tcBorders>
            <w:shd w:val="clear" w:color="auto" w:fill="auto"/>
            <w:noWrap/>
            <w:vAlign w:val="bottom"/>
            <w:hideMark/>
          </w:tcPr>
          <w:p w14:paraId="0C3F84EE"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4EF"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000000" w:fill="FFFF00"/>
            <w:noWrap/>
            <w:vAlign w:val="bottom"/>
            <w:hideMark/>
          </w:tcPr>
          <w:p w14:paraId="0C3F84F0" w14:textId="77777777" w:rsidR="0015270F" w:rsidRPr="0095562E" w:rsidRDefault="0015270F" w:rsidP="00162359">
            <w:pPr>
              <w:spacing w:before="0" w:after="0"/>
              <w:rPr>
                <w:rStyle w:val="BookTitle"/>
                <w:sz w:val="18"/>
                <w:szCs w:val="18"/>
              </w:rPr>
            </w:pPr>
            <w:r w:rsidRPr="0095562E">
              <w:rPr>
                <w:rStyle w:val="BookTitle"/>
                <w:sz w:val="18"/>
                <w:szCs w:val="18"/>
              </w:rPr>
              <w:t>0.75</w:t>
            </w:r>
          </w:p>
        </w:tc>
        <w:tc>
          <w:tcPr>
            <w:tcW w:w="324" w:type="pct"/>
            <w:tcBorders>
              <w:top w:val="nil"/>
              <w:left w:val="nil"/>
              <w:bottom w:val="nil"/>
              <w:right w:val="nil"/>
            </w:tcBorders>
            <w:shd w:val="clear" w:color="auto" w:fill="auto"/>
            <w:noWrap/>
            <w:vAlign w:val="bottom"/>
            <w:hideMark/>
          </w:tcPr>
          <w:p w14:paraId="0C3F84F1"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4F2" w14:textId="77777777" w:rsidR="0015270F" w:rsidRPr="0095562E" w:rsidRDefault="0015270F" w:rsidP="00162359">
            <w:pPr>
              <w:spacing w:before="0" w:after="0"/>
              <w:rPr>
                <w:rStyle w:val="BookTitle"/>
                <w:sz w:val="18"/>
                <w:szCs w:val="18"/>
              </w:rPr>
            </w:pPr>
            <w:r w:rsidRPr="0095562E">
              <w:rPr>
                <w:rStyle w:val="BookTitle"/>
                <w:sz w:val="18"/>
                <w:szCs w:val="18"/>
              </w:rPr>
              <w:t>0.54</w:t>
            </w:r>
          </w:p>
        </w:tc>
        <w:tc>
          <w:tcPr>
            <w:tcW w:w="324" w:type="pct"/>
            <w:tcBorders>
              <w:top w:val="nil"/>
              <w:left w:val="nil"/>
              <w:bottom w:val="nil"/>
              <w:right w:val="nil"/>
            </w:tcBorders>
            <w:shd w:val="clear" w:color="auto" w:fill="auto"/>
            <w:noWrap/>
            <w:vAlign w:val="bottom"/>
            <w:hideMark/>
          </w:tcPr>
          <w:p w14:paraId="0C3F84F3"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auto" w:fill="auto"/>
            <w:noWrap/>
            <w:vAlign w:val="bottom"/>
            <w:hideMark/>
          </w:tcPr>
          <w:p w14:paraId="0C3F84F4"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bottom"/>
            <w:hideMark/>
          </w:tcPr>
          <w:p w14:paraId="0C3F84F5"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4F6"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4F7"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4F8" w14:textId="77777777" w:rsidR="0015270F" w:rsidRPr="0095562E" w:rsidRDefault="0015270F" w:rsidP="00162359">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bottom"/>
            <w:hideMark/>
          </w:tcPr>
          <w:p w14:paraId="0C3F84F9" w14:textId="77777777" w:rsidR="0015270F" w:rsidRPr="0095562E" w:rsidRDefault="0015270F" w:rsidP="00162359">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000000" w:fill="FFFF00"/>
            <w:noWrap/>
            <w:vAlign w:val="bottom"/>
            <w:hideMark/>
          </w:tcPr>
          <w:p w14:paraId="0C3F84FA" w14:textId="77777777" w:rsidR="0015270F" w:rsidRPr="0095562E" w:rsidRDefault="0015270F" w:rsidP="00162359">
            <w:pPr>
              <w:spacing w:before="0" w:after="0"/>
              <w:rPr>
                <w:rStyle w:val="BookTitle"/>
                <w:sz w:val="18"/>
                <w:szCs w:val="18"/>
              </w:rPr>
            </w:pPr>
            <w:r w:rsidRPr="0095562E">
              <w:rPr>
                <w:rStyle w:val="BookTitle"/>
                <w:sz w:val="18"/>
                <w:szCs w:val="18"/>
              </w:rPr>
              <w:t>0.71</w:t>
            </w:r>
          </w:p>
        </w:tc>
      </w:tr>
      <w:tr w:rsidR="0015270F" w:rsidRPr="0095562E" w14:paraId="0C3F850B" w14:textId="77777777" w:rsidTr="00162359">
        <w:trPr>
          <w:trHeight w:val="20"/>
        </w:trPr>
        <w:tc>
          <w:tcPr>
            <w:tcW w:w="360" w:type="pct"/>
            <w:tcBorders>
              <w:top w:val="nil"/>
              <w:left w:val="nil"/>
              <w:bottom w:val="nil"/>
              <w:right w:val="nil"/>
            </w:tcBorders>
            <w:shd w:val="clear" w:color="auto" w:fill="auto"/>
            <w:noWrap/>
            <w:vAlign w:val="center"/>
            <w:hideMark/>
          </w:tcPr>
          <w:p w14:paraId="0C3F84FC" w14:textId="77777777" w:rsidR="0015270F" w:rsidRPr="0095562E" w:rsidRDefault="0015270F" w:rsidP="00162359">
            <w:pPr>
              <w:spacing w:before="0" w:after="0"/>
              <w:rPr>
                <w:rStyle w:val="BookTitle"/>
                <w:sz w:val="18"/>
                <w:szCs w:val="18"/>
              </w:rPr>
            </w:pPr>
            <w:r w:rsidRPr="0095562E">
              <w:rPr>
                <w:rStyle w:val="BookTitle"/>
                <w:sz w:val="18"/>
                <w:szCs w:val="18"/>
              </w:rPr>
              <w:t>TN</w:t>
            </w:r>
          </w:p>
        </w:tc>
        <w:tc>
          <w:tcPr>
            <w:tcW w:w="324" w:type="pct"/>
            <w:tcBorders>
              <w:top w:val="nil"/>
              <w:left w:val="nil"/>
              <w:bottom w:val="nil"/>
              <w:right w:val="nil"/>
            </w:tcBorders>
            <w:shd w:val="clear" w:color="000000" w:fill="FFFF00"/>
            <w:noWrap/>
            <w:vAlign w:val="bottom"/>
            <w:hideMark/>
          </w:tcPr>
          <w:p w14:paraId="0C3F84FD" w14:textId="77777777" w:rsidR="0015270F" w:rsidRPr="0095562E" w:rsidRDefault="0015270F" w:rsidP="00162359">
            <w:pPr>
              <w:spacing w:before="0" w:after="0"/>
              <w:rPr>
                <w:rStyle w:val="BookTitle"/>
                <w:sz w:val="18"/>
                <w:szCs w:val="18"/>
              </w:rPr>
            </w:pPr>
            <w:r w:rsidRPr="0095562E">
              <w:rPr>
                <w:rStyle w:val="BookTitle"/>
                <w:sz w:val="18"/>
                <w:szCs w:val="18"/>
              </w:rPr>
              <w:t>-0.70</w:t>
            </w:r>
          </w:p>
        </w:tc>
        <w:tc>
          <w:tcPr>
            <w:tcW w:w="429" w:type="pct"/>
            <w:tcBorders>
              <w:top w:val="nil"/>
              <w:left w:val="nil"/>
              <w:bottom w:val="nil"/>
              <w:right w:val="nil"/>
            </w:tcBorders>
            <w:shd w:val="clear" w:color="auto" w:fill="auto"/>
            <w:noWrap/>
            <w:vAlign w:val="bottom"/>
            <w:hideMark/>
          </w:tcPr>
          <w:p w14:paraId="0C3F84FE"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4FF"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000000" w:fill="FFFF00"/>
            <w:noWrap/>
            <w:vAlign w:val="bottom"/>
            <w:hideMark/>
          </w:tcPr>
          <w:p w14:paraId="0C3F8500"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nil"/>
              <w:right w:val="nil"/>
            </w:tcBorders>
            <w:shd w:val="clear" w:color="auto" w:fill="auto"/>
            <w:noWrap/>
            <w:vAlign w:val="bottom"/>
            <w:hideMark/>
          </w:tcPr>
          <w:p w14:paraId="0C3F8501" w14:textId="77777777" w:rsidR="0015270F" w:rsidRPr="0095562E" w:rsidRDefault="0015270F" w:rsidP="00162359">
            <w:pPr>
              <w:spacing w:before="0" w:after="0"/>
              <w:rPr>
                <w:rStyle w:val="BookTitle"/>
                <w:sz w:val="18"/>
                <w:szCs w:val="18"/>
              </w:rPr>
            </w:pPr>
            <w:r w:rsidRPr="0095562E">
              <w:rPr>
                <w:rStyle w:val="BookTitle"/>
                <w:sz w:val="18"/>
                <w:szCs w:val="18"/>
              </w:rPr>
              <w:t>0.54</w:t>
            </w:r>
          </w:p>
        </w:tc>
        <w:tc>
          <w:tcPr>
            <w:tcW w:w="324" w:type="pct"/>
            <w:tcBorders>
              <w:top w:val="nil"/>
              <w:left w:val="nil"/>
              <w:bottom w:val="nil"/>
              <w:right w:val="nil"/>
            </w:tcBorders>
            <w:shd w:val="clear" w:color="auto" w:fill="auto"/>
            <w:noWrap/>
            <w:vAlign w:val="bottom"/>
            <w:hideMark/>
          </w:tcPr>
          <w:p w14:paraId="0C3F8502"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503" w14:textId="77777777" w:rsidR="0015270F" w:rsidRPr="0095562E" w:rsidRDefault="0015270F" w:rsidP="00162359">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bottom"/>
            <w:hideMark/>
          </w:tcPr>
          <w:p w14:paraId="0C3F8504"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505"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506" w14:textId="77777777" w:rsidR="0015270F" w:rsidRPr="0095562E" w:rsidRDefault="0015270F" w:rsidP="00162359">
            <w:pPr>
              <w:spacing w:before="0" w:after="0"/>
              <w:rPr>
                <w:rStyle w:val="BookTitle"/>
                <w:sz w:val="18"/>
                <w:szCs w:val="18"/>
              </w:rPr>
            </w:pPr>
            <w:r w:rsidRPr="0095562E">
              <w:rPr>
                <w:rStyle w:val="BookTitle"/>
                <w:sz w:val="18"/>
                <w:szCs w:val="18"/>
              </w:rPr>
              <w:t>0.58</w:t>
            </w:r>
          </w:p>
        </w:tc>
        <w:tc>
          <w:tcPr>
            <w:tcW w:w="324" w:type="pct"/>
            <w:tcBorders>
              <w:top w:val="nil"/>
              <w:left w:val="nil"/>
              <w:bottom w:val="nil"/>
              <w:right w:val="nil"/>
            </w:tcBorders>
            <w:shd w:val="clear" w:color="auto" w:fill="auto"/>
            <w:noWrap/>
            <w:vAlign w:val="bottom"/>
            <w:hideMark/>
          </w:tcPr>
          <w:p w14:paraId="0C3F8507" w14:textId="77777777" w:rsidR="0015270F" w:rsidRPr="0095562E" w:rsidRDefault="0015270F" w:rsidP="00162359">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bottom"/>
            <w:hideMark/>
          </w:tcPr>
          <w:p w14:paraId="0C3F8508"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509"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000000" w:fill="FFFF00"/>
            <w:noWrap/>
            <w:vAlign w:val="bottom"/>
            <w:hideMark/>
          </w:tcPr>
          <w:p w14:paraId="0C3F850A" w14:textId="77777777" w:rsidR="0015270F" w:rsidRPr="0095562E" w:rsidRDefault="0015270F" w:rsidP="00162359">
            <w:pPr>
              <w:spacing w:before="0" w:after="0"/>
              <w:rPr>
                <w:rStyle w:val="BookTitle"/>
                <w:sz w:val="18"/>
                <w:szCs w:val="18"/>
              </w:rPr>
            </w:pPr>
            <w:r w:rsidRPr="0095562E">
              <w:rPr>
                <w:rStyle w:val="BookTitle"/>
                <w:sz w:val="18"/>
                <w:szCs w:val="18"/>
              </w:rPr>
              <w:t>0.67</w:t>
            </w:r>
          </w:p>
        </w:tc>
      </w:tr>
      <w:tr w:rsidR="0015270F" w:rsidRPr="0095562E" w14:paraId="0C3F851B" w14:textId="77777777" w:rsidTr="00162359">
        <w:trPr>
          <w:trHeight w:val="20"/>
        </w:trPr>
        <w:tc>
          <w:tcPr>
            <w:tcW w:w="360" w:type="pct"/>
            <w:tcBorders>
              <w:top w:val="nil"/>
              <w:left w:val="nil"/>
              <w:bottom w:val="nil"/>
              <w:right w:val="nil"/>
            </w:tcBorders>
            <w:shd w:val="clear" w:color="auto" w:fill="auto"/>
            <w:noWrap/>
            <w:vAlign w:val="center"/>
            <w:hideMark/>
          </w:tcPr>
          <w:p w14:paraId="0C3F850C" w14:textId="77777777" w:rsidR="0015270F" w:rsidRPr="0095562E" w:rsidRDefault="0015270F" w:rsidP="00162359">
            <w:pPr>
              <w:spacing w:before="0" w:after="0"/>
              <w:rPr>
                <w:rStyle w:val="BookTitle"/>
                <w:sz w:val="18"/>
                <w:szCs w:val="18"/>
              </w:rPr>
            </w:pPr>
            <w:r w:rsidRPr="0095562E">
              <w:rPr>
                <w:rStyle w:val="BookTitle"/>
                <w:sz w:val="18"/>
                <w:szCs w:val="18"/>
              </w:rPr>
              <w:t>TDN</w:t>
            </w:r>
          </w:p>
        </w:tc>
        <w:tc>
          <w:tcPr>
            <w:tcW w:w="324" w:type="pct"/>
            <w:tcBorders>
              <w:top w:val="nil"/>
              <w:left w:val="nil"/>
              <w:bottom w:val="nil"/>
              <w:right w:val="nil"/>
            </w:tcBorders>
            <w:shd w:val="clear" w:color="000000" w:fill="FFFF00"/>
            <w:noWrap/>
            <w:vAlign w:val="bottom"/>
            <w:hideMark/>
          </w:tcPr>
          <w:p w14:paraId="0C3F850D" w14:textId="77777777" w:rsidR="0015270F" w:rsidRPr="0095562E" w:rsidRDefault="0015270F" w:rsidP="00162359">
            <w:pPr>
              <w:spacing w:before="0" w:after="0"/>
              <w:rPr>
                <w:rStyle w:val="BookTitle"/>
                <w:sz w:val="18"/>
                <w:szCs w:val="18"/>
              </w:rPr>
            </w:pPr>
            <w:r w:rsidRPr="0095562E">
              <w:rPr>
                <w:rStyle w:val="BookTitle"/>
                <w:sz w:val="18"/>
                <w:szCs w:val="18"/>
              </w:rPr>
              <w:t>-0.73</w:t>
            </w:r>
          </w:p>
        </w:tc>
        <w:tc>
          <w:tcPr>
            <w:tcW w:w="429" w:type="pct"/>
            <w:tcBorders>
              <w:top w:val="nil"/>
              <w:left w:val="nil"/>
              <w:bottom w:val="nil"/>
              <w:right w:val="nil"/>
            </w:tcBorders>
            <w:shd w:val="clear" w:color="auto" w:fill="auto"/>
            <w:noWrap/>
            <w:vAlign w:val="bottom"/>
            <w:hideMark/>
          </w:tcPr>
          <w:p w14:paraId="0C3F850E"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50F"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510" w14:textId="77777777" w:rsidR="0015270F" w:rsidRPr="0095562E" w:rsidRDefault="0015270F" w:rsidP="00162359">
            <w:pPr>
              <w:spacing w:before="0" w:after="0"/>
              <w:rPr>
                <w:rStyle w:val="BookTitle"/>
                <w:sz w:val="18"/>
                <w:szCs w:val="18"/>
              </w:rPr>
            </w:pPr>
            <w:r w:rsidRPr="0095562E">
              <w:rPr>
                <w:rStyle w:val="BookTitle"/>
                <w:sz w:val="18"/>
                <w:szCs w:val="18"/>
              </w:rPr>
              <w:t>0.60</w:t>
            </w:r>
          </w:p>
        </w:tc>
        <w:tc>
          <w:tcPr>
            <w:tcW w:w="324" w:type="pct"/>
            <w:tcBorders>
              <w:top w:val="nil"/>
              <w:left w:val="nil"/>
              <w:bottom w:val="nil"/>
              <w:right w:val="nil"/>
            </w:tcBorders>
            <w:shd w:val="clear" w:color="auto" w:fill="auto"/>
            <w:noWrap/>
            <w:vAlign w:val="bottom"/>
            <w:hideMark/>
          </w:tcPr>
          <w:p w14:paraId="0C3F8511"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nil"/>
              <w:right w:val="nil"/>
            </w:tcBorders>
            <w:shd w:val="clear" w:color="000000" w:fill="FFFF00"/>
            <w:noWrap/>
            <w:vAlign w:val="bottom"/>
            <w:hideMark/>
          </w:tcPr>
          <w:p w14:paraId="0C3F8512" w14:textId="77777777" w:rsidR="0015270F" w:rsidRPr="0095562E" w:rsidRDefault="0015270F" w:rsidP="00162359">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bottom"/>
            <w:hideMark/>
          </w:tcPr>
          <w:p w14:paraId="0C3F8513"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14"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15"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000000" w:fill="FFFF00"/>
            <w:noWrap/>
            <w:vAlign w:val="bottom"/>
            <w:hideMark/>
          </w:tcPr>
          <w:p w14:paraId="0C3F8516" w14:textId="77777777" w:rsidR="0015270F" w:rsidRPr="0095562E" w:rsidRDefault="0015270F" w:rsidP="00162359">
            <w:pPr>
              <w:spacing w:before="0" w:after="0"/>
              <w:rPr>
                <w:rStyle w:val="BookTitle"/>
                <w:sz w:val="18"/>
                <w:szCs w:val="18"/>
              </w:rPr>
            </w:pPr>
            <w:r w:rsidRPr="0095562E">
              <w:rPr>
                <w:rStyle w:val="BookTitle"/>
                <w:sz w:val="18"/>
                <w:szCs w:val="18"/>
              </w:rPr>
              <w:t>0.67</w:t>
            </w:r>
          </w:p>
        </w:tc>
        <w:tc>
          <w:tcPr>
            <w:tcW w:w="324" w:type="pct"/>
            <w:tcBorders>
              <w:top w:val="nil"/>
              <w:left w:val="nil"/>
              <w:bottom w:val="nil"/>
              <w:right w:val="nil"/>
            </w:tcBorders>
            <w:shd w:val="clear" w:color="auto" w:fill="auto"/>
            <w:noWrap/>
            <w:vAlign w:val="bottom"/>
            <w:hideMark/>
          </w:tcPr>
          <w:p w14:paraId="0C3F8517"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518"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519"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51A" w14:textId="77777777" w:rsidR="0015270F" w:rsidRPr="0095562E" w:rsidRDefault="0015270F" w:rsidP="00162359">
            <w:pPr>
              <w:spacing w:before="0" w:after="0"/>
              <w:rPr>
                <w:rStyle w:val="BookTitle"/>
                <w:sz w:val="18"/>
                <w:szCs w:val="18"/>
              </w:rPr>
            </w:pPr>
            <w:r w:rsidRPr="0095562E">
              <w:rPr>
                <w:rStyle w:val="BookTitle"/>
                <w:sz w:val="18"/>
                <w:szCs w:val="18"/>
              </w:rPr>
              <w:t>0.14</w:t>
            </w:r>
          </w:p>
        </w:tc>
      </w:tr>
      <w:tr w:rsidR="0015270F" w:rsidRPr="0095562E" w14:paraId="0C3F852B" w14:textId="77777777" w:rsidTr="00162359">
        <w:trPr>
          <w:trHeight w:val="20"/>
        </w:trPr>
        <w:tc>
          <w:tcPr>
            <w:tcW w:w="360" w:type="pct"/>
            <w:tcBorders>
              <w:top w:val="nil"/>
              <w:left w:val="nil"/>
              <w:bottom w:val="nil"/>
              <w:right w:val="nil"/>
            </w:tcBorders>
            <w:shd w:val="clear" w:color="auto" w:fill="auto"/>
            <w:noWrap/>
            <w:vAlign w:val="center"/>
            <w:hideMark/>
          </w:tcPr>
          <w:p w14:paraId="0C3F851C" w14:textId="77777777" w:rsidR="0015270F" w:rsidRPr="0095562E" w:rsidRDefault="0015270F" w:rsidP="00162359">
            <w:pPr>
              <w:spacing w:before="0" w:after="0"/>
              <w:rPr>
                <w:rStyle w:val="BookTitle"/>
                <w:sz w:val="18"/>
                <w:szCs w:val="18"/>
              </w:rPr>
            </w:pPr>
            <w:r w:rsidRPr="0095562E">
              <w:rPr>
                <w:rStyle w:val="BookTitle"/>
                <w:sz w:val="18"/>
                <w:szCs w:val="18"/>
              </w:rPr>
              <w:t>DIN</w:t>
            </w:r>
          </w:p>
        </w:tc>
        <w:tc>
          <w:tcPr>
            <w:tcW w:w="324" w:type="pct"/>
            <w:tcBorders>
              <w:top w:val="nil"/>
              <w:left w:val="nil"/>
              <w:bottom w:val="nil"/>
              <w:right w:val="nil"/>
            </w:tcBorders>
            <w:shd w:val="clear" w:color="auto" w:fill="auto"/>
            <w:noWrap/>
            <w:vAlign w:val="bottom"/>
            <w:hideMark/>
          </w:tcPr>
          <w:p w14:paraId="0C3F851D"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429" w:type="pct"/>
            <w:tcBorders>
              <w:top w:val="nil"/>
              <w:left w:val="nil"/>
              <w:bottom w:val="nil"/>
              <w:right w:val="nil"/>
            </w:tcBorders>
            <w:shd w:val="clear" w:color="auto" w:fill="auto"/>
            <w:noWrap/>
            <w:vAlign w:val="bottom"/>
            <w:hideMark/>
          </w:tcPr>
          <w:p w14:paraId="0C3F851E"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bottom"/>
            <w:hideMark/>
          </w:tcPr>
          <w:p w14:paraId="0C3F851F" w14:textId="77777777" w:rsidR="0015270F" w:rsidRPr="0095562E" w:rsidRDefault="0015270F" w:rsidP="00162359">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bottom"/>
            <w:hideMark/>
          </w:tcPr>
          <w:p w14:paraId="0C3F8520" w14:textId="77777777" w:rsidR="0015270F" w:rsidRPr="0095562E" w:rsidRDefault="0015270F" w:rsidP="00162359">
            <w:pPr>
              <w:spacing w:before="0" w:after="0"/>
              <w:rPr>
                <w:rStyle w:val="BookTitle"/>
                <w:sz w:val="18"/>
                <w:szCs w:val="18"/>
              </w:rPr>
            </w:pPr>
            <w:r w:rsidRPr="0095562E">
              <w:rPr>
                <w:rStyle w:val="BookTitle"/>
                <w:sz w:val="18"/>
                <w:szCs w:val="18"/>
              </w:rPr>
              <w:t>0.10</w:t>
            </w:r>
          </w:p>
        </w:tc>
        <w:tc>
          <w:tcPr>
            <w:tcW w:w="324" w:type="pct"/>
            <w:tcBorders>
              <w:top w:val="nil"/>
              <w:left w:val="nil"/>
              <w:bottom w:val="nil"/>
              <w:right w:val="nil"/>
            </w:tcBorders>
            <w:shd w:val="clear" w:color="auto" w:fill="auto"/>
            <w:noWrap/>
            <w:vAlign w:val="bottom"/>
            <w:hideMark/>
          </w:tcPr>
          <w:p w14:paraId="0C3F8521" w14:textId="77777777" w:rsidR="0015270F" w:rsidRPr="0095562E" w:rsidRDefault="0015270F" w:rsidP="00162359">
            <w:pPr>
              <w:spacing w:before="0" w:after="0"/>
              <w:rPr>
                <w:rStyle w:val="BookTitle"/>
                <w:sz w:val="18"/>
                <w:szCs w:val="18"/>
              </w:rPr>
            </w:pPr>
            <w:r w:rsidRPr="0095562E">
              <w:rPr>
                <w:rStyle w:val="BookTitle"/>
                <w:sz w:val="18"/>
                <w:szCs w:val="18"/>
              </w:rPr>
              <w:t>0.23</w:t>
            </w:r>
          </w:p>
        </w:tc>
        <w:tc>
          <w:tcPr>
            <w:tcW w:w="324" w:type="pct"/>
            <w:tcBorders>
              <w:top w:val="nil"/>
              <w:left w:val="nil"/>
              <w:bottom w:val="nil"/>
              <w:right w:val="nil"/>
            </w:tcBorders>
            <w:shd w:val="clear" w:color="auto" w:fill="auto"/>
            <w:noWrap/>
            <w:vAlign w:val="bottom"/>
            <w:hideMark/>
          </w:tcPr>
          <w:p w14:paraId="0C3F8522"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523"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24"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25"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26"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000000" w:fill="FFFF00"/>
            <w:noWrap/>
            <w:vAlign w:val="bottom"/>
            <w:hideMark/>
          </w:tcPr>
          <w:p w14:paraId="0C3F8527"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nil"/>
              <w:right w:val="nil"/>
            </w:tcBorders>
            <w:shd w:val="clear" w:color="auto" w:fill="auto"/>
            <w:noWrap/>
            <w:vAlign w:val="bottom"/>
            <w:hideMark/>
          </w:tcPr>
          <w:p w14:paraId="0C3F8528" w14:textId="77777777" w:rsidR="0015270F" w:rsidRPr="0095562E" w:rsidRDefault="0015270F" w:rsidP="00162359">
            <w:pPr>
              <w:spacing w:before="0" w:after="0"/>
              <w:rPr>
                <w:rStyle w:val="BookTitle"/>
                <w:sz w:val="18"/>
                <w:szCs w:val="18"/>
              </w:rPr>
            </w:pPr>
            <w:r w:rsidRPr="0095562E">
              <w:rPr>
                <w:rStyle w:val="BookTitle"/>
                <w:sz w:val="18"/>
                <w:szCs w:val="18"/>
              </w:rPr>
              <w:t>-0.17</w:t>
            </w:r>
          </w:p>
        </w:tc>
        <w:tc>
          <w:tcPr>
            <w:tcW w:w="324" w:type="pct"/>
            <w:tcBorders>
              <w:top w:val="nil"/>
              <w:left w:val="nil"/>
              <w:bottom w:val="nil"/>
              <w:right w:val="nil"/>
            </w:tcBorders>
            <w:shd w:val="clear" w:color="auto" w:fill="auto"/>
            <w:noWrap/>
            <w:vAlign w:val="bottom"/>
            <w:hideMark/>
          </w:tcPr>
          <w:p w14:paraId="0C3F8529"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auto" w:fill="auto"/>
            <w:noWrap/>
            <w:vAlign w:val="bottom"/>
            <w:hideMark/>
          </w:tcPr>
          <w:p w14:paraId="0C3F852A" w14:textId="77777777" w:rsidR="0015270F" w:rsidRPr="0095562E" w:rsidRDefault="0015270F" w:rsidP="00162359">
            <w:pPr>
              <w:spacing w:before="0" w:after="0"/>
              <w:rPr>
                <w:rStyle w:val="BookTitle"/>
                <w:sz w:val="18"/>
                <w:szCs w:val="18"/>
              </w:rPr>
            </w:pPr>
            <w:r w:rsidRPr="0095562E">
              <w:rPr>
                <w:rStyle w:val="BookTitle"/>
                <w:sz w:val="18"/>
                <w:szCs w:val="18"/>
              </w:rPr>
              <w:t>0.20</w:t>
            </w:r>
          </w:p>
        </w:tc>
      </w:tr>
      <w:tr w:rsidR="0015270F" w:rsidRPr="0095562E" w14:paraId="0C3F853B" w14:textId="77777777" w:rsidTr="00162359">
        <w:trPr>
          <w:trHeight w:val="20"/>
        </w:trPr>
        <w:tc>
          <w:tcPr>
            <w:tcW w:w="360" w:type="pct"/>
            <w:tcBorders>
              <w:top w:val="nil"/>
              <w:left w:val="nil"/>
              <w:bottom w:val="nil"/>
              <w:right w:val="nil"/>
            </w:tcBorders>
            <w:shd w:val="clear" w:color="auto" w:fill="auto"/>
            <w:noWrap/>
            <w:vAlign w:val="center"/>
            <w:hideMark/>
          </w:tcPr>
          <w:p w14:paraId="0C3F852C" w14:textId="77777777" w:rsidR="0015270F" w:rsidRPr="0095562E" w:rsidRDefault="0015270F" w:rsidP="00162359">
            <w:pPr>
              <w:spacing w:before="0" w:after="0"/>
              <w:rPr>
                <w:rStyle w:val="BookTitle"/>
                <w:sz w:val="18"/>
                <w:szCs w:val="18"/>
              </w:rPr>
            </w:pPr>
            <w:r w:rsidRPr="0095562E">
              <w:rPr>
                <w:rStyle w:val="BookTitle"/>
                <w:sz w:val="18"/>
                <w:szCs w:val="18"/>
              </w:rPr>
              <w:t>TP</w:t>
            </w:r>
          </w:p>
        </w:tc>
        <w:tc>
          <w:tcPr>
            <w:tcW w:w="324" w:type="pct"/>
            <w:tcBorders>
              <w:top w:val="nil"/>
              <w:left w:val="nil"/>
              <w:bottom w:val="nil"/>
              <w:right w:val="nil"/>
            </w:tcBorders>
            <w:shd w:val="clear" w:color="000000" w:fill="FFFF00"/>
            <w:noWrap/>
            <w:vAlign w:val="bottom"/>
            <w:hideMark/>
          </w:tcPr>
          <w:p w14:paraId="0C3F852D"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429" w:type="pct"/>
            <w:tcBorders>
              <w:top w:val="nil"/>
              <w:left w:val="nil"/>
              <w:bottom w:val="nil"/>
              <w:right w:val="nil"/>
            </w:tcBorders>
            <w:shd w:val="clear" w:color="000000" w:fill="FFFF00"/>
            <w:noWrap/>
            <w:vAlign w:val="bottom"/>
            <w:hideMark/>
          </w:tcPr>
          <w:p w14:paraId="0C3F852E" w14:textId="77777777" w:rsidR="0015270F" w:rsidRPr="0095562E" w:rsidRDefault="0015270F" w:rsidP="00162359">
            <w:pPr>
              <w:spacing w:before="0" w:after="0"/>
              <w:rPr>
                <w:rStyle w:val="BookTitle"/>
                <w:sz w:val="18"/>
                <w:szCs w:val="18"/>
              </w:rPr>
            </w:pPr>
            <w:r w:rsidRPr="0095562E">
              <w:rPr>
                <w:rStyle w:val="BookTitle"/>
                <w:sz w:val="18"/>
                <w:szCs w:val="18"/>
              </w:rPr>
              <w:t>0.69</w:t>
            </w:r>
          </w:p>
        </w:tc>
        <w:tc>
          <w:tcPr>
            <w:tcW w:w="324" w:type="pct"/>
            <w:tcBorders>
              <w:top w:val="nil"/>
              <w:left w:val="nil"/>
              <w:bottom w:val="nil"/>
              <w:right w:val="nil"/>
            </w:tcBorders>
            <w:shd w:val="clear" w:color="auto" w:fill="auto"/>
            <w:noWrap/>
            <w:vAlign w:val="bottom"/>
            <w:hideMark/>
          </w:tcPr>
          <w:p w14:paraId="0C3F852F"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000000" w:fill="FFFF00"/>
            <w:noWrap/>
            <w:vAlign w:val="bottom"/>
            <w:hideMark/>
          </w:tcPr>
          <w:p w14:paraId="0C3F8530" w14:textId="77777777" w:rsidR="0015270F" w:rsidRPr="0095562E" w:rsidRDefault="0015270F" w:rsidP="00162359">
            <w:pPr>
              <w:spacing w:before="0" w:after="0"/>
              <w:rPr>
                <w:rStyle w:val="BookTitle"/>
                <w:sz w:val="18"/>
                <w:szCs w:val="18"/>
              </w:rPr>
            </w:pPr>
            <w:r w:rsidRPr="0095562E">
              <w:rPr>
                <w:rStyle w:val="BookTitle"/>
                <w:sz w:val="18"/>
                <w:szCs w:val="18"/>
              </w:rPr>
              <w:t>0.63</w:t>
            </w:r>
          </w:p>
        </w:tc>
        <w:tc>
          <w:tcPr>
            <w:tcW w:w="324" w:type="pct"/>
            <w:tcBorders>
              <w:top w:val="nil"/>
              <w:left w:val="nil"/>
              <w:bottom w:val="nil"/>
              <w:right w:val="nil"/>
            </w:tcBorders>
            <w:shd w:val="clear" w:color="auto" w:fill="auto"/>
            <w:noWrap/>
            <w:vAlign w:val="bottom"/>
            <w:hideMark/>
          </w:tcPr>
          <w:p w14:paraId="0C3F8531"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32"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nil"/>
              <w:right w:val="nil"/>
            </w:tcBorders>
            <w:shd w:val="clear" w:color="auto" w:fill="auto"/>
            <w:noWrap/>
            <w:vAlign w:val="bottom"/>
            <w:hideMark/>
          </w:tcPr>
          <w:p w14:paraId="0C3F8533"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534"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35"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000000" w:fill="FFFF00"/>
            <w:noWrap/>
            <w:vAlign w:val="bottom"/>
            <w:hideMark/>
          </w:tcPr>
          <w:p w14:paraId="0C3F8536" w14:textId="77777777" w:rsidR="0015270F" w:rsidRPr="0095562E" w:rsidRDefault="0015270F" w:rsidP="00162359">
            <w:pPr>
              <w:spacing w:before="0" w:after="0"/>
              <w:rPr>
                <w:rStyle w:val="BookTitle"/>
                <w:sz w:val="18"/>
                <w:szCs w:val="18"/>
              </w:rPr>
            </w:pPr>
            <w:r w:rsidRPr="0095562E">
              <w:rPr>
                <w:rStyle w:val="BookTitle"/>
                <w:sz w:val="18"/>
                <w:szCs w:val="18"/>
              </w:rPr>
              <w:t>0.84</w:t>
            </w:r>
          </w:p>
        </w:tc>
        <w:tc>
          <w:tcPr>
            <w:tcW w:w="324" w:type="pct"/>
            <w:tcBorders>
              <w:top w:val="nil"/>
              <w:left w:val="nil"/>
              <w:bottom w:val="nil"/>
              <w:right w:val="nil"/>
            </w:tcBorders>
            <w:shd w:val="clear" w:color="auto" w:fill="auto"/>
            <w:noWrap/>
            <w:vAlign w:val="bottom"/>
            <w:hideMark/>
          </w:tcPr>
          <w:p w14:paraId="0C3F8537"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538"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000000" w:fill="FFFF00"/>
            <w:noWrap/>
            <w:vAlign w:val="bottom"/>
            <w:hideMark/>
          </w:tcPr>
          <w:p w14:paraId="0C3F8539" w14:textId="77777777" w:rsidR="0015270F" w:rsidRPr="0095562E" w:rsidRDefault="0015270F" w:rsidP="00162359">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bottom"/>
            <w:hideMark/>
          </w:tcPr>
          <w:p w14:paraId="0C3F853A" w14:textId="77777777" w:rsidR="0015270F" w:rsidRPr="0095562E" w:rsidRDefault="0015270F" w:rsidP="00162359">
            <w:pPr>
              <w:spacing w:before="0" w:after="0"/>
              <w:rPr>
                <w:rStyle w:val="BookTitle"/>
                <w:sz w:val="18"/>
                <w:szCs w:val="18"/>
              </w:rPr>
            </w:pPr>
            <w:r w:rsidRPr="0095562E">
              <w:rPr>
                <w:rStyle w:val="BookTitle"/>
                <w:sz w:val="18"/>
                <w:szCs w:val="18"/>
              </w:rPr>
              <w:t>0.30</w:t>
            </w:r>
          </w:p>
        </w:tc>
      </w:tr>
      <w:tr w:rsidR="0015270F" w:rsidRPr="0095562E" w14:paraId="0C3F854B" w14:textId="77777777" w:rsidTr="00162359">
        <w:trPr>
          <w:trHeight w:val="20"/>
        </w:trPr>
        <w:tc>
          <w:tcPr>
            <w:tcW w:w="360" w:type="pct"/>
            <w:tcBorders>
              <w:top w:val="nil"/>
              <w:left w:val="nil"/>
              <w:bottom w:val="nil"/>
              <w:right w:val="nil"/>
            </w:tcBorders>
            <w:shd w:val="clear" w:color="auto" w:fill="auto"/>
            <w:noWrap/>
            <w:vAlign w:val="center"/>
            <w:hideMark/>
          </w:tcPr>
          <w:p w14:paraId="0C3F853C" w14:textId="77777777" w:rsidR="0015270F" w:rsidRPr="0095562E" w:rsidRDefault="0015270F" w:rsidP="00162359">
            <w:pPr>
              <w:spacing w:before="0" w:after="0"/>
              <w:rPr>
                <w:rStyle w:val="BookTitle"/>
                <w:sz w:val="18"/>
                <w:szCs w:val="18"/>
              </w:rPr>
            </w:pPr>
            <w:r w:rsidRPr="0095562E">
              <w:rPr>
                <w:rStyle w:val="BookTitle"/>
                <w:sz w:val="18"/>
                <w:szCs w:val="18"/>
              </w:rPr>
              <w:t>TDP</w:t>
            </w:r>
          </w:p>
        </w:tc>
        <w:tc>
          <w:tcPr>
            <w:tcW w:w="324" w:type="pct"/>
            <w:tcBorders>
              <w:top w:val="nil"/>
              <w:left w:val="nil"/>
              <w:bottom w:val="nil"/>
              <w:right w:val="nil"/>
            </w:tcBorders>
            <w:shd w:val="clear" w:color="000000" w:fill="FFFF00"/>
            <w:noWrap/>
            <w:vAlign w:val="bottom"/>
            <w:hideMark/>
          </w:tcPr>
          <w:p w14:paraId="0C3F853D" w14:textId="77777777" w:rsidR="0015270F" w:rsidRPr="0095562E" w:rsidRDefault="0015270F" w:rsidP="00162359">
            <w:pPr>
              <w:spacing w:before="0" w:after="0"/>
              <w:rPr>
                <w:rStyle w:val="BookTitle"/>
                <w:sz w:val="18"/>
                <w:szCs w:val="18"/>
              </w:rPr>
            </w:pPr>
            <w:r w:rsidRPr="0095562E">
              <w:rPr>
                <w:rStyle w:val="BookTitle"/>
                <w:sz w:val="18"/>
                <w:szCs w:val="18"/>
              </w:rPr>
              <w:t>-0.66</w:t>
            </w:r>
          </w:p>
        </w:tc>
        <w:tc>
          <w:tcPr>
            <w:tcW w:w="429" w:type="pct"/>
            <w:tcBorders>
              <w:top w:val="nil"/>
              <w:left w:val="nil"/>
              <w:bottom w:val="nil"/>
              <w:right w:val="nil"/>
            </w:tcBorders>
            <w:shd w:val="clear" w:color="auto" w:fill="auto"/>
            <w:noWrap/>
            <w:vAlign w:val="bottom"/>
            <w:hideMark/>
          </w:tcPr>
          <w:p w14:paraId="0C3F853E" w14:textId="77777777" w:rsidR="0015270F" w:rsidRPr="0095562E" w:rsidRDefault="0015270F" w:rsidP="00162359">
            <w:pPr>
              <w:spacing w:before="0" w:after="0"/>
              <w:rPr>
                <w:rStyle w:val="BookTitle"/>
                <w:sz w:val="18"/>
                <w:szCs w:val="18"/>
              </w:rPr>
            </w:pPr>
            <w:r w:rsidRPr="0095562E">
              <w:rPr>
                <w:rStyle w:val="BookTitle"/>
                <w:sz w:val="18"/>
                <w:szCs w:val="18"/>
              </w:rPr>
              <w:t>0.48</w:t>
            </w:r>
          </w:p>
        </w:tc>
        <w:tc>
          <w:tcPr>
            <w:tcW w:w="324" w:type="pct"/>
            <w:tcBorders>
              <w:top w:val="nil"/>
              <w:left w:val="nil"/>
              <w:bottom w:val="nil"/>
              <w:right w:val="nil"/>
            </w:tcBorders>
            <w:shd w:val="clear" w:color="auto" w:fill="auto"/>
            <w:noWrap/>
            <w:vAlign w:val="bottom"/>
            <w:hideMark/>
          </w:tcPr>
          <w:p w14:paraId="0C3F853F" w14:textId="77777777" w:rsidR="0015270F" w:rsidRPr="0095562E" w:rsidRDefault="0015270F" w:rsidP="00162359">
            <w:pPr>
              <w:spacing w:before="0" w:after="0"/>
              <w:rPr>
                <w:rStyle w:val="BookTitle"/>
                <w:sz w:val="18"/>
                <w:szCs w:val="18"/>
              </w:rPr>
            </w:pPr>
            <w:r w:rsidRPr="0095562E">
              <w:rPr>
                <w:rStyle w:val="BookTitle"/>
                <w:sz w:val="18"/>
                <w:szCs w:val="18"/>
              </w:rPr>
              <w:t>0.07</w:t>
            </w:r>
          </w:p>
        </w:tc>
        <w:tc>
          <w:tcPr>
            <w:tcW w:w="324" w:type="pct"/>
            <w:tcBorders>
              <w:top w:val="nil"/>
              <w:left w:val="nil"/>
              <w:bottom w:val="nil"/>
              <w:right w:val="nil"/>
            </w:tcBorders>
            <w:shd w:val="clear" w:color="000000" w:fill="FFFF00"/>
            <w:noWrap/>
            <w:vAlign w:val="bottom"/>
            <w:hideMark/>
          </w:tcPr>
          <w:p w14:paraId="0C3F8540"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nil"/>
              <w:right w:val="nil"/>
            </w:tcBorders>
            <w:shd w:val="clear" w:color="auto" w:fill="auto"/>
            <w:noWrap/>
            <w:vAlign w:val="bottom"/>
            <w:hideMark/>
          </w:tcPr>
          <w:p w14:paraId="0C3F8541"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42" w14:textId="77777777" w:rsidR="0015270F" w:rsidRPr="0095562E" w:rsidRDefault="0015270F" w:rsidP="00162359">
            <w:pPr>
              <w:spacing w:before="0" w:after="0"/>
              <w:rPr>
                <w:rStyle w:val="BookTitle"/>
                <w:sz w:val="18"/>
                <w:szCs w:val="18"/>
              </w:rPr>
            </w:pPr>
            <w:r w:rsidRPr="0095562E">
              <w:rPr>
                <w:rStyle w:val="BookTitle"/>
                <w:sz w:val="18"/>
                <w:szCs w:val="18"/>
              </w:rPr>
              <w:t>0.58</w:t>
            </w:r>
          </w:p>
        </w:tc>
        <w:tc>
          <w:tcPr>
            <w:tcW w:w="324" w:type="pct"/>
            <w:tcBorders>
              <w:top w:val="nil"/>
              <w:left w:val="nil"/>
              <w:bottom w:val="nil"/>
              <w:right w:val="nil"/>
            </w:tcBorders>
            <w:shd w:val="clear" w:color="000000" w:fill="FFFF00"/>
            <w:noWrap/>
            <w:vAlign w:val="bottom"/>
            <w:hideMark/>
          </w:tcPr>
          <w:p w14:paraId="0C3F8543" w14:textId="77777777" w:rsidR="0015270F" w:rsidRPr="0095562E" w:rsidRDefault="0015270F" w:rsidP="00162359">
            <w:pPr>
              <w:spacing w:before="0" w:after="0"/>
              <w:rPr>
                <w:rStyle w:val="BookTitle"/>
                <w:sz w:val="18"/>
                <w:szCs w:val="18"/>
              </w:rPr>
            </w:pPr>
            <w:r w:rsidRPr="0095562E">
              <w:rPr>
                <w:rStyle w:val="BookTitle"/>
                <w:sz w:val="18"/>
                <w:szCs w:val="18"/>
              </w:rPr>
              <w:t>0.67</w:t>
            </w:r>
          </w:p>
        </w:tc>
        <w:tc>
          <w:tcPr>
            <w:tcW w:w="324" w:type="pct"/>
            <w:tcBorders>
              <w:top w:val="nil"/>
              <w:left w:val="nil"/>
              <w:bottom w:val="nil"/>
              <w:right w:val="nil"/>
            </w:tcBorders>
            <w:shd w:val="clear" w:color="auto" w:fill="auto"/>
            <w:noWrap/>
            <w:vAlign w:val="bottom"/>
            <w:hideMark/>
          </w:tcPr>
          <w:p w14:paraId="0C3F8544"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000000" w:fill="FFFF00"/>
            <w:noWrap/>
            <w:vAlign w:val="bottom"/>
            <w:hideMark/>
          </w:tcPr>
          <w:p w14:paraId="0C3F8545" w14:textId="77777777" w:rsidR="0015270F" w:rsidRPr="0095562E" w:rsidRDefault="0015270F" w:rsidP="00162359">
            <w:pPr>
              <w:spacing w:before="0" w:after="0"/>
              <w:rPr>
                <w:rStyle w:val="BookTitle"/>
                <w:sz w:val="18"/>
                <w:szCs w:val="18"/>
              </w:rPr>
            </w:pPr>
            <w:r w:rsidRPr="0095562E">
              <w:rPr>
                <w:rStyle w:val="BookTitle"/>
                <w:sz w:val="18"/>
                <w:szCs w:val="18"/>
              </w:rPr>
              <w:t>0.84</w:t>
            </w:r>
          </w:p>
        </w:tc>
        <w:tc>
          <w:tcPr>
            <w:tcW w:w="324" w:type="pct"/>
            <w:tcBorders>
              <w:top w:val="nil"/>
              <w:left w:val="nil"/>
              <w:bottom w:val="nil"/>
              <w:right w:val="nil"/>
            </w:tcBorders>
            <w:shd w:val="clear" w:color="auto" w:fill="auto"/>
            <w:noWrap/>
            <w:vAlign w:val="bottom"/>
            <w:hideMark/>
          </w:tcPr>
          <w:p w14:paraId="0C3F8546"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47" w14:textId="77777777" w:rsidR="0015270F" w:rsidRPr="0095562E" w:rsidRDefault="0015270F" w:rsidP="00162359">
            <w:pPr>
              <w:spacing w:before="0" w:after="0"/>
              <w:rPr>
                <w:rStyle w:val="BookTitle"/>
                <w:sz w:val="18"/>
                <w:szCs w:val="18"/>
              </w:rPr>
            </w:pPr>
            <w:r w:rsidRPr="0095562E">
              <w:rPr>
                <w:rStyle w:val="BookTitle"/>
                <w:sz w:val="18"/>
                <w:szCs w:val="18"/>
              </w:rPr>
              <w:t>0.06</w:t>
            </w:r>
          </w:p>
        </w:tc>
        <w:tc>
          <w:tcPr>
            <w:tcW w:w="324" w:type="pct"/>
            <w:tcBorders>
              <w:top w:val="nil"/>
              <w:left w:val="nil"/>
              <w:bottom w:val="nil"/>
              <w:right w:val="nil"/>
            </w:tcBorders>
            <w:shd w:val="clear" w:color="auto" w:fill="auto"/>
            <w:noWrap/>
            <w:vAlign w:val="bottom"/>
            <w:hideMark/>
          </w:tcPr>
          <w:p w14:paraId="0C3F8548"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49"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4A" w14:textId="77777777" w:rsidR="0015270F" w:rsidRPr="0095562E" w:rsidRDefault="0015270F" w:rsidP="00162359">
            <w:pPr>
              <w:spacing w:before="0" w:after="0"/>
              <w:rPr>
                <w:rStyle w:val="BookTitle"/>
                <w:sz w:val="18"/>
                <w:szCs w:val="18"/>
              </w:rPr>
            </w:pPr>
            <w:r w:rsidRPr="0095562E">
              <w:rPr>
                <w:rStyle w:val="BookTitle"/>
                <w:sz w:val="18"/>
                <w:szCs w:val="18"/>
              </w:rPr>
              <w:t>0.36</w:t>
            </w:r>
          </w:p>
        </w:tc>
      </w:tr>
      <w:tr w:rsidR="0015270F" w:rsidRPr="0095562E" w14:paraId="0C3F855B" w14:textId="77777777" w:rsidTr="00162359">
        <w:trPr>
          <w:trHeight w:val="20"/>
        </w:trPr>
        <w:tc>
          <w:tcPr>
            <w:tcW w:w="360" w:type="pct"/>
            <w:tcBorders>
              <w:top w:val="nil"/>
              <w:left w:val="nil"/>
              <w:bottom w:val="nil"/>
              <w:right w:val="nil"/>
            </w:tcBorders>
            <w:shd w:val="clear" w:color="auto" w:fill="auto"/>
            <w:noWrap/>
            <w:vAlign w:val="center"/>
            <w:hideMark/>
          </w:tcPr>
          <w:p w14:paraId="0C3F854C" w14:textId="77777777" w:rsidR="0015270F" w:rsidRPr="0095562E" w:rsidRDefault="0015270F" w:rsidP="00162359">
            <w:pPr>
              <w:spacing w:before="0" w:after="0"/>
              <w:rPr>
                <w:rStyle w:val="BookTitle"/>
                <w:sz w:val="18"/>
                <w:szCs w:val="18"/>
              </w:rPr>
            </w:pPr>
            <w:r w:rsidRPr="0095562E">
              <w:rPr>
                <w:rStyle w:val="BookTitle"/>
                <w:sz w:val="18"/>
                <w:szCs w:val="18"/>
              </w:rPr>
              <w:t>DIP</w:t>
            </w:r>
          </w:p>
        </w:tc>
        <w:tc>
          <w:tcPr>
            <w:tcW w:w="324" w:type="pct"/>
            <w:tcBorders>
              <w:top w:val="nil"/>
              <w:left w:val="nil"/>
              <w:bottom w:val="nil"/>
              <w:right w:val="nil"/>
            </w:tcBorders>
            <w:shd w:val="clear" w:color="auto" w:fill="auto"/>
            <w:noWrap/>
            <w:vAlign w:val="bottom"/>
            <w:hideMark/>
          </w:tcPr>
          <w:p w14:paraId="0C3F854D"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429" w:type="pct"/>
            <w:tcBorders>
              <w:top w:val="nil"/>
              <w:left w:val="nil"/>
              <w:bottom w:val="nil"/>
              <w:right w:val="nil"/>
            </w:tcBorders>
            <w:shd w:val="clear" w:color="auto" w:fill="auto"/>
            <w:noWrap/>
            <w:vAlign w:val="bottom"/>
            <w:hideMark/>
          </w:tcPr>
          <w:p w14:paraId="0C3F854E" w14:textId="77777777" w:rsidR="0015270F" w:rsidRPr="0095562E" w:rsidRDefault="0015270F" w:rsidP="00162359">
            <w:pPr>
              <w:spacing w:before="0" w:after="0"/>
              <w:rPr>
                <w:rStyle w:val="BookTitle"/>
                <w:sz w:val="18"/>
                <w:szCs w:val="18"/>
              </w:rPr>
            </w:pPr>
            <w:r w:rsidRPr="0095562E">
              <w:rPr>
                <w:rStyle w:val="BookTitle"/>
                <w:sz w:val="18"/>
                <w:szCs w:val="18"/>
              </w:rPr>
              <w:t>0.08</w:t>
            </w:r>
          </w:p>
        </w:tc>
        <w:tc>
          <w:tcPr>
            <w:tcW w:w="324" w:type="pct"/>
            <w:tcBorders>
              <w:top w:val="nil"/>
              <w:left w:val="nil"/>
              <w:bottom w:val="nil"/>
              <w:right w:val="nil"/>
            </w:tcBorders>
            <w:shd w:val="clear" w:color="auto" w:fill="auto"/>
            <w:noWrap/>
            <w:vAlign w:val="bottom"/>
            <w:hideMark/>
          </w:tcPr>
          <w:p w14:paraId="0C3F854F" w14:textId="77777777" w:rsidR="0015270F" w:rsidRPr="0095562E" w:rsidRDefault="0015270F" w:rsidP="00162359">
            <w:pPr>
              <w:spacing w:before="0" w:after="0"/>
              <w:rPr>
                <w:rStyle w:val="BookTitle"/>
                <w:sz w:val="18"/>
                <w:szCs w:val="18"/>
              </w:rPr>
            </w:pPr>
            <w:r w:rsidRPr="0095562E">
              <w:rPr>
                <w:rStyle w:val="BookTitle"/>
                <w:sz w:val="18"/>
                <w:szCs w:val="18"/>
              </w:rPr>
              <w:t>-0.31</w:t>
            </w:r>
          </w:p>
        </w:tc>
        <w:tc>
          <w:tcPr>
            <w:tcW w:w="324" w:type="pct"/>
            <w:tcBorders>
              <w:top w:val="nil"/>
              <w:left w:val="nil"/>
              <w:bottom w:val="nil"/>
              <w:right w:val="nil"/>
            </w:tcBorders>
            <w:shd w:val="clear" w:color="auto" w:fill="auto"/>
            <w:noWrap/>
            <w:vAlign w:val="bottom"/>
            <w:hideMark/>
          </w:tcPr>
          <w:p w14:paraId="0C3F8550" w14:textId="77777777" w:rsidR="0015270F" w:rsidRPr="0095562E" w:rsidRDefault="0015270F" w:rsidP="00162359">
            <w:pPr>
              <w:spacing w:before="0" w:after="0"/>
              <w:rPr>
                <w:rStyle w:val="BookTitle"/>
                <w:sz w:val="18"/>
                <w:szCs w:val="18"/>
              </w:rPr>
            </w:pPr>
            <w:r w:rsidRPr="0095562E">
              <w:rPr>
                <w:rStyle w:val="BookTitle"/>
                <w:sz w:val="18"/>
                <w:szCs w:val="18"/>
              </w:rPr>
              <w:t>-0.09</w:t>
            </w:r>
          </w:p>
        </w:tc>
        <w:tc>
          <w:tcPr>
            <w:tcW w:w="324" w:type="pct"/>
            <w:tcBorders>
              <w:top w:val="nil"/>
              <w:left w:val="nil"/>
              <w:bottom w:val="nil"/>
              <w:right w:val="nil"/>
            </w:tcBorders>
            <w:shd w:val="clear" w:color="auto" w:fill="auto"/>
            <w:noWrap/>
            <w:vAlign w:val="bottom"/>
            <w:hideMark/>
          </w:tcPr>
          <w:p w14:paraId="0C3F8551"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52" w14:textId="77777777" w:rsidR="0015270F" w:rsidRPr="0095562E" w:rsidRDefault="0015270F" w:rsidP="00162359">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bottom"/>
            <w:hideMark/>
          </w:tcPr>
          <w:p w14:paraId="0C3F8553"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000000" w:fill="FFFF00"/>
            <w:noWrap/>
            <w:vAlign w:val="bottom"/>
            <w:hideMark/>
          </w:tcPr>
          <w:p w14:paraId="0C3F8554" w14:textId="77777777" w:rsidR="0015270F" w:rsidRPr="0095562E" w:rsidRDefault="0015270F" w:rsidP="00162359">
            <w:pPr>
              <w:spacing w:before="0" w:after="0"/>
              <w:rPr>
                <w:rStyle w:val="BookTitle"/>
                <w:sz w:val="18"/>
                <w:szCs w:val="18"/>
              </w:rPr>
            </w:pPr>
            <w:r w:rsidRPr="0095562E">
              <w:rPr>
                <w:rStyle w:val="BookTitle"/>
                <w:sz w:val="18"/>
                <w:szCs w:val="18"/>
              </w:rPr>
              <w:t>0.68</w:t>
            </w:r>
          </w:p>
        </w:tc>
        <w:tc>
          <w:tcPr>
            <w:tcW w:w="324" w:type="pct"/>
            <w:tcBorders>
              <w:top w:val="nil"/>
              <w:left w:val="nil"/>
              <w:bottom w:val="nil"/>
              <w:right w:val="nil"/>
            </w:tcBorders>
            <w:shd w:val="clear" w:color="auto" w:fill="auto"/>
            <w:noWrap/>
            <w:vAlign w:val="bottom"/>
            <w:hideMark/>
          </w:tcPr>
          <w:p w14:paraId="0C3F8555" w14:textId="77777777" w:rsidR="0015270F" w:rsidRPr="0095562E" w:rsidRDefault="0015270F" w:rsidP="00162359">
            <w:pPr>
              <w:spacing w:before="0" w:after="0"/>
              <w:rPr>
                <w:rStyle w:val="BookTitle"/>
                <w:sz w:val="18"/>
                <w:szCs w:val="18"/>
              </w:rPr>
            </w:pPr>
            <w:r w:rsidRPr="0095562E">
              <w:rPr>
                <w:rStyle w:val="BookTitle"/>
                <w:sz w:val="18"/>
                <w:szCs w:val="18"/>
              </w:rPr>
              <w:t>0.11</w:t>
            </w:r>
          </w:p>
        </w:tc>
        <w:tc>
          <w:tcPr>
            <w:tcW w:w="324" w:type="pct"/>
            <w:tcBorders>
              <w:top w:val="nil"/>
              <w:left w:val="nil"/>
              <w:bottom w:val="nil"/>
              <w:right w:val="nil"/>
            </w:tcBorders>
            <w:shd w:val="clear" w:color="auto" w:fill="auto"/>
            <w:noWrap/>
            <w:vAlign w:val="bottom"/>
            <w:hideMark/>
          </w:tcPr>
          <w:p w14:paraId="0C3F8556" w14:textId="77777777" w:rsidR="0015270F" w:rsidRPr="0095562E" w:rsidRDefault="0015270F" w:rsidP="00162359">
            <w:pPr>
              <w:spacing w:before="0" w:after="0"/>
              <w:rPr>
                <w:rStyle w:val="BookTitle"/>
                <w:sz w:val="18"/>
                <w:szCs w:val="18"/>
              </w:rPr>
            </w:pPr>
            <w:r w:rsidRPr="0095562E">
              <w:rPr>
                <w:rStyle w:val="BookTitle"/>
                <w:sz w:val="18"/>
                <w:szCs w:val="18"/>
              </w:rPr>
              <w:t>0.06</w:t>
            </w:r>
          </w:p>
        </w:tc>
        <w:tc>
          <w:tcPr>
            <w:tcW w:w="324" w:type="pct"/>
            <w:tcBorders>
              <w:top w:val="nil"/>
              <w:left w:val="nil"/>
              <w:bottom w:val="nil"/>
              <w:right w:val="nil"/>
            </w:tcBorders>
            <w:shd w:val="clear" w:color="auto" w:fill="auto"/>
            <w:noWrap/>
            <w:vAlign w:val="bottom"/>
            <w:hideMark/>
          </w:tcPr>
          <w:p w14:paraId="0C3F8557"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58"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559"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bottom"/>
            <w:hideMark/>
          </w:tcPr>
          <w:p w14:paraId="0C3F855A" w14:textId="77777777" w:rsidR="0015270F" w:rsidRPr="0095562E" w:rsidRDefault="0015270F" w:rsidP="00162359">
            <w:pPr>
              <w:spacing w:before="0" w:after="0"/>
              <w:rPr>
                <w:rStyle w:val="BookTitle"/>
                <w:sz w:val="18"/>
                <w:szCs w:val="18"/>
              </w:rPr>
            </w:pPr>
            <w:r w:rsidRPr="0095562E">
              <w:rPr>
                <w:rStyle w:val="BookTitle"/>
                <w:sz w:val="18"/>
                <w:szCs w:val="18"/>
              </w:rPr>
              <w:t>0.41</w:t>
            </w:r>
          </w:p>
        </w:tc>
      </w:tr>
      <w:tr w:rsidR="0015270F" w:rsidRPr="0095562E" w14:paraId="0C3F856B" w14:textId="77777777" w:rsidTr="00162359">
        <w:trPr>
          <w:trHeight w:val="20"/>
        </w:trPr>
        <w:tc>
          <w:tcPr>
            <w:tcW w:w="360" w:type="pct"/>
            <w:tcBorders>
              <w:top w:val="nil"/>
              <w:left w:val="nil"/>
              <w:bottom w:val="nil"/>
              <w:right w:val="nil"/>
            </w:tcBorders>
            <w:shd w:val="clear" w:color="auto" w:fill="auto"/>
            <w:noWrap/>
            <w:vAlign w:val="center"/>
            <w:hideMark/>
          </w:tcPr>
          <w:p w14:paraId="0C3F855C" w14:textId="77777777" w:rsidR="0015270F" w:rsidRPr="0095562E" w:rsidRDefault="0015270F" w:rsidP="00162359">
            <w:pPr>
              <w:spacing w:before="0" w:after="0"/>
              <w:rPr>
                <w:rStyle w:val="BookTitle"/>
                <w:sz w:val="18"/>
                <w:szCs w:val="18"/>
              </w:rPr>
            </w:pPr>
            <w:r w:rsidRPr="0095562E">
              <w:rPr>
                <w:rStyle w:val="BookTitle"/>
                <w:sz w:val="18"/>
                <w:szCs w:val="18"/>
              </w:rPr>
              <w:t>PN</w:t>
            </w:r>
          </w:p>
        </w:tc>
        <w:tc>
          <w:tcPr>
            <w:tcW w:w="324" w:type="pct"/>
            <w:tcBorders>
              <w:top w:val="nil"/>
              <w:left w:val="nil"/>
              <w:bottom w:val="nil"/>
              <w:right w:val="nil"/>
            </w:tcBorders>
            <w:shd w:val="clear" w:color="auto" w:fill="auto"/>
            <w:noWrap/>
            <w:vAlign w:val="bottom"/>
            <w:hideMark/>
          </w:tcPr>
          <w:p w14:paraId="0C3F855D" w14:textId="77777777" w:rsidR="0015270F" w:rsidRPr="0095562E" w:rsidRDefault="0015270F" w:rsidP="00162359">
            <w:pPr>
              <w:spacing w:before="0" w:after="0"/>
              <w:rPr>
                <w:rStyle w:val="BookTitle"/>
                <w:sz w:val="18"/>
                <w:szCs w:val="18"/>
              </w:rPr>
            </w:pPr>
            <w:r w:rsidRPr="0095562E">
              <w:rPr>
                <w:rStyle w:val="BookTitle"/>
                <w:sz w:val="18"/>
                <w:szCs w:val="18"/>
              </w:rPr>
              <w:t>0.22</w:t>
            </w:r>
          </w:p>
        </w:tc>
        <w:tc>
          <w:tcPr>
            <w:tcW w:w="429" w:type="pct"/>
            <w:tcBorders>
              <w:top w:val="nil"/>
              <w:left w:val="nil"/>
              <w:bottom w:val="nil"/>
              <w:right w:val="nil"/>
            </w:tcBorders>
            <w:shd w:val="clear" w:color="auto" w:fill="auto"/>
            <w:noWrap/>
            <w:vAlign w:val="bottom"/>
            <w:hideMark/>
          </w:tcPr>
          <w:p w14:paraId="0C3F855E"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55F" w14:textId="77777777" w:rsidR="0015270F" w:rsidRPr="0095562E" w:rsidRDefault="0015270F" w:rsidP="00162359">
            <w:pPr>
              <w:spacing w:before="0" w:after="0"/>
              <w:rPr>
                <w:rStyle w:val="BookTitle"/>
                <w:sz w:val="18"/>
                <w:szCs w:val="18"/>
              </w:rPr>
            </w:pPr>
            <w:r w:rsidRPr="0095562E">
              <w:rPr>
                <w:rStyle w:val="BookTitle"/>
                <w:sz w:val="18"/>
                <w:szCs w:val="18"/>
              </w:rPr>
              <w:t>-0.32</w:t>
            </w:r>
          </w:p>
        </w:tc>
        <w:tc>
          <w:tcPr>
            <w:tcW w:w="324" w:type="pct"/>
            <w:tcBorders>
              <w:top w:val="nil"/>
              <w:left w:val="nil"/>
              <w:bottom w:val="nil"/>
              <w:right w:val="nil"/>
            </w:tcBorders>
            <w:shd w:val="clear" w:color="auto" w:fill="auto"/>
            <w:noWrap/>
            <w:vAlign w:val="bottom"/>
            <w:hideMark/>
          </w:tcPr>
          <w:p w14:paraId="0C3F8560"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561" w14:textId="77777777" w:rsidR="0015270F" w:rsidRPr="0095562E" w:rsidRDefault="0015270F" w:rsidP="00162359">
            <w:pPr>
              <w:spacing w:before="0" w:after="0"/>
              <w:rPr>
                <w:rStyle w:val="BookTitle"/>
                <w:sz w:val="18"/>
                <w:szCs w:val="18"/>
              </w:rPr>
            </w:pPr>
            <w:r w:rsidRPr="0095562E">
              <w:rPr>
                <w:rStyle w:val="BookTitle"/>
                <w:sz w:val="18"/>
                <w:szCs w:val="18"/>
              </w:rPr>
              <w:t>0.29</w:t>
            </w:r>
          </w:p>
        </w:tc>
        <w:tc>
          <w:tcPr>
            <w:tcW w:w="324" w:type="pct"/>
            <w:tcBorders>
              <w:top w:val="nil"/>
              <w:left w:val="nil"/>
              <w:bottom w:val="nil"/>
              <w:right w:val="nil"/>
            </w:tcBorders>
            <w:shd w:val="clear" w:color="auto" w:fill="auto"/>
            <w:noWrap/>
            <w:vAlign w:val="bottom"/>
            <w:hideMark/>
          </w:tcPr>
          <w:p w14:paraId="0C3F8562"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563" w14:textId="77777777" w:rsidR="0015270F" w:rsidRPr="0095562E" w:rsidRDefault="0015270F" w:rsidP="00162359">
            <w:pPr>
              <w:spacing w:before="0" w:after="0"/>
              <w:rPr>
                <w:rStyle w:val="BookTitle"/>
                <w:sz w:val="18"/>
                <w:szCs w:val="18"/>
              </w:rPr>
            </w:pPr>
            <w:r w:rsidRPr="0095562E">
              <w:rPr>
                <w:rStyle w:val="BookTitle"/>
                <w:sz w:val="18"/>
                <w:szCs w:val="18"/>
              </w:rPr>
              <w:t>-0.55</w:t>
            </w:r>
          </w:p>
        </w:tc>
        <w:tc>
          <w:tcPr>
            <w:tcW w:w="324" w:type="pct"/>
            <w:tcBorders>
              <w:top w:val="nil"/>
              <w:left w:val="nil"/>
              <w:bottom w:val="nil"/>
              <w:right w:val="nil"/>
            </w:tcBorders>
            <w:shd w:val="clear" w:color="auto" w:fill="auto"/>
            <w:noWrap/>
            <w:vAlign w:val="bottom"/>
            <w:hideMark/>
          </w:tcPr>
          <w:p w14:paraId="0C3F8564" w14:textId="77777777" w:rsidR="0015270F" w:rsidRPr="0095562E" w:rsidRDefault="0015270F" w:rsidP="00162359">
            <w:pPr>
              <w:spacing w:before="0" w:after="0"/>
              <w:rPr>
                <w:rStyle w:val="BookTitle"/>
                <w:sz w:val="18"/>
                <w:szCs w:val="18"/>
              </w:rPr>
            </w:pPr>
            <w:r w:rsidRPr="0095562E">
              <w:rPr>
                <w:rStyle w:val="BookTitle"/>
                <w:sz w:val="18"/>
                <w:szCs w:val="18"/>
              </w:rPr>
              <w:t>-0.17</w:t>
            </w:r>
          </w:p>
        </w:tc>
        <w:tc>
          <w:tcPr>
            <w:tcW w:w="324" w:type="pct"/>
            <w:tcBorders>
              <w:top w:val="nil"/>
              <w:left w:val="nil"/>
              <w:bottom w:val="nil"/>
              <w:right w:val="nil"/>
            </w:tcBorders>
            <w:shd w:val="clear" w:color="auto" w:fill="auto"/>
            <w:noWrap/>
            <w:vAlign w:val="bottom"/>
            <w:hideMark/>
          </w:tcPr>
          <w:p w14:paraId="0C3F8565"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324" w:type="pct"/>
            <w:tcBorders>
              <w:top w:val="nil"/>
              <w:left w:val="nil"/>
              <w:bottom w:val="nil"/>
              <w:right w:val="nil"/>
            </w:tcBorders>
            <w:shd w:val="clear" w:color="auto" w:fill="auto"/>
            <w:noWrap/>
            <w:vAlign w:val="bottom"/>
            <w:hideMark/>
          </w:tcPr>
          <w:p w14:paraId="0C3F8566"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67" w14:textId="77777777" w:rsidR="0015270F" w:rsidRPr="0095562E" w:rsidRDefault="0015270F" w:rsidP="00162359">
            <w:pPr>
              <w:spacing w:before="0" w:after="0"/>
              <w:rPr>
                <w:rStyle w:val="BookTitle"/>
                <w:sz w:val="18"/>
                <w:szCs w:val="18"/>
              </w:rPr>
            </w:pPr>
            <w:r w:rsidRPr="0095562E">
              <w:rPr>
                <w:rStyle w:val="BookTitle"/>
                <w:sz w:val="18"/>
                <w:szCs w:val="18"/>
              </w:rPr>
              <w:t>0.15</w:t>
            </w:r>
          </w:p>
        </w:tc>
        <w:tc>
          <w:tcPr>
            <w:tcW w:w="324" w:type="pct"/>
            <w:tcBorders>
              <w:top w:val="nil"/>
              <w:left w:val="nil"/>
              <w:bottom w:val="nil"/>
              <w:right w:val="nil"/>
            </w:tcBorders>
            <w:shd w:val="clear" w:color="auto" w:fill="auto"/>
            <w:noWrap/>
            <w:vAlign w:val="bottom"/>
            <w:hideMark/>
          </w:tcPr>
          <w:p w14:paraId="0C3F8568"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69" w14:textId="77777777" w:rsidR="0015270F" w:rsidRPr="0095562E" w:rsidRDefault="0015270F" w:rsidP="00162359">
            <w:pPr>
              <w:spacing w:before="0" w:after="0"/>
              <w:rPr>
                <w:rStyle w:val="BookTitle"/>
                <w:sz w:val="18"/>
                <w:szCs w:val="18"/>
              </w:rPr>
            </w:pPr>
            <w:r w:rsidRPr="0095562E">
              <w:rPr>
                <w:rStyle w:val="BookTitle"/>
                <w:sz w:val="18"/>
                <w:szCs w:val="18"/>
              </w:rPr>
              <w:t>-0.17</w:t>
            </w:r>
          </w:p>
        </w:tc>
        <w:tc>
          <w:tcPr>
            <w:tcW w:w="324" w:type="pct"/>
            <w:tcBorders>
              <w:top w:val="nil"/>
              <w:left w:val="nil"/>
              <w:bottom w:val="nil"/>
              <w:right w:val="nil"/>
            </w:tcBorders>
            <w:shd w:val="clear" w:color="auto" w:fill="auto"/>
            <w:noWrap/>
            <w:vAlign w:val="bottom"/>
            <w:hideMark/>
          </w:tcPr>
          <w:p w14:paraId="0C3F856A" w14:textId="77777777" w:rsidR="0015270F" w:rsidRPr="0095562E" w:rsidRDefault="0015270F" w:rsidP="00162359">
            <w:pPr>
              <w:spacing w:before="0" w:after="0"/>
              <w:rPr>
                <w:rStyle w:val="BookTitle"/>
                <w:sz w:val="18"/>
                <w:szCs w:val="18"/>
              </w:rPr>
            </w:pPr>
            <w:r w:rsidRPr="0095562E">
              <w:rPr>
                <w:rStyle w:val="BookTitle"/>
                <w:sz w:val="18"/>
                <w:szCs w:val="18"/>
              </w:rPr>
              <w:t>0.43</w:t>
            </w:r>
          </w:p>
        </w:tc>
      </w:tr>
      <w:tr w:rsidR="0015270F" w:rsidRPr="0095562E" w14:paraId="0C3F857B" w14:textId="77777777" w:rsidTr="00162359">
        <w:trPr>
          <w:trHeight w:val="20"/>
        </w:trPr>
        <w:tc>
          <w:tcPr>
            <w:tcW w:w="360" w:type="pct"/>
            <w:tcBorders>
              <w:top w:val="nil"/>
              <w:left w:val="nil"/>
              <w:bottom w:val="nil"/>
              <w:right w:val="nil"/>
            </w:tcBorders>
            <w:shd w:val="clear" w:color="auto" w:fill="auto"/>
            <w:noWrap/>
            <w:vAlign w:val="center"/>
            <w:hideMark/>
          </w:tcPr>
          <w:p w14:paraId="0C3F856C" w14:textId="77777777" w:rsidR="0015270F" w:rsidRPr="0095562E" w:rsidRDefault="0015270F" w:rsidP="00162359">
            <w:pPr>
              <w:spacing w:before="0" w:after="0"/>
              <w:rPr>
                <w:rStyle w:val="BookTitle"/>
                <w:sz w:val="18"/>
                <w:szCs w:val="18"/>
              </w:rPr>
            </w:pPr>
            <w:r w:rsidRPr="0095562E">
              <w:rPr>
                <w:rStyle w:val="BookTitle"/>
                <w:sz w:val="18"/>
                <w:szCs w:val="18"/>
              </w:rPr>
              <w:t>PP</w:t>
            </w:r>
          </w:p>
        </w:tc>
        <w:tc>
          <w:tcPr>
            <w:tcW w:w="324" w:type="pct"/>
            <w:tcBorders>
              <w:top w:val="nil"/>
              <w:left w:val="nil"/>
              <w:bottom w:val="nil"/>
              <w:right w:val="nil"/>
            </w:tcBorders>
            <w:shd w:val="clear" w:color="auto" w:fill="auto"/>
            <w:noWrap/>
            <w:vAlign w:val="bottom"/>
            <w:hideMark/>
          </w:tcPr>
          <w:p w14:paraId="0C3F856D" w14:textId="77777777" w:rsidR="0015270F" w:rsidRPr="0095562E" w:rsidRDefault="0015270F" w:rsidP="00162359">
            <w:pPr>
              <w:spacing w:before="0" w:after="0"/>
              <w:rPr>
                <w:rStyle w:val="BookTitle"/>
                <w:sz w:val="18"/>
                <w:szCs w:val="18"/>
              </w:rPr>
            </w:pPr>
            <w:r w:rsidRPr="0095562E">
              <w:rPr>
                <w:rStyle w:val="BookTitle"/>
                <w:sz w:val="18"/>
                <w:szCs w:val="18"/>
              </w:rPr>
              <w:t>-0.49</w:t>
            </w:r>
          </w:p>
        </w:tc>
        <w:tc>
          <w:tcPr>
            <w:tcW w:w="429" w:type="pct"/>
            <w:tcBorders>
              <w:top w:val="nil"/>
              <w:left w:val="nil"/>
              <w:bottom w:val="nil"/>
              <w:right w:val="nil"/>
            </w:tcBorders>
            <w:shd w:val="clear" w:color="auto" w:fill="auto"/>
            <w:noWrap/>
            <w:vAlign w:val="bottom"/>
            <w:hideMark/>
          </w:tcPr>
          <w:p w14:paraId="0C3F856E" w14:textId="77777777" w:rsidR="0015270F" w:rsidRPr="0095562E" w:rsidRDefault="0015270F" w:rsidP="00162359">
            <w:pPr>
              <w:spacing w:before="0" w:after="0"/>
              <w:rPr>
                <w:rStyle w:val="BookTitle"/>
                <w:sz w:val="18"/>
                <w:szCs w:val="18"/>
              </w:rPr>
            </w:pPr>
            <w:r w:rsidRPr="0095562E">
              <w:rPr>
                <w:rStyle w:val="BookTitle"/>
                <w:sz w:val="18"/>
                <w:szCs w:val="18"/>
              </w:rPr>
              <w:t>0.53</w:t>
            </w:r>
          </w:p>
        </w:tc>
        <w:tc>
          <w:tcPr>
            <w:tcW w:w="324" w:type="pct"/>
            <w:tcBorders>
              <w:top w:val="nil"/>
              <w:left w:val="nil"/>
              <w:bottom w:val="nil"/>
              <w:right w:val="nil"/>
            </w:tcBorders>
            <w:shd w:val="clear" w:color="auto" w:fill="auto"/>
            <w:noWrap/>
            <w:vAlign w:val="bottom"/>
            <w:hideMark/>
          </w:tcPr>
          <w:p w14:paraId="0C3F856F" w14:textId="77777777" w:rsidR="0015270F" w:rsidRPr="0095562E" w:rsidRDefault="0015270F" w:rsidP="00162359">
            <w:pPr>
              <w:spacing w:before="0" w:after="0"/>
              <w:rPr>
                <w:rStyle w:val="BookTitle"/>
                <w:sz w:val="18"/>
                <w:szCs w:val="18"/>
              </w:rPr>
            </w:pPr>
            <w:r w:rsidRPr="0095562E">
              <w:rPr>
                <w:rStyle w:val="BookTitle"/>
                <w:sz w:val="18"/>
                <w:szCs w:val="18"/>
              </w:rPr>
              <w:t>-0.03</w:t>
            </w:r>
          </w:p>
        </w:tc>
        <w:tc>
          <w:tcPr>
            <w:tcW w:w="324" w:type="pct"/>
            <w:tcBorders>
              <w:top w:val="nil"/>
              <w:left w:val="nil"/>
              <w:bottom w:val="nil"/>
              <w:right w:val="nil"/>
            </w:tcBorders>
            <w:shd w:val="clear" w:color="auto" w:fill="auto"/>
            <w:noWrap/>
            <w:vAlign w:val="bottom"/>
            <w:hideMark/>
          </w:tcPr>
          <w:p w14:paraId="0C3F8570" w14:textId="77777777" w:rsidR="0015270F" w:rsidRPr="0095562E" w:rsidRDefault="0015270F" w:rsidP="00162359">
            <w:pPr>
              <w:spacing w:before="0" w:after="0"/>
              <w:rPr>
                <w:rStyle w:val="BookTitle"/>
                <w:sz w:val="18"/>
                <w:szCs w:val="18"/>
              </w:rPr>
            </w:pPr>
            <w:r w:rsidRPr="0095562E">
              <w:rPr>
                <w:rStyle w:val="BookTitle"/>
                <w:sz w:val="18"/>
                <w:szCs w:val="18"/>
              </w:rPr>
              <w:t>0.37</w:t>
            </w:r>
          </w:p>
        </w:tc>
        <w:tc>
          <w:tcPr>
            <w:tcW w:w="324" w:type="pct"/>
            <w:tcBorders>
              <w:top w:val="nil"/>
              <w:left w:val="nil"/>
              <w:bottom w:val="nil"/>
              <w:right w:val="nil"/>
            </w:tcBorders>
            <w:shd w:val="clear" w:color="auto" w:fill="auto"/>
            <w:noWrap/>
            <w:vAlign w:val="bottom"/>
            <w:hideMark/>
          </w:tcPr>
          <w:p w14:paraId="0C3F8571" w14:textId="77777777" w:rsidR="0015270F" w:rsidRPr="0095562E" w:rsidRDefault="0015270F" w:rsidP="00162359">
            <w:pPr>
              <w:spacing w:before="0" w:after="0"/>
              <w:rPr>
                <w:rStyle w:val="BookTitle"/>
                <w:sz w:val="18"/>
                <w:szCs w:val="18"/>
              </w:rPr>
            </w:pPr>
            <w:r w:rsidRPr="0095562E">
              <w:rPr>
                <w:rStyle w:val="BookTitle"/>
                <w:sz w:val="18"/>
                <w:szCs w:val="18"/>
              </w:rPr>
              <w:t>0.25</w:t>
            </w:r>
          </w:p>
        </w:tc>
        <w:tc>
          <w:tcPr>
            <w:tcW w:w="324" w:type="pct"/>
            <w:tcBorders>
              <w:top w:val="nil"/>
              <w:left w:val="nil"/>
              <w:bottom w:val="nil"/>
              <w:right w:val="nil"/>
            </w:tcBorders>
            <w:shd w:val="clear" w:color="auto" w:fill="auto"/>
            <w:noWrap/>
            <w:vAlign w:val="bottom"/>
            <w:hideMark/>
          </w:tcPr>
          <w:p w14:paraId="0C3F8572" w14:textId="77777777" w:rsidR="0015270F" w:rsidRPr="0095562E" w:rsidRDefault="0015270F" w:rsidP="00162359">
            <w:pPr>
              <w:spacing w:before="0" w:after="0"/>
              <w:rPr>
                <w:rStyle w:val="BookTitle"/>
                <w:sz w:val="18"/>
                <w:szCs w:val="18"/>
              </w:rPr>
            </w:pPr>
            <w:r w:rsidRPr="0095562E">
              <w:rPr>
                <w:rStyle w:val="BookTitle"/>
                <w:sz w:val="18"/>
                <w:szCs w:val="18"/>
              </w:rPr>
              <w:t>0.13</w:t>
            </w:r>
          </w:p>
        </w:tc>
        <w:tc>
          <w:tcPr>
            <w:tcW w:w="324" w:type="pct"/>
            <w:tcBorders>
              <w:top w:val="nil"/>
              <w:left w:val="nil"/>
              <w:bottom w:val="nil"/>
              <w:right w:val="nil"/>
            </w:tcBorders>
            <w:shd w:val="clear" w:color="auto" w:fill="auto"/>
            <w:noWrap/>
            <w:vAlign w:val="bottom"/>
            <w:hideMark/>
          </w:tcPr>
          <w:p w14:paraId="0C3F8573"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nil"/>
              <w:right w:val="nil"/>
            </w:tcBorders>
            <w:shd w:val="clear" w:color="auto" w:fill="auto"/>
            <w:noWrap/>
            <w:vAlign w:val="bottom"/>
            <w:hideMark/>
          </w:tcPr>
          <w:p w14:paraId="0C3F8574" w14:textId="77777777" w:rsidR="0015270F" w:rsidRPr="0095562E" w:rsidRDefault="0015270F" w:rsidP="00162359">
            <w:pPr>
              <w:spacing w:before="0" w:after="0"/>
              <w:rPr>
                <w:rStyle w:val="BookTitle"/>
                <w:sz w:val="18"/>
                <w:szCs w:val="18"/>
              </w:rPr>
            </w:pPr>
            <w:r w:rsidRPr="0095562E">
              <w:rPr>
                <w:rStyle w:val="BookTitle"/>
                <w:sz w:val="18"/>
                <w:szCs w:val="18"/>
              </w:rPr>
              <w:t>0.27</w:t>
            </w:r>
          </w:p>
        </w:tc>
        <w:tc>
          <w:tcPr>
            <w:tcW w:w="324" w:type="pct"/>
            <w:tcBorders>
              <w:top w:val="nil"/>
              <w:left w:val="nil"/>
              <w:bottom w:val="nil"/>
              <w:right w:val="nil"/>
            </w:tcBorders>
            <w:shd w:val="clear" w:color="000000" w:fill="FFFF00"/>
            <w:noWrap/>
            <w:vAlign w:val="bottom"/>
            <w:hideMark/>
          </w:tcPr>
          <w:p w14:paraId="0C3F8575" w14:textId="77777777" w:rsidR="0015270F" w:rsidRPr="0095562E" w:rsidRDefault="0015270F" w:rsidP="00162359">
            <w:pPr>
              <w:spacing w:before="0" w:after="0"/>
              <w:rPr>
                <w:rStyle w:val="BookTitle"/>
                <w:sz w:val="18"/>
                <w:szCs w:val="18"/>
              </w:rPr>
            </w:pPr>
            <w:r w:rsidRPr="0095562E">
              <w:rPr>
                <w:rStyle w:val="BookTitle"/>
                <w:sz w:val="18"/>
                <w:szCs w:val="18"/>
              </w:rPr>
              <w:t>0.79</w:t>
            </w:r>
          </w:p>
        </w:tc>
        <w:tc>
          <w:tcPr>
            <w:tcW w:w="324" w:type="pct"/>
            <w:tcBorders>
              <w:top w:val="nil"/>
              <w:left w:val="nil"/>
              <w:bottom w:val="nil"/>
              <w:right w:val="nil"/>
            </w:tcBorders>
            <w:shd w:val="clear" w:color="auto" w:fill="auto"/>
            <w:noWrap/>
            <w:vAlign w:val="bottom"/>
            <w:hideMark/>
          </w:tcPr>
          <w:p w14:paraId="0C3F8576" w14:textId="77777777" w:rsidR="0015270F" w:rsidRPr="0095562E" w:rsidRDefault="0015270F" w:rsidP="00162359">
            <w:pPr>
              <w:spacing w:before="0" w:after="0"/>
              <w:rPr>
                <w:rStyle w:val="BookTitle"/>
                <w:sz w:val="18"/>
                <w:szCs w:val="18"/>
              </w:rPr>
            </w:pPr>
            <w:r w:rsidRPr="0095562E">
              <w:rPr>
                <w:rStyle w:val="BookTitle"/>
                <w:sz w:val="18"/>
                <w:szCs w:val="18"/>
              </w:rPr>
              <w:t>0.40</w:t>
            </w:r>
          </w:p>
        </w:tc>
        <w:tc>
          <w:tcPr>
            <w:tcW w:w="324" w:type="pct"/>
            <w:tcBorders>
              <w:top w:val="nil"/>
              <w:left w:val="nil"/>
              <w:bottom w:val="nil"/>
              <w:right w:val="nil"/>
            </w:tcBorders>
            <w:shd w:val="clear" w:color="auto" w:fill="auto"/>
            <w:noWrap/>
            <w:vAlign w:val="bottom"/>
            <w:hideMark/>
          </w:tcPr>
          <w:p w14:paraId="0C3F8577" w14:textId="77777777" w:rsidR="0015270F" w:rsidRPr="0095562E" w:rsidRDefault="0015270F" w:rsidP="00162359">
            <w:pPr>
              <w:spacing w:before="0" w:after="0"/>
              <w:rPr>
                <w:rStyle w:val="BookTitle"/>
                <w:sz w:val="18"/>
                <w:szCs w:val="18"/>
              </w:rPr>
            </w:pPr>
            <w:r w:rsidRPr="0095562E">
              <w:rPr>
                <w:rStyle w:val="BookTitle"/>
                <w:sz w:val="18"/>
                <w:szCs w:val="18"/>
              </w:rPr>
              <w:t>-0.02</w:t>
            </w:r>
          </w:p>
        </w:tc>
        <w:tc>
          <w:tcPr>
            <w:tcW w:w="324" w:type="pct"/>
            <w:tcBorders>
              <w:top w:val="nil"/>
              <w:left w:val="nil"/>
              <w:bottom w:val="nil"/>
              <w:right w:val="nil"/>
            </w:tcBorders>
            <w:shd w:val="clear" w:color="auto" w:fill="auto"/>
            <w:noWrap/>
            <w:vAlign w:val="bottom"/>
            <w:hideMark/>
          </w:tcPr>
          <w:p w14:paraId="0C3F8578" w14:textId="77777777" w:rsidR="0015270F" w:rsidRPr="0095562E" w:rsidRDefault="0015270F" w:rsidP="00162359">
            <w:pPr>
              <w:spacing w:before="0" w:after="0"/>
              <w:rPr>
                <w:rStyle w:val="BookTitle"/>
                <w:sz w:val="18"/>
                <w:szCs w:val="18"/>
              </w:rPr>
            </w:pPr>
            <w:r w:rsidRPr="0095562E">
              <w:rPr>
                <w:rStyle w:val="BookTitle"/>
                <w:sz w:val="18"/>
                <w:szCs w:val="18"/>
              </w:rPr>
              <w:t>-0.17</w:t>
            </w:r>
          </w:p>
        </w:tc>
        <w:tc>
          <w:tcPr>
            <w:tcW w:w="324" w:type="pct"/>
            <w:tcBorders>
              <w:top w:val="nil"/>
              <w:left w:val="nil"/>
              <w:bottom w:val="nil"/>
              <w:right w:val="nil"/>
            </w:tcBorders>
            <w:shd w:val="clear" w:color="auto" w:fill="auto"/>
            <w:noWrap/>
            <w:vAlign w:val="bottom"/>
            <w:hideMark/>
          </w:tcPr>
          <w:p w14:paraId="0C3F8579" w14:textId="77777777" w:rsidR="0015270F" w:rsidRPr="0095562E" w:rsidRDefault="0015270F" w:rsidP="00162359">
            <w:pPr>
              <w:spacing w:before="0" w:after="0"/>
              <w:rPr>
                <w:rStyle w:val="BookTitle"/>
                <w:sz w:val="18"/>
                <w:szCs w:val="18"/>
              </w:rPr>
            </w:pPr>
            <w:r w:rsidRPr="0095562E">
              <w:rPr>
                <w:rStyle w:val="BookTitle"/>
                <w:sz w:val="18"/>
                <w:szCs w:val="18"/>
              </w:rPr>
              <w:t>1</w:t>
            </w:r>
          </w:p>
        </w:tc>
        <w:tc>
          <w:tcPr>
            <w:tcW w:w="324" w:type="pct"/>
            <w:tcBorders>
              <w:top w:val="nil"/>
              <w:left w:val="nil"/>
              <w:bottom w:val="nil"/>
              <w:right w:val="nil"/>
            </w:tcBorders>
            <w:shd w:val="clear" w:color="auto" w:fill="auto"/>
            <w:noWrap/>
            <w:vAlign w:val="bottom"/>
            <w:hideMark/>
          </w:tcPr>
          <w:p w14:paraId="0C3F857A" w14:textId="77777777" w:rsidR="0015270F" w:rsidRPr="0095562E" w:rsidRDefault="0015270F" w:rsidP="00162359">
            <w:pPr>
              <w:spacing w:before="0" w:after="0"/>
              <w:rPr>
                <w:rStyle w:val="BookTitle"/>
                <w:sz w:val="18"/>
                <w:szCs w:val="18"/>
              </w:rPr>
            </w:pPr>
            <w:r w:rsidRPr="0095562E">
              <w:rPr>
                <w:rStyle w:val="BookTitle"/>
                <w:sz w:val="18"/>
                <w:szCs w:val="18"/>
              </w:rPr>
              <w:t>0.24</w:t>
            </w:r>
          </w:p>
        </w:tc>
      </w:tr>
      <w:tr w:rsidR="0015270F" w:rsidRPr="0095562E" w14:paraId="0C3F858B" w14:textId="77777777" w:rsidTr="00162359">
        <w:trPr>
          <w:trHeight w:val="20"/>
        </w:trPr>
        <w:tc>
          <w:tcPr>
            <w:tcW w:w="360" w:type="pct"/>
            <w:tcBorders>
              <w:top w:val="nil"/>
              <w:left w:val="nil"/>
              <w:bottom w:val="single" w:sz="4" w:space="0" w:color="auto"/>
              <w:right w:val="nil"/>
            </w:tcBorders>
            <w:shd w:val="clear" w:color="auto" w:fill="auto"/>
            <w:noWrap/>
            <w:vAlign w:val="center"/>
            <w:hideMark/>
          </w:tcPr>
          <w:p w14:paraId="0C3F857C" w14:textId="77777777" w:rsidR="0015270F" w:rsidRPr="0095562E" w:rsidRDefault="0015270F" w:rsidP="00162359">
            <w:pPr>
              <w:spacing w:before="0" w:after="0"/>
              <w:rPr>
                <w:rStyle w:val="BookTitle"/>
                <w:sz w:val="18"/>
                <w:szCs w:val="18"/>
              </w:rPr>
            </w:pPr>
            <w:r w:rsidRPr="0095562E">
              <w:rPr>
                <w:rStyle w:val="BookTitle"/>
                <w:sz w:val="18"/>
                <w:szCs w:val="18"/>
              </w:rPr>
              <w:t>Si</w:t>
            </w:r>
          </w:p>
        </w:tc>
        <w:tc>
          <w:tcPr>
            <w:tcW w:w="324" w:type="pct"/>
            <w:tcBorders>
              <w:top w:val="nil"/>
              <w:left w:val="nil"/>
              <w:bottom w:val="single" w:sz="4" w:space="0" w:color="auto"/>
              <w:right w:val="nil"/>
            </w:tcBorders>
            <w:shd w:val="clear" w:color="auto" w:fill="auto"/>
            <w:noWrap/>
            <w:vAlign w:val="bottom"/>
            <w:hideMark/>
          </w:tcPr>
          <w:p w14:paraId="0C3F857D" w14:textId="77777777" w:rsidR="0015270F" w:rsidRPr="0095562E" w:rsidRDefault="0015270F" w:rsidP="00162359">
            <w:pPr>
              <w:spacing w:before="0" w:after="0"/>
              <w:rPr>
                <w:rStyle w:val="BookTitle"/>
                <w:sz w:val="18"/>
                <w:szCs w:val="18"/>
              </w:rPr>
            </w:pPr>
            <w:r w:rsidRPr="0095562E">
              <w:rPr>
                <w:rStyle w:val="BookTitle"/>
                <w:sz w:val="18"/>
                <w:szCs w:val="18"/>
              </w:rPr>
              <w:t>-0.34</w:t>
            </w:r>
          </w:p>
        </w:tc>
        <w:tc>
          <w:tcPr>
            <w:tcW w:w="429" w:type="pct"/>
            <w:tcBorders>
              <w:top w:val="nil"/>
              <w:left w:val="nil"/>
              <w:bottom w:val="single" w:sz="4" w:space="0" w:color="auto"/>
              <w:right w:val="nil"/>
            </w:tcBorders>
            <w:shd w:val="clear" w:color="auto" w:fill="auto"/>
            <w:noWrap/>
            <w:vAlign w:val="bottom"/>
            <w:hideMark/>
          </w:tcPr>
          <w:p w14:paraId="0C3F857E" w14:textId="77777777" w:rsidR="0015270F" w:rsidRPr="0095562E" w:rsidRDefault="0015270F" w:rsidP="00162359">
            <w:pPr>
              <w:spacing w:before="0" w:after="0"/>
              <w:rPr>
                <w:rStyle w:val="BookTitle"/>
                <w:sz w:val="18"/>
                <w:szCs w:val="18"/>
              </w:rPr>
            </w:pPr>
            <w:r w:rsidRPr="0095562E">
              <w:rPr>
                <w:rStyle w:val="BookTitle"/>
                <w:sz w:val="18"/>
                <w:szCs w:val="18"/>
              </w:rPr>
              <w:t>-0.09</w:t>
            </w:r>
          </w:p>
        </w:tc>
        <w:tc>
          <w:tcPr>
            <w:tcW w:w="324" w:type="pct"/>
            <w:tcBorders>
              <w:top w:val="nil"/>
              <w:left w:val="nil"/>
              <w:bottom w:val="single" w:sz="4" w:space="0" w:color="auto"/>
              <w:right w:val="nil"/>
            </w:tcBorders>
            <w:shd w:val="clear" w:color="auto" w:fill="auto"/>
            <w:noWrap/>
            <w:vAlign w:val="bottom"/>
            <w:hideMark/>
          </w:tcPr>
          <w:p w14:paraId="0C3F857F" w14:textId="77777777" w:rsidR="0015270F" w:rsidRPr="0095562E" w:rsidRDefault="0015270F" w:rsidP="00162359">
            <w:pPr>
              <w:spacing w:before="0" w:after="0"/>
              <w:rPr>
                <w:rStyle w:val="BookTitle"/>
                <w:sz w:val="18"/>
                <w:szCs w:val="18"/>
              </w:rPr>
            </w:pPr>
            <w:r w:rsidRPr="0095562E">
              <w:rPr>
                <w:rStyle w:val="BookTitle"/>
                <w:sz w:val="18"/>
                <w:szCs w:val="18"/>
              </w:rPr>
              <w:t>-0.21</w:t>
            </w:r>
          </w:p>
        </w:tc>
        <w:tc>
          <w:tcPr>
            <w:tcW w:w="324" w:type="pct"/>
            <w:tcBorders>
              <w:top w:val="nil"/>
              <w:left w:val="nil"/>
              <w:bottom w:val="single" w:sz="4" w:space="0" w:color="auto"/>
              <w:right w:val="nil"/>
            </w:tcBorders>
            <w:shd w:val="clear" w:color="auto" w:fill="auto"/>
            <w:noWrap/>
            <w:vAlign w:val="bottom"/>
            <w:hideMark/>
          </w:tcPr>
          <w:p w14:paraId="0C3F8580" w14:textId="77777777" w:rsidR="0015270F" w:rsidRPr="0095562E" w:rsidRDefault="0015270F" w:rsidP="00162359">
            <w:pPr>
              <w:spacing w:before="0" w:after="0"/>
              <w:rPr>
                <w:rStyle w:val="BookTitle"/>
                <w:sz w:val="18"/>
                <w:szCs w:val="18"/>
              </w:rPr>
            </w:pPr>
            <w:r w:rsidRPr="0095562E">
              <w:rPr>
                <w:rStyle w:val="BookTitle"/>
                <w:sz w:val="18"/>
                <w:szCs w:val="18"/>
              </w:rPr>
              <w:t>0.59</w:t>
            </w:r>
          </w:p>
        </w:tc>
        <w:tc>
          <w:tcPr>
            <w:tcW w:w="324" w:type="pct"/>
            <w:tcBorders>
              <w:top w:val="nil"/>
              <w:left w:val="nil"/>
              <w:bottom w:val="single" w:sz="4" w:space="0" w:color="auto"/>
              <w:right w:val="nil"/>
            </w:tcBorders>
            <w:shd w:val="clear" w:color="000000" w:fill="FFFF00"/>
            <w:noWrap/>
            <w:vAlign w:val="bottom"/>
            <w:hideMark/>
          </w:tcPr>
          <w:p w14:paraId="0C3F8581" w14:textId="77777777" w:rsidR="0015270F" w:rsidRPr="0095562E" w:rsidRDefault="0015270F" w:rsidP="00162359">
            <w:pPr>
              <w:spacing w:before="0" w:after="0"/>
              <w:rPr>
                <w:rStyle w:val="BookTitle"/>
                <w:sz w:val="18"/>
                <w:szCs w:val="18"/>
              </w:rPr>
            </w:pPr>
            <w:r w:rsidRPr="0095562E">
              <w:rPr>
                <w:rStyle w:val="BookTitle"/>
                <w:sz w:val="18"/>
                <w:szCs w:val="18"/>
              </w:rPr>
              <w:t>0.71</w:t>
            </w:r>
          </w:p>
        </w:tc>
        <w:tc>
          <w:tcPr>
            <w:tcW w:w="324" w:type="pct"/>
            <w:tcBorders>
              <w:top w:val="nil"/>
              <w:left w:val="nil"/>
              <w:bottom w:val="single" w:sz="4" w:space="0" w:color="auto"/>
              <w:right w:val="nil"/>
            </w:tcBorders>
            <w:shd w:val="clear" w:color="000000" w:fill="FFFF00"/>
            <w:noWrap/>
            <w:vAlign w:val="bottom"/>
            <w:hideMark/>
          </w:tcPr>
          <w:p w14:paraId="0C3F8582" w14:textId="77777777" w:rsidR="0015270F" w:rsidRPr="0095562E" w:rsidRDefault="0015270F" w:rsidP="00162359">
            <w:pPr>
              <w:spacing w:before="0" w:after="0"/>
              <w:rPr>
                <w:rStyle w:val="BookTitle"/>
                <w:sz w:val="18"/>
                <w:szCs w:val="18"/>
              </w:rPr>
            </w:pPr>
            <w:r w:rsidRPr="0095562E">
              <w:rPr>
                <w:rStyle w:val="BookTitle"/>
                <w:sz w:val="18"/>
                <w:szCs w:val="18"/>
              </w:rPr>
              <w:t>0.67</w:t>
            </w:r>
          </w:p>
        </w:tc>
        <w:tc>
          <w:tcPr>
            <w:tcW w:w="324" w:type="pct"/>
            <w:tcBorders>
              <w:top w:val="nil"/>
              <w:left w:val="nil"/>
              <w:bottom w:val="single" w:sz="4" w:space="0" w:color="auto"/>
              <w:right w:val="nil"/>
            </w:tcBorders>
            <w:shd w:val="clear" w:color="auto" w:fill="auto"/>
            <w:noWrap/>
            <w:vAlign w:val="bottom"/>
            <w:hideMark/>
          </w:tcPr>
          <w:p w14:paraId="0C3F8583" w14:textId="77777777" w:rsidR="0015270F" w:rsidRPr="0095562E" w:rsidRDefault="0015270F" w:rsidP="00162359">
            <w:pPr>
              <w:spacing w:before="0" w:after="0"/>
              <w:rPr>
                <w:rStyle w:val="BookTitle"/>
                <w:sz w:val="18"/>
                <w:szCs w:val="18"/>
              </w:rPr>
            </w:pPr>
            <w:r w:rsidRPr="0095562E">
              <w:rPr>
                <w:rStyle w:val="BookTitle"/>
                <w:sz w:val="18"/>
                <w:szCs w:val="18"/>
              </w:rPr>
              <w:t>0.14</w:t>
            </w:r>
          </w:p>
        </w:tc>
        <w:tc>
          <w:tcPr>
            <w:tcW w:w="324" w:type="pct"/>
            <w:tcBorders>
              <w:top w:val="nil"/>
              <w:left w:val="nil"/>
              <w:bottom w:val="single" w:sz="4" w:space="0" w:color="auto"/>
              <w:right w:val="nil"/>
            </w:tcBorders>
            <w:shd w:val="clear" w:color="auto" w:fill="auto"/>
            <w:noWrap/>
            <w:vAlign w:val="bottom"/>
            <w:hideMark/>
          </w:tcPr>
          <w:p w14:paraId="0C3F8584" w14:textId="77777777" w:rsidR="0015270F" w:rsidRPr="0095562E" w:rsidRDefault="0015270F" w:rsidP="00162359">
            <w:pPr>
              <w:spacing w:before="0" w:after="0"/>
              <w:rPr>
                <w:rStyle w:val="BookTitle"/>
                <w:sz w:val="18"/>
                <w:szCs w:val="18"/>
              </w:rPr>
            </w:pPr>
            <w:r w:rsidRPr="0095562E">
              <w:rPr>
                <w:rStyle w:val="BookTitle"/>
                <w:sz w:val="18"/>
                <w:szCs w:val="18"/>
              </w:rPr>
              <w:t>0.20</w:t>
            </w:r>
          </w:p>
        </w:tc>
        <w:tc>
          <w:tcPr>
            <w:tcW w:w="324" w:type="pct"/>
            <w:tcBorders>
              <w:top w:val="nil"/>
              <w:left w:val="nil"/>
              <w:bottom w:val="single" w:sz="4" w:space="0" w:color="auto"/>
              <w:right w:val="nil"/>
            </w:tcBorders>
            <w:shd w:val="clear" w:color="auto" w:fill="auto"/>
            <w:noWrap/>
            <w:vAlign w:val="bottom"/>
            <w:hideMark/>
          </w:tcPr>
          <w:p w14:paraId="0C3F8585" w14:textId="77777777" w:rsidR="0015270F" w:rsidRPr="0095562E" w:rsidRDefault="0015270F" w:rsidP="00162359">
            <w:pPr>
              <w:spacing w:before="0" w:after="0"/>
              <w:rPr>
                <w:rStyle w:val="BookTitle"/>
                <w:sz w:val="18"/>
                <w:szCs w:val="18"/>
              </w:rPr>
            </w:pPr>
            <w:r w:rsidRPr="0095562E">
              <w:rPr>
                <w:rStyle w:val="BookTitle"/>
                <w:sz w:val="18"/>
                <w:szCs w:val="18"/>
              </w:rPr>
              <w:t>0.30</w:t>
            </w:r>
          </w:p>
        </w:tc>
        <w:tc>
          <w:tcPr>
            <w:tcW w:w="324" w:type="pct"/>
            <w:tcBorders>
              <w:top w:val="nil"/>
              <w:left w:val="nil"/>
              <w:bottom w:val="single" w:sz="4" w:space="0" w:color="auto"/>
              <w:right w:val="nil"/>
            </w:tcBorders>
            <w:shd w:val="clear" w:color="auto" w:fill="auto"/>
            <w:noWrap/>
            <w:vAlign w:val="bottom"/>
            <w:hideMark/>
          </w:tcPr>
          <w:p w14:paraId="0C3F8586" w14:textId="77777777" w:rsidR="0015270F" w:rsidRPr="0095562E" w:rsidRDefault="0015270F" w:rsidP="00162359">
            <w:pPr>
              <w:spacing w:before="0" w:after="0"/>
              <w:rPr>
                <w:rStyle w:val="BookTitle"/>
                <w:sz w:val="18"/>
                <w:szCs w:val="18"/>
              </w:rPr>
            </w:pPr>
            <w:r w:rsidRPr="0095562E">
              <w:rPr>
                <w:rStyle w:val="BookTitle"/>
                <w:sz w:val="18"/>
                <w:szCs w:val="18"/>
              </w:rPr>
              <w:t>0.36</w:t>
            </w:r>
          </w:p>
        </w:tc>
        <w:tc>
          <w:tcPr>
            <w:tcW w:w="324" w:type="pct"/>
            <w:tcBorders>
              <w:top w:val="nil"/>
              <w:left w:val="nil"/>
              <w:bottom w:val="single" w:sz="4" w:space="0" w:color="auto"/>
              <w:right w:val="nil"/>
            </w:tcBorders>
            <w:shd w:val="clear" w:color="auto" w:fill="auto"/>
            <w:noWrap/>
            <w:vAlign w:val="bottom"/>
            <w:hideMark/>
          </w:tcPr>
          <w:p w14:paraId="0C3F8587" w14:textId="77777777" w:rsidR="0015270F" w:rsidRPr="0095562E" w:rsidRDefault="0015270F" w:rsidP="00162359">
            <w:pPr>
              <w:spacing w:before="0" w:after="0"/>
              <w:rPr>
                <w:rStyle w:val="BookTitle"/>
                <w:sz w:val="18"/>
                <w:szCs w:val="18"/>
              </w:rPr>
            </w:pPr>
            <w:r w:rsidRPr="0095562E">
              <w:rPr>
                <w:rStyle w:val="BookTitle"/>
                <w:sz w:val="18"/>
                <w:szCs w:val="18"/>
              </w:rPr>
              <w:t>0.41</w:t>
            </w:r>
          </w:p>
        </w:tc>
        <w:tc>
          <w:tcPr>
            <w:tcW w:w="324" w:type="pct"/>
            <w:tcBorders>
              <w:top w:val="nil"/>
              <w:left w:val="nil"/>
              <w:bottom w:val="single" w:sz="4" w:space="0" w:color="auto"/>
              <w:right w:val="nil"/>
            </w:tcBorders>
            <w:shd w:val="clear" w:color="auto" w:fill="auto"/>
            <w:noWrap/>
            <w:vAlign w:val="bottom"/>
            <w:hideMark/>
          </w:tcPr>
          <w:p w14:paraId="0C3F8588" w14:textId="77777777" w:rsidR="0015270F" w:rsidRPr="0095562E" w:rsidRDefault="0015270F" w:rsidP="00162359">
            <w:pPr>
              <w:spacing w:before="0" w:after="0"/>
              <w:rPr>
                <w:rStyle w:val="BookTitle"/>
                <w:sz w:val="18"/>
                <w:szCs w:val="18"/>
              </w:rPr>
            </w:pPr>
            <w:r w:rsidRPr="0095562E">
              <w:rPr>
                <w:rStyle w:val="BookTitle"/>
                <w:sz w:val="18"/>
                <w:szCs w:val="18"/>
              </w:rPr>
              <w:t>0.43</w:t>
            </w:r>
          </w:p>
        </w:tc>
        <w:tc>
          <w:tcPr>
            <w:tcW w:w="324" w:type="pct"/>
            <w:tcBorders>
              <w:top w:val="nil"/>
              <w:left w:val="nil"/>
              <w:bottom w:val="single" w:sz="4" w:space="0" w:color="auto"/>
              <w:right w:val="nil"/>
            </w:tcBorders>
            <w:shd w:val="clear" w:color="auto" w:fill="auto"/>
            <w:noWrap/>
            <w:vAlign w:val="bottom"/>
            <w:hideMark/>
          </w:tcPr>
          <w:p w14:paraId="0C3F8589" w14:textId="77777777" w:rsidR="0015270F" w:rsidRPr="0095562E" w:rsidRDefault="0015270F" w:rsidP="00162359">
            <w:pPr>
              <w:spacing w:before="0" w:after="0"/>
              <w:rPr>
                <w:rStyle w:val="BookTitle"/>
                <w:sz w:val="18"/>
                <w:szCs w:val="18"/>
              </w:rPr>
            </w:pPr>
            <w:r w:rsidRPr="0095562E">
              <w:rPr>
                <w:rStyle w:val="BookTitle"/>
                <w:sz w:val="18"/>
                <w:szCs w:val="18"/>
              </w:rPr>
              <w:t>0.24</w:t>
            </w:r>
          </w:p>
        </w:tc>
        <w:tc>
          <w:tcPr>
            <w:tcW w:w="324" w:type="pct"/>
            <w:tcBorders>
              <w:top w:val="nil"/>
              <w:left w:val="nil"/>
              <w:bottom w:val="single" w:sz="4" w:space="0" w:color="auto"/>
              <w:right w:val="nil"/>
            </w:tcBorders>
            <w:shd w:val="clear" w:color="auto" w:fill="auto"/>
            <w:noWrap/>
            <w:vAlign w:val="bottom"/>
            <w:hideMark/>
          </w:tcPr>
          <w:p w14:paraId="0C3F858A" w14:textId="77777777" w:rsidR="0015270F" w:rsidRPr="0095562E" w:rsidRDefault="0015270F" w:rsidP="00162359">
            <w:pPr>
              <w:spacing w:before="0" w:after="0"/>
              <w:rPr>
                <w:rStyle w:val="BookTitle"/>
                <w:sz w:val="18"/>
                <w:szCs w:val="18"/>
              </w:rPr>
            </w:pPr>
            <w:r w:rsidRPr="0095562E">
              <w:rPr>
                <w:rStyle w:val="BookTitle"/>
                <w:sz w:val="18"/>
                <w:szCs w:val="18"/>
              </w:rPr>
              <w:t>1</w:t>
            </w:r>
          </w:p>
        </w:tc>
      </w:tr>
    </w:tbl>
    <w:p w14:paraId="0C3F858C" w14:textId="77777777" w:rsidR="0015270F" w:rsidRDefault="0015270F" w:rsidP="0015270F"/>
    <w:p w14:paraId="0C3F858D" w14:textId="77777777" w:rsidR="0015270F" w:rsidRDefault="0015270F" w:rsidP="0015270F">
      <w:r>
        <w:tab/>
        <w:t xml:space="preserve">Spearman’s rank correlation coefficient identified only four significant high correlations (&gt;0.61) for the WQ parameters sampled in the Burdekin NRM (Table </w:t>
      </w:r>
      <w:r w:rsidR="00F329CC">
        <w:t>4-8</w:t>
      </w:r>
      <w:r w:rsidR="00162359">
        <w:t>)</w:t>
      </w:r>
      <w:r w:rsidR="003C535B">
        <w:t>.</w:t>
      </w:r>
      <w:r>
        <w:t xml:space="preserve"> These correlations were observed for the pairs TP – TDP and PN – chl-a.</w:t>
      </w:r>
      <w:r w:rsidR="009259F9">
        <w:t xml:space="preserve"> Discharge, distance and salinity were not highly correlated, influenced by the low flow conditions associated with the timing of the sampling in the Burdekin transect.</w:t>
      </w:r>
    </w:p>
    <w:p w14:paraId="0C3F858E" w14:textId="77777777" w:rsidR="0015270F" w:rsidRDefault="0015270F" w:rsidP="009259F9">
      <w:pPr>
        <w:pStyle w:val="Caption"/>
      </w:pPr>
      <w:bookmarkStart w:id="129" w:name="_Toc434208075"/>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8</w:t>
      </w:r>
      <w:r w:rsidR="00AE4287">
        <w:fldChar w:fldCharType="end"/>
      </w:r>
      <w:r>
        <w:t xml:space="preserve">: </w:t>
      </w:r>
      <w:r w:rsidRPr="0089419E">
        <w:t xml:space="preserve">Spearman’s </w:t>
      </w:r>
      <w:r>
        <w:t>rank correlation coef</w:t>
      </w:r>
      <w:r w:rsidR="009259F9">
        <w:t>ficients for the parameters from</w:t>
      </w:r>
      <w:r>
        <w:t xml:space="preserve"> the Burdekin region. A</w:t>
      </w:r>
      <w:r w:rsidRPr="0089419E">
        <w:t xml:space="preserve">ll </w:t>
      </w:r>
      <w:r>
        <w:t xml:space="preserve">highlighted values </w:t>
      </w:r>
      <w:r w:rsidRPr="0089419E">
        <w:t xml:space="preserve">are </w:t>
      </w:r>
      <w:r w:rsidR="00F329CC">
        <w:t>significant</w:t>
      </w:r>
      <w:r w:rsidR="00F329CC" w:rsidRPr="0089419E">
        <w:t xml:space="preserve"> </w:t>
      </w:r>
      <w:r w:rsidRPr="0089419E">
        <w:t>at p &lt; 0.01</w:t>
      </w:r>
      <w:r>
        <w:t xml:space="preserve"> and represent a correlation &gt;0.6 or &lt;-.06</w:t>
      </w:r>
      <w:r w:rsidRPr="0089419E">
        <w:t>.</w:t>
      </w:r>
      <w:r>
        <w:t xml:space="preserve"> Parameter on the table are surface salinity (Sal.), 5-day average discharge (Disch.), distance between the river mouth and the sampling site (Dist.), </w:t>
      </w:r>
      <w:r w:rsidR="0095562E">
        <w:t>TSS</w:t>
      </w:r>
      <w:r>
        <w:t xml:space="preserve">, </w:t>
      </w:r>
      <w:r w:rsidR="005F304A">
        <w:t>chl</w:t>
      </w:r>
      <w:r>
        <w:t>-a</w:t>
      </w:r>
      <w:r w:rsidR="0095562E">
        <w:t>, TN</w:t>
      </w:r>
      <w:r>
        <w:t xml:space="preserve">, </w:t>
      </w:r>
      <w:r w:rsidR="0095562E">
        <w:t>TDN</w:t>
      </w:r>
      <w:r>
        <w:t xml:space="preserve">), </w:t>
      </w:r>
      <w:r w:rsidR="0095562E">
        <w:t>DIN</w:t>
      </w:r>
      <w:r>
        <w:t>,</w:t>
      </w:r>
      <w:r w:rsidRPr="00405A8D">
        <w:t xml:space="preserve"> </w:t>
      </w:r>
      <w:r w:rsidR="0095562E">
        <w:t>TP</w:t>
      </w:r>
      <w:r>
        <w:t xml:space="preserve">, </w:t>
      </w:r>
      <w:r w:rsidR="0095562E">
        <w:t>TDP</w:t>
      </w:r>
      <w:r>
        <w:t xml:space="preserve">, </w:t>
      </w:r>
      <w:r w:rsidR="0095562E">
        <w:t>DIP</w:t>
      </w:r>
      <w:r>
        <w:t xml:space="preserve">, </w:t>
      </w:r>
      <w:r w:rsidR="0095562E">
        <w:t>PN</w:t>
      </w:r>
      <w:r>
        <w:t xml:space="preserve">, </w:t>
      </w:r>
      <w:r w:rsidR="0095562E">
        <w:t>PP and Si</w:t>
      </w:r>
      <w:r>
        <w:t>.</w:t>
      </w:r>
      <w:bookmarkEnd w:id="129"/>
    </w:p>
    <w:tbl>
      <w:tblPr>
        <w:tblW w:w="5053" w:type="pct"/>
        <w:tblLook w:val="04A0" w:firstRow="1" w:lastRow="0" w:firstColumn="1" w:lastColumn="0" w:noHBand="0" w:noVBand="1"/>
      </w:tblPr>
      <w:tblGrid>
        <w:gridCol w:w="679"/>
        <w:gridCol w:w="612"/>
        <w:gridCol w:w="705"/>
        <w:gridCol w:w="612"/>
        <w:gridCol w:w="612"/>
        <w:gridCol w:w="612"/>
        <w:gridCol w:w="612"/>
        <w:gridCol w:w="612"/>
        <w:gridCol w:w="612"/>
        <w:gridCol w:w="612"/>
        <w:gridCol w:w="612"/>
        <w:gridCol w:w="612"/>
        <w:gridCol w:w="612"/>
        <w:gridCol w:w="612"/>
        <w:gridCol w:w="612"/>
      </w:tblGrid>
      <w:tr w:rsidR="0015270F" w:rsidRPr="0095562E" w14:paraId="0C3F859E" w14:textId="77777777" w:rsidTr="00162359">
        <w:trPr>
          <w:trHeight w:val="20"/>
        </w:trPr>
        <w:tc>
          <w:tcPr>
            <w:tcW w:w="363" w:type="pct"/>
            <w:tcBorders>
              <w:top w:val="single" w:sz="4" w:space="0" w:color="auto"/>
              <w:left w:val="nil"/>
              <w:bottom w:val="single" w:sz="4" w:space="0" w:color="auto"/>
              <w:right w:val="nil"/>
            </w:tcBorders>
            <w:shd w:val="clear" w:color="auto" w:fill="auto"/>
            <w:noWrap/>
            <w:vAlign w:val="center"/>
            <w:hideMark/>
          </w:tcPr>
          <w:p w14:paraId="0C3F858F" w14:textId="77777777" w:rsidR="0015270F" w:rsidRPr="0095562E" w:rsidRDefault="0015270F" w:rsidP="0095562E">
            <w:pPr>
              <w:spacing w:before="0" w:after="0"/>
              <w:rPr>
                <w:rStyle w:val="BookTitle"/>
                <w:sz w:val="18"/>
                <w:szCs w:val="18"/>
              </w:rPr>
            </w:pPr>
            <w:r w:rsidRPr="0095562E">
              <w:rPr>
                <w:rStyle w:val="BookTitle"/>
                <w:sz w:val="18"/>
                <w:szCs w:val="18"/>
              </w:rPr>
              <w:t> </w:t>
            </w:r>
          </w:p>
        </w:tc>
        <w:tc>
          <w:tcPr>
            <w:tcW w:w="327" w:type="pct"/>
            <w:tcBorders>
              <w:top w:val="single" w:sz="4" w:space="0" w:color="auto"/>
              <w:left w:val="nil"/>
              <w:bottom w:val="single" w:sz="4" w:space="0" w:color="auto"/>
              <w:right w:val="nil"/>
            </w:tcBorders>
            <w:shd w:val="clear" w:color="auto" w:fill="auto"/>
            <w:noWrap/>
            <w:vAlign w:val="center"/>
            <w:hideMark/>
          </w:tcPr>
          <w:p w14:paraId="0C3F8590" w14:textId="77777777" w:rsidR="0015270F" w:rsidRPr="0095562E" w:rsidRDefault="0015270F" w:rsidP="0095562E">
            <w:pPr>
              <w:spacing w:before="0" w:after="0"/>
              <w:rPr>
                <w:rStyle w:val="BookTitle"/>
                <w:sz w:val="18"/>
                <w:szCs w:val="18"/>
              </w:rPr>
            </w:pPr>
            <w:r w:rsidRPr="0095562E">
              <w:rPr>
                <w:rStyle w:val="BookTitle"/>
                <w:sz w:val="18"/>
                <w:szCs w:val="18"/>
              </w:rPr>
              <w:t>Sal.</w:t>
            </w:r>
          </w:p>
        </w:tc>
        <w:tc>
          <w:tcPr>
            <w:tcW w:w="380" w:type="pct"/>
            <w:tcBorders>
              <w:top w:val="single" w:sz="4" w:space="0" w:color="auto"/>
              <w:left w:val="nil"/>
              <w:bottom w:val="single" w:sz="4" w:space="0" w:color="auto"/>
              <w:right w:val="nil"/>
            </w:tcBorders>
            <w:shd w:val="clear" w:color="auto" w:fill="auto"/>
            <w:noWrap/>
            <w:vAlign w:val="center"/>
            <w:hideMark/>
          </w:tcPr>
          <w:p w14:paraId="0C3F8591" w14:textId="77777777" w:rsidR="0015270F" w:rsidRPr="0095562E" w:rsidRDefault="0015270F" w:rsidP="00162359">
            <w:pPr>
              <w:spacing w:before="0" w:after="0"/>
              <w:ind w:left="-113" w:firstLine="113"/>
              <w:rPr>
                <w:rStyle w:val="BookTitle"/>
                <w:sz w:val="18"/>
                <w:szCs w:val="18"/>
              </w:rPr>
            </w:pPr>
            <w:r w:rsidRPr="0095562E">
              <w:rPr>
                <w:rStyle w:val="BookTitle"/>
                <w:sz w:val="18"/>
                <w:szCs w:val="18"/>
              </w:rPr>
              <w:t>Disch.</w:t>
            </w:r>
          </w:p>
        </w:tc>
        <w:tc>
          <w:tcPr>
            <w:tcW w:w="327" w:type="pct"/>
            <w:tcBorders>
              <w:top w:val="single" w:sz="4" w:space="0" w:color="auto"/>
              <w:left w:val="nil"/>
              <w:bottom w:val="single" w:sz="4" w:space="0" w:color="auto"/>
              <w:right w:val="nil"/>
            </w:tcBorders>
            <w:shd w:val="clear" w:color="auto" w:fill="auto"/>
            <w:noWrap/>
            <w:vAlign w:val="center"/>
            <w:hideMark/>
          </w:tcPr>
          <w:p w14:paraId="0C3F8592" w14:textId="77777777" w:rsidR="0015270F" w:rsidRPr="0095562E" w:rsidRDefault="0015270F" w:rsidP="0095562E">
            <w:pPr>
              <w:spacing w:before="0" w:after="0"/>
              <w:rPr>
                <w:rStyle w:val="BookTitle"/>
                <w:sz w:val="18"/>
                <w:szCs w:val="18"/>
              </w:rPr>
            </w:pPr>
            <w:r w:rsidRPr="0095562E">
              <w:rPr>
                <w:rStyle w:val="BookTitle"/>
                <w:sz w:val="18"/>
                <w:szCs w:val="18"/>
              </w:rPr>
              <w:t>Dist.</w:t>
            </w:r>
          </w:p>
        </w:tc>
        <w:tc>
          <w:tcPr>
            <w:tcW w:w="328" w:type="pct"/>
            <w:tcBorders>
              <w:top w:val="single" w:sz="4" w:space="0" w:color="auto"/>
              <w:left w:val="nil"/>
              <w:bottom w:val="single" w:sz="4" w:space="0" w:color="auto"/>
              <w:right w:val="nil"/>
            </w:tcBorders>
            <w:shd w:val="clear" w:color="auto" w:fill="auto"/>
            <w:noWrap/>
            <w:vAlign w:val="center"/>
            <w:hideMark/>
          </w:tcPr>
          <w:p w14:paraId="0C3F8593" w14:textId="77777777" w:rsidR="0015270F" w:rsidRPr="0095562E" w:rsidRDefault="0015270F" w:rsidP="0095562E">
            <w:pPr>
              <w:spacing w:before="0" w:after="0"/>
              <w:rPr>
                <w:rStyle w:val="BookTitle"/>
                <w:sz w:val="18"/>
                <w:szCs w:val="18"/>
              </w:rPr>
            </w:pPr>
            <w:r w:rsidRPr="0095562E">
              <w:rPr>
                <w:rStyle w:val="BookTitle"/>
                <w:sz w:val="18"/>
                <w:szCs w:val="18"/>
              </w:rPr>
              <w:t>TSS</w:t>
            </w:r>
          </w:p>
        </w:tc>
        <w:tc>
          <w:tcPr>
            <w:tcW w:w="328" w:type="pct"/>
            <w:tcBorders>
              <w:top w:val="single" w:sz="4" w:space="0" w:color="auto"/>
              <w:left w:val="nil"/>
              <w:bottom w:val="single" w:sz="4" w:space="0" w:color="auto"/>
              <w:right w:val="nil"/>
            </w:tcBorders>
            <w:shd w:val="clear" w:color="auto" w:fill="auto"/>
            <w:noWrap/>
            <w:vAlign w:val="center"/>
            <w:hideMark/>
          </w:tcPr>
          <w:p w14:paraId="0C3F8594" w14:textId="77777777" w:rsidR="0015270F" w:rsidRPr="0095562E" w:rsidRDefault="0015270F" w:rsidP="0095562E">
            <w:pPr>
              <w:spacing w:before="0" w:after="0"/>
              <w:rPr>
                <w:rStyle w:val="BookTitle"/>
                <w:sz w:val="18"/>
                <w:szCs w:val="18"/>
              </w:rPr>
            </w:pPr>
            <w:r w:rsidRPr="0095562E">
              <w:rPr>
                <w:rStyle w:val="BookTitle"/>
                <w:sz w:val="18"/>
                <w:szCs w:val="18"/>
              </w:rPr>
              <w:t>chl-a</w:t>
            </w:r>
          </w:p>
        </w:tc>
        <w:tc>
          <w:tcPr>
            <w:tcW w:w="328" w:type="pct"/>
            <w:tcBorders>
              <w:top w:val="single" w:sz="4" w:space="0" w:color="auto"/>
              <w:left w:val="nil"/>
              <w:bottom w:val="single" w:sz="4" w:space="0" w:color="auto"/>
              <w:right w:val="nil"/>
            </w:tcBorders>
            <w:shd w:val="clear" w:color="auto" w:fill="auto"/>
            <w:noWrap/>
            <w:vAlign w:val="center"/>
            <w:hideMark/>
          </w:tcPr>
          <w:p w14:paraId="0C3F8595" w14:textId="77777777" w:rsidR="0015270F" w:rsidRPr="0095562E" w:rsidRDefault="0015270F" w:rsidP="0095562E">
            <w:pPr>
              <w:spacing w:before="0" w:after="0"/>
              <w:rPr>
                <w:rStyle w:val="BookTitle"/>
                <w:sz w:val="18"/>
                <w:szCs w:val="18"/>
              </w:rPr>
            </w:pPr>
            <w:r w:rsidRPr="0095562E">
              <w:rPr>
                <w:rStyle w:val="BookTitle"/>
                <w:sz w:val="18"/>
                <w:szCs w:val="18"/>
              </w:rPr>
              <w:t>TN</w:t>
            </w:r>
          </w:p>
        </w:tc>
        <w:tc>
          <w:tcPr>
            <w:tcW w:w="328" w:type="pct"/>
            <w:tcBorders>
              <w:top w:val="single" w:sz="4" w:space="0" w:color="auto"/>
              <w:left w:val="nil"/>
              <w:bottom w:val="single" w:sz="4" w:space="0" w:color="auto"/>
              <w:right w:val="nil"/>
            </w:tcBorders>
            <w:shd w:val="clear" w:color="auto" w:fill="auto"/>
            <w:noWrap/>
            <w:vAlign w:val="center"/>
            <w:hideMark/>
          </w:tcPr>
          <w:p w14:paraId="0C3F8596" w14:textId="77777777" w:rsidR="0015270F" w:rsidRPr="0095562E" w:rsidRDefault="0015270F" w:rsidP="0095562E">
            <w:pPr>
              <w:spacing w:before="0" w:after="0"/>
              <w:rPr>
                <w:rStyle w:val="BookTitle"/>
                <w:sz w:val="18"/>
                <w:szCs w:val="18"/>
              </w:rPr>
            </w:pPr>
            <w:r w:rsidRPr="0095562E">
              <w:rPr>
                <w:rStyle w:val="BookTitle"/>
                <w:sz w:val="18"/>
                <w:szCs w:val="18"/>
              </w:rPr>
              <w:t>TDN</w:t>
            </w:r>
          </w:p>
        </w:tc>
        <w:tc>
          <w:tcPr>
            <w:tcW w:w="328" w:type="pct"/>
            <w:tcBorders>
              <w:top w:val="single" w:sz="4" w:space="0" w:color="auto"/>
              <w:left w:val="nil"/>
              <w:bottom w:val="single" w:sz="4" w:space="0" w:color="auto"/>
              <w:right w:val="nil"/>
            </w:tcBorders>
            <w:shd w:val="clear" w:color="auto" w:fill="auto"/>
            <w:noWrap/>
            <w:vAlign w:val="center"/>
            <w:hideMark/>
          </w:tcPr>
          <w:p w14:paraId="0C3F8597" w14:textId="77777777" w:rsidR="0015270F" w:rsidRPr="0095562E" w:rsidRDefault="0015270F" w:rsidP="0095562E">
            <w:pPr>
              <w:spacing w:before="0" w:after="0"/>
              <w:rPr>
                <w:rStyle w:val="BookTitle"/>
                <w:sz w:val="18"/>
                <w:szCs w:val="18"/>
              </w:rPr>
            </w:pPr>
            <w:r w:rsidRPr="0095562E">
              <w:rPr>
                <w:rStyle w:val="BookTitle"/>
                <w:sz w:val="18"/>
                <w:szCs w:val="18"/>
              </w:rPr>
              <w:t>DIN</w:t>
            </w:r>
          </w:p>
        </w:tc>
        <w:tc>
          <w:tcPr>
            <w:tcW w:w="328" w:type="pct"/>
            <w:tcBorders>
              <w:top w:val="single" w:sz="4" w:space="0" w:color="auto"/>
              <w:left w:val="nil"/>
              <w:bottom w:val="single" w:sz="4" w:space="0" w:color="auto"/>
              <w:right w:val="nil"/>
            </w:tcBorders>
            <w:shd w:val="clear" w:color="auto" w:fill="auto"/>
            <w:noWrap/>
            <w:vAlign w:val="center"/>
            <w:hideMark/>
          </w:tcPr>
          <w:p w14:paraId="0C3F8598" w14:textId="77777777" w:rsidR="0015270F" w:rsidRPr="0095562E" w:rsidRDefault="0015270F" w:rsidP="0095562E">
            <w:pPr>
              <w:spacing w:before="0" w:after="0"/>
              <w:rPr>
                <w:rStyle w:val="BookTitle"/>
                <w:sz w:val="18"/>
                <w:szCs w:val="18"/>
              </w:rPr>
            </w:pPr>
            <w:r w:rsidRPr="0095562E">
              <w:rPr>
                <w:rStyle w:val="BookTitle"/>
                <w:sz w:val="18"/>
                <w:szCs w:val="18"/>
              </w:rPr>
              <w:t>TP</w:t>
            </w:r>
          </w:p>
        </w:tc>
        <w:tc>
          <w:tcPr>
            <w:tcW w:w="328" w:type="pct"/>
            <w:tcBorders>
              <w:top w:val="single" w:sz="4" w:space="0" w:color="auto"/>
              <w:left w:val="nil"/>
              <w:bottom w:val="single" w:sz="4" w:space="0" w:color="auto"/>
              <w:right w:val="nil"/>
            </w:tcBorders>
            <w:shd w:val="clear" w:color="auto" w:fill="auto"/>
            <w:noWrap/>
            <w:vAlign w:val="center"/>
            <w:hideMark/>
          </w:tcPr>
          <w:p w14:paraId="0C3F8599" w14:textId="77777777" w:rsidR="0015270F" w:rsidRPr="0095562E" w:rsidRDefault="0015270F" w:rsidP="0095562E">
            <w:pPr>
              <w:spacing w:before="0" w:after="0"/>
              <w:rPr>
                <w:rStyle w:val="BookTitle"/>
                <w:sz w:val="18"/>
                <w:szCs w:val="18"/>
              </w:rPr>
            </w:pPr>
            <w:r w:rsidRPr="0095562E">
              <w:rPr>
                <w:rStyle w:val="BookTitle"/>
                <w:sz w:val="18"/>
                <w:szCs w:val="18"/>
              </w:rPr>
              <w:t>TDP</w:t>
            </w:r>
          </w:p>
        </w:tc>
        <w:tc>
          <w:tcPr>
            <w:tcW w:w="328" w:type="pct"/>
            <w:tcBorders>
              <w:top w:val="single" w:sz="4" w:space="0" w:color="auto"/>
              <w:left w:val="nil"/>
              <w:bottom w:val="single" w:sz="4" w:space="0" w:color="auto"/>
              <w:right w:val="nil"/>
            </w:tcBorders>
            <w:shd w:val="clear" w:color="auto" w:fill="auto"/>
            <w:noWrap/>
            <w:vAlign w:val="center"/>
            <w:hideMark/>
          </w:tcPr>
          <w:p w14:paraId="0C3F859A" w14:textId="77777777" w:rsidR="0015270F" w:rsidRPr="0095562E" w:rsidRDefault="0015270F" w:rsidP="0095562E">
            <w:pPr>
              <w:spacing w:before="0" w:after="0"/>
              <w:rPr>
                <w:rStyle w:val="BookTitle"/>
                <w:sz w:val="18"/>
                <w:szCs w:val="18"/>
              </w:rPr>
            </w:pPr>
            <w:r w:rsidRPr="0095562E">
              <w:rPr>
                <w:rStyle w:val="BookTitle"/>
                <w:sz w:val="18"/>
                <w:szCs w:val="18"/>
              </w:rPr>
              <w:t>DIP</w:t>
            </w:r>
          </w:p>
        </w:tc>
        <w:tc>
          <w:tcPr>
            <w:tcW w:w="328" w:type="pct"/>
            <w:tcBorders>
              <w:top w:val="single" w:sz="4" w:space="0" w:color="auto"/>
              <w:left w:val="nil"/>
              <w:bottom w:val="single" w:sz="4" w:space="0" w:color="auto"/>
              <w:right w:val="nil"/>
            </w:tcBorders>
            <w:shd w:val="clear" w:color="auto" w:fill="auto"/>
            <w:noWrap/>
            <w:vAlign w:val="center"/>
            <w:hideMark/>
          </w:tcPr>
          <w:p w14:paraId="0C3F859B" w14:textId="77777777" w:rsidR="0015270F" w:rsidRPr="0095562E" w:rsidRDefault="0015270F" w:rsidP="0095562E">
            <w:pPr>
              <w:spacing w:before="0" w:after="0"/>
              <w:rPr>
                <w:rStyle w:val="BookTitle"/>
                <w:sz w:val="18"/>
                <w:szCs w:val="18"/>
              </w:rPr>
            </w:pPr>
            <w:r w:rsidRPr="0095562E">
              <w:rPr>
                <w:rStyle w:val="BookTitle"/>
                <w:sz w:val="18"/>
                <w:szCs w:val="18"/>
              </w:rPr>
              <w:t>PN</w:t>
            </w:r>
          </w:p>
        </w:tc>
        <w:tc>
          <w:tcPr>
            <w:tcW w:w="328" w:type="pct"/>
            <w:tcBorders>
              <w:top w:val="single" w:sz="4" w:space="0" w:color="auto"/>
              <w:left w:val="nil"/>
              <w:bottom w:val="single" w:sz="4" w:space="0" w:color="auto"/>
              <w:right w:val="nil"/>
            </w:tcBorders>
            <w:shd w:val="clear" w:color="auto" w:fill="auto"/>
            <w:noWrap/>
            <w:vAlign w:val="center"/>
            <w:hideMark/>
          </w:tcPr>
          <w:p w14:paraId="0C3F859C" w14:textId="77777777" w:rsidR="0015270F" w:rsidRPr="0095562E" w:rsidRDefault="0015270F" w:rsidP="0095562E">
            <w:pPr>
              <w:spacing w:before="0" w:after="0"/>
              <w:rPr>
                <w:rStyle w:val="BookTitle"/>
                <w:sz w:val="18"/>
                <w:szCs w:val="18"/>
              </w:rPr>
            </w:pPr>
            <w:r w:rsidRPr="0095562E">
              <w:rPr>
                <w:rStyle w:val="BookTitle"/>
                <w:sz w:val="18"/>
                <w:szCs w:val="18"/>
              </w:rPr>
              <w:t>PP</w:t>
            </w:r>
          </w:p>
        </w:tc>
        <w:tc>
          <w:tcPr>
            <w:tcW w:w="328" w:type="pct"/>
            <w:tcBorders>
              <w:top w:val="single" w:sz="4" w:space="0" w:color="auto"/>
              <w:left w:val="nil"/>
              <w:bottom w:val="single" w:sz="4" w:space="0" w:color="auto"/>
              <w:right w:val="nil"/>
            </w:tcBorders>
            <w:shd w:val="clear" w:color="auto" w:fill="auto"/>
            <w:noWrap/>
            <w:vAlign w:val="center"/>
            <w:hideMark/>
          </w:tcPr>
          <w:p w14:paraId="0C3F859D" w14:textId="77777777" w:rsidR="0015270F" w:rsidRPr="0095562E" w:rsidRDefault="0015270F" w:rsidP="0095562E">
            <w:pPr>
              <w:spacing w:before="0" w:after="0"/>
              <w:rPr>
                <w:rStyle w:val="BookTitle"/>
                <w:sz w:val="18"/>
                <w:szCs w:val="18"/>
              </w:rPr>
            </w:pPr>
            <w:r w:rsidRPr="0095562E">
              <w:rPr>
                <w:rStyle w:val="BookTitle"/>
                <w:sz w:val="18"/>
                <w:szCs w:val="18"/>
              </w:rPr>
              <w:t>Si</w:t>
            </w:r>
          </w:p>
        </w:tc>
      </w:tr>
      <w:tr w:rsidR="0015270F" w:rsidRPr="0095562E" w14:paraId="0C3F85AE" w14:textId="77777777" w:rsidTr="00162359">
        <w:trPr>
          <w:trHeight w:val="20"/>
        </w:trPr>
        <w:tc>
          <w:tcPr>
            <w:tcW w:w="363" w:type="pct"/>
            <w:tcBorders>
              <w:top w:val="nil"/>
              <w:left w:val="nil"/>
              <w:bottom w:val="nil"/>
              <w:right w:val="nil"/>
            </w:tcBorders>
            <w:shd w:val="clear" w:color="auto" w:fill="auto"/>
            <w:noWrap/>
            <w:vAlign w:val="center"/>
            <w:hideMark/>
          </w:tcPr>
          <w:p w14:paraId="0C3F859F" w14:textId="77777777" w:rsidR="0015270F" w:rsidRPr="0095562E" w:rsidRDefault="0015270F" w:rsidP="0095562E">
            <w:pPr>
              <w:spacing w:before="0" w:after="0"/>
              <w:rPr>
                <w:rStyle w:val="BookTitle"/>
                <w:sz w:val="18"/>
                <w:szCs w:val="18"/>
              </w:rPr>
            </w:pPr>
            <w:r w:rsidRPr="0095562E">
              <w:rPr>
                <w:rStyle w:val="BookTitle"/>
                <w:sz w:val="18"/>
                <w:szCs w:val="18"/>
              </w:rPr>
              <w:t>Sal.</w:t>
            </w:r>
          </w:p>
        </w:tc>
        <w:tc>
          <w:tcPr>
            <w:tcW w:w="327" w:type="pct"/>
            <w:tcBorders>
              <w:top w:val="nil"/>
              <w:left w:val="nil"/>
              <w:bottom w:val="nil"/>
              <w:right w:val="nil"/>
            </w:tcBorders>
            <w:shd w:val="clear" w:color="auto" w:fill="auto"/>
            <w:noWrap/>
            <w:vAlign w:val="center"/>
            <w:hideMark/>
          </w:tcPr>
          <w:p w14:paraId="0C3F85A0"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80" w:type="pct"/>
            <w:tcBorders>
              <w:top w:val="nil"/>
              <w:left w:val="nil"/>
              <w:bottom w:val="nil"/>
              <w:right w:val="nil"/>
            </w:tcBorders>
            <w:shd w:val="clear" w:color="auto" w:fill="auto"/>
            <w:noWrap/>
            <w:vAlign w:val="center"/>
            <w:hideMark/>
          </w:tcPr>
          <w:p w14:paraId="0C3F85A1"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7" w:type="pct"/>
            <w:tcBorders>
              <w:top w:val="nil"/>
              <w:left w:val="nil"/>
              <w:bottom w:val="nil"/>
              <w:right w:val="nil"/>
            </w:tcBorders>
            <w:shd w:val="clear" w:color="auto" w:fill="auto"/>
            <w:noWrap/>
            <w:vAlign w:val="center"/>
            <w:hideMark/>
          </w:tcPr>
          <w:p w14:paraId="0C3F85A2"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8" w:type="pct"/>
            <w:tcBorders>
              <w:top w:val="nil"/>
              <w:left w:val="nil"/>
              <w:bottom w:val="nil"/>
              <w:right w:val="nil"/>
            </w:tcBorders>
            <w:shd w:val="clear" w:color="auto" w:fill="auto"/>
            <w:noWrap/>
            <w:vAlign w:val="center"/>
            <w:hideMark/>
          </w:tcPr>
          <w:p w14:paraId="0C3F85A3"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8" w:type="pct"/>
            <w:tcBorders>
              <w:top w:val="nil"/>
              <w:left w:val="nil"/>
              <w:bottom w:val="nil"/>
              <w:right w:val="nil"/>
            </w:tcBorders>
            <w:shd w:val="clear" w:color="auto" w:fill="auto"/>
            <w:noWrap/>
            <w:vAlign w:val="center"/>
            <w:hideMark/>
          </w:tcPr>
          <w:p w14:paraId="0C3F85A4"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8" w:type="pct"/>
            <w:tcBorders>
              <w:top w:val="nil"/>
              <w:left w:val="nil"/>
              <w:bottom w:val="nil"/>
              <w:right w:val="nil"/>
            </w:tcBorders>
            <w:shd w:val="clear" w:color="auto" w:fill="auto"/>
            <w:noWrap/>
            <w:vAlign w:val="center"/>
            <w:hideMark/>
          </w:tcPr>
          <w:p w14:paraId="0C3F85A5"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8" w:type="pct"/>
            <w:tcBorders>
              <w:top w:val="nil"/>
              <w:left w:val="nil"/>
              <w:bottom w:val="nil"/>
              <w:right w:val="nil"/>
            </w:tcBorders>
            <w:shd w:val="clear" w:color="auto" w:fill="auto"/>
            <w:noWrap/>
            <w:vAlign w:val="center"/>
            <w:hideMark/>
          </w:tcPr>
          <w:p w14:paraId="0C3F85A6"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5A7"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5A8"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8" w:type="pct"/>
            <w:tcBorders>
              <w:top w:val="nil"/>
              <w:left w:val="nil"/>
              <w:bottom w:val="nil"/>
              <w:right w:val="nil"/>
            </w:tcBorders>
            <w:shd w:val="clear" w:color="auto" w:fill="auto"/>
            <w:noWrap/>
            <w:vAlign w:val="center"/>
            <w:hideMark/>
          </w:tcPr>
          <w:p w14:paraId="0C3F85A9"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8" w:type="pct"/>
            <w:tcBorders>
              <w:top w:val="nil"/>
              <w:left w:val="nil"/>
              <w:bottom w:val="nil"/>
              <w:right w:val="nil"/>
            </w:tcBorders>
            <w:shd w:val="clear" w:color="auto" w:fill="auto"/>
            <w:noWrap/>
            <w:vAlign w:val="center"/>
            <w:hideMark/>
          </w:tcPr>
          <w:p w14:paraId="0C3F85AA"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5AB"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8" w:type="pct"/>
            <w:tcBorders>
              <w:top w:val="nil"/>
              <w:left w:val="nil"/>
              <w:bottom w:val="nil"/>
              <w:right w:val="nil"/>
            </w:tcBorders>
            <w:shd w:val="clear" w:color="auto" w:fill="auto"/>
            <w:noWrap/>
            <w:vAlign w:val="center"/>
            <w:hideMark/>
          </w:tcPr>
          <w:p w14:paraId="0C3F85AC"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8" w:type="pct"/>
            <w:tcBorders>
              <w:top w:val="nil"/>
              <w:left w:val="nil"/>
              <w:bottom w:val="nil"/>
              <w:right w:val="nil"/>
            </w:tcBorders>
            <w:shd w:val="clear" w:color="auto" w:fill="auto"/>
            <w:noWrap/>
            <w:vAlign w:val="center"/>
            <w:hideMark/>
          </w:tcPr>
          <w:p w14:paraId="0C3F85AD" w14:textId="77777777" w:rsidR="0015270F" w:rsidRPr="0095562E" w:rsidRDefault="0015270F" w:rsidP="0095562E">
            <w:pPr>
              <w:spacing w:before="0" w:after="0"/>
              <w:rPr>
                <w:rStyle w:val="BookTitle"/>
                <w:sz w:val="18"/>
                <w:szCs w:val="18"/>
              </w:rPr>
            </w:pPr>
            <w:r w:rsidRPr="0095562E">
              <w:rPr>
                <w:rStyle w:val="BookTitle"/>
                <w:sz w:val="18"/>
                <w:szCs w:val="18"/>
              </w:rPr>
              <w:t>-0.07</w:t>
            </w:r>
          </w:p>
        </w:tc>
      </w:tr>
      <w:tr w:rsidR="0015270F" w:rsidRPr="0095562E" w14:paraId="0C3F85BE" w14:textId="77777777" w:rsidTr="00162359">
        <w:trPr>
          <w:trHeight w:val="20"/>
        </w:trPr>
        <w:tc>
          <w:tcPr>
            <w:tcW w:w="363" w:type="pct"/>
            <w:tcBorders>
              <w:top w:val="nil"/>
              <w:left w:val="nil"/>
              <w:bottom w:val="nil"/>
              <w:right w:val="nil"/>
            </w:tcBorders>
            <w:shd w:val="clear" w:color="auto" w:fill="auto"/>
            <w:noWrap/>
            <w:vAlign w:val="center"/>
            <w:hideMark/>
          </w:tcPr>
          <w:p w14:paraId="0C3F85AF" w14:textId="77777777" w:rsidR="0015270F" w:rsidRPr="0095562E" w:rsidRDefault="0015270F" w:rsidP="0095562E">
            <w:pPr>
              <w:spacing w:before="0" w:after="0"/>
              <w:rPr>
                <w:rStyle w:val="BookTitle"/>
                <w:sz w:val="18"/>
                <w:szCs w:val="18"/>
              </w:rPr>
            </w:pPr>
            <w:r w:rsidRPr="0095562E">
              <w:rPr>
                <w:rStyle w:val="BookTitle"/>
                <w:sz w:val="18"/>
                <w:szCs w:val="18"/>
              </w:rPr>
              <w:t>Disch.</w:t>
            </w:r>
          </w:p>
        </w:tc>
        <w:tc>
          <w:tcPr>
            <w:tcW w:w="327" w:type="pct"/>
            <w:tcBorders>
              <w:top w:val="nil"/>
              <w:left w:val="nil"/>
              <w:bottom w:val="nil"/>
              <w:right w:val="nil"/>
            </w:tcBorders>
            <w:shd w:val="clear" w:color="auto" w:fill="auto"/>
            <w:noWrap/>
            <w:vAlign w:val="center"/>
            <w:hideMark/>
          </w:tcPr>
          <w:p w14:paraId="0C3F85B0"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80" w:type="pct"/>
            <w:tcBorders>
              <w:top w:val="nil"/>
              <w:left w:val="nil"/>
              <w:bottom w:val="nil"/>
              <w:right w:val="nil"/>
            </w:tcBorders>
            <w:shd w:val="clear" w:color="auto" w:fill="auto"/>
            <w:noWrap/>
            <w:vAlign w:val="center"/>
            <w:hideMark/>
          </w:tcPr>
          <w:p w14:paraId="0C3F85B1"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7" w:type="pct"/>
            <w:tcBorders>
              <w:top w:val="nil"/>
              <w:left w:val="nil"/>
              <w:bottom w:val="nil"/>
              <w:right w:val="nil"/>
            </w:tcBorders>
            <w:shd w:val="clear" w:color="auto" w:fill="auto"/>
            <w:noWrap/>
            <w:vAlign w:val="center"/>
            <w:hideMark/>
          </w:tcPr>
          <w:p w14:paraId="0C3F85B2" w14:textId="77777777" w:rsidR="0015270F" w:rsidRPr="0095562E" w:rsidRDefault="0015270F" w:rsidP="0095562E">
            <w:pPr>
              <w:spacing w:before="0" w:after="0"/>
              <w:rPr>
                <w:rStyle w:val="BookTitle"/>
                <w:sz w:val="18"/>
                <w:szCs w:val="18"/>
              </w:rPr>
            </w:pPr>
            <w:r w:rsidRPr="0095562E">
              <w:rPr>
                <w:rStyle w:val="BookTitle"/>
                <w:sz w:val="18"/>
                <w:szCs w:val="18"/>
              </w:rPr>
              <w:t>0.60</w:t>
            </w:r>
          </w:p>
        </w:tc>
        <w:tc>
          <w:tcPr>
            <w:tcW w:w="328" w:type="pct"/>
            <w:tcBorders>
              <w:top w:val="nil"/>
              <w:left w:val="nil"/>
              <w:bottom w:val="nil"/>
              <w:right w:val="nil"/>
            </w:tcBorders>
            <w:shd w:val="clear" w:color="auto" w:fill="auto"/>
            <w:noWrap/>
            <w:vAlign w:val="center"/>
            <w:hideMark/>
          </w:tcPr>
          <w:p w14:paraId="0C3F85B3" w14:textId="77777777" w:rsidR="0015270F" w:rsidRPr="0095562E" w:rsidRDefault="0015270F" w:rsidP="0095562E">
            <w:pPr>
              <w:spacing w:before="0" w:after="0"/>
              <w:rPr>
                <w:rStyle w:val="BookTitle"/>
                <w:sz w:val="18"/>
                <w:szCs w:val="18"/>
              </w:rPr>
            </w:pPr>
            <w:r w:rsidRPr="0095562E">
              <w:rPr>
                <w:rStyle w:val="BookTitle"/>
                <w:sz w:val="18"/>
                <w:szCs w:val="18"/>
              </w:rPr>
              <w:t>0.24</w:t>
            </w:r>
          </w:p>
        </w:tc>
        <w:tc>
          <w:tcPr>
            <w:tcW w:w="328" w:type="pct"/>
            <w:tcBorders>
              <w:top w:val="nil"/>
              <w:left w:val="nil"/>
              <w:bottom w:val="nil"/>
              <w:right w:val="nil"/>
            </w:tcBorders>
            <w:shd w:val="clear" w:color="auto" w:fill="auto"/>
            <w:noWrap/>
            <w:vAlign w:val="center"/>
            <w:hideMark/>
          </w:tcPr>
          <w:p w14:paraId="0C3F85B4"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28" w:type="pct"/>
            <w:tcBorders>
              <w:top w:val="nil"/>
              <w:left w:val="nil"/>
              <w:bottom w:val="nil"/>
              <w:right w:val="nil"/>
            </w:tcBorders>
            <w:shd w:val="clear" w:color="auto" w:fill="auto"/>
            <w:noWrap/>
            <w:vAlign w:val="center"/>
            <w:hideMark/>
          </w:tcPr>
          <w:p w14:paraId="0C3F85B5"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5B6"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8" w:type="pct"/>
            <w:tcBorders>
              <w:top w:val="nil"/>
              <w:left w:val="nil"/>
              <w:bottom w:val="nil"/>
              <w:right w:val="nil"/>
            </w:tcBorders>
            <w:shd w:val="clear" w:color="auto" w:fill="auto"/>
            <w:noWrap/>
            <w:vAlign w:val="center"/>
            <w:hideMark/>
          </w:tcPr>
          <w:p w14:paraId="0C3F85B7"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B8"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8" w:type="pct"/>
            <w:tcBorders>
              <w:top w:val="nil"/>
              <w:left w:val="nil"/>
              <w:bottom w:val="nil"/>
              <w:right w:val="nil"/>
            </w:tcBorders>
            <w:shd w:val="clear" w:color="auto" w:fill="auto"/>
            <w:noWrap/>
            <w:vAlign w:val="center"/>
            <w:hideMark/>
          </w:tcPr>
          <w:p w14:paraId="0C3F85B9"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8" w:type="pct"/>
            <w:tcBorders>
              <w:top w:val="nil"/>
              <w:left w:val="nil"/>
              <w:bottom w:val="nil"/>
              <w:right w:val="nil"/>
            </w:tcBorders>
            <w:shd w:val="clear" w:color="auto" w:fill="auto"/>
            <w:noWrap/>
            <w:vAlign w:val="center"/>
            <w:hideMark/>
          </w:tcPr>
          <w:p w14:paraId="0C3F85BA" w14:textId="77777777" w:rsidR="0015270F" w:rsidRPr="0095562E" w:rsidRDefault="0015270F" w:rsidP="0095562E">
            <w:pPr>
              <w:spacing w:before="0" w:after="0"/>
              <w:rPr>
                <w:rStyle w:val="BookTitle"/>
                <w:sz w:val="18"/>
                <w:szCs w:val="18"/>
              </w:rPr>
            </w:pPr>
            <w:r w:rsidRPr="0095562E">
              <w:rPr>
                <w:rStyle w:val="BookTitle"/>
                <w:sz w:val="18"/>
                <w:szCs w:val="18"/>
              </w:rPr>
              <w:t>-0.10</w:t>
            </w:r>
          </w:p>
        </w:tc>
        <w:tc>
          <w:tcPr>
            <w:tcW w:w="328" w:type="pct"/>
            <w:tcBorders>
              <w:top w:val="nil"/>
              <w:left w:val="nil"/>
              <w:bottom w:val="nil"/>
              <w:right w:val="nil"/>
            </w:tcBorders>
            <w:shd w:val="clear" w:color="auto" w:fill="auto"/>
            <w:noWrap/>
            <w:vAlign w:val="center"/>
            <w:hideMark/>
          </w:tcPr>
          <w:p w14:paraId="0C3F85BB"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8" w:type="pct"/>
            <w:tcBorders>
              <w:top w:val="nil"/>
              <w:left w:val="nil"/>
              <w:bottom w:val="nil"/>
              <w:right w:val="nil"/>
            </w:tcBorders>
            <w:shd w:val="clear" w:color="auto" w:fill="auto"/>
            <w:noWrap/>
            <w:vAlign w:val="center"/>
            <w:hideMark/>
          </w:tcPr>
          <w:p w14:paraId="0C3F85BC"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5BD" w14:textId="77777777" w:rsidR="0015270F" w:rsidRPr="0095562E" w:rsidRDefault="0015270F" w:rsidP="0095562E">
            <w:pPr>
              <w:spacing w:before="0" w:after="0"/>
              <w:rPr>
                <w:rStyle w:val="BookTitle"/>
                <w:sz w:val="18"/>
                <w:szCs w:val="18"/>
              </w:rPr>
            </w:pPr>
            <w:r w:rsidRPr="0095562E">
              <w:rPr>
                <w:rStyle w:val="BookTitle"/>
                <w:sz w:val="18"/>
                <w:szCs w:val="18"/>
              </w:rPr>
              <w:t>-0.44</w:t>
            </w:r>
          </w:p>
        </w:tc>
      </w:tr>
      <w:tr w:rsidR="0015270F" w:rsidRPr="0095562E" w14:paraId="0C3F85CE" w14:textId="77777777" w:rsidTr="00162359">
        <w:trPr>
          <w:trHeight w:val="20"/>
        </w:trPr>
        <w:tc>
          <w:tcPr>
            <w:tcW w:w="363" w:type="pct"/>
            <w:tcBorders>
              <w:top w:val="nil"/>
              <w:left w:val="nil"/>
              <w:bottom w:val="nil"/>
              <w:right w:val="nil"/>
            </w:tcBorders>
            <w:shd w:val="clear" w:color="auto" w:fill="auto"/>
            <w:noWrap/>
            <w:vAlign w:val="center"/>
            <w:hideMark/>
          </w:tcPr>
          <w:p w14:paraId="0C3F85BF" w14:textId="77777777" w:rsidR="0015270F" w:rsidRPr="0095562E" w:rsidRDefault="0015270F" w:rsidP="0095562E">
            <w:pPr>
              <w:spacing w:before="0" w:after="0"/>
              <w:rPr>
                <w:rStyle w:val="BookTitle"/>
                <w:sz w:val="18"/>
                <w:szCs w:val="18"/>
              </w:rPr>
            </w:pPr>
            <w:r w:rsidRPr="0095562E">
              <w:rPr>
                <w:rStyle w:val="BookTitle"/>
                <w:sz w:val="18"/>
                <w:szCs w:val="18"/>
              </w:rPr>
              <w:t>Dist.</w:t>
            </w:r>
          </w:p>
        </w:tc>
        <w:tc>
          <w:tcPr>
            <w:tcW w:w="327" w:type="pct"/>
            <w:tcBorders>
              <w:top w:val="nil"/>
              <w:left w:val="nil"/>
              <w:bottom w:val="nil"/>
              <w:right w:val="nil"/>
            </w:tcBorders>
            <w:shd w:val="clear" w:color="auto" w:fill="auto"/>
            <w:noWrap/>
            <w:vAlign w:val="center"/>
            <w:hideMark/>
          </w:tcPr>
          <w:p w14:paraId="0C3F85C0"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80" w:type="pct"/>
            <w:tcBorders>
              <w:top w:val="nil"/>
              <w:left w:val="nil"/>
              <w:bottom w:val="nil"/>
              <w:right w:val="nil"/>
            </w:tcBorders>
            <w:shd w:val="clear" w:color="auto" w:fill="auto"/>
            <w:noWrap/>
            <w:vAlign w:val="center"/>
            <w:hideMark/>
          </w:tcPr>
          <w:p w14:paraId="0C3F85C1" w14:textId="77777777" w:rsidR="0015270F" w:rsidRPr="0095562E" w:rsidRDefault="0015270F" w:rsidP="0095562E">
            <w:pPr>
              <w:spacing w:before="0" w:after="0"/>
              <w:rPr>
                <w:rStyle w:val="BookTitle"/>
                <w:sz w:val="18"/>
                <w:szCs w:val="18"/>
              </w:rPr>
            </w:pPr>
            <w:r w:rsidRPr="0095562E">
              <w:rPr>
                <w:rStyle w:val="BookTitle"/>
                <w:sz w:val="18"/>
                <w:szCs w:val="18"/>
              </w:rPr>
              <w:t>0.60</w:t>
            </w:r>
          </w:p>
        </w:tc>
        <w:tc>
          <w:tcPr>
            <w:tcW w:w="327" w:type="pct"/>
            <w:tcBorders>
              <w:top w:val="nil"/>
              <w:left w:val="nil"/>
              <w:bottom w:val="nil"/>
              <w:right w:val="nil"/>
            </w:tcBorders>
            <w:shd w:val="clear" w:color="auto" w:fill="auto"/>
            <w:noWrap/>
            <w:vAlign w:val="center"/>
            <w:hideMark/>
          </w:tcPr>
          <w:p w14:paraId="0C3F85C2"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5C3"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5C4"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5C5"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5C6"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C7"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C8"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5C9" w14:textId="77777777" w:rsidR="0015270F" w:rsidRPr="0095562E" w:rsidRDefault="0015270F" w:rsidP="0095562E">
            <w:pPr>
              <w:spacing w:before="0" w:after="0"/>
              <w:rPr>
                <w:rStyle w:val="BookTitle"/>
                <w:sz w:val="18"/>
                <w:szCs w:val="18"/>
              </w:rPr>
            </w:pPr>
            <w:r w:rsidRPr="0095562E">
              <w:rPr>
                <w:rStyle w:val="BookTitle"/>
                <w:sz w:val="18"/>
                <w:szCs w:val="18"/>
              </w:rPr>
              <w:t>-0.05</w:t>
            </w:r>
          </w:p>
        </w:tc>
        <w:tc>
          <w:tcPr>
            <w:tcW w:w="328" w:type="pct"/>
            <w:tcBorders>
              <w:top w:val="nil"/>
              <w:left w:val="nil"/>
              <w:bottom w:val="nil"/>
              <w:right w:val="nil"/>
            </w:tcBorders>
            <w:shd w:val="clear" w:color="auto" w:fill="auto"/>
            <w:noWrap/>
            <w:vAlign w:val="center"/>
            <w:hideMark/>
          </w:tcPr>
          <w:p w14:paraId="0C3F85CA"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28" w:type="pct"/>
            <w:tcBorders>
              <w:top w:val="nil"/>
              <w:left w:val="nil"/>
              <w:bottom w:val="nil"/>
              <w:right w:val="nil"/>
            </w:tcBorders>
            <w:shd w:val="clear" w:color="auto" w:fill="auto"/>
            <w:noWrap/>
            <w:vAlign w:val="center"/>
            <w:hideMark/>
          </w:tcPr>
          <w:p w14:paraId="0C3F85CB"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5CC"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5CD" w14:textId="77777777" w:rsidR="0015270F" w:rsidRPr="0095562E" w:rsidRDefault="0015270F" w:rsidP="0095562E">
            <w:pPr>
              <w:spacing w:before="0" w:after="0"/>
              <w:rPr>
                <w:rStyle w:val="BookTitle"/>
                <w:sz w:val="18"/>
                <w:szCs w:val="18"/>
              </w:rPr>
            </w:pPr>
            <w:r w:rsidRPr="0095562E">
              <w:rPr>
                <w:rStyle w:val="BookTitle"/>
                <w:sz w:val="18"/>
                <w:szCs w:val="18"/>
              </w:rPr>
              <w:t>-0.49</w:t>
            </w:r>
          </w:p>
        </w:tc>
      </w:tr>
      <w:tr w:rsidR="0015270F" w:rsidRPr="0095562E" w14:paraId="0C3F85DE" w14:textId="77777777" w:rsidTr="00162359">
        <w:trPr>
          <w:trHeight w:val="20"/>
        </w:trPr>
        <w:tc>
          <w:tcPr>
            <w:tcW w:w="363" w:type="pct"/>
            <w:tcBorders>
              <w:top w:val="nil"/>
              <w:left w:val="nil"/>
              <w:bottom w:val="nil"/>
              <w:right w:val="nil"/>
            </w:tcBorders>
            <w:shd w:val="clear" w:color="auto" w:fill="auto"/>
            <w:noWrap/>
            <w:vAlign w:val="center"/>
            <w:hideMark/>
          </w:tcPr>
          <w:p w14:paraId="0C3F85CF" w14:textId="77777777" w:rsidR="0015270F" w:rsidRPr="0095562E" w:rsidRDefault="0015270F" w:rsidP="0095562E">
            <w:pPr>
              <w:spacing w:before="0" w:after="0"/>
              <w:rPr>
                <w:rStyle w:val="BookTitle"/>
                <w:sz w:val="18"/>
                <w:szCs w:val="18"/>
              </w:rPr>
            </w:pPr>
            <w:r w:rsidRPr="0095562E">
              <w:rPr>
                <w:rStyle w:val="BookTitle"/>
                <w:sz w:val="18"/>
                <w:szCs w:val="18"/>
              </w:rPr>
              <w:t>TSS</w:t>
            </w:r>
          </w:p>
        </w:tc>
        <w:tc>
          <w:tcPr>
            <w:tcW w:w="327" w:type="pct"/>
            <w:tcBorders>
              <w:top w:val="nil"/>
              <w:left w:val="nil"/>
              <w:bottom w:val="nil"/>
              <w:right w:val="nil"/>
            </w:tcBorders>
            <w:shd w:val="clear" w:color="auto" w:fill="auto"/>
            <w:noWrap/>
            <w:vAlign w:val="center"/>
            <w:hideMark/>
          </w:tcPr>
          <w:p w14:paraId="0C3F85D0"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80" w:type="pct"/>
            <w:tcBorders>
              <w:top w:val="nil"/>
              <w:left w:val="nil"/>
              <w:bottom w:val="nil"/>
              <w:right w:val="nil"/>
            </w:tcBorders>
            <w:shd w:val="clear" w:color="auto" w:fill="auto"/>
            <w:noWrap/>
            <w:vAlign w:val="center"/>
            <w:hideMark/>
          </w:tcPr>
          <w:p w14:paraId="0C3F85D1" w14:textId="77777777" w:rsidR="0015270F" w:rsidRPr="0095562E" w:rsidRDefault="0015270F" w:rsidP="0095562E">
            <w:pPr>
              <w:spacing w:before="0" w:after="0"/>
              <w:rPr>
                <w:rStyle w:val="BookTitle"/>
                <w:sz w:val="18"/>
                <w:szCs w:val="18"/>
              </w:rPr>
            </w:pPr>
            <w:r w:rsidRPr="0095562E">
              <w:rPr>
                <w:rStyle w:val="BookTitle"/>
                <w:sz w:val="18"/>
                <w:szCs w:val="18"/>
              </w:rPr>
              <w:t>0.24</w:t>
            </w:r>
          </w:p>
        </w:tc>
        <w:tc>
          <w:tcPr>
            <w:tcW w:w="327" w:type="pct"/>
            <w:tcBorders>
              <w:top w:val="nil"/>
              <w:left w:val="nil"/>
              <w:bottom w:val="nil"/>
              <w:right w:val="nil"/>
            </w:tcBorders>
            <w:shd w:val="clear" w:color="auto" w:fill="auto"/>
            <w:noWrap/>
            <w:vAlign w:val="center"/>
            <w:hideMark/>
          </w:tcPr>
          <w:p w14:paraId="0C3F85D2"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5D3"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5D4" w14:textId="77777777" w:rsidR="0015270F" w:rsidRPr="0095562E" w:rsidRDefault="0015270F" w:rsidP="0095562E">
            <w:pPr>
              <w:spacing w:before="0" w:after="0"/>
              <w:rPr>
                <w:rStyle w:val="BookTitle"/>
                <w:sz w:val="18"/>
                <w:szCs w:val="18"/>
              </w:rPr>
            </w:pPr>
            <w:r w:rsidRPr="0095562E">
              <w:rPr>
                <w:rStyle w:val="BookTitle"/>
                <w:sz w:val="18"/>
                <w:szCs w:val="18"/>
              </w:rPr>
              <w:t>0.50</w:t>
            </w:r>
          </w:p>
        </w:tc>
        <w:tc>
          <w:tcPr>
            <w:tcW w:w="328" w:type="pct"/>
            <w:tcBorders>
              <w:top w:val="nil"/>
              <w:left w:val="nil"/>
              <w:bottom w:val="nil"/>
              <w:right w:val="nil"/>
            </w:tcBorders>
            <w:shd w:val="clear" w:color="auto" w:fill="auto"/>
            <w:noWrap/>
            <w:vAlign w:val="center"/>
            <w:hideMark/>
          </w:tcPr>
          <w:p w14:paraId="0C3F85D5"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8" w:type="pct"/>
            <w:tcBorders>
              <w:top w:val="nil"/>
              <w:left w:val="nil"/>
              <w:bottom w:val="nil"/>
              <w:right w:val="nil"/>
            </w:tcBorders>
            <w:shd w:val="clear" w:color="auto" w:fill="auto"/>
            <w:noWrap/>
            <w:vAlign w:val="center"/>
            <w:hideMark/>
          </w:tcPr>
          <w:p w14:paraId="0C3F85D6"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5D7" w14:textId="77777777" w:rsidR="0015270F" w:rsidRPr="0095562E" w:rsidRDefault="0015270F" w:rsidP="0095562E">
            <w:pPr>
              <w:spacing w:before="0" w:after="0"/>
              <w:rPr>
                <w:rStyle w:val="BookTitle"/>
                <w:sz w:val="18"/>
                <w:szCs w:val="18"/>
              </w:rPr>
            </w:pPr>
            <w:r w:rsidRPr="0095562E">
              <w:rPr>
                <w:rStyle w:val="BookTitle"/>
                <w:sz w:val="18"/>
                <w:szCs w:val="18"/>
              </w:rPr>
              <w:t>0.00</w:t>
            </w:r>
          </w:p>
        </w:tc>
        <w:tc>
          <w:tcPr>
            <w:tcW w:w="328" w:type="pct"/>
            <w:tcBorders>
              <w:top w:val="nil"/>
              <w:left w:val="nil"/>
              <w:bottom w:val="nil"/>
              <w:right w:val="nil"/>
            </w:tcBorders>
            <w:shd w:val="clear" w:color="auto" w:fill="auto"/>
            <w:noWrap/>
            <w:vAlign w:val="center"/>
            <w:hideMark/>
          </w:tcPr>
          <w:p w14:paraId="0C3F85D8"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5D9"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DA"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5DB"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5DC"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5DD" w14:textId="77777777" w:rsidR="0015270F" w:rsidRPr="0095562E" w:rsidRDefault="0015270F" w:rsidP="0095562E">
            <w:pPr>
              <w:spacing w:before="0" w:after="0"/>
              <w:rPr>
                <w:rStyle w:val="BookTitle"/>
                <w:sz w:val="18"/>
                <w:szCs w:val="18"/>
              </w:rPr>
            </w:pPr>
            <w:r w:rsidRPr="0095562E">
              <w:rPr>
                <w:rStyle w:val="BookTitle"/>
                <w:sz w:val="18"/>
                <w:szCs w:val="18"/>
              </w:rPr>
              <w:t>0.30</w:t>
            </w:r>
          </w:p>
        </w:tc>
      </w:tr>
      <w:tr w:rsidR="0015270F" w:rsidRPr="0095562E" w14:paraId="0C3F85EE" w14:textId="77777777" w:rsidTr="00162359">
        <w:trPr>
          <w:trHeight w:val="20"/>
        </w:trPr>
        <w:tc>
          <w:tcPr>
            <w:tcW w:w="363" w:type="pct"/>
            <w:tcBorders>
              <w:top w:val="nil"/>
              <w:left w:val="nil"/>
              <w:bottom w:val="nil"/>
              <w:right w:val="nil"/>
            </w:tcBorders>
            <w:shd w:val="clear" w:color="auto" w:fill="auto"/>
            <w:noWrap/>
            <w:vAlign w:val="center"/>
            <w:hideMark/>
          </w:tcPr>
          <w:p w14:paraId="0C3F85DF" w14:textId="77777777" w:rsidR="0015270F" w:rsidRPr="0095562E" w:rsidRDefault="0015270F" w:rsidP="0095562E">
            <w:pPr>
              <w:spacing w:before="0" w:after="0"/>
              <w:rPr>
                <w:rStyle w:val="BookTitle"/>
                <w:sz w:val="18"/>
                <w:szCs w:val="18"/>
              </w:rPr>
            </w:pPr>
            <w:r w:rsidRPr="0095562E">
              <w:rPr>
                <w:rStyle w:val="BookTitle"/>
                <w:sz w:val="18"/>
                <w:szCs w:val="18"/>
              </w:rPr>
              <w:t>chl-a</w:t>
            </w:r>
          </w:p>
        </w:tc>
        <w:tc>
          <w:tcPr>
            <w:tcW w:w="327" w:type="pct"/>
            <w:tcBorders>
              <w:top w:val="nil"/>
              <w:left w:val="nil"/>
              <w:bottom w:val="nil"/>
              <w:right w:val="nil"/>
            </w:tcBorders>
            <w:shd w:val="clear" w:color="auto" w:fill="auto"/>
            <w:noWrap/>
            <w:vAlign w:val="center"/>
            <w:hideMark/>
          </w:tcPr>
          <w:p w14:paraId="0C3F85E0"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80" w:type="pct"/>
            <w:tcBorders>
              <w:top w:val="nil"/>
              <w:left w:val="nil"/>
              <w:bottom w:val="nil"/>
              <w:right w:val="nil"/>
            </w:tcBorders>
            <w:shd w:val="clear" w:color="auto" w:fill="auto"/>
            <w:noWrap/>
            <w:vAlign w:val="center"/>
            <w:hideMark/>
          </w:tcPr>
          <w:p w14:paraId="0C3F85E1" w14:textId="77777777" w:rsidR="0015270F" w:rsidRPr="0095562E" w:rsidRDefault="0015270F" w:rsidP="0095562E">
            <w:pPr>
              <w:spacing w:before="0" w:after="0"/>
              <w:rPr>
                <w:rStyle w:val="BookTitle"/>
                <w:sz w:val="18"/>
                <w:szCs w:val="18"/>
              </w:rPr>
            </w:pPr>
            <w:r w:rsidRPr="0095562E">
              <w:rPr>
                <w:rStyle w:val="BookTitle"/>
                <w:sz w:val="18"/>
                <w:szCs w:val="18"/>
              </w:rPr>
              <w:t>0.33</w:t>
            </w:r>
          </w:p>
        </w:tc>
        <w:tc>
          <w:tcPr>
            <w:tcW w:w="327" w:type="pct"/>
            <w:tcBorders>
              <w:top w:val="nil"/>
              <w:left w:val="nil"/>
              <w:bottom w:val="nil"/>
              <w:right w:val="nil"/>
            </w:tcBorders>
            <w:shd w:val="clear" w:color="auto" w:fill="auto"/>
            <w:noWrap/>
            <w:vAlign w:val="center"/>
            <w:hideMark/>
          </w:tcPr>
          <w:p w14:paraId="0C3F85E2"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5E3" w14:textId="77777777" w:rsidR="0015270F" w:rsidRPr="0095562E" w:rsidRDefault="0015270F" w:rsidP="0095562E">
            <w:pPr>
              <w:spacing w:before="0" w:after="0"/>
              <w:rPr>
                <w:rStyle w:val="BookTitle"/>
                <w:sz w:val="18"/>
                <w:szCs w:val="18"/>
              </w:rPr>
            </w:pPr>
            <w:r w:rsidRPr="0095562E">
              <w:rPr>
                <w:rStyle w:val="BookTitle"/>
                <w:sz w:val="18"/>
                <w:szCs w:val="18"/>
              </w:rPr>
              <w:t>0.50</w:t>
            </w:r>
          </w:p>
        </w:tc>
        <w:tc>
          <w:tcPr>
            <w:tcW w:w="328" w:type="pct"/>
            <w:tcBorders>
              <w:top w:val="nil"/>
              <w:left w:val="nil"/>
              <w:bottom w:val="nil"/>
              <w:right w:val="nil"/>
            </w:tcBorders>
            <w:shd w:val="clear" w:color="auto" w:fill="auto"/>
            <w:noWrap/>
            <w:vAlign w:val="center"/>
            <w:hideMark/>
          </w:tcPr>
          <w:p w14:paraId="0C3F85E4"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5E5"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E6"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8" w:type="pct"/>
            <w:tcBorders>
              <w:top w:val="nil"/>
              <w:left w:val="nil"/>
              <w:bottom w:val="nil"/>
              <w:right w:val="nil"/>
            </w:tcBorders>
            <w:shd w:val="clear" w:color="auto" w:fill="auto"/>
            <w:noWrap/>
            <w:vAlign w:val="center"/>
            <w:hideMark/>
          </w:tcPr>
          <w:p w14:paraId="0C3F85E7"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5E8" w14:textId="77777777" w:rsidR="0015270F" w:rsidRPr="0095562E" w:rsidRDefault="0015270F" w:rsidP="0095562E">
            <w:pPr>
              <w:spacing w:before="0" w:after="0"/>
              <w:rPr>
                <w:rStyle w:val="BookTitle"/>
                <w:sz w:val="18"/>
                <w:szCs w:val="18"/>
              </w:rPr>
            </w:pPr>
            <w:r w:rsidRPr="0095562E">
              <w:rPr>
                <w:rStyle w:val="BookTitle"/>
                <w:sz w:val="18"/>
                <w:szCs w:val="18"/>
              </w:rPr>
              <w:t>-0.03</w:t>
            </w:r>
          </w:p>
        </w:tc>
        <w:tc>
          <w:tcPr>
            <w:tcW w:w="328" w:type="pct"/>
            <w:tcBorders>
              <w:top w:val="nil"/>
              <w:left w:val="nil"/>
              <w:bottom w:val="nil"/>
              <w:right w:val="nil"/>
            </w:tcBorders>
            <w:shd w:val="clear" w:color="auto" w:fill="auto"/>
            <w:noWrap/>
            <w:vAlign w:val="center"/>
            <w:hideMark/>
          </w:tcPr>
          <w:p w14:paraId="0C3F85E9"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8" w:type="pct"/>
            <w:tcBorders>
              <w:top w:val="nil"/>
              <w:left w:val="nil"/>
              <w:bottom w:val="nil"/>
              <w:right w:val="nil"/>
            </w:tcBorders>
            <w:shd w:val="clear" w:color="auto" w:fill="auto"/>
            <w:noWrap/>
            <w:vAlign w:val="center"/>
            <w:hideMark/>
          </w:tcPr>
          <w:p w14:paraId="0C3F85EA"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5EB"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5EC"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5ED" w14:textId="77777777" w:rsidR="0015270F" w:rsidRPr="0095562E" w:rsidRDefault="0015270F" w:rsidP="0095562E">
            <w:pPr>
              <w:spacing w:before="0" w:after="0"/>
              <w:rPr>
                <w:rStyle w:val="BookTitle"/>
                <w:sz w:val="18"/>
                <w:szCs w:val="18"/>
              </w:rPr>
            </w:pPr>
            <w:r w:rsidRPr="0095562E">
              <w:rPr>
                <w:rStyle w:val="BookTitle"/>
                <w:sz w:val="18"/>
                <w:szCs w:val="18"/>
              </w:rPr>
              <w:t>0.23</w:t>
            </w:r>
          </w:p>
        </w:tc>
      </w:tr>
      <w:tr w:rsidR="0015270F" w:rsidRPr="0095562E" w14:paraId="0C3F85FE" w14:textId="77777777" w:rsidTr="00162359">
        <w:trPr>
          <w:trHeight w:val="20"/>
        </w:trPr>
        <w:tc>
          <w:tcPr>
            <w:tcW w:w="363" w:type="pct"/>
            <w:tcBorders>
              <w:top w:val="nil"/>
              <w:left w:val="nil"/>
              <w:bottom w:val="nil"/>
              <w:right w:val="nil"/>
            </w:tcBorders>
            <w:shd w:val="clear" w:color="auto" w:fill="auto"/>
            <w:noWrap/>
            <w:vAlign w:val="center"/>
            <w:hideMark/>
          </w:tcPr>
          <w:p w14:paraId="0C3F85EF" w14:textId="77777777" w:rsidR="0015270F" w:rsidRPr="0095562E" w:rsidRDefault="0015270F" w:rsidP="0095562E">
            <w:pPr>
              <w:spacing w:before="0" w:after="0"/>
              <w:rPr>
                <w:rStyle w:val="BookTitle"/>
                <w:sz w:val="18"/>
                <w:szCs w:val="18"/>
              </w:rPr>
            </w:pPr>
            <w:r w:rsidRPr="0095562E">
              <w:rPr>
                <w:rStyle w:val="BookTitle"/>
                <w:sz w:val="18"/>
                <w:szCs w:val="18"/>
              </w:rPr>
              <w:t>TN</w:t>
            </w:r>
          </w:p>
        </w:tc>
        <w:tc>
          <w:tcPr>
            <w:tcW w:w="327" w:type="pct"/>
            <w:tcBorders>
              <w:top w:val="nil"/>
              <w:left w:val="nil"/>
              <w:bottom w:val="nil"/>
              <w:right w:val="nil"/>
            </w:tcBorders>
            <w:shd w:val="clear" w:color="auto" w:fill="auto"/>
            <w:noWrap/>
            <w:vAlign w:val="center"/>
            <w:hideMark/>
          </w:tcPr>
          <w:p w14:paraId="0C3F85F0"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80" w:type="pct"/>
            <w:tcBorders>
              <w:top w:val="nil"/>
              <w:left w:val="nil"/>
              <w:bottom w:val="nil"/>
              <w:right w:val="nil"/>
            </w:tcBorders>
            <w:shd w:val="clear" w:color="auto" w:fill="auto"/>
            <w:noWrap/>
            <w:vAlign w:val="center"/>
            <w:hideMark/>
          </w:tcPr>
          <w:p w14:paraId="0C3F85F1"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7" w:type="pct"/>
            <w:tcBorders>
              <w:top w:val="nil"/>
              <w:left w:val="nil"/>
              <w:bottom w:val="nil"/>
              <w:right w:val="nil"/>
            </w:tcBorders>
            <w:shd w:val="clear" w:color="auto" w:fill="auto"/>
            <w:noWrap/>
            <w:vAlign w:val="center"/>
            <w:hideMark/>
          </w:tcPr>
          <w:p w14:paraId="0C3F85F2"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5F3"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8" w:type="pct"/>
            <w:tcBorders>
              <w:top w:val="nil"/>
              <w:left w:val="nil"/>
              <w:bottom w:val="nil"/>
              <w:right w:val="nil"/>
            </w:tcBorders>
            <w:shd w:val="clear" w:color="auto" w:fill="auto"/>
            <w:noWrap/>
            <w:vAlign w:val="center"/>
            <w:hideMark/>
          </w:tcPr>
          <w:p w14:paraId="0C3F85F4"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F5"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5F6" w14:textId="77777777" w:rsidR="0015270F" w:rsidRPr="0095562E" w:rsidRDefault="0015270F" w:rsidP="0095562E">
            <w:pPr>
              <w:spacing w:before="0" w:after="0"/>
              <w:rPr>
                <w:rStyle w:val="BookTitle"/>
                <w:sz w:val="18"/>
                <w:szCs w:val="18"/>
              </w:rPr>
            </w:pPr>
            <w:r w:rsidRPr="0095562E">
              <w:rPr>
                <w:rStyle w:val="BookTitle"/>
                <w:sz w:val="18"/>
                <w:szCs w:val="18"/>
              </w:rPr>
              <w:t>0.44</w:t>
            </w:r>
          </w:p>
        </w:tc>
        <w:tc>
          <w:tcPr>
            <w:tcW w:w="328" w:type="pct"/>
            <w:tcBorders>
              <w:top w:val="nil"/>
              <w:left w:val="nil"/>
              <w:bottom w:val="nil"/>
              <w:right w:val="nil"/>
            </w:tcBorders>
            <w:shd w:val="clear" w:color="auto" w:fill="auto"/>
            <w:noWrap/>
            <w:vAlign w:val="center"/>
            <w:hideMark/>
          </w:tcPr>
          <w:p w14:paraId="0C3F85F7" w14:textId="77777777" w:rsidR="0015270F" w:rsidRPr="0095562E" w:rsidRDefault="0015270F" w:rsidP="0095562E">
            <w:pPr>
              <w:spacing w:before="0" w:after="0"/>
              <w:rPr>
                <w:rStyle w:val="BookTitle"/>
                <w:sz w:val="18"/>
                <w:szCs w:val="18"/>
              </w:rPr>
            </w:pPr>
            <w:r w:rsidRPr="0095562E">
              <w:rPr>
                <w:rStyle w:val="BookTitle"/>
                <w:sz w:val="18"/>
                <w:szCs w:val="18"/>
              </w:rPr>
              <w:t>-0.32</w:t>
            </w:r>
          </w:p>
        </w:tc>
        <w:tc>
          <w:tcPr>
            <w:tcW w:w="328" w:type="pct"/>
            <w:tcBorders>
              <w:top w:val="nil"/>
              <w:left w:val="nil"/>
              <w:bottom w:val="nil"/>
              <w:right w:val="nil"/>
            </w:tcBorders>
            <w:shd w:val="clear" w:color="auto" w:fill="auto"/>
            <w:noWrap/>
            <w:vAlign w:val="center"/>
            <w:hideMark/>
          </w:tcPr>
          <w:p w14:paraId="0C3F85F8"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5F9"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5FA"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000000" w:fill="FFFF00"/>
            <w:noWrap/>
            <w:vAlign w:val="center"/>
            <w:hideMark/>
          </w:tcPr>
          <w:p w14:paraId="0C3F85FB" w14:textId="77777777" w:rsidR="0015270F" w:rsidRPr="0095562E" w:rsidRDefault="0015270F" w:rsidP="0095562E">
            <w:pPr>
              <w:spacing w:before="0" w:after="0"/>
              <w:rPr>
                <w:rStyle w:val="BookTitle"/>
                <w:sz w:val="18"/>
                <w:szCs w:val="18"/>
              </w:rPr>
            </w:pPr>
            <w:r w:rsidRPr="0095562E">
              <w:rPr>
                <w:rStyle w:val="BookTitle"/>
                <w:sz w:val="18"/>
                <w:szCs w:val="18"/>
              </w:rPr>
              <w:t>0.67</w:t>
            </w:r>
          </w:p>
        </w:tc>
        <w:tc>
          <w:tcPr>
            <w:tcW w:w="328" w:type="pct"/>
            <w:tcBorders>
              <w:top w:val="nil"/>
              <w:left w:val="nil"/>
              <w:bottom w:val="nil"/>
              <w:right w:val="nil"/>
            </w:tcBorders>
            <w:shd w:val="clear" w:color="auto" w:fill="auto"/>
            <w:noWrap/>
            <w:vAlign w:val="center"/>
            <w:hideMark/>
          </w:tcPr>
          <w:p w14:paraId="0C3F85FC"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5FD" w14:textId="77777777" w:rsidR="0015270F" w:rsidRPr="0095562E" w:rsidRDefault="0015270F" w:rsidP="0095562E">
            <w:pPr>
              <w:spacing w:before="0" w:after="0"/>
              <w:rPr>
                <w:rStyle w:val="BookTitle"/>
                <w:sz w:val="18"/>
                <w:szCs w:val="18"/>
              </w:rPr>
            </w:pPr>
            <w:r w:rsidRPr="0095562E">
              <w:rPr>
                <w:rStyle w:val="BookTitle"/>
                <w:sz w:val="18"/>
                <w:szCs w:val="18"/>
              </w:rPr>
              <w:t>0.03</w:t>
            </w:r>
          </w:p>
        </w:tc>
      </w:tr>
      <w:tr w:rsidR="0015270F" w:rsidRPr="0095562E" w14:paraId="0C3F860E" w14:textId="77777777" w:rsidTr="00162359">
        <w:trPr>
          <w:trHeight w:val="20"/>
        </w:trPr>
        <w:tc>
          <w:tcPr>
            <w:tcW w:w="363" w:type="pct"/>
            <w:tcBorders>
              <w:top w:val="nil"/>
              <w:left w:val="nil"/>
              <w:bottom w:val="nil"/>
              <w:right w:val="nil"/>
            </w:tcBorders>
            <w:shd w:val="clear" w:color="auto" w:fill="auto"/>
            <w:noWrap/>
            <w:vAlign w:val="center"/>
            <w:hideMark/>
          </w:tcPr>
          <w:p w14:paraId="0C3F85FF" w14:textId="77777777" w:rsidR="0015270F" w:rsidRPr="0095562E" w:rsidRDefault="0015270F" w:rsidP="0095562E">
            <w:pPr>
              <w:spacing w:before="0" w:after="0"/>
              <w:rPr>
                <w:rStyle w:val="BookTitle"/>
                <w:sz w:val="18"/>
                <w:szCs w:val="18"/>
              </w:rPr>
            </w:pPr>
            <w:r w:rsidRPr="0095562E">
              <w:rPr>
                <w:rStyle w:val="BookTitle"/>
                <w:sz w:val="18"/>
                <w:szCs w:val="18"/>
              </w:rPr>
              <w:t>TDN</w:t>
            </w:r>
          </w:p>
        </w:tc>
        <w:tc>
          <w:tcPr>
            <w:tcW w:w="327" w:type="pct"/>
            <w:tcBorders>
              <w:top w:val="nil"/>
              <w:left w:val="nil"/>
              <w:bottom w:val="nil"/>
              <w:right w:val="nil"/>
            </w:tcBorders>
            <w:shd w:val="clear" w:color="auto" w:fill="auto"/>
            <w:noWrap/>
            <w:vAlign w:val="center"/>
            <w:hideMark/>
          </w:tcPr>
          <w:p w14:paraId="0C3F8600"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80" w:type="pct"/>
            <w:tcBorders>
              <w:top w:val="nil"/>
              <w:left w:val="nil"/>
              <w:bottom w:val="nil"/>
              <w:right w:val="nil"/>
            </w:tcBorders>
            <w:shd w:val="clear" w:color="auto" w:fill="auto"/>
            <w:noWrap/>
            <w:vAlign w:val="center"/>
            <w:hideMark/>
          </w:tcPr>
          <w:p w14:paraId="0C3F8601"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7" w:type="pct"/>
            <w:tcBorders>
              <w:top w:val="nil"/>
              <w:left w:val="nil"/>
              <w:bottom w:val="nil"/>
              <w:right w:val="nil"/>
            </w:tcBorders>
            <w:shd w:val="clear" w:color="auto" w:fill="auto"/>
            <w:noWrap/>
            <w:vAlign w:val="center"/>
            <w:hideMark/>
          </w:tcPr>
          <w:p w14:paraId="0C3F8602"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603"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604" w14:textId="77777777" w:rsidR="0015270F" w:rsidRPr="0095562E" w:rsidRDefault="0015270F" w:rsidP="0095562E">
            <w:pPr>
              <w:spacing w:before="0" w:after="0"/>
              <w:rPr>
                <w:rStyle w:val="BookTitle"/>
                <w:sz w:val="18"/>
                <w:szCs w:val="18"/>
              </w:rPr>
            </w:pPr>
            <w:r w:rsidRPr="0095562E">
              <w:rPr>
                <w:rStyle w:val="BookTitle"/>
                <w:sz w:val="18"/>
                <w:szCs w:val="18"/>
              </w:rPr>
              <w:t>0.02</w:t>
            </w:r>
          </w:p>
        </w:tc>
        <w:tc>
          <w:tcPr>
            <w:tcW w:w="328" w:type="pct"/>
            <w:tcBorders>
              <w:top w:val="nil"/>
              <w:left w:val="nil"/>
              <w:bottom w:val="nil"/>
              <w:right w:val="nil"/>
            </w:tcBorders>
            <w:shd w:val="clear" w:color="auto" w:fill="auto"/>
            <w:noWrap/>
            <w:vAlign w:val="center"/>
            <w:hideMark/>
          </w:tcPr>
          <w:p w14:paraId="0C3F8605" w14:textId="77777777" w:rsidR="0015270F" w:rsidRPr="0095562E" w:rsidRDefault="0015270F" w:rsidP="0095562E">
            <w:pPr>
              <w:spacing w:before="0" w:after="0"/>
              <w:rPr>
                <w:rStyle w:val="BookTitle"/>
                <w:sz w:val="18"/>
                <w:szCs w:val="18"/>
              </w:rPr>
            </w:pPr>
            <w:r w:rsidRPr="0095562E">
              <w:rPr>
                <w:rStyle w:val="BookTitle"/>
                <w:sz w:val="18"/>
                <w:szCs w:val="18"/>
              </w:rPr>
              <w:t>0.44</w:t>
            </w:r>
          </w:p>
        </w:tc>
        <w:tc>
          <w:tcPr>
            <w:tcW w:w="328" w:type="pct"/>
            <w:tcBorders>
              <w:top w:val="nil"/>
              <w:left w:val="nil"/>
              <w:bottom w:val="nil"/>
              <w:right w:val="nil"/>
            </w:tcBorders>
            <w:shd w:val="clear" w:color="auto" w:fill="auto"/>
            <w:noWrap/>
            <w:vAlign w:val="center"/>
            <w:hideMark/>
          </w:tcPr>
          <w:p w14:paraId="0C3F8606"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07" w14:textId="77777777" w:rsidR="0015270F" w:rsidRPr="0095562E" w:rsidRDefault="0015270F" w:rsidP="0095562E">
            <w:pPr>
              <w:spacing w:before="0" w:after="0"/>
              <w:rPr>
                <w:rStyle w:val="BookTitle"/>
                <w:sz w:val="18"/>
                <w:szCs w:val="18"/>
              </w:rPr>
            </w:pPr>
            <w:r w:rsidRPr="0095562E">
              <w:rPr>
                <w:rStyle w:val="BookTitle"/>
                <w:sz w:val="18"/>
                <w:szCs w:val="18"/>
              </w:rPr>
              <w:t>-0.22</w:t>
            </w:r>
          </w:p>
        </w:tc>
        <w:tc>
          <w:tcPr>
            <w:tcW w:w="328" w:type="pct"/>
            <w:tcBorders>
              <w:top w:val="nil"/>
              <w:left w:val="nil"/>
              <w:bottom w:val="nil"/>
              <w:right w:val="nil"/>
            </w:tcBorders>
            <w:shd w:val="clear" w:color="auto" w:fill="auto"/>
            <w:noWrap/>
            <w:vAlign w:val="center"/>
            <w:hideMark/>
          </w:tcPr>
          <w:p w14:paraId="0C3F8608" w14:textId="77777777" w:rsidR="0015270F" w:rsidRPr="0095562E" w:rsidRDefault="0015270F" w:rsidP="0095562E">
            <w:pPr>
              <w:spacing w:before="0" w:after="0"/>
              <w:rPr>
                <w:rStyle w:val="BookTitle"/>
                <w:sz w:val="18"/>
                <w:szCs w:val="18"/>
              </w:rPr>
            </w:pPr>
            <w:r w:rsidRPr="0095562E">
              <w:rPr>
                <w:rStyle w:val="BookTitle"/>
                <w:sz w:val="18"/>
                <w:szCs w:val="18"/>
              </w:rPr>
              <w:t>0.58</w:t>
            </w:r>
          </w:p>
        </w:tc>
        <w:tc>
          <w:tcPr>
            <w:tcW w:w="328" w:type="pct"/>
            <w:tcBorders>
              <w:top w:val="nil"/>
              <w:left w:val="nil"/>
              <w:bottom w:val="nil"/>
              <w:right w:val="nil"/>
            </w:tcBorders>
            <w:shd w:val="clear" w:color="auto" w:fill="auto"/>
            <w:noWrap/>
            <w:vAlign w:val="center"/>
            <w:hideMark/>
          </w:tcPr>
          <w:p w14:paraId="0C3F8609" w14:textId="77777777" w:rsidR="0015270F" w:rsidRPr="0095562E" w:rsidRDefault="0015270F" w:rsidP="0095562E">
            <w:pPr>
              <w:spacing w:before="0" w:after="0"/>
              <w:rPr>
                <w:rStyle w:val="BookTitle"/>
                <w:sz w:val="18"/>
                <w:szCs w:val="18"/>
              </w:rPr>
            </w:pPr>
            <w:r w:rsidRPr="0095562E">
              <w:rPr>
                <w:rStyle w:val="BookTitle"/>
                <w:sz w:val="18"/>
                <w:szCs w:val="18"/>
              </w:rPr>
              <w:t>0.48</w:t>
            </w:r>
          </w:p>
        </w:tc>
        <w:tc>
          <w:tcPr>
            <w:tcW w:w="328" w:type="pct"/>
            <w:tcBorders>
              <w:top w:val="nil"/>
              <w:left w:val="nil"/>
              <w:bottom w:val="nil"/>
              <w:right w:val="nil"/>
            </w:tcBorders>
            <w:shd w:val="clear" w:color="auto" w:fill="auto"/>
            <w:noWrap/>
            <w:vAlign w:val="center"/>
            <w:hideMark/>
          </w:tcPr>
          <w:p w14:paraId="0C3F860A"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8" w:type="pct"/>
            <w:tcBorders>
              <w:top w:val="nil"/>
              <w:left w:val="nil"/>
              <w:bottom w:val="nil"/>
              <w:right w:val="nil"/>
            </w:tcBorders>
            <w:shd w:val="clear" w:color="auto" w:fill="auto"/>
            <w:noWrap/>
            <w:vAlign w:val="center"/>
            <w:hideMark/>
          </w:tcPr>
          <w:p w14:paraId="0C3F860B"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60C"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8" w:type="pct"/>
            <w:tcBorders>
              <w:top w:val="nil"/>
              <w:left w:val="nil"/>
              <w:bottom w:val="nil"/>
              <w:right w:val="nil"/>
            </w:tcBorders>
            <w:shd w:val="clear" w:color="auto" w:fill="auto"/>
            <w:noWrap/>
            <w:vAlign w:val="center"/>
            <w:hideMark/>
          </w:tcPr>
          <w:p w14:paraId="0C3F860D" w14:textId="77777777" w:rsidR="0015270F" w:rsidRPr="0095562E" w:rsidRDefault="0015270F" w:rsidP="0095562E">
            <w:pPr>
              <w:spacing w:before="0" w:after="0"/>
              <w:rPr>
                <w:rStyle w:val="BookTitle"/>
                <w:sz w:val="18"/>
                <w:szCs w:val="18"/>
              </w:rPr>
            </w:pPr>
            <w:r w:rsidRPr="0095562E">
              <w:rPr>
                <w:rStyle w:val="BookTitle"/>
                <w:sz w:val="18"/>
                <w:szCs w:val="18"/>
              </w:rPr>
              <w:t>0.14</w:t>
            </w:r>
          </w:p>
        </w:tc>
      </w:tr>
      <w:tr w:rsidR="0015270F" w:rsidRPr="0095562E" w14:paraId="0C3F861E" w14:textId="77777777" w:rsidTr="00162359">
        <w:trPr>
          <w:trHeight w:val="20"/>
        </w:trPr>
        <w:tc>
          <w:tcPr>
            <w:tcW w:w="363" w:type="pct"/>
            <w:tcBorders>
              <w:top w:val="nil"/>
              <w:left w:val="nil"/>
              <w:bottom w:val="nil"/>
              <w:right w:val="nil"/>
            </w:tcBorders>
            <w:shd w:val="clear" w:color="auto" w:fill="auto"/>
            <w:noWrap/>
            <w:vAlign w:val="center"/>
            <w:hideMark/>
          </w:tcPr>
          <w:p w14:paraId="0C3F860F" w14:textId="77777777" w:rsidR="0015270F" w:rsidRPr="0095562E" w:rsidRDefault="0015270F" w:rsidP="0095562E">
            <w:pPr>
              <w:spacing w:before="0" w:after="0"/>
              <w:rPr>
                <w:rStyle w:val="BookTitle"/>
                <w:sz w:val="18"/>
                <w:szCs w:val="18"/>
              </w:rPr>
            </w:pPr>
            <w:r w:rsidRPr="0095562E">
              <w:rPr>
                <w:rStyle w:val="BookTitle"/>
                <w:sz w:val="18"/>
                <w:szCs w:val="18"/>
              </w:rPr>
              <w:t>DIN</w:t>
            </w:r>
          </w:p>
        </w:tc>
        <w:tc>
          <w:tcPr>
            <w:tcW w:w="327" w:type="pct"/>
            <w:tcBorders>
              <w:top w:val="nil"/>
              <w:left w:val="nil"/>
              <w:bottom w:val="nil"/>
              <w:right w:val="nil"/>
            </w:tcBorders>
            <w:shd w:val="clear" w:color="auto" w:fill="auto"/>
            <w:noWrap/>
            <w:vAlign w:val="center"/>
            <w:hideMark/>
          </w:tcPr>
          <w:p w14:paraId="0C3F8610"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80" w:type="pct"/>
            <w:tcBorders>
              <w:top w:val="nil"/>
              <w:left w:val="nil"/>
              <w:bottom w:val="nil"/>
              <w:right w:val="nil"/>
            </w:tcBorders>
            <w:shd w:val="clear" w:color="auto" w:fill="auto"/>
            <w:noWrap/>
            <w:vAlign w:val="center"/>
            <w:hideMark/>
          </w:tcPr>
          <w:p w14:paraId="0C3F8611"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7" w:type="pct"/>
            <w:tcBorders>
              <w:top w:val="nil"/>
              <w:left w:val="nil"/>
              <w:bottom w:val="nil"/>
              <w:right w:val="nil"/>
            </w:tcBorders>
            <w:shd w:val="clear" w:color="auto" w:fill="auto"/>
            <w:noWrap/>
            <w:vAlign w:val="center"/>
            <w:hideMark/>
          </w:tcPr>
          <w:p w14:paraId="0C3F8612"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613" w14:textId="77777777" w:rsidR="0015270F" w:rsidRPr="0095562E" w:rsidRDefault="0015270F" w:rsidP="0095562E">
            <w:pPr>
              <w:spacing w:before="0" w:after="0"/>
              <w:rPr>
                <w:rStyle w:val="BookTitle"/>
                <w:sz w:val="18"/>
                <w:szCs w:val="18"/>
              </w:rPr>
            </w:pPr>
            <w:r w:rsidRPr="0095562E">
              <w:rPr>
                <w:rStyle w:val="BookTitle"/>
                <w:sz w:val="18"/>
                <w:szCs w:val="18"/>
              </w:rPr>
              <w:t>0.00</w:t>
            </w:r>
          </w:p>
        </w:tc>
        <w:tc>
          <w:tcPr>
            <w:tcW w:w="328" w:type="pct"/>
            <w:tcBorders>
              <w:top w:val="nil"/>
              <w:left w:val="nil"/>
              <w:bottom w:val="nil"/>
              <w:right w:val="nil"/>
            </w:tcBorders>
            <w:shd w:val="clear" w:color="auto" w:fill="auto"/>
            <w:noWrap/>
            <w:vAlign w:val="center"/>
            <w:hideMark/>
          </w:tcPr>
          <w:p w14:paraId="0C3F8614"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615" w14:textId="77777777" w:rsidR="0015270F" w:rsidRPr="0095562E" w:rsidRDefault="0015270F" w:rsidP="0095562E">
            <w:pPr>
              <w:spacing w:before="0" w:after="0"/>
              <w:rPr>
                <w:rStyle w:val="BookTitle"/>
                <w:sz w:val="18"/>
                <w:szCs w:val="18"/>
              </w:rPr>
            </w:pPr>
            <w:r w:rsidRPr="0095562E">
              <w:rPr>
                <w:rStyle w:val="BookTitle"/>
                <w:sz w:val="18"/>
                <w:szCs w:val="18"/>
              </w:rPr>
              <w:t>-0.32</w:t>
            </w:r>
          </w:p>
        </w:tc>
        <w:tc>
          <w:tcPr>
            <w:tcW w:w="328" w:type="pct"/>
            <w:tcBorders>
              <w:top w:val="nil"/>
              <w:left w:val="nil"/>
              <w:bottom w:val="nil"/>
              <w:right w:val="nil"/>
            </w:tcBorders>
            <w:shd w:val="clear" w:color="auto" w:fill="auto"/>
            <w:noWrap/>
            <w:vAlign w:val="center"/>
            <w:hideMark/>
          </w:tcPr>
          <w:p w14:paraId="0C3F8616" w14:textId="77777777" w:rsidR="0015270F" w:rsidRPr="0095562E" w:rsidRDefault="0015270F" w:rsidP="0095562E">
            <w:pPr>
              <w:spacing w:before="0" w:after="0"/>
              <w:rPr>
                <w:rStyle w:val="BookTitle"/>
                <w:sz w:val="18"/>
                <w:szCs w:val="18"/>
              </w:rPr>
            </w:pPr>
            <w:r w:rsidRPr="0095562E">
              <w:rPr>
                <w:rStyle w:val="BookTitle"/>
                <w:sz w:val="18"/>
                <w:szCs w:val="18"/>
              </w:rPr>
              <w:t>-0.22</w:t>
            </w:r>
          </w:p>
        </w:tc>
        <w:tc>
          <w:tcPr>
            <w:tcW w:w="328" w:type="pct"/>
            <w:tcBorders>
              <w:top w:val="nil"/>
              <w:left w:val="nil"/>
              <w:bottom w:val="nil"/>
              <w:right w:val="nil"/>
            </w:tcBorders>
            <w:shd w:val="clear" w:color="auto" w:fill="auto"/>
            <w:noWrap/>
            <w:vAlign w:val="center"/>
            <w:hideMark/>
          </w:tcPr>
          <w:p w14:paraId="0C3F8617"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18"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8" w:type="pct"/>
            <w:tcBorders>
              <w:top w:val="nil"/>
              <w:left w:val="nil"/>
              <w:bottom w:val="nil"/>
              <w:right w:val="nil"/>
            </w:tcBorders>
            <w:shd w:val="clear" w:color="auto" w:fill="auto"/>
            <w:noWrap/>
            <w:vAlign w:val="center"/>
            <w:hideMark/>
          </w:tcPr>
          <w:p w14:paraId="0C3F8619" w14:textId="77777777" w:rsidR="0015270F" w:rsidRPr="0095562E" w:rsidRDefault="0015270F" w:rsidP="0095562E">
            <w:pPr>
              <w:spacing w:before="0" w:after="0"/>
              <w:rPr>
                <w:rStyle w:val="BookTitle"/>
                <w:sz w:val="18"/>
                <w:szCs w:val="18"/>
              </w:rPr>
            </w:pPr>
            <w:r w:rsidRPr="0095562E">
              <w:rPr>
                <w:rStyle w:val="BookTitle"/>
                <w:sz w:val="18"/>
                <w:szCs w:val="18"/>
              </w:rPr>
              <w:t>-0.01</w:t>
            </w:r>
          </w:p>
        </w:tc>
        <w:tc>
          <w:tcPr>
            <w:tcW w:w="328" w:type="pct"/>
            <w:tcBorders>
              <w:top w:val="nil"/>
              <w:left w:val="nil"/>
              <w:bottom w:val="nil"/>
              <w:right w:val="nil"/>
            </w:tcBorders>
            <w:shd w:val="clear" w:color="auto" w:fill="auto"/>
            <w:noWrap/>
            <w:vAlign w:val="center"/>
            <w:hideMark/>
          </w:tcPr>
          <w:p w14:paraId="0C3F861A"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61B"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1C"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61D" w14:textId="77777777" w:rsidR="0015270F" w:rsidRPr="0095562E" w:rsidRDefault="0015270F" w:rsidP="0095562E">
            <w:pPr>
              <w:spacing w:before="0" w:after="0"/>
              <w:rPr>
                <w:rStyle w:val="BookTitle"/>
                <w:sz w:val="18"/>
                <w:szCs w:val="18"/>
              </w:rPr>
            </w:pPr>
            <w:r w:rsidRPr="0095562E">
              <w:rPr>
                <w:rStyle w:val="BookTitle"/>
                <w:sz w:val="18"/>
                <w:szCs w:val="18"/>
              </w:rPr>
              <w:t>0.23</w:t>
            </w:r>
          </w:p>
        </w:tc>
      </w:tr>
      <w:tr w:rsidR="0015270F" w:rsidRPr="0095562E" w14:paraId="0C3F862E" w14:textId="77777777" w:rsidTr="00162359">
        <w:trPr>
          <w:trHeight w:val="20"/>
        </w:trPr>
        <w:tc>
          <w:tcPr>
            <w:tcW w:w="363" w:type="pct"/>
            <w:tcBorders>
              <w:top w:val="nil"/>
              <w:left w:val="nil"/>
              <w:bottom w:val="nil"/>
              <w:right w:val="nil"/>
            </w:tcBorders>
            <w:shd w:val="clear" w:color="auto" w:fill="auto"/>
            <w:noWrap/>
            <w:vAlign w:val="center"/>
            <w:hideMark/>
          </w:tcPr>
          <w:p w14:paraId="0C3F861F" w14:textId="77777777" w:rsidR="0015270F" w:rsidRPr="0095562E" w:rsidRDefault="0015270F" w:rsidP="0095562E">
            <w:pPr>
              <w:spacing w:before="0" w:after="0"/>
              <w:rPr>
                <w:rStyle w:val="BookTitle"/>
                <w:sz w:val="18"/>
                <w:szCs w:val="18"/>
              </w:rPr>
            </w:pPr>
            <w:r w:rsidRPr="0095562E">
              <w:rPr>
                <w:rStyle w:val="BookTitle"/>
                <w:sz w:val="18"/>
                <w:szCs w:val="18"/>
              </w:rPr>
              <w:t>TP</w:t>
            </w:r>
          </w:p>
        </w:tc>
        <w:tc>
          <w:tcPr>
            <w:tcW w:w="327" w:type="pct"/>
            <w:tcBorders>
              <w:top w:val="nil"/>
              <w:left w:val="nil"/>
              <w:bottom w:val="nil"/>
              <w:right w:val="nil"/>
            </w:tcBorders>
            <w:shd w:val="clear" w:color="auto" w:fill="auto"/>
            <w:noWrap/>
            <w:vAlign w:val="center"/>
            <w:hideMark/>
          </w:tcPr>
          <w:p w14:paraId="0C3F8620"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80" w:type="pct"/>
            <w:tcBorders>
              <w:top w:val="nil"/>
              <w:left w:val="nil"/>
              <w:bottom w:val="nil"/>
              <w:right w:val="nil"/>
            </w:tcBorders>
            <w:shd w:val="clear" w:color="auto" w:fill="auto"/>
            <w:noWrap/>
            <w:vAlign w:val="center"/>
            <w:hideMark/>
          </w:tcPr>
          <w:p w14:paraId="0C3F8621"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27" w:type="pct"/>
            <w:tcBorders>
              <w:top w:val="nil"/>
              <w:left w:val="nil"/>
              <w:bottom w:val="nil"/>
              <w:right w:val="nil"/>
            </w:tcBorders>
            <w:shd w:val="clear" w:color="auto" w:fill="auto"/>
            <w:noWrap/>
            <w:vAlign w:val="center"/>
            <w:hideMark/>
          </w:tcPr>
          <w:p w14:paraId="0C3F8622" w14:textId="77777777" w:rsidR="0015270F" w:rsidRPr="0095562E" w:rsidRDefault="0015270F" w:rsidP="0095562E">
            <w:pPr>
              <w:spacing w:before="0" w:after="0"/>
              <w:rPr>
                <w:rStyle w:val="BookTitle"/>
                <w:sz w:val="18"/>
                <w:szCs w:val="18"/>
              </w:rPr>
            </w:pPr>
            <w:r w:rsidRPr="0095562E">
              <w:rPr>
                <w:rStyle w:val="BookTitle"/>
                <w:sz w:val="18"/>
                <w:szCs w:val="18"/>
              </w:rPr>
              <w:t>-0.16</w:t>
            </w:r>
          </w:p>
        </w:tc>
        <w:tc>
          <w:tcPr>
            <w:tcW w:w="328" w:type="pct"/>
            <w:tcBorders>
              <w:top w:val="nil"/>
              <w:left w:val="nil"/>
              <w:bottom w:val="nil"/>
              <w:right w:val="nil"/>
            </w:tcBorders>
            <w:shd w:val="clear" w:color="auto" w:fill="auto"/>
            <w:noWrap/>
            <w:vAlign w:val="center"/>
            <w:hideMark/>
          </w:tcPr>
          <w:p w14:paraId="0C3F8623"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624" w14:textId="77777777" w:rsidR="0015270F" w:rsidRPr="0095562E" w:rsidRDefault="0015270F" w:rsidP="0095562E">
            <w:pPr>
              <w:spacing w:before="0" w:after="0"/>
              <w:rPr>
                <w:rStyle w:val="BookTitle"/>
                <w:sz w:val="18"/>
                <w:szCs w:val="18"/>
              </w:rPr>
            </w:pPr>
            <w:r w:rsidRPr="0095562E">
              <w:rPr>
                <w:rStyle w:val="BookTitle"/>
                <w:sz w:val="18"/>
                <w:szCs w:val="18"/>
              </w:rPr>
              <w:t>-0.03</w:t>
            </w:r>
          </w:p>
        </w:tc>
        <w:tc>
          <w:tcPr>
            <w:tcW w:w="328" w:type="pct"/>
            <w:tcBorders>
              <w:top w:val="nil"/>
              <w:left w:val="nil"/>
              <w:bottom w:val="nil"/>
              <w:right w:val="nil"/>
            </w:tcBorders>
            <w:shd w:val="clear" w:color="auto" w:fill="auto"/>
            <w:noWrap/>
            <w:vAlign w:val="center"/>
            <w:hideMark/>
          </w:tcPr>
          <w:p w14:paraId="0C3F8625"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626" w14:textId="77777777" w:rsidR="0015270F" w:rsidRPr="0095562E" w:rsidRDefault="0015270F" w:rsidP="0095562E">
            <w:pPr>
              <w:spacing w:before="0" w:after="0"/>
              <w:rPr>
                <w:rStyle w:val="BookTitle"/>
                <w:sz w:val="18"/>
                <w:szCs w:val="18"/>
              </w:rPr>
            </w:pPr>
            <w:r w:rsidRPr="0095562E">
              <w:rPr>
                <w:rStyle w:val="BookTitle"/>
                <w:sz w:val="18"/>
                <w:szCs w:val="18"/>
              </w:rPr>
              <w:t>0.58</w:t>
            </w:r>
          </w:p>
        </w:tc>
        <w:tc>
          <w:tcPr>
            <w:tcW w:w="328" w:type="pct"/>
            <w:tcBorders>
              <w:top w:val="nil"/>
              <w:left w:val="nil"/>
              <w:bottom w:val="nil"/>
              <w:right w:val="nil"/>
            </w:tcBorders>
            <w:shd w:val="clear" w:color="auto" w:fill="auto"/>
            <w:noWrap/>
            <w:vAlign w:val="center"/>
            <w:hideMark/>
          </w:tcPr>
          <w:p w14:paraId="0C3F8627" w14:textId="77777777" w:rsidR="0015270F" w:rsidRPr="0095562E" w:rsidRDefault="0015270F" w:rsidP="0095562E">
            <w:pPr>
              <w:spacing w:before="0" w:after="0"/>
              <w:rPr>
                <w:rStyle w:val="BookTitle"/>
                <w:sz w:val="18"/>
                <w:szCs w:val="18"/>
              </w:rPr>
            </w:pPr>
            <w:r w:rsidRPr="0095562E">
              <w:rPr>
                <w:rStyle w:val="BookTitle"/>
                <w:sz w:val="18"/>
                <w:szCs w:val="18"/>
              </w:rPr>
              <w:t>0.21</w:t>
            </w:r>
          </w:p>
        </w:tc>
        <w:tc>
          <w:tcPr>
            <w:tcW w:w="328" w:type="pct"/>
            <w:tcBorders>
              <w:top w:val="nil"/>
              <w:left w:val="nil"/>
              <w:bottom w:val="nil"/>
              <w:right w:val="nil"/>
            </w:tcBorders>
            <w:shd w:val="clear" w:color="auto" w:fill="auto"/>
            <w:noWrap/>
            <w:vAlign w:val="center"/>
            <w:hideMark/>
          </w:tcPr>
          <w:p w14:paraId="0C3F8628"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000000" w:fill="FFFF00"/>
            <w:noWrap/>
            <w:vAlign w:val="center"/>
            <w:hideMark/>
          </w:tcPr>
          <w:p w14:paraId="0C3F8629" w14:textId="77777777" w:rsidR="0015270F" w:rsidRPr="0095562E" w:rsidRDefault="0015270F" w:rsidP="0095562E">
            <w:pPr>
              <w:spacing w:before="0" w:after="0"/>
              <w:rPr>
                <w:rStyle w:val="BookTitle"/>
                <w:sz w:val="18"/>
                <w:szCs w:val="18"/>
              </w:rPr>
            </w:pPr>
            <w:r w:rsidRPr="0095562E">
              <w:rPr>
                <w:rStyle w:val="BookTitle"/>
                <w:sz w:val="18"/>
                <w:szCs w:val="18"/>
              </w:rPr>
              <w:t>0.62</w:t>
            </w:r>
          </w:p>
        </w:tc>
        <w:tc>
          <w:tcPr>
            <w:tcW w:w="328" w:type="pct"/>
            <w:tcBorders>
              <w:top w:val="nil"/>
              <w:left w:val="nil"/>
              <w:bottom w:val="nil"/>
              <w:right w:val="nil"/>
            </w:tcBorders>
            <w:shd w:val="clear" w:color="auto" w:fill="auto"/>
            <w:noWrap/>
            <w:vAlign w:val="center"/>
            <w:hideMark/>
          </w:tcPr>
          <w:p w14:paraId="0C3F862A"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62B"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62C"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8" w:type="pct"/>
            <w:tcBorders>
              <w:top w:val="nil"/>
              <w:left w:val="nil"/>
              <w:bottom w:val="nil"/>
              <w:right w:val="nil"/>
            </w:tcBorders>
            <w:shd w:val="clear" w:color="auto" w:fill="auto"/>
            <w:noWrap/>
            <w:vAlign w:val="center"/>
            <w:hideMark/>
          </w:tcPr>
          <w:p w14:paraId="0C3F862D" w14:textId="77777777" w:rsidR="0015270F" w:rsidRPr="0095562E" w:rsidRDefault="0015270F" w:rsidP="0095562E">
            <w:pPr>
              <w:spacing w:before="0" w:after="0"/>
              <w:rPr>
                <w:rStyle w:val="BookTitle"/>
                <w:sz w:val="18"/>
                <w:szCs w:val="18"/>
              </w:rPr>
            </w:pPr>
            <w:r w:rsidRPr="0095562E">
              <w:rPr>
                <w:rStyle w:val="BookTitle"/>
                <w:sz w:val="18"/>
                <w:szCs w:val="18"/>
              </w:rPr>
              <w:t>0.36</w:t>
            </w:r>
          </w:p>
        </w:tc>
      </w:tr>
      <w:tr w:rsidR="0015270F" w:rsidRPr="0095562E" w14:paraId="0C3F863E" w14:textId="77777777" w:rsidTr="00162359">
        <w:trPr>
          <w:trHeight w:val="20"/>
        </w:trPr>
        <w:tc>
          <w:tcPr>
            <w:tcW w:w="363" w:type="pct"/>
            <w:tcBorders>
              <w:top w:val="nil"/>
              <w:left w:val="nil"/>
              <w:bottom w:val="nil"/>
              <w:right w:val="nil"/>
            </w:tcBorders>
            <w:shd w:val="clear" w:color="auto" w:fill="auto"/>
            <w:noWrap/>
            <w:vAlign w:val="center"/>
            <w:hideMark/>
          </w:tcPr>
          <w:p w14:paraId="0C3F862F" w14:textId="77777777" w:rsidR="0015270F" w:rsidRPr="0095562E" w:rsidRDefault="0015270F" w:rsidP="0095562E">
            <w:pPr>
              <w:spacing w:before="0" w:after="0"/>
              <w:rPr>
                <w:rStyle w:val="BookTitle"/>
                <w:sz w:val="18"/>
                <w:szCs w:val="18"/>
              </w:rPr>
            </w:pPr>
            <w:r w:rsidRPr="0095562E">
              <w:rPr>
                <w:rStyle w:val="BookTitle"/>
                <w:sz w:val="18"/>
                <w:szCs w:val="18"/>
              </w:rPr>
              <w:t>TDP</w:t>
            </w:r>
          </w:p>
        </w:tc>
        <w:tc>
          <w:tcPr>
            <w:tcW w:w="327" w:type="pct"/>
            <w:tcBorders>
              <w:top w:val="nil"/>
              <w:left w:val="nil"/>
              <w:bottom w:val="nil"/>
              <w:right w:val="nil"/>
            </w:tcBorders>
            <w:shd w:val="clear" w:color="auto" w:fill="auto"/>
            <w:noWrap/>
            <w:vAlign w:val="center"/>
            <w:hideMark/>
          </w:tcPr>
          <w:p w14:paraId="0C3F8630" w14:textId="77777777" w:rsidR="0015270F" w:rsidRPr="0095562E" w:rsidRDefault="0015270F" w:rsidP="0095562E">
            <w:pPr>
              <w:spacing w:before="0" w:after="0"/>
              <w:rPr>
                <w:rStyle w:val="BookTitle"/>
                <w:sz w:val="18"/>
                <w:szCs w:val="18"/>
              </w:rPr>
            </w:pPr>
            <w:r w:rsidRPr="0095562E">
              <w:rPr>
                <w:rStyle w:val="BookTitle"/>
                <w:sz w:val="18"/>
                <w:szCs w:val="18"/>
              </w:rPr>
              <w:t>-0.27</w:t>
            </w:r>
          </w:p>
        </w:tc>
        <w:tc>
          <w:tcPr>
            <w:tcW w:w="380" w:type="pct"/>
            <w:tcBorders>
              <w:top w:val="nil"/>
              <w:left w:val="nil"/>
              <w:bottom w:val="nil"/>
              <w:right w:val="nil"/>
            </w:tcBorders>
            <w:shd w:val="clear" w:color="auto" w:fill="auto"/>
            <w:noWrap/>
            <w:vAlign w:val="center"/>
            <w:hideMark/>
          </w:tcPr>
          <w:p w14:paraId="0C3F8631"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7" w:type="pct"/>
            <w:tcBorders>
              <w:top w:val="nil"/>
              <w:left w:val="nil"/>
              <w:bottom w:val="nil"/>
              <w:right w:val="nil"/>
            </w:tcBorders>
            <w:shd w:val="clear" w:color="auto" w:fill="auto"/>
            <w:noWrap/>
            <w:vAlign w:val="center"/>
            <w:hideMark/>
          </w:tcPr>
          <w:p w14:paraId="0C3F8632" w14:textId="77777777" w:rsidR="0015270F" w:rsidRPr="0095562E" w:rsidRDefault="0015270F" w:rsidP="0095562E">
            <w:pPr>
              <w:spacing w:before="0" w:after="0"/>
              <w:rPr>
                <w:rStyle w:val="BookTitle"/>
                <w:sz w:val="18"/>
                <w:szCs w:val="18"/>
              </w:rPr>
            </w:pPr>
            <w:r w:rsidRPr="0095562E">
              <w:rPr>
                <w:rStyle w:val="BookTitle"/>
                <w:sz w:val="18"/>
                <w:szCs w:val="18"/>
              </w:rPr>
              <w:t>-0.05</w:t>
            </w:r>
          </w:p>
        </w:tc>
        <w:tc>
          <w:tcPr>
            <w:tcW w:w="328" w:type="pct"/>
            <w:tcBorders>
              <w:top w:val="nil"/>
              <w:left w:val="nil"/>
              <w:bottom w:val="nil"/>
              <w:right w:val="nil"/>
            </w:tcBorders>
            <w:shd w:val="clear" w:color="auto" w:fill="auto"/>
            <w:noWrap/>
            <w:vAlign w:val="center"/>
            <w:hideMark/>
          </w:tcPr>
          <w:p w14:paraId="0C3F8633"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634" w14:textId="77777777" w:rsidR="0015270F" w:rsidRPr="0095562E" w:rsidRDefault="0015270F" w:rsidP="0095562E">
            <w:pPr>
              <w:spacing w:before="0" w:after="0"/>
              <w:rPr>
                <w:rStyle w:val="BookTitle"/>
                <w:sz w:val="18"/>
                <w:szCs w:val="18"/>
              </w:rPr>
            </w:pPr>
            <w:r w:rsidRPr="0095562E">
              <w:rPr>
                <w:rStyle w:val="BookTitle"/>
                <w:sz w:val="18"/>
                <w:szCs w:val="18"/>
              </w:rPr>
              <w:t>-0.11</w:t>
            </w:r>
          </w:p>
        </w:tc>
        <w:tc>
          <w:tcPr>
            <w:tcW w:w="328" w:type="pct"/>
            <w:tcBorders>
              <w:top w:val="nil"/>
              <w:left w:val="nil"/>
              <w:bottom w:val="nil"/>
              <w:right w:val="nil"/>
            </w:tcBorders>
            <w:shd w:val="clear" w:color="auto" w:fill="auto"/>
            <w:noWrap/>
            <w:vAlign w:val="center"/>
            <w:hideMark/>
          </w:tcPr>
          <w:p w14:paraId="0C3F8635" w14:textId="77777777" w:rsidR="0015270F" w:rsidRPr="0095562E" w:rsidRDefault="0015270F" w:rsidP="0095562E">
            <w:pPr>
              <w:spacing w:before="0" w:after="0"/>
              <w:rPr>
                <w:rStyle w:val="BookTitle"/>
                <w:sz w:val="18"/>
                <w:szCs w:val="18"/>
              </w:rPr>
            </w:pPr>
            <w:r w:rsidRPr="0095562E">
              <w:rPr>
                <w:rStyle w:val="BookTitle"/>
                <w:sz w:val="18"/>
                <w:szCs w:val="18"/>
              </w:rPr>
              <w:t>0.04</w:t>
            </w:r>
          </w:p>
        </w:tc>
        <w:tc>
          <w:tcPr>
            <w:tcW w:w="328" w:type="pct"/>
            <w:tcBorders>
              <w:top w:val="nil"/>
              <w:left w:val="nil"/>
              <w:bottom w:val="nil"/>
              <w:right w:val="nil"/>
            </w:tcBorders>
            <w:shd w:val="clear" w:color="auto" w:fill="auto"/>
            <w:noWrap/>
            <w:vAlign w:val="center"/>
            <w:hideMark/>
          </w:tcPr>
          <w:p w14:paraId="0C3F8636" w14:textId="77777777" w:rsidR="0015270F" w:rsidRPr="0095562E" w:rsidRDefault="0015270F" w:rsidP="0095562E">
            <w:pPr>
              <w:spacing w:before="0" w:after="0"/>
              <w:rPr>
                <w:rStyle w:val="BookTitle"/>
                <w:sz w:val="18"/>
                <w:szCs w:val="18"/>
              </w:rPr>
            </w:pPr>
            <w:r w:rsidRPr="0095562E">
              <w:rPr>
                <w:rStyle w:val="BookTitle"/>
                <w:sz w:val="18"/>
                <w:szCs w:val="18"/>
              </w:rPr>
              <w:t>0.48</w:t>
            </w:r>
          </w:p>
        </w:tc>
        <w:tc>
          <w:tcPr>
            <w:tcW w:w="328" w:type="pct"/>
            <w:tcBorders>
              <w:top w:val="nil"/>
              <w:left w:val="nil"/>
              <w:bottom w:val="nil"/>
              <w:right w:val="nil"/>
            </w:tcBorders>
            <w:shd w:val="clear" w:color="auto" w:fill="auto"/>
            <w:noWrap/>
            <w:vAlign w:val="center"/>
            <w:hideMark/>
          </w:tcPr>
          <w:p w14:paraId="0C3F8637" w14:textId="77777777" w:rsidR="0015270F" w:rsidRPr="0095562E" w:rsidRDefault="0015270F" w:rsidP="0095562E">
            <w:pPr>
              <w:spacing w:before="0" w:after="0"/>
              <w:rPr>
                <w:rStyle w:val="BookTitle"/>
                <w:sz w:val="18"/>
                <w:szCs w:val="18"/>
              </w:rPr>
            </w:pPr>
            <w:r w:rsidRPr="0095562E">
              <w:rPr>
                <w:rStyle w:val="BookTitle"/>
                <w:sz w:val="18"/>
                <w:szCs w:val="18"/>
              </w:rPr>
              <w:t>-0.01</w:t>
            </w:r>
          </w:p>
        </w:tc>
        <w:tc>
          <w:tcPr>
            <w:tcW w:w="328" w:type="pct"/>
            <w:tcBorders>
              <w:top w:val="nil"/>
              <w:left w:val="nil"/>
              <w:bottom w:val="nil"/>
              <w:right w:val="nil"/>
            </w:tcBorders>
            <w:shd w:val="clear" w:color="000000" w:fill="FFFF00"/>
            <w:noWrap/>
            <w:vAlign w:val="center"/>
            <w:hideMark/>
          </w:tcPr>
          <w:p w14:paraId="0C3F8638" w14:textId="77777777" w:rsidR="0015270F" w:rsidRPr="0095562E" w:rsidRDefault="0015270F" w:rsidP="0095562E">
            <w:pPr>
              <w:spacing w:before="0" w:after="0"/>
              <w:rPr>
                <w:rStyle w:val="BookTitle"/>
                <w:sz w:val="18"/>
                <w:szCs w:val="18"/>
              </w:rPr>
            </w:pPr>
            <w:r w:rsidRPr="0095562E">
              <w:rPr>
                <w:rStyle w:val="BookTitle"/>
                <w:sz w:val="18"/>
                <w:szCs w:val="18"/>
              </w:rPr>
              <w:t>0.62</w:t>
            </w:r>
          </w:p>
        </w:tc>
        <w:tc>
          <w:tcPr>
            <w:tcW w:w="328" w:type="pct"/>
            <w:tcBorders>
              <w:top w:val="nil"/>
              <w:left w:val="nil"/>
              <w:bottom w:val="nil"/>
              <w:right w:val="nil"/>
            </w:tcBorders>
            <w:shd w:val="clear" w:color="auto" w:fill="auto"/>
            <w:noWrap/>
            <w:vAlign w:val="center"/>
            <w:hideMark/>
          </w:tcPr>
          <w:p w14:paraId="0C3F8639"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3A"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8" w:type="pct"/>
            <w:tcBorders>
              <w:top w:val="nil"/>
              <w:left w:val="nil"/>
              <w:bottom w:val="nil"/>
              <w:right w:val="nil"/>
            </w:tcBorders>
            <w:shd w:val="clear" w:color="auto" w:fill="auto"/>
            <w:noWrap/>
            <w:vAlign w:val="center"/>
            <w:hideMark/>
          </w:tcPr>
          <w:p w14:paraId="0C3F863B" w14:textId="77777777" w:rsidR="0015270F" w:rsidRPr="0095562E" w:rsidRDefault="0015270F" w:rsidP="0095562E">
            <w:pPr>
              <w:spacing w:before="0" w:after="0"/>
              <w:rPr>
                <w:rStyle w:val="BookTitle"/>
                <w:sz w:val="18"/>
                <w:szCs w:val="18"/>
              </w:rPr>
            </w:pPr>
            <w:r w:rsidRPr="0095562E">
              <w:rPr>
                <w:rStyle w:val="BookTitle"/>
                <w:sz w:val="18"/>
                <w:szCs w:val="18"/>
              </w:rPr>
              <w:t>-0.36</w:t>
            </w:r>
          </w:p>
        </w:tc>
        <w:tc>
          <w:tcPr>
            <w:tcW w:w="328" w:type="pct"/>
            <w:tcBorders>
              <w:top w:val="nil"/>
              <w:left w:val="nil"/>
              <w:bottom w:val="nil"/>
              <w:right w:val="nil"/>
            </w:tcBorders>
            <w:shd w:val="clear" w:color="auto" w:fill="auto"/>
            <w:noWrap/>
            <w:vAlign w:val="center"/>
            <w:hideMark/>
          </w:tcPr>
          <w:p w14:paraId="0C3F863C" w14:textId="77777777" w:rsidR="0015270F" w:rsidRPr="0095562E" w:rsidRDefault="0015270F" w:rsidP="0095562E">
            <w:pPr>
              <w:spacing w:before="0" w:after="0"/>
              <w:rPr>
                <w:rStyle w:val="BookTitle"/>
                <w:sz w:val="18"/>
                <w:szCs w:val="18"/>
              </w:rPr>
            </w:pPr>
            <w:r w:rsidRPr="0095562E">
              <w:rPr>
                <w:rStyle w:val="BookTitle"/>
                <w:sz w:val="18"/>
                <w:szCs w:val="18"/>
              </w:rPr>
              <w:t>-0.40</w:t>
            </w:r>
          </w:p>
        </w:tc>
        <w:tc>
          <w:tcPr>
            <w:tcW w:w="328" w:type="pct"/>
            <w:tcBorders>
              <w:top w:val="nil"/>
              <w:left w:val="nil"/>
              <w:bottom w:val="nil"/>
              <w:right w:val="nil"/>
            </w:tcBorders>
            <w:shd w:val="clear" w:color="auto" w:fill="auto"/>
            <w:noWrap/>
            <w:vAlign w:val="center"/>
            <w:hideMark/>
          </w:tcPr>
          <w:p w14:paraId="0C3F863D" w14:textId="77777777" w:rsidR="0015270F" w:rsidRPr="0095562E" w:rsidRDefault="0015270F" w:rsidP="0095562E">
            <w:pPr>
              <w:spacing w:before="0" w:after="0"/>
              <w:rPr>
                <w:rStyle w:val="BookTitle"/>
                <w:sz w:val="18"/>
                <w:szCs w:val="18"/>
              </w:rPr>
            </w:pPr>
            <w:r w:rsidRPr="0095562E">
              <w:rPr>
                <w:rStyle w:val="BookTitle"/>
                <w:sz w:val="18"/>
                <w:szCs w:val="18"/>
              </w:rPr>
              <w:t>0.12</w:t>
            </w:r>
          </w:p>
        </w:tc>
      </w:tr>
      <w:tr w:rsidR="0015270F" w:rsidRPr="0095562E" w14:paraId="0C3F864E" w14:textId="77777777" w:rsidTr="00162359">
        <w:trPr>
          <w:trHeight w:val="20"/>
        </w:trPr>
        <w:tc>
          <w:tcPr>
            <w:tcW w:w="363" w:type="pct"/>
            <w:tcBorders>
              <w:top w:val="nil"/>
              <w:left w:val="nil"/>
              <w:bottom w:val="nil"/>
              <w:right w:val="nil"/>
            </w:tcBorders>
            <w:shd w:val="clear" w:color="auto" w:fill="auto"/>
            <w:noWrap/>
            <w:vAlign w:val="center"/>
            <w:hideMark/>
          </w:tcPr>
          <w:p w14:paraId="0C3F863F" w14:textId="77777777" w:rsidR="0015270F" w:rsidRPr="0095562E" w:rsidRDefault="0015270F" w:rsidP="0095562E">
            <w:pPr>
              <w:spacing w:before="0" w:after="0"/>
              <w:rPr>
                <w:rStyle w:val="BookTitle"/>
                <w:sz w:val="18"/>
                <w:szCs w:val="18"/>
              </w:rPr>
            </w:pPr>
            <w:r w:rsidRPr="0095562E">
              <w:rPr>
                <w:rStyle w:val="BookTitle"/>
                <w:sz w:val="18"/>
                <w:szCs w:val="18"/>
              </w:rPr>
              <w:t>DIP</w:t>
            </w:r>
          </w:p>
        </w:tc>
        <w:tc>
          <w:tcPr>
            <w:tcW w:w="327" w:type="pct"/>
            <w:tcBorders>
              <w:top w:val="nil"/>
              <w:left w:val="nil"/>
              <w:bottom w:val="nil"/>
              <w:right w:val="nil"/>
            </w:tcBorders>
            <w:shd w:val="clear" w:color="auto" w:fill="auto"/>
            <w:noWrap/>
            <w:vAlign w:val="center"/>
            <w:hideMark/>
          </w:tcPr>
          <w:p w14:paraId="0C3F8640"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80" w:type="pct"/>
            <w:tcBorders>
              <w:top w:val="nil"/>
              <w:left w:val="nil"/>
              <w:bottom w:val="nil"/>
              <w:right w:val="nil"/>
            </w:tcBorders>
            <w:shd w:val="clear" w:color="auto" w:fill="auto"/>
            <w:noWrap/>
            <w:vAlign w:val="center"/>
            <w:hideMark/>
          </w:tcPr>
          <w:p w14:paraId="0C3F8641" w14:textId="77777777" w:rsidR="0015270F" w:rsidRPr="0095562E" w:rsidRDefault="0015270F" w:rsidP="0095562E">
            <w:pPr>
              <w:spacing w:before="0" w:after="0"/>
              <w:rPr>
                <w:rStyle w:val="BookTitle"/>
                <w:sz w:val="18"/>
                <w:szCs w:val="18"/>
              </w:rPr>
            </w:pPr>
            <w:r w:rsidRPr="0095562E">
              <w:rPr>
                <w:rStyle w:val="BookTitle"/>
                <w:sz w:val="18"/>
                <w:szCs w:val="18"/>
              </w:rPr>
              <w:t>-0.10</w:t>
            </w:r>
          </w:p>
        </w:tc>
        <w:tc>
          <w:tcPr>
            <w:tcW w:w="327" w:type="pct"/>
            <w:tcBorders>
              <w:top w:val="nil"/>
              <w:left w:val="nil"/>
              <w:bottom w:val="nil"/>
              <w:right w:val="nil"/>
            </w:tcBorders>
            <w:shd w:val="clear" w:color="auto" w:fill="auto"/>
            <w:noWrap/>
            <w:vAlign w:val="center"/>
            <w:hideMark/>
          </w:tcPr>
          <w:p w14:paraId="0C3F8642" w14:textId="77777777" w:rsidR="0015270F" w:rsidRPr="0095562E" w:rsidRDefault="0015270F" w:rsidP="0095562E">
            <w:pPr>
              <w:spacing w:before="0" w:after="0"/>
              <w:rPr>
                <w:rStyle w:val="BookTitle"/>
                <w:sz w:val="18"/>
                <w:szCs w:val="18"/>
              </w:rPr>
            </w:pPr>
            <w:r w:rsidRPr="0095562E">
              <w:rPr>
                <w:rStyle w:val="BookTitle"/>
                <w:sz w:val="18"/>
                <w:szCs w:val="18"/>
              </w:rPr>
              <w:t>-0.06</w:t>
            </w:r>
          </w:p>
        </w:tc>
        <w:tc>
          <w:tcPr>
            <w:tcW w:w="328" w:type="pct"/>
            <w:tcBorders>
              <w:top w:val="nil"/>
              <w:left w:val="nil"/>
              <w:bottom w:val="nil"/>
              <w:right w:val="nil"/>
            </w:tcBorders>
            <w:shd w:val="clear" w:color="auto" w:fill="auto"/>
            <w:noWrap/>
            <w:vAlign w:val="center"/>
            <w:hideMark/>
          </w:tcPr>
          <w:p w14:paraId="0C3F8643"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644"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nil"/>
              <w:right w:val="nil"/>
            </w:tcBorders>
            <w:shd w:val="clear" w:color="auto" w:fill="auto"/>
            <w:noWrap/>
            <w:vAlign w:val="center"/>
            <w:hideMark/>
          </w:tcPr>
          <w:p w14:paraId="0C3F8645"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646" w14:textId="77777777" w:rsidR="0015270F" w:rsidRPr="0095562E" w:rsidRDefault="0015270F" w:rsidP="0095562E">
            <w:pPr>
              <w:spacing w:before="0" w:after="0"/>
              <w:rPr>
                <w:rStyle w:val="BookTitle"/>
                <w:sz w:val="18"/>
                <w:szCs w:val="18"/>
              </w:rPr>
            </w:pPr>
            <w:r w:rsidRPr="0095562E">
              <w:rPr>
                <w:rStyle w:val="BookTitle"/>
                <w:sz w:val="18"/>
                <w:szCs w:val="18"/>
              </w:rPr>
              <w:t>0.18</w:t>
            </w:r>
          </w:p>
        </w:tc>
        <w:tc>
          <w:tcPr>
            <w:tcW w:w="328" w:type="pct"/>
            <w:tcBorders>
              <w:top w:val="nil"/>
              <w:left w:val="nil"/>
              <w:bottom w:val="nil"/>
              <w:right w:val="nil"/>
            </w:tcBorders>
            <w:shd w:val="clear" w:color="auto" w:fill="auto"/>
            <w:noWrap/>
            <w:vAlign w:val="center"/>
            <w:hideMark/>
          </w:tcPr>
          <w:p w14:paraId="0C3F8647"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648"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auto" w:fill="auto"/>
            <w:noWrap/>
            <w:vAlign w:val="center"/>
            <w:hideMark/>
          </w:tcPr>
          <w:p w14:paraId="0C3F8649" w14:textId="77777777" w:rsidR="0015270F" w:rsidRPr="0095562E" w:rsidRDefault="0015270F" w:rsidP="0095562E">
            <w:pPr>
              <w:spacing w:before="0" w:after="0"/>
              <w:rPr>
                <w:rStyle w:val="BookTitle"/>
                <w:sz w:val="18"/>
                <w:szCs w:val="18"/>
              </w:rPr>
            </w:pPr>
            <w:r w:rsidRPr="0095562E">
              <w:rPr>
                <w:rStyle w:val="BookTitle"/>
                <w:sz w:val="18"/>
                <w:szCs w:val="18"/>
              </w:rPr>
              <w:t>0.29</w:t>
            </w:r>
          </w:p>
        </w:tc>
        <w:tc>
          <w:tcPr>
            <w:tcW w:w="328" w:type="pct"/>
            <w:tcBorders>
              <w:top w:val="nil"/>
              <w:left w:val="nil"/>
              <w:bottom w:val="nil"/>
              <w:right w:val="nil"/>
            </w:tcBorders>
            <w:shd w:val="clear" w:color="auto" w:fill="auto"/>
            <w:noWrap/>
            <w:vAlign w:val="center"/>
            <w:hideMark/>
          </w:tcPr>
          <w:p w14:paraId="0C3F864A"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4B" w14:textId="77777777" w:rsidR="0015270F" w:rsidRPr="0095562E" w:rsidRDefault="0015270F" w:rsidP="0095562E">
            <w:pPr>
              <w:spacing w:before="0" w:after="0"/>
              <w:rPr>
                <w:rStyle w:val="BookTitle"/>
                <w:sz w:val="18"/>
                <w:szCs w:val="18"/>
              </w:rPr>
            </w:pPr>
            <w:r w:rsidRPr="0095562E">
              <w:rPr>
                <w:rStyle w:val="BookTitle"/>
                <w:sz w:val="18"/>
                <w:szCs w:val="18"/>
              </w:rPr>
              <w:t>-0.31</w:t>
            </w:r>
          </w:p>
        </w:tc>
        <w:tc>
          <w:tcPr>
            <w:tcW w:w="328" w:type="pct"/>
            <w:tcBorders>
              <w:top w:val="nil"/>
              <w:left w:val="nil"/>
              <w:bottom w:val="nil"/>
              <w:right w:val="nil"/>
            </w:tcBorders>
            <w:shd w:val="clear" w:color="auto" w:fill="auto"/>
            <w:noWrap/>
            <w:vAlign w:val="center"/>
            <w:hideMark/>
          </w:tcPr>
          <w:p w14:paraId="0C3F864C"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8" w:type="pct"/>
            <w:tcBorders>
              <w:top w:val="nil"/>
              <w:left w:val="nil"/>
              <w:bottom w:val="nil"/>
              <w:right w:val="nil"/>
            </w:tcBorders>
            <w:shd w:val="clear" w:color="auto" w:fill="auto"/>
            <w:noWrap/>
            <w:vAlign w:val="center"/>
            <w:hideMark/>
          </w:tcPr>
          <w:p w14:paraId="0C3F864D" w14:textId="77777777" w:rsidR="0015270F" w:rsidRPr="0095562E" w:rsidRDefault="0015270F" w:rsidP="0095562E">
            <w:pPr>
              <w:spacing w:before="0" w:after="0"/>
              <w:rPr>
                <w:rStyle w:val="BookTitle"/>
                <w:sz w:val="18"/>
                <w:szCs w:val="18"/>
              </w:rPr>
            </w:pPr>
            <w:r w:rsidRPr="0095562E">
              <w:rPr>
                <w:rStyle w:val="BookTitle"/>
                <w:sz w:val="18"/>
                <w:szCs w:val="18"/>
              </w:rPr>
              <w:t>-0.07</w:t>
            </w:r>
          </w:p>
        </w:tc>
      </w:tr>
      <w:tr w:rsidR="0015270F" w:rsidRPr="0095562E" w14:paraId="0C3F865E" w14:textId="77777777" w:rsidTr="00162359">
        <w:trPr>
          <w:trHeight w:val="20"/>
        </w:trPr>
        <w:tc>
          <w:tcPr>
            <w:tcW w:w="363" w:type="pct"/>
            <w:tcBorders>
              <w:top w:val="nil"/>
              <w:left w:val="nil"/>
              <w:bottom w:val="nil"/>
              <w:right w:val="nil"/>
            </w:tcBorders>
            <w:shd w:val="clear" w:color="auto" w:fill="auto"/>
            <w:noWrap/>
            <w:vAlign w:val="center"/>
            <w:hideMark/>
          </w:tcPr>
          <w:p w14:paraId="0C3F864F" w14:textId="77777777" w:rsidR="0015270F" w:rsidRPr="0095562E" w:rsidRDefault="0015270F" w:rsidP="0095562E">
            <w:pPr>
              <w:spacing w:before="0" w:after="0"/>
              <w:rPr>
                <w:rStyle w:val="BookTitle"/>
                <w:sz w:val="18"/>
                <w:szCs w:val="18"/>
              </w:rPr>
            </w:pPr>
            <w:r w:rsidRPr="0095562E">
              <w:rPr>
                <w:rStyle w:val="BookTitle"/>
                <w:sz w:val="18"/>
                <w:szCs w:val="18"/>
              </w:rPr>
              <w:t>PN</w:t>
            </w:r>
          </w:p>
        </w:tc>
        <w:tc>
          <w:tcPr>
            <w:tcW w:w="327" w:type="pct"/>
            <w:tcBorders>
              <w:top w:val="nil"/>
              <w:left w:val="nil"/>
              <w:bottom w:val="nil"/>
              <w:right w:val="nil"/>
            </w:tcBorders>
            <w:shd w:val="clear" w:color="auto" w:fill="auto"/>
            <w:noWrap/>
            <w:vAlign w:val="center"/>
            <w:hideMark/>
          </w:tcPr>
          <w:p w14:paraId="0C3F8650"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80" w:type="pct"/>
            <w:tcBorders>
              <w:top w:val="nil"/>
              <w:left w:val="nil"/>
              <w:bottom w:val="nil"/>
              <w:right w:val="nil"/>
            </w:tcBorders>
            <w:shd w:val="clear" w:color="auto" w:fill="auto"/>
            <w:noWrap/>
            <w:vAlign w:val="center"/>
            <w:hideMark/>
          </w:tcPr>
          <w:p w14:paraId="0C3F8651" w14:textId="77777777" w:rsidR="0015270F" w:rsidRPr="0095562E" w:rsidRDefault="0015270F" w:rsidP="0095562E">
            <w:pPr>
              <w:spacing w:before="0" w:after="0"/>
              <w:rPr>
                <w:rStyle w:val="BookTitle"/>
                <w:sz w:val="18"/>
                <w:szCs w:val="18"/>
              </w:rPr>
            </w:pPr>
            <w:r w:rsidRPr="0095562E">
              <w:rPr>
                <w:rStyle w:val="BookTitle"/>
                <w:sz w:val="18"/>
                <w:szCs w:val="18"/>
              </w:rPr>
              <w:t>0.28</w:t>
            </w:r>
          </w:p>
        </w:tc>
        <w:tc>
          <w:tcPr>
            <w:tcW w:w="327" w:type="pct"/>
            <w:tcBorders>
              <w:top w:val="nil"/>
              <w:left w:val="nil"/>
              <w:bottom w:val="nil"/>
              <w:right w:val="nil"/>
            </w:tcBorders>
            <w:shd w:val="clear" w:color="auto" w:fill="auto"/>
            <w:noWrap/>
            <w:vAlign w:val="center"/>
            <w:hideMark/>
          </w:tcPr>
          <w:p w14:paraId="0C3F8652"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653"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654"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nil"/>
              <w:right w:val="nil"/>
            </w:tcBorders>
            <w:shd w:val="clear" w:color="000000" w:fill="FFFF00"/>
            <w:noWrap/>
            <w:vAlign w:val="center"/>
            <w:hideMark/>
          </w:tcPr>
          <w:p w14:paraId="0C3F8655" w14:textId="77777777" w:rsidR="0015270F" w:rsidRPr="0095562E" w:rsidRDefault="0015270F" w:rsidP="0095562E">
            <w:pPr>
              <w:spacing w:before="0" w:after="0"/>
              <w:rPr>
                <w:rStyle w:val="BookTitle"/>
                <w:sz w:val="18"/>
                <w:szCs w:val="18"/>
              </w:rPr>
            </w:pPr>
            <w:r w:rsidRPr="0095562E">
              <w:rPr>
                <w:rStyle w:val="BookTitle"/>
                <w:sz w:val="18"/>
                <w:szCs w:val="18"/>
              </w:rPr>
              <w:t>0.67</w:t>
            </w:r>
          </w:p>
        </w:tc>
        <w:tc>
          <w:tcPr>
            <w:tcW w:w="328" w:type="pct"/>
            <w:tcBorders>
              <w:top w:val="nil"/>
              <w:left w:val="nil"/>
              <w:bottom w:val="nil"/>
              <w:right w:val="nil"/>
            </w:tcBorders>
            <w:shd w:val="clear" w:color="auto" w:fill="auto"/>
            <w:noWrap/>
            <w:vAlign w:val="center"/>
            <w:hideMark/>
          </w:tcPr>
          <w:p w14:paraId="0C3F8656"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657"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58" w14:textId="77777777" w:rsidR="0015270F" w:rsidRPr="0095562E" w:rsidRDefault="0015270F" w:rsidP="0095562E">
            <w:pPr>
              <w:spacing w:before="0" w:after="0"/>
              <w:rPr>
                <w:rStyle w:val="BookTitle"/>
                <w:sz w:val="18"/>
                <w:szCs w:val="18"/>
              </w:rPr>
            </w:pPr>
            <w:r w:rsidRPr="0095562E">
              <w:rPr>
                <w:rStyle w:val="BookTitle"/>
                <w:sz w:val="18"/>
                <w:szCs w:val="18"/>
              </w:rPr>
              <w:t>-0.19</w:t>
            </w:r>
          </w:p>
        </w:tc>
        <w:tc>
          <w:tcPr>
            <w:tcW w:w="328" w:type="pct"/>
            <w:tcBorders>
              <w:top w:val="nil"/>
              <w:left w:val="nil"/>
              <w:bottom w:val="nil"/>
              <w:right w:val="nil"/>
            </w:tcBorders>
            <w:shd w:val="clear" w:color="auto" w:fill="auto"/>
            <w:noWrap/>
            <w:vAlign w:val="center"/>
            <w:hideMark/>
          </w:tcPr>
          <w:p w14:paraId="0C3F8659" w14:textId="77777777" w:rsidR="0015270F" w:rsidRPr="0095562E" w:rsidRDefault="0015270F" w:rsidP="0095562E">
            <w:pPr>
              <w:spacing w:before="0" w:after="0"/>
              <w:rPr>
                <w:rStyle w:val="BookTitle"/>
                <w:sz w:val="18"/>
                <w:szCs w:val="18"/>
              </w:rPr>
            </w:pPr>
            <w:r w:rsidRPr="0095562E">
              <w:rPr>
                <w:rStyle w:val="BookTitle"/>
                <w:sz w:val="18"/>
                <w:szCs w:val="18"/>
              </w:rPr>
              <w:t>-0.36</w:t>
            </w:r>
          </w:p>
        </w:tc>
        <w:tc>
          <w:tcPr>
            <w:tcW w:w="328" w:type="pct"/>
            <w:tcBorders>
              <w:top w:val="nil"/>
              <w:left w:val="nil"/>
              <w:bottom w:val="nil"/>
              <w:right w:val="nil"/>
            </w:tcBorders>
            <w:shd w:val="clear" w:color="auto" w:fill="auto"/>
            <w:noWrap/>
            <w:vAlign w:val="center"/>
            <w:hideMark/>
          </w:tcPr>
          <w:p w14:paraId="0C3F865A" w14:textId="77777777" w:rsidR="0015270F" w:rsidRPr="0095562E" w:rsidRDefault="0015270F" w:rsidP="0095562E">
            <w:pPr>
              <w:spacing w:before="0" w:after="0"/>
              <w:rPr>
                <w:rStyle w:val="BookTitle"/>
                <w:sz w:val="18"/>
                <w:szCs w:val="18"/>
              </w:rPr>
            </w:pPr>
            <w:r w:rsidRPr="0095562E">
              <w:rPr>
                <w:rStyle w:val="BookTitle"/>
                <w:sz w:val="18"/>
                <w:szCs w:val="18"/>
              </w:rPr>
              <w:t>-0.31</w:t>
            </w:r>
          </w:p>
        </w:tc>
        <w:tc>
          <w:tcPr>
            <w:tcW w:w="328" w:type="pct"/>
            <w:tcBorders>
              <w:top w:val="nil"/>
              <w:left w:val="nil"/>
              <w:bottom w:val="nil"/>
              <w:right w:val="nil"/>
            </w:tcBorders>
            <w:shd w:val="clear" w:color="auto" w:fill="auto"/>
            <w:noWrap/>
            <w:vAlign w:val="center"/>
            <w:hideMark/>
          </w:tcPr>
          <w:p w14:paraId="0C3F865B"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5C"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5D" w14:textId="77777777" w:rsidR="0015270F" w:rsidRPr="0095562E" w:rsidRDefault="0015270F" w:rsidP="0095562E">
            <w:pPr>
              <w:spacing w:before="0" w:after="0"/>
              <w:rPr>
                <w:rStyle w:val="BookTitle"/>
                <w:sz w:val="18"/>
                <w:szCs w:val="18"/>
              </w:rPr>
            </w:pPr>
            <w:r w:rsidRPr="0095562E">
              <w:rPr>
                <w:rStyle w:val="BookTitle"/>
                <w:sz w:val="18"/>
                <w:szCs w:val="18"/>
              </w:rPr>
              <w:t>-0.05</w:t>
            </w:r>
          </w:p>
        </w:tc>
      </w:tr>
      <w:tr w:rsidR="0015270F" w:rsidRPr="0095562E" w14:paraId="0C3F866E" w14:textId="77777777" w:rsidTr="00162359">
        <w:trPr>
          <w:trHeight w:val="20"/>
        </w:trPr>
        <w:tc>
          <w:tcPr>
            <w:tcW w:w="363" w:type="pct"/>
            <w:tcBorders>
              <w:top w:val="nil"/>
              <w:left w:val="nil"/>
              <w:bottom w:val="nil"/>
              <w:right w:val="nil"/>
            </w:tcBorders>
            <w:shd w:val="clear" w:color="auto" w:fill="auto"/>
            <w:noWrap/>
            <w:vAlign w:val="center"/>
            <w:hideMark/>
          </w:tcPr>
          <w:p w14:paraId="0C3F865F" w14:textId="77777777" w:rsidR="0015270F" w:rsidRPr="0095562E" w:rsidRDefault="0015270F" w:rsidP="0095562E">
            <w:pPr>
              <w:spacing w:before="0" w:after="0"/>
              <w:rPr>
                <w:rStyle w:val="BookTitle"/>
                <w:sz w:val="18"/>
                <w:szCs w:val="18"/>
              </w:rPr>
            </w:pPr>
            <w:r w:rsidRPr="0095562E">
              <w:rPr>
                <w:rStyle w:val="BookTitle"/>
                <w:sz w:val="18"/>
                <w:szCs w:val="18"/>
              </w:rPr>
              <w:t>PP</w:t>
            </w:r>
          </w:p>
        </w:tc>
        <w:tc>
          <w:tcPr>
            <w:tcW w:w="327" w:type="pct"/>
            <w:tcBorders>
              <w:top w:val="nil"/>
              <w:left w:val="nil"/>
              <w:bottom w:val="nil"/>
              <w:right w:val="nil"/>
            </w:tcBorders>
            <w:shd w:val="clear" w:color="auto" w:fill="auto"/>
            <w:noWrap/>
            <w:vAlign w:val="center"/>
            <w:hideMark/>
          </w:tcPr>
          <w:p w14:paraId="0C3F8660"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80" w:type="pct"/>
            <w:tcBorders>
              <w:top w:val="nil"/>
              <w:left w:val="nil"/>
              <w:bottom w:val="nil"/>
              <w:right w:val="nil"/>
            </w:tcBorders>
            <w:shd w:val="clear" w:color="auto" w:fill="auto"/>
            <w:noWrap/>
            <w:vAlign w:val="center"/>
            <w:hideMark/>
          </w:tcPr>
          <w:p w14:paraId="0C3F8661"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7" w:type="pct"/>
            <w:tcBorders>
              <w:top w:val="nil"/>
              <w:left w:val="nil"/>
              <w:bottom w:val="nil"/>
              <w:right w:val="nil"/>
            </w:tcBorders>
            <w:shd w:val="clear" w:color="auto" w:fill="auto"/>
            <w:noWrap/>
            <w:vAlign w:val="center"/>
            <w:hideMark/>
          </w:tcPr>
          <w:p w14:paraId="0C3F8662" w14:textId="77777777" w:rsidR="0015270F" w:rsidRPr="0095562E" w:rsidRDefault="0015270F" w:rsidP="0095562E">
            <w:pPr>
              <w:spacing w:before="0" w:after="0"/>
              <w:rPr>
                <w:rStyle w:val="BookTitle"/>
                <w:sz w:val="18"/>
                <w:szCs w:val="18"/>
              </w:rPr>
            </w:pPr>
            <w:r w:rsidRPr="0095562E">
              <w:rPr>
                <w:rStyle w:val="BookTitle"/>
                <w:sz w:val="18"/>
                <w:szCs w:val="18"/>
              </w:rPr>
              <w:t>-0.17</w:t>
            </w:r>
          </w:p>
        </w:tc>
        <w:tc>
          <w:tcPr>
            <w:tcW w:w="328" w:type="pct"/>
            <w:tcBorders>
              <w:top w:val="nil"/>
              <w:left w:val="nil"/>
              <w:bottom w:val="nil"/>
              <w:right w:val="nil"/>
            </w:tcBorders>
            <w:shd w:val="clear" w:color="auto" w:fill="auto"/>
            <w:noWrap/>
            <w:vAlign w:val="center"/>
            <w:hideMark/>
          </w:tcPr>
          <w:p w14:paraId="0C3F8663"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64"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65" w14:textId="77777777" w:rsidR="0015270F" w:rsidRPr="0095562E" w:rsidRDefault="0015270F" w:rsidP="0095562E">
            <w:pPr>
              <w:spacing w:before="0" w:after="0"/>
              <w:rPr>
                <w:rStyle w:val="BookTitle"/>
                <w:sz w:val="18"/>
                <w:szCs w:val="18"/>
              </w:rPr>
            </w:pPr>
            <w:r w:rsidRPr="0095562E">
              <w:rPr>
                <w:rStyle w:val="BookTitle"/>
                <w:sz w:val="18"/>
                <w:szCs w:val="18"/>
              </w:rPr>
              <w:t>0.09</w:t>
            </w:r>
          </w:p>
        </w:tc>
        <w:tc>
          <w:tcPr>
            <w:tcW w:w="328" w:type="pct"/>
            <w:tcBorders>
              <w:top w:val="nil"/>
              <w:left w:val="nil"/>
              <w:bottom w:val="nil"/>
              <w:right w:val="nil"/>
            </w:tcBorders>
            <w:shd w:val="clear" w:color="auto" w:fill="auto"/>
            <w:noWrap/>
            <w:vAlign w:val="center"/>
            <w:hideMark/>
          </w:tcPr>
          <w:p w14:paraId="0C3F8666" w14:textId="77777777" w:rsidR="0015270F" w:rsidRPr="0095562E" w:rsidRDefault="0015270F" w:rsidP="0095562E">
            <w:pPr>
              <w:spacing w:before="0" w:after="0"/>
              <w:rPr>
                <w:rStyle w:val="BookTitle"/>
                <w:sz w:val="18"/>
                <w:szCs w:val="18"/>
              </w:rPr>
            </w:pPr>
            <w:r w:rsidRPr="0095562E">
              <w:rPr>
                <w:rStyle w:val="BookTitle"/>
                <w:sz w:val="18"/>
                <w:szCs w:val="18"/>
              </w:rPr>
              <w:t>0.08</w:t>
            </w:r>
          </w:p>
        </w:tc>
        <w:tc>
          <w:tcPr>
            <w:tcW w:w="328" w:type="pct"/>
            <w:tcBorders>
              <w:top w:val="nil"/>
              <w:left w:val="nil"/>
              <w:bottom w:val="nil"/>
              <w:right w:val="nil"/>
            </w:tcBorders>
            <w:shd w:val="clear" w:color="auto" w:fill="auto"/>
            <w:noWrap/>
            <w:vAlign w:val="center"/>
            <w:hideMark/>
          </w:tcPr>
          <w:p w14:paraId="0C3F8667" w14:textId="77777777" w:rsidR="0015270F" w:rsidRPr="0095562E" w:rsidRDefault="0015270F" w:rsidP="0095562E">
            <w:pPr>
              <w:spacing w:before="0" w:after="0"/>
              <w:rPr>
                <w:rStyle w:val="BookTitle"/>
                <w:sz w:val="18"/>
                <w:szCs w:val="18"/>
              </w:rPr>
            </w:pPr>
            <w:r w:rsidRPr="0095562E">
              <w:rPr>
                <w:rStyle w:val="BookTitle"/>
                <w:sz w:val="18"/>
                <w:szCs w:val="18"/>
              </w:rPr>
              <w:t>0.25</w:t>
            </w:r>
          </w:p>
        </w:tc>
        <w:tc>
          <w:tcPr>
            <w:tcW w:w="328" w:type="pct"/>
            <w:tcBorders>
              <w:top w:val="nil"/>
              <w:left w:val="nil"/>
              <w:bottom w:val="nil"/>
              <w:right w:val="nil"/>
            </w:tcBorders>
            <w:shd w:val="clear" w:color="auto" w:fill="auto"/>
            <w:noWrap/>
            <w:vAlign w:val="center"/>
            <w:hideMark/>
          </w:tcPr>
          <w:p w14:paraId="0C3F8668" w14:textId="77777777" w:rsidR="0015270F" w:rsidRPr="0095562E" w:rsidRDefault="0015270F" w:rsidP="0095562E">
            <w:pPr>
              <w:spacing w:before="0" w:after="0"/>
              <w:rPr>
                <w:rStyle w:val="BookTitle"/>
                <w:sz w:val="18"/>
                <w:szCs w:val="18"/>
              </w:rPr>
            </w:pPr>
            <w:r w:rsidRPr="0095562E">
              <w:rPr>
                <w:rStyle w:val="BookTitle"/>
                <w:sz w:val="18"/>
                <w:szCs w:val="18"/>
              </w:rPr>
              <w:t>0.39</w:t>
            </w:r>
          </w:p>
        </w:tc>
        <w:tc>
          <w:tcPr>
            <w:tcW w:w="328" w:type="pct"/>
            <w:tcBorders>
              <w:top w:val="nil"/>
              <w:left w:val="nil"/>
              <w:bottom w:val="nil"/>
              <w:right w:val="nil"/>
            </w:tcBorders>
            <w:shd w:val="clear" w:color="auto" w:fill="auto"/>
            <w:noWrap/>
            <w:vAlign w:val="center"/>
            <w:hideMark/>
          </w:tcPr>
          <w:p w14:paraId="0C3F8669" w14:textId="77777777" w:rsidR="0015270F" w:rsidRPr="0095562E" w:rsidRDefault="0015270F" w:rsidP="0095562E">
            <w:pPr>
              <w:spacing w:before="0" w:after="0"/>
              <w:rPr>
                <w:rStyle w:val="BookTitle"/>
                <w:sz w:val="18"/>
                <w:szCs w:val="18"/>
              </w:rPr>
            </w:pPr>
            <w:r w:rsidRPr="0095562E">
              <w:rPr>
                <w:rStyle w:val="BookTitle"/>
                <w:sz w:val="18"/>
                <w:szCs w:val="18"/>
              </w:rPr>
              <w:t>-0.40</w:t>
            </w:r>
          </w:p>
        </w:tc>
        <w:tc>
          <w:tcPr>
            <w:tcW w:w="328" w:type="pct"/>
            <w:tcBorders>
              <w:top w:val="nil"/>
              <w:left w:val="nil"/>
              <w:bottom w:val="nil"/>
              <w:right w:val="nil"/>
            </w:tcBorders>
            <w:shd w:val="clear" w:color="auto" w:fill="auto"/>
            <w:noWrap/>
            <w:vAlign w:val="center"/>
            <w:hideMark/>
          </w:tcPr>
          <w:p w14:paraId="0C3F866A" w14:textId="77777777" w:rsidR="0015270F" w:rsidRPr="0095562E" w:rsidRDefault="0015270F" w:rsidP="0095562E">
            <w:pPr>
              <w:spacing w:before="0" w:after="0"/>
              <w:rPr>
                <w:rStyle w:val="BookTitle"/>
                <w:sz w:val="18"/>
                <w:szCs w:val="18"/>
              </w:rPr>
            </w:pPr>
            <w:r w:rsidRPr="0095562E">
              <w:rPr>
                <w:rStyle w:val="BookTitle"/>
                <w:sz w:val="18"/>
                <w:szCs w:val="18"/>
              </w:rPr>
              <w:t>-0.15</w:t>
            </w:r>
          </w:p>
        </w:tc>
        <w:tc>
          <w:tcPr>
            <w:tcW w:w="328" w:type="pct"/>
            <w:tcBorders>
              <w:top w:val="nil"/>
              <w:left w:val="nil"/>
              <w:bottom w:val="nil"/>
              <w:right w:val="nil"/>
            </w:tcBorders>
            <w:shd w:val="clear" w:color="auto" w:fill="auto"/>
            <w:noWrap/>
            <w:vAlign w:val="center"/>
            <w:hideMark/>
          </w:tcPr>
          <w:p w14:paraId="0C3F866B" w14:textId="77777777" w:rsidR="0015270F" w:rsidRPr="0095562E" w:rsidRDefault="0015270F" w:rsidP="0095562E">
            <w:pPr>
              <w:spacing w:before="0" w:after="0"/>
              <w:rPr>
                <w:rStyle w:val="BookTitle"/>
                <w:sz w:val="18"/>
                <w:szCs w:val="18"/>
              </w:rPr>
            </w:pPr>
            <w:r w:rsidRPr="0095562E">
              <w:rPr>
                <w:rStyle w:val="BookTitle"/>
                <w:sz w:val="18"/>
                <w:szCs w:val="18"/>
              </w:rPr>
              <w:t>0.13</w:t>
            </w:r>
          </w:p>
        </w:tc>
        <w:tc>
          <w:tcPr>
            <w:tcW w:w="328" w:type="pct"/>
            <w:tcBorders>
              <w:top w:val="nil"/>
              <w:left w:val="nil"/>
              <w:bottom w:val="nil"/>
              <w:right w:val="nil"/>
            </w:tcBorders>
            <w:shd w:val="clear" w:color="auto" w:fill="auto"/>
            <w:noWrap/>
            <w:vAlign w:val="center"/>
            <w:hideMark/>
          </w:tcPr>
          <w:p w14:paraId="0C3F866C" w14:textId="77777777" w:rsidR="0015270F" w:rsidRPr="0095562E" w:rsidRDefault="0015270F" w:rsidP="0095562E">
            <w:pPr>
              <w:spacing w:before="0" w:after="0"/>
              <w:rPr>
                <w:rStyle w:val="BookTitle"/>
                <w:sz w:val="18"/>
                <w:szCs w:val="18"/>
              </w:rPr>
            </w:pPr>
            <w:r w:rsidRPr="0095562E">
              <w:rPr>
                <w:rStyle w:val="BookTitle"/>
                <w:sz w:val="18"/>
                <w:szCs w:val="18"/>
              </w:rPr>
              <w:t>1</w:t>
            </w:r>
          </w:p>
        </w:tc>
        <w:tc>
          <w:tcPr>
            <w:tcW w:w="328" w:type="pct"/>
            <w:tcBorders>
              <w:top w:val="nil"/>
              <w:left w:val="nil"/>
              <w:bottom w:val="nil"/>
              <w:right w:val="nil"/>
            </w:tcBorders>
            <w:shd w:val="clear" w:color="auto" w:fill="auto"/>
            <w:noWrap/>
            <w:vAlign w:val="center"/>
            <w:hideMark/>
          </w:tcPr>
          <w:p w14:paraId="0C3F866D" w14:textId="77777777" w:rsidR="0015270F" w:rsidRPr="0095562E" w:rsidRDefault="0015270F" w:rsidP="0095562E">
            <w:pPr>
              <w:spacing w:before="0" w:after="0"/>
              <w:rPr>
                <w:rStyle w:val="BookTitle"/>
                <w:sz w:val="18"/>
                <w:szCs w:val="18"/>
              </w:rPr>
            </w:pPr>
            <w:r w:rsidRPr="0095562E">
              <w:rPr>
                <w:rStyle w:val="BookTitle"/>
                <w:sz w:val="18"/>
                <w:szCs w:val="18"/>
              </w:rPr>
              <w:t>0.43</w:t>
            </w:r>
          </w:p>
        </w:tc>
      </w:tr>
      <w:tr w:rsidR="0015270F" w:rsidRPr="0095562E" w14:paraId="0C3F867E" w14:textId="77777777" w:rsidTr="00162359">
        <w:trPr>
          <w:trHeight w:val="20"/>
        </w:trPr>
        <w:tc>
          <w:tcPr>
            <w:tcW w:w="363" w:type="pct"/>
            <w:tcBorders>
              <w:top w:val="nil"/>
              <w:left w:val="nil"/>
              <w:bottom w:val="single" w:sz="4" w:space="0" w:color="auto"/>
              <w:right w:val="nil"/>
            </w:tcBorders>
            <w:shd w:val="clear" w:color="auto" w:fill="auto"/>
            <w:noWrap/>
            <w:vAlign w:val="center"/>
            <w:hideMark/>
          </w:tcPr>
          <w:p w14:paraId="0C3F866F" w14:textId="77777777" w:rsidR="0015270F" w:rsidRPr="0095562E" w:rsidRDefault="0015270F" w:rsidP="0095562E">
            <w:pPr>
              <w:spacing w:before="0" w:after="0"/>
              <w:rPr>
                <w:rStyle w:val="BookTitle"/>
                <w:sz w:val="18"/>
                <w:szCs w:val="18"/>
              </w:rPr>
            </w:pPr>
            <w:r w:rsidRPr="0095562E">
              <w:rPr>
                <w:rStyle w:val="BookTitle"/>
                <w:sz w:val="18"/>
                <w:szCs w:val="18"/>
              </w:rPr>
              <w:t>Si</w:t>
            </w:r>
          </w:p>
        </w:tc>
        <w:tc>
          <w:tcPr>
            <w:tcW w:w="327" w:type="pct"/>
            <w:tcBorders>
              <w:top w:val="nil"/>
              <w:left w:val="nil"/>
              <w:bottom w:val="single" w:sz="4" w:space="0" w:color="auto"/>
              <w:right w:val="nil"/>
            </w:tcBorders>
            <w:shd w:val="clear" w:color="auto" w:fill="auto"/>
            <w:noWrap/>
            <w:vAlign w:val="center"/>
            <w:hideMark/>
          </w:tcPr>
          <w:p w14:paraId="0C3F8670"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80" w:type="pct"/>
            <w:tcBorders>
              <w:top w:val="nil"/>
              <w:left w:val="nil"/>
              <w:bottom w:val="single" w:sz="4" w:space="0" w:color="auto"/>
              <w:right w:val="nil"/>
            </w:tcBorders>
            <w:shd w:val="clear" w:color="auto" w:fill="auto"/>
            <w:noWrap/>
            <w:vAlign w:val="center"/>
            <w:hideMark/>
          </w:tcPr>
          <w:p w14:paraId="0C3F8671" w14:textId="77777777" w:rsidR="0015270F" w:rsidRPr="0095562E" w:rsidRDefault="0015270F" w:rsidP="0095562E">
            <w:pPr>
              <w:spacing w:before="0" w:after="0"/>
              <w:rPr>
                <w:rStyle w:val="BookTitle"/>
                <w:sz w:val="18"/>
                <w:szCs w:val="18"/>
              </w:rPr>
            </w:pPr>
            <w:r w:rsidRPr="0095562E">
              <w:rPr>
                <w:rStyle w:val="BookTitle"/>
                <w:sz w:val="18"/>
                <w:szCs w:val="18"/>
              </w:rPr>
              <w:t>-0.44</w:t>
            </w:r>
          </w:p>
        </w:tc>
        <w:tc>
          <w:tcPr>
            <w:tcW w:w="327" w:type="pct"/>
            <w:tcBorders>
              <w:top w:val="nil"/>
              <w:left w:val="nil"/>
              <w:bottom w:val="single" w:sz="4" w:space="0" w:color="auto"/>
              <w:right w:val="nil"/>
            </w:tcBorders>
            <w:shd w:val="clear" w:color="auto" w:fill="auto"/>
            <w:noWrap/>
            <w:vAlign w:val="center"/>
            <w:hideMark/>
          </w:tcPr>
          <w:p w14:paraId="0C3F8672" w14:textId="77777777" w:rsidR="0015270F" w:rsidRPr="0095562E" w:rsidRDefault="0015270F" w:rsidP="0095562E">
            <w:pPr>
              <w:spacing w:before="0" w:after="0"/>
              <w:rPr>
                <w:rStyle w:val="BookTitle"/>
                <w:sz w:val="18"/>
                <w:szCs w:val="18"/>
              </w:rPr>
            </w:pPr>
            <w:r w:rsidRPr="0095562E">
              <w:rPr>
                <w:rStyle w:val="BookTitle"/>
                <w:sz w:val="18"/>
                <w:szCs w:val="18"/>
              </w:rPr>
              <w:t>-0.49</w:t>
            </w:r>
          </w:p>
        </w:tc>
        <w:tc>
          <w:tcPr>
            <w:tcW w:w="328" w:type="pct"/>
            <w:tcBorders>
              <w:top w:val="nil"/>
              <w:left w:val="nil"/>
              <w:bottom w:val="single" w:sz="4" w:space="0" w:color="auto"/>
              <w:right w:val="nil"/>
            </w:tcBorders>
            <w:shd w:val="clear" w:color="auto" w:fill="auto"/>
            <w:noWrap/>
            <w:vAlign w:val="center"/>
            <w:hideMark/>
          </w:tcPr>
          <w:p w14:paraId="0C3F8673" w14:textId="77777777" w:rsidR="0015270F" w:rsidRPr="0095562E" w:rsidRDefault="0015270F" w:rsidP="0095562E">
            <w:pPr>
              <w:spacing w:before="0" w:after="0"/>
              <w:rPr>
                <w:rStyle w:val="BookTitle"/>
                <w:sz w:val="18"/>
                <w:szCs w:val="18"/>
              </w:rPr>
            </w:pPr>
            <w:r w:rsidRPr="0095562E">
              <w:rPr>
                <w:rStyle w:val="BookTitle"/>
                <w:sz w:val="18"/>
                <w:szCs w:val="18"/>
              </w:rPr>
              <w:t>0.30</w:t>
            </w:r>
          </w:p>
        </w:tc>
        <w:tc>
          <w:tcPr>
            <w:tcW w:w="328" w:type="pct"/>
            <w:tcBorders>
              <w:top w:val="nil"/>
              <w:left w:val="nil"/>
              <w:bottom w:val="single" w:sz="4" w:space="0" w:color="auto"/>
              <w:right w:val="nil"/>
            </w:tcBorders>
            <w:shd w:val="clear" w:color="auto" w:fill="auto"/>
            <w:noWrap/>
            <w:vAlign w:val="center"/>
            <w:hideMark/>
          </w:tcPr>
          <w:p w14:paraId="0C3F8674" w14:textId="77777777" w:rsidR="0015270F" w:rsidRPr="0095562E" w:rsidRDefault="0015270F" w:rsidP="0095562E">
            <w:pPr>
              <w:spacing w:before="0" w:after="0"/>
              <w:rPr>
                <w:rStyle w:val="BookTitle"/>
                <w:sz w:val="18"/>
                <w:szCs w:val="18"/>
              </w:rPr>
            </w:pPr>
            <w:r w:rsidRPr="0095562E">
              <w:rPr>
                <w:rStyle w:val="BookTitle"/>
                <w:sz w:val="18"/>
                <w:szCs w:val="18"/>
              </w:rPr>
              <w:t>0.23</w:t>
            </w:r>
          </w:p>
        </w:tc>
        <w:tc>
          <w:tcPr>
            <w:tcW w:w="328" w:type="pct"/>
            <w:tcBorders>
              <w:top w:val="nil"/>
              <w:left w:val="nil"/>
              <w:bottom w:val="single" w:sz="4" w:space="0" w:color="auto"/>
              <w:right w:val="nil"/>
            </w:tcBorders>
            <w:shd w:val="clear" w:color="auto" w:fill="auto"/>
            <w:noWrap/>
            <w:vAlign w:val="center"/>
            <w:hideMark/>
          </w:tcPr>
          <w:p w14:paraId="0C3F8675" w14:textId="77777777" w:rsidR="0015270F" w:rsidRPr="0095562E" w:rsidRDefault="0015270F" w:rsidP="0095562E">
            <w:pPr>
              <w:spacing w:before="0" w:after="0"/>
              <w:rPr>
                <w:rStyle w:val="BookTitle"/>
                <w:sz w:val="18"/>
                <w:szCs w:val="18"/>
              </w:rPr>
            </w:pPr>
            <w:r w:rsidRPr="0095562E">
              <w:rPr>
                <w:rStyle w:val="BookTitle"/>
                <w:sz w:val="18"/>
                <w:szCs w:val="18"/>
              </w:rPr>
              <w:t>0.03</w:t>
            </w:r>
          </w:p>
        </w:tc>
        <w:tc>
          <w:tcPr>
            <w:tcW w:w="328" w:type="pct"/>
            <w:tcBorders>
              <w:top w:val="nil"/>
              <w:left w:val="nil"/>
              <w:bottom w:val="single" w:sz="4" w:space="0" w:color="auto"/>
              <w:right w:val="nil"/>
            </w:tcBorders>
            <w:shd w:val="clear" w:color="auto" w:fill="auto"/>
            <w:noWrap/>
            <w:vAlign w:val="center"/>
            <w:hideMark/>
          </w:tcPr>
          <w:p w14:paraId="0C3F8676" w14:textId="77777777" w:rsidR="0015270F" w:rsidRPr="0095562E" w:rsidRDefault="0015270F" w:rsidP="0095562E">
            <w:pPr>
              <w:spacing w:before="0" w:after="0"/>
              <w:rPr>
                <w:rStyle w:val="BookTitle"/>
                <w:sz w:val="18"/>
                <w:szCs w:val="18"/>
              </w:rPr>
            </w:pPr>
            <w:r w:rsidRPr="0095562E">
              <w:rPr>
                <w:rStyle w:val="BookTitle"/>
                <w:sz w:val="18"/>
                <w:szCs w:val="18"/>
              </w:rPr>
              <w:t>0.14</w:t>
            </w:r>
          </w:p>
        </w:tc>
        <w:tc>
          <w:tcPr>
            <w:tcW w:w="328" w:type="pct"/>
            <w:tcBorders>
              <w:top w:val="nil"/>
              <w:left w:val="nil"/>
              <w:bottom w:val="single" w:sz="4" w:space="0" w:color="auto"/>
              <w:right w:val="nil"/>
            </w:tcBorders>
            <w:shd w:val="clear" w:color="auto" w:fill="auto"/>
            <w:noWrap/>
            <w:vAlign w:val="center"/>
            <w:hideMark/>
          </w:tcPr>
          <w:p w14:paraId="0C3F8677" w14:textId="77777777" w:rsidR="0015270F" w:rsidRPr="0095562E" w:rsidRDefault="0015270F" w:rsidP="0095562E">
            <w:pPr>
              <w:spacing w:before="0" w:after="0"/>
              <w:rPr>
                <w:rStyle w:val="BookTitle"/>
                <w:sz w:val="18"/>
                <w:szCs w:val="18"/>
              </w:rPr>
            </w:pPr>
            <w:r w:rsidRPr="0095562E">
              <w:rPr>
                <w:rStyle w:val="BookTitle"/>
                <w:sz w:val="18"/>
                <w:szCs w:val="18"/>
              </w:rPr>
              <w:t>0.23</w:t>
            </w:r>
          </w:p>
        </w:tc>
        <w:tc>
          <w:tcPr>
            <w:tcW w:w="328" w:type="pct"/>
            <w:tcBorders>
              <w:top w:val="nil"/>
              <w:left w:val="nil"/>
              <w:bottom w:val="single" w:sz="4" w:space="0" w:color="auto"/>
              <w:right w:val="nil"/>
            </w:tcBorders>
            <w:shd w:val="clear" w:color="auto" w:fill="auto"/>
            <w:noWrap/>
            <w:vAlign w:val="center"/>
            <w:hideMark/>
          </w:tcPr>
          <w:p w14:paraId="0C3F8678" w14:textId="77777777" w:rsidR="0015270F" w:rsidRPr="0095562E" w:rsidRDefault="0015270F" w:rsidP="0095562E">
            <w:pPr>
              <w:spacing w:before="0" w:after="0"/>
              <w:rPr>
                <w:rStyle w:val="BookTitle"/>
                <w:sz w:val="18"/>
                <w:szCs w:val="18"/>
              </w:rPr>
            </w:pPr>
            <w:r w:rsidRPr="0095562E">
              <w:rPr>
                <w:rStyle w:val="BookTitle"/>
                <w:sz w:val="18"/>
                <w:szCs w:val="18"/>
              </w:rPr>
              <w:t>0.36</w:t>
            </w:r>
          </w:p>
        </w:tc>
        <w:tc>
          <w:tcPr>
            <w:tcW w:w="328" w:type="pct"/>
            <w:tcBorders>
              <w:top w:val="nil"/>
              <w:left w:val="nil"/>
              <w:bottom w:val="single" w:sz="4" w:space="0" w:color="auto"/>
              <w:right w:val="nil"/>
            </w:tcBorders>
            <w:shd w:val="clear" w:color="auto" w:fill="auto"/>
            <w:noWrap/>
            <w:vAlign w:val="center"/>
            <w:hideMark/>
          </w:tcPr>
          <w:p w14:paraId="0C3F8679" w14:textId="77777777" w:rsidR="0015270F" w:rsidRPr="0095562E" w:rsidRDefault="0015270F" w:rsidP="0095562E">
            <w:pPr>
              <w:spacing w:before="0" w:after="0"/>
              <w:rPr>
                <w:rStyle w:val="BookTitle"/>
                <w:sz w:val="18"/>
                <w:szCs w:val="18"/>
              </w:rPr>
            </w:pPr>
            <w:r w:rsidRPr="0095562E">
              <w:rPr>
                <w:rStyle w:val="BookTitle"/>
                <w:sz w:val="18"/>
                <w:szCs w:val="18"/>
              </w:rPr>
              <w:t>0.12</w:t>
            </w:r>
          </w:p>
        </w:tc>
        <w:tc>
          <w:tcPr>
            <w:tcW w:w="328" w:type="pct"/>
            <w:tcBorders>
              <w:top w:val="nil"/>
              <w:left w:val="nil"/>
              <w:bottom w:val="single" w:sz="4" w:space="0" w:color="auto"/>
              <w:right w:val="nil"/>
            </w:tcBorders>
            <w:shd w:val="clear" w:color="auto" w:fill="auto"/>
            <w:noWrap/>
            <w:vAlign w:val="center"/>
            <w:hideMark/>
          </w:tcPr>
          <w:p w14:paraId="0C3F867A" w14:textId="77777777" w:rsidR="0015270F" w:rsidRPr="0095562E" w:rsidRDefault="0015270F" w:rsidP="0095562E">
            <w:pPr>
              <w:spacing w:before="0" w:after="0"/>
              <w:rPr>
                <w:rStyle w:val="BookTitle"/>
                <w:sz w:val="18"/>
                <w:szCs w:val="18"/>
              </w:rPr>
            </w:pPr>
            <w:r w:rsidRPr="0095562E">
              <w:rPr>
                <w:rStyle w:val="BookTitle"/>
                <w:sz w:val="18"/>
                <w:szCs w:val="18"/>
              </w:rPr>
              <w:t>-0.07</w:t>
            </w:r>
          </w:p>
        </w:tc>
        <w:tc>
          <w:tcPr>
            <w:tcW w:w="328" w:type="pct"/>
            <w:tcBorders>
              <w:top w:val="nil"/>
              <w:left w:val="nil"/>
              <w:bottom w:val="single" w:sz="4" w:space="0" w:color="auto"/>
              <w:right w:val="nil"/>
            </w:tcBorders>
            <w:shd w:val="clear" w:color="auto" w:fill="auto"/>
            <w:noWrap/>
            <w:vAlign w:val="center"/>
            <w:hideMark/>
          </w:tcPr>
          <w:p w14:paraId="0C3F867B" w14:textId="77777777" w:rsidR="0015270F" w:rsidRPr="0095562E" w:rsidRDefault="0015270F" w:rsidP="0095562E">
            <w:pPr>
              <w:spacing w:before="0" w:after="0"/>
              <w:rPr>
                <w:rStyle w:val="BookTitle"/>
                <w:sz w:val="18"/>
                <w:szCs w:val="18"/>
              </w:rPr>
            </w:pPr>
            <w:r w:rsidRPr="0095562E">
              <w:rPr>
                <w:rStyle w:val="BookTitle"/>
                <w:sz w:val="18"/>
                <w:szCs w:val="18"/>
              </w:rPr>
              <w:t>-0.05</w:t>
            </w:r>
          </w:p>
        </w:tc>
        <w:tc>
          <w:tcPr>
            <w:tcW w:w="328" w:type="pct"/>
            <w:tcBorders>
              <w:top w:val="nil"/>
              <w:left w:val="nil"/>
              <w:bottom w:val="single" w:sz="4" w:space="0" w:color="auto"/>
              <w:right w:val="nil"/>
            </w:tcBorders>
            <w:shd w:val="clear" w:color="auto" w:fill="auto"/>
            <w:noWrap/>
            <w:vAlign w:val="center"/>
            <w:hideMark/>
          </w:tcPr>
          <w:p w14:paraId="0C3F867C" w14:textId="77777777" w:rsidR="0015270F" w:rsidRPr="0095562E" w:rsidRDefault="0015270F" w:rsidP="0095562E">
            <w:pPr>
              <w:spacing w:before="0" w:after="0"/>
              <w:rPr>
                <w:rStyle w:val="BookTitle"/>
                <w:sz w:val="18"/>
                <w:szCs w:val="18"/>
              </w:rPr>
            </w:pPr>
            <w:r w:rsidRPr="0095562E">
              <w:rPr>
                <w:rStyle w:val="BookTitle"/>
                <w:sz w:val="18"/>
                <w:szCs w:val="18"/>
              </w:rPr>
              <w:t>0.43</w:t>
            </w:r>
          </w:p>
        </w:tc>
        <w:tc>
          <w:tcPr>
            <w:tcW w:w="328" w:type="pct"/>
            <w:tcBorders>
              <w:top w:val="nil"/>
              <w:left w:val="nil"/>
              <w:bottom w:val="single" w:sz="4" w:space="0" w:color="auto"/>
              <w:right w:val="nil"/>
            </w:tcBorders>
            <w:shd w:val="clear" w:color="auto" w:fill="auto"/>
            <w:noWrap/>
            <w:vAlign w:val="center"/>
            <w:hideMark/>
          </w:tcPr>
          <w:p w14:paraId="0C3F867D" w14:textId="77777777" w:rsidR="0015270F" w:rsidRPr="0095562E" w:rsidRDefault="0015270F" w:rsidP="0095562E">
            <w:pPr>
              <w:spacing w:before="0" w:after="0"/>
              <w:rPr>
                <w:rStyle w:val="BookTitle"/>
                <w:sz w:val="18"/>
                <w:szCs w:val="18"/>
              </w:rPr>
            </w:pPr>
            <w:r w:rsidRPr="0095562E">
              <w:rPr>
                <w:rStyle w:val="BookTitle"/>
                <w:sz w:val="18"/>
                <w:szCs w:val="18"/>
              </w:rPr>
              <w:t>1</w:t>
            </w:r>
          </w:p>
        </w:tc>
      </w:tr>
    </w:tbl>
    <w:p w14:paraId="0C3F867F" w14:textId="77777777" w:rsidR="00837E1A" w:rsidRDefault="00837E1A" w:rsidP="0015270F">
      <w:pPr>
        <w:rPr>
          <w:highlight w:val="yellow"/>
        </w:rPr>
      </w:pPr>
    </w:p>
    <w:p w14:paraId="0C3F8680" w14:textId="77777777" w:rsidR="00162359" w:rsidRDefault="00162359" w:rsidP="0015270F">
      <w:pPr>
        <w:rPr>
          <w:highlight w:val="yellow"/>
        </w:rPr>
      </w:pPr>
    </w:p>
    <w:p w14:paraId="0C3F8681" w14:textId="77777777" w:rsidR="00162359" w:rsidRDefault="00162359" w:rsidP="0015270F">
      <w:pPr>
        <w:rPr>
          <w:highlight w:val="yellow"/>
        </w:rPr>
      </w:pPr>
    </w:p>
    <w:p w14:paraId="0C3F8682" w14:textId="77777777" w:rsidR="00162359" w:rsidRPr="000313CF" w:rsidRDefault="00162359" w:rsidP="0015270F">
      <w:pPr>
        <w:rPr>
          <w:highlight w:val="yellow"/>
        </w:rPr>
      </w:pPr>
    </w:p>
    <w:p w14:paraId="0C3F8683" w14:textId="77777777" w:rsidR="000313CF" w:rsidRDefault="000313CF" w:rsidP="00C05A63">
      <w:pPr>
        <w:pStyle w:val="Heading2"/>
        <w:keepNext/>
        <w:numPr>
          <w:ilvl w:val="2"/>
          <w:numId w:val="21"/>
        </w:numPr>
        <w:spacing w:line="80" w:lineRule="atLeast"/>
      </w:pPr>
      <w:bookmarkStart w:id="130" w:name="_Toc434208000"/>
      <w:bookmarkStart w:id="131" w:name="_Toc428793320"/>
      <w:bookmarkStart w:id="132" w:name="_Toc428851339"/>
      <w:r>
        <w:t>Data analysis - temporal</w:t>
      </w:r>
      <w:bookmarkEnd w:id="130"/>
    </w:p>
    <w:bookmarkEnd w:id="131"/>
    <w:bookmarkEnd w:id="132"/>
    <w:p w14:paraId="0C3F8684" w14:textId="77777777" w:rsidR="000313CF" w:rsidRDefault="002827F5" w:rsidP="0015270F">
      <w:r>
        <w:t>Statistical</w:t>
      </w:r>
      <w:r w:rsidR="000313CF">
        <w:t xml:space="preserve"> measures of the </w:t>
      </w:r>
      <w:r w:rsidR="0015270F">
        <w:t xml:space="preserve">main WQ parameters that have been measured </w:t>
      </w:r>
      <w:r w:rsidR="000313CF">
        <w:t>in the</w:t>
      </w:r>
      <w:r w:rsidR="0015270F">
        <w:t xml:space="preserve"> most frequently sampled </w:t>
      </w:r>
      <w:r w:rsidR="00330E11">
        <w:t>transect</w:t>
      </w:r>
      <w:r w:rsidR="0015270F">
        <w:t xml:space="preserve"> </w:t>
      </w:r>
      <w:r w:rsidR="00330E11">
        <w:t>for the</w:t>
      </w:r>
      <w:r w:rsidR="0015270F">
        <w:t xml:space="preserve"> last 8 wet seasons</w:t>
      </w:r>
      <w:r w:rsidR="000313CF">
        <w:t xml:space="preserve"> are presented in </w:t>
      </w:r>
      <w:r w:rsidR="000313CF">
        <w:fldChar w:fldCharType="begin"/>
      </w:r>
      <w:r w:rsidR="000313CF">
        <w:instrText xml:space="preserve"> REF _Ref428878861 \h </w:instrText>
      </w:r>
      <w:r w:rsidR="000313CF">
        <w:fldChar w:fldCharType="separate"/>
      </w:r>
      <w:r w:rsidR="00B62B50">
        <w:t xml:space="preserve">Table </w:t>
      </w:r>
      <w:r w:rsidR="00B62B50">
        <w:rPr>
          <w:noProof/>
        </w:rPr>
        <w:t>4</w:t>
      </w:r>
      <w:r w:rsidR="00B62B50">
        <w:noBreakHyphen/>
      </w:r>
      <w:r w:rsidR="00B62B50">
        <w:rPr>
          <w:noProof/>
        </w:rPr>
        <w:t>9</w:t>
      </w:r>
      <w:r w:rsidR="000313CF">
        <w:fldChar w:fldCharType="end"/>
      </w:r>
      <w:r w:rsidR="0015270F">
        <w:t>. Minimum values were consistently measured at the Franklins transect and the maximum values were consistently measured at the Burdekin to Palm Island transect, for all WQ parameters with the exception of TSS (</w:t>
      </w:r>
      <w:r w:rsidR="0015270F" w:rsidRPr="002827F5">
        <w:t xml:space="preserve">430mg/L)  and chl-a (26.7 µg/L), which were measured in the Fitzroy. The maximum concentration of DIN (26.3 µM) was measured in the Tully. These simple </w:t>
      </w:r>
      <w:r w:rsidR="00330E11" w:rsidRPr="002827F5">
        <w:t xml:space="preserve">statistical </w:t>
      </w:r>
      <w:r w:rsidR="0015270F" w:rsidRPr="002827F5">
        <w:t>measurements reflect</w:t>
      </w:r>
      <w:r w:rsidR="00330E11" w:rsidRPr="002827F5">
        <w:t xml:space="preserve"> the hydromorp</w:t>
      </w:r>
      <w:r w:rsidR="00C479AE">
        <w:t>h</w:t>
      </w:r>
      <w:r w:rsidR="00330E11" w:rsidRPr="002827F5">
        <w:t>ological characteristics and</w:t>
      </w:r>
      <w:r w:rsidR="0015270F" w:rsidRPr="002827F5">
        <w:t xml:space="preserve"> adjacent land use activity, with </w:t>
      </w:r>
      <w:r w:rsidR="00330E11" w:rsidRPr="002827F5">
        <w:t xml:space="preserve">the high concentrations of DIN </w:t>
      </w:r>
      <w:r w:rsidR="0015270F" w:rsidRPr="002827F5">
        <w:t>consistently measured off the Tully</w:t>
      </w:r>
      <w:r w:rsidR="00330E11" w:rsidRPr="002827F5">
        <w:t xml:space="preserve"> influenced by the high rates of fertilised agriculture with multi-annual discharge events delivering the DIN to the marine environment (Waterhouse et al., 2014). </w:t>
      </w:r>
      <w:r w:rsidR="0015270F" w:rsidRPr="002827F5">
        <w:t xml:space="preserve"> </w:t>
      </w:r>
    </w:p>
    <w:p w14:paraId="0C3F8685" w14:textId="77777777" w:rsidR="0015270F" w:rsidRDefault="0015270F" w:rsidP="000313CF">
      <w:pPr>
        <w:pStyle w:val="Caption"/>
      </w:pPr>
      <w:bookmarkStart w:id="133" w:name="_Ref428878861"/>
      <w:bookmarkStart w:id="134" w:name="_Toc434208076"/>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9</w:t>
      </w:r>
      <w:r w:rsidR="00AE4287">
        <w:fldChar w:fldCharType="end"/>
      </w:r>
      <w:bookmarkEnd w:id="133"/>
      <w:r>
        <w:t>: Mean, maximum and minimum WQ parameters concentrations measured at 4 of the most often sampled transects (i.e., Franklins, Tully to Sisters, Burdekin to Palm Island, and Fitzroy to Keppels)</w:t>
      </w:r>
      <w:r w:rsidRPr="008F1CE3">
        <w:t xml:space="preserve"> </w:t>
      </w:r>
      <w:r>
        <w:t xml:space="preserve">over the last 8 wet seasons (2006 – 2013). WQ parameters </w:t>
      </w:r>
      <w:r w:rsidR="000313CF">
        <w:t xml:space="preserve">include TSS, </w:t>
      </w:r>
      <w:r w:rsidR="005F304A">
        <w:t>chl</w:t>
      </w:r>
      <w:r w:rsidR="000313CF">
        <w:t>-a TN, TP, DIN, DIP, PN, PP.</w:t>
      </w:r>
      <w:bookmarkEnd w:id="134"/>
    </w:p>
    <w:tbl>
      <w:tblPr>
        <w:tblStyle w:val="TableClassic1"/>
        <w:tblW w:w="3119" w:type="pct"/>
        <w:tblInd w:w="1848" w:type="dxa"/>
        <w:tblLook w:val="04A0" w:firstRow="1" w:lastRow="0" w:firstColumn="1" w:lastColumn="0" w:noHBand="0" w:noVBand="1"/>
        <w:tblCaption w:val="Mean, maximum and minimum WQ parameters concentrations measured at 4 of the most often sampled transects "/>
        <w:tblDescription w:val="Mean, maximum and minimum WQ parameters concentrations measured at 4 of the most often sampled transects (i.e., Franklins, Tully to Sisters, Burdekin to Palm Island, and Fitzroy to Keppels) over the last 8 wet seasons (2006 – 2013). WQ parameters include TSS, chl-a TN, TP, DIN, DIP, PN, PP."/>
      </w:tblPr>
      <w:tblGrid>
        <w:gridCol w:w="1239"/>
        <w:gridCol w:w="1073"/>
        <w:gridCol w:w="700"/>
        <w:gridCol w:w="893"/>
        <w:gridCol w:w="828"/>
        <w:gridCol w:w="1106"/>
        <w:gridCol w:w="83"/>
      </w:tblGrid>
      <w:tr w:rsidR="00935052" w:rsidRPr="000313CF" w14:paraId="0C3F8689" w14:textId="77777777" w:rsidTr="00935052">
        <w:trPr>
          <w:gridAfter w:val="1"/>
          <w:cnfStyle w:val="100000000000" w:firstRow="1" w:lastRow="0" w:firstColumn="0" w:lastColumn="0" w:oddVBand="0" w:evenVBand="0" w:oddHBand="0" w:evenHBand="0" w:firstRowFirstColumn="0" w:firstRowLastColumn="0" w:lastRowFirstColumn="0" w:lastRowLastColumn="0"/>
          <w:wAfter w:w="62" w:type="pct"/>
          <w:trHeight w:val="20"/>
        </w:trPr>
        <w:tc>
          <w:tcPr>
            <w:cnfStyle w:val="001000000000" w:firstRow="0" w:lastRow="0" w:firstColumn="1" w:lastColumn="0" w:oddVBand="0" w:evenVBand="0" w:oddHBand="0" w:evenHBand="0" w:firstRowFirstColumn="0" w:firstRowLastColumn="0" w:lastRowFirstColumn="0" w:lastRowLastColumn="0"/>
            <w:tcW w:w="1074" w:type="pct"/>
            <w:noWrap/>
            <w:hideMark/>
          </w:tcPr>
          <w:p w14:paraId="0C3F8686" w14:textId="77777777" w:rsidR="00935052" w:rsidRPr="000313CF" w:rsidRDefault="00935052" w:rsidP="000313CF">
            <w:pPr>
              <w:spacing w:before="0" w:after="0"/>
              <w:rPr>
                <w:rStyle w:val="BookTitle"/>
              </w:rPr>
            </w:pPr>
            <w:r w:rsidRPr="000313CF">
              <w:rPr>
                <w:rStyle w:val="BookTitle"/>
              </w:rPr>
              <w:t> </w:t>
            </w:r>
          </w:p>
        </w:tc>
        <w:tc>
          <w:tcPr>
            <w:tcW w:w="3030" w:type="pct"/>
            <w:gridSpan w:val="4"/>
            <w:tcBorders>
              <w:top w:val="single" w:sz="12" w:space="0" w:color="000000"/>
              <w:right w:val="single" w:sz="4" w:space="0" w:color="auto"/>
            </w:tcBorders>
            <w:noWrap/>
            <w:hideMark/>
          </w:tcPr>
          <w:p w14:paraId="0C3F8687" w14:textId="77777777" w:rsidR="00935052" w:rsidRPr="000313CF" w:rsidRDefault="00935052" w:rsidP="000313CF">
            <w:pPr>
              <w:spacing w:before="0" w:after="0"/>
              <w:cnfStyle w:val="100000000000" w:firstRow="1" w:lastRow="0" w:firstColumn="0" w:lastColumn="0" w:oddVBand="0" w:evenVBand="0" w:oddHBand="0" w:evenHBand="0" w:firstRowFirstColumn="0" w:firstRowLastColumn="0" w:lastRowFirstColumn="0" w:lastRowLastColumn="0"/>
              <w:rPr>
                <w:rStyle w:val="BookTitle"/>
              </w:rPr>
            </w:pPr>
            <w:r w:rsidRPr="000313CF">
              <w:rPr>
                <w:rStyle w:val="BookTitle"/>
              </w:rPr>
              <w:t>Minimum</w:t>
            </w:r>
          </w:p>
        </w:tc>
        <w:tc>
          <w:tcPr>
            <w:tcW w:w="833" w:type="pct"/>
            <w:tcBorders>
              <w:left w:val="single" w:sz="4" w:space="0" w:color="auto"/>
            </w:tcBorders>
            <w:hideMark/>
          </w:tcPr>
          <w:p w14:paraId="0C3F8688" w14:textId="77777777" w:rsidR="00935052" w:rsidRPr="000313CF" w:rsidRDefault="00935052" w:rsidP="000313CF">
            <w:pPr>
              <w:spacing w:before="0" w:after="0"/>
              <w:cnfStyle w:val="100000000000" w:firstRow="1" w:lastRow="0" w:firstColumn="0" w:lastColumn="0" w:oddVBand="0" w:evenVBand="0" w:oddHBand="0" w:evenHBand="0" w:firstRowFirstColumn="0" w:firstRowLastColumn="0" w:lastRowFirstColumn="0" w:lastRowLastColumn="0"/>
              <w:rPr>
                <w:rStyle w:val="BookTitle"/>
              </w:rPr>
            </w:pPr>
          </w:p>
        </w:tc>
      </w:tr>
      <w:tr w:rsidR="00935052" w:rsidRPr="000313CF" w14:paraId="0C3F8690"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8A" w14:textId="77777777" w:rsidR="00935052" w:rsidRPr="000313CF" w:rsidRDefault="00935052" w:rsidP="000313CF">
            <w:pPr>
              <w:spacing w:before="0" w:after="0"/>
              <w:rPr>
                <w:rStyle w:val="BookTitle"/>
              </w:rPr>
            </w:pPr>
            <w:r w:rsidRPr="000313CF">
              <w:rPr>
                <w:rStyle w:val="BookTitle"/>
              </w:rPr>
              <w:t>Parameters</w:t>
            </w:r>
          </w:p>
        </w:tc>
        <w:tc>
          <w:tcPr>
            <w:tcW w:w="930" w:type="pct"/>
            <w:tcBorders>
              <w:top w:val="nil"/>
              <w:bottom w:val="nil"/>
            </w:tcBorders>
            <w:noWrap/>
            <w:hideMark/>
          </w:tcPr>
          <w:p w14:paraId="0C3F868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Frank.</w:t>
            </w:r>
          </w:p>
        </w:tc>
        <w:tc>
          <w:tcPr>
            <w:tcW w:w="607" w:type="pct"/>
            <w:tcBorders>
              <w:top w:val="nil"/>
              <w:bottom w:val="nil"/>
            </w:tcBorders>
            <w:noWrap/>
            <w:hideMark/>
          </w:tcPr>
          <w:p w14:paraId="0C3F868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Tully</w:t>
            </w:r>
          </w:p>
        </w:tc>
        <w:tc>
          <w:tcPr>
            <w:tcW w:w="774" w:type="pct"/>
            <w:tcBorders>
              <w:top w:val="nil"/>
              <w:bottom w:val="nil"/>
            </w:tcBorders>
            <w:noWrap/>
            <w:hideMark/>
          </w:tcPr>
          <w:p w14:paraId="0C3F868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Burden.</w:t>
            </w:r>
          </w:p>
        </w:tc>
        <w:tc>
          <w:tcPr>
            <w:tcW w:w="718" w:type="pct"/>
            <w:tcBorders>
              <w:top w:val="nil"/>
              <w:bottom w:val="nil"/>
              <w:right w:val="single" w:sz="4" w:space="0" w:color="auto"/>
            </w:tcBorders>
            <w:noWrap/>
            <w:hideMark/>
          </w:tcPr>
          <w:p w14:paraId="0C3F868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Fitzroy</w:t>
            </w:r>
          </w:p>
        </w:tc>
        <w:tc>
          <w:tcPr>
            <w:tcW w:w="896" w:type="pct"/>
            <w:gridSpan w:val="2"/>
            <w:tcBorders>
              <w:top w:val="nil"/>
              <w:left w:val="single" w:sz="4" w:space="0" w:color="auto"/>
              <w:bottom w:val="nil"/>
            </w:tcBorders>
            <w:noWrap/>
            <w:hideMark/>
          </w:tcPr>
          <w:p w14:paraId="0C3F868F" w14:textId="77777777" w:rsidR="00935052" w:rsidRPr="000313CF" w:rsidRDefault="005F304A"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Pr>
                <w:rStyle w:val="BookTitle"/>
              </w:rPr>
              <w:t>Total count</w:t>
            </w:r>
          </w:p>
        </w:tc>
      </w:tr>
      <w:tr w:rsidR="00935052" w:rsidRPr="000313CF" w14:paraId="0C3F8697"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91" w14:textId="77777777" w:rsidR="00935052" w:rsidRPr="000313CF" w:rsidRDefault="00935052" w:rsidP="000313CF">
            <w:pPr>
              <w:spacing w:before="0" w:after="0"/>
              <w:rPr>
                <w:rStyle w:val="BookTitle"/>
              </w:rPr>
            </w:pPr>
            <w:r w:rsidRPr="000313CF">
              <w:rPr>
                <w:rStyle w:val="BookTitle"/>
              </w:rPr>
              <w:t>TSS</w:t>
            </w:r>
          </w:p>
        </w:tc>
        <w:tc>
          <w:tcPr>
            <w:tcW w:w="930" w:type="pct"/>
            <w:tcBorders>
              <w:top w:val="nil"/>
              <w:bottom w:val="nil"/>
            </w:tcBorders>
            <w:noWrap/>
            <w:hideMark/>
          </w:tcPr>
          <w:p w14:paraId="0C3F869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1.46</w:t>
            </w:r>
          </w:p>
        </w:tc>
        <w:tc>
          <w:tcPr>
            <w:tcW w:w="607" w:type="pct"/>
            <w:tcBorders>
              <w:top w:val="nil"/>
              <w:bottom w:val="nil"/>
            </w:tcBorders>
            <w:noWrap/>
            <w:hideMark/>
          </w:tcPr>
          <w:p w14:paraId="0C3F869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0.40</w:t>
            </w:r>
          </w:p>
        </w:tc>
        <w:tc>
          <w:tcPr>
            <w:tcW w:w="774" w:type="pct"/>
            <w:tcBorders>
              <w:top w:val="nil"/>
              <w:bottom w:val="nil"/>
            </w:tcBorders>
            <w:noWrap/>
            <w:hideMark/>
          </w:tcPr>
          <w:p w14:paraId="0C3F869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0.25</w:t>
            </w:r>
          </w:p>
        </w:tc>
        <w:tc>
          <w:tcPr>
            <w:tcW w:w="718" w:type="pct"/>
            <w:tcBorders>
              <w:top w:val="nil"/>
              <w:bottom w:val="nil"/>
              <w:right w:val="single" w:sz="4" w:space="0" w:color="auto"/>
            </w:tcBorders>
            <w:noWrap/>
            <w:hideMark/>
          </w:tcPr>
          <w:p w14:paraId="0C3F869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0.82</w:t>
            </w:r>
          </w:p>
        </w:tc>
        <w:tc>
          <w:tcPr>
            <w:tcW w:w="896" w:type="pct"/>
            <w:gridSpan w:val="2"/>
            <w:tcBorders>
              <w:top w:val="nil"/>
              <w:left w:val="single" w:sz="4" w:space="0" w:color="auto"/>
              <w:bottom w:val="nil"/>
            </w:tcBorders>
            <w:noWrap/>
            <w:hideMark/>
          </w:tcPr>
          <w:p w14:paraId="0C3F869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171</w:t>
            </w:r>
          </w:p>
        </w:tc>
      </w:tr>
      <w:tr w:rsidR="00935052" w:rsidRPr="000313CF" w14:paraId="0C3F869E"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98" w14:textId="77777777" w:rsidR="00935052" w:rsidRPr="000313CF" w:rsidRDefault="00935052" w:rsidP="000313CF">
            <w:pPr>
              <w:spacing w:before="0" w:after="0"/>
              <w:rPr>
                <w:rStyle w:val="BookTitle"/>
              </w:rPr>
            </w:pPr>
            <w:r w:rsidRPr="000313CF">
              <w:rPr>
                <w:rStyle w:val="BookTitle"/>
              </w:rPr>
              <w:t>Chl-a</w:t>
            </w:r>
          </w:p>
        </w:tc>
        <w:tc>
          <w:tcPr>
            <w:tcW w:w="930" w:type="pct"/>
            <w:tcBorders>
              <w:top w:val="nil"/>
              <w:bottom w:val="nil"/>
            </w:tcBorders>
            <w:noWrap/>
            <w:hideMark/>
          </w:tcPr>
          <w:p w14:paraId="0C3F869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0.21</w:t>
            </w:r>
          </w:p>
        </w:tc>
        <w:tc>
          <w:tcPr>
            <w:tcW w:w="607" w:type="pct"/>
            <w:tcBorders>
              <w:top w:val="nil"/>
              <w:bottom w:val="nil"/>
            </w:tcBorders>
            <w:noWrap/>
            <w:hideMark/>
          </w:tcPr>
          <w:p w14:paraId="0C3F869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0.20</w:t>
            </w:r>
          </w:p>
        </w:tc>
        <w:tc>
          <w:tcPr>
            <w:tcW w:w="774" w:type="pct"/>
            <w:tcBorders>
              <w:top w:val="nil"/>
              <w:bottom w:val="nil"/>
            </w:tcBorders>
            <w:noWrap/>
            <w:hideMark/>
          </w:tcPr>
          <w:p w14:paraId="0C3F869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0.20</w:t>
            </w:r>
          </w:p>
        </w:tc>
        <w:tc>
          <w:tcPr>
            <w:tcW w:w="718" w:type="pct"/>
            <w:tcBorders>
              <w:top w:val="nil"/>
              <w:bottom w:val="nil"/>
              <w:right w:val="single" w:sz="4" w:space="0" w:color="auto"/>
            </w:tcBorders>
            <w:noWrap/>
            <w:hideMark/>
          </w:tcPr>
          <w:p w14:paraId="0C3F869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0.20</w:t>
            </w:r>
          </w:p>
        </w:tc>
        <w:tc>
          <w:tcPr>
            <w:tcW w:w="896" w:type="pct"/>
            <w:gridSpan w:val="2"/>
            <w:tcBorders>
              <w:top w:val="nil"/>
              <w:left w:val="single" w:sz="4" w:space="0" w:color="auto"/>
              <w:bottom w:val="nil"/>
            </w:tcBorders>
            <w:noWrap/>
            <w:hideMark/>
          </w:tcPr>
          <w:p w14:paraId="0C3F869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174</w:t>
            </w:r>
          </w:p>
        </w:tc>
      </w:tr>
      <w:tr w:rsidR="00935052" w:rsidRPr="000313CF" w14:paraId="0C3F86A5"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9F" w14:textId="77777777" w:rsidR="00935052" w:rsidRPr="000313CF" w:rsidRDefault="00935052" w:rsidP="000313CF">
            <w:pPr>
              <w:spacing w:before="0" w:after="0"/>
              <w:rPr>
                <w:rStyle w:val="BookTitle"/>
              </w:rPr>
            </w:pPr>
            <w:r w:rsidRPr="000313CF">
              <w:rPr>
                <w:rStyle w:val="BookTitle"/>
              </w:rPr>
              <w:t>TN</w:t>
            </w:r>
          </w:p>
        </w:tc>
        <w:tc>
          <w:tcPr>
            <w:tcW w:w="930" w:type="pct"/>
            <w:tcBorders>
              <w:top w:val="nil"/>
              <w:bottom w:val="nil"/>
            </w:tcBorders>
            <w:noWrap/>
            <w:hideMark/>
          </w:tcPr>
          <w:p w14:paraId="0C3F86A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6.43</w:t>
            </w:r>
          </w:p>
        </w:tc>
        <w:tc>
          <w:tcPr>
            <w:tcW w:w="607" w:type="pct"/>
            <w:tcBorders>
              <w:top w:val="nil"/>
              <w:bottom w:val="nil"/>
            </w:tcBorders>
            <w:noWrap/>
            <w:hideMark/>
          </w:tcPr>
          <w:p w14:paraId="0C3F86A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0.93</w:t>
            </w:r>
          </w:p>
        </w:tc>
        <w:tc>
          <w:tcPr>
            <w:tcW w:w="774" w:type="pct"/>
            <w:tcBorders>
              <w:top w:val="nil"/>
              <w:bottom w:val="nil"/>
            </w:tcBorders>
            <w:noWrap/>
            <w:hideMark/>
          </w:tcPr>
          <w:p w14:paraId="0C3F86A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1.93</w:t>
            </w:r>
          </w:p>
        </w:tc>
        <w:tc>
          <w:tcPr>
            <w:tcW w:w="718" w:type="pct"/>
            <w:tcBorders>
              <w:top w:val="nil"/>
              <w:bottom w:val="nil"/>
              <w:right w:val="single" w:sz="4" w:space="0" w:color="auto"/>
            </w:tcBorders>
            <w:noWrap/>
            <w:hideMark/>
          </w:tcPr>
          <w:p w14:paraId="0C3F86A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5.50</w:t>
            </w:r>
          </w:p>
        </w:tc>
        <w:tc>
          <w:tcPr>
            <w:tcW w:w="896" w:type="pct"/>
            <w:gridSpan w:val="2"/>
            <w:tcBorders>
              <w:top w:val="nil"/>
              <w:left w:val="single" w:sz="4" w:space="0" w:color="auto"/>
              <w:bottom w:val="nil"/>
            </w:tcBorders>
            <w:noWrap/>
            <w:hideMark/>
          </w:tcPr>
          <w:p w14:paraId="0C3F86A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168</w:t>
            </w:r>
          </w:p>
        </w:tc>
      </w:tr>
      <w:tr w:rsidR="00935052" w:rsidRPr="000313CF" w14:paraId="0C3F86AC"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A6" w14:textId="77777777" w:rsidR="00935052" w:rsidRPr="000313CF" w:rsidRDefault="00935052" w:rsidP="000313CF">
            <w:pPr>
              <w:spacing w:before="0" w:after="0"/>
              <w:rPr>
                <w:rStyle w:val="BookTitle"/>
              </w:rPr>
            </w:pPr>
            <w:r w:rsidRPr="000313CF">
              <w:rPr>
                <w:rStyle w:val="BookTitle"/>
              </w:rPr>
              <w:t>TP</w:t>
            </w:r>
          </w:p>
        </w:tc>
        <w:tc>
          <w:tcPr>
            <w:tcW w:w="930" w:type="pct"/>
            <w:tcBorders>
              <w:top w:val="nil"/>
              <w:bottom w:val="nil"/>
            </w:tcBorders>
            <w:noWrap/>
            <w:hideMark/>
          </w:tcPr>
          <w:p w14:paraId="0C3F86A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0.16</w:t>
            </w:r>
          </w:p>
        </w:tc>
        <w:tc>
          <w:tcPr>
            <w:tcW w:w="607" w:type="pct"/>
            <w:tcBorders>
              <w:top w:val="nil"/>
              <w:bottom w:val="nil"/>
            </w:tcBorders>
            <w:noWrap/>
            <w:hideMark/>
          </w:tcPr>
          <w:p w14:paraId="0C3F86A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0.10</w:t>
            </w:r>
          </w:p>
        </w:tc>
        <w:tc>
          <w:tcPr>
            <w:tcW w:w="774" w:type="pct"/>
            <w:tcBorders>
              <w:top w:val="nil"/>
              <w:bottom w:val="nil"/>
            </w:tcBorders>
            <w:noWrap/>
            <w:hideMark/>
          </w:tcPr>
          <w:p w14:paraId="0C3F86A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0.16</w:t>
            </w:r>
          </w:p>
        </w:tc>
        <w:tc>
          <w:tcPr>
            <w:tcW w:w="718" w:type="pct"/>
            <w:tcBorders>
              <w:top w:val="nil"/>
              <w:bottom w:val="nil"/>
              <w:right w:val="single" w:sz="4" w:space="0" w:color="auto"/>
            </w:tcBorders>
            <w:noWrap/>
            <w:hideMark/>
          </w:tcPr>
          <w:p w14:paraId="0C3F86A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0.31</w:t>
            </w:r>
          </w:p>
        </w:tc>
        <w:tc>
          <w:tcPr>
            <w:tcW w:w="896" w:type="pct"/>
            <w:gridSpan w:val="2"/>
            <w:tcBorders>
              <w:top w:val="nil"/>
              <w:left w:val="single" w:sz="4" w:space="0" w:color="auto"/>
              <w:bottom w:val="nil"/>
            </w:tcBorders>
            <w:noWrap/>
            <w:hideMark/>
          </w:tcPr>
          <w:p w14:paraId="0C3F86A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155</w:t>
            </w:r>
          </w:p>
        </w:tc>
      </w:tr>
      <w:tr w:rsidR="00935052" w:rsidRPr="000313CF" w14:paraId="0C3F86B3"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AD" w14:textId="77777777" w:rsidR="00935052" w:rsidRPr="000313CF" w:rsidRDefault="00935052" w:rsidP="000313CF">
            <w:pPr>
              <w:spacing w:before="0" w:after="0"/>
              <w:rPr>
                <w:rStyle w:val="BookTitle"/>
              </w:rPr>
            </w:pPr>
            <w:r w:rsidRPr="000313CF">
              <w:rPr>
                <w:rStyle w:val="BookTitle"/>
              </w:rPr>
              <w:t>DIN</w:t>
            </w:r>
          </w:p>
        </w:tc>
        <w:tc>
          <w:tcPr>
            <w:tcW w:w="930" w:type="pct"/>
            <w:tcBorders>
              <w:top w:val="nil"/>
              <w:bottom w:val="nil"/>
            </w:tcBorders>
            <w:noWrap/>
            <w:hideMark/>
          </w:tcPr>
          <w:p w14:paraId="0C3F86A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0.79</w:t>
            </w:r>
          </w:p>
        </w:tc>
        <w:tc>
          <w:tcPr>
            <w:tcW w:w="607" w:type="pct"/>
            <w:tcBorders>
              <w:top w:val="nil"/>
              <w:bottom w:val="nil"/>
            </w:tcBorders>
            <w:noWrap/>
            <w:hideMark/>
          </w:tcPr>
          <w:p w14:paraId="0C3F86A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0.07</w:t>
            </w:r>
          </w:p>
        </w:tc>
        <w:tc>
          <w:tcPr>
            <w:tcW w:w="774" w:type="pct"/>
            <w:tcBorders>
              <w:top w:val="nil"/>
              <w:bottom w:val="nil"/>
            </w:tcBorders>
            <w:noWrap/>
            <w:hideMark/>
          </w:tcPr>
          <w:p w14:paraId="0C3F86B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0.03</w:t>
            </w:r>
          </w:p>
        </w:tc>
        <w:tc>
          <w:tcPr>
            <w:tcW w:w="718" w:type="pct"/>
            <w:tcBorders>
              <w:top w:val="nil"/>
              <w:bottom w:val="nil"/>
              <w:right w:val="single" w:sz="4" w:space="0" w:color="auto"/>
            </w:tcBorders>
            <w:noWrap/>
            <w:hideMark/>
          </w:tcPr>
          <w:p w14:paraId="0C3F86B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0.01</w:t>
            </w:r>
          </w:p>
        </w:tc>
        <w:tc>
          <w:tcPr>
            <w:tcW w:w="896" w:type="pct"/>
            <w:gridSpan w:val="2"/>
            <w:tcBorders>
              <w:top w:val="nil"/>
              <w:left w:val="single" w:sz="4" w:space="0" w:color="auto"/>
              <w:bottom w:val="nil"/>
            </w:tcBorders>
            <w:noWrap/>
            <w:hideMark/>
          </w:tcPr>
          <w:p w14:paraId="0C3F86B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156</w:t>
            </w:r>
          </w:p>
        </w:tc>
      </w:tr>
      <w:tr w:rsidR="00935052" w:rsidRPr="000313CF" w14:paraId="0C3F86BA"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B4" w14:textId="77777777" w:rsidR="00935052" w:rsidRPr="000313CF" w:rsidRDefault="00935052" w:rsidP="000313CF">
            <w:pPr>
              <w:spacing w:before="0" w:after="0"/>
              <w:rPr>
                <w:rStyle w:val="BookTitle"/>
              </w:rPr>
            </w:pPr>
            <w:r w:rsidRPr="000313CF">
              <w:rPr>
                <w:rStyle w:val="BookTitle"/>
              </w:rPr>
              <w:t>DIP</w:t>
            </w:r>
          </w:p>
        </w:tc>
        <w:tc>
          <w:tcPr>
            <w:tcW w:w="930" w:type="pct"/>
            <w:tcBorders>
              <w:top w:val="nil"/>
              <w:bottom w:val="nil"/>
            </w:tcBorders>
            <w:noWrap/>
            <w:hideMark/>
          </w:tcPr>
          <w:p w14:paraId="0C3F86B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0.06</w:t>
            </w:r>
          </w:p>
        </w:tc>
        <w:tc>
          <w:tcPr>
            <w:tcW w:w="607" w:type="pct"/>
            <w:tcBorders>
              <w:top w:val="nil"/>
              <w:bottom w:val="nil"/>
            </w:tcBorders>
            <w:noWrap/>
            <w:hideMark/>
          </w:tcPr>
          <w:p w14:paraId="0C3F86B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0.01</w:t>
            </w:r>
          </w:p>
        </w:tc>
        <w:tc>
          <w:tcPr>
            <w:tcW w:w="774" w:type="pct"/>
            <w:tcBorders>
              <w:top w:val="nil"/>
              <w:bottom w:val="nil"/>
            </w:tcBorders>
            <w:noWrap/>
            <w:hideMark/>
          </w:tcPr>
          <w:p w14:paraId="0C3F86B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0.03</w:t>
            </w:r>
          </w:p>
        </w:tc>
        <w:tc>
          <w:tcPr>
            <w:tcW w:w="718" w:type="pct"/>
            <w:tcBorders>
              <w:top w:val="nil"/>
              <w:bottom w:val="nil"/>
              <w:right w:val="single" w:sz="4" w:space="0" w:color="auto"/>
            </w:tcBorders>
            <w:noWrap/>
            <w:hideMark/>
          </w:tcPr>
          <w:p w14:paraId="0C3F86B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0.03</w:t>
            </w:r>
          </w:p>
        </w:tc>
        <w:tc>
          <w:tcPr>
            <w:tcW w:w="896" w:type="pct"/>
            <w:gridSpan w:val="2"/>
            <w:tcBorders>
              <w:top w:val="nil"/>
              <w:left w:val="single" w:sz="4" w:space="0" w:color="auto"/>
              <w:bottom w:val="nil"/>
            </w:tcBorders>
            <w:noWrap/>
            <w:hideMark/>
          </w:tcPr>
          <w:p w14:paraId="0C3F86B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172</w:t>
            </w:r>
          </w:p>
        </w:tc>
      </w:tr>
      <w:tr w:rsidR="00935052" w:rsidRPr="000313CF" w14:paraId="0C3F86C1"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BB" w14:textId="77777777" w:rsidR="00935052" w:rsidRPr="000313CF" w:rsidRDefault="00935052" w:rsidP="000313CF">
            <w:pPr>
              <w:spacing w:before="0" w:after="0"/>
              <w:rPr>
                <w:rStyle w:val="BookTitle"/>
              </w:rPr>
            </w:pPr>
            <w:r w:rsidRPr="000313CF">
              <w:rPr>
                <w:rStyle w:val="BookTitle"/>
              </w:rPr>
              <w:t>PN</w:t>
            </w:r>
          </w:p>
        </w:tc>
        <w:tc>
          <w:tcPr>
            <w:tcW w:w="930" w:type="pct"/>
            <w:tcBorders>
              <w:top w:val="nil"/>
              <w:bottom w:val="nil"/>
            </w:tcBorders>
            <w:noWrap/>
            <w:hideMark/>
          </w:tcPr>
          <w:p w14:paraId="0C3F86B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0.07</w:t>
            </w:r>
          </w:p>
        </w:tc>
        <w:tc>
          <w:tcPr>
            <w:tcW w:w="607" w:type="pct"/>
            <w:tcBorders>
              <w:top w:val="nil"/>
              <w:bottom w:val="nil"/>
            </w:tcBorders>
            <w:noWrap/>
            <w:hideMark/>
          </w:tcPr>
          <w:p w14:paraId="0C3F86B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0.07</w:t>
            </w:r>
          </w:p>
        </w:tc>
        <w:tc>
          <w:tcPr>
            <w:tcW w:w="774" w:type="pct"/>
            <w:tcBorders>
              <w:top w:val="nil"/>
              <w:bottom w:val="nil"/>
            </w:tcBorders>
            <w:noWrap/>
            <w:hideMark/>
          </w:tcPr>
          <w:p w14:paraId="0C3F86B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0.00</w:t>
            </w:r>
          </w:p>
        </w:tc>
        <w:tc>
          <w:tcPr>
            <w:tcW w:w="718" w:type="pct"/>
            <w:tcBorders>
              <w:top w:val="nil"/>
              <w:bottom w:val="nil"/>
              <w:right w:val="single" w:sz="4" w:space="0" w:color="auto"/>
            </w:tcBorders>
            <w:noWrap/>
            <w:hideMark/>
          </w:tcPr>
          <w:p w14:paraId="0C3F86B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0.07</w:t>
            </w:r>
          </w:p>
        </w:tc>
        <w:tc>
          <w:tcPr>
            <w:tcW w:w="896" w:type="pct"/>
            <w:gridSpan w:val="2"/>
            <w:tcBorders>
              <w:top w:val="nil"/>
              <w:left w:val="single" w:sz="4" w:space="0" w:color="auto"/>
              <w:bottom w:val="nil"/>
            </w:tcBorders>
            <w:noWrap/>
            <w:hideMark/>
          </w:tcPr>
          <w:p w14:paraId="0C3F86C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166</w:t>
            </w:r>
          </w:p>
        </w:tc>
      </w:tr>
      <w:tr w:rsidR="00935052" w:rsidRPr="000313CF" w14:paraId="0C3F86C8"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hideMark/>
          </w:tcPr>
          <w:p w14:paraId="0C3F86C2" w14:textId="77777777" w:rsidR="00935052" w:rsidRPr="000313CF" w:rsidRDefault="00935052" w:rsidP="000313CF">
            <w:pPr>
              <w:spacing w:before="0" w:after="0"/>
              <w:rPr>
                <w:rStyle w:val="BookTitle"/>
              </w:rPr>
            </w:pPr>
            <w:r w:rsidRPr="000313CF">
              <w:rPr>
                <w:rStyle w:val="BookTitle"/>
              </w:rPr>
              <w:t>PP</w:t>
            </w:r>
          </w:p>
        </w:tc>
        <w:tc>
          <w:tcPr>
            <w:tcW w:w="930" w:type="pct"/>
            <w:tcBorders>
              <w:top w:val="nil"/>
              <w:bottom w:val="nil"/>
            </w:tcBorders>
            <w:noWrap/>
            <w:hideMark/>
          </w:tcPr>
          <w:p w14:paraId="0C3F86C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0.03</w:t>
            </w:r>
          </w:p>
        </w:tc>
        <w:tc>
          <w:tcPr>
            <w:tcW w:w="607" w:type="pct"/>
            <w:tcBorders>
              <w:top w:val="nil"/>
              <w:bottom w:val="nil"/>
            </w:tcBorders>
            <w:noWrap/>
            <w:hideMark/>
          </w:tcPr>
          <w:p w14:paraId="0C3F86C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0.00</w:t>
            </w:r>
          </w:p>
        </w:tc>
        <w:tc>
          <w:tcPr>
            <w:tcW w:w="774" w:type="pct"/>
            <w:tcBorders>
              <w:top w:val="nil"/>
              <w:bottom w:val="nil"/>
            </w:tcBorders>
            <w:noWrap/>
            <w:hideMark/>
          </w:tcPr>
          <w:p w14:paraId="0C3F86C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0.00</w:t>
            </w:r>
          </w:p>
        </w:tc>
        <w:tc>
          <w:tcPr>
            <w:tcW w:w="718" w:type="pct"/>
            <w:tcBorders>
              <w:top w:val="nil"/>
              <w:bottom w:val="nil"/>
              <w:right w:val="single" w:sz="4" w:space="0" w:color="auto"/>
            </w:tcBorders>
            <w:noWrap/>
            <w:hideMark/>
          </w:tcPr>
          <w:p w14:paraId="0C3F86C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0.03</w:t>
            </w:r>
          </w:p>
        </w:tc>
        <w:tc>
          <w:tcPr>
            <w:tcW w:w="896" w:type="pct"/>
            <w:gridSpan w:val="2"/>
            <w:tcBorders>
              <w:top w:val="nil"/>
              <w:left w:val="single" w:sz="4" w:space="0" w:color="auto"/>
              <w:bottom w:val="nil"/>
            </w:tcBorders>
            <w:noWrap/>
            <w:hideMark/>
          </w:tcPr>
          <w:p w14:paraId="0C3F86C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161</w:t>
            </w:r>
          </w:p>
        </w:tc>
      </w:tr>
      <w:tr w:rsidR="00935052" w:rsidRPr="000313CF" w14:paraId="0C3F86CF"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single" w:sz="4" w:space="0" w:color="auto"/>
            </w:tcBorders>
            <w:noWrap/>
            <w:hideMark/>
          </w:tcPr>
          <w:p w14:paraId="0C3F86C9" w14:textId="77777777" w:rsidR="00935052" w:rsidRPr="000313CF" w:rsidRDefault="00935052" w:rsidP="000313CF">
            <w:pPr>
              <w:spacing w:before="0" w:after="0"/>
              <w:rPr>
                <w:rStyle w:val="BookTitle"/>
              </w:rPr>
            </w:pPr>
            <w:r w:rsidRPr="000313CF">
              <w:rPr>
                <w:rStyle w:val="BookTitle"/>
              </w:rPr>
              <w:t>Mean Count</w:t>
            </w:r>
          </w:p>
        </w:tc>
        <w:tc>
          <w:tcPr>
            <w:tcW w:w="930" w:type="pct"/>
            <w:tcBorders>
              <w:top w:val="nil"/>
              <w:bottom w:val="single" w:sz="4" w:space="0" w:color="auto"/>
            </w:tcBorders>
            <w:noWrap/>
            <w:hideMark/>
          </w:tcPr>
          <w:p w14:paraId="0C3F86C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23</w:t>
            </w:r>
          </w:p>
        </w:tc>
        <w:tc>
          <w:tcPr>
            <w:tcW w:w="607" w:type="pct"/>
            <w:tcBorders>
              <w:top w:val="nil"/>
              <w:bottom w:val="single" w:sz="4" w:space="0" w:color="auto"/>
            </w:tcBorders>
            <w:noWrap/>
            <w:hideMark/>
          </w:tcPr>
          <w:p w14:paraId="0C3F86C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370</w:t>
            </w:r>
          </w:p>
        </w:tc>
        <w:tc>
          <w:tcPr>
            <w:tcW w:w="774" w:type="pct"/>
            <w:tcBorders>
              <w:top w:val="nil"/>
              <w:bottom w:val="single" w:sz="4" w:space="0" w:color="auto"/>
            </w:tcBorders>
            <w:noWrap/>
            <w:hideMark/>
          </w:tcPr>
          <w:p w14:paraId="0C3F86C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175</w:t>
            </w:r>
          </w:p>
        </w:tc>
        <w:tc>
          <w:tcPr>
            <w:tcW w:w="718" w:type="pct"/>
            <w:tcBorders>
              <w:top w:val="nil"/>
              <w:bottom w:val="single" w:sz="4" w:space="0" w:color="auto"/>
              <w:right w:val="single" w:sz="4" w:space="0" w:color="auto"/>
            </w:tcBorders>
            <w:noWrap/>
            <w:hideMark/>
          </w:tcPr>
          <w:p w14:paraId="0C3F86C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92</w:t>
            </w:r>
          </w:p>
        </w:tc>
        <w:tc>
          <w:tcPr>
            <w:tcW w:w="896" w:type="pct"/>
            <w:gridSpan w:val="2"/>
            <w:tcBorders>
              <w:top w:val="nil"/>
              <w:left w:val="single" w:sz="4" w:space="0" w:color="auto"/>
              <w:bottom w:val="single" w:sz="4" w:space="0" w:color="auto"/>
            </w:tcBorders>
            <w:noWrap/>
            <w:hideMark/>
          </w:tcPr>
          <w:p w14:paraId="0C3F86C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165</w:t>
            </w:r>
          </w:p>
        </w:tc>
      </w:tr>
      <w:tr w:rsidR="00935052" w:rsidRPr="000313CF" w14:paraId="0C3F86D6"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single" w:sz="4" w:space="0" w:color="auto"/>
              <w:bottom w:val="single" w:sz="4" w:space="0" w:color="auto"/>
            </w:tcBorders>
            <w:noWrap/>
          </w:tcPr>
          <w:p w14:paraId="0C3F86D0" w14:textId="77777777" w:rsidR="00935052" w:rsidRPr="000313CF" w:rsidRDefault="00935052" w:rsidP="000313CF">
            <w:pPr>
              <w:spacing w:before="0" w:after="0"/>
              <w:rPr>
                <w:rStyle w:val="BookTitle"/>
              </w:rPr>
            </w:pPr>
          </w:p>
        </w:tc>
        <w:tc>
          <w:tcPr>
            <w:tcW w:w="930" w:type="pct"/>
            <w:tcBorders>
              <w:top w:val="single" w:sz="4" w:space="0" w:color="auto"/>
              <w:bottom w:val="single" w:sz="4" w:space="0" w:color="auto"/>
            </w:tcBorders>
            <w:noWrap/>
          </w:tcPr>
          <w:p w14:paraId="0C3F86D1" w14:textId="77777777" w:rsidR="00935052" w:rsidRPr="005F304A"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i/>
              </w:rPr>
            </w:pPr>
            <w:r w:rsidRPr="005F304A">
              <w:rPr>
                <w:rStyle w:val="BookTitle"/>
                <w:i/>
              </w:rPr>
              <w:t>Mean</w:t>
            </w:r>
          </w:p>
        </w:tc>
        <w:tc>
          <w:tcPr>
            <w:tcW w:w="607" w:type="pct"/>
            <w:tcBorders>
              <w:top w:val="single" w:sz="4" w:space="0" w:color="auto"/>
              <w:bottom w:val="single" w:sz="4" w:space="0" w:color="auto"/>
            </w:tcBorders>
            <w:noWrap/>
          </w:tcPr>
          <w:p w14:paraId="0C3F86D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774" w:type="pct"/>
            <w:tcBorders>
              <w:top w:val="single" w:sz="4" w:space="0" w:color="auto"/>
              <w:bottom w:val="single" w:sz="4" w:space="0" w:color="auto"/>
            </w:tcBorders>
            <w:noWrap/>
          </w:tcPr>
          <w:p w14:paraId="0C3F86D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718" w:type="pct"/>
            <w:tcBorders>
              <w:top w:val="single" w:sz="4" w:space="0" w:color="auto"/>
              <w:bottom w:val="single" w:sz="4" w:space="0" w:color="auto"/>
              <w:right w:val="single" w:sz="4" w:space="0" w:color="auto"/>
            </w:tcBorders>
            <w:noWrap/>
          </w:tcPr>
          <w:p w14:paraId="0C3F86D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896" w:type="pct"/>
            <w:gridSpan w:val="2"/>
            <w:tcBorders>
              <w:top w:val="single" w:sz="4" w:space="0" w:color="auto"/>
              <w:left w:val="single" w:sz="4" w:space="0" w:color="auto"/>
              <w:bottom w:val="single" w:sz="4" w:space="0" w:color="auto"/>
            </w:tcBorders>
            <w:noWrap/>
          </w:tcPr>
          <w:p w14:paraId="0C3F86D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6DD"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single" w:sz="4" w:space="0" w:color="auto"/>
              <w:bottom w:val="nil"/>
            </w:tcBorders>
            <w:noWrap/>
          </w:tcPr>
          <w:p w14:paraId="0C3F86D7" w14:textId="77777777" w:rsidR="00935052" w:rsidRPr="000313CF" w:rsidRDefault="00935052" w:rsidP="000313CF">
            <w:pPr>
              <w:spacing w:before="0" w:after="0"/>
              <w:rPr>
                <w:rStyle w:val="BookTitle"/>
              </w:rPr>
            </w:pPr>
            <w:r w:rsidRPr="000313CF">
              <w:rPr>
                <w:rStyle w:val="BookTitle"/>
              </w:rPr>
              <w:t>TSS</w:t>
            </w:r>
          </w:p>
        </w:tc>
        <w:tc>
          <w:tcPr>
            <w:tcW w:w="930" w:type="pct"/>
            <w:tcBorders>
              <w:top w:val="single" w:sz="4" w:space="0" w:color="auto"/>
              <w:bottom w:val="nil"/>
            </w:tcBorders>
            <w:noWrap/>
          </w:tcPr>
          <w:p w14:paraId="0C3F86D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4.95</w:t>
            </w:r>
          </w:p>
        </w:tc>
        <w:tc>
          <w:tcPr>
            <w:tcW w:w="607" w:type="pct"/>
            <w:tcBorders>
              <w:top w:val="single" w:sz="4" w:space="0" w:color="auto"/>
              <w:bottom w:val="nil"/>
            </w:tcBorders>
            <w:noWrap/>
          </w:tcPr>
          <w:p w14:paraId="0C3F86D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7.19</w:t>
            </w:r>
          </w:p>
        </w:tc>
        <w:tc>
          <w:tcPr>
            <w:tcW w:w="774" w:type="pct"/>
            <w:tcBorders>
              <w:top w:val="single" w:sz="4" w:space="0" w:color="auto"/>
              <w:bottom w:val="nil"/>
            </w:tcBorders>
            <w:noWrap/>
          </w:tcPr>
          <w:p w14:paraId="0C3F86D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25.92</w:t>
            </w:r>
          </w:p>
        </w:tc>
        <w:tc>
          <w:tcPr>
            <w:tcW w:w="718" w:type="pct"/>
            <w:tcBorders>
              <w:top w:val="single" w:sz="4" w:space="0" w:color="auto"/>
              <w:bottom w:val="nil"/>
              <w:right w:val="single" w:sz="4" w:space="0" w:color="auto"/>
            </w:tcBorders>
            <w:noWrap/>
          </w:tcPr>
          <w:p w14:paraId="0C3F86D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28.98</w:t>
            </w:r>
          </w:p>
        </w:tc>
        <w:tc>
          <w:tcPr>
            <w:tcW w:w="896" w:type="pct"/>
            <w:gridSpan w:val="2"/>
            <w:tcBorders>
              <w:top w:val="single" w:sz="4" w:space="0" w:color="auto"/>
              <w:left w:val="single" w:sz="4" w:space="0" w:color="auto"/>
              <w:bottom w:val="nil"/>
            </w:tcBorders>
            <w:noWrap/>
          </w:tcPr>
          <w:p w14:paraId="0C3F86D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6E4"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6DE" w14:textId="77777777" w:rsidR="00935052" w:rsidRPr="000313CF" w:rsidRDefault="00935052" w:rsidP="000313CF">
            <w:pPr>
              <w:spacing w:before="0" w:after="0"/>
              <w:rPr>
                <w:rStyle w:val="BookTitle"/>
              </w:rPr>
            </w:pPr>
            <w:r w:rsidRPr="000313CF">
              <w:rPr>
                <w:rStyle w:val="BookTitle"/>
              </w:rPr>
              <w:t>Chl-a</w:t>
            </w:r>
          </w:p>
        </w:tc>
        <w:tc>
          <w:tcPr>
            <w:tcW w:w="930" w:type="pct"/>
            <w:tcBorders>
              <w:top w:val="nil"/>
              <w:bottom w:val="nil"/>
            </w:tcBorders>
            <w:noWrap/>
          </w:tcPr>
          <w:p w14:paraId="0C3F86D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0.77</w:t>
            </w:r>
          </w:p>
        </w:tc>
        <w:tc>
          <w:tcPr>
            <w:tcW w:w="607" w:type="pct"/>
            <w:tcBorders>
              <w:top w:val="nil"/>
              <w:bottom w:val="nil"/>
            </w:tcBorders>
            <w:noWrap/>
          </w:tcPr>
          <w:p w14:paraId="0C3F86E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0.98</w:t>
            </w:r>
          </w:p>
        </w:tc>
        <w:tc>
          <w:tcPr>
            <w:tcW w:w="774" w:type="pct"/>
            <w:tcBorders>
              <w:top w:val="nil"/>
              <w:bottom w:val="nil"/>
            </w:tcBorders>
            <w:noWrap/>
          </w:tcPr>
          <w:p w14:paraId="0C3F86E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0.96</w:t>
            </w:r>
          </w:p>
        </w:tc>
        <w:tc>
          <w:tcPr>
            <w:tcW w:w="718" w:type="pct"/>
            <w:tcBorders>
              <w:top w:val="nil"/>
              <w:bottom w:val="nil"/>
              <w:right w:val="single" w:sz="4" w:space="0" w:color="auto"/>
            </w:tcBorders>
            <w:noWrap/>
          </w:tcPr>
          <w:p w14:paraId="0C3F86E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2.41</w:t>
            </w:r>
          </w:p>
        </w:tc>
        <w:tc>
          <w:tcPr>
            <w:tcW w:w="896" w:type="pct"/>
            <w:gridSpan w:val="2"/>
            <w:tcBorders>
              <w:top w:val="nil"/>
              <w:left w:val="single" w:sz="4" w:space="0" w:color="auto"/>
              <w:bottom w:val="nil"/>
            </w:tcBorders>
            <w:noWrap/>
          </w:tcPr>
          <w:p w14:paraId="0C3F86E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6EB"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6E5" w14:textId="77777777" w:rsidR="00935052" w:rsidRPr="000313CF" w:rsidRDefault="00935052" w:rsidP="000313CF">
            <w:pPr>
              <w:spacing w:before="0" w:after="0"/>
              <w:rPr>
                <w:rStyle w:val="BookTitle"/>
              </w:rPr>
            </w:pPr>
            <w:r w:rsidRPr="000313CF">
              <w:rPr>
                <w:rStyle w:val="BookTitle"/>
              </w:rPr>
              <w:t>TN</w:t>
            </w:r>
          </w:p>
        </w:tc>
        <w:tc>
          <w:tcPr>
            <w:tcW w:w="930" w:type="pct"/>
            <w:tcBorders>
              <w:top w:val="nil"/>
              <w:bottom w:val="nil"/>
            </w:tcBorders>
            <w:noWrap/>
          </w:tcPr>
          <w:p w14:paraId="0C3F86E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11.50</w:t>
            </w:r>
          </w:p>
        </w:tc>
        <w:tc>
          <w:tcPr>
            <w:tcW w:w="607" w:type="pct"/>
            <w:tcBorders>
              <w:top w:val="nil"/>
              <w:bottom w:val="nil"/>
            </w:tcBorders>
            <w:noWrap/>
          </w:tcPr>
          <w:p w14:paraId="0C3F86E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11.72</w:t>
            </w:r>
          </w:p>
        </w:tc>
        <w:tc>
          <w:tcPr>
            <w:tcW w:w="774" w:type="pct"/>
            <w:tcBorders>
              <w:top w:val="nil"/>
              <w:bottom w:val="nil"/>
            </w:tcBorders>
            <w:noWrap/>
          </w:tcPr>
          <w:p w14:paraId="0C3F86E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16.79</w:t>
            </w:r>
          </w:p>
        </w:tc>
        <w:tc>
          <w:tcPr>
            <w:tcW w:w="718" w:type="pct"/>
            <w:tcBorders>
              <w:top w:val="nil"/>
              <w:bottom w:val="nil"/>
              <w:right w:val="single" w:sz="4" w:space="0" w:color="auto"/>
            </w:tcBorders>
            <w:noWrap/>
          </w:tcPr>
          <w:p w14:paraId="0C3F86E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24.05</w:t>
            </w:r>
          </w:p>
        </w:tc>
        <w:tc>
          <w:tcPr>
            <w:tcW w:w="896" w:type="pct"/>
            <w:gridSpan w:val="2"/>
            <w:tcBorders>
              <w:top w:val="nil"/>
              <w:left w:val="single" w:sz="4" w:space="0" w:color="auto"/>
              <w:bottom w:val="nil"/>
            </w:tcBorders>
            <w:noWrap/>
          </w:tcPr>
          <w:p w14:paraId="0C3F86E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6F2"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6EC" w14:textId="77777777" w:rsidR="00935052" w:rsidRPr="000313CF" w:rsidRDefault="00935052" w:rsidP="000313CF">
            <w:pPr>
              <w:spacing w:before="0" w:after="0"/>
              <w:rPr>
                <w:rStyle w:val="BookTitle"/>
              </w:rPr>
            </w:pPr>
            <w:r w:rsidRPr="000313CF">
              <w:rPr>
                <w:rStyle w:val="BookTitle"/>
              </w:rPr>
              <w:t>TP</w:t>
            </w:r>
          </w:p>
        </w:tc>
        <w:tc>
          <w:tcPr>
            <w:tcW w:w="930" w:type="pct"/>
            <w:tcBorders>
              <w:top w:val="nil"/>
              <w:bottom w:val="nil"/>
            </w:tcBorders>
            <w:noWrap/>
          </w:tcPr>
          <w:p w14:paraId="0C3F86E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0.45</w:t>
            </w:r>
          </w:p>
        </w:tc>
        <w:tc>
          <w:tcPr>
            <w:tcW w:w="607" w:type="pct"/>
            <w:tcBorders>
              <w:top w:val="nil"/>
              <w:bottom w:val="nil"/>
            </w:tcBorders>
            <w:noWrap/>
          </w:tcPr>
          <w:p w14:paraId="0C3F86E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0.67</w:t>
            </w:r>
          </w:p>
        </w:tc>
        <w:tc>
          <w:tcPr>
            <w:tcW w:w="774" w:type="pct"/>
            <w:tcBorders>
              <w:top w:val="nil"/>
              <w:bottom w:val="nil"/>
            </w:tcBorders>
            <w:noWrap/>
          </w:tcPr>
          <w:p w14:paraId="0C3F86E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1.20</w:t>
            </w:r>
          </w:p>
        </w:tc>
        <w:tc>
          <w:tcPr>
            <w:tcW w:w="718" w:type="pct"/>
            <w:tcBorders>
              <w:top w:val="nil"/>
              <w:bottom w:val="nil"/>
              <w:right w:val="single" w:sz="4" w:space="0" w:color="auto"/>
            </w:tcBorders>
            <w:noWrap/>
          </w:tcPr>
          <w:p w14:paraId="0C3F86F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1.60</w:t>
            </w:r>
          </w:p>
        </w:tc>
        <w:tc>
          <w:tcPr>
            <w:tcW w:w="896" w:type="pct"/>
            <w:gridSpan w:val="2"/>
            <w:tcBorders>
              <w:top w:val="nil"/>
              <w:left w:val="single" w:sz="4" w:space="0" w:color="auto"/>
              <w:bottom w:val="nil"/>
            </w:tcBorders>
            <w:noWrap/>
          </w:tcPr>
          <w:p w14:paraId="0C3F86F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6F9"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6F3" w14:textId="77777777" w:rsidR="00935052" w:rsidRPr="000313CF" w:rsidRDefault="00935052" w:rsidP="000313CF">
            <w:pPr>
              <w:spacing w:before="0" w:after="0"/>
              <w:rPr>
                <w:rStyle w:val="BookTitle"/>
              </w:rPr>
            </w:pPr>
            <w:r w:rsidRPr="000313CF">
              <w:rPr>
                <w:rStyle w:val="BookTitle"/>
              </w:rPr>
              <w:t>DIN</w:t>
            </w:r>
          </w:p>
        </w:tc>
        <w:tc>
          <w:tcPr>
            <w:tcW w:w="930" w:type="pct"/>
            <w:tcBorders>
              <w:top w:val="nil"/>
              <w:bottom w:val="nil"/>
            </w:tcBorders>
            <w:noWrap/>
          </w:tcPr>
          <w:p w14:paraId="0C3F86F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2.28</w:t>
            </w:r>
          </w:p>
        </w:tc>
        <w:tc>
          <w:tcPr>
            <w:tcW w:w="607" w:type="pct"/>
            <w:tcBorders>
              <w:top w:val="nil"/>
              <w:bottom w:val="nil"/>
            </w:tcBorders>
            <w:noWrap/>
          </w:tcPr>
          <w:p w14:paraId="0C3F86F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2.48</w:t>
            </w:r>
          </w:p>
        </w:tc>
        <w:tc>
          <w:tcPr>
            <w:tcW w:w="774" w:type="pct"/>
            <w:tcBorders>
              <w:top w:val="nil"/>
              <w:bottom w:val="nil"/>
            </w:tcBorders>
            <w:noWrap/>
          </w:tcPr>
          <w:p w14:paraId="0C3F86F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3.74</w:t>
            </w:r>
          </w:p>
        </w:tc>
        <w:tc>
          <w:tcPr>
            <w:tcW w:w="718" w:type="pct"/>
            <w:tcBorders>
              <w:top w:val="nil"/>
              <w:bottom w:val="nil"/>
              <w:right w:val="single" w:sz="4" w:space="0" w:color="auto"/>
            </w:tcBorders>
            <w:noWrap/>
          </w:tcPr>
          <w:p w14:paraId="0C3F86F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3.42</w:t>
            </w:r>
          </w:p>
        </w:tc>
        <w:tc>
          <w:tcPr>
            <w:tcW w:w="896" w:type="pct"/>
            <w:gridSpan w:val="2"/>
            <w:tcBorders>
              <w:top w:val="nil"/>
              <w:left w:val="single" w:sz="4" w:space="0" w:color="auto"/>
              <w:bottom w:val="nil"/>
            </w:tcBorders>
            <w:noWrap/>
          </w:tcPr>
          <w:p w14:paraId="0C3F86F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00"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6FA" w14:textId="77777777" w:rsidR="00935052" w:rsidRPr="000313CF" w:rsidRDefault="00935052" w:rsidP="000313CF">
            <w:pPr>
              <w:spacing w:before="0" w:after="0"/>
              <w:rPr>
                <w:rStyle w:val="BookTitle"/>
              </w:rPr>
            </w:pPr>
            <w:r w:rsidRPr="000313CF">
              <w:rPr>
                <w:rStyle w:val="BookTitle"/>
              </w:rPr>
              <w:t>DIP</w:t>
            </w:r>
          </w:p>
        </w:tc>
        <w:tc>
          <w:tcPr>
            <w:tcW w:w="930" w:type="pct"/>
            <w:tcBorders>
              <w:top w:val="nil"/>
              <w:bottom w:val="nil"/>
            </w:tcBorders>
            <w:noWrap/>
          </w:tcPr>
          <w:p w14:paraId="0C3F86F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0.21</w:t>
            </w:r>
          </w:p>
        </w:tc>
        <w:tc>
          <w:tcPr>
            <w:tcW w:w="607" w:type="pct"/>
            <w:tcBorders>
              <w:top w:val="nil"/>
              <w:bottom w:val="nil"/>
            </w:tcBorders>
            <w:noWrap/>
          </w:tcPr>
          <w:p w14:paraId="0C3F86F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0.31</w:t>
            </w:r>
          </w:p>
        </w:tc>
        <w:tc>
          <w:tcPr>
            <w:tcW w:w="774" w:type="pct"/>
            <w:tcBorders>
              <w:top w:val="nil"/>
              <w:bottom w:val="nil"/>
            </w:tcBorders>
            <w:noWrap/>
          </w:tcPr>
          <w:p w14:paraId="0C3F86F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0.36</w:t>
            </w:r>
          </w:p>
        </w:tc>
        <w:tc>
          <w:tcPr>
            <w:tcW w:w="718" w:type="pct"/>
            <w:tcBorders>
              <w:top w:val="nil"/>
              <w:bottom w:val="nil"/>
              <w:right w:val="single" w:sz="4" w:space="0" w:color="auto"/>
            </w:tcBorders>
            <w:noWrap/>
          </w:tcPr>
          <w:p w14:paraId="0C3F86F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0.96</w:t>
            </w:r>
          </w:p>
        </w:tc>
        <w:tc>
          <w:tcPr>
            <w:tcW w:w="896" w:type="pct"/>
            <w:gridSpan w:val="2"/>
            <w:tcBorders>
              <w:top w:val="nil"/>
              <w:left w:val="single" w:sz="4" w:space="0" w:color="auto"/>
              <w:bottom w:val="nil"/>
            </w:tcBorders>
            <w:noWrap/>
          </w:tcPr>
          <w:p w14:paraId="0C3F86F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07"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701" w14:textId="77777777" w:rsidR="00935052" w:rsidRPr="000313CF" w:rsidRDefault="00935052" w:rsidP="000313CF">
            <w:pPr>
              <w:spacing w:before="0" w:after="0"/>
              <w:rPr>
                <w:rStyle w:val="BookTitle"/>
              </w:rPr>
            </w:pPr>
            <w:r w:rsidRPr="000313CF">
              <w:rPr>
                <w:rStyle w:val="BookTitle"/>
              </w:rPr>
              <w:t>PN</w:t>
            </w:r>
          </w:p>
        </w:tc>
        <w:tc>
          <w:tcPr>
            <w:tcW w:w="930" w:type="pct"/>
            <w:tcBorders>
              <w:top w:val="nil"/>
              <w:bottom w:val="nil"/>
            </w:tcBorders>
            <w:noWrap/>
          </w:tcPr>
          <w:p w14:paraId="0C3F870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3.62</w:t>
            </w:r>
          </w:p>
        </w:tc>
        <w:tc>
          <w:tcPr>
            <w:tcW w:w="607" w:type="pct"/>
            <w:tcBorders>
              <w:top w:val="nil"/>
              <w:bottom w:val="nil"/>
            </w:tcBorders>
            <w:noWrap/>
          </w:tcPr>
          <w:p w14:paraId="0C3F870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2.38</w:t>
            </w:r>
          </w:p>
        </w:tc>
        <w:tc>
          <w:tcPr>
            <w:tcW w:w="774" w:type="pct"/>
            <w:tcBorders>
              <w:top w:val="nil"/>
              <w:bottom w:val="nil"/>
            </w:tcBorders>
            <w:noWrap/>
          </w:tcPr>
          <w:p w14:paraId="0C3F870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3.85</w:t>
            </w:r>
          </w:p>
        </w:tc>
        <w:tc>
          <w:tcPr>
            <w:tcW w:w="718" w:type="pct"/>
            <w:tcBorders>
              <w:top w:val="nil"/>
              <w:bottom w:val="nil"/>
              <w:right w:val="single" w:sz="4" w:space="0" w:color="auto"/>
            </w:tcBorders>
            <w:noWrap/>
          </w:tcPr>
          <w:p w14:paraId="0C3F870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5.98</w:t>
            </w:r>
          </w:p>
        </w:tc>
        <w:tc>
          <w:tcPr>
            <w:tcW w:w="896" w:type="pct"/>
            <w:gridSpan w:val="2"/>
            <w:tcBorders>
              <w:top w:val="nil"/>
              <w:left w:val="single" w:sz="4" w:space="0" w:color="auto"/>
              <w:bottom w:val="nil"/>
            </w:tcBorders>
            <w:noWrap/>
          </w:tcPr>
          <w:p w14:paraId="0C3F870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0E"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nil"/>
            </w:tcBorders>
            <w:noWrap/>
          </w:tcPr>
          <w:p w14:paraId="0C3F8708" w14:textId="77777777" w:rsidR="00935052" w:rsidRPr="000313CF" w:rsidRDefault="00935052" w:rsidP="000313CF">
            <w:pPr>
              <w:spacing w:before="0" w:after="0"/>
              <w:rPr>
                <w:rStyle w:val="BookTitle"/>
              </w:rPr>
            </w:pPr>
            <w:r w:rsidRPr="000313CF">
              <w:rPr>
                <w:rStyle w:val="BookTitle"/>
              </w:rPr>
              <w:t>PP</w:t>
            </w:r>
          </w:p>
        </w:tc>
        <w:tc>
          <w:tcPr>
            <w:tcW w:w="930" w:type="pct"/>
            <w:tcBorders>
              <w:top w:val="nil"/>
              <w:bottom w:val="nil"/>
            </w:tcBorders>
            <w:noWrap/>
          </w:tcPr>
          <w:p w14:paraId="0C3F870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0.16</w:t>
            </w:r>
          </w:p>
        </w:tc>
        <w:tc>
          <w:tcPr>
            <w:tcW w:w="607" w:type="pct"/>
            <w:tcBorders>
              <w:top w:val="nil"/>
              <w:bottom w:val="nil"/>
            </w:tcBorders>
            <w:noWrap/>
          </w:tcPr>
          <w:p w14:paraId="0C3F870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0.17</w:t>
            </w:r>
          </w:p>
        </w:tc>
        <w:tc>
          <w:tcPr>
            <w:tcW w:w="774" w:type="pct"/>
            <w:tcBorders>
              <w:top w:val="nil"/>
              <w:bottom w:val="nil"/>
            </w:tcBorders>
            <w:noWrap/>
          </w:tcPr>
          <w:p w14:paraId="0C3F870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0.56</w:t>
            </w:r>
          </w:p>
        </w:tc>
        <w:tc>
          <w:tcPr>
            <w:tcW w:w="718" w:type="pct"/>
            <w:tcBorders>
              <w:top w:val="nil"/>
              <w:bottom w:val="nil"/>
              <w:right w:val="single" w:sz="4" w:space="0" w:color="auto"/>
            </w:tcBorders>
            <w:noWrap/>
          </w:tcPr>
          <w:p w14:paraId="0C3F870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0.49</w:t>
            </w:r>
          </w:p>
        </w:tc>
        <w:tc>
          <w:tcPr>
            <w:tcW w:w="896" w:type="pct"/>
            <w:gridSpan w:val="2"/>
            <w:tcBorders>
              <w:top w:val="nil"/>
              <w:left w:val="single" w:sz="4" w:space="0" w:color="auto"/>
              <w:bottom w:val="nil"/>
            </w:tcBorders>
            <w:noWrap/>
          </w:tcPr>
          <w:p w14:paraId="0C3F870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15"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single" w:sz="4" w:space="0" w:color="auto"/>
            </w:tcBorders>
            <w:noWrap/>
          </w:tcPr>
          <w:p w14:paraId="0C3F870F" w14:textId="77777777" w:rsidR="00935052" w:rsidRPr="000313CF" w:rsidRDefault="00935052" w:rsidP="000313CF">
            <w:pPr>
              <w:spacing w:before="0" w:after="0"/>
              <w:rPr>
                <w:rStyle w:val="BookTitle"/>
              </w:rPr>
            </w:pPr>
            <w:r w:rsidRPr="000313CF">
              <w:rPr>
                <w:rStyle w:val="BookTitle"/>
              </w:rPr>
              <w:t>Mean Count</w:t>
            </w:r>
          </w:p>
        </w:tc>
        <w:tc>
          <w:tcPr>
            <w:tcW w:w="930" w:type="pct"/>
            <w:tcBorders>
              <w:top w:val="nil"/>
              <w:bottom w:val="single" w:sz="4" w:space="0" w:color="auto"/>
            </w:tcBorders>
            <w:noWrap/>
          </w:tcPr>
          <w:p w14:paraId="0C3F871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23</w:t>
            </w:r>
          </w:p>
        </w:tc>
        <w:tc>
          <w:tcPr>
            <w:tcW w:w="607" w:type="pct"/>
            <w:tcBorders>
              <w:top w:val="nil"/>
              <w:bottom w:val="single" w:sz="4" w:space="0" w:color="auto"/>
            </w:tcBorders>
            <w:noWrap/>
          </w:tcPr>
          <w:p w14:paraId="0C3F871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370</w:t>
            </w:r>
          </w:p>
        </w:tc>
        <w:tc>
          <w:tcPr>
            <w:tcW w:w="774" w:type="pct"/>
            <w:tcBorders>
              <w:top w:val="nil"/>
              <w:bottom w:val="single" w:sz="4" w:space="0" w:color="auto"/>
            </w:tcBorders>
            <w:noWrap/>
          </w:tcPr>
          <w:p w14:paraId="0C3F871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175</w:t>
            </w:r>
          </w:p>
        </w:tc>
        <w:tc>
          <w:tcPr>
            <w:tcW w:w="718" w:type="pct"/>
            <w:tcBorders>
              <w:top w:val="nil"/>
              <w:bottom w:val="single" w:sz="4" w:space="0" w:color="auto"/>
              <w:right w:val="single" w:sz="4" w:space="0" w:color="auto"/>
            </w:tcBorders>
            <w:noWrap/>
          </w:tcPr>
          <w:p w14:paraId="0C3F871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92</w:t>
            </w:r>
          </w:p>
        </w:tc>
        <w:tc>
          <w:tcPr>
            <w:tcW w:w="896" w:type="pct"/>
            <w:gridSpan w:val="2"/>
            <w:tcBorders>
              <w:top w:val="nil"/>
              <w:left w:val="single" w:sz="4" w:space="0" w:color="auto"/>
              <w:bottom w:val="single" w:sz="4" w:space="0" w:color="auto"/>
            </w:tcBorders>
            <w:noWrap/>
          </w:tcPr>
          <w:p w14:paraId="0C3F871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1C"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single" w:sz="4" w:space="0" w:color="auto"/>
              <w:bottom w:val="single" w:sz="4" w:space="0" w:color="auto"/>
            </w:tcBorders>
            <w:noWrap/>
          </w:tcPr>
          <w:p w14:paraId="0C3F8716" w14:textId="77777777" w:rsidR="00935052" w:rsidRPr="000313CF" w:rsidRDefault="00935052" w:rsidP="000313CF">
            <w:pPr>
              <w:spacing w:before="0" w:after="0"/>
              <w:rPr>
                <w:rStyle w:val="BookTitle"/>
              </w:rPr>
            </w:pPr>
          </w:p>
        </w:tc>
        <w:tc>
          <w:tcPr>
            <w:tcW w:w="930" w:type="pct"/>
            <w:tcBorders>
              <w:top w:val="single" w:sz="4" w:space="0" w:color="auto"/>
              <w:bottom w:val="single" w:sz="4" w:space="0" w:color="auto"/>
            </w:tcBorders>
            <w:noWrap/>
          </w:tcPr>
          <w:p w14:paraId="0C3F871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Maximum</w:t>
            </w:r>
          </w:p>
        </w:tc>
        <w:tc>
          <w:tcPr>
            <w:tcW w:w="607" w:type="pct"/>
            <w:tcBorders>
              <w:top w:val="single" w:sz="4" w:space="0" w:color="auto"/>
              <w:bottom w:val="single" w:sz="4" w:space="0" w:color="auto"/>
            </w:tcBorders>
            <w:noWrap/>
          </w:tcPr>
          <w:p w14:paraId="0C3F871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774" w:type="pct"/>
            <w:tcBorders>
              <w:top w:val="single" w:sz="4" w:space="0" w:color="auto"/>
              <w:bottom w:val="single" w:sz="4" w:space="0" w:color="auto"/>
            </w:tcBorders>
            <w:noWrap/>
          </w:tcPr>
          <w:p w14:paraId="0C3F871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718" w:type="pct"/>
            <w:tcBorders>
              <w:top w:val="single" w:sz="4" w:space="0" w:color="auto"/>
              <w:bottom w:val="single" w:sz="4" w:space="0" w:color="auto"/>
              <w:right w:val="single" w:sz="4" w:space="0" w:color="auto"/>
            </w:tcBorders>
            <w:noWrap/>
          </w:tcPr>
          <w:p w14:paraId="0C3F871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c>
          <w:tcPr>
            <w:tcW w:w="896" w:type="pct"/>
            <w:gridSpan w:val="2"/>
            <w:tcBorders>
              <w:top w:val="single" w:sz="4" w:space="0" w:color="auto"/>
              <w:left w:val="single" w:sz="4" w:space="0" w:color="auto"/>
              <w:bottom w:val="single" w:sz="4" w:space="0" w:color="auto"/>
            </w:tcBorders>
            <w:noWrap/>
          </w:tcPr>
          <w:p w14:paraId="0C3F871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23"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single" w:sz="4" w:space="0" w:color="auto"/>
            </w:tcBorders>
            <w:noWrap/>
          </w:tcPr>
          <w:p w14:paraId="0C3F871D" w14:textId="77777777" w:rsidR="00935052" w:rsidRPr="000313CF" w:rsidRDefault="00935052" w:rsidP="000313CF">
            <w:pPr>
              <w:spacing w:before="0" w:after="0"/>
              <w:rPr>
                <w:rStyle w:val="BookTitle"/>
              </w:rPr>
            </w:pPr>
            <w:r w:rsidRPr="000313CF">
              <w:rPr>
                <w:rStyle w:val="BookTitle"/>
              </w:rPr>
              <w:t>TSS</w:t>
            </w:r>
          </w:p>
        </w:tc>
        <w:tc>
          <w:tcPr>
            <w:tcW w:w="930" w:type="pct"/>
            <w:tcBorders>
              <w:top w:val="single" w:sz="4" w:space="0" w:color="auto"/>
            </w:tcBorders>
            <w:noWrap/>
          </w:tcPr>
          <w:p w14:paraId="0C3F871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15.00</w:t>
            </w:r>
          </w:p>
        </w:tc>
        <w:tc>
          <w:tcPr>
            <w:tcW w:w="607" w:type="pct"/>
            <w:tcBorders>
              <w:top w:val="single" w:sz="4" w:space="0" w:color="auto"/>
            </w:tcBorders>
            <w:noWrap/>
          </w:tcPr>
          <w:p w14:paraId="0C3F871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38.00</w:t>
            </w:r>
          </w:p>
        </w:tc>
        <w:tc>
          <w:tcPr>
            <w:tcW w:w="774" w:type="pct"/>
            <w:tcBorders>
              <w:top w:val="single" w:sz="4" w:space="0" w:color="auto"/>
            </w:tcBorders>
            <w:noWrap/>
          </w:tcPr>
          <w:p w14:paraId="0C3F872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348.00</w:t>
            </w:r>
          </w:p>
        </w:tc>
        <w:tc>
          <w:tcPr>
            <w:tcW w:w="718" w:type="pct"/>
            <w:tcBorders>
              <w:top w:val="single" w:sz="4" w:space="0" w:color="auto"/>
              <w:bottom w:val="nil"/>
              <w:right w:val="single" w:sz="4" w:space="0" w:color="auto"/>
            </w:tcBorders>
            <w:noWrap/>
          </w:tcPr>
          <w:p w14:paraId="0C3F872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430.00</w:t>
            </w:r>
          </w:p>
        </w:tc>
        <w:tc>
          <w:tcPr>
            <w:tcW w:w="896" w:type="pct"/>
            <w:gridSpan w:val="2"/>
            <w:tcBorders>
              <w:top w:val="single" w:sz="4" w:space="0" w:color="auto"/>
              <w:left w:val="single" w:sz="4" w:space="0" w:color="auto"/>
            </w:tcBorders>
            <w:noWrap/>
          </w:tcPr>
          <w:p w14:paraId="0C3F872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2A"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24" w14:textId="77777777" w:rsidR="00935052" w:rsidRPr="000313CF" w:rsidRDefault="00935052" w:rsidP="000313CF">
            <w:pPr>
              <w:spacing w:before="0" w:after="0"/>
              <w:rPr>
                <w:rStyle w:val="BookTitle"/>
              </w:rPr>
            </w:pPr>
            <w:r w:rsidRPr="000313CF">
              <w:rPr>
                <w:rStyle w:val="BookTitle"/>
              </w:rPr>
              <w:t>Chl-a</w:t>
            </w:r>
          </w:p>
        </w:tc>
        <w:tc>
          <w:tcPr>
            <w:tcW w:w="930" w:type="pct"/>
            <w:noWrap/>
          </w:tcPr>
          <w:p w14:paraId="0C3F872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1.60</w:t>
            </w:r>
          </w:p>
        </w:tc>
        <w:tc>
          <w:tcPr>
            <w:tcW w:w="607" w:type="pct"/>
            <w:noWrap/>
          </w:tcPr>
          <w:p w14:paraId="0C3F872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9.74</w:t>
            </w:r>
          </w:p>
        </w:tc>
        <w:tc>
          <w:tcPr>
            <w:tcW w:w="774" w:type="pct"/>
            <w:noWrap/>
          </w:tcPr>
          <w:p w14:paraId="0C3F872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13.78</w:t>
            </w:r>
          </w:p>
        </w:tc>
        <w:tc>
          <w:tcPr>
            <w:tcW w:w="718" w:type="pct"/>
            <w:tcBorders>
              <w:top w:val="nil"/>
              <w:bottom w:val="nil"/>
              <w:right w:val="single" w:sz="4" w:space="0" w:color="auto"/>
            </w:tcBorders>
            <w:noWrap/>
          </w:tcPr>
          <w:p w14:paraId="0C3F872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26.70</w:t>
            </w:r>
          </w:p>
        </w:tc>
        <w:tc>
          <w:tcPr>
            <w:tcW w:w="896" w:type="pct"/>
            <w:gridSpan w:val="2"/>
            <w:tcBorders>
              <w:left w:val="single" w:sz="4" w:space="0" w:color="auto"/>
            </w:tcBorders>
            <w:noWrap/>
          </w:tcPr>
          <w:p w14:paraId="0C3F872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31"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2B" w14:textId="77777777" w:rsidR="00935052" w:rsidRPr="000313CF" w:rsidRDefault="00935052" w:rsidP="000313CF">
            <w:pPr>
              <w:spacing w:before="0" w:after="0"/>
              <w:rPr>
                <w:rStyle w:val="BookTitle"/>
              </w:rPr>
            </w:pPr>
            <w:r w:rsidRPr="000313CF">
              <w:rPr>
                <w:rStyle w:val="BookTitle"/>
              </w:rPr>
              <w:t>TN</w:t>
            </w:r>
          </w:p>
        </w:tc>
        <w:tc>
          <w:tcPr>
            <w:tcW w:w="930" w:type="pct"/>
            <w:noWrap/>
          </w:tcPr>
          <w:p w14:paraId="0C3F872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19.92</w:t>
            </w:r>
          </w:p>
        </w:tc>
        <w:tc>
          <w:tcPr>
            <w:tcW w:w="607" w:type="pct"/>
            <w:noWrap/>
          </w:tcPr>
          <w:p w14:paraId="0C3F872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56.40</w:t>
            </w:r>
          </w:p>
        </w:tc>
        <w:tc>
          <w:tcPr>
            <w:tcW w:w="774" w:type="pct"/>
            <w:noWrap/>
          </w:tcPr>
          <w:p w14:paraId="0C3F872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127.36</w:t>
            </w:r>
          </w:p>
        </w:tc>
        <w:tc>
          <w:tcPr>
            <w:tcW w:w="718" w:type="pct"/>
            <w:tcBorders>
              <w:top w:val="nil"/>
              <w:bottom w:val="nil"/>
              <w:right w:val="single" w:sz="4" w:space="0" w:color="auto"/>
            </w:tcBorders>
            <w:noWrap/>
          </w:tcPr>
          <w:p w14:paraId="0C3F872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56.90</w:t>
            </w:r>
          </w:p>
        </w:tc>
        <w:tc>
          <w:tcPr>
            <w:tcW w:w="896" w:type="pct"/>
            <w:gridSpan w:val="2"/>
            <w:tcBorders>
              <w:left w:val="single" w:sz="4" w:space="0" w:color="auto"/>
            </w:tcBorders>
            <w:noWrap/>
          </w:tcPr>
          <w:p w14:paraId="0C3F873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38"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32" w14:textId="77777777" w:rsidR="00935052" w:rsidRPr="000313CF" w:rsidRDefault="00935052" w:rsidP="000313CF">
            <w:pPr>
              <w:spacing w:before="0" w:after="0"/>
              <w:rPr>
                <w:rStyle w:val="BookTitle"/>
              </w:rPr>
            </w:pPr>
            <w:r w:rsidRPr="000313CF">
              <w:rPr>
                <w:rStyle w:val="BookTitle"/>
              </w:rPr>
              <w:t>TP</w:t>
            </w:r>
          </w:p>
        </w:tc>
        <w:tc>
          <w:tcPr>
            <w:tcW w:w="930" w:type="pct"/>
            <w:noWrap/>
          </w:tcPr>
          <w:p w14:paraId="0C3F873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0.77</w:t>
            </w:r>
          </w:p>
        </w:tc>
        <w:tc>
          <w:tcPr>
            <w:tcW w:w="607" w:type="pct"/>
            <w:noWrap/>
          </w:tcPr>
          <w:p w14:paraId="0C3F873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2.68</w:t>
            </w:r>
          </w:p>
        </w:tc>
        <w:tc>
          <w:tcPr>
            <w:tcW w:w="774" w:type="pct"/>
            <w:noWrap/>
          </w:tcPr>
          <w:p w14:paraId="0C3F873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10.25</w:t>
            </w:r>
          </w:p>
        </w:tc>
        <w:tc>
          <w:tcPr>
            <w:tcW w:w="718" w:type="pct"/>
            <w:tcBorders>
              <w:top w:val="nil"/>
              <w:bottom w:val="nil"/>
              <w:right w:val="single" w:sz="4" w:space="0" w:color="auto"/>
            </w:tcBorders>
            <w:noWrap/>
          </w:tcPr>
          <w:p w14:paraId="0C3F873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5.65</w:t>
            </w:r>
          </w:p>
        </w:tc>
        <w:tc>
          <w:tcPr>
            <w:tcW w:w="896" w:type="pct"/>
            <w:gridSpan w:val="2"/>
            <w:tcBorders>
              <w:left w:val="single" w:sz="4" w:space="0" w:color="auto"/>
            </w:tcBorders>
            <w:noWrap/>
          </w:tcPr>
          <w:p w14:paraId="0C3F873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3F"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39" w14:textId="77777777" w:rsidR="00935052" w:rsidRPr="000313CF" w:rsidRDefault="00935052" w:rsidP="000313CF">
            <w:pPr>
              <w:spacing w:before="0" w:after="0"/>
              <w:rPr>
                <w:rStyle w:val="BookTitle"/>
              </w:rPr>
            </w:pPr>
            <w:r w:rsidRPr="000313CF">
              <w:rPr>
                <w:rStyle w:val="BookTitle"/>
              </w:rPr>
              <w:t>DIN</w:t>
            </w:r>
          </w:p>
        </w:tc>
        <w:tc>
          <w:tcPr>
            <w:tcW w:w="930" w:type="pct"/>
            <w:noWrap/>
          </w:tcPr>
          <w:p w14:paraId="0C3F873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5.57</w:t>
            </w:r>
          </w:p>
        </w:tc>
        <w:tc>
          <w:tcPr>
            <w:tcW w:w="607" w:type="pct"/>
            <w:noWrap/>
          </w:tcPr>
          <w:p w14:paraId="0C3F873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26.34</w:t>
            </w:r>
          </w:p>
        </w:tc>
        <w:tc>
          <w:tcPr>
            <w:tcW w:w="774" w:type="pct"/>
            <w:noWrap/>
          </w:tcPr>
          <w:p w14:paraId="0C3F873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23.20</w:t>
            </w:r>
          </w:p>
        </w:tc>
        <w:tc>
          <w:tcPr>
            <w:tcW w:w="718" w:type="pct"/>
            <w:tcBorders>
              <w:top w:val="nil"/>
              <w:bottom w:val="nil"/>
              <w:right w:val="single" w:sz="4" w:space="0" w:color="auto"/>
            </w:tcBorders>
            <w:noWrap/>
          </w:tcPr>
          <w:p w14:paraId="0C3F873D"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13.99</w:t>
            </w:r>
          </w:p>
        </w:tc>
        <w:tc>
          <w:tcPr>
            <w:tcW w:w="896" w:type="pct"/>
            <w:gridSpan w:val="2"/>
            <w:tcBorders>
              <w:left w:val="single" w:sz="4" w:space="0" w:color="auto"/>
            </w:tcBorders>
            <w:noWrap/>
          </w:tcPr>
          <w:p w14:paraId="0C3F873E"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46"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40" w14:textId="77777777" w:rsidR="00935052" w:rsidRPr="000313CF" w:rsidRDefault="00935052" w:rsidP="000313CF">
            <w:pPr>
              <w:spacing w:before="0" w:after="0"/>
              <w:rPr>
                <w:rStyle w:val="BookTitle"/>
              </w:rPr>
            </w:pPr>
            <w:r w:rsidRPr="000313CF">
              <w:rPr>
                <w:rStyle w:val="BookTitle"/>
              </w:rPr>
              <w:t>DIP</w:t>
            </w:r>
          </w:p>
        </w:tc>
        <w:tc>
          <w:tcPr>
            <w:tcW w:w="930" w:type="pct"/>
            <w:noWrap/>
          </w:tcPr>
          <w:p w14:paraId="0C3F874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0.58</w:t>
            </w:r>
          </w:p>
        </w:tc>
        <w:tc>
          <w:tcPr>
            <w:tcW w:w="607" w:type="pct"/>
            <w:noWrap/>
          </w:tcPr>
          <w:p w14:paraId="0C3F874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0.71</w:t>
            </w:r>
          </w:p>
        </w:tc>
        <w:tc>
          <w:tcPr>
            <w:tcW w:w="774" w:type="pct"/>
            <w:noWrap/>
          </w:tcPr>
          <w:p w14:paraId="0C3F874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3.07</w:t>
            </w:r>
          </w:p>
        </w:tc>
        <w:tc>
          <w:tcPr>
            <w:tcW w:w="718" w:type="pct"/>
            <w:tcBorders>
              <w:top w:val="nil"/>
              <w:bottom w:val="nil"/>
              <w:right w:val="single" w:sz="4" w:space="0" w:color="auto"/>
            </w:tcBorders>
            <w:noWrap/>
          </w:tcPr>
          <w:p w14:paraId="0C3F8744"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3.16</w:t>
            </w:r>
          </w:p>
        </w:tc>
        <w:tc>
          <w:tcPr>
            <w:tcW w:w="896" w:type="pct"/>
            <w:gridSpan w:val="2"/>
            <w:tcBorders>
              <w:left w:val="single" w:sz="4" w:space="0" w:color="auto"/>
            </w:tcBorders>
            <w:noWrap/>
          </w:tcPr>
          <w:p w14:paraId="0C3F8745"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4D" w14:textId="77777777" w:rsidTr="00935052">
        <w:trPr>
          <w:trHeight w:val="20"/>
        </w:trPr>
        <w:tc>
          <w:tcPr>
            <w:cnfStyle w:val="001000000000" w:firstRow="0" w:lastRow="0" w:firstColumn="1" w:lastColumn="0" w:oddVBand="0" w:evenVBand="0" w:oddHBand="0" w:evenHBand="0" w:firstRowFirstColumn="0" w:firstRowLastColumn="0" w:lastRowFirstColumn="0" w:lastRowLastColumn="0"/>
            <w:tcW w:w="1074" w:type="pct"/>
            <w:noWrap/>
          </w:tcPr>
          <w:p w14:paraId="0C3F8747" w14:textId="77777777" w:rsidR="00935052" w:rsidRPr="000313CF" w:rsidRDefault="00935052" w:rsidP="000313CF">
            <w:pPr>
              <w:spacing w:before="0" w:after="0"/>
              <w:rPr>
                <w:rStyle w:val="BookTitle"/>
              </w:rPr>
            </w:pPr>
            <w:r w:rsidRPr="000313CF">
              <w:rPr>
                <w:rStyle w:val="BookTitle"/>
              </w:rPr>
              <w:t>PN</w:t>
            </w:r>
          </w:p>
        </w:tc>
        <w:tc>
          <w:tcPr>
            <w:tcW w:w="930" w:type="pct"/>
            <w:noWrap/>
          </w:tcPr>
          <w:p w14:paraId="0C3F874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11.28</w:t>
            </w:r>
          </w:p>
        </w:tc>
        <w:tc>
          <w:tcPr>
            <w:tcW w:w="607" w:type="pct"/>
            <w:noWrap/>
          </w:tcPr>
          <w:p w14:paraId="0C3F874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26.70</w:t>
            </w:r>
          </w:p>
        </w:tc>
        <w:tc>
          <w:tcPr>
            <w:tcW w:w="774" w:type="pct"/>
            <w:noWrap/>
          </w:tcPr>
          <w:p w14:paraId="0C3F874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40.93</w:t>
            </w:r>
          </w:p>
        </w:tc>
        <w:tc>
          <w:tcPr>
            <w:tcW w:w="718" w:type="pct"/>
            <w:tcBorders>
              <w:top w:val="nil"/>
              <w:bottom w:val="nil"/>
              <w:right w:val="single" w:sz="4" w:space="0" w:color="auto"/>
            </w:tcBorders>
            <w:noWrap/>
          </w:tcPr>
          <w:p w14:paraId="0C3F874B"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26.13</w:t>
            </w:r>
          </w:p>
        </w:tc>
        <w:tc>
          <w:tcPr>
            <w:tcW w:w="896" w:type="pct"/>
            <w:gridSpan w:val="2"/>
            <w:tcBorders>
              <w:left w:val="single" w:sz="4" w:space="0" w:color="auto"/>
            </w:tcBorders>
            <w:noWrap/>
          </w:tcPr>
          <w:p w14:paraId="0C3F874C"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54"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bottom w:val="nil"/>
            </w:tcBorders>
            <w:noWrap/>
          </w:tcPr>
          <w:p w14:paraId="0C3F874E" w14:textId="77777777" w:rsidR="00935052" w:rsidRPr="000313CF" w:rsidRDefault="00935052" w:rsidP="000313CF">
            <w:pPr>
              <w:spacing w:before="0" w:after="0"/>
              <w:rPr>
                <w:rStyle w:val="BookTitle"/>
              </w:rPr>
            </w:pPr>
            <w:r w:rsidRPr="000313CF">
              <w:rPr>
                <w:rStyle w:val="BookTitle"/>
              </w:rPr>
              <w:t>PP</w:t>
            </w:r>
          </w:p>
        </w:tc>
        <w:tc>
          <w:tcPr>
            <w:tcW w:w="930" w:type="pct"/>
            <w:tcBorders>
              <w:bottom w:val="nil"/>
            </w:tcBorders>
            <w:noWrap/>
          </w:tcPr>
          <w:p w14:paraId="0C3F874F"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0.39</w:t>
            </w:r>
          </w:p>
        </w:tc>
        <w:tc>
          <w:tcPr>
            <w:tcW w:w="607" w:type="pct"/>
            <w:tcBorders>
              <w:bottom w:val="nil"/>
            </w:tcBorders>
            <w:noWrap/>
          </w:tcPr>
          <w:p w14:paraId="0C3F8750"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1.94</w:t>
            </w:r>
          </w:p>
        </w:tc>
        <w:tc>
          <w:tcPr>
            <w:tcW w:w="774" w:type="pct"/>
            <w:tcBorders>
              <w:bottom w:val="nil"/>
            </w:tcBorders>
            <w:noWrap/>
          </w:tcPr>
          <w:p w14:paraId="0C3F8751"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8.71</w:t>
            </w:r>
          </w:p>
        </w:tc>
        <w:tc>
          <w:tcPr>
            <w:tcW w:w="718" w:type="pct"/>
            <w:tcBorders>
              <w:top w:val="nil"/>
              <w:bottom w:val="nil"/>
              <w:right w:val="single" w:sz="4" w:space="0" w:color="auto"/>
            </w:tcBorders>
            <w:noWrap/>
          </w:tcPr>
          <w:p w14:paraId="0C3F8752"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5.23</w:t>
            </w:r>
          </w:p>
        </w:tc>
        <w:tc>
          <w:tcPr>
            <w:tcW w:w="896" w:type="pct"/>
            <w:gridSpan w:val="2"/>
            <w:tcBorders>
              <w:left w:val="single" w:sz="4" w:space="0" w:color="auto"/>
              <w:bottom w:val="nil"/>
            </w:tcBorders>
            <w:noWrap/>
          </w:tcPr>
          <w:p w14:paraId="0C3F8753"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r w:rsidR="00935052" w:rsidRPr="000313CF" w14:paraId="0C3F875B" w14:textId="77777777" w:rsidTr="005F304A">
        <w:trPr>
          <w:trHeight w:val="20"/>
        </w:trPr>
        <w:tc>
          <w:tcPr>
            <w:cnfStyle w:val="001000000000" w:firstRow="0" w:lastRow="0" w:firstColumn="1" w:lastColumn="0" w:oddVBand="0" w:evenVBand="0" w:oddHBand="0" w:evenHBand="0" w:firstRowFirstColumn="0" w:firstRowLastColumn="0" w:lastRowFirstColumn="0" w:lastRowLastColumn="0"/>
            <w:tcW w:w="1074" w:type="pct"/>
            <w:tcBorders>
              <w:top w:val="nil"/>
              <w:bottom w:val="single" w:sz="4" w:space="0" w:color="auto"/>
            </w:tcBorders>
            <w:noWrap/>
          </w:tcPr>
          <w:p w14:paraId="0C3F8755" w14:textId="77777777" w:rsidR="00935052" w:rsidRPr="000313CF" w:rsidRDefault="00935052" w:rsidP="000313CF">
            <w:pPr>
              <w:spacing w:before="0" w:after="0"/>
              <w:rPr>
                <w:rStyle w:val="BookTitle"/>
              </w:rPr>
            </w:pPr>
            <w:r w:rsidRPr="000313CF">
              <w:rPr>
                <w:rStyle w:val="BookTitle"/>
              </w:rPr>
              <w:t>Mean Count</w:t>
            </w:r>
          </w:p>
        </w:tc>
        <w:tc>
          <w:tcPr>
            <w:tcW w:w="930" w:type="pct"/>
            <w:tcBorders>
              <w:top w:val="nil"/>
              <w:bottom w:val="single" w:sz="4" w:space="0" w:color="auto"/>
            </w:tcBorders>
            <w:noWrap/>
          </w:tcPr>
          <w:p w14:paraId="0C3F8756"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23</w:t>
            </w:r>
          </w:p>
        </w:tc>
        <w:tc>
          <w:tcPr>
            <w:tcW w:w="607" w:type="pct"/>
            <w:tcBorders>
              <w:top w:val="nil"/>
              <w:bottom w:val="single" w:sz="4" w:space="0" w:color="auto"/>
            </w:tcBorders>
            <w:noWrap/>
          </w:tcPr>
          <w:p w14:paraId="0C3F8757"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370</w:t>
            </w:r>
          </w:p>
        </w:tc>
        <w:tc>
          <w:tcPr>
            <w:tcW w:w="774" w:type="pct"/>
            <w:tcBorders>
              <w:top w:val="nil"/>
              <w:bottom w:val="single" w:sz="4" w:space="0" w:color="auto"/>
            </w:tcBorders>
            <w:noWrap/>
          </w:tcPr>
          <w:p w14:paraId="0C3F8758"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175</w:t>
            </w:r>
          </w:p>
        </w:tc>
        <w:tc>
          <w:tcPr>
            <w:tcW w:w="718" w:type="pct"/>
            <w:tcBorders>
              <w:top w:val="nil"/>
              <w:bottom w:val="single" w:sz="4" w:space="0" w:color="auto"/>
              <w:right w:val="single" w:sz="4" w:space="0" w:color="auto"/>
            </w:tcBorders>
            <w:noWrap/>
          </w:tcPr>
          <w:p w14:paraId="0C3F8759"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r w:rsidRPr="000313CF">
              <w:rPr>
                <w:rStyle w:val="BookTitle"/>
              </w:rPr>
              <w:t>92</w:t>
            </w:r>
          </w:p>
        </w:tc>
        <w:tc>
          <w:tcPr>
            <w:tcW w:w="896" w:type="pct"/>
            <w:gridSpan w:val="2"/>
            <w:tcBorders>
              <w:top w:val="nil"/>
              <w:left w:val="single" w:sz="4" w:space="0" w:color="auto"/>
              <w:bottom w:val="single" w:sz="4" w:space="0" w:color="auto"/>
            </w:tcBorders>
            <w:noWrap/>
          </w:tcPr>
          <w:p w14:paraId="0C3F875A" w14:textId="77777777" w:rsidR="00935052" w:rsidRPr="000313CF" w:rsidRDefault="00935052" w:rsidP="000313CF">
            <w:pPr>
              <w:spacing w:before="0" w:after="0"/>
              <w:cnfStyle w:val="000000000000" w:firstRow="0" w:lastRow="0" w:firstColumn="0" w:lastColumn="0" w:oddVBand="0" w:evenVBand="0" w:oddHBand="0" w:evenHBand="0" w:firstRowFirstColumn="0" w:firstRowLastColumn="0" w:lastRowFirstColumn="0" w:lastRowLastColumn="0"/>
              <w:rPr>
                <w:rStyle w:val="BookTitle"/>
              </w:rPr>
            </w:pPr>
          </w:p>
        </w:tc>
      </w:tr>
    </w:tbl>
    <w:p w14:paraId="0C3F875C" w14:textId="77777777" w:rsidR="0015270F" w:rsidRDefault="0015270F" w:rsidP="0015270F"/>
    <w:p w14:paraId="0C3F875D" w14:textId="77777777" w:rsidR="00935052" w:rsidRDefault="00935052" w:rsidP="0015270F">
      <w:r w:rsidRPr="002827F5">
        <w:t>Highest concentrations of TSS, PN and PP were measured off both Burdekin and Fitzroy, reflecting the large area of grazing land and the movement of fine sediment through the river plumes (Bainbridge et al., 2014). High DIP measurements recorded for Burdekin and Fitzroy indicate desorption processes releasing DIP from high PP concentrations. Chl</w:t>
      </w:r>
      <w:r>
        <w:t>orophyll</w:t>
      </w:r>
      <w:r w:rsidRPr="002827F5">
        <w:t xml:space="preserve">-a is more varied, with the maximum values measured off the Dry Tropics, with the high mean values skewed by a small number of high values. </w:t>
      </w:r>
      <w:r>
        <w:t>Chlorophyll</w:t>
      </w:r>
      <w:r w:rsidRPr="002827F5">
        <w:t>-a collected off the Tully and Franklin Islands have lower maxima, but comparable mean values indicating</w:t>
      </w:r>
      <w:r>
        <w:t xml:space="preserve"> that the range of concentrations are less skewed and consistently elevated.</w:t>
      </w:r>
    </w:p>
    <w:p w14:paraId="0C3F875E" w14:textId="77777777" w:rsidR="0015270F" w:rsidRDefault="000313CF" w:rsidP="0015270F">
      <w:r>
        <w:t>T</w:t>
      </w:r>
      <w:r w:rsidR="0015270F">
        <w:t xml:space="preserve">he </w:t>
      </w:r>
      <w:r w:rsidR="0015270F" w:rsidRPr="0089419E">
        <w:t xml:space="preserve">Spearman’s </w:t>
      </w:r>
      <w:r w:rsidR="0015270F">
        <w:t xml:space="preserve">rank </w:t>
      </w:r>
      <w:r w:rsidR="0015270F" w:rsidRPr="0089419E">
        <w:t>correlation coefficients</w:t>
      </w:r>
      <w:r w:rsidR="0015270F">
        <w:t xml:space="preserve"> were computed (Table. </w:t>
      </w:r>
      <w:r w:rsidR="00330E11">
        <w:t>4-10</w:t>
      </w:r>
      <w:r w:rsidR="0015270F">
        <w:t>) for each river</w:t>
      </w:r>
      <w:r>
        <w:t xml:space="preserve"> representing the significance of the correlation between the water quality </w:t>
      </w:r>
      <w:r w:rsidR="002827F5">
        <w:t>parameters</w:t>
      </w:r>
      <w:r>
        <w:t xml:space="preserve"> and the </w:t>
      </w:r>
      <w:r w:rsidR="00330E11" w:rsidRPr="00330E11">
        <w:t xml:space="preserve">adjacent </w:t>
      </w:r>
      <w:r w:rsidRPr="00330E11">
        <w:t>river discharge</w:t>
      </w:r>
      <w:r w:rsidR="0015270F" w:rsidRPr="00330E11">
        <w:t>. The</w:t>
      </w:r>
      <w:r w:rsidR="0015270F">
        <w:t xml:space="preserve"> Tully has several WQ parameters correlating significantly with river discharge, including TSS, TP, DIN, DIP and PP. For Franklins, TN, DIN and PN were significantly correlated with discharge. The dissolved nutrients were not significant for the Burdekin, but TN, TP, PN and PP all correlated strongly. The Fitzroy river discharge correlates with all the nitrogen species, including TN, DIN and PN</w:t>
      </w:r>
      <w:r w:rsidR="00C479AE">
        <w:t>.</w:t>
      </w:r>
    </w:p>
    <w:p w14:paraId="0C3F875F" w14:textId="77777777" w:rsidR="0015270F" w:rsidRDefault="0015270F" w:rsidP="000313CF">
      <w:pPr>
        <w:pStyle w:val="Caption"/>
      </w:pPr>
      <w:bookmarkStart w:id="135" w:name="_Toc434208077"/>
      <w:r>
        <w:t xml:space="preserve">Table </w:t>
      </w:r>
      <w:r w:rsidR="00AE4287">
        <w:fldChar w:fldCharType="begin"/>
      </w:r>
      <w:r w:rsidR="00AE4287">
        <w:instrText xml:space="preserve"> STYLEREF 1 \s </w:instrText>
      </w:r>
      <w:r w:rsidR="00AE4287">
        <w:fldChar w:fldCharType="separate"/>
      </w:r>
      <w:r w:rsidR="00B62B50">
        <w:rPr>
          <w:noProof/>
        </w:rPr>
        <w:t>4</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10</w:t>
      </w:r>
      <w:r w:rsidR="00AE4287">
        <w:fldChar w:fldCharType="end"/>
      </w:r>
      <w:r>
        <w:t xml:space="preserve">: </w:t>
      </w:r>
      <w:r w:rsidRPr="0089419E">
        <w:t xml:space="preserve">Spearman’s </w:t>
      </w:r>
      <w:r>
        <w:t xml:space="preserve">rank </w:t>
      </w:r>
      <w:r w:rsidRPr="0089419E">
        <w:t xml:space="preserve">correlation coefficients </w:t>
      </w:r>
      <w:r>
        <w:t xml:space="preserve">form the four most frequent sampled transects over the GRB wide in the last 8 wet seasons. Values stand for correlation coefficient between the total wet season river </w:t>
      </w:r>
      <w:r w:rsidR="00362A9F">
        <w:t>discharge and</w:t>
      </w:r>
      <w:r>
        <w:t xml:space="preserve"> the WQ parameters: </w:t>
      </w:r>
      <w:r w:rsidR="000313CF">
        <w:t xml:space="preserve">include TSS, </w:t>
      </w:r>
      <w:r w:rsidR="00A822AD">
        <w:t>chl</w:t>
      </w:r>
      <w:r w:rsidR="000313CF">
        <w:t>-a TN, TP, DIN, DIP, PN, PP.</w:t>
      </w:r>
      <w:r>
        <w:t xml:space="preserve"> Highlighted values </w:t>
      </w:r>
      <w:r w:rsidRPr="0089419E">
        <w:t>are significa</w:t>
      </w:r>
      <w:r w:rsidR="00362A9F">
        <w:t>nt</w:t>
      </w:r>
      <w:r w:rsidRPr="0089419E">
        <w:t xml:space="preserve"> at p &lt; 0.01</w:t>
      </w:r>
      <w:r>
        <w:t>.</w:t>
      </w:r>
      <w:bookmarkEnd w:id="135"/>
    </w:p>
    <w:p w14:paraId="0C3F8760" w14:textId="77777777" w:rsidR="0015270F" w:rsidRDefault="0015270F" w:rsidP="0015270F"/>
    <w:tbl>
      <w:tblPr>
        <w:tblW w:w="0" w:type="auto"/>
        <w:jc w:val="center"/>
        <w:tblInd w:w="93" w:type="dxa"/>
        <w:tblLook w:val="04A0" w:firstRow="1" w:lastRow="0" w:firstColumn="1" w:lastColumn="0" w:noHBand="0" w:noVBand="1"/>
      </w:tblPr>
      <w:tblGrid>
        <w:gridCol w:w="550"/>
        <w:gridCol w:w="1028"/>
        <w:gridCol w:w="656"/>
        <w:gridCol w:w="1012"/>
        <w:gridCol w:w="828"/>
      </w:tblGrid>
      <w:tr w:rsidR="0015270F" w:rsidRPr="000313CF" w14:paraId="0C3F8766" w14:textId="77777777" w:rsidTr="0015270F">
        <w:trPr>
          <w:trHeight w:val="20"/>
          <w:jc w:val="center"/>
        </w:trPr>
        <w:tc>
          <w:tcPr>
            <w:tcW w:w="0" w:type="auto"/>
            <w:tcBorders>
              <w:top w:val="single" w:sz="4" w:space="0" w:color="auto"/>
              <w:left w:val="nil"/>
              <w:bottom w:val="single" w:sz="4" w:space="0" w:color="auto"/>
              <w:right w:val="nil"/>
            </w:tcBorders>
            <w:shd w:val="clear" w:color="auto" w:fill="auto"/>
            <w:noWrap/>
            <w:vAlign w:val="bottom"/>
            <w:hideMark/>
          </w:tcPr>
          <w:p w14:paraId="0C3F8761" w14:textId="77777777" w:rsidR="0015270F" w:rsidRPr="000313CF" w:rsidRDefault="0015270F" w:rsidP="000313CF">
            <w:pPr>
              <w:spacing w:before="0" w:after="0"/>
              <w:rPr>
                <w:rStyle w:val="BookTitle"/>
              </w:rPr>
            </w:pPr>
          </w:p>
        </w:tc>
        <w:tc>
          <w:tcPr>
            <w:tcW w:w="0" w:type="auto"/>
            <w:tcBorders>
              <w:top w:val="single" w:sz="4" w:space="0" w:color="auto"/>
              <w:left w:val="nil"/>
              <w:bottom w:val="single" w:sz="4" w:space="0" w:color="auto"/>
              <w:right w:val="nil"/>
            </w:tcBorders>
            <w:shd w:val="clear" w:color="auto" w:fill="auto"/>
            <w:noWrap/>
            <w:vAlign w:val="bottom"/>
            <w:hideMark/>
          </w:tcPr>
          <w:p w14:paraId="0C3F8762" w14:textId="77777777" w:rsidR="0015270F" w:rsidRPr="000313CF" w:rsidRDefault="0015270F" w:rsidP="000313CF">
            <w:pPr>
              <w:spacing w:before="0" w:after="0"/>
              <w:rPr>
                <w:rStyle w:val="BookTitle"/>
              </w:rPr>
            </w:pPr>
            <w:r w:rsidRPr="000313CF">
              <w:rPr>
                <w:rStyle w:val="BookTitle"/>
              </w:rPr>
              <w:t>Franklins</w:t>
            </w:r>
          </w:p>
        </w:tc>
        <w:tc>
          <w:tcPr>
            <w:tcW w:w="0" w:type="auto"/>
            <w:tcBorders>
              <w:top w:val="single" w:sz="4" w:space="0" w:color="auto"/>
              <w:left w:val="nil"/>
              <w:bottom w:val="single" w:sz="4" w:space="0" w:color="auto"/>
              <w:right w:val="nil"/>
            </w:tcBorders>
            <w:shd w:val="clear" w:color="auto" w:fill="auto"/>
            <w:noWrap/>
            <w:vAlign w:val="bottom"/>
            <w:hideMark/>
          </w:tcPr>
          <w:p w14:paraId="0C3F8763" w14:textId="77777777" w:rsidR="0015270F" w:rsidRPr="000313CF" w:rsidRDefault="0015270F" w:rsidP="000313CF">
            <w:pPr>
              <w:spacing w:before="0" w:after="0"/>
              <w:rPr>
                <w:rStyle w:val="BookTitle"/>
              </w:rPr>
            </w:pPr>
            <w:r w:rsidRPr="000313CF">
              <w:rPr>
                <w:rStyle w:val="BookTitle"/>
              </w:rPr>
              <w:t>Tully</w:t>
            </w:r>
          </w:p>
        </w:tc>
        <w:tc>
          <w:tcPr>
            <w:tcW w:w="0" w:type="auto"/>
            <w:tcBorders>
              <w:top w:val="single" w:sz="4" w:space="0" w:color="auto"/>
              <w:left w:val="nil"/>
              <w:bottom w:val="single" w:sz="4" w:space="0" w:color="auto"/>
              <w:right w:val="nil"/>
            </w:tcBorders>
            <w:shd w:val="clear" w:color="auto" w:fill="auto"/>
            <w:noWrap/>
            <w:vAlign w:val="bottom"/>
            <w:hideMark/>
          </w:tcPr>
          <w:p w14:paraId="0C3F8764" w14:textId="77777777" w:rsidR="0015270F" w:rsidRPr="000313CF" w:rsidRDefault="0015270F" w:rsidP="000313CF">
            <w:pPr>
              <w:spacing w:before="0" w:after="0"/>
              <w:rPr>
                <w:rStyle w:val="BookTitle"/>
              </w:rPr>
            </w:pPr>
            <w:r w:rsidRPr="000313CF">
              <w:rPr>
                <w:rStyle w:val="BookTitle"/>
              </w:rPr>
              <w:t>Burdekin</w:t>
            </w:r>
          </w:p>
        </w:tc>
        <w:tc>
          <w:tcPr>
            <w:tcW w:w="0" w:type="auto"/>
            <w:tcBorders>
              <w:top w:val="single" w:sz="4" w:space="0" w:color="auto"/>
              <w:left w:val="nil"/>
              <w:bottom w:val="single" w:sz="4" w:space="0" w:color="auto"/>
              <w:right w:val="nil"/>
            </w:tcBorders>
            <w:shd w:val="clear" w:color="auto" w:fill="auto"/>
            <w:noWrap/>
            <w:vAlign w:val="bottom"/>
            <w:hideMark/>
          </w:tcPr>
          <w:p w14:paraId="0C3F8765" w14:textId="77777777" w:rsidR="0015270F" w:rsidRPr="000313CF" w:rsidRDefault="0015270F" w:rsidP="000313CF">
            <w:pPr>
              <w:spacing w:before="0" w:after="0"/>
              <w:rPr>
                <w:rStyle w:val="BookTitle"/>
              </w:rPr>
            </w:pPr>
            <w:r w:rsidRPr="000313CF">
              <w:rPr>
                <w:rStyle w:val="BookTitle"/>
              </w:rPr>
              <w:t>Fitzroy</w:t>
            </w:r>
          </w:p>
        </w:tc>
      </w:tr>
      <w:tr w:rsidR="0015270F" w:rsidRPr="000313CF" w14:paraId="0C3F876C" w14:textId="77777777" w:rsidTr="0015270F">
        <w:trPr>
          <w:trHeight w:val="20"/>
          <w:jc w:val="center"/>
        </w:trPr>
        <w:tc>
          <w:tcPr>
            <w:tcW w:w="0" w:type="auto"/>
            <w:tcBorders>
              <w:top w:val="single" w:sz="4" w:space="0" w:color="auto"/>
              <w:left w:val="nil"/>
              <w:bottom w:val="nil"/>
              <w:right w:val="nil"/>
            </w:tcBorders>
            <w:shd w:val="clear" w:color="auto" w:fill="auto"/>
            <w:noWrap/>
            <w:vAlign w:val="bottom"/>
            <w:hideMark/>
          </w:tcPr>
          <w:p w14:paraId="0C3F8767" w14:textId="77777777" w:rsidR="0015270F" w:rsidRPr="000313CF" w:rsidRDefault="0015270F" w:rsidP="000313CF">
            <w:pPr>
              <w:spacing w:before="0" w:after="0"/>
              <w:rPr>
                <w:rStyle w:val="BookTitle"/>
              </w:rPr>
            </w:pPr>
            <w:r w:rsidRPr="000313CF">
              <w:rPr>
                <w:rStyle w:val="BookTitle"/>
              </w:rPr>
              <w:t>TSS</w:t>
            </w:r>
          </w:p>
        </w:tc>
        <w:tc>
          <w:tcPr>
            <w:tcW w:w="0" w:type="auto"/>
            <w:tcBorders>
              <w:top w:val="single" w:sz="4" w:space="0" w:color="auto"/>
              <w:left w:val="nil"/>
              <w:bottom w:val="nil"/>
              <w:right w:val="nil"/>
            </w:tcBorders>
            <w:shd w:val="clear" w:color="auto" w:fill="auto"/>
            <w:noWrap/>
            <w:vAlign w:val="bottom"/>
            <w:hideMark/>
          </w:tcPr>
          <w:p w14:paraId="0C3F8768" w14:textId="77777777" w:rsidR="0015270F" w:rsidRPr="000313CF" w:rsidRDefault="0015270F" w:rsidP="000313CF">
            <w:pPr>
              <w:spacing w:before="0" w:after="0"/>
              <w:rPr>
                <w:rStyle w:val="BookTitle"/>
              </w:rPr>
            </w:pPr>
            <w:r w:rsidRPr="000313CF">
              <w:rPr>
                <w:rStyle w:val="BookTitle"/>
              </w:rPr>
              <w:t>-0.56</w:t>
            </w:r>
          </w:p>
        </w:tc>
        <w:tc>
          <w:tcPr>
            <w:tcW w:w="0" w:type="auto"/>
            <w:tcBorders>
              <w:top w:val="single" w:sz="4" w:space="0" w:color="auto"/>
              <w:left w:val="nil"/>
              <w:bottom w:val="nil"/>
              <w:right w:val="nil"/>
            </w:tcBorders>
            <w:shd w:val="clear" w:color="auto" w:fill="auto"/>
            <w:noWrap/>
            <w:vAlign w:val="bottom"/>
            <w:hideMark/>
          </w:tcPr>
          <w:p w14:paraId="0C3F8769" w14:textId="77777777" w:rsidR="0015270F" w:rsidRPr="000313CF" w:rsidRDefault="0015270F" w:rsidP="000313CF">
            <w:pPr>
              <w:spacing w:before="0" w:after="0"/>
              <w:rPr>
                <w:rStyle w:val="BookTitle"/>
              </w:rPr>
            </w:pPr>
            <w:r w:rsidRPr="000313CF">
              <w:rPr>
                <w:rStyle w:val="BookTitle"/>
              </w:rPr>
              <w:t>-0.29</w:t>
            </w:r>
          </w:p>
        </w:tc>
        <w:tc>
          <w:tcPr>
            <w:tcW w:w="0" w:type="auto"/>
            <w:tcBorders>
              <w:top w:val="single" w:sz="4" w:space="0" w:color="auto"/>
              <w:left w:val="nil"/>
              <w:bottom w:val="nil"/>
              <w:right w:val="nil"/>
            </w:tcBorders>
            <w:shd w:val="clear" w:color="auto" w:fill="auto"/>
            <w:noWrap/>
            <w:vAlign w:val="bottom"/>
            <w:hideMark/>
          </w:tcPr>
          <w:p w14:paraId="0C3F876A" w14:textId="77777777" w:rsidR="0015270F" w:rsidRPr="000313CF" w:rsidRDefault="0015270F" w:rsidP="000313CF">
            <w:pPr>
              <w:spacing w:before="0" w:after="0"/>
              <w:rPr>
                <w:rStyle w:val="BookTitle"/>
              </w:rPr>
            </w:pPr>
            <w:r w:rsidRPr="000313CF">
              <w:rPr>
                <w:rStyle w:val="BookTitle"/>
              </w:rPr>
              <w:t>0.05</w:t>
            </w:r>
          </w:p>
        </w:tc>
        <w:tc>
          <w:tcPr>
            <w:tcW w:w="0" w:type="auto"/>
            <w:tcBorders>
              <w:top w:val="single" w:sz="4" w:space="0" w:color="auto"/>
              <w:left w:val="nil"/>
              <w:bottom w:val="nil"/>
              <w:right w:val="nil"/>
            </w:tcBorders>
            <w:shd w:val="clear" w:color="auto" w:fill="auto"/>
            <w:noWrap/>
            <w:vAlign w:val="bottom"/>
            <w:hideMark/>
          </w:tcPr>
          <w:p w14:paraId="0C3F876B" w14:textId="77777777" w:rsidR="0015270F" w:rsidRPr="000313CF" w:rsidRDefault="0015270F" w:rsidP="000313CF">
            <w:pPr>
              <w:spacing w:before="0" w:after="0"/>
              <w:rPr>
                <w:rStyle w:val="BookTitle"/>
              </w:rPr>
            </w:pPr>
            <w:r w:rsidRPr="000313CF">
              <w:rPr>
                <w:rStyle w:val="BookTitle"/>
              </w:rPr>
              <w:t>-0.07</w:t>
            </w:r>
          </w:p>
        </w:tc>
      </w:tr>
      <w:tr w:rsidR="0015270F" w:rsidRPr="000313CF" w14:paraId="0C3F8772" w14:textId="77777777" w:rsidTr="0015270F">
        <w:trPr>
          <w:trHeight w:val="20"/>
          <w:jc w:val="center"/>
        </w:trPr>
        <w:tc>
          <w:tcPr>
            <w:tcW w:w="0" w:type="auto"/>
            <w:tcBorders>
              <w:top w:val="nil"/>
              <w:left w:val="nil"/>
              <w:bottom w:val="nil"/>
              <w:right w:val="nil"/>
            </w:tcBorders>
            <w:shd w:val="clear" w:color="auto" w:fill="auto"/>
            <w:noWrap/>
            <w:vAlign w:val="bottom"/>
            <w:hideMark/>
          </w:tcPr>
          <w:p w14:paraId="0C3F876D" w14:textId="77777777" w:rsidR="0015270F" w:rsidRPr="000313CF" w:rsidRDefault="0015270F" w:rsidP="000313CF">
            <w:pPr>
              <w:spacing w:before="0" w:after="0"/>
              <w:rPr>
                <w:rStyle w:val="BookTitle"/>
              </w:rPr>
            </w:pPr>
            <w:r w:rsidRPr="000313CF">
              <w:rPr>
                <w:rStyle w:val="BookTitle"/>
              </w:rPr>
              <w:t>chl</w:t>
            </w:r>
          </w:p>
        </w:tc>
        <w:tc>
          <w:tcPr>
            <w:tcW w:w="0" w:type="auto"/>
            <w:tcBorders>
              <w:top w:val="nil"/>
              <w:left w:val="nil"/>
              <w:bottom w:val="nil"/>
              <w:right w:val="nil"/>
            </w:tcBorders>
            <w:shd w:val="clear" w:color="auto" w:fill="auto"/>
            <w:noWrap/>
            <w:vAlign w:val="bottom"/>
            <w:hideMark/>
          </w:tcPr>
          <w:p w14:paraId="0C3F876E" w14:textId="77777777" w:rsidR="0015270F" w:rsidRPr="000313CF" w:rsidRDefault="0015270F" w:rsidP="000313CF">
            <w:pPr>
              <w:spacing w:before="0" w:after="0"/>
              <w:rPr>
                <w:rStyle w:val="BookTitle"/>
              </w:rPr>
            </w:pPr>
            <w:r w:rsidRPr="000313CF">
              <w:rPr>
                <w:rStyle w:val="BookTitle"/>
              </w:rPr>
              <w:t>0.71</w:t>
            </w:r>
          </w:p>
        </w:tc>
        <w:tc>
          <w:tcPr>
            <w:tcW w:w="0" w:type="auto"/>
            <w:tcBorders>
              <w:top w:val="nil"/>
              <w:left w:val="nil"/>
              <w:bottom w:val="nil"/>
              <w:right w:val="nil"/>
            </w:tcBorders>
            <w:shd w:val="clear" w:color="auto" w:fill="auto"/>
            <w:noWrap/>
            <w:vAlign w:val="bottom"/>
            <w:hideMark/>
          </w:tcPr>
          <w:p w14:paraId="0C3F876F" w14:textId="77777777" w:rsidR="0015270F" w:rsidRPr="000313CF" w:rsidRDefault="0015270F" w:rsidP="000313CF">
            <w:pPr>
              <w:spacing w:before="0" w:after="0"/>
              <w:rPr>
                <w:rStyle w:val="BookTitle"/>
              </w:rPr>
            </w:pPr>
            <w:r w:rsidRPr="000313CF">
              <w:rPr>
                <w:rStyle w:val="BookTitle"/>
              </w:rPr>
              <w:t>0.05</w:t>
            </w:r>
          </w:p>
        </w:tc>
        <w:tc>
          <w:tcPr>
            <w:tcW w:w="0" w:type="auto"/>
            <w:tcBorders>
              <w:top w:val="nil"/>
              <w:left w:val="nil"/>
              <w:bottom w:val="nil"/>
              <w:right w:val="nil"/>
            </w:tcBorders>
            <w:shd w:val="clear" w:color="auto" w:fill="auto"/>
            <w:noWrap/>
            <w:vAlign w:val="bottom"/>
            <w:hideMark/>
          </w:tcPr>
          <w:p w14:paraId="0C3F8770" w14:textId="77777777" w:rsidR="0015270F" w:rsidRPr="000313CF" w:rsidRDefault="0015270F" w:rsidP="000313CF">
            <w:pPr>
              <w:spacing w:before="0" w:after="0"/>
              <w:rPr>
                <w:rStyle w:val="BookTitle"/>
              </w:rPr>
            </w:pPr>
            <w:r w:rsidRPr="000313CF">
              <w:rPr>
                <w:rStyle w:val="BookTitle"/>
              </w:rPr>
              <w:t>0.17</w:t>
            </w:r>
          </w:p>
        </w:tc>
        <w:tc>
          <w:tcPr>
            <w:tcW w:w="0" w:type="auto"/>
            <w:tcBorders>
              <w:top w:val="nil"/>
              <w:left w:val="nil"/>
              <w:bottom w:val="nil"/>
              <w:right w:val="nil"/>
            </w:tcBorders>
            <w:shd w:val="clear" w:color="auto" w:fill="auto"/>
            <w:noWrap/>
            <w:vAlign w:val="bottom"/>
            <w:hideMark/>
          </w:tcPr>
          <w:p w14:paraId="0C3F8771" w14:textId="77777777" w:rsidR="0015270F" w:rsidRPr="000313CF" w:rsidRDefault="0015270F" w:rsidP="000313CF">
            <w:pPr>
              <w:spacing w:before="0" w:after="0"/>
              <w:rPr>
                <w:rStyle w:val="BookTitle"/>
              </w:rPr>
            </w:pPr>
            <w:r w:rsidRPr="000313CF">
              <w:rPr>
                <w:rStyle w:val="BookTitle"/>
              </w:rPr>
              <w:t>0.04</w:t>
            </w:r>
          </w:p>
        </w:tc>
      </w:tr>
      <w:tr w:rsidR="0015270F" w:rsidRPr="000313CF" w14:paraId="0C3F8778" w14:textId="77777777" w:rsidTr="0015270F">
        <w:trPr>
          <w:trHeight w:val="20"/>
          <w:jc w:val="center"/>
        </w:trPr>
        <w:tc>
          <w:tcPr>
            <w:tcW w:w="0" w:type="auto"/>
            <w:tcBorders>
              <w:top w:val="nil"/>
              <w:left w:val="nil"/>
              <w:bottom w:val="nil"/>
              <w:right w:val="nil"/>
            </w:tcBorders>
            <w:shd w:val="clear" w:color="auto" w:fill="auto"/>
            <w:noWrap/>
            <w:vAlign w:val="bottom"/>
            <w:hideMark/>
          </w:tcPr>
          <w:p w14:paraId="0C3F8773" w14:textId="77777777" w:rsidR="0015270F" w:rsidRPr="000313CF" w:rsidRDefault="0015270F" w:rsidP="000313CF">
            <w:pPr>
              <w:spacing w:before="0" w:after="0"/>
              <w:rPr>
                <w:rStyle w:val="BookTitle"/>
              </w:rPr>
            </w:pPr>
            <w:r w:rsidRPr="000313CF">
              <w:rPr>
                <w:rStyle w:val="BookTitle"/>
              </w:rPr>
              <w:t>TN</w:t>
            </w:r>
          </w:p>
        </w:tc>
        <w:tc>
          <w:tcPr>
            <w:tcW w:w="0" w:type="auto"/>
            <w:tcBorders>
              <w:top w:val="nil"/>
              <w:left w:val="nil"/>
              <w:bottom w:val="nil"/>
              <w:right w:val="nil"/>
            </w:tcBorders>
            <w:shd w:val="clear" w:color="auto" w:fill="auto"/>
            <w:noWrap/>
            <w:vAlign w:val="bottom"/>
            <w:hideMark/>
          </w:tcPr>
          <w:p w14:paraId="0C3F8774" w14:textId="77777777" w:rsidR="0015270F" w:rsidRPr="000313CF" w:rsidRDefault="0015270F" w:rsidP="000313CF">
            <w:pPr>
              <w:spacing w:before="0" w:after="0"/>
              <w:rPr>
                <w:rStyle w:val="BookTitle"/>
              </w:rPr>
            </w:pPr>
            <w:r w:rsidRPr="000313CF">
              <w:rPr>
                <w:rStyle w:val="BookTitle"/>
              </w:rPr>
              <w:t>0.10</w:t>
            </w:r>
          </w:p>
        </w:tc>
        <w:tc>
          <w:tcPr>
            <w:tcW w:w="0" w:type="auto"/>
            <w:tcBorders>
              <w:top w:val="nil"/>
              <w:left w:val="nil"/>
              <w:bottom w:val="nil"/>
              <w:right w:val="nil"/>
            </w:tcBorders>
            <w:shd w:val="clear" w:color="auto" w:fill="auto"/>
            <w:noWrap/>
            <w:vAlign w:val="bottom"/>
            <w:hideMark/>
          </w:tcPr>
          <w:p w14:paraId="0C3F8775" w14:textId="77777777" w:rsidR="0015270F" w:rsidRPr="000313CF" w:rsidRDefault="0015270F" w:rsidP="000313CF">
            <w:pPr>
              <w:spacing w:before="0" w:after="0"/>
              <w:rPr>
                <w:rStyle w:val="BookTitle"/>
              </w:rPr>
            </w:pPr>
            <w:r w:rsidRPr="000313CF">
              <w:rPr>
                <w:rStyle w:val="BookTitle"/>
              </w:rPr>
              <w:t>0.00</w:t>
            </w:r>
          </w:p>
        </w:tc>
        <w:tc>
          <w:tcPr>
            <w:tcW w:w="0" w:type="auto"/>
            <w:tcBorders>
              <w:top w:val="nil"/>
              <w:left w:val="nil"/>
              <w:bottom w:val="nil"/>
              <w:right w:val="nil"/>
            </w:tcBorders>
            <w:shd w:val="clear" w:color="auto" w:fill="auto"/>
            <w:noWrap/>
            <w:vAlign w:val="bottom"/>
            <w:hideMark/>
          </w:tcPr>
          <w:p w14:paraId="0C3F8776" w14:textId="77777777" w:rsidR="0015270F" w:rsidRPr="000313CF" w:rsidRDefault="0015270F" w:rsidP="000313CF">
            <w:pPr>
              <w:spacing w:before="0" w:after="0"/>
              <w:rPr>
                <w:rStyle w:val="BookTitle"/>
              </w:rPr>
            </w:pPr>
            <w:r w:rsidRPr="000313CF">
              <w:rPr>
                <w:rStyle w:val="BookTitle"/>
              </w:rPr>
              <w:t>0.38</w:t>
            </w:r>
          </w:p>
        </w:tc>
        <w:tc>
          <w:tcPr>
            <w:tcW w:w="0" w:type="auto"/>
            <w:tcBorders>
              <w:top w:val="nil"/>
              <w:left w:val="nil"/>
              <w:bottom w:val="nil"/>
              <w:right w:val="nil"/>
            </w:tcBorders>
            <w:shd w:val="clear" w:color="auto" w:fill="auto"/>
            <w:noWrap/>
            <w:vAlign w:val="bottom"/>
            <w:hideMark/>
          </w:tcPr>
          <w:p w14:paraId="0C3F8777" w14:textId="77777777" w:rsidR="0015270F" w:rsidRPr="000313CF" w:rsidRDefault="0015270F" w:rsidP="000313CF">
            <w:pPr>
              <w:spacing w:before="0" w:after="0"/>
              <w:rPr>
                <w:rStyle w:val="BookTitle"/>
              </w:rPr>
            </w:pPr>
            <w:r w:rsidRPr="000313CF">
              <w:rPr>
                <w:rStyle w:val="BookTitle"/>
              </w:rPr>
              <w:t>0.40</w:t>
            </w:r>
          </w:p>
        </w:tc>
      </w:tr>
      <w:tr w:rsidR="0015270F" w:rsidRPr="000313CF" w14:paraId="0C3F877E" w14:textId="77777777" w:rsidTr="0015270F">
        <w:trPr>
          <w:trHeight w:val="20"/>
          <w:jc w:val="center"/>
        </w:trPr>
        <w:tc>
          <w:tcPr>
            <w:tcW w:w="0" w:type="auto"/>
            <w:tcBorders>
              <w:top w:val="nil"/>
              <w:left w:val="nil"/>
              <w:bottom w:val="nil"/>
              <w:right w:val="nil"/>
            </w:tcBorders>
            <w:shd w:val="clear" w:color="auto" w:fill="auto"/>
            <w:noWrap/>
            <w:vAlign w:val="bottom"/>
            <w:hideMark/>
          </w:tcPr>
          <w:p w14:paraId="0C3F8779" w14:textId="77777777" w:rsidR="0015270F" w:rsidRPr="000313CF" w:rsidRDefault="0015270F" w:rsidP="000313CF">
            <w:pPr>
              <w:spacing w:before="0" w:after="0"/>
              <w:rPr>
                <w:rStyle w:val="BookTitle"/>
              </w:rPr>
            </w:pPr>
            <w:r w:rsidRPr="000313CF">
              <w:rPr>
                <w:rStyle w:val="BookTitle"/>
              </w:rPr>
              <w:t>TP</w:t>
            </w:r>
          </w:p>
        </w:tc>
        <w:tc>
          <w:tcPr>
            <w:tcW w:w="0" w:type="auto"/>
            <w:tcBorders>
              <w:top w:val="nil"/>
              <w:left w:val="nil"/>
              <w:bottom w:val="nil"/>
              <w:right w:val="nil"/>
            </w:tcBorders>
            <w:shd w:val="clear" w:color="auto" w:fill="auto"/>
            <w:noWrap/>
            <w:vAlign w:val="bottom"/>
            <w:hideMark/>
          </w:tcPr>
          <w:p w14:paraId="0C3F877A" w14:textId="77777777" w:rsidR="0015270F" w:rsidRPr="000313CF" w:rsidRDefault="0015270F" w:rsidP="000313CF">
            <w:pPr>
              <w:spacing w:before="0" w:after="0"/>
              <w:rPr>
                <w:rStyle w:val="BookTitle"/>
              </w:rPr>
            </w:pPr>
            <w:r w:rsidRPr="000313CF">
              <w:rPr>
                <w:rStyle w:val="BookTitle"/>
              </w:rPr>
              <w:t>0.71</w:t>
            </w:r>
          </w:p>
        </w:tc>
        <w:tc>
          <w:tcPr>
            <w:tcW w:w="0" w:type="auto"/>
            <w:tcBorders>
              <w:top w:val="nil"/>
              <w:left w:val="nil"/>
              <w:bottom w:val="nil"/>
              <w:right w:val="nil"/>
            </w:tcBorders>
            <w:shd w:val="clear" w:color="auto" w:fill="auto"/>
            <w:noWrap/>
            <w:vAlign w:val="bottom"/>
            <w:hideMark/>
          </w:tcPr>
          <w:p w14:paraId="0C3F877B" w14:textId="77777777" w:rsidR="0015270F" w:rsidRPr="000313CF" w:rsidRDefault="0015270F" w:rsidP="000313CF">
            <w:pPr>
              <w:spacing w:before="0" w:after="0"/>
              <w:rPr>
                <w:rStyle w:val="BookTitle"/>
              </w:rPr>
            </w:pPr>
            <w:r w:rsidRPr="000313CF">
              <w:rPr>
                <w:rStyle w:val="BookTitle"/>
              </w:rPr>
              <w:t>0.51</w:t>
            </w:r>
          </w:p>
        </w:tc>
        <w:tc>
          <w:tcPr>
            <w:tcW w:w="0" w:type="auto"/>
            <w:tcBorders>
              <w:top w:val="nil"/>
              <w:left w:val="nil"/>
              <w:bottom w:val="nil"/>
              <w:right w:val="nil"/>
            </w:tcBorders>
            <w:shd w:val="clear" w:color="auto" w:fill="auto"/>
            <w:noWrap/>
            <w:vAlign w:val="bottom"/>
            <w:hideMark/>
          </w:tcPr>
          <w:p w14:paraId="0C3F877C" w14:textId="77777777" w:rsidR="0015270F" w:rsidRPr="000313CF" w:rsidRDefault="0015270F" w:rsidP="000313CF">
            <w:pPr>
              <w:spacing w:before="0" w:after="0"/>
              <w:rPr>
                <w:rStyle w:val="BookTitle"/>
              </w:rPr>
            </w:pPr>
            <w:r w:rsidRPr="000313CF">
              <w:rPr>
                <w:rStyle w:val="BookTitle"/>
              </w:rPr>
              <w:t>0.47</w:t>
            </w:r>
          </w:p>
        </w:tc>
        <w:tc>
          <w:tcPr>
            <w:tcW w:w="0" w:type="auto"/>
            <w:tcBorders>
              <w:top w:val="nil"/>
              <w:left w:val="nil"/>
              <w:bottom w:val="nil"/>
              <w:right w:val="nil"/>
            </w:tcBorders>
            <w:shd w:val="clear" w:color="auto" w:fill="auto"/>
            <w:noWrap/>
            <w:vAlign w:val="bottom"/>
            <w:hideMark/>
          </w:tcPr>
          <w:p w14:paraId="0C3F877D" w14:textId="77777777" w:rsidR="0015270F" w:rsidRPr="000313CF" w:rsidRDefault="0015270F" w:rsidP="000313CF">
            <w:pPr>
              <w:spacing w:before="0" w:after="0"/>
              <w:rPr>
                <w:rStyle w:val="BookTitle"/>
              </w:rPr>
            </w:pPr>
            <w:r w:rsidRPr="000313CF">
              <w:rPr>
                <w:rStyle w:val="BookTitle"/>
              </w:rPr>
              <w:t>0.03</w:t>
            </w:r>
          </w:p>
        </w:tc>
      </w:tr>
      <w:tr w:rsidR="0015270F" w:rsidRPr="000313CF" w14:paraId="0C3F8784" w14:textId="77777777" w:rsidTr="0015270F">
        <w:trPr>
          <w:trHeight w:val="20"/>
          <w:jc w:val="center"/>
        </w:trPr>
        <w:tc>
          <w:tcPr>
            <w:tcW w:w="0" w:type="auto"/>
            <w:tcBorders>
              <w:top w:val="nil"/>
              <w:left w:val="nil"/>
              <w:bottom w:val="nil"/>
              <w:right w:val="nil"/>
            </w:tcBorders>
            <w:shd w:val="clear" w:color="auto" w:fill="auto"/>
            <w:noWrap/>
            <w:vAlign w:val="bottom"/>
            <w:hideMark/>
          </w:tcPr>
          <w:p w14:paraId="0C3F877F" w14:textId="77777777" w:rsidR="0015270F" w:rsidRPr="000313CF" w:rsidRDefault="0015270F" w:rsidP="000313CF">
            <w:pPr>
              <w:spacing w:before="0" w:after="0"/>
              <w:rPr>
                <w:rStyle w:val="BookTitle"/>
              </w:rPr>
            </w:pPr>
            <w:r w:rsidRPr="000313CF">
              <w:rPr>
                <w:rStyle w:val="BookTitle"/>
              </w:rPr>
              <w:t>DIN</w:t>
            </w:r>
          </w:p>
        </w:tc>
        <w:tc>
          <w:tcPr>
            <w:tcW w:w="0" w:type="auto"/>
            <w:tcBorders>
              <w:top w:val="nil"/>
              <w:left w:val="nil"/>
              <w:bottom w:val="nil"/>
              <w:right w:val="nil"/>
            </w:tcBorders>
            <w:shd w:val="clear" w:color="auto" w:fill="auto"/>
            <w:noWrap/>
            <w:vAlign w:val="bottom"/>
            <w:hideMark/>
          </w:tcPr>
          <w:p w14:paraId="0C3F8780" w14:textId="77777777" w:rsidR="0015270F" w:rsidRPr="000313CF" w:rsidRDefault="0015270F" w:rsidP="000313CF">
            <w:pPr>
              <w:spacing w:before="0" w:after="0"/>
              <w:rPr>
                <w:rStyle w:val="BookTitle"/>
              </w:rPr>
            </w:pPr>
            <w:r w:rsidRPr="000313CF">
              <w:rPr>
                <w:rStyle w:val="BookTitle"/>
              </w:rPr>
              <w:t>0.86</w:t>
            </w:r>
          </w:p>
        </w:tc>
        <w:tc>
          <w:tcPr>
            <w:tcW w:w="0" w:type="auto"/>
            <w:tcBorders>
              <w:top w:val="nil"/>
              <w:left w:val="nil"/>
              <w:bottom w:val="nil"/>
              <w:right w:val="nil"/>
            </w:tcBorders>
            <w:shd w:val="clear" w:color="auto" w:fill="auto"/>
            <w:noWrap/>
            <w:vAlign w:val="bottom"/>
            <w:hideMark/>
          </w:tcPr>
          <w:p w14:paraId="0C3F8781" w14:textId="77777777" w:rsidR="0015270F" w:rsidRPr="000313CF" w:rsidRDefault="0015270F" w:rsidP="000313CF">
            <w:pPr>
              <w:spacing w:before="0" w:after="0"/>
              <w:rPr>
                <w:rStyle w:val="BookTitle"/>
              </w:rPr>
            </w:pPr>
            <w:r w:rsidRPr="000313CF">
              <w:rPr>
                <w:rStyle w:val="BookTitle"/>
              </w:rPr>
              <w:t>0.26</w:t>
            </w:r>
          </w:p>
        </w:tc>
        <w:tc>
          <w:tcPr>
            <w:tcW w:w="0" w:type="auto"/>
            <w:tcBorders>
              <w:top w:val="nil"/>
              <w:left w:val="nil"/>
              <w:bottom w:val="nil"/>
              <w:right w:val="nil"/>
            </w:tcBorders>
            <w:shd w:val="clear" w:color="auto" w:fill="auto"/>
            <w:noWrap/>
            <w:vAlign w:val="bottom"/>
            <w:hideMark/>
          </w:tcPr>
          <w:p w14:paraId="0C3F8782" w14:textId="77777777" w:rsidR="0015270F" w:rsidRPr="000313CF" w:rsidRDefault="0015270F" w:rsidP="000313CF">
            <w:pPr>
              <w:spacing w:before="0" w:after="0"/>
              <w:rPr>
                <w:rStyle w:val="BookTitle"/>
              </w:rPr>
            </w:pPr>
            <w:r w:rsidRPr="000313CF">
              <w:rPr>
                <w:rStyle w:val="BookTitle"/>
              </w:rPr>
              <w:t>0.23</w:t>
            </w:r>
          </w:p>
        </w:tc>
        <w:tc>
          <w:tcPr>
            <w:tcW w:w="0" w:type="auto"/>
            <w:tcBorders>
              <w:top w:val="nil"/>
              <w:left w:val="nil"/>
              <w:bottom w:val="nil"/>
              <w:right w:val="nil"/>
            </w:tcBorders>
            <w:shd w:val="clear" w:color="auto" w:fill="auto"/>
            <w:noWrap/>
            <w:vAlign w:val="bottom"/>
            <w:hideMark/>
          </w:tcPr>
          <w:p w14:paraId="0C3F8783" w14:textId="77777777" w:rsidR="0015270F" w:rsidRPr="000313CF" w:rsidRDefault="0015270F" w:rsidP="000313CF">
            <w:pPr>
              <w:spacing w:before="0" w:after="0"/>
              <w:rPr>
                <w:rStyle w:val="BookTitle"/>
              </w:rPr>
            </w:pPr>
            <w:r w:rsidRPr="000313CF">
              <w:rPr>
                <w:rStyle w:val="BookTitle"/>
              </w:rPr>
              <w:t>0.40</w:t>
            </w:r>
          </w:p>
        </w:tc>
      </w:tr>
      <w:tr w:rsidR="0015270F" w:rsidRPr="000313CF" w14:paraId="0C3F878A" w14:textId="77777777" w:rsidTr="0015270F">
        <w:trPr>
          <w:trHeight w:val="20"/>
          <w:jc w:val="center"/>
        </w:trPr>
        <w:tc>
          <w:tcPr>
            <w:tcW w:w="0" w:type="auto"/>
            <w:tcBorders>
              <w:top w:val="nil"/>
              <w:left w:val="nil"/>
              <w:bottom w:val="nil"/>
              <w:right w:val="nil"/>
            </w:tcBorders>
            <w:shd w:val="clear" w:color="auto" w:fill="auto"/>
            <w:noWrap/>
            <w:vAlign w:val="bottom"/>
            <w:hideMark/>
          </w:tcPr>
          <w:p w14:paraId="0C3F8785" w14:textId="77777777" w:rsidR="0015270F" w:rsidRPr="000313CF" w:rsidRDefault="0015270F" w:rsidP="000313CF">
            <w:pPr>
              <w:spacing w:before="0" w:after="0"/>
              <w:rPr>
                <w:rStyle w:val="BookTitle"/>
              </w:rPr>
            </w:pPr>
            <w:r w:rsidRPr="000313CF">
              <w:rPr>
                <w:rStyle w:val="BookTitle"/>
              </w:rPr>
              <w:t>DIP</w:t>
            </w:r>
          </w:p>
        </w:tc>
        <w:tc>
          <w:tcPr>
            <w:tcW w:w="0" w:type="auto"/>
            <w:tcBorders>
              <w:top w:val="nil"/>
              <w:left w:val="nil"/>
              <w:bottom w:val="nil"/>
              <w:right w:val="nil"/>
            </w:tcBorders>
            <w:shd w:val="clear" w:color="auto" w:fill="auto"/>
            <w:noWrap/>
            <w:vAlign w:val="bottom"/>
            <w:hideMark/>
          </w:tcPr>
          <w:p w14:paraId="0C3F8786" w14:textId="77777777" w:rsidR="0015270F" w:rsidRPr="000313CF" w:rsidRDefault="0015270F" w:rsidP="000313CF">
            <w:pPr>
              <w:spacing w:before="0" w:after="0"/>
              <w:rPr>
                <w:rStyle w:val="BookTitle"/>
              </w:rPr>
            </w:pPr>
            <w:r w:rsidRPr="000313CF">
              <w:rPr>
                <w:rStyle w:val="BookTitle"/>
              </w:rPr>
              <w:t>0.68</w:t>
            </w:r>
          </w:p>
        </w:tc>
        <w:tc>
          <w:tcPr>
            <w:tcW w:w="0" w:type="auto"/>
            <w:tcBorders>
              <w:top w:val="nil"/>
              <w:left w:val="nil"/>
              <w:bottom w:val="nil"/>
              <w:right w:val="nil"/>
            </w:tcBorders>
            <w:shd w:val="clear" w:color="auto" w:fill="auto"/>
            <w:noWrap/>
            <w:vAlign w:val="bottom"/>
            <w:hideMark/>
          </w:tcPr>
          <w:p w14:paraId="0C3F8787" w14:textId="77777777" w:rsidR="0015270F" w:rsidRPr="000313CF" w:rsidRDefault="0015270F" w:rsidP="000313CF">
            <w:pPr>
              <w:spacing w:before="0" w:after="0"/>
              <w:rPr>
                <w:rStyle w:val="BookTitle"/>
              </w:rPr>
            </w:pPr>
            <w:r w:rsidRPr="000313CF">
              <w:rPr>
                <w:rStyle w:val="BookTitle"/>
              </w:rPr>
              <w:t>0.23</w:t>
            </w:r>
          </w:p>
        </w:tc>
        <w:tc>
          <w:tcPr>
            <w:tcW w:w="0" w:type="auto"/>
            <w:tcBorders>
              <w:top w:val="nil"/>
              <w:left w:val="nil"/>
              <w:bottom w:val="nil"/>
              <w:right w:val="nil"/>
            </w:tcBorders>
            <w:shd w:val="clear" w:color="auto" w:fill="auto"/>
            <w:noWrap/>
            <w:vAlign w:val="bottom"/>
            <w:hideMark/>
          </w:tcPr>
          <w:p w14:paraId="0C3F8788" w14:textId="77777777" w:rsidR="0015270F" w:rsidRPr="000313CF" w:rsidRDefault="0015270F" w:rsidP="000313CF">
            <w:pPr>
              <w:spacing w:before="0" w:after="0"/>
              <w:rPr>
                <w:rStyle w:val="BookTitle"/>
              </w:rPr>
            </w:pPr>
            <w:r w:rsidRPr="000313CF">
              <w:rPr>
                <w:rStyle w:val="BookTitle"/>
              </w:rPr>
              <w:t>0.28</w:t>
            </w:r>
          </w:p>
        </w:tc>
        <w:tc>
          <w:tcPr>
            <w:tcW w:w="0" w:type="auto"/>
            <w:tcBorders>
              <w:top w:val="nil"/>
              <w:left w:val="nil"/>
              <w:bottom w:val="nil"/>
              <w:right w:val="nil"/>
            </w:tcBorders>
            <w:shd w:val="clear" w:color="auto" w:fill="auto"/>
            <w:noWrap/>
            <w:vAlign w:val="bottom"/>
            <w:hideMark/>
          </w:tcPr>
          <w:p w14:paraId="0C3F8789" w14:textId="77777777" w:rsidR="0015270F" w:rsidRPr="000313CF" w:rsidRDefault="0015270F" w:rsidP="000313CF">
            <w:pPr>
              <w:spacing w:before="0" w:after="0"/>
              <w:rPr>
                <w:rStyle w:val="BookTitle"/>
              </w:rPr>
            </w:pPr>
            <w:r w:rsidRPr="000313CF">
              <w:rPr>
                <w:rStyle w:val="BookTitle"/>
              </w:rPr>
              <w:t>-0.07</w:t>
            </w:r>
          </w:p>
        </w:tc>
      </w:tr>
      <w:tr w:rsidR="0015270F" w:rsidRPr="000313CF" w14:paraId="0C3F8790" w14:textId="77777777" w:rsidTr="0015270F">
        <w:trPr>
          <w:trHeight w:val="20"/>
          <w:jc w:val="center"/>
        </w:trPr>
        <w:tc>
          <w:tcPr>
            <w:tcW w:w="0" w:type="auto"/>
            <w:tcBorders>
              <w:top w:val="nil"/>
              <w:left w:val="nil"/>
              <w:right w:val="nil"/>
            </w:tcBorders>
            <w:shd w:val="clear" w:color="auto" w:fill="auto"/>
            <w:noWrap/>
            <w:vAlign w:val="bottom"/>
            <w:hideMark/>
          </w:tcPr>
          <w:p w14:paraId="0C3F878B" w14:textId="77777777" w:rsidR="0015270F" w:rsidRPr="000313CF" w:rsidRDefault="0015270F" w:rsidP="000313CF">
            <w:pPr>
              <w:spacing w:before="0" w:after="0"/>
              <w:rPr>
                <w:rStyle w:val="BookTitle"/>
              </w:rPr>
            </w:pPr>
            <w:r w:rsidRPr="000313CF">
              <w:rPr>
                <w:rStyle w:val="BookTitle"/>
              </w:rPr>
              <w:t>PN</w:t>
            </w:r>
          </w:p>
        </w:tc>
        <w:tc>
          <w:tcPr>
            <w:tcW w:w="0" w:type="auto"/>
            <w:tcBorders>
              <w:top w:val="nil"/>
              <w:left w:val="nil"/>
              <w:right w:val="nil"/>
            </w:tcBorders>
            <w:shd w:val="clear" w:color="auto" w:fill="auto"/>
            <w:noWrap/>
            <w:vAlign w:val="bottom"/>
            <w:hideMark/>
          </w:tcPr>
          <w:p w14:paraId="0C3F878C" w14:textId="77777777" w:rsidR="0015270F" w:rsidRPr="000313CF" w:rsidRDefault="0015270F" w:rsidP="000313CF">
            <w:pPr>
              <w:spacing w:before="0" w:after="0"/>
              <w:rPr>
                <w:rStyle w:val="BookTitle"/>
              </w:rPr>
            </w:pPr>
            <w:r w:rsidRPr="000313CF">
              <w:rPr>
                <w:rStyle w:val="BookTitle"/>
              </w:rPr>
              <w:t>-0.09</w:t>
            </w:r>
          </w:p>
        </w:tc>
        <w:tc>
          <w:tcPr>
            <w:tcW w:w="0" w:type="auto"/>
            <w:tcBorders>
              <w:top w:val="nil"/>
              <w:left w:val="nil"/>
              <w:right w:val="nil"/>
            </w:tcBorders>
            <w:shd w:val="clear" w:color="auto" w:fill="auto"/>
            <w:noWrap/>
            <w:vAlign w:val="bottom"/>
            <w:hideMark/>
          </w:tcPr>
          <w:p w14:paraId="0C3F878D" w14:textId="77777777" w:rsidR="0015270F" w:rsidRPr="000313CF" w:rsidRDefault="0015270F" w:rsidP="000313CF">
            <w:pPr>
              <w:spacing w:before="0" w:after="0"/>
              <w:rPr>
                <w:rStyle w:val="BookTitle"/>
              </w:rPr>
            </w:pPr>
            <w:r w:rsidRPr="000313CF">
              <w:rPr>
                <w:rStyle w:val="BookTitle"/>
              </w:rPr>
              <w:t>-0.01</w:t>
            </w:r>
          </w:p>
        </w:tc>
        <w:tc>
          <w:tcPr>
            <w:tcW w:w="0" w:type="auto"/>
            <w:tcBorders>
              <w:top w:val="nil"/>
              <w:left w:val="nil"/>
              <w:right w:val="nil"/>
            </w:tcBorders>
            <w:shd w:val="clear" w:color="auto" w:fill="auto"/>
            <w:noWrap/>
            <w:vAlign w:val="bottom"/>
            <w:hideMark/>
          </w:tcPr>
          <w:p w14:paraId="0C3F878E" w14:textId="77777777" w:rsidR="0015270F" w:rsidRPr="000313CF" w:rsidRDefault="0015270F" w:rsidP="000313CF">
            <w:pPr>
              <w:spacing w:before="0" w:after="0"/>
              <w:rPr>
                <w:rStyle w:val="BookTitle"/>
              </w:rPr>
            </w:pPr>
            <w:r w:rsidRPr="000313CF">
              <w:rPr>
                <w:rStyle w:val="BookTitle"/>
              </w:rPr>
              <w:t>0.41</w:t>
            </w:r>
          </w:p>
        </w:tc>
        <w:tc>
          <w:tcPr>
            <w:tcW w:w="0" w:type="auto"/>
            <w:tcBorders>
              <w:top w:val="nil"/>
              <w:left w:val="nil"/>
              <w:right w:val="nil"/>
            </w:tcBorders>
            <w:shd w:val="clear" w:color="auto" w:fill="auto"/>
            <w:noWrap/>
            <w:vAlign w:val="bottom"/>
            <w:hideMark/>
          </w:tcPr>
          <w:p w14:paraId="0C3F878F" w14:textId="77777777" w:rsidR="0015270F" w:rsidRPr="000313CF" w:rsidRDefault="0015270F" w:rsidP="000313CF">
            <w:pPr>
              <w:spacing w:before="0" w:after="0"/>
              <w:rPr>
                <w:rStyle w:val="BookTitle"/>
              </w:rPr>
            </w:pPr>
            <w:r w:rsidRPr="000313CF">
              <w:rPr>
                <w:rStyle w:val="BookTitle"/>
              </w:rPr>
              <w:t>0.41</w:t>
            </w:r>
          </w:p>
        </w:tc>
      </w:tr>
      <w:tr w:rsidR="0015270F" w:rsidRPr="000313CF" w14:paraId="0C3F8796" w14:textId="77777777" w:rsidTr="0015270F">
        <w:trPr>
          <w:trHeight w:val="20"/>
          <w:jc w:val="center"/>
        </w:trPr>
        <w:tc>
          <w:tcPr>
            <w:tcW w:w="0" w:type="auto"/>
            <w:tcBorders>
              <w:top w:val="nil"/>
              <w:left w:val="nil"/>
              <w:bottom w:val="single" w:sz="4" w:space="0" w:color="auto"/>
              <w:right w:val="nil"/>
            </w:tcBorders>
            <w:shd w:val="clear" w:color="auto" w:fill="auto"/>
            <w:noWrap/>
            <w:vAlign w:val="bottom"/>
            <w:hideMark/>
          </w:tcPr>
          <w:p w14:paraId="0C3F8791" w14:textId="77777777" w:rsidR="0015270F" w:rsidRPr="000313CF" w:rsidRDefault="0015270F" w:rsidP="000313CF">
            <w:pPr>
              <w:spacing w:before="0" w:after="0"/>
              <w:rPr>
                <w:rStyle w:val="BookTitle"/>
              </w:rPr>
            </w:pPr>
            <w:r w:rsidRPr="000313CF">
              <w:rPr>
                <w:rStyle w:val="BookTitle"/>
              </w:rPr>
              <w:t>PP</w:t>
            </w:r>
          </w:p>
        </w:tc>
        <w:tc>
          <w:tcPr>
            <w:tcW w:w="0" w:type="auto"/>
            <w:tcBorders>
              <w:top w:val="nil"/>
              <w:left w:val="nil"/>
              <w:bottom w:val="single" w:sz="4" w:space="0" w:color="auto"/>
              <w:right w:val="nil"/>
            </w:tcBorders>
            <w:shd w:val="clear" w:color="auto" w:fill="auto"/>
            <w:noWrap/>
            <w:vAlign w:val="bottom"/>
            <w:hideMark/>
          </w:tcPr>
          <w:p w14:paraId="0C3F8792" w14:textId="77777777" w:rsidR="0015270F" w:rsidRPr="000313CF" w:rsidRDefault="0015270F" w:rsidP="000313CF">
            <w:pPr>
              <w:spacing w:before="0" w:after="0"/>
              <w:rPr>
                <w:rStyle w:val="BookTitle"/>
              </w:rPr>
            </w:pPr>
            <w:r w:rsidRPr="000313CF">
              <w:rPr>
                <w:rStyle w:val="BookTitle"/>
              </w:rPr>
              <w:t>0.40</w:t>
            </w:r>
          </w:p>
        </w:tc>
        <w:tc>
          <w:tcPr>
            <w:tcW w:w="0" w:type="auto"/>
            <w:tcBorders>
              <w:top w:val="nil"/>
              <w:left w:val="nil"/>
              <w:bottom w:val="single" w:sz="4" w:space="0" w:color="auto"/>
              <w:right w:val="nil"/>
            </w:tcBorders>
            <w:shd w:val="clear" w:color="auto" w:fill="auto"/>
            <w:noWrap/>
            <w:vAlign w:val="bottom"/>
            <w:hideMark/>
          </w:tcPr>
          <w:p w14:paraId="0C3F8793" w14:textId="77777777" w:rsidR="0015270F" w:rsidRPr="000313CF" w:rsidRDefault="0015270F" w:rsidP="000313CF">
            <w:pPr>
              <w:spacing w:before="0" w:after="0"/>
              <w:rPr>
                <w:rStyle w:val="BookTitle"/>
              </w:rPr>
            </w:pPr>
            <w:r w:rsidRPr="000313CF">
              <w:rPr>
                <w:rStyle w:val="BookTitle"/>
              </w:rPr>
              <w:t>0.15</w:t>
            </w:r>
          </w:p>
        </w:tc>
        <w:tc>
          <w:tcPr>
            <w:tcW w:w="0" w:type="auto"/>
            <w:tcBorders>
              <w:top w:val="nil"/>
              <w:left w:val="nil"/>
              <w:bottom w:val="single" w:sz="4" w:space="0" w:color="auto"/>
              <w:right w:val="nil"/>
            </w:tcBorders>
            <w:shd w:val="clear" w:color="auto" w:fill="auto"/>
            <w:noWrap/>
            <w:vAlign w:val="bottom"/>
            <w:hideMark/>
          </w:tcPr>
          <w:p w14:paraId="0C3F8794" w14:textId="77777777" w:rsidR="0015270F" w:rsidRPr="000313CF" w:rsidRDefault="0015270F" w:rsidP="000313CF">
            <w:pPr>
              <w:spacing w:before="0" w:after="0"/>
              <w:rPr>
                <w:rStyle w:val="BookTitle"/>
              </w:rPr>
            </w:pPr>
            <w:r w:rsidRPr="000313CF">
              <w:rPr>
                <w:rStyle w:val="BookTitle"/>
              </w:rPr>
              <w:t>0.32</w:t>
            </w:r>
          </w:p>
        </w:tc>
        <w:tc>
          <w:tcPr>
            <w:tcW w:w="0" w:type="auto"/>
            <w:tcBorders>
              <w:top w:val="nil"/>
              <w:left w:val="nil"/>
              <w:bottom w:val="single" w:sz="4" w:space="0" w:color="auto"/>
              <w:right w:val="nil"/>
            </w:tcBorders>
            <w:shd w:val="clear" w:color="auto" w:fill="auto"/>
            <w:noWrap/>
            <w:vAlign w:val="bottom"/>
            <w:hideMark/>
          </w:tcPr>
          <w:p w14:paraId="0C3F8795" w14:textId="77777777" w:rsidR="0015270F" w:rsidRPr="000313CF" w:rsidRDefault="0015270F" w:rsidP="000313CF">
            <w:pPr>
              <w:spacing w:before="0" w:after="0"/>
              <w:rPr>
                <w:rStyle w:val="BookTitle"/>
              </w:rPr>
            </w:pPr>
            <w:r w:rsidRPr="000313CF">
              <w:rPr>
                <w:rStyle w:val="BookTitle"/>
              </w:rPr>
              <w:t>-0.07</w:t>
            </w:r>
          </w:p>
        </w:tc>
      </w:tr>
    </w:tbl>
    <w:p w14:paraId="0C3F8797" w14:textId="77777777" w:rsidR="0015270F" w:rsidRDefault="0015270F" w:rsidP="0015270F"/>
    <w:p w14:paraId="0C3F8798" w14:textId="77777777" w:rsidR="008172FD" w:rsidRPr="00D243CD" w:rsidRDefault="008172FD" w:rsidP="008172FD">
      <w:pPr>
        <w:rPr>
          <w:rFonts w:cs="Courier New"/>
        </w:rPr>
      </w:pPr>
      <w:r w:rsidRPr="00D243CD">
        <w:rPr>
          <w:rFonts w:cs="Courier New"/>
        </w:rPr>
        <w:t>The result of the GAMM analysis for each WQ component is presented as a set of 4 plots, vertically distributed (Figure 4-8</w:t>
      </w:r>
      <w:r w:rsidR="00D243CD" w:rsidRPr="00D243CD">
        <w:rPr>
          <w:rFonts w:cs="Courier New"/>
        </w:rPr>
        <w:t>, Figure 4-9, Figure 4-10</w:t>
      </w:r>
      <w:r w:rsidRPr="00D243CD">
        <w:rPr>
          <w:rFonts w:cs="Courier New"/>
        </w:rPr>
        <w:t>). The first three plots in each column are the partial effect plots from the multiple regression analysis. These plots show the behaviour of the WQ component against each predictor individually (</w:t>
      </w:r>
      <w:r w:rsidR="005B6DBF" w:rsidRPr="00D243CD">
        <w:rPr>
          <w:rFonts w:cs="Courier New"/>
        </w:rPr>
        <w:t xml:space="preserve">i.e., either (i) surface salinity, (ii) </w:t>
      </w:r>
      <w:r w:rsidRPr="00D243CD">
        <w:rPr>
          <w:rFonts w:cs="Courier New"/>
        </w:rPr>
        <w:t xml:space="preserve">distance or </w:t>
      </w:r>
      <w:r w:rsidR="005B6DBF" w:rsidRPr="00D243CD">
        <w:rPr>
          <w:rFonts w:cs="Courier New"/>
        </w:rPr>
        <w:t xml:space="preserve">(iii) </w:t>
      </w:r>
      <w:r w:rsidRPr="00D243CD">
        <w:rPr>
          <w:rFonts w:cs="Courier New"/>
        </w:rPr>
        <w:t>river discharge) when the other two predictors are kept constant. The last plot represents the temporal variation of each WQ component when the selected predictors (i.e., those that did not present as a straight line in the partial plots) were used as random effects in the GAMM analysis</w:t>
      </w:r>
    </w:p>
    <w:p w14:paraId="0C3F8799" w14:textId="77777777" w:rsidR="008172FD" w:rsidRPr="00D243CD" w:rsidRDefault="008172FD" w:rsidP="008172FD">
      <w:pPr>
        <w:rPr>
          <w:rFonts w:cs="Courier New"/>
        </w:rPr>
      </w:pPr>
      <w:r w:rsidRPr="00D243CD">
        <w:rPr>
          <w:rFonts w:cs="Courier New"/>
        </w:rPr>
        <w:t xml:space="preserve">The temporal variation of the </w:t>
      </w:r>
      <w:r w:rsidR="005B6DBF" w:rsidRPr="00D243CD">
        <w:rPr>
          <w:rFonts w:cs="Courier New"/>
        </w:rPr>
        <w:t xml:space="preserve">wet season </w:t>
      </w:r>
      <w:r w:rsidRPr="00D243CD">
        <w:rPr>
          <w:rFonts w:cs="Courier New"/>
        </w:rPr>
        <w:t xml:space="preserve">WQ components (data set 2006-2013) was best modelled by using all predictors (i.e., salinity, river discharge and distance) as random effects. Exceptions occurred for chlorophyll-a and PN that had no inclusion of the predictor distance, which is presented as a straight line parallel to x-axis in the partial effect plots (Fig. 4-8). Moreover, no temporal variation was identified for </w:t>
      </w:r>
      <w:r w:rsidR="00D243CD">
        <w:rPr>
          <w:rFonts w:cs="Courier New"/>
        </w:rPr>
        <w:t>CDOM (Figure 4.8</w:t>
      </w:r>
      <w:r w:rsidRPr="00D243CD">
        <w:rPr>
          <w:rFonts w:cs="Courier New"/>
        </w:rPr>
        <w:t xml:space="preserve">), </w:t>
      </w:r>
      <w:r w:rsidR="00D243CD">
        <w:rPr>
          <w:rFonts w:cs="Courier New"/>
        </w:rPr>
        <w:t>chlorophyll-a (Figure. 4.9</w:t>
      </w:r>
      <w:r w:rsidRPr="00D243CD">
        <w:rPr>
          <w:rFonts w:cs="Courier New"/>
        </w:rPr>
        <w:t>)</w:t>
      </w:r>
      <w:r w:rsidR="00D243CD">
        <w:rPr>
          <w:rFonts w:cs="Courier New"/>
        </w:rPr>
        <w:t xml:space="preserve"> and Si (Figure 4.10</w:t>
      </w:r>
      <w:r w:rsidRPr="00D243CD">
        <w:rPr>
          <w:rFonts w:cs="Courier New"/>
        </w:rPr>
        <w:t>), which presented an r-squared &lt; 0, suggesting that a straight line parallel to the x-axis explain</w:t>
      </w:r>
      <w:r w:rsidR="005B6DBF" w:rsidRPr="00D243CD">
        <w:rPr>
          <w:rFonts w:cs="Courier New"/>
        </w:rPr>
        <w:t>ed</w:t>
      </w:r>
      <w:r w:rsidRPr="00D243CD">
        <w:rPr>
          <w:rFonts w:cs="Courier New"/>
        </w:rPr>
        <w:t xml:space="preserve"> </w:t>
      </w:r>
      <w:r w:rsidR="005B6DBF" w:rsidRPr="00D243CD">
        <w:rPr>
          <w:rFonts w:cs="Courier New"/>
        </w:rPr>
        <w:t xml:space="preserve">their temporal </w:t>
      </w:r>
      <w:r w:rsidRPr="00D243CD">
        <w:rPr>
          <w:rFonts w:cs="Courier New"/>
        </w:rPr>
        <w:t>behaviour</w:t>
      </w:r>
      <w:r w:rsidR="005B6DBF" w:rsidRPr="00D243CD">
        <w:rPr>
          <w:rFonts w:cs="Courier New"/>
        </w:rPr>
        <w:t xml:space="preserve"> better</w:t>
      </w:r>
      <w:r w:rsidRPr="00D243CD">
        <w:rPr>
          <w:rFonts w:cs="Courier New"/>
        </w:rPr>
        <w:t xml:space="preserve"> than the fitted models. All the other WQ components exhibited significant temporal trends although the fitted models explain less than 10% of the data variability, except for DIP (r-sq. = 0.33</w:t>
      </w:r>
      <w:r w:rsidR="005B6DBF" w:rsidRPr="00D243CD">
        <w:rPr>
          <w:rFonts w:cs="Courier New"/>
        </w:rPr>
        <w:t xml:space="preserve">, Figure </w:t>
      </w:r>
      <w:r w:rsidR="0059730C">
        <w:rPr>
          <w:rFonts w:cs="Courier New"/>
        </w:rPr>
        <w:t>4.10</w:t>
      </w:r>
      <w:r w:rsidR="00AE4287" w:rsidRPr="00D243CD">
        <w:rPr>
          <w:rFonts w:cs="Courier New"/>
        </w:rPr>
        <w:t>)</w:t>
      </w:r>
      <w:r w:rsidRPr="00D243CD">
        <w:rPr>
          <w:rFonts w:cs="Courier New"/>
        </w:rPr>
        <w:t>. For DIN and DIP, one can see a clear reduction in values after 2012, whi</w:t>
      </w:r>
      <w:r w:rsidR="00AE4287" w:rsidRPr="00D243CD">
        <w:rPr>
          <w:rFonts w:cs="Courier New"/>
        </w:rPr>
        <w:t>ch was preceded by an increase</w:t>
      </w:r>
      <w:r w:rsidRPr="00D243CD">
        <w:rPr>
          <w:rFonts w:cs="Courier New"/>
        </w:rPr>
        <w:t xml:space="preserve"> in concentrations in 2010-2011 wet season, corresponding to the Ex-Tropical Cyclone Yasi passage in January-February, 2011. </w:t>
      </w:r>
      <w:r w:rsidR="00AE4287" w:rsidRPr="00D243CD">
        <w:rPr>
          <w:rFonts w:cs="Courier New"/>
        </w:rPr>
        <w:t>Patterns in light attenuation were similar highlighting that the</w:t>
      </w:r>
      <w:r w:rsidRPr="00D243CD">
        <w:rPr>
          <w:rFonts w:cs="Courier New"/>
        </w:rPr>
        <w:t xml:space="preserve"> turbid waters in 2011-12 wet season</w:t>
      </w:r>
      <w:r w:rsidR="00AE4287" w:rsidRPr="00D243CD">
        <w:rPr>
          <w:rFonts w:cs="Courier New"/>
        </w:rPr>
        <w:t xml:space="preserve"> were partly driven by green (secondary) waters</w:t>
      </w:r>
      <w:r w:rsidRPr="00D243CD">
        <w:rPr>
          <w:rFonts w:cs="Courier New"/>
        </w:rPr>
        <w:t>. As a general trend, the m</w:t>
      </w:r>
      <w:r w:rsidR="00AE4287" w:rsidRPr="00D243CD">
        <w:rPr>
          <w:rFonts w:cs="Courier New"/>
        </w:rPr>
        <w:t xml:space="preserve">ajority of the parameters show a reduction in </w:t>
      </w:r>
      <w:r w:rsidRPr="00D243CD">
        <w:rPr>
          <w:rFonts w:cs="Courier New"/>
        </w:rPr>
        <w:t xml:space="preserve">values towards the end of the analysed period, </w:t>
      </w:r>
      <w:r w:rsidR="00AE4287" w:rsidRPr="00D243CD">
        <w:rPr>
          <w:rFonts w:cs="Courier New"/>
        </w:rPr>
        <w:t>with the exception of</w:t>
      </w:r>
      <w:r w:rsidRPr="00D243CD">
        <w:rPr>
          <w:rFonts w:cs="Courier New"/>
        </w:rPr>
        <w:t xml:space="preserve"> TSS, that </w:t>
      </w:r>
      <w:r w:rsidR="00AE4287" w:rsidRPr="00D243CD">
        <w:rPr>
          <w:rFonts w:cs="Courier New"/>
        </w:rPr>
        <w:t>increased</w:t>
      </w:r>
      <w:r w:rsidRPr="00D243CD">
        <w:rPr>
          <w:rFonts w:cs="Courier New"/>
        </w:rPr>
        <w:t xml:space="preserve"> from 2010/2011 onwards.</w:t>
      </w:r>
      <w:r w:rsidR="00AE4287" w:rsidRPr="00D243CD">
        <w:rPr>
          <w:rFonts w:cs="Courier New"/>
        </w:rPr>
        <w:t xml:space="preserve"> These results suggest that the chronic increases in DIN and DIP are largely related to the scale and extent of the wet season flow, however TSS increases, whilst driven by the sediment inputs from catchments,  can also be linked to other factors, such as the resuspension of the finer sediment through the frequency and intensity of the wind</w:t>
      </w:r>
    </w:p>
    <w:p w14:paraId="0C3F879A" w14:textId="77777777" w:rsidR="008172FD" w:rsidRPr="00D243CD" w:rsidRDefault="008172FD" w:rsidP="008172FD">
      <w:pPr>
        <w:rPr>
          <w:rFonts w:cs="Courier New"/>
        </w:rPr>
      </w:pPr>
      <w:r w:rsidRPr="00D243CD">
        <w:rPr>
          <w:rFonts w:cs="Courier New"/>
        </w:rPr>
        <w:t>The</w:t>
      </w:r>
      <w:r w:rsidR="00AE4287" w:rsidRPr="00D243CD">
        <w:rPr>
          <w:rFonts w:cs="Courier New"/>
        </w:rPr>
        <w:t xml:space="preserve"> partial effect plots (Figure 4.8</w:t>
      </w:r>
      <w:r w:rsidR="00A127FE">
        <w:rPr>
          <w:rFonts w:cs="Courier New"/>
        </w:rPr>
        <w:t xml:space="preserve">, Figure 4.9, Figure 4.10; </w:t>
      </w:r>
      <w:r w:rsidRPr="00D243CD">
        <w:rPr>
          <w:rFonts w:cs="Courier New"/>
        </w:rPr>
        <w:t>first 3 plots in each column) provide useful insights on the behaviour of each WQ component against the predictors. Surface salinity was a significant predictor for all the WQ components (Tab</w:t>
      </w:r>
      <w:r w:rsidR="00AE4287" w:rsidRPr="00D243CD">
        <w:rPr>
          <w:rFonts w:cs="Courier New"/>
        </w:rPr>
        <w:t>le 4.11</w:t>
      </w:r>
      <w:r w:rsidRPr="00D243CD">
        <w:rPr>
          <w:rFonts w:cs="Courier New"/>
        </w:rPr>
        <w:t>). As a general trend</w:t>
      </w:r>
      <w:r w:rsidR="00AE4287" w:rsidRPr="00D243CD">
        <w:rPr>
          <w:rFonts w:cs="Courier New"/>
        </w:rPr>
        <w:t>,</w:t>
      </w:r>
      <w:r w:rsidRPr="00D243CD">
        <w:rPr>
          <w:rFonts w:cs="Courier New"/>
        </w:rPr>
        <w:t xml:space="preserve"> all the WQ components </w:t>
      </w:r>
      <w:r w:rsidR="00AE4287" w:rsidRPr="00D243CD">
        <w:rPr>
          <w:rFonts w:cs="Courier New"/>
        </w:rPr>
        <w:t>reduce as salinity increases, stabilising</w:t>
      </w:r>
      <w:r w:rsidRPr="00D243CD">
        <w:rPr>
          <w:rFonts w:cs="Courier New"/>
        </w:rPr>
        <w:t xml:space="preserve"> </w:t>
      </w:r>
      <w:r w:rsidR="00AE4287" w:rsidRPr="00D243CD">
        <w:rPr>
          <w:rFonts w:cs="Courier New"/>
        </w:rPr>
        <w:t>in the mid salinity ranges</w:t>
      </w:r>
      <w:r w:rsidRPr="00D243CD">
        <w:rPr>
          <w:rFonts w:cs="Courier New"/>
        </w:rPr>
        <w:t>, although the stabilization point varies depending on the WQ com</w:t>
      </w:r>
      <w:r w:rsidR="00A127FE">
        <w:rPr>
          <w:rFonts w:cs="Courier New"/>
        </w:rPr>
        <w:t>ponent (Figure</w:t>
      </w:r>
      <w:r w:rsidR="00AE4287" w:rsidRPr="00D243CD">
        <w:rPr>
          <w:rFonts w:cs="Courier New"/>
        </w:rPr>
        <w:t>. 4.8</w:t>
      </w:r>
      <w:r w:rsidRPr="00D243CD">
        <w:rPr>
          <w:rFonts w:cs="Courier New"/>
        </w:rPr>
        <w:t>, plots in the top row). Different patterns are observed for chlorophyll-a and DIP. Chlorophyll-a exhibits a peak of concentr</w:t>
      </w:r>
      <w:r w:rsidR="00AE4287" w:rsidRPr="00D243CD">
        <w:rPr>
          <w:rFonts w:cs="Courier New"/>
        </w:rPr>
        <w:t>ation</w:t>
      </w:r>
      <w:r w:rsidR="00A127FE">
        <w:rPr>
          <w:rFonts w:cs="Courier New"/>
        </w:rPr>
        <w:t xml:space="preserve"> around salinity 15 (Figure 4.9</w:t>
      </w:r>
      <w:r w:rsidRPr="00D243CD">
        <w:rPr>
          <w:rFonts w:cs="Courier New"/>
        </w:rPr>
        <w:t>), and PN increases</w:t>
      </w:r>
      <w:r w:rsidR="00A127FE">
        <w:rPr>
          <w:rFonts w:cs="Courier New"/>
        </w:rPr>
        <w:t xml:space="preserve"> with salinity &gt; 30 (Figure 4.10</w:t>
      </w:r>
      <w:r w:rsidRPr="00D243CD">
        <w:rPr>
          <w:rFonts w:cs="Courier New"/>
        </w:rPr>
        <w:t>).</w:t>
      </w:r>
    </w:p>
    <w:p w14:paraId="0C3F879B" w14:textId="77777777" w:rsidR="008172FD" w:rsidRPr="00D243CD" w:rsidRDefault="008172FD" w:rsidP="008172FD">
      <w:pPr>
        <w:rPr>
          <w:rFonts w:cs="Courier New"/>
        </w:rPr>
      </w:pPr>
      <w:r w:rsidRPr="00D243CD">
        <w:rPr>
          <w:rFonts w:cs="Courier New"/>
        </w:rPr>
        <w:t>In relation to distance,</w:t>
      </w:r>
      <w:r w:rsidR="00AE4287" w:rsidRPr="00D243CD">
        <w:rPr>
          <w:rFonts w:cs="Courier New"/>
        </w:rPr>
        <w:t xml:space="preserve"> as would be expected, </w:t>
      </w:r>
      <w:r w:rsidRPr="00D243CD">
        <w:rPr>
          <w:rFonts w:cs="Courier New"/>
        </w:rPr>
        <w:t>most</w:t>
      </w:r>
      <w:r w:rsidR="00AE4287" w:rsidRPr="00D243CD">
        <w:rPr>
          <w:rFonts w:cs="Courier New"/>
        </w:rPr>
        <w:t xml:space="preserve"> of the WQ components reduce a</w:t>
      </w:r>
      <w:r w:rsidRPr="00D243CD">
        <w:rPr>
          <w:rFonts w:cs="Courier New"/>
        </w:rPr>
        <w:t>s water moves fa</w:t>
      </w:r>
      <w:r w:rsidR="00AE4287" w:rsidRPr="00D243CD">
        <w:rPr>
          <w:rFonts w:cs="Courier New"/>
        </w:rPr>
        <w:t>r from the river mouth (Figure 4.8</w:t>
      </w:r>
      <w:r w:rsidRPr="00D243CD">
        <w:rPr>
          <w:rFonts w:cs="Courier New"/>
        </w:rPr>
        <w:t>, plots in the second row). The peak of reduction is also variable depending on the WQ component, ranging from as close as 20 km from the river mouth (e.g., Kd, Fig</w:t>
      </w:r>
      <w:r w:rsidR="00A127FE">
        <w:rPr>
          <w:rFonts w:cs="Courier New"/>
        </w:rPr>
        <w:t>ure 4.8</w:t>
      </w:r>
      <w:r w:rsidRPr="00D243CD">
        <w:rPr>
          <w:rFonts w:cs="Courier New"/>
        </w:rPr>
        <w:t>)</w:t>
      </w:r>
      <w:r w:rsidR="00AE4287" w:rsidRPr="00D243CD">
        <w:rPr>
          <w:rFonts w:cs="Courier New"/>
        </w:rPr>
        <w:t>,</w:t>
      </w:r>
      <w:r w:rsidRPr="00D243CD">
        <w:rPr>
          <w:rFonts w:cs="Courier New"/>
        </w:rPr>
        <w:t xml:space="preserve"> up to 100 km</w:t>
      </w:r>
      <w:r w:rsidR="00AE4287" w:rsidRPr="00D243CD">
        <w:rPr>
          <w:rFonts w:cs="Courier New"/>
        </w:rPr>
        <w:t xml:space="preserve"> or more such </w:t>
      </w:r>
      <w:r w:rsidR="00A127FE">
        <w:rPr>
          <w:rFonts w:cs="Courier New"/>
        </w:rPr>
        <w:t>as for DIN (Figure 4.9</w:t>
      </w:r>
      <w:r w:rsidRPr="00D243CD">
        <w:rPr>
          <w:rFonts w:cs="Courier New"/>
        </w:rPr>
        <w:t>). However, caution must be taken when looking at data &gt; 100 km far from the coast due to the reduced numb</w:t>
      </w:r>
      <w:r w:rsidR="0036389B" w:rsidRPr="00D243CD">
        <w:rPr>
          <w:rFonts w:cs="Courier New"/>
        </w:rPr>
        <w:t>er of data points, which result</w:t>
      </w:r>
      <w:r w:rsidRPr="00D243CD">
        <w:rPr>
          <w:rFonts w:cs="Courier New"/>
        </w:rPr>
        <w:t xml:space="preserve"> in wider error bars. For example, distance does not present a significant pattern for PP, PN, DIP and Chl-a (Tab</w:t>
      </w:r>
      <w:r w:rsidR="0036389B" w:rsidRPr="00D243CD">
        <w:rPr>
          <w:rFonts w:cs="Courier New"/>
        </w:rPr>
        <w:t>le 4.11</w:t>
      </w:r>
      <w:r w:rsidRPr="00D243CD">
        <w:rPr>
          <w:rFonts w:cs="Courier New"/>
        </w:rPr>
        <w:t xml:space="preserve">), although only chlorophyll-a and PN were not included as predictor in the </w:t>
      </w:r>
      <w:r w:rsidR="0036389B" w:rsidRPr="00D243CD">
        <w:rPr>
          <w:rFonts w:cs="Courier New"/>
        </w:rPr>
        <w:t xml:space="preserve">following </w:t>
      </w:r>
      <w:r w:rsidRPr="00D243CD">
        <w:rPr>
          <w:rFonts w:cs="Courier New"/>
        </w:rPr>
        <w:t>GAMM analysis as they were excluded in the predictor selection in the GAM analysis</w:t>
      </w:r>
      <w:r w:rsidR="00A127FE">
        <w:rPr>
          <w:rFonts w:cs="Courier New"/>
        </w:rPr>
        <w:t xml:space="preserve"> (Figure 4.9</w:t>
      </w:r>
      <w:r w:rsidR="0036389B" w:rsidRPr="00D243CD">
        <w:rPr>
          <w:rFonts w:cs="Courier New"/>
        </w:rPr>
        <w:t>) as the</w:t>
      </w:r>
      <w:r w:rsidRPr="00D243CD">
        <w:rPr>
          <w:rFonts w:cs="Courier New"/>
        </w:rPr>
        <w:t xml:space="preserve"> fitted model is parallel to x-a</w:t>
      </w:r>
      <w:r w:rsidR="0036389B" w:rsidRPr="00D243CD">
        <w:rPr>
          <w:rFonts w:cs="Courier New"/>
        </w:rPr>
        <w:t>xis</w:t>
      </w:r>
      <w:r w:rsidRPr="00D243CD">
        <w:rPr>
          <w:rFonts w:cs="Courier New"/>
        </w:rPr>
        <w:t xml:space="preserve">. </w:t>
      </w:r>
    </w:p>
    <w:p w14:paraId="0C3F879C" w14:textId="77777777" w:rsidR="008172FD" w:rsidRPr="00D243CD" w:rsidRDefault="008172FD" w:rsidP="008172FD">
      <w:pPr>
        <w:rPr>
          <w:rFonts w:cs="Courier New"/>
        </w:rPr>
      </w:pPr>
      <w:r w:rsidRPr="00D243CD">
        <w:rPr>
          <w:rFonts w:cs="Courier New"/>
        </w:rPr>
        <w:t>Most of the WQ components respond to river discharge, being the higher the discharge the hi</w:t>
      </w:r>
      <w:r w:rsidR="0036389B" w:rsidRPr="00D243CD">
        <w:rPr>
          <w:rFonts w:cs="Courier New"/>
        </w:rPr>
        <w:t>gher the concentration (Figure 4.8</w:t>
      </w:r>
      <w:r w:rsidRPr="00D243CD">
        <w:rPr>
          <w:rFonts w:cs="Courier New"/>
        </w:rPr>
        <w:t>, plots in the third row), up to a maximum value where discharge is no longer influential. An exception to this pattern is exhibited by Si (Fig</w:t>
      </w:r>
      <w:r w:rsidR="00A127FE">
        <w:rPr>
          <w:rFonts w:cs="Courier New"/>
        </w:rPr>
        <w:t>ure 4.10</w:t>
      </w:r>
      <w:r w:rsidRPr="00D243CD">
        <w:rPr>
          <w:rFonts w:cs="Courier New"/>
        </w:rPr>
        <w:t xml:space="preserve">), </w:t>
      </w:r>
      <w:r w:rsidR="0036389B" w:rsidRPr="00D243CD">
        <w:rPr>
          <w:rFonts w:cs="Courier New"/>
        </w:rPr>
        <w:t>where the maximum peak</w:t>
      </w:r>
      <w:r w:rsidRPr="00D243CD">
        <w:rPr>
          <w:rFonts w:cs="Courier New"/>
        </w:rPr>
        <w:t xml:space="preserve"> occurs at relativel</w:t>
      </w:r>
      <w:r w:rsidR="0036389B" w:rsidRPr="00D243CD">
        <w:rPr>
          <w:rFonts w:cs="Courier New"/>
        </w:rPr>
        <w:t xml:space="preserve">y low discharges (&gt; 50,000 ML). </w:t>
      </w:r>
      <w:r w:rsidRPr="00D243CD">
        <w:rPr>
          <w:rFonts w:cs="Courier New"/>
        </w:rPr>
        <w:t>Again caution must be taken when looking at data sampled under high river discharge due to the reduced number of data points, which results in wider error bars. For example, river discharge does not present a significant pattern for Kd and Chl-a (Tab</w:t>
      </w:r>
      <w:r w:rsidR="0036389B" w:rsidRPr="00D243CD">
        <w:rPr>
          <w:rFonts w:cs="Courier New"/>
        </w:rPr>
        <w:t>le 4.11</w:t>
      </w:r>
      <w:r w:rsidRPr="00D243CD">
        <w:rPr>
          <w:rFonts w:cs="Courier New"/>
        </w:rPr>
        <w:t>), although both were included as predictor in the GAMM analysis.</w:t>
      </w:r>
    </w:p>
    <w:p w14:paraId="0C3F879D" w14:textId="77777777" w:rsidR="008172FD" w:rsidRPr="00D243CD" w:rsidRDefault="008172FD" w:rsidP="008172FD">
      <w:pPr>
        <w:rPr>
          <w:rFonts w:cs="Courier New"/>
        </w:rPr>
      </w:pPr>
      <w:r w:rsidRPr="00D243CD">
        <w:rPr>
          <w:rFonts w:cs="Courier New"/>
        </w:rPr>
        <w:t xml:space="preserve">The WQ components </w:t>
      </w:r>
      <w:r w:rsidR="0036389B" w:rsidRPr="00D243CD">
        <w:rPr>
          <w:rFonts w:cs="Courier New"/>
        </w:rPr>
        <w:t xml:space="preserve">that were </w:t>
      </w:r>
      <w:r w:rsidRPr="00D243CD">
        <w:rPr>
          <w:rFonts w:cs="Courier New"/>
        </w:rPr>
        <w:t>explained</w:t>
      </w:r>
      <w:r w:rsidR="0036389B" w:rsidRPr="00D243CD">
        <w:rPr>
          <w:rFonts w:cs="Courier New"/>
        </w:rPr>
        <w:t xml:space="preserve"> well</w:t>
      </w:r>
      <w:r w:rsidRPr="00D243CD">
        <w:rPr>
          <w:rFonts w:cs="Courier New"/>
        </w:rPr>
        <w:t xml:space="preserve"> by the selected predictors (i.e., among salinity, river discharge and distance) were Si, CDOM and DIN, </w:t>
      </w:r>
      <w:r w:rsidR="0036389B" w:rsidRPr="00D243CD">
        <w:rPr>
          <w:rFonts w:cs="Courier New"/>
        </w:rPr>
        <w:t>with</w:t>
      </w:r>
      <w:r w:rsidRPr="00D243CD">
        <w:rPr>
          <w:rFonts w:cs="Courier New"/>
        </w:rPr>
        <w:t xml:space="preserve"> variability explained </w:t>
      </w:r>
      <w:r w:rsidR="0036389B" w:rsidRPr="00D243CD">
        <w:rPr>
          <w:rFonts w:cs="Courier New"/>
        </w:rPr>
        <w:t>by greater than</w:t>
      </w:r>
      <w:r w:rsidRPr="00D243CD">
        <w:rPr>
          <w:rFonts w:cs="Courier New"/>
        </w:rPr>
        <w:t xml:space="preserve"> 55%. Chlorophyll-a was the component with less variability explained (5%) by the predictors. Among the predictors, salinity has on average the highest contribution to the general r-squared, so it is the most influential parameter analysed for the WQ components, followed by discharge and distance.</w:t>
      </w:r>
    </w:p>
    <w:p w14:paraId="0C3F879E" w14:textId="77777777" w:rsidR="008172FD" w:rsidRDefault="008172FD" w:rsidP="008172FD">
      <w:pPr>
        <w:rPr>
          <w:rFonts w:cs="Courier New"/>
          <w:sz w:val="24"/>
        </w:rPr>
      </w:pPr>
    </w:p>
    <w:p w14:paraId="0C3F879F" w14:textId="77777777" w:rsidR="008172FD" w:rsidRDefault="008172FD" w:rsidP="008172FD">
      <w:pPr>
        <w:rPr>
          <w:rFonts w:cs="Courier New"/>
          <w:sz w:val="24"/>
        </w:rPr>
      </w:pPr>
    </w:p>
    <w:p w14:paraId="0C3F87A0" w14:textId="77777777" w:rsidR="00D243CD" w:rsidRDefault="00D243CD" w:rsidP="008172FD">
      <w:pPr>
        <w:rPr>
          <w:rFonts w:cs="Courier New"/>
          <w:sz w:val="24"/>
        </w:rPr>
      </w:pPr>
    </w:p>
    <w:p w14:paraId="0C3F87A1" w14:textId="77777777" w:rsidR="00D243CD" w:rsidRDefault="00D243CD" w:rsidP="008172FD">
      <w:pPr>
        <w:rPr>
          <w:rFonts w:cs="Courier New"/>
          <w:sz w:val="24"/>
        </w:rPr>
      </w:pPr>
    </w:p>
    <w:p w14:paraId="0C3F87A2" w14:textId="77777777" w:rsidR="00D243CD" w:rsidRDefault="00D243CD" w:rsidP="008172FD">
      <w:pPr>
        <w:rPr>
          <w:rFonts w:cs="Courier New"/>
          <w:sz w:val="24"/>
        </w:rPr>
      </w:pPr>
    </w:p>
    <w:p w14:paraId="0C3F87A3" w14:textId="77777777" w:rsidR="00D243CD" w:rsidRDefault="00D243CD" w:rsidP="008172FD">
      <w:pPr>
        <w:rPr>
          <w:rFonts w:cs="Courier New"/>
          <w:sz w:val="24"/>
        </w:rPr>
      </w:pPr>
    </w:p>
    <w:p w14:paraId="0C3F87A4" w14:textId="77777777" w:rsidR="00D243CD" w:rsidRDefault="00D243CD" w:rsidP="008172FD">
      <w:pPr>
        <w:rPr>
          <w:rFonts w:cs="Courier New"/>
          <w:sz w:val="24"/>
        </w:rPr>
      </w:pPr>
    </w:p>
    <w:p w14:paraId="0C3F87A5" w14:textId="77777777" w:rsidR="008172FD" w:rsidRPr="00CC5FCA" w:rsidRDefault="00AE4287" w:rsidP="00AE4287">
      <w:pPr>
        <w:pStyle w:val="Caption"/>
        <w:rPr>
          <w:rFonts w:cs="Courier New"/>
          <w:sz w:val="24"/>
        </w:rPr>
      </w:pPr>
      <w:bookmarkStart w:id="136" w:name="_Toc434208078"/>
      <w:r>
        <w:t xml:space="preserve">Table </w:t>
      </w:r>
      <w:r>
        <w:fldChar w:fldCharType="begin"/>
      </w:r>
      <w:r>
        <w:instrText xml:space="preserve"> STYLEREF 1 \s </w:instrText>
      </w:r>
      <w:r>
        <w:fldChar w:fldCharType="separate"/>
      </w:r>
      <w:r w:rsidR="00B62B50">
        <w:rPr>
          <w:noProof/>
        </w:rPr>
        <w:t>4</w:t>
      </w:r>
      <w:r>
        <w:fldChar w:fldCharType="end"/>
      </w:r>
      <w:r>
        <w:noBreakHyphen/>
      </w:r>
      <w:r>
        <w:fldChar w:fldCharType="begin"/>
      </w:r>
      <w:r>
        <w:instrText xml:space="preserve"> SEQ Table \* ARABIC \s 1 </w:instrText>
      </w:r>
      <w:r>
        <w:fldChar w:fldCharType="separate"/>
      </w:r>
      <w:r w:rsidR="00B62B50">
        <w:rPr>
          <w:noProof/>
        </w:rPr>
        <w:t>11</w:t>
      </w:r>
      <w:r>
        <w:fldChar w:fldCharType="end"/>
      </w:r>
      <w:r>
        <w:t xml:space="preserve">: </w:t>
      </w:r>
      <w:r w:rsidR="008172FD">
        <w:rPr>
          <w:rFonts w:cs="Courier New"/>
          <w:sz w:val="24"/>
        </w:rPr>
        <w:t>Statistical summary of the multiple regression analysis. Number of data points, the general model r-squared and its p-value for each WQ component are shown in the left site of the table. The p-value and the percentage of contribution to the total r-squared for each predictor from the relative importance (number in brackets) are in the right side of the table. WQ components are sorted by general model r-squared, and numbers in bold stand for predictors not included in the GAMM analysis.</w:t>
      </w:r>
      <w:bookmarkEnd w:id="136"/>
    </w:p>
    <w:tbl>
      <w:tblPr>
        <w:tblW w:w="9320" w:type="dxa"/>
        <w:tblInd w:w="93" w:type="dxa"/>
        <w:tblLook w:val="04A0" w:firstRow="1" w:lastRow="0" w:firstColumn="1" w:lastColumn="0" w:noHBand="0" w:noVBand="1"/>
      </w:tblPr>
      <w:tblGrid>
        <w:gridCol w:w="1247"/>
        <w:gridCol w:w="1250"/>
        <w:gridCol w:w="648"/>
        <w:gridCol w:w="1042"/>
        <w:gridCol w:w="280"/>
        <w:gridCol w:w="1660"/>
        <w:gridCol w:w="1660"/>
        <w:gridCol w:w="1660"/>
      </w:tblGrid>
      <w:tr w:rsidR="008172FD" w:rsidRPr="00CC5FCA" w14:paraId="0C3F87AA" w14:textId="77777777" w:rsidTr="005B6DBF">
        <w:trPr>
          <w:trHeight w:val="300"/>
        </w:trPr>
        <w:tc>
          <w:tcPr>
            <w:tcW w:w="1120" w:type="dxa"/>
            <w:vMerge w:val="restart"/>
            <w:tcBorders>
              <w:top w:val="single" w:sz="4" w:space="0" w:color="auto"/>
              <w:left w:val="nil"/>
              <w:bottom w:val="single" w:sz="4" w:space="0" w:color="000000"/>
              <w:right w:val="nil"/>
            </w:tcBorders>
            <w:shd w:val="clear" w:color="auto" w:fill="auto"/>
            <w:vAlign w:val="bottom"/>
            <w:hideMark/>
          </w:tcPr>
          <w:p w14:paraId="0C3F87A6"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WQ component</w:t>
            </w:r>
          </w:p>
        </w:tc>
        <w:tc>
          <w:tcPr>
            <w:tcW w:w="2940" w:type="dxa"/>
            <w:gridSpan w:val="3"/>
            <w:tcBorders>
              <w:top w:val="single" w:sz="4" w:space="0" w:color="auto"/>
              <w:left w:val="nil"/>
              <w:bottom w:val="single" w:sz="4" w:space="0" w:color="auto"/>
              <w:right w:val="nil"/>
            </w:tcBorders>
            <w:shd w:val="clear" w:color="auto" w:fill="auto"/>
            <w:noWrap/>
            <w:vAlign w:val="bottom"/>
            <w:hideMark/>
          </w:tcPr>
          <w:p w14:paraId="0C3F87A7"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multiple regression model</w:t>
            </w:r>
          </w:p>
        </w:tc>
        <w:tc>
          <w:tcPr>
            <w:tcW w:w="280" w:type="dxa"/>
            <w:tcBorders>
              <w:top w:val="single" w:sz="4" w:space="0" w:color="auto"/>
              <w:left w:val="nil"/>
              <w:bottom w:val="nil"/>
              <w:right w:val="nil"/>
            </w:tcBorders>
            <w:shd w:val="clear" w:color="auto" w:fill="auto"/>
            <w:noWrap/>
            <w:vAlign w:val="bottom"/>
            <w:hideMark/>
          </w:tcPr>
          <w:p w14:paraId="0C3F87A8"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 </w:t>
            </w:r>
          </w:p>
        </w:tc>
        <w:tc>
          <w:tcPr>
            <w:tcW w:w="4980" w:type="dxa"/>
            <w:gridSpan w:val="3"/>
            <w:tcBorders>
              <w:top w:val="single" w:sz="4" w:space="0" w:color="auto"/>
              <w:left w:val="nil"/>
              <w:bottom w:val="single" w:sz="4" w:space="0" w:color="auto"/>
              <w:right w:val="nil"/>
            </w:tcBorders>
            <w:shd w:val="clear" w:color="auto" w:fill="auto"/>
            <w:noWrap/>
            <w:vAlign w:val="bottom"/>
            <w:hideMark/>
          </w:tcPr>
          <w:p w14:paraId="0C3F87A9"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p-value of each predictor (% of r-sq. contribution)</w:t>
            </w:r>
          </w:p>
        </w:tc>
      </w:tr>
      <w:tr w:rsidR="008172FD" w:rsidRPr="00CC5FCA" w14:paraId="0C3F87B3" w14:textId="77777777" w:rsidTr="005B6DBF">
        <w:trPr>
          <w:trHeight w:val="300"/>
        </w:trPr>
        <w:tc>
          <w:tcPr>
            <w:tcW w:w="1120" w:type="dxa"/>
            <w:vMerge/>
            <w:tcBorders>
              <w:top w:val="single" w:sz="4" w:space="0" w:color="auto"/>
              <w:left w:val="nil"/>
              <w:bottom w:val="single" w:sz="4" w:space="0" w:color="000000"/>
              <w:right w:val="nil"/>
            </w:tcBorders>
            <w:vAlign w:val="center"/>
            <w:hideMark/>
          </w:tcPr>
          <w:p w14:paraId="0C3F87AB" w14:textId="77777777" w:rsidR="008172FD" w:rsidRPr="00CC5FCA" w:rsidRDefault="008172FD" w:rsidP="005B6DBF">
            <w:pPr>
              <w:spacing w:after="0"/>
              <w:jc w:val="left"/>
              <w:rPr>
                <w:rFonts w:ascii="Calibri" w:hAnsi="Calibri" w:cs="Times New Roman"/>
                <w:color w:val="000000"/>
              </w:rPr>
            </w:pPr>
          </w:p>
        </w:tc>
        <w:tc>
          <w:tcPr>
            <w:tcW w:w="1250" w:type="dxa"/>
            <w:tcBorders>
              <w:top w:val="nil"/>
              <w:left w:val="nil"/>
              <w:bottom w:val="single" w:sz="4" w:space="0" w:color="auto"/>
              <w:right w:val="nil"/>
            </w:tcBorders>
            <w:shd w:val="clear" w:color="auto" w:fill="auto"/>
            <w:noWrap/>
            <w:vAlign w:val="bottom"/>
            <w:hideMark/>
          </w:tcPr>
          <w:p w14:paraId="0C3F87AC"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Data size</w:t>
            </w:r>
          </w:p>
        </w:tc>
        <w:tc>
          <w:tcPr>
            <w:tcW w:w="648" w:type="dxa"/>
            <w:tcBorders>
              <w:top w:val="nil"/>
              <w:left w:val="nil"/>
              <w:bottom w:val="single" w:sz="4" w:space="0" w:color="auto"/>
              <w:right w:val="nil"/>
            </w:tcBorders>
            <w:shd w:val="clear" w:color="auto" w:fill="auto"/>
            <w:noWrap/>
            <w:vAlign w:val="bottom"/>
            <w:hideMark/>
          </w:tcPr>
          <w:p w14:paraId="0C3F87AD"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r-sq.</w:t>
            </w:r>
          </w:p>
        </w:tc>
        <w:tc>
          <w:tcPr>
            <w:tcW w:w="1042" w:type="dxa"/>
            <w:tcBorders>
              <w:top w:val="nil"/>
              <w:left w:val="nil"/>
              <w:bottom w:val="single" w:sz="4" w:space="0" w:color="auto"/>
              <w:right w:val="nil"/>
            </w:tcBorders>
            <w:shd w:val="clear" w:color="auto" w:fill="auto"/>
            <w:noWrap/>
            <w:vAlign w:val="bottom"/>
            <w:hideMark/>
          </w:tcPr>
          <w:p w14:paraId="0C3F87AE"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p-value</w:t>
            </w:r>
          </w:p>
        </w:tc>
        <w:tc>
          <w:tcPr>
            <w:tcW w:w="280" w:type="dxa"/>
            <w:tcBorders>
              <w:top w:val="nil"/>
              <w:left w:val="nil"/>
              <w:bottom w:val="single" w:sz="4" w:space="0" w:color="auto"/>
              <w:right w:val="nil"/>
            </w:tcBorders>
            <w:shd w:val="clear" w:color="auto" w:fill="auto"/>
            <w:noWrap/>
            <w:vAlign w:val="bottom"/>
            <w:hideMark/>
          </w:tcPr>
          <w:p w14:paraId="0C3F87AF"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 </w:t>
            </w:r>
          </w:p>
        </w:tc>
        <w:tc>
          <w:tcPr>
            <w:tcW w:w="1660" w:type="dxa"/>
            <w:tcBorders>
              <w:top w:val="nil"/>
              <w:left w:val="nil"/>
              <w:bottom w:val="single" w:sz="4" w:space="0" w:color="auto"/>
              <w:right w:val="nil"/>
            </w:tcBorders>
            <w:shd w:val="clear" w:color="auto" w:fill="auto"/>
            <w:noWrap/>
            <w:vAlign w:val="bottom"/>
            <w:hideMark/>
          </w:tcPr>
          <w:p w14:paraId="0C3F87B0"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Salinity</w:t>
            </w:r>
          </w:p>
        </w:tc>
        <w:tc>
          <w:tcPr>
            <w:tcW w:w="1660" w:type="dxa"/>
            <w:tcBorders>
              <w:top w:val="nil"/>
              <w:left w:val="nil"/>
              <w:bottom w:val="single" w:sz="4" w:space="0" w:color="auto"/>
              <w:right w:val="nil"/>
            </w:tcBorders>
            <w:shd w:val="clear" w:color="auto" w:fill="auto"/>
            <w:noWrap/>
            <w:vAlign w:val="bottom"/>
            <w:hideMark/>
          </w:tcPr>
          <w:p w14:paraId="0C3F87B1"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Distance</w:t>
            </w:r>
          </w:p>
        </w:tc>
        <w:tc>
          <w:tcPr>
            <w:tcW w:w="1660" w:type="dxa"/>
            <w:tcBorders>
              <w:top w:val="nil"/>
              <w:left w:val="nil"/>
              <w:bottom w:val="single" w:sz="4" w:space="0" w:color="auto"/>
              <w:right w:val="nil"/>
            </w:tcBorders>
            <w:shd w:val="clear" w:color="auto" w:fill="auto"/>
            <w:noWrap/>
            <w:vAlign w:val="bottom"/>
            <w:hideMark/>
          </w:tcPr>
          <w:p w14:paraId="0C3F87B2"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Discharge</w:t>
            </w:r>
          </w:p>
        </w:tc>
      </w:tr>
      <w:tr w:rsidR="008172FD" w:rsidRPr="00CC5FCA" w14:paraId="0C3F87BC" w14:textId="77777777" w:rsidTr="005B6DBF">
        <w:trPr>
          <w:trHeight w:val="300"/>
        </w:trPr>
        <w:tc>
          <w:tcPr>
            <w:tcW w:w="1120" w:type="dxa"/>
            <w:tcBorders>
              <w:top w:val="nil"/>
              <w:left w:val="nil"/>
              <w:right w:val="nil"/>
            </w:tcBorders>
            <w:shd w:val="clear" w:color="auto" w:fill="auto"/>
            <w:noWrap/>
            <w:vAlign w:val="bottom"/>
            <w:hideMark/>
          </w:tcPr>
          <w:p w14:paraId="0C3F87B4"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Si</w:t>
            </w:r>
          </w:p>
        </w:tc>
        <w:tc>
          <w:tcPr>
            <w:tcW w:w="1250" w:type="dxa"/>
            <w:tcBorders>
              <w:top w:val="nil"/>
              <w:left w:val="nil"/>
              <w:right w:val="nil"/>
            </w:tcBorders>
            <w:shd w:val="clear" w:color="auto" w:fill="auto"/>
            <w:noWrap/>
            <w:vAlign w:val="bottom"/>
            <w:hideMark/>
          </w:tcPr>
          <w:p w14:paraId="0C3F87B5"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165</w:t>
            </w:r>
          </w:p>
        </w:tc>
        <w:tc>
          <w:tcPr>
            <w:tcW w:w="648" w:type="dxa"/>
            <w:tcBorders>
              <w:top w:val="nil"/>
              <w:left w:val="nil"/>
              <w:right w:val="nil"/>
            </w:tcBorders>
            <w:shd w:val="clear" w:color="auto" w:fill="auto"/>
            <w:noWrap/>
            <w:vAlign w:val="bottom"/>
            <w:hideMark/>
          </w:tcPr>
          <w:p w14:paraId="0C3F87B6"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0.85</w:t>
            </w:r>
          </w:p>
        </w:tc>
        <w:tc>
          <w:tcPr>
            <w:tcW w:w="1042" w:type="dxa"/>
            <w:tcBorders>
              <w:top w:val="nil"/>
              <w:left w:val="nil"/>
              <w:right w:val="nil"/>
            </w:tcBorders>
            <w:shd w:val="clear" w:color="auto" w:fill="auto"/>
            <w:noWrap/>
            <w:vAlign w:val="bottom"/>
            <w:hideMark/>
          </w:tcPr>
          <w:p w14:paraId="0C3F87B7"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right w:val="nil"/>
            </w:tcBorders>
            <w:shd w:val="clear" w:color="auto" w:fill="auto"/>
            <w:noWrap/>
            <w:vAlign w:val="bottom"/>
            <w:hideMark/>
          </w:tcPr>
          <w:p w14:paraId="0C3F87B8"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 </w:t>
            </w:r>
          </w:p>
        </w:tc>
        <w:tc>
          <w:tcPr>
            <w:tcW w:w="1660" w:type="dxa"/>
            <w:tcBorders>
              <w:top w:val="nil"/>
              <w:left w:val="nil"/>
              <w:right w:val="nil"/>
            </w:tcBorders>
            <w:shd w:val="clear" w:color="auto" w:fill="auto"/>
            <w:noWrap/>
            <w:vAlign w:val="bottom"/>
            <w:hideMark/>
          </w:tcPr>
          <w:p w14:paraId="0C3F87B9"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(79.1)</w:t>
            </w:r>
          </w:p>
        </w:tc>
        <w:tc>
          <w:tcPr>
            <w:tcW w:w="1660" w:type="dxa"/>
            <w:tcBorders>
              <w:top w:val="nil"/>
              <w:left w:val="nil"/>
              <w:right w:val="nil"/>
            </w:tcBorders>
            <w:shd w:val="clear" w:color="auto" w:fill="auto"/>
            <w:noWrap/>
            <w:vAlign w:val="bottom"/>
            <w:hideMark/>
          </w:tcPr>
          <w:p w14:paraId="0C3F87BA"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(7.7)</w:t>
            </w:r>
          </w:p>
        </w:tc>
        <w:tc>
          <w:tcPr>
            <w:tcW w:w="1660" w:type="dxa"/>
            <w:tcBorders>
              <w:top w:val="nil"/>
              <w:left w:val="nil"/>
              <w:right w:val="nil"/>
            </w:tcBorders>
            <w:shd w:val="clear" w:color="auto" w:fill="auto"/>
            <w:noWrap/>
            <w:vAlign w:val="bottom"/>
            <w:hideMark/>
          </w:tcPr>
          <w:p w14:paraId="0C3F87BB"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(13.3)</w:t>
            </w:r>
          </w:p>
        </w:tc>
      </w:tr>
      <w:tr w:rsidR="008172FD" w:rsidRPr="00CC5FCA" w14:paraId="0C3F87C5" w14:textId="77777777" w:rsidTr="005B6DBF">
        <w:trPr>
          <w:trHeight w:val="300"/>
        </w:trPr>
        <w:tc>
          <w:tcPr>
            <w:tcW w:w="1120" w:type="dxa"/>
            <w:tcBorders>
              <w:top w:val="nil"/>
              <w:left w:val="nil"/>
              <w:bottom w:val="nil"/>
              <w:right w:val="nil"/>
            </w:tcBorders>
            <w:shd w:val="clear" w:color="auto" w:fill="auto"/>
            <w:noWrap/>
            <w:vAlign w:val="bottom"/>
            <w:hideMark/>
          </w:tcPr>
          <w:p w14:paraId="0C3F87BD"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CDOM</w:t>
            </w:r>
          </w:p>
        </w:tc>
        <w:tc>
          <w:tcPr>
            <w:tcW w:w="1250" w:type="dxa"/>
            <w:tcBorders>
              <w:top w:val="nil"/>
              <w:left w:val="nil"/>
              <w:bottom w:val="nil"/>
              <w:right w:val="nil"/>
            </w:tcBorders>
            <w:shd w:val="clear" w:color="auto" w:fill="auto"/>
            <w:noWrap/>
            <w:vAlign w:val="bottom"/>
            <w:hideMark/>
          </w:tcPr>
          <w:p w14:paraId="0C3F87BE"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589</w:t>
            </w:r>
          </w:p>
        </w:tc>
        <w:tc>
          <w:tcPr>
            <w:tcW w:w="648" w:type="dxa"/>
            <w:tcBorders>
              <w:top w:val="nil"/>
              <w:left w:val="nil"/>
              <w:bottom w:val="nil"/>
              <w:right w:val="nil"/>
            </w:tcBorders>
            <w:shd w:val="clear" w:color="auto" w:fill="auto"/>
            <w:noWrap/>
            <w:vAlign w:val="bottom"/>
            <w:hideMark/>
          </w:tcPr>
          <w:p w14:paraId="0C3F87BF"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0.58</w:t>
            </w:r>
          </w:p>
        </w:tc>
        <w:tc>
          <w:tcPr>
            <w:tcW w:w="1042" w:type="dxa"/>
            <w:tcBorders>
              <w:top w:val="nil"/>
              <w:left w:val="nil"/>
              <w:bottom w:val="nil"/>
              <w:right w:val="nil"/>
            </w:tcBorders>
            <w:shd w:val="clear" w:color="auto" w:fill="auto"/>
            <w:noWrap/>
            <w:vAlign w:val="bottom"/>
            <w:hideMark/>
          </w:tcPr>
          <w:p w14:paraId="0C3F87C0"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C1"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C2"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(56.2)</w:t>
            </w:r>
          </w:p>
        </w:tc>
        <w:tc>
          <w:tcPr>
            <w:tcW w:w="1660" w:type="dxa"/>
            <w:tcBorders>
              <w:top w:val="nil"/>
              <w:left w:val="nil"/>
              <w:bottom w:val="nil"/>
              <w:right w:val="nil"/>
            </w:tcBorders>
            <w:shd w:val="clear" w:color="auto" w:fill="auto"/>
            <w:noWrap/>
            <w:vAlign w:val="bottom"/>
            <w:hideMark/>
          </w:tcPr>
          <w:p w14:paraId="0C3F87C3"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(5.8)</w:t>
            </w:r>
          </w:p>
        </w:tc>
        <w:tc>
          <w:tcPr>
            <w:tcW w:w="1660" w:type="dxa"/>
            <w:tcBorders>
              <w:top w:val="nil"/>
              <w:left w:val="nil"/>
              <w:bottom w:val="nil"/>
              <w:right w:val="nil"/>
            </w:tcBorders>
            <w:shd w:val="clear" w:color="auto" w:fill="auto"/>
            <w:noWrap/>
            <w:vAlign w:val="bottom"/>
            <w:hideMark/>
          </w:tcPr>
          <w:p w14:paraId="0C3F87C4"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(38)</w:t>
            </w:r>
          </w:p>
        </w:tc>
      </w:tr>
      <w:tr w:rsidR="008172FD" w:rsidRPr="00CC5FCA" w14:paraId="0C3F87CE" w14:textId="77777777" w:rsidTr="005B6DBF">
        <w:trPr>
          <w:trHeight w:val="300"/>
        </w:trPr>
        <w:tc>
          <w:tcPr>
            <w:tcW w:w="1120" w:type="dxa"/>
            <w:tcBorders>
              <w:top w:val="nil"/>
              <w:left w:val="nil"/>
              <w:bottom w:val="nil"/>
              <w:right w:val="nil"/>
            </w:tcBorders>
            <w:shd w:val="clear" w:color="auto" w:fill="auto"/>
            <w:noWrap/>
            <w:vAlign w:val="bottom"/>
            <w:hideMark/>
          </w:tcPr>
          <w:p w14:paraId="0C3F87C6"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DIN</w:t>
            </w:r>
          </w:p>
        </w:tc>
        <w:tc>
          <w:tcPr>
            <w:tcW w:w="1250" w:type="dxa"/>
            <w:tcBorders>
              <w:top w:val="nil"/>
              <w:left w:val="nil"/>
              <w:bottom w:val="nil"/>
              <w:right w:val="nil"/>
            </w:tcBorders>
            <w:shd w:val="clear" w:color="auto" w:fill="auto"/>
            <w:noWrap/>
            <w:vAlign w:val="bottom"/>
            <w:hideMark/>
          </w:tcPr>
          <w:p w14:paraId="0C3F87C7"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698</w:t>
            </w:r>
          </w:p>
        </w:tc>
        <w:tc>
          <w:tcPr>
            <w:tcW w:w="648" w:type="dxa"/>
            <w:tcBorders>
              <w:top w:val="nil"/>
              <w:left w:val="nil"/>
              <w:bottom w:val="nil"/>
              <w:right w:val="nil"/>
            </w:tcBorders>
            <w:shd w:val="clear" w:color="auto" w:fill="auto"/>
            <w:noWrap/>
            <w:vAlign w:val="bottom"/>
            <w:hideMark/>
          </w:tcPr>
          <w:p w14:paraId="0C3F87C8"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0.57</w:t>
            </w:r>
          </w:p>
        </w:tc>
        <w:tc>
          <w:tcPr>
            <w:tcW w:w="1042" w:type="dxa"/>
            <w:tcBorders>
              <w:top w:val="nil"/>
              <w:left w:val="nil"/>
              <w:bottom w:val="nil"/>
              <w:right w:val="nil"/>
            </w:tcBorders>
            <w:shd w:val="clear" w:color="auto" w:fill="auto"/>
            <w:noWrap/>
            <w:vAlign w:val="bottom"/>
            <w:hideMark/>
          </w:tcPr>
          <w:p w14:paraId="0C3F87C9"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CA"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CB"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(77.2)</w:t>
            </w:r>
          </w:p>
        </w:tc>
        <w:tc>
          <w:tcPr>
            <w:tcW w:w="1660" w:type="dxa"/>
            <w:tcBorders>
              <w:top w:val="nil"/>
              <w:left w:val="nil"/>
              <w:bottom w:val="nil"/>
              <w:right w:val="nil"/>
            </w:tcBorders>
            <w:shd w:val="clear" w:color="auto" w:fill="auto"/>
            <w:noWrap/>
            <w:vAlign w:val="bottom"/>
            <w:hideMark/>
          </w:tcPr>
          <w:p w14:paraId="0C3F87CC"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(1.5)</w:t>
            </w:r>
          </w:p>
        </w:tc>
        <w:tc>
          <w:tcPr>
            <w:tcW w:w="1660" w:type="dxa"/>
            <w:tcBorders>
              <w:top w:val="nil"/>
              <w:left w:val="nil"/>
              <w:bottom w:val="nil"/>
              <w:right w:val="nil"/>
            </w:tcBorders>
            <w:shd w:val="clear" w:color="auto" w:fill="auto"/>
            <w:noWrap/>
            <w:vAlign w:val="bottom"/>
            <w:hideMark/>
          </w:tcPr>
          <w:p w14:paraId="0C3F87CD"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(21.4)</w:t>
            </w:r>
          </w:p>
        </w:tc>
      </w:tr>
      <w:tr w:rsidR="008172FD" w:rsidRPr="00CC5FCA" w14:paraId="0C3F87D7" w14:textId="77777777" w:rsidTr="005B6DBF">
        <w:trPr>
          <w:trHeight w:val="300"/>
        </w:trPr>
        <w:tc>
          <w:tcPr>
            <w:tcW w:w="1120" w:type="dxa"/>
            <w:tcBorders>
              <w:top w:val="nil"/>
              <w:left w:val="nil"/>
              <w:bottom w:val="nil"/>
              <w:right w:val="nil"/>
            </w:tcBorders>
            <w:shd w:val="clear" w:color="auto" w:fill="auto"/>
            <w:noWrap/>
            <w:vAlign w:val="bottom"/>
            <w:hideMark/>
          </w:tcPr>
          <w:p w14:paraId="0C3F87CF"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TSS</w:t>
            </w:r>
          </w:p>
        </w:tc>
        <w:tc>
          <w:tcPr>
            <w:tcW w:w="1250" w:type="dxa"/>
            <w:tcBorders>
              <w:top w:val="nil"/>
              <w:left w:val="nil"/>
              <w:bottom w:val="nil"/>
              <w:right w:val="nil"/>
            </w:tcBorders>
            <w:shd w:val="clear" w:color="auto" w:fill="auto"/>
            <w:noWrap/>
            <w:vAlign w:val="bottom"/>
            <w:hideMark/>
          </w:tcPr>
          <w:p w14:paraId="0C3F87D0"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740</w:t>
            </w:r>
          </w:p>
        </w:tc>
        <w:tc>
          <w:tcPr>
            <w:tcW w:w="648" w:type="dxa"/>
            <w:tcBorders>
              <w:top w:val="nil"/>
              <w:left w:val="nil"/>
              <w:bottom w:val="nil"/>
              <w:right w:val="nil"/>
            </w:tcBorders>
            <w:shd w:val="clear" w:color="auto" w:fill="auto"/>
            <w:noWrap/>
            <w:vAlign w:val="bottom"/>
            <w:hideMark/>
          </w:tcPr>
          <w:p w14:paraId="0C3F87D1"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0.47</w:t>
            </w:r>
          </w:p>
        </w:tc>
        <w:tc>
          <w:tcPr>
            <w:tcW w:w="1042" w:type="dxa"/>
            <w:tcBorders>
              <w:top w:val="nil"/>
              <w:left w:val="nil"/>
              <w:bottom w:val="nil"/>
              <w:right w:val="nil"/>
            </w:tcBorders>
            <w:shd w:val="clear" w:color="auto" w:fill="auto"/>
            <w:noWrap/>
            <w:vAlign w:val="bottom"/>
            <w:hideMark/>
          </w:tcPr>
          <w:p w14:paraId="0C3F87D2"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D3"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D4"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(53.3)</w:t>
            </w:r>
          </w:p>
        </w:tc>
        <w:tc>
          <w:tcPr>
            <w:tcW w:w="1660" w:type="dxa"/>
            <w:tcBorders>
              <w:top w:val="nil"/>
              <w:left w:val="nil"/>
              <w:bottom w:val="nil"/>
              <w:right w:val="nil"/>
            </w:tcBorders>
            <w:shd w:val="clear" w:color="auto" w:fill="auto"/>
            <w:noWrap/>
            <w:vAlign w:val="bottom"/>
            <w:hideMark/>
          </w:tcPr>
          <w:p w14:paraId="0C3F87D5"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(3.7)</w:t>
            </w:r>
          </w:p>
        </w:tc>
        <w:tc>
          <w:tcPr>
            <w:tcW w:w="1660" w:type="dxa"/>
            <w:tcBorders>
              <w:top w:val="nil"/>
              <w:left w:val="nil"/>
              <w:bottom w:val="nil"/>
              <w:right w:val="nil"/>
            </w:tcBorders>
            <w:shd w:val="clear" w:color="auto" w:fill="auto"/>
            <w:noWrap/>
            <w:vAlign w:val="bottom"/>
            <w:hideMark/>
          </w:tcPr>
          <w:p w14:paraId="0C3F87D6"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(43)</w:t>
            </w:r>
          </w:p>
        </w:tc>
      </w:tr>
      <w:tr w:rsidR="008172FD" w:rsidRPr="00CC5FCA" w14:paraId="0C3F87E0" w14:textId="77777777" w:rsidTr="005B6DBF">
        <w:trPr>
          <w:trHeight w:val="300"/>
        </w:trPr>
        <w:tc>
          <w:tcPr>
            <w:tcW w:w="1120" w:type="dxa"/>
            <w:tcBorders>
              <w:top w:val="nil"/>
              <w:left w:val="nil"/>
              <w:bottom w:val="nil"/>
              <w:right w:val="nil"/>
            </w:tcBorders>
            <w:shd w:val="clear" w:color="auto" w:fill="auto"/>
            <w:noWrap/>
            <w:vAlign w:val="bottom"/>
            <w:hideMark/>
          </w:tcPr>
          <w:p w14:paraId="0C3F87D8"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PP</w:t>
            </w:r>
          </w:p>
        </w:tc>
        <w:tc>
          <w:tcPr>
            <w:tcW w:w="1250" w:type="dxa"/>
            <w:tcBorders>
              <w:top w:val="nil"/>
              <w:left w:val="nil"/>
              <w:bottom w:val="nil"/>
              <w:right w:val="nil"/>
            </w:tcBorders>
            <w:shd w:val="clear" w:color="auto" w:fill="auto"/>
            <w:noWrap/>
            <w:vAlign w:val="bottom"/>
            <w:hideMark/>
          </w:tcPr>
          <w:p w14:paraId="0C3F87D9"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719</w:t>
            </w:r>
          </w:p>
        </w:tc>
        <w:tc>
          <w:tcPr>
            <w:tcW w:w="648" w:type="dxa"/>
            <w:tcBorders>
              <w:top w:val="nil"/>
              <w:left w:val="nil"/>
              <w:bottom w:val="nil"/>
              <w:right w:val="nil"/>
            </w:tcBorders>
            <w:shd w:val="clear" w:color="auto" w:fill="auto"/>
            <w:noWrap/>
            <w:vAlign w:val="bottom"/>
            <w:hideMark/>
          </w:tcPr>
          <w:p w14:paraId="0C3F87DA"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0.39</w:t>
            </w:r>
          </w:p>
        </w:tc>
        <w:tc>
          <w:tcPr>
            <w:tcW w:w="1042" w:type="dxa"/>
            <w:tcBorders>
              <w:top w:val="nil"/>
              <w:left w:val="nil"/>
              <w:bottom w:val="nil"/>
              <w:right w:val="nil"/>
            </w:tcBorders>
            <w:shd w:val="clear" w:color="auto" w:fill="auto"/>
            <w:noWrap/>
            <w:vAlign w:val="bottom"/>
            <w:hideMark/>
          </w:tcPr>
          <w:p w14:paraId="0C3F87DB"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DC"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DD"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(64.7)</w:t>
            </w:r>
          </w:p>
        </w:tc>
        <w:tc>
          <w:tcPr>
            <w:tcW w:w="1660" w:type="dxa"/>
            <w:tcBorders>
              <w:top w:val="nil"/>
              <w:left w:val="nil"/>
              <w:bottom w:val="nil"/>
              <w:right w:val="nil"/>
            </w:tcBorders>
            <w:shd w:val="clear" w:color="auto" w:fill="auto"/>
            <w:noWrap/>
            <w:vAlign w:val="bottom"/>
            <w:hideMark/>
          </w:tcPr>
          <w:p w14:paraId="0C3F87DE"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0.17 (1.4)</w:t>
            </w:r>
          </w:p>
        </w:tc>
        <w:tc>
          <w:tcPr>
            <w:tcW w:w="1660" w:type="dxa"/>
            <w:tcBorders>
              <w:top w:val="nil"/>
              <w:left w:val="nil"/>
              <w:bottom w:val="nil"/>
              <w:right w:val="nil"/>
            </w:tcBorders>
            <w:shd w:val="clear" w:color="auto" w:fill="auto"/>
            <w:noWrap/>
            <w:vAlign w:val="bottom"/>
            <w:hideMark/>
          </w:tcPr>
          <w:p w14:paraId="0C3F87DF"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(33.8)</w:t>
            </w:r>
          </w:p>
        </w:tc>
      </w:tr>
      <w:tr w:rsidR="008172FD" w:rsidRPr="00CC5FCA" w14:paraId="0C3F87E9" w14:textId="77777777" w:rsidTr="005B6DBF">
        <w:trPr>
          <w:trHeight w:val="300"/>
        </w:trPr>
        <w:tc>
          <w:tcPr>
            <w:tcW w:w="1120" w:type="dxa"/>
            <w:tcBorders>
              <w:top w:val="nil"/>
              <w:left w:val="nil"/>
              <w:bottom w:val="nil"/>
              <w:right w:val="nil"/>
            </w:tcBorders>
            <w:shd w:val="clear" w:color="auto" w:fill="auto"/>
            <w:noWrap/>
            <w:vAlign w:val="bottom"/>
            <w:hideMark/>
          </w:tcPr>
          <w:p w14:paraId="0C3F87E1"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Kd</w:t>
            </w:r>
          </w:p>
        </w:tc>
        <w:tc>
          <w:tcPr>
            <w:tcW w:w="1250" w:type="dxa"/>
            <w:tcBorders>
              <w:top w:val="nil"/>
              <w:left w:val="nil"/>
              <w:bottom w:val="nil"/>
              <w:right w:val="nil"/>
            </w:tcBorders>
            <w:shd w:val="clear" w:color="auto" w:fill="auto"/>
            <w:noWrap/>
            <w:vAlign w:val="bottom"/>
            <w:hideMark/>
          </w:tcPr>
          <w:p w14:paraId="0C3F87E2"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355</w:t>
            </w:r>
          </w:p>
        </w:tc>
        <w:tc>
          <w:tcPr>
            <w:tcW w:w="648" w:type="dxa"/>
            <w:tcBorders>
              <w:top w:val="nil"/>
              <w:left w:val="nil"/>
              <w:bottom w:val="nil"/>
              <w:right w:val="nil"/>
            </w:tcBorders>
            <w:shd w:val="clear" w:color="auto" w:fill="auto"/>
            <w:noWrap/>
            <w:vAlign w:val="bottom"/>
            <w:hideMark/>
          </w:tcPr>
          <w:p w14:paraId="0C3F87E3"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0.36</w:t>
            </w:r>
          </w:p>
        </w:tc>
        <w:tc>
          <w:tcPr>
            <w:tcW w:w="1042" w:type="dxa"/>
            <w:tcBorders>
              <w:top w:val="nil"/>
              <w:left w:val="nil"/>
              <w:bottom w:val="nil"/>
              <w:right w:val="nil"/>
            </w:tcBorders>
            <w:shd w:val="clear" w:color="auto" w:fill="auto"/>
            <w:noWrap/>
            <w:vAlign w:val="bottom"/>
            <w:hideMark/>
          </w:tcPr>
          <w:p w14:paraId="0C3F87E4"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E5"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E6"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(71.8)</w:t>
            </w:r>
          </w:p>
        </w:tc>
        <w:tc>
          <w:tcPr>
            <w:tcW w:w="1660" w:type="dxa"/>
            <w:tcBorders>
              <w:top w:val="nil"/>
              <w:left w:val="nil"/>
              <w:bottom w:val="nil"/>
              <w:right w:val="nil"/>
            </w:tcBorders>
            <w:shd w:val="clear" w:color="auto" w:fill="auto"/>
            <w:noWrap/>
            <w:vAlign w:val="bottom"/>
            <w:hideMark/>
          </w:tcPr>
          <w:p w14:paraId="0C3F87E7"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(23.7)</w:t>
            </w:r>
          </w:p>
        </w:tc>
        <w:tc>
          <w:tcPr>
            <w:tcW w:w="1660" w:type="dxa"/>
            <w:tcBorders>
              <w:top w:val="nil"/>
              <w:left w:val="nil"/>
              <w:bottom w:val="nil"/>
              <w:right w:val="nil"/>
            </w:tcBorders>
            <w:shd w:val="clear" w:color="auto" w:fill="auto"/>
            <w:noWrap/>
            <w:vAlign w:val="bottom"/>
            <w:hideMark/>
          </w:tcPr>
          <w:p w14:paraId="0C3F87E8"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0.26 (4.5)</w:t>
            </w:r>
          </w:p>
        </w:tc>
      </w:tr>
      <w:tr w:rsidR="008172FD" w:rsidRPr="00CC5FCA" w14:paraId="0C3F87F2" w14:textId="77777777" w:rsidTr="005B6DBF">
        <w:trPr>
          <w:trHeight w:val="300"/>
        </w:trPr>
        <w:tc>
          <w:tcPr>
            <w:tcW w:w="1120" w:type="dxa"/>
            <w:tcBorders>
              <w:top w:val="nil"/>
              <w:left w:val="nil"/>
              <w:bottom w:val="nil"/>
              <w:right w:val="nil"/>
            </w:tcBorders>
            <w:shd w:val="clear" w:color="auto" w:fill="auto"/>
            <w:noWrap/>
            <w:vAlign w:val="bottom"/>
            <w:hideMark/>
          </w:tcPr>
          <w:p w14:paraId="0C3F87EA"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PN</w:t>
            </w:r>
          </w:p>
        </w:tc>
        <w:tc>
          <w:tcPr>
            <w:tcW w:w="1250" w:type="dxa"/>
            <w:tcBorders>
              <w:top w:val="nil"/>
              <w:left w:val="nil"/>
              <w:bottom w:val="nil"/>
              <w:right w:val="nil"/>
            </w:tcBorders>
            <w:shd w:val="clear" w:color="auto" w:fill="auto"/>
            <w:noWrap/>
            <w:vAlign w:val="bottom"/>
            <w:hideMark/>
          </w:tcPr>
          <w:p w14:paraId="0C3F87EB"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701</w:t>
            </w:r>
          </w:p>
        </w:tc>
        <w:tc>
          <w:tcPr>
            <w:tcW w:w="648" w:type="dxa"/>
            <w:tcBorders>
              <w:top w:val="nil"/>
              <w:left w:val="nil"/>
              <w:bottom w:val="nil"/>
              <w:right w:val="nil"/>
            </w:tcBorders>
            <w:shd w:val="clear" w:color="auto" w:fill="auto"/>
            <w:noWrap/>
            <w:vAlign w:val="bottom"/>
            <w:hideMark/>
          </w:tcPr>
          <w:p w14:paraId="0C3F87EC"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0.30</w:t>
            </w:r>
          </w:p>
        </w:tc>
        <w:tc>
          <w:tcPr>
            <w:tcW w:w="1042" w:type="dxa"/>
            <w:tcBorders>
              <w:top w:val="nil"/>
              <w:left w:val="nil"/>
              <w:bottom w:val="nil"/>
              <w:right w:val="nil"/>
            </w:tcBorders>
            <w:shd w:val="clear" w:color="auto" w:fill="auto"/>
            <w:noWrap/>
            <w:vAlign w:val="bottom"/>
            <w:hideMark/>
          </w:tcPr>
          <w:p w14:paraId="0C3F87ED"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nil"/>
              <w:right w:val="nil"/>
            </w:tcBorders>
            <w:shd w:val="clear" w:color="auto" w:fill="auto"/>
            <w:noWrap/>
            <w:vAlign w:val="bottom"/>
            <w:hideMark/>
          </w:tcPr>
          <w:p w14:paraId="0C3F87EE"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nil"/>
              <w:right w:val="nil"/>
            </w:tcBorders>
            <w:shd w:val="clear" w:color="auto" w:fill="auto"/>
            <w:noWrap/>
            <w:vAlign w:val="bottom"/>
            <w:hideMark/>
          </w:tcPr>
          <w:p w14:paraId="0C3F87EF"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(71.9)</w:t>
            </w:r>
          </w:p>
        </w:tc>
        <w:tc>
          <w:tcPr>
            <w:tcW w:w="1660" w:type="dxa"/>
            <w:tcBorders>
              <w:top w:val="nil"/>
              <w:left w:val="nil"/>
              <w:bottom w:val="nil"/>
              <w:right w:val="nil"/>
            </w:tcBorders>
            <w:shd w:val="clear" w:color="auto" w:fill="auto"/>
            <w:noWrap/>
            <w:vAlign w:val="bottom"/>
            <w:hideMark/>
          </w:tcPr>
          <w:p w14:paraId="0C3F87F0" w14:textId="77777777" w:rsidR="008172FD" w:rsidRPr="00CC5FCA" w:rsidRDefault="008172FD" w:rsidP="005B6DBF">
            <w:pPr>
              <w:spacing w:after="0"/>
              <w:jc w:val="center"/>
              <w:rPr>
                <w:rFonts w:ascii="Calibri" w:hAnsi="Calibri" w:cs="Times New Roman"/>
                <w:b/>
                <w:color w:val="000000"/>
              </w:rPr>
            </w:pPr>
            <w:r w:rsidRPr="00CC5FCA">
              <w:rPr>
                <w:rFonts w:ascii="Calibri" w:hAnsi="Calibri" w:cs="Times New Roman"/>
                <w:b/>
                <w:color w:val="000000"/>
              </w:rPr>
              <w:t>1 (0.7)</w:t>
            </w:r>
          </w:p>
        </w:tc>
        <w:tc>
          <w:tcPr>
            <w:tcW w:w="1660" w:type="dxa"/>
            <w:tcBorders>
              <w:top w:val="nil"/>
              <w:left w:val="nil"/>
              <w:bottom w:val="nil"/>
              <w:right w:val="nil"/>
            </w:tcBorders>
            <w:shd w:val="clear" w:color="auto" w:fill="auto"/>
            <w:noWrap/>
            <w:vAlign w:val="bottom"/>
            <w:hideMark/>
          </w:tcPr>
          <w:p w14:paraId="0C3F87F1"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(27.5)</w:t>
            </w:r>
          </w:p>
        </w:tc>
      </w:tr>
      <w:tr w:rsidR="008172FD" w:rsidRPr="00CC5FCA" w14:paraId="0C3F87FB" w14:textId="77777777" w:rsidTr="005B6DBF">
        <w:trPr>
          <w:trHeight w:val="300"/>
        </w:trPr>
        <w:tc>
          <w:tcPr>
            <w:tcW w:w="1120" w:type="dxa"/>
            <w:tcBorders>
              <w:top w:val="nil"/>
              <w:left w:val="nil"/>
              <w:right w:val="nil"/>
            </w:tcBorders>
            <w:shd w:val="clear" w:color="auto" w:fill="auto"/>
            <w:noWrap/>
            <w:vAlign w:val="bottom"/>
            <w:hideMark/>
          </w:tcPr>
          <w:p w14:paraId="0C3F87F3"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DIP</w:t>
            </w:r>
          </w:p>
        </w:tc>
        <w:tc>
          <w:tcPr>
            <w:tcW w:w="1250" w:type="dxa"/>
            <w:tcBorders>
              <w:top w:val="nil"/>
              <w:left w:val="nil"/>
              <w:right w:val="nil"/>
            </w:tcBorders>
            <w:shd w:val="clear" w:color="auto" w:fill="auto"/>
            <w:noWrap/>
            <w:vAlign w:val="bottom"/>
            <w:hideMark/>
          </w:tcPr>
          <w:p w14:paraId="0C3F87F4"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776</w:t>
            </w:r>
          </w:p>
        </w:tc>
        <w:tc>
          <w:tcPr>
            <w:tcW w:w="648" w:type="dxa"/>
            <w:tcBorders>
              <w:top w:val="nil"/>
              <w:left w:val="nil"/>
              <w:right w:val="nil"/>
            </w:tcBorders>
            <w:shd w:val="clear" w:color="auto" w:fill="auto"/>
            <w:noWrap/>
            <w:vAlign w:val="bottom"/>
            <w:hideMark/>
          </w:tcPr>
          <w:p w14:paraId="0C3F87F5"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0.09</w:t>
            </w:r>
          </w:p>
        </w:tc>
        <w:tc>
          <w:tcPr>
            <w:tcW w:w="1042" w:type="dxa"/>
            <w:tcBorders>
              <w:top w:val="nil"/>
              <w:left w:val="nil"/>
              <w:right w:val="nil"/>
            </w:tcBorders>
            <w:shd w:val="clear" w:color="auto" w:fill="auto"/>
            <w:noWrap/>
            <w:vAlign w:val="bottom"/>
            <w:hideMark/>
          </w:tcPr>
          <w:p w14:paraId="0C3F87F6"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right w:val="nil"/>
            </w:tcBorders>
            <w:shd w:val="clear" w:color="auto" w:fill="auto"/>
            <w:noWrap/>
            <w:vAlign w:val="bottom"/>
            <w:hideMark/>
          </w:tcPr>
          <w:p w14:paraId="0C3F87F7"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right w:val="nil"/>
            </w:tcBorders>
            <w:shd w:val="clear" w:color="auto" w:fill="auto"/>
            <w:noWrap/>
            <w:vAlign w:val="bottom"/>
            <w:hideMark/>
          </w:tcPr>
          <w:p w14:paraId="0C3F87F8"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(39.5)</w:t>
            </w:r>
          </w:p>
        </w:tc>
        <w:tc>
          <w:tcPr>
            <w:tcW w:w="1660" w:type="dxa"/>
            <w:tcBorders>
              <w:top w:val="nil"/>
              <w:left w:val="nil"/>
              <w:right w:val="nil"/>
            </w:tcBorders>
            <w:shd w:val="clear" w:color="auto" w:fill="auto"/>
            <w:noWrap/>
            <w:vAlign w:val="bottom"/>
            <w:hideMark/>
          </w:tcPr>
          <w:p w14:paraId="0C3F87F9"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0.12 (16.4)</w:t>
            </w:r>
          </w:p>
        </w:tc>
        <w:tc>
          <w:tcPr>
            <w:tcW w:w="1660" w:type="dxa"/>
            <w:tcBorders>
              <w:top w:val="nil"/>
              <w:left w:val="nil"/>
              <w:right w:val="nil"/>
            </w:tcBorders>
            <w:shd w:val="clear" w:color="auto" w:fill="auto"/>
            <w:noWrap/>
            <w:vAlign w:val="bottom"/>
            <w:hideMark/>
          </w:tcPr>
          <w:p w14:paraId="0C3F87FA"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(44.1)</w:t>
            </w:r>
          </w:p>
        </w:tc>
      </w:tr>
      <w:tr w:rsidR="008172FD" w:rsidRPr="00CC5FCA" w14:paraId="0C3F8804" w14:textId="77777777" w:rsidTr="005B6DBF">
        <w:trPr>
          <w:trHeight w:val="300"/>
        </w:trPr>
        <w:tc>
          <w:tcPr>
            <w:tcW w:w="1120" w:type="dxa"/>
            <w:tcBorders>
              <w:top w:val="nil"/>
              <w:left w:val="nil"/>
              <w:bottom w:val="single" w:sz="4" w:space="0" w:color="auto"/>
              <w:right w:val="nil"/>
            </w:tcBorders>
            <w:shd w:val="clear" w:color="auto" w:fill="auto"/>
            <w:noWrap/>
            <w:vAlign w:val="bottom"/>
            <w:hideMark/>
          </w:tcPr>
          <w:p w14:paraId="0C3F87FC" w14:textId="77777777" w:rsidR="008172FD" w:rsidRPr="00CC5FCA" w:rsidRDefault="008172FD" w:rsidP="005B6DBF">
            <w:pPr>
              <w:spacing w:after="0"/>
              <w:jc w:val="left"/>
              <w:rPr>
                <w:rFonts w:ascii="Calibri" w:hAnsi="Calibri" w:cs="Times New Roman"/>
                <w:color w:val="000000"/>
              </w:rPr>
            </w:pPr>
            <w:r w:rsidRPr="00CC5FCA">
              <w:rPr>
                <w:rFonts w:ascii="Calibri" w:hAnsi="Calibri" w:cs="Times New Roman"/>
                <w:color w:val="000000"/>
              </w:rPr>
              <w:t>Chl-a</w:t>
            </w:r>
          </w:p>
        </w:tc>
        <w:tc>
          <w:tcPr>
            <w:tcW w:w="1250" w:type="dxa"/>
            <w:tcBorders>
              <w:top w:val="nil"/>
              <w:left w:val="nil"/>
              <w:bottom w:val="single" w:sz="4" w:space="0" w:color="auto"/>
              <w:right w:val="nil"/>
            </w:tcBorders>
            <w:shd w:val="clear" w:color="auto" w:fill="auto"/>
            <w:noWrap/>
            <w:vAlign w:val="bottom"/>
            <w:hideMark/>
          </w:tcPr>
          <w:p w14:paraId="0C3F87FD"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868</w:t>
            </w:r>
          </w:p>
        </w:tc>
        <w:tc>
          <w:tcPr>
            <w:tcW w:w="648" w:type="dxa"/>
            <w:tcBorders>
              <w:top w:val="nil"/>
              <w:left w:val="nil"/>
              <w:bottom w:val="single" w:sz="4" w:space="0" w:color="auto"/>
              <w:right w:val="nil"/>
            </w:tcBorders>
            <w:shd w:val="clear" w:color="auto" w:fill="auto"/>
            <w:noWrap/>
            <w:vAlign w:val="bottom"/>
            <w:hideMark/>
          </w:tcPr>
          <w:p w14:paraId="0C3F87FE"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0.05</w:t>
            </w:r>
          </w:p>
        </w:tc>
        <w:tc>
          <w:tcPr>
            <w:tcW w:w="1042" w:type="dxa"/>
            <w:tcBorders>
              <w:top w:val="nil"/>
              <w:left w:val="nil"/>
              <w:bottom w:val="single" w:sz="4" w:space="0" w:color="auto"/>
              <w:right w:val="nil"/>
            </w:tcBorders>
            <w:shd w:val="clear" w:color="auto" w:fill="auto"/>
            <w:noWrap/>
            <w:vAlign w:val="bottom"/>
            <w:hideMark/>
          </w:tcPr>
          <w:p w14:paraId="0C3F87FF"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w:t>
            </w:r>
          </w:p>
        </w:tc>
        <w:tc>
          <w:tcPr>
            <w:tcW w:w="280" w:type="dxa"/>
            <w:tcBorders>
              <w:top w:val="nil"/>
              <w:left w:val="nil"/>
              <w:bottom w:val="single" w:sz="4" w:space="0" w:color="auto"/>
              <w:right w:val="nil"/>
            </w:tcBorders>
            <w:shd w:val="clear" w:color="auto" w:fill="auto"/>
            <w:noWrap/>
            <w:vAlign w:val="bottom"/>
            <w:hideMark/>
          </w:tcPr>
          <w:p w14:paraId="0C3F8800" w14:textId="77777777" w:rsidR="008172FD" w:rsidRPr="00CC5FCA" w:rsidRDefault="008172FD" w:rsidP="005B6DBF">
            <w:pPr>
              <w:spacing w:after="0"/>
              <w:jc w:val="center"/>
              <w:rPr>
                <w:rFonts w:ascii="Calibri" w:hAnsi="Calibri" w:cs="Times New Roman"/>
                <w:color w:val="000000"/>
              </w:rPr>
            </w:pPr>
          </w:p>
        </w:tc>
        <w:tc>
          <w:tcPr>
            <w:tcW w:w="1660" w:type="dxa"/>
            <w:tcBorders>
              <w:top w:val="nil"/>
              <w:left w:val="nil"/>
              <w:bottom w:val="single" w:sz="4" w:space="0" w:color="auto"/>
              <w:right w:val="nil"/>
            </w:tcBorders>
            <w:shd w:val="clear" w:color="auto" w:fill="auto"/>
            <w:noWrap/>
            <w:vAlign w:val="bottom"/>
            <w:hideMark/>
          </w:tcPr>
          <w:p w14:paraId="0C3F8801"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&lt; 0.01 (94.4)</w:t>
            </w:r>
          </w:p>
        </w:tc>
        <w:tc>
          <w:tcPr>
            <w:tcW w:w="1660" w:type="dxa"/>
            <w:tcBorders>
              <w:top w:val="nil"/>
              <w:left w:val="nil"/>
              <w:bottom w:val="single" w:sz="4" w:space="0" w:color="auto"/>
              <w:right w:val="nil"/>
            </w:tcBorders>
            <w:shd w:val="clear" w:color="auto" w:fill="auto"/>
            <w:noWrap/>
            <w:vAlign w:val="bottom"/>
            <w:hideMark/>
          </w:tcPr>
          <w:p w14:paraId="0C3F8802" w14:textId="77777777" w:rsidR="008172FD" w:rsidRPr="00CC5FCA" w:rsidRDefault="008172FD" w:rsidP="005B6DBF">
            <w:pPr>
              <w:spacing w:after="0"/>
              <w:jc w:val="center"/>
              <w:rPr>
                <w:rFonts w:ascii="Calibri" w:hAnsi="Calibri" w:cs="Times New Roman"/>
                <w:b/>
                <w:color w:val="000000"/>
              </w:rPr>
            </w:pPr>
            <w:r w:rsidRPr="00CC5FCA">
              <w:rPr>
                <w:rFonts w:ascii="Calibri" w:hAnsi="Calibri" w:cs="Times New Roman"/>
                <w:b/>
                <w:color w:val="000000"/>
              </w:rPr>
              <w:t>0.99 (1.7)</w:t>
            </w:r>
          </w:p>
        </w:tc>
        <w:tc>
          <w:tcPr>
            <w:tcW w:w="1660" w:type="dxa"/>
            <w:tcBorders>
              <w:top w:val="nil"/>
              <w:left w:val="nil"/>
              <w:bottom w:val="single" w:sz="4" w:space="0" w:color="auto"/>
              <w:right w:val="nil"/>
            </w:tcBorders>
            <w:shd w:val="clear" w:color="auto" w:fill="auto"/>
            <w:noWrap/>
            <w:vAlign w:val="bottom"/>
            <w:hideMark/>
          </w:tcPr>
          <w:p w14:paraId="0C3F8803" w14:textId="77777777" w:rsidR="008172FD" w:rsidRPr="00CC5FCA" w:rsidRDefault="008172FD" w:rsidP="005B6DBF">
            <w:pPr>
              <w:spacing w:after="0"/>
              <w:jc w:val="center"/>
              <w:rPr>
                <w:rFonts w:ascii="Calibri" w:hAnsi="Calibri" w:cs="Times New Roman"/>
                <w:color w:val="000000"/>
              </w:rPr>
            </w:pPr>
            <w:r w:rsidRPr="00CC5FCA">
              <w:rPr>
                <w:rFonts w:ascii="Calibri" w:hAnsi="Calibri" w:cs="Times New Roman"/>
                <w:color w:val="000000"/>
              </w:rPr>
              <w:t>0.53 (3.9)</w:t>
            </w:r>
          </w:p>
        </w:tc>
      </w:tr>
      <w:tr w:rsidR="008172FD" w:rsidRPr="00CC5FCA" w14:paraId="0C3F880D" w14:textId="77777777" w:rsidTr="005B6DBF">
        <w:trPr>
          <w:trHeight w:val="300"/>
        </w:trPr>
        <w:tc>
          <w:tcPr>
            <w:tcW w:w="1120" w:type="dxa"/>
            <w:tcBorders>
              <w:top w:val="single" w:sz="4" w:space="0" w:color="auto"/>
              <w:left w:val="nil"/>
              <w:bottom w:val="single" w:sz="4" w:space="0" w:color="auto"/>
              <w:right w:val="nil"/>
            </w:tcBorders>
            <w:shd w:val="clear" w:color="auto" w:fill="auto"/>
            <w:noWrap/>
            <w:vAlign w:val="bottom"/>
            <w:hideMark/>
          </w:tcPr>
          <w:p w14:paraId="0C3F8805" w14:textId="77777777" w:rsidR="008172FD" w:rsidRPr="00CC5FCA" w:rsidRDefault="008172FD" w:rsidP="005B6DBF">
            <w:pPr>
              <w:spacing w:after="0"/>
              <w:jc w:val="left"/>
              <w:rPr>
                <w:rFonts w:ascii="Calibri" w:hAnsi="Calibri" w:cs="Times New Roman"/>
                <w:i/>
                <w:iCs/>
                <w:color w:val="000000"/>
              </w:rPr>
            </w:pPr>
            <w:r w:rsidRPr="00CC5FCA">
              <w:rPr>
                <w:rFonts w:ascii="Calibri" w:hAnsi="Calibri" w:cs="Times New Roman"/>
                <w:i/>
                <w:iCs/>
                <w:color w:val="000000"/>
              </w:rPr>
              <w:t>mean</w:t>
            </w:r>
          </w:p>
        </w:tc>
        <w:tc>
          <w:tcPr>
            <w:tcW w:w="1250" w:type="dxa"/>
            <w:tcBorders>
              <w:top w:val="single" w:sz="4" w:space="0" w:color="auto"/>
              <w:left w:val="nil"/>
              <w:bottom w:val="single" w:sz="4" w:space="0" w:color="auto"/>
              <w:right w:val="nil"/>
            </w:tcBorders>
            <w:shd w:val="clear" w:color="auto" w:fill="auto"/>
            <w:noWrap/>
            <w:vAlign w:val="bottom"/>
            <w:hideMark/>
          </w:tcPr>
          <w:p w14:paraId="0C3F8806" w14:textId="77777777" w:rsidR="008172FD" w:rsidRPr="00CC5FCA" w:rsidRDefault="008172FD" w:rsidP="005B6DBF">
            <w:pPr>
              <w:spacing w:after="0"/>
              <w:jc w:val="center"/>
              <w:rPr>
                <w:rFonts w:ascii="Calibri" w:hAnsi="Calibri" w:cs="Times New Roman"/>
                <w:i/>
                <w:iCs/>
                <w:color w:val="000000"/>
              </w:rPr>
            </w:pPr>
            <w:r w:rsidRPr="00CC5FCA">
              <w:rPr>
                <w:rFonts w:ascii="Calibri" w:hAnsi="Calibri" w:cs="Times New Roman"/>
                <w:i/>
                <w:iCs/>
                <w:color w:val="000000"/>
              </w:rPr>
              <w:t>623.4</w:t>
            </w:r>
          </w:p>
        </w:tc>
        <w:tc>
          <w:tcPr>
            <w:tcW w:w="648" w:type="dxa"/>
            <w:tcBorders>
              <w:top w:val="single" w:sz="4" w:space="0" w:color="auto"/>
              <w:left w:val="nil"/>
              <w:bottom w:val="single" w:sz="4" w:space="0" w:color="auto"/>
              <w:right w:val="nil"/>
            </w:tcBorders>
            <w:shd w:val="clear" w:color="auto" w:fill="auto"/>
            <w:noWrap/>
            <w:vAlign w:val="bottom"/>
            <w:hideMark/>
          </w:tcPr>
          <w:p w14:paraId="0C3F8807" w14:textId="77777777" w:rsidR="008172FD" w:rsidRPr="00CC5FCA" w:rsidRDefault="008172FD" w:rsidP="005B6DBF">
            <w:pPr>
              <w:spacing w:after="0"/>
              <w:jc w:val="center"/>
              <w:rPr>
                <w:rFonts w:ascii="Calibri" w:hAnsi="Calibri" w:cs="Times New Roman"/>
                <w:i/>
                <w:iCs/>
                <w:color w:val="000000"/>
              </w:rPr>
            </w:pPr>
            <w:r w:rsidRPr="00CC5FCA">
              <w:rPr>
                <w:rFonts w:ascii="Calibri" w:hAnsi="Calibri" w:cs="Times New Roman"/>
                <w:i/>
                <w:iCs/>
                <w:color w:val="000000"/>
              </w:rPr>
              <w:t>0.4</w:t>
            </w:r>
          </w:p>
        </w:tc>
        <w:tc>
          <w:tcPr>
            <w:tcW w:w="1042" w:type="dxa"/>
            <w:tcBorders>
              <w:top w:val="single" w:sz="4" w:space="0" w:color="auto"/>
              <w:left w:val="nil"/>
              <w:bottom w:val="single" w:sz="4" w:space="0" w:color="auto"/>
              <w:right w:val="nil"/>
            </w:tcBorders>
            <w:shd w:val="clear" w:color="auto" w:fill="auto"/>
            <w:noWrap/>
            <w:vAlign w:val="bottom"/>
            <w:hideMark/>
          </w:tcPr>
          <w:p w14:paraId="0C3F8808" w14:textId="77777777" w:rsidR="008172FD" w:rsidRPr="00CC5FCA" w:rsidRDefault="008172FD" w:rsidP="005B6DBF">
            <w:pPr>
              <w:spacing w:after="0"/>
              <w:jc w:val="left"/>
              <w:rPr>
                <w:rFonts w:ascii="Calibri" w:hAnsi="Calibri" w:cs="Times New Roman"/>
                <w:i/>
                <w:iCs/>
                <w:color w:val="000000"/>
              </w:rPr>
            </w:pPr>
            <w:r w:rsidRPr="00CC5FCA">
              <w:rPr>
                <w:rFonts w:ascii="Calibri" w:hAnsi="Calibri" w:cs="Times New Roman"/>
                <w:i/>
                <w:iCs/>
                <w:color w:val="000000"/>
              </w:rPr>
              <w:t> </w:t>
            </w:r>
          </w:p>
        </w:tc>
        <w:tc>
          <w:tcPr>
            <w:tcW w:w="280" w:type="dxa"/>
            <w:tcBorders>
              <w:top w:val="single" w:sz="4" w:space="0" w:color="auto"/>
              <w:left w:val="nil"/>
              <w:bottom w:val="single" w:sz="4" w:space="0" w:color="auto"/>
              <w:right w:val="nil"/>
            </w:tcBorders>
            <w:shd w:val="clear" w:color="auto" w:fill="auto"/>
            <w:noWrap/>
            <w:vAlign w:val="bottom"/>
            <w:hideMark/>
          </w:tcPr>
          <w:p w14:paraId="0C3F8809" w14:textId="77777777" w:rsidR="008172FD" w:rsidRPr="00CC5FCA" w:rsidRDefault="008172FD" w:rsidP="005B6DBF">
            <w:pPr>
              <w:spacing w:after="0"/>
              <w:jc w:val="left"/>
              <w:rPr>
                <w:rFonts w:ascii="Calibri" w:hAnsi="Calibri" w:cs="Times New Roman"/>
                <w:i/>
                <w:iCs/>
                <w:color w:val="000000"/>
              </w:rPr>
            </w:pPr>
            <w:r w:rsidRPr="00CC5FCA">
              <w:rPr>
                <w:rFonts w:ascii="Calibri" w:hAnsi="Calibri" w:cs="Times New Roman"/>
                <w:i/>
                <w:iCs/>
                <w:color w:val="000000"/>
              </w:rPr>
              <w:t> </w:t>
            </w:r>
          </w:p>
        </w:tc>
        <w:tc>
          <w:tcPr>
            <w:tcW w:w="1660" w:type="dxa"/>
            <w:tcBorders>
              <w:top w:val="single" w:sz="4" w:space="0" w:color="auto"/>
              <w:left w:val="nil"/>
              <w:bottom w:val="single" w:sz="4" w:space="0" w:color="auto"/>
              <w:right w:val="nil"/>
            </w:tcBorders>
            <w:shd w:val="clear" w:color="auto" w:fill="auto"/>
            <w:noWrap/>
            <w:vAlign w:val="bottom"/>
            <w:hideMark/>
          </w:tcPr>
          <w:p w14:paraId="0C3F880A" w14:textId="77777777" w:rsidR="008172FD" w:rsidRPr="00CC5FCA" w:rsidRDefault="008172FD" w:rsidP="005B6DBF">
            <w:pPr>
              <w:spacing w:after="0"/>
              <w:jc w:val="center"/>
              <w:rPr>
                <w:rFonts w:ascii="Calibri" w:hAnsi="Calibri" w:cs="Times New Roman"/>
                <w:i/>
                <w:iCs/>
                <w:color w:val="000000"/>
              </w:rPr>
            </w:pPr>
            <w:r w:rsidRPr="00CC5FCA">
              <w:rPr>
                <w:rFonts w:ascii="Calibri" w:hAnsi="Calibri" w:cs="Times New Roman"/>
                <w:i/>
                <w:iCs/>
                <w:color w:val="000000"/>
              </w:rPr>
              <w:t>(67.6)</w:t>
            </w:r>
          </w:p>
        </w:tc>
        <w:tc>
          <w:tcPr>
            <w:tcW w:w="1660" w:type="dxa"/>
            <w:tcBorders>
              <w:top w:val="single" w:sz="4" w:space="0" w:color="auto"/>
              <w:left w:val="nil"/>
              <w:bottom w:val="single" w:sz="4" w:space="0" w:color="auto"/>
              <w:right w:val="nil"/>
            </w:tcBorders>
            <w:shd w:val="clear" w:color="auto" w:fill="auto"/>
            <w:noWrap/>
            <w:vAlign w:val="bottom"/>
            <w:hideMark/>
          </w:tcPr>
          <w:p w14:paraId="0C3F880B" w14:textId="77777777" w:rsidR="008172FD" w:rsidRPr="00CC5FCA" w:rsidRDefault="008172FD" w:rsidP="005B6DBF">
            <w:pPr>
              <w:spacing w:after="0"/>
              <w:jc w:val="center"/>
              <w:rPr>
                <w:rFonts w:ascii="Calibri" w:hAnsi="Calibri" w:cs="Times New Roman"/>
                <w:i/>
                <w:iCs/>
                <w:color w:val="000000"/>
              </w:rPr>
            </w:pPr>
            <w:r w:rsidRPr="00CC5FCA">
              <w:rPr>
                <w:rFonts w:ascii="Calibri" w:hAnsi="Calibri" w:cs="Times New Roman"/>
                <w:i/>
                <w:iCs/>
                <w:color w:val="000000"/>
              </w:rPr>
              <w:t>(7)</w:t>
            </w:r>
          </w:p>
        </w:tc>
        <w:tc>
          <w:tcPr>
            <w:tcW w:w="1660" w:type="dxa"/>
            <w:tcBorders>
              <w:top w:val="single" w:sz="4" w:space="0" w:color="auto"/>
              <w:left w:val="nil"/>
              <w:bottom w:val="single" w:sz="4" w:space="0" w:color="auto"/>
              <w:right w:val="nil"/>
            </w:tcBorders>
            <w:shd w:val="clear" w:color="auto" w:fill="auto"/>
            <w:noWrap/>
            <w:vAlign w:val="bottom"/>
            <w:hideMark/>
          </w:tcPr>
          <w:p w14:paraId="0C3F880C" w14:textId="77777777" w:rsidR="008172FD" w:rsidRPr="00CC5FCA" w:rsidRDefault="008172FD" w:rsidP="005B6DBF">
            <w:pPr>
              <w:spacing w:after="0"/>
              <w:jc w:val="center"/>
              <w:rPr>
                <w:rFonts w:ascii="Calibri" w:hAnsi="Calibri" w:cs="Times New Roman"/>
                <w:i/>
                <w:iCs/>
                <w:color w:val="000000"/>
              </w:rPr>
            </w:pPr>
            <w:r w:rsidRPr="00CC5FCA">
              <w:rPr>
                <w:rFonts w:ascii="Calibri" w:hAnsi="Calibri" w:cs="Times New Roman"/>
                <w:i/>
                <w:iCs/>
                <w:color w:val="000000"/>
              </w:rPr>
              <w:t>(25.5)</w:t>
            </w:r>
          </w:p>
        </w:tc>
      </w:tr>
    </w:tbl>
    <w:p w14:paraId="0C3F880E" w14:textId="77777777" w:rsidR="008172FD" w:rsidRPr="00CC5FCA" w:rsidRDefault="008172FD" w:rsidP="008172FD">
      <w:pPr>
        <w:rPr>
          <w:rFonts w:cs="Courier New"/>
          <w:sz w:val="24"/>
        </w:rPr>
      </w:pPr>
    </w:p>
    <w:p w14:paraId="0C3F880F" w14:textId="77777777" w:rsidR="008172FD" w:rsidRPr="00CC5FCA" w:rsidRDefault="008172FD" w:rsidP="008172FD">
      <w:pPr>
        <w:rPr>
          <w:rFonts w:cs="Courier New"/>
          <w:sz w:val="24"/>
        </w:rPr>
      </w:pPr>
    </w:p>
    <w:p w14:paraId="0C3F8810" w14:textId="77777777" w:rsidR="008172FD" w:rsidRPr="00CC5FCA" w:rsidRDefault="008172FD" w:rsidP="008172FD">
      <w:pPr>
        <w:jc w:val="left"/>
        <w:rPr>
          <w:rFonts w:cs="Courier New"/>
          <w:sz w:val="24"/>
        </w:rPr>
      </w:pPr>
      <w:r w:rsidRPr="00CC5FCA">
        <w:rPr>
          <w:rFonts w:cs="Courier New"/>
          <w:sz w:val="24"/>
        </w:rPr>
        <w:br w:type="page"/>
      </w:r>
    </w:p>
    <w:p w14:paraId="0C3F8811" w14:textId="77777777" w:rsidR="008172FD" w:rsidRPr="00CC5FCA" w:rsidRDefault="008172FD" w:rsidP="005B6DBF">
      <w:pPr>
        <w:rPr>
          <w:rFonts w:cs="Courier New"/>
          <w:sz w:val="24"/>
        </w:rPr>
      </w:pPr>
      <w:r w:rsidRPr="00CC5FCA">
        <w:rPr>
          <w:rFonts w:cs="Courier New"/>
          <w:noProof/>
          <w:sz w:val="24"/>
        </w:rPr>
        <w:drawing>
          <wp:inline distT="0" distB="0" distL="0" distR="0" wp14:anchorId="0C3F8FFD" wp14:editId="0C3F8FFE">
            <wp:extent cx="4946573" cy="7419860"/>
            <wp:effectExtent l="0" t="0" r="6985" b="0"/>
            <wp:docPr id="3" name="Picture 3" descr="GAMM analysis for Kd, /m, left column), CDOM, /m, mid column) and TSS, mg/L, right column) collected from December, 2005 to April, 2013 (inclusive). First four plots in each column are for the partial effect plots and last pot is the temporal analysis (see text for explanation). Shade area stands for ±1 SE and rubs on x-axis stand for data density." title="GAMM analys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951772" cy="7427659"/>
                    </a:xfrm>
                    <a:prstGeom prst="rect">
                      <a:avLst/>
                    </a:prstGeom>
                  </pic:spPr>
                </pic:pic>
              </a:graphicData>
            </a:graphic>
          </wp:inline>
        </w:drawing>
      </w:r>
    </w:p>
    <w:p w14:paraId="0C3F8812" w14:textId="77777777" w:rsidR="008172FD" w:rsidRPr="00CC5FCA" w:rsidRDefault="005B6DBF" w:rsidP="005B6DBF">
      <w:pPr>
        <w:pStyle w:val="Caption"/>
        <w:rPr>
          <w:rFonts w:cs="Courier New"/>
          <w:sz w:val="24"/>
        </w:rPr>
      </w:pPr>
      <w:bookmarkStart w:id="137" w:name="_Toc434208036"/>
      <w:r>
        <w:t xml:space="preserve">Figure </w:t>
      </w:r>
      <w:r w:rsidR="00D243CD">
        <w:fldChar w:fldCharType="begin"/>
      </w:r>
      <w:r w:rsidR="00D243CD">
        <w:instrText xml:space="preserve"> STYLEREF 1 \s </w:instrText>
      </w:r>
      <w:r w:rsidR="00D243CD">
        <w:fldChar w:fldCharType="separate"/>
      </w:r>
      <w:r w:rsidR="00B62B50">
        <w:rPr>
          <w:noProof/>
        </w:rPr>
        <w:t>4</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8</w:t>
      </w:r>
      <w:r w:rsidR="00D243CD">
        <w:fldChar w:fldCharType="end"/>
      </w:r>
      <w:r>
        <w:t>:</w:t>
      </w:r>
      <w:r w:rsidR="008172FD" w:rsidRPr="00CC5FCA">
        <w:rPr>
          <w:rFonts w:cs="Courier New"/>
          <w:sz w:val="24"/>
        </w:rPr>
        <w:t xml:space="preserve">GAMM analysis </w:t>
      </w:r>
      <w:r>
        <w:rPr>
          <w:rFonts w:cs="Courier New"/>
          <w:sz w:val="24"/>
        </w:rPr>
        <w:t xml:space="preserve">for </w:t>
      </w:r>
      <w:r w:rsidR="008172FD" w:rsidRPr="00CC5FCA">
        <w:rPr>
          <w:rFonts w:cs="Courier New"/>
          <w:sz w:val="24"/>
        </w:rPr>
        <w:t>Kd, /m, left column),</w:t>
      </w:r>
      <w:r w:rsidRPr="00CC5FCA">
        <w:rPr>
          <w:rFonts w:cs="Courier New"/>
          <w:sz w:val="24"/>
        </w:rPr>
        <w:t xml:space="preserve"> </w:t>
      </w:r>
      <w:r w:rsidR="008172FD" w:rsidRPr="00CC5FCA">
        <w:rPr>
          <w:rFonts w:cs="Courier New"/>
          <w:sz w:val="24"/>
        </w:rPr>
        <w:t>CDOM, /m, mid column) and TSS, mg/L, right column) collected from December, 2005 to April, 2013 (inclusive). First four plots in each column are for the partial effect plots and last pot is the temporal analysis (see text for explanation). Shade area stands for ±1 SE and rubs on x-axis stand for data density.</w:t>
      </w:r>
      <w:bookmarkEnd w:id="137"/>
    </w:p>
    <w:p w14:paraId="0C3F8813" w14:textId="77777777" w:rsidR="008172FD" w:rsidRPr="00CC5FCA" w:rsidRDefault="008172FD" w:rsidP="008172FD">
      <w:pPr>
        <w:jc w:val="center"/>
        <w:rPr>
          <w:rFonts w:cs="Courier New"/>
          <w:sz w:val="24"/>
        </w:rPr>
      </w:pPr>
      <w:r w:rsidRPr="00CC5FCA">
        <w:rPr>
          <w:rFonts w:cs="Courier New"/>
          <w:noProof/>
          <w:sz w:val="24"/>
        </w:rPr>
        <w:drawing>
          <wp:inline distT="0" distB="0" distL="0" distR="0" wp14:anchorId="0C3F8FFF" wp14:editId="0C3F9000">
            <wp:extent cx="5040000" cy="7560000"/>
            <wp:effectExtent l="0" t="0" r="8255" b="3175"/>
            <wp:docPr id="37" name="Picture 37" descr="GAMM analysis for Chl-a, µg/L, left column), PN, µM, mid column) and DIN, µM, right column) collected from December, 2005 to April, 2013 (inclusive). First three plots in each column are for the partial effect plots and last pot is the temporal analysis Shade area stands for ±1 SE and rubs on x-axis stand for data density." title="GAMM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040000" cy="7560000"/>
                    </a:xfrm>
                    <a:prstGeom prst="rect">
                      <a:avLst/>
                    </a:prstGeom>
                  </pic:spPr>
                </pic:pic>
              </a:graphicData>
            </a:graphic>
          </wp:inline>
        </w:drawing>
      </w:r>
    </w:p>
    <w:p w14:paraId="0C3F8814" w14:textId="77777777" w:rsidR="008172FD" w:rsidRPr="005B6DBF" w:rsidRDefault="00D243CD" w:rsidP="00D243CD">
      <w:pPr>
        <w:pStyle w:val="Caption"/>
      </w:pPr>
      <w:r>
        <w:t xml:space="preserve">Figure </w:t>
      </w:r>
      <w:r>
        <w:fldChar w:fldCharType="begin"/>
      </w:r>
      <w:r>
        <w:instrText xml:space="preserve"> STYLEREF 1 \s </w:instrText>
      </w:r>
      <w:r>
        <w:fldChar w:fldCharType="separate"/>
      </w:r>
      <w:r w:rsidR="00B62B50">
        <w:rPr>
          <w:noProof/>
        </w:rPr>
        <w:t>4</w:t>
      </w:r>
      <w:r>
        <w:fldChar w:fldCharType="end"/>
      </w:r>
      <w:r>
        <w:noBreakHyphen/>
      </w:r>
      <w:r>
        <w:fldChar w:fldCharType="begin"/>
      </w:r>
      <w:r>
        <w:instrText xml:space="preserve"> SEQ Figure \* ARABIC \s 1 </w:instrText>
      </w:r>
      <w:r>
        <w:fldChar w:fldCharType="separate"/>
      </w:r>
      <w:r w:rsidR="00B62B50">
        <w:rPr>
          <w:noProof/>
        </w:rPr>
        <w:t>9</w:t>
      </w:r>
      <w:r>
        <w:fldChar w:fldCharType="end"/>
      </w:r>
      <w:r>
        <w:t xml:space="preserve">: </w:t>
      </w:r>
      <w:r w:rsidR="008172FD" w:rsidRPr="005B6DBF">
        <w:t>GAMM analysis for Chl-a, µg/L, left column), PN, µM, mid column) and DIN, µM, right column) collected from December, 2005 to Apri</w:t>
      </w:r>
      <w:r w:rsidR="005B6DBF" w:rsidRPr="005B6DBF">
        <w:t xml:space="preserve">l, 2013 (inclusive). First three </w:t>
      </w:r>
      <w:r w:rsidR="008172FD" w:rsidRPr="005B6DBF">
        <w:t>plots in each column are for the partial effect plots and last pot is the temporal analysis Shade area stands for ±1 SE and rubs on x-axis stand for data density.</w:t>
      </w:r>
    </w:p>
    <w:p w14:paraId="0C3F8815" w14:textId="77777777" w:rsidR="008172FD" w:rsidRPr="00CC5FCA" w:rsidRDefault="008172FD" w:rsidP="008172FD">
      <w:pPr>
        <w:jc w:val="center"/>
        <w:rPr>
          <w:rFonts w:cs="Courier New"/>
          <w:sz w:val="24"/>
        </w:rPr>
      </w:pPr>
      <w:r w:rsidRPr="00CC5FCA">
        <w:rPr>
          <w:rFonts w:cs="Courier New"/>
          <w:noProof/>
          <w:sz w:val="24"/>
        </w:rPr>
        <w:drawing>
          <wp:inline distT="0" distB="0" distL="0" distR="0" wp14:anchorId="0C3F9001" wp14:editId="0C3F9002">
            <wp:extent cx="5040000" cy="7560000"/>
            <wp:effectExtent l="0" t="0" r="8255" b="3175"/>
            <wp:docPr id="38" name="Picture 38" descr="GAMM analysis for PP, µM, left column), DIP, µM, mid column) and Si, µM, right column) collected from December, 2005 to April, 2013 (inclusive). First three plots in each column are for the partial effect plots and last pot is the temporal analysis." title="GAMM analys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040000" cy="7560000"/>
                    </a:xfrm>
                    <a:prstGeom prst="rect">
                      <a:avLst/>
                    </a:prstGeom>
                  </pic:spPr>
                </pic:pic>
              </a:graphicData>
            </a:graphic>
          </wp:inline>
        </w:drawing>
      </w:r>
    </w:p>
    <w:p w14:paraId="0C3F8816" w14:textId="77777777" w:rsidR="00330E11" w:rsidRPr="005B6DBF" w:rsidRDefault="00D243CD" w:rsidP="00D243CD">
      <w:pPr>
        <w:pStyle w:val="Caption"/>
      </w:pPr>
      <w:r>
        <w:t xml:space="preserve">Figure </w:t>
      </w:r>
      <w:r>
        <w:fldChar w:fldCharType="begin"/>
      </w:r>
      <w:r>
        <w:instrText xml:space="preserve"> STYLEREF 1 \s </w:instrText>
      </w:r>
      <w:r>
        <w:fldChar w:fldCharType="separate"/>
      </w:r>
      <w:r w:rsidR="00B62B50">
        <w:rPr>
          <w:noProof/>
        </w:rPr>
        <w:t>4</w:t>
      </w:r>
      <w:r>
        <w:fldChar w:fldCharType="end"/>
      </w:r>
      <w:r>
        <w:noBreakHyphen/>
      </w:r>
      <w:r>
        <w:fldChar w:fldCharType="begin"/>
      </w:r>
      <w:r>
        <w:instrText xml:space="preserve"> SEQ Figure \* ARABIC \s 1 </w:instrText>
      </w:r>
      <w:r>
        <w:fldChar w:fldCharType="separate"/>
      </w:r>
      <w:r w:rsidR="00B62B50">
        <w:rPr>
          <w:noProof/>
        </w:rPr>
        <w:t>10</w:t>
      </w:r>
      <w:r>
        <w:fldChar w:fldCharType="end"/>
      </w:r>
      <w:r>
        <w:t xml:space="preserve">: </w:t>
      </w:r>
      <w:r w:rsidR="008172FD" w:rsidRPr="005B6DBF">
        <w:t xml:space="preserve">GAMM analysis for PP, µM, left column), DIP, µM, mid column) and Si, µM, right column) collected from December, 2005 to April, 2013 (inclusive). First </w:t>
      </w:r>
      <w:r w:rsidR="005B6DBF" w:rsidRPr="005B6DBF">
        <w:t xml:space="preserve">three </w:t>
      </w:r>
      <w:r w:rsidR="008172FD" w:rsidRPr="005B6DBF">
        <w:t>plots in each column are for the partial effect plots and las</w:t>
      </w:r>
      <w:r w:rsidR="005B6DBF" w:rsidRPr="005B6DBF">
        <w:t>t pot is the temporal analysis.</w:t>
      </w:r>
    </w:p>
    <w:p w14:paraId="0C3F8817" w14:textId="77777777" w:rsidR="0002115B" w:rsidRDefault="0002115B" w:rsidP="0002115B"/>
    <w:p w14:paraId="0C3F8818" w14:textId="77777777" w:rsidR="00703EC1" w:rsidRPr="001758C6" w:rsidRDefault="00EB770E" w:rsidP="00EB770E">
      <w:pPr>
        <w:pStyle w:val="Heading1"/>
        <w:numPr>
          <w:ilvl w:val="0"/>
          <w:numId w:val="3"/>
        </w:numPr>
        <w:spacing w:after="240" w:line="80" w:lineRule="atLeast"/>
        <w:rPr>
          <w:caps w:val="0"/>
        </w:rPr>
      </w:pPr>
      <w:bookmarkStart w:id="138" w:name="_Toc434208001"/>
      <w:bookmarkEnd w:id="95"/>
      <w:r w:rsidRPr="001758C6">
        <w:rPr>
          <w:caps w:val="0"/>
        </w:rPr>
        <w:t>Mapping of river plumes</w:t>
      </w:r>
      <w:bookmarkEnd w:id="138"/>
    </w:p>
    <w:p w14:paraId="0C3F8819" w14:textId="77777777" w:rsidR="00836155" w:rsidRPr="00E11FA7" w:rsidRDefault="00EB770E" w:rsidP="00E11FA7">
      <w:pPr>
        <w:pStyle w:val="Heading3"/>
        <w:numPr>
          <w:ilvl w:val="1"/>
          <w:numId w:val="3"/>
        </w:numPr>
        <w:rPr>
          <w:rStyle w:val="Heading20"/>
          <w:b/>
        </w:rPr>
      </w:pPr>
      <w:bookmarkStart w:id="139" w:name="_Toc434208002"/>
      <w:r w:rsidRPr="00E11FA7">
        <w:rPr>
          <w:rStyle w:val="Heading20"/>
          <w:b/>
        </w:rPr>
        <w:t>Introduction</w:t>
      </w:r>
      <w:bookmarkEnd w:id="139"/>
    </w:p>
    <w:p w14:paraId="0C3F881A" w14:textId="77777777" w:rsidR="00131E41" w:rsidRPr="00EB770E" w:rsidRDefault="00131E41" w:rsidP="00131E41">
      <w:pPr>
        <w:rPr>
          <w:rFonts w:eastAsia="Calibri"/>
          <w:lang w:eastAsia="en-US"/>
        </w:rPr>
      </w:pPr>
      <w:bookmarkStart w:id="140" w:name="_Toc420329339"/>
      <w:bookmarkStart w:id="141" w:name="_Toc416533901"/>
      <w:bookmarkStart w:id="142" w:name="_Toc416533947"/>
      <w:bookmarkEnd w:id="140"/>
      <w:r w:rsidRPr="00EB770E">
        <w:rPr>
          <w:rFonts w:eastAsia="Calibri"/>
          <w:lang w:eastAsia="en-US"/>
        </w:rPr>
        <w:t>Remote sens</w:t>
      </w:r>
      <w:r>
        <w:rPr>
          <w:rFonts w:eastAsia="Calibri"/>
          <w:lang w:eastAsia="en-US"/>
        </w:rPr>
        <w:t>ing</w:t>
      </w:r>
      <w:r w:rsidRPr="00EB770E">
        <w:rPr>
          <w:rFonts w:eastAsia="Calibri"/>
          <w:lang w:eastAsia="en-US"/>
        </w:rPr>
        <w:t xml:space="preserve"> image</w:t>
      </w:r>
      <w:r>
        <w:rPr>
          <w:rFonts w:eastAsia="Calibri"/>
          <w:lang w:eastAsia="en-US"/>
        </w:rPr>
        <w:t>ry</w:t>
      </w:r>
      <w:r w:rsidRPr="00EB770E">
        <w:rPr>
          <w:rFonts w:eastAsia="Calibri"/>
          <w:lang w:eastAsia="en-US"/>
        </w:rPr>
        <w:t xml:space="preserve"> ha</w:t>
      </w:r>
      <w:r>
        <w:rPr>
          <w:rFonts w:eastAsia="Calibri"/>
          <w:lang w:eastAsia="en-US"/>
        </w:rPr>
        <w:t>s</w:t>
      </w:r>
      <w:r w:rsidRPr="00EB770E">
        <w:rPr>
          <w:rFonts w:eastAsia="Calibri"/>
          <w:lang w:eastAsia="en-US"/>
        </w:rPr>
        <w:t xml:space="preserve"> become a useful and operational assessment tool in the monitoring of river flood plumes (hereafter river plumes) in the GBR. Combined with </w:t>
      </w:r>
      <w:r w:rsidRPr="00EB770E">
        <w:rPr>
          <w:rFonts w:eastAsia="Calibri"/>
          <w:i/>
          <w:lang w:eastAsia="en-US"/>
        </w:rPr>
        <w:t>in situ</w:t>
      </w:r>
      <w:r w:rsidRPr="00EB770E">
        <w:rPr>
          <w:rFonts w:eastAsia="Calibri"/>
          <w:lang w:eastAsia="en-US"/>
        </w:rPr>
        <w:t xml:space="preserve"> WQ sampling the use of remote sensing (RS) is a valid and practical way to estimate both the extent and frequency of river plume exposure on GBR ecosystems. Ocean colour imagery provides synoptic-scale information regarding the movement and composition of river plumes. Thus, in the past five years, RS imagery combined with </w:t>
      </w:r>
      <w:r w:rsidRPr="00EB770E">
        <w:rPr>
          <w:rFonts w:eastAsia="Calibri"/>
          <w:i/>
          <w:lang w:eastAsia="en-US"/>
        </w:rPr>
        <w:t>in situ</w:t>
      </w:r>
      <w:r w:rsidRPr="00EB770E">
        <w:rPr>
          <w:rFonts w:eastAsia="Calibri"/>
          <w:lang w:eastAsia="en-US"/>
        </w:rPr>
        <w:t xml:space="preserve"> sampling of river plumes has provided an essential source of data related to the movement and composition of river plumes in GBR waters (e.g., Bainbridge et al., 2012; Brodie et al.; 2010; Devlin et al.; 2012a, b; Schroeder et al., 2012). </w:t>
      </w:r>
    </w:p>
    <w:p w14:paraId="0C3F881B" w14:textId="77777777" w:rsidR="00131E41" w:rsidRPr="00EB770E" w:rsidRDefault="00131E41" w:rsidP="00131E41">
      <w:pPr>
        <w:rPr>
          <w:rFonts w:eastAsia="Calibri"/>
          <w:lang w:eastAsia="en-US"/>
        </w:rPr>
      </w:pPr>
      <w:r w:rsidRPr="00EB770E">
        <w:rPr>
          <w:rFonts w:eastAsia="Calibri"/>
          <w:lang w:eastAsia="en-US"/>
        </w:rPr>
        <w:t xml:space="preserve">Our efforts to improve RS methods are continuing. As part of the last MMP in 2011-12 (Devlin et al., 2013a), </w:t>
      </w:r>
      <w:r>
        <w:rPr>
          <w:rFonts w:eastAsia="Calibri"/>
          <w:lang w:eastAsia="en-US"/>
        </w:rPr>
        <w:t xml:space="preserve">a </w:t>
      </w:r>
      <w:r w:rsidRPr="00EB770E">
        <w:rPr>
          <w:rFonts w:eastAsia="Calibri"/>
          <w:lang w:eastAsia="en-US"/>
        </w:rPr>
        <w:t>number of important and innovative developments were undertaken to improve our capacity to identify and monitor the exposure of GBR ecosystems to river plumes and anthropogenic WQ influences, using RS data. These steps included:</w:t>
      </w:r>
    </w:p>
    <w:p w14:paraId="0C3F881C" w14:textId="77777777" w:rsidR="00131E41" w:rsidRPr="00E11FA7" w:rsidRDefault="00131E41" w:rsidP="00C05A63">
      <w:pPr>
        <w:pStyle w:val="ListParagraph"/>
        <w:numPr>
          <w:ilvl w:val="0"/>
          <w:numId w:val="17"/>
        </w:numPr>
        <w:rPr>
          <w:rFonts w:eastAsia="Calibri"/>
          <w:lang w:eastAsia="en-US"/>
        </w:rPr>
      </w:pPr>
      <w:r w:rsidRPr="00E11FA7">
        <w:rPr>
          <w:rFonts w:eastAsia="Calibri"/>
          <w:lang w:eastAsia="en-US"/>
        </w:rPr>
        <w:t>The development of a semi-automated qualitative method to delineate river plumes (full extent) and river plume water types (Primary, Secondary, and Tertiary) using two types of Moderate Resolution Imaging Spectroradiometer (MODIS) imagery: (i) true color (TC) data (Álvarez-Romero et al., 2013; Devlin et al., 2013a). Maps produced from this method are hereafter referred as “TC maps”. (ii) MODIS Level 2 (L2; i.e., geophysical) data and WQ thresholds (Devlin et al., 2013a</w:t>
      </w:r>
      <w:r>
        <w:rPr>
          <w:rFonts w:eastAsia="Calibri"/>
          <w:lang w:eastAsia="en-US"/>
        </w:rPr>
        <w:t>, Petus et al., 2014b</w:t>
      </w:r>
      <w:r w:rsidRPr="00E11FA7">
        <w:rPr>
          <w:rFonts w:eastAsia="Calibri"/>
          <w:lang w:eastAsia="en-US"/>
        </w:rPr>
        <w:t>). Maps produced from this method are hereafter referred as “L2 maps”. Both TC and L2 maps are used to map the extent, movement and frequency of occurrence of river plumes in the GBR during the wet season.</w:t>
      </w:r>
      <w:r w:rsidRPr="00EB770E">
        <w:t xml:space="preserve"> </w:t>
      </w:r>
    </w:p>
    <w:p w14:paraId="0C3F881D" w14:textId="77777777" w:rsidR="00131E41" w:rsidRPr="00E11FA7" w:rsidRDefault="00131E41" w:rsidP="00C05A63">
      <w:pPr>
        <w:pStyle w:val="ListParagraph"/>
        <w:numPr>
          <w:ilvl w:val="0"/>
          <w:numId w:val="17"/>
        </w:numPr>
        <w:rPr>
          <w:rFonts w:eastAsia="Calibri"/>
          <w:lang w:eastAsia="en-US"/>
        </w:rPr>
      </w:pPr>
      <w:r w:rsidRPr="00E11FA7">
        <w:rPr>
          <w:rFonts w:eastAsia="Calibri"/>
          <w:lang w:eastAsia="en-US"/>
        </w:rPr>
        <w:t>The development of an innovative satellite method to map the discharge and dispersal of TSS and DIN in the coastal/marine environment (Álvarez-Romero, 2013)</w:t>
      </w:r>
      <w:r>
        <w:rPr>
          <w:rFonts w:eastAsia="Calibri"/>
          <w:lang w:eastAsia="en-US"/>
        </w:rPr>
        <w:t>. It</w:t>
      </w:r>
      <w:r w:rsidRPr="00E11FA7">
        <w:rPr>
          <w:rFonts w:eastAsia="Calibri"/>
          <w:lang w:eastAsia="en-US"/>
        </w:rPr>
        <w:t xml:space="preserve"> incorporates TC-derived products and spatially distributed load data to produce TSS and DIN load maps from 2007 to 2011</w:t>
      </w:r>
      <w:r>
        <w:rPr>
          <w:rStyle w:val="FootnoteReference"/>
          <w:rFonts w:eastAsia="Calibri"/>
          <w:lang w:eastAsia="en-US"/>
        </w:rPr>
        <w:footnoteReference w:id="2"/>
      </w:r>
      <w:r w:rsidRPr="00E11FA7">
        <w:rPr>
          <w:rFonts w:eastAsia="Calibri"/>
          <w:lang w:eastAsia="en-US"/>
        </w:rPr>
        <w:t>. Maps produced from this method are referred as “load maps”.</w:t>
      </w:r>
    </w:p>
    <w:p w14:paraId="0C3F881E" w14:textId="77777777" w:rsidR="00131E41" w:rsidRPr="00EB770E" w:rsidRDefault="00131E41" w:rsidP="00131E41">
      <w:pPr>
        <w:rPr>
          <w:rFonts w:eastAsia="Calibri"/>
          <w:lang w:eastAsia="en-US"/>
        </w:rPr>
      </w:pPr>
      <w:r w:rsidRPr="00EB770E">
        <w:rPr>
          <w:rFonts w:eastAsia="Calibri"/>
          <w:lang w:eastAsia="en-US"/>
        </w:rPr>
        <w:t>As part of this MMP report in 2012-13, our technical efforts focused on the improvement and validation of the RS methods developed in 2011-12 to map GBR river plumes and river plume water types (hereafter, plumes water types), as well as on the development of new methods to measure the exposure of coastal-marine ecosystems to river plumes and associated pollutants through the production of river plume exposure/risk maps</w:t>
      </w:r>
      <w:r>
        <w:rPr>
          <w:rFonts w:eastAsia="Calibri"/>
          <w:lang w:eastAsia="en-US"/>
        </w:rPr>
        <w:t xml:space="preserve"> (herafter potential risk maps)</w:t>
      </w:r>
      <w:r w:rsidRPr="00EB770E">
        <w:rPr>
          <w:rFonts w:eastAsia="Calibri"/>
          <w:lang w:eastAsia="en-US"/>
        </w:rPr>
        <w:t>. More particularly we focused on:</w:t>
      </w:r>
    </w:p>
    <w:p w14:paraId="0C3F881F" w14:textId="77777777" w:rsidR="00131E41" w:rsidRPr="003118C5" w:rsidRDefault="00131E41" w:rsidP="00C05A63">
      <w:pPr>
        <w:pStyle w:val="ListParagraph"/>
        <w:numPr>
          <w:ilvl w:val="0"/>
          <w:numId w:val="22"/>
        </w:numPr>
        <w:rPr>
          <w:rFonts w:eastAsia="Calibri"/>
          <w:lang w:eastAsia="en-US"/>
        </w:rPr>
      </w:pPr>
      <w:r w:rsidRPr="003118C5">
        <w:rPr>
          <w:rFonts w:eastAsia="Calibri"/>
          <w:lang w:eastAsia="en-US"/>
        </w:rPr>
        <w:t>The improvement, automation and validation of the TC and L2 methods to delineate river plumes (full extent) and plume water types (Primary, Secondary, Tertiary) (e.g. Petus et al., 2014b).</w:t>
      </w:r>
      <w:r w:rsidRPr="00EB770E">
        <w:t xml:space="preserve"> </w:t>
      </w:r>
      <w:r w:rsidRPr="003118C5">
        <w:rPr>
          <w:rFonts w:eastAsia="Calibri"/>
          <w:lang w:eastAsia="en-US"/>
        </w:rPr>
        <w:t>Outputs from both MODIS TC and L2 -derived products are compared in this report to determine the best outputs to use as problem-oriented management tools.</w:t>
      </w:r>
    </w:p>
    <w:p w14:paraId="0C3F8820" w14:textId="77777777" w:rsidR="00131E41" w:rsidRPr="00522DB0" w:rsidRDefault="00131E41" w:rsidP="00C05A63">
      <w:pPr>
        <w:pStyle w:val="ListParagraph"/>
        <w:numPr>
          <w:ilvl w:val="0"/>
          <w:numId w:val="22"/>
        </w:numPr>
        <w:rPr>
          <w:rFonts w:eastAsia="Calibri"/>
          <w:lang w:eastAsia="en-US"/>
        </w:rPr>
      </w:pPr>
      <w:r w:rsidRPr="005B7CDC">
        <w:rPr>
          <w:rFonts w:eastAsia="Calibri"/>
          <w:lang w:eastAsia="en-US"/>
        </w:rPr>
        <w:t>The improvement and automation of the production of pollutants load maps (TSS, DIN, pesticides; Álvarez-Romero, 2013). This load wo</w:t>
      </w:r>
      <w:r w:rsidRPr="00522DB0">
        <w:rPr>
          <w:rFonts w:eastAsia="Calibri"/>
          <w:lang w:eastAsia="en-US"/>
        </w:rPr>
        <w:t>rk is still in progress and no outputs are presented in this report as we are currently incorporating all rivers into the pollutant loading surface.</w:t>
      </w:r>
    </w:p>
    <w:p w14:paraId="0C3F8821" w14:textId="77777777" w:rsidR="00131E41" w:rsidRPr="00613ED9" w:rsidRDefault="00131E41" w:rsidP="00C05A63">
      <w:pPr>
        <w:pStyle w:val="ListParagraph"/>
        <w:numPr>
          <w:ilvl w:val="0"/>
          <w:numId w:val="22"/>
        </w:numPr>
        <w:rPr>
          <w:rFonts w:eastAsia="Calibri"/>
          <w:lang w:eastAsia="en-US"/>
        </w:rPr>
      </w:pPr>
      <w:r w:rsidRPr="00522DB0">
        <w:rPr>
          <w:rFonts w:eastAsia="Calibri"/>
          <w:lang w:eastAsia="en-US"/>
        </w:rPr>
        <w:t>The exploration of the potential of using MODIS images to produce potential risk maps from river plume exposure for GBR reef and seagrass ecosystems;</w:t>
      </w:r>
    </w:p>
    <w:p w14:paraId="0C3F8822" w14:textId="77777777" w:rsidR="00131E41" w:rsidRPr="00E11FA7" w:rsidRDefault="00131E41" w:rsidP="00131E41">
      <w:pPr>
        <w:pStyle w:val="Heading3"/>
        <w:numPr>
          <w:ilvl w:val="1"/>
          <w:numId w:val="3"/>
        </w:numPr>
        <w:rPr>
          <w:rStyle w:val="Heading20"/>
          <w:b/>
        </w:rPr>
      </w:pPr>
      <w:bookmarkStart w:id="143" w:name="_Toc434208003"/>
      <w:bookmarkEnd w:id="141"/>
      <w:r w:rsidRPr="00E11FA7">
        <w:rPr>
          <w:rStyle w:val="Heading20"/>
          <w:b/>
        </w:rPr>
        <w:t>Methods</w:t>
      </w:r>
      <w:bookmarkEnd w:id="143"/>
    </w:p>
    <w:p w14:paraId="0C3F8823" w14:textId="77777777" w:rsidR="00131E41" w:rsidRDefault="00131E41" w:rsidP="00131E41">
      <w:pPr>
        <w:pStyle w:val="Heading3"/>
        <w:numPr>
          <w:ilvl w:val="2"/>
          <w:numId w:val="3"/>
        </w:numPr>
      </w:pPr>
      <w:bookmarkStart w:id="144" w:name="_Toc434208004"/>
      <w:r>
        <w:t>GBR plumes water types</w:t>
      </w:r>
      <w:bookmarkEnd w:id="144"/>
    </w:p>
    <w:p w14:paraId="0C3F8824" w14:textId="77777777" w:rsidR="00131E41" w:rsidRPr="00C97CC0" w:rsidRDefault="00131E41" w:rsidP="00131E41">
      <w:pPr>
        <w:rPr>
          <w:rFonts w:ascii="Calibri" w:eastAsia="Calibri" w:hAnsi="Calibri" w:cs="Times New Roman"/>
          <w:color w:val="000000" w:themeColor="text1"/>
          <w:lang w:eastAsia="en-US"/>
        </w:rPr>
      </w:pPr>
      <w:bookmarkStart w:id="145" w:name="_Toc416533902"/>
      <w:r w:rsidRPr="00C97CC0">
        <w:rPr>
          <w:rFonts w:ascii="Calibri" w:eastAsia="Calibri" w:hAnsi="Calibri" w:cs="Times New Roman"/>
          <w:color w:val="000000" w:themeColor="text1"/>
          <w:lang w:eastAsia="en-US"/>
        </w:rPr>
        <w:t xml:space="preserve">Three distinct plume water types have been described within GBR river plumes (from the inshore to the offshore boundary of river plumes). They are characterized by varying salinity levels, spectral properties, colour, and WQ concentrations. </w:t>
      </w:r>
    </w:p>
    <w:p w14:paraId="0C3F8825" w14:textId="77777777" w:rsidR="00131E41" w:rsidRPr="009217DD" w:rsidRDefault="00131E41" w:rsidP="00C05A63">
      <w:pPr>
        <w:pStyle w:val="ListParagraph"/>
        <w:numPr>
          <w:ilvl w:val="0"/>
          <w:numId w:val="14"/>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 xml:space="preserve">The Primary water type presents very high turbidity, low salinity (0 to 10; Devlin et al., 2010), and very high values of CDOM and Total Suspended Sediment (TSS). Turbidity levels limit light penetration in Primary waters, inhibiting primary production and limiting chl-a concentration. </w:t>
      </w:r>
    </w:p>
    <w:p w14:paraId="0C3F8826" w14:textId="77777777" w:rsidR="00131E41" w:rsidRPr="009217DD" w:rsidRDefault="00131E41" w:rsidP="00C05A63">
      <w:pPr>
        <w:pStyle w:val="ListParagraph"/>
        <w:numPr>
          <w:ilvl w:val="0"/>
          <w:numId w:val="14"/>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 xml:space="preserve">The Secondary water type is characterised by intermediate salinity, elevated CDOM concentrations, and reduced TSS due to sedimentation (Bainbridge et al., 2012). In this water type (middle salinity range: 10 to 25; Devlin et al., 2010), the phytoplankton growth is prompted by the increased light (due to lower TSS) and high nutrient availability delivered by the river plume. </w:t>
      </w:r>
    </w:p>
    <w:p w14:paraId="0C3F8827" w14:textId="77777777" w:rsidR="00131E41" w:rsidRPr="009217DD" w:rsidRDefault="00131E41" w:rsidP="00C05A63">
      <w:pPr>
        <w:pStyle w:val="ListParagraph"/>
        <w:numPr>
          <w:ilvl w:val="0"/>
          <w:numId w:val="14"/>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The Tertiary water type occupies the external region of the river plume. It exhibits no or low TSS associated with the river plume, and above-ambient concentrations of chl-a and CDOM. This water type can be described as being the transition between Secondary water and marine ambient water, and present salinity lower than the marine waters (typically defined by salinity ≥ 35; e.g., Pinet, 2000).</w:t>
      </w:r>
    </w:p>
    <w:p w14:paraId="0C3F8828" w14:textId="77777777" w:rsidR="00131E41" w:rsidRPr="007629C0" w:rsidRDefault="00131E41" w:rsidP="00131E41">
      <w:pPr>
        <w:pStyle w:val="Heading3"/>
        <w:numPr>
          <w:ilvl w:val="2"/>
          <w:numId w:val="3"/>
        </w:numPr>
      </w:pPr>
      <w:bookmarkStart w:id="146" w:name="_Toc427251540"/>
      <w:bookmarkStart w:id="147" w:name="_Toc427831196"/>
      <w:bookmarkStart w:id="148" w:name="_Toc428793326"/>
      <w:bookmarkStart w:id="149" w:name="_Toc428851343"/>
      <w:bookmarkStart w:id="150" w:name="_Toc434208005"/>
      <w:r w:rsidRPr="007629C0">
        <w:t>Mapping of the GBR River plumes, using MODIS images</w:t>
      </w:r>
      <w:bookmarkEnd w:id="146"/>
      <w:bookmarkEnd w:id="147"/>
      <w:bookmarkEnd w:id="148"/>
      <w:bookmarkEnd w:id="149"/>
      <w:bookmarkEnd w:id="150"/>
    </w:p>
    <w:p w14:paraId="0C3F8829" w14:textId="77777777" w:rsidR="00131E41" w:rsidRPr="00C97CC0" w:rsidRDefault="00131E41" w:rsidP="00131E41">
      <w:pPr>
        <w:rPr>
          <w:rFonts w:ascii="Calibri" w:eastAsia="Calibri" w:hAnsi="Calibri" w:cs="Times New Roman"/>
          <w:color w:val="000000" w:themeColor="text1"/>
          <w:lang w:eastAsia="en-US"/>
        </w:rPr>
      </w:pPr>
      <w:r w:rsidRPr="00C97CC0">
        <w:rPr>
          <w:rFonts w:ascii="Calibri" w:eastAsia="Calibri" w:hAnsi="Calibri" w:cs="Times New Roman"/>
          <w:color w:val="000000" w:themeColor="text1"/>
          <w:lang w:eastAsia="en-US"/>
        </w:rPr>
        <w:t>Level of exposure of GBR ecosystems (including the coral reefs and seagrass meadows) to river plumes and land-sourced contaminants is spatially and temporally dependent of the different land-uses in the GBR catchments, the local transports of contaminants, and the distance of respective ecosystems to the river mouths (Brodie et al., 2013). Understanding the exposure of the GBR ecosystems and resulting changes in ecosystem health conditions is important to facilitate management of the GBR to respond to anthropogenic pressures under a changing climate. The main objective of the RS component of the wet season monitoring under the MMP is to produce maps of river plumes, models that summarize land-sourced contaminants transport, describe water quality concentrations within wet season conditions, and to integrate all these methods to evaluate the susceptibility of GBR key ecosystems to the river plume/pollutants exposure i.e. to model the risk of GBR ecosystem due to exposure to river plumes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_Ref428881339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t xml:space="preserve">Figure </w:t>
      </w:r>
      <w:r w:rsidR="00B62B50">
        <w:rPr>
          <w:noProof/>
        </w:rPr>
        <w:t>5</w:t>
      </w:r>
      <w:r w:rsidR="00B62B50">
        <w:noBreakHyphen/>
      </w:r>
      <w:r w:rsidR="00B62B50">
        <w:rPr>
          <w:noProof/>
        </w:rPr>
        <w:t>1</w:t>
      </w:r>
      <w:r>
        <w:rPr>
          <w:rFonts w:ascii="Calibri" w:eastAsia="Calibri" w:hAnsi="Calibri" w:cs="Times New Roman"/>
          <w:color w:val="000000" w:themeColor="text1"/>
          <w:lang w:eastAsia="en-US"/>
        </w:rPr>
        <w:fldChar w:fldCharType="end"/>
      </w:r>
      <w:r w:rsidRPr="00C97CC0">
        <w:rPr>
          <w:rFonts w:ascii="Calibri" w:eastAsia="Calibri" w:hAnsi="Calibri" w:cs="Times New Roman"/>
          <w:color w:val="000000" w:themeColor="text1"/>
          <w:lang w:eastAsia="en-US"/>
        </w:rPr>
        <w:t>).</w:t>
      </w:r>
    </w:p>
    <w:p w14:paraId="0C3F882A" w14:textId="77777777" w:rsidR="00131E41" w:rsidRPr="007629C0" w:rsidRDefault="00131E41" w:rsidP="00131E41">
      <w:pPr>
        <w:pStyle w:val="Heading3"/>
        <w:numPr>
          <w:ilvl w:val="2"/>
          <w:numId w:val="3"/>
        </w:numPr>
      </w:pPr>
      <w:bookmarkStart w:id="151" w:name="_Toc428851344"/>
      <w:bookmarkStart w:id="152" w:name="_Toc434208006"/>
      <w:bookmarkStart w:id="153" w:name="_Toc427831197"/>
      <w:bookmarkStart w:id="154" w:name="_Toc428793327"/>
      <w:r>
        <w:t xml:space="preserve">Development of </w:t>
      </w:r>
      <w:r w:rsidRPr="007629C0">
        <w:t>Remote sensing products</w:t>
      </w:r>
      <w:bookmarkEnd w:id="151"/>
      <w:bookmarkEnd w:id="152"/>
      <w:r w:rsidRPr="007629C0">
        <w:t xml:space="preserve"> </w:t>
      </w:r>
      <w:bookmarkEnd w:id="153"/>
      <w:bookmarkEnd w:id="154"/>
    </w:p>
    <w:p w14:paraId="0C3F882B" w14:textId="77777777" w:rsidR="00131E41" w:rsidRPr="00C97CC0" w:rsidRDefault="00131E41" w:rsidP="00131E41">
      <w:pPr>
        <w:rPr>
          <w:rFonts w:ascii="Calibri" w:eastAsia="Calibri" w:hAnsi="Calibri" w:cs="Times New Roman"/>
          <w:color w:val="000000" w:themeColor="text1"/>
          <w:lang w:eastAsia="en-US"/>
        </w:rPr>
      </w:pPr>
      <w:r w:rsidRPr="00C97CC0">
        <w:rPr>
          <w:rFonts w:ascii="Calibri" w:eastAsia="Calibri" w:hAnsi="Calibri" w:cs="Times New Roman"/>
          <w:color w:val="000000" w:themeColor="text1"/>
          <w:lang w:eastAsia="en-US"/>
        </w:rPr>
        <w:t xml:space="preserve">MODIS images, offer daily and whole GBR scale pictures of GBR coastal environments and thus help with identification and mapping of GBR river plumes. Two families of supervised classification methods based on MODIS data have been investigated though MMP funding to map marine areas exposed to river plumes and the different plume water types: one based on MODIS true colour images (hereafter TC method), and one using MODIS images calibrated into WQ proxies (i.e., MODIS L2 data; hereafter L2 method). </w:t>
      </w:r>
      <w:r w:rsidRPr="00C97CC0">
        <w:rPr>
          <w:rFonts w:ascii="Calibri" w:eastAsia="Calibri" w:hAnsi="Calibri" w:cs="Calibri"/>
          <w:color w:val="000000" w:themeColor="text1"/>
          <w:lang w:eastAsia="en-US"/>
        </w:rPr>
        <w:t xml:space="preserve">The TC method is based on classification of spectrally enhanced quasi-true colour MODIS images (Álvarez-Romero et al., 2013). This method exploits the differences in colour between the turbid river plumes and the marine ambient water, and between respective water type inside the river plumes (Álvarez-Romero et al., 2013). The second family of analysis or L2 method, uses threshold values applied to atmospherically corrected Level-2 products derived from satellite images to delineate river plume boundaries and surface water types inside river plumes (e.g., Dzwonkowski and Yan, 2005; Petus et al., 2014b; Saldias et al., 2012; Schroeder et al. 2012). </w:t>
      </w:r>
      <w:r w:rsidRPr="00C97CC0">
        <w:rPr>
          <w:rFonts w:ascii="Calibri" w:eastAsia="Calibri" w:hAnsi="Calibri" w:cs="Times New Roman"/>
          <w:color w:val="000000" w:themeColor="text1"/>
          <w:lang w:eastAsia="en-US"/>
        </w:rPr>
        <w:t xml:space="preserve">Both methods (Álvarez-Romero et al., 2013, Devlin et al. 2013a, Petus et al., 2014b) present advantages and disadvantages, described in Petus et al. (2014b) and in the discussion section of this report in order to determine the best data to use as problem-oriented management tool. </w:t>
      </w:r>
    </w:p>
    <w:p w14:paraId="0C3F882C" w14:textId="77777777" w:rsidR="00131E41" w:rsidRPr="00C97CC0" w:rsidRDefault="00131E41" w:rsidP="00131E41">
      <w:pPr>
        <w:rPr>
          <w:rFonts w:ascii="Calibri" w:eastAsia="Calibri" w:hAnsi="Calibri" w:cs="Times New Roman"/>
          <w:color w:val="000000" w:themeColor="text1"/>
          <w:lang w:eastAsia="en-US"/>
        </w:rPr>
      </w:pPr>
      <w:r w:rsidRPr="00C97CC0">
        <w:rPr>
          <w:rFonts w:ascii="Calibri" w:eastAsia="Calibri" w:hAnsi="Calibri" w:cs="Times New Roman"/>
          <w:color w:val="000000" w:themeColor="text1"/>
          <w:lang w:eastAsia="en-US"/>
        </w:rPr>
        <w:t>Maps were produced at different spatial (whole-GBR; NRM-, river-) and temporal (daily-, weekly-, annual- and multi-annual-) scales and included:</w:t>
      </w:r>
    </w:p>
    <w:p w14:paraId="0C3F882D" w14:textId="77777777" w:rsidR="00131E41" w:rsidRPr="009217DD" w:rsidRDefault="00131E41" w:rsidP="00C05A63">
      <w:pPr>
        <w:pStyle w:val="ListParagraph"/>
        <w:numPr>
          <w:ilvl w:val="0"/>
          <w:numId w:val="15"/>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River plume (full extent) maps. The river plume maps illustrate the movement of riverine waters, but do not provide information on the composition of the water and WQ constituents.</w:t>
      </w:r>
    </w:p>
    <w:p w14:paraId="0C3F882E" w14:textId="77777777" w:rsidR="00131E41" w:rsidRPr="009217DD" w:rsidRDefault="00131E41" w:rsidP="00C05A63">
      <w:pPr>
        <w:pStyle w:val="ListParagraph"/>
        <w:numPr>
          <w:ilvl w:val="0"/>
          <w:numId w:val="15"/>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 xml:space="preserve">Plume water type (Primary, Secondary and Tertiary) maps produced from the TC and L2 methods Plume water types are associated with different levels and combination of pollutants (see, e.g., discussion in Petus et al., 2014b) and, in combination with in-situ WQ information, provide a broad scale approach to reporting contaminant concentrations in the GBR marine environment. </w:t>
      </w:r>
    </w:p>
    <w:p w14:paraId="0C3F882F" w14:textId="77777777" w:rsidR="00131E41" w:rsidRPr="009217DD" w:rsidRDefault="00131E41" w:rsidP="00C05A63">
      <w:pPr>
        <w:pStyle w:val="ListParagraph"/>
        <w:numPr>
          <w:ilvl w:val="0"/>
          <w:numId w:val="15"/>
        </w:numPr>
        <w:rPr>
          <w:rFonts w:ascii="Calibri" w:eastAsia="Calibri" w:hAnsi="Calibri" w:cs="Times New Roman"/>
          <w:color w:val="000000" w:themeColor="text1"/>
          <w:lang w:eastAsia="en-US"/>
        </w:rPr>
      </w:pPr>
      <w:r w:rsidRPr="009217DD">
        <w:rPr>
          <w:rFonts w:ascii="Calibri" w:eastAsia="Calibri" w:hAnsi="Calibri" w:cs="Times New Roman"/>
          <w:color w:val="000000" w:themeColor="text1"/>
          <w:lang w:eastAsia="en-US"/>
        </w:rPr>
        <w:t xml:space="preserve">Load maps of land-sourced pollutants (TSS and DIN) derived from the TC method. The load mapping exercise, allows us to further understand the movements of pollutants which are carried within the river plume waters. </w:t>
      </w:r>
    </w:p>
    <w:p w14:paraId="0C3F8830" w14:textId="77777777" w:rsidR="00131E41" w:rsidRPr="00C97CC0" w:rsidRDefault="00131E41" w:rsidP="00131E41">
      <w:pPr>
        <w:rPr>
          <w:rFonts w:ascii="Calibri" w:eastAsia="Calibri" w:hAnsi="Calibri" w:cs="Times New Roman"/>
          <w:lang w:eastAsia="en-US"/>
        </w:rPr>
      </w:pPr>
    </w:p>
    <w:p w14:paraId="0C3F8831" w14:textId="77777777" w:rsidR="00131E41" w:rsidRDefault="00131E41" w:rsidP="00131E41">
      <w:r w:rsidRPr="009B0AE8">
        <w:rPr>
          <w:rFonts w:eastAsia="Calibri"/>
          <w:noProof/>
        </w:rPr>
        <w:drawing>
          <wp:inline distT="0" distB="0" distL="0" distR="0" wp14:anchorId="0C3F9003" wp14:editId="0C3F9004">
            <wp:extent cx="5805377" cy="4369981"/>
            <wp:effectExtent l="0" t="0" r="0" b="12065"/>
            <wp:docPr id="76" name="Diagram 76" descr="Remote sensing products designed in order to model the risk of GBR ecosystems due to river plumes during the wet season." title="Remote sensing products designed in order to model the risk of GBR ecosystems due to river plumes during the wet seaso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14:paraId="0C3F8832" w14:textId="77777777" w:rsidR="00131E41" w:rsidRDefault="00131E41" w:rsidP="00131E41">
      <w:pPr>
        <w:pStyle w:val="Caption"/>
        <w:rPr>
          <w:rFonts w:eastAsia="Calibri"/>
        </w:rPr>
      </w:pPr>
      <w:bookmarkStart w:id="155" w:name="_Ref428881339"/>
      <w:bookmarkStart w:id="156" w:name="_Toc427833268"/>
      <w:bookmarkStart w:id="157" w:name="_Toc434208037"/>
      <w:r>
        <w:t xml:space="preserve">Figure </w:t>
      </w:r>
      <w:r w:rsidR="00D243CD">
        <w:fldChar w:fldCharType="begin"/>
      </w:r>
      <w:r w:rsidR="00D243CD">
        <w:instrText xml:space="preserve"> STYLEREF 1 \s </w:instrText>
      </w:r>
      <w:r w:rsidR="00D243CD">
        <w:fldChar w:fldCharType="separate"/>
      </w:r>
      <w:r w:rsidR="00B62B50">
        <w:rPr>
          <w:noProof/>
        </w:rPr>
        <w:t>5</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1</w:t>
      </w:r>
      <w:r w:rsidR="00D243CD">
        <w:fldChar w:fldCharType="end"/>
      </w:r>
      <w:bookmarkEnd w:id="155"/>
      <w:r>
        <w:t xml:space="preserve">: </w:t>
      </w:r>
      <w:r w:rsidRPr="00C97CC0">
        <w:rPr>
          <w:rFonts w:eastAsia="Calibri"/>
        </w:rPr>
        <w:t>Remote sensing products designed in order to model the risk of GBR ecosystems due to river plumes during the wet season.</w:t>
      </w:r>
      <w:bookmarkEnd w:id="156"/>
      <w:bookmarkEnd w:id="157"/>
    </w:p>
    <w:p w14:paraId="0C3F8833" w14:textId="77777777" w:rsidR="00131E41" w:rsidRDefault="00131E41" w:rsidP="00131E41">
      <w:pPr>
        <w:rPr>
          <w:rFonts w:eastAsia="Calibri"/>
          <w:lang w:val="en-GB" w:eastAsia="en-US"/>
        </w:rPr>
      </w:pPr>
    </w:p>
    <w:p w14:paraId="0C3F8834" w14:textId="77777777" w:rsidR="00131E41" w:rsidRPr="009217DD" w:rsidRDefault="00131E41" w:rsidP="00131E41">
      <w:pPr>
        <w:rPr>
          <w:rFonts w:eastAsia="Calibri"/>
          <w:lang w:val="en-GB" w:eastAsia="en-US"/>
        </w:rPr>
      </w:pPr>
    </w:p>
    <w:p w14:paraId="0C3F8835" w14:textId="77777777" w:rsidR="00131E41" w:rsidRPr="00E11FA7" w:rsidRDefault="00131E41" w:rsidP="00131E41">
      <w:pPr>
        <w:pStyle w:val="Heading3"/>
        <w:numPr>
          <w:ilvl w:val="2"/>
          <w:numId w:val="3"/>
        </w:numPr>
        <w:rPr>
          <w:bCs/>
          <w:iCs/>
        </w:rPr>
      </w:pPr>
      <w:bookmarkStart w:id="158" w:name="_Toc427831198"/>
      <w:bookmarkStart w:id="159" w:name="_Toc428793328"/>
      <w:bookmarkStart w:id="160" w:name="_Toc428851345"/>
      <w:bookmarkStart w:id="161" w:name="_Toc434208007"/>
      <w:bookmarkStart w:id="162" w:name="_Toc427251541"/>
      <w:r>
        <w:rPr>
          <w:bCs/>
          <w:iCs/>
        </w:rPr>
        <w:t>Remote sensing products: “</w:t>
      </w:r>
      <w:r w:rsidRPr="00E11FA7">
        <w:rPr>
          <w:bCs/>
          <w:iCs/>
        </w:rPr>
        <w:t>potential risk</w:t>
      </w:r>
      <w:r>
        <w:rPr>
          <w:bCs/>
          <w:iCs/>
        </w:rPr>
        <w:t>”</w:t>
      </w:r>
      <w:r w:rsidRPr="00E11FA7">
        <w:rPr>
          <w:bCs/>
          <w:iCs/>
        </w:rPr>
        <w:t xml:space="preserve"> maps</w:t>
      </w:r>
      <w:bookmarkEnd w:id="158"/>
      <w:bookmarkEnd w:id="159"/>
      <w:bookmarkEnd w:id="160"/>
      <w:bookmarkEnd w:id="161"/>
      <w:r w:rsidRPr="00E11FA7" w:rsidDel="002E6AFD">
        <w:rPr>
          <w:bCs/>
          <w:iCs/>
        </w:rPr>
        <w:t xml:space="preserve"> </w:t>
      </w:r>
      <w:bookmarkEnd w:id="162"/>
      <w:r w:rsidRPr="00E11FA7">
        <w:rPr>
          <w:bCs/>
          <w:iCs/>
        </w:rPr>
        <w:t xml:space="preserve"> </w:t>
      </w:r>
    </w:p>
    <w:p w14:paraId="0C3F8836" w14:textId="77777777"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 xml:space="preserve">As part of our efforts for this 2012-13 MMP report, we have assessed the potential of using annual </w:t>
      </w:r>
      <w:r w:rsidRPr="00C97CC0">
        <w:rPr>
          <w:rFonts w:ascii="Calibri" w:eastAsia="Calibri" w:hAnsi="Calibri" w:cs="Times New Roman"/>
          <w:i/>
          <w:lang w:eastAsia="en-US"/>
        </w:rPr>
        <w:t>w</w:t>
      </w:r>
      <w:r w:rsidRPr="00C97CC0">
        <w:rPr>
          <w:rFonts w:ascii="Calibri" w:eastAsia="Calibri" w:hAnsi="Calibri" w:cs="Times New Roman"/>
          <w:lang w:eastAsia="en-US"/>
        </w:rPr>
        <w:t xml:space="preserve">ater type maps produced from both L2 and TC method to produce </w:t>
      </w:r>
      <w:r w:rsidRPr="00C97CC0">
        <w:rPr>
          <w:rFonts w:ascii="Calibri" w:eastAsia="Calibri" w:hAnsi="Calibri" w:cs="Times New Roman"/>
          <w:u w:val="single"/>
          <w:lang w:eastAsia="en-US"/>
        </w:rPr>
        <w:t>potential</w:t>
      </w:r>
      <w:r w:rsidRPr="00C97CC0">
        <w:rPr>
          <w:rFonts w:ascii="Calibri" w:eastAsia="Calibri" w:hAnsi="Calibri" w:cs="Times New Roman"/>
          <w:lang w:eastAsia="en-US"/>
        </w:rPr>
        <w:t xml:space="preserve"> risk maps for the GBR ecosystems from river plume exposure (Petus et al., 2014b</w:t>
      </w:r>
      <w:r>
        <w:rPr>
          <w:rFonts w:ascii="Calibri" w:eastAsia="Calibri" w:hAnsi="Calibri" w:cs="Times New Roman"/>
          <w:lang w:eastAsia="en-US"/>
        </w:rPr>
        <w:t>, Petus et al., in prep.</w:t>
      </w:r>
      <w:r w:rsidRPr="00C97CC0">
        <w:rPr>
          <w:rFonts w:ascii="Calibri" w:eastAsia="Calibri" w:hAnsi="Calibri" w:cs="Times New Roman"/>
          <w:lang w:eastAsia="en-US"/>
        </w:rPr>
        <w:t>).</w:t>
      </w:r>
    </w:p>
    <w:p w14:paraId="0C3F8837" w14:textId="77777777"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 xml:space="preserve">Theories behind the production of River plume risk maps for the GBR ecosystems are described in Petus et al. (2014b) and summarized </w:t>
      </w:r>
      <w:r>
        <w:rPr>
          <w:rFonts w:ascii="Calibri" w:eastAsia="Calibri" w:hAnsi="Calibri" w:cs="Times New Roman"/>
          <w:lang w:eastAsia="en-US"/>
        </w:rPr>
        <w:t>briefly here</w:t>
      </w:r>
      <w:r w:rsidRPr="00C97CC0">
        <w:rPr>
          <w:rFonts w:ascii="Calibri" w:eastAsia="Calibri" w:hAnsi="Calibri" w:cs="Times New Roman"/>
          <w:lang w:eastAsia="en-US"/>
        </w:rPr>
        <w:t>.</w:t>
      </w:r>
      <w:r>
        <w:rPr>
          <w:rFonts w:ascii="Calibri" w:eastAsia="Calibri" w:hAnsi="Calibri" w:cs="Times New Roman"/>
          <w:lang w:eastAsia="en-US"/>
        </w:rPr>
        <w:t xml:space="preserve"> </w:t>
      </w:r>
      <w:r w:rsidRPr="00C97CC0">
        <w:rPr>
          <w:rFonts w:ascii="Calibri" w:eastAsia="Calibri" w:hAnsi="Calibri" w:cs="Times New Roman"/>
          <w:lang w:eastAsia="en-US"/>
        </w:rPr>
        <w:t xml:space="preserve">Measuring the magnitude of the river plume risk to coral reefs and seagrass beds </w:t>
      </w:r>
      <w:r w:rsidR="001E79B7">
        <w:rPr>
          <w:rFonts w:ascii="Calibri" w:eastAsia="Calibri" w:hAnsi="Calibri" w:cs="Times New Roman"/>
          <w:lang w:eastAsia="en-US"/>
        </w:rPr>
        <w:t>can be</w:t>
      </w:r>
      <w:r w:rsidRPr="00C97CC0">
        <w:rPr>
          <w:rFonts w:ascii="Calibri" w:eastAsia="Calibri" w:hAnsi="Calibri" w:cs="Times New Roman"/>
          <w:lang w:eastAsia="en-US"/>
        </w:rPr>
        <w:t xml:space="preserve"> challenging because </w:t>
      </w:r>
      <w:r w:rsidR="001E79B7">
        <w:rPr>
          <w:rFonts w:ascii="Calibri" w:eastAsia="Calibri" w:hAnsi="Calibri" w:cs="Times New Roman"/>
          <w:lang w:eastAsia="en-US"/>
        </w:rPr>
        <w:t xml:space="preserve">of the combination of </w:t>
      </w:r>
      <w:r w:rsidRPr="00C97CC0">
        <w:rPr>
          <w:rFonts w:ascii="Calibri" w:eastAsia="Calibri" w:hAnsi="Calibri" w:cs="Times New Roman"/>
          <w:lang w:eastAsia="en-US"/>
        </w:rPr>
        <w:t xml:space="preserve">different stressors </w:t>
      </w:r>
      <w:r w:rsidR="001E79B7">
        <w:rPr>
          <w:rFonts w:ascii="Calibri" w:eastAsia="Calibri" w:hAnsi="Calibri" w:cs="Times New Roman"/>
          <w:lang w:eastAsia="en-US"/>
        </w:rPr>
        <w:t>in</w:t>
      </w:r>
      <w:r w:rsidRPr="00C97CC0">
        <w:rPr>
          <w:rFonts w:ascii="Calibri" w:eastAsia="Calibri" w:hAnsi="Calibri" w:cs="Times New Roman"/>
          <w:lang w:eastAsia="en-US"/>
        </w:rPr>
        <w:t xml:space="preserve"> river plume waters. Devlin et al. (2012b) underscored the need to develop risk models that incorporate the cumulative effects of pollutants. Elevated levels of turbidity, which limits light penetration, and reduce the amount of light available for seagrass photosynthesis, are described as the primary cause of seagrass loss (Mckenzie et al. 2012; Collier et al. 2012a, b). Coral biodiversity also declines as a function of increasing turbidity throughout the GBR (De’ath and Fabricius 2010) and reef development ceases at depths where light is below 6- 8% of surface irradiance (Cooper et al. 2007; Titlyanov and Latypov 1991). Furthermore, more than 90% of the land-sourced nutrients enter the GBR lagoon during high flow periods (Brodie et al., 2012; Mitchell et al., 2005). A linear decrease of DIN concentrations across river plumes (from the coast to offshore i.e., from Primary to Tertiary water types) have been described by Álvarez-Romero et al. (2013). Photosystem II inhibiting herbicides (PSII herbicides) at elevated concentrations have also been traced during the wet season in river plumes from catchments to the GBR lagoon (Davis et al., 2008). It was demonstrated by Kennedy et al. (2012) and Lewis et al. (2009) that the concentrations of PSII herbicides on the GBR typically exhibit a linear decline across the salinity gradient (i.e., from Primary to Tertiary water types). </w:t>
      </w:r>
    </w:p>
    <w:p w14:paraId="0C3F8838" w14:textId="77777777"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 xml:space="preserve">As an approximation, Petus et al., (2014b) assumed that the magnitude of risk for the GBR seagrass beds and coral reefs from river plume exposure will increase from the Tertiary waters to the Primary core of river plumes. Classification of surface waters into Primary, Secondary, and Tertiary water types can thus provide a mechanism to cluster cumulative WQ stressors into three (ecologically relevant) broad categories of risk magnitude. At the multi-annual scale, the changes in the frequency of occurrence of these surface water types help understanding the likelihood of the different categories of risk magnitude. Producing annual maps of frequency of Primary, Secondary, and Tertiary water types in the GBR lagoon summarise thus the combined likelihood and magnitude of the river plume risk over a defined time period. In combination with ecosystem maps, it can serve as the basis to assess potential ecological consequences imposed by different levels and frequency of exposure to land-sourced contaminants in river plume (i.e., magnitude of risk). </w:t>
      </w:r>
    </w:p>
    <w:p w14:paraId="0C3F8839" w14:textId="77777777" w:rsidR="00131E41" w:rsidRPr="00C97CC0" w:rsidRDefault="00131E41" w:rsidP="00131E41">
      <w:pPr>
        <w:rPr>
          <w:rFonts w:ascii="Calibri" w:eastAsia="Calibri" w:hAnsi="Calibri" w:cs="Times New Roman"/>
          <w:lang w:eastAsia="en-US"/>
        </w:rPr>
      </w:pPr>
      <w:r>
        <w:rPr>
          <w:rFonts w:ascii="Calibri" w:eastAsia="Calibri" w:hAnsi="Calibri" w:cs="Times New Roman"/>
          <w:lang w:eastAsia="en-US"/>
        </w:rPr>
        <w:t>Thus, in summary, t</w:t>
      </w:r>
      <w:r w:rsidRPr="00C97CC0">
        <w:rPr>
          <w:rFonts w:ascii="Calibri" w:eastAsia="Calibri" w:hAnsi="Calibri" w:cs="Times New Roman"/>
          <w:lang w:eastAsia="en-US"/>
        </w:rPr>
        <w:t xml:space="preserve">he risk of a particular ecosystem (e.g., in the GBR, seagrass meadows or coral reefs) to be affected by a particular stressor (in this case land-sourced pollutants associated with river plumes) can be assessed by evaluating: </w:t>
      </w:r>
    </w:p>
    <w:p w14:paraId="0C3F883A" w14:textId="77777777" w:rsidR="00131E41" w:rsidRPr="009217DD" w:rsidRDefault="00131E41" w:rsidP="00C05A63">
      <w:pPr>
        <w:pStyle w:val="ListParagraph"/>
        <w:numPr>
          <w:ilvl w:val="0"/>
          <w:numId w:val="16"/>
        </w:numPr>
        <w:rPr>
          <w:rFonts w:ascii="Calibri" w:eastAsia="Calibri" w:hAnsi="Calibri" w:cs="Times New Roman"/>
          <w:lang w:eastAsia="en-US"/>
        </w:rPr>
      </w:pPr>
      <w:r w:rsidRPr="009217DD">
        <w:rPr>
          <w:rFonts w:ascii="Calibri" w:eastAsia="Calibri" w:hAnsi="Calibri" w:cs="Times New Roman"/>
          <w:lang w:eastAsia="en-US"/>
        </w:rPr>
        <w:t xml:space="preserve">The likelihood of the risk, i.e., how likely a particular stressor is to happen. This can be estimated by calculating the frequency of occurrence of river plumes or specific plume water type; </w:t>
      </w:r>
    </w:p>
    <w:p w14:paraId="0C3F883B" w14:textId="77777777" w:rsidR="00131E41" w:rsidRPr="009217DD" w:rsidRDefault="00131E41" w:rsidP="00C05A63">
      <w:pPr>
        <w:pStyle w:val="ListParagraph"/>
        <w:numPr>
          <w:ilvl w:val="0"/>
          <w:numId w:val="16"/>
        </w:numPr>
        <w:rPr>
          <w:rFonts w:ascii="Calibri" w:eastAsia="Calibri" w:hAnsi="Calibri" w:cs="Times New Roman"/>
          <w:lang w:eastAsia="en-US"/>
        </w:rPr>
      </w:pPr>
      <w:r w:rsidRPr="009217DD">
        <w:rPr>
          <w:rFonts w:ascii="Calibri" w:eastAsia="Calibri" w:hAnsi="Calibri" w:cs="Times New Roman"/>
          <w:lang w:eastAsia="en-US"/>
        </w:rPr>
        <w:t>The magnitude of the risk, i.e., in river plume risk analysis, the intensity quantified as concentration, level or load of pollutant discharge through the river plume; and</w:t>
      </w:r>
    </w:p>
    <w:p w14:paraId="0C3F883C" w14:textId="77777777" w:rsidR="00131E41" w:rsidRPr="009217DD" w:rsidRDefault="00131E41" w:rsidP="00C05A63">
      <w:pPr>
        <w:pStyle w:val="ListParagraph"/>
        <w:numPr>
          <w:ilvl w:val="0"/>
          <w:numId w:val="16"/>
        </w:numPr>
        <w:rPr>
          <w:rFonts w:ascii="Calibri" w:eastAsia="Calibri" w:hAnsi="Calibri" w:cs="Times New Roman"/>
          <w:lang w:eastAsia="en-US"/>
        </w:rPr>
      </w:pPr>
      <w:r w:rsidRPr="009217DD">
        <w:rPr>
          <w:rFonts w:ascii="Calibri" w:eastAsia="Calibri" w:hAnsi="Calibri" w:cs="Times New Roman"/>
          <w:lang w:eastAsia="en-US"/>
        </w:rPr>
        <w:t>The ecological consequences of the risk, i.e., the extent of the ecological impact for a particular ecosystem given a combination of magnitude and likelihood of occurrence of the stressor.</w:t>
      </w:r>
    </w:p>
    <w:p w14:paraId="0C3F883D" w14:textId="77777777" w:rsidR="00131E41" w:rsidRPr="00C97CC0" w:rsidRDefault="00131E41" w:rsidP="00131E41">
      <w:pPr>
        <w:rPr>
          <w:rFonts w:ascii="Calibri" w:eastAsia="Calibri" w:hAnsi="Calibri" w:cs="Times New Roman"/>
          <w:lang w:eastAsia="en-US"/>
        </w:rPr>
      </w:pPr>
      <w:r>
        <w:rPr>
          <w:rFonts w:ascii="Calibri" w:eastAsia="Calibri" w:hAnsi="Calibri" w:cs="Times New Roman"/>
          <w:lang w:eastAsia="en-US"/>
        </w:rPr>
        <w:t>A</w:t>
      </w:r>
      <w:r w:rsidRPr="00C97CC0">
        <w:rPr>
          <w:rFonts w:ascii="Calibri" w:eastAsia="Calibri" w:hAnsi="Calibri" w:cs="Times New Roman"/>
          <w:lang w:eastAsia="en-US"/>
        </w:rPr>
        <w:t>nnual “potential” risk maps were produced over seven wet seasons (2007 to 2013) using annual maps of frequency of occurrence of plume water types produced from both the TC and L2 methods as well as a simplified risk matrix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_Ref428881514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t xml:space="preserve">Table </w:t>
      </w:r>
      <w:r w:rsidR="00B62B50">
        <w:rPr>
          <w:noProof/>
        </w:rPr>
        <w:t>5</w:t>
      </w:r>
      <w:r w:rsidR="00B62B50">
        <w:noBreakHyphen/>
      </w:r>
      <w:r w:rsidR="00B62B50">
        <w:rPr>
          <w:noProof/>
        </w:rPr>
        <w:t>1</w:t>
      </w:r>
      <w:r>
        <w:rPr>
          <w:rFonts w:ascii="Calibri" w:eastAsia="Calibri" w:hAnsi="Calibri" w:cs="Times New Roman"/>
          <w:lang w:eastAsia="en-US"/>
        </w:rPr>
        <w:fldChar w:fldCharType="end"/>
      </w:r>
      <w:r w:rsidRPr="00C97CC0">
        <w:rPr>
          <w:rFonts w:ascii="Calibri" w:eastAsia="Calibri" w:hAnsi="Calibri" w:cs="Times New Roman"/>
          <w:lang w:eastAsia="en-US"/>
        </w:rPr>
        <w:t xml:space="preserve">). </w:t>
      </w:r>
    </w:p>
    <w:p w14:paraId="0C3F883E" w14:textId="77777777" w:rsidR="00131E41" w:rsidRPr="00C97CC0" w:rsidRDefault="00131E41" w:rsidP="00131E41">
      <w:pPr>
        <w:rPr>
          <w:rFonts w:ascii="Calibri" w:eastAsia="Calibri" w:hAnsi="Calibri" w:cs="Times New Roman"/>
          <w:lang w:eastAsia="en-US"/>
        </w:rPr>
      </w:pPr>
    </w:p>
    <w:p w14:paraId="0C3F883F" w14:textId="77777777" w:rsidR="00131E41" w:rsidRPr="00C97CC0" w:rsidRDefault="00131E41" w:rsidP="00131E41">
      <w:pPr>
        <w:pStyle w:val="Caption"/>
        <w:rPr>
          <w:rFonts w:eastAsia="Calibri"/>
        </w:rPr>
      </w:pPr>
      <w:bookmarkStart w:id="163" w:name="_Ref428881514"/>
      <w:bookmarkStart w:id="164" w:name="_Toc434208079"/>
      <w:r>
        <w:t xml:space="preserve">Table </w:t>
      </w:r>
      <w:r w:rsidR="00AE4287">
        <w:fldChar w:fldCharType="begin"/>
      </w:r>
      <w:r w:rsidR="00AE4287">
        <w:instrText xml:space="preserve"> STYLEREF 1 \s </w:instrText>
      </w:r>
      <w:r w:rsidR="00AE4287">
        <w:fldChar w:fldCharType="separate"/>
      </w:r>
      <w:r w:rsidR="00B62B50">
        <w:rPr>
          <w:noProof/>
        </w:rPr>
        <w:t>5</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1</w:t>
      </w:r>
      <w:r w:rsidR="00AE4287">
        <w:fldChar w:fldCharType="end"/>
      </w:r>
      <w:bookmarkEnd w:id="163"/>
      <w:r>
        <w:t xml:space="preserve">: </w:t>
      </w:r>
      <w:r w:rsidRPr="00F44B82">
        <w:rPr>
          <w:rFonts w:eastAsia="Calibri"/>
          <w:color w:val="4F81BD"/>
        </w:rPr>
        <w:t>Risk categories (I, II, III, and IV) in function of the magnitude and the likelihood of the river plume risk (modified from Petus et al., 2014b).</w:t>
      </w:r>
      <w:bookmarkEnd w:id="164"/>
    </w:p>
    <w:tbl>
      <w:tblPr>
        <w:tblW w:w="5416" w:type="dxa"/>
        <w:jc w:val="center"/>
        <w:tblInd w:w="93" w:type="dxa"/>
        <w:tblLook w:val="04A0" w:firstRow="1" w:lastRow="0" w:firstColumn="1" w:lastColumn="0" w:noHBand="0" w:noVBand="1"/>
      </w:tblPr>
      <w:tblGrid>
        <w:gridCol w:w="1400"/>
        <w:gridCol w:w="1337"/>
        <w:gridCol w:w="1210"/>
        <w:gridCol w:w="1469"/>
      </w:tblGrid>
      <w:tr w:rsidR="00131E41" w:rsidRPr="005F45A6" w14:paraId="0C3F8847"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40"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Magnitude</w:t>
            </w:r>
          </w:p>
        </w:tc>
        <w:tc>
          <w:tcPr>
            <w:tcW w:w="1337" w:type="dxa"/>
            <w:vMerge w:val="restart"/>
            <w:tcBorders>
              <w:top w:val="nil"/>
              <w:left w:val="nil"/>
              <w:right w:val="nil"/>
            </w:tcBorders>
            <w:shd w:val="clear" w:color="auto" w:fill="auto"/>
            <w:noWrap/>
            <w:vAlign w:val="center"/>
            <w:hideMark/>
          </w:tcPr>
          <w:p w14:paraId="0C3F8841"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Tertiary</w:t>
            </w:r>
          </w:p>
          <w:p w14:paraId="0C3F8842" w14:textId="77777777" w:rsidR="00131E41" w:rsidRPr="005F45A6" w:rsidRDefault="00131E41" w:rsidP="00131E41">
            <w:pPr>
              <w:spacing w:after="0"/>
              <w:jc w:val="center"/>
              <w:rPr>
                <w:rFonts w:ascii="Calibri" w:hAnsi="Calibri" w:cs="Calibri"/>
                <w:b/>
                <w:bCs/>
                <w:color w:val="000000" w:themeColor="text1"/>
                <w:sz w:val="20"/>
                <w:szCs w:val="20"/>
              </w:rPr>
            </w:pPr>
          </w:p>
        </w:tc>
        <w:tc>
          <w:tcPr>
            <w:tcW w:w="1210" w:type="dxa"/>
            <w:vMerge w:val="restart"/>
            <w:tcBorders>
              <w:top w:val="nil"/>
              <w:left w:val="nil"/>
              <w:right w:val="nil"/>
            </w:tcBorders>
            <w:shd w:val="clear" w:color="auto" w:fill="auto"/>
            <w:noWrap/>
            <w:vAlign w:val="center"/>
            <w:hideMark/>
          </w:tcPr>
          <w:p w14:paraId="0C3F8843"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Secondary</w:t>
            </w:r>
          </w:p>
          <w:p w14:paraId="0C3F8844" w14:textId="77777777" w:rsidR="00131E41" w:rsidRPr="005F45A6" w:rsidRDefault="00131E41" w:rsidP="00131E41">
            <w:pPr>
              <w:spacing w:after="0"/>
              <w:jc w:val="center"/>
              <w:rPr>
                <w:rFonts w:ascii="Calibri" w:hAnsi="Calibri" w:cs="Calibri"/>
                <w:b/>
                <w:bCs/>
                <w:color w:val="000000" w:themeColor="text1"/>
                <w:sz w:val="20"/>
                <w:szCs w:val="20"/>
              </w:rPr>
            </w:pPr>
          </w:p>
        </w:tc>
        <w:tc>
          <w:tcPr>
            <w:tcW w:w="1469" w:type="dxa"/>
            <w:vMerge w:val="restart"/>
            <w:tcBorders>
              <w:top w:val="nil"/>
              <w:left w:val="nil"/>
              <w:right w:val="nil"/>
            </w:tcBorders>
            <w:shd w:val="clear" w:color="auto" w:fill="auto"/>
            <w:noWrap/>
            <w:vAlign w:val="center"/>
            <w:hideMark/>
          </w:tcPr>
          <w:p w14:paraId="0C3F8845"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Primary</w:t>
            </w:r>
          </w:p>
          <w:p w14:paraId="0C3F8846" w14:textId="77777777" w:rsidR="00131E41" w:rsidRPr="005F45A6" w:rsidRDefault="00131E41" w:rsidP="00131E41">
            <w:pPr>
              <w:spacing w:after="0"/>
              <w:jc w:val="center"/>
              <w:rPr>
                <w:rFonts w:ascii="Calibri" w:hAnsi="Calibri" w:cs="Calibri"/>
                <w:b/>
                <w:bCs/>
                <w:color w:val="000000" w:themeColor="text1"/>
                <w:sz w:val="20"/>
                <w:szCs w:val="20"/>
              </w:rPr>
            </w:pPr>
          </w:p>
        </w:tc>
      </w:tr>
      <w:tr w:rsidR="00131E41" w:rsidRPr="005F45A6" w14:paraId="0C3F884C" w14:textId="77777777" w:rsidTr="00131E41">
        <w:trPr>
          <w:trHeight w:val="300"/>
          <w:jc w:val="center"/>
        </w:trPr>
        <w:tc>
          <w:tcPr>
            <w:tcW w:w="1400" w:type="dxa"/>
            <w:tcBorders>
              <w:top w:val="nil"/>
              <w:left w:val="nil"/>
              <w:bottom w:val="single" w:sz="4" w:space="0" w:color="auto"/>
              <w:right w:val="single" w:sz="4" w:space="0" w:color="auto"/>
            </w:tcBorders>
            <w:shd w:val="clear" w:color="auto" w:fill="auto"/>
            <w:noWrap/>
            <w:vAlign w:val="center"/>
            <w:hideMark/>
          </w:tcPr>
          <w:p w14:paraId="0C3F8848"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Likelihood</w:t>
            </w:r>
          </w:p>
        </w:tc>
        <w:tc>
          <w:tcPr>
            <w:tcW w:w="1337" w:type="dxa"/>
            <w:vMerge/>
            <w:tcBorders>
              <w:left w:val="nil"/>
              <w:bottom w:val="single" w:sz="4" w:space="0" w:color="auto"/>
              <w:right w:val="nil"/>
            </w:tcBorders>
            <w:shd w:val="clear" w:color="auto" w:fill="auto"/>
            <w:noWrap/>
            <w:vAlign w:val="center"/>
            <w:hideMark/>
          </w:tcPr>
          <w:p w14:paraId="0C3F8849" w14:textId="77777777" w:rsidR="00131E41" w:rsidRPr="005F45A6" w:rsidRDefault="00131E41" w:rsidP="00131E41">
            <w:pPr>
              <w:spacing w:after="0"/>
              <w:jc w:val="center"/>
              <w:rPr>
                <w:rFonts w:ascii="Calibri" w:hAnsi="Calibri" w:cs="Calibri"/>
                <w:b/>
                <w:bCs/>
                <w:color w:val="000000" w:themeColor="text1"/>
                <w:sz w:val="20"/>
                <w:szCs w:val="20"/>
              </w:rPr>
            </w:pPr>
          </w:p>
        </w:tc>
        <w:tc>
          <w:tcPr>
            <w:tcW w:w="1210" w:type="dxa"/>
            <w:vMerge/>
            <w:tcBorders>
              <w:left w:val="nil"/>
              <w:bottom w:val="single" w:sz="4" w:space="0" w:color="auto"/>
              <w:right w:val="nil"/>
            </w:tcBorders>
            <w:shd w:val="clear" w:color="auto" w:fill="auto"/>
            <w:noWrap/>
            <w:vAlign w:val="center"/>
            <w:hideMark/>
          </w:tcPr>
          <w:p w14:paraId="0C3F884A" w14:textId="77777777" w:rsidR="00131E41" w:rsidRPr="005F45A6" w:rsidRDefault="00131E41" w:rsidP="00131E41">
            <w:pPr>
              <w:spacing w:after="0"/>
              <w:jc w:val="center"/>
              <w:rPr>
                <w:rFonts w:ascii="Calibri" w:hAnsi="Calibri" w:cs="Calibri"/>
                <w:b/>
                <w:bCs/>
                <w:color w:val="000000" w:themeColor="text1"/>
                <w:sz w:val="20"/>
                <w:szCs w:val="20"/>
              </w:rPr>
            </w:pPr>
          </w:p>
        </w:tc>
        <w:tc>
          <w:tcPr>
            <w:tcW w:w="1469" w:type="dxa"/>
            <w:vMerge/>
            <w:tcBorders>
              <w:left w:val="nil"/>
              <w:bottom w:val="single" w:sz="4" w:space="0" w:color="auto"/>
              <w:right w:val="nil"/>
            </w:tcBorders>
            <w:shd w:val="clear" w:color="auto" w:fill="auto"/>
            <w:noWrap/>
            <w:vAlign w:val="center"/>
            <w:hideMark/>
          </w:tcPr>
          <w:p w14:paraId="0C3F884B" w14:textId="77777777" w:rsidR="00131E41" w:rsidRPr="005F45A6" w:rsidRDefault="00131E41" w:rsidP="00131E41">
            <w:pPr>
              <w:spacing w:after="0"/>
              <w:jc w:val="center"/>
              <w:rPr>
                <w:rFonts w:ascii="Calibri" w:hAnsi="Calibri" w:cs="Calibri"/>
                <w:b/>
                <w:bCs/>
                <w:color w:val="000000" w:themeColor="text1"/>
                <w:sz w:val="20"/>
                <w:szCs w:val="20"/>
              </w:rPr>
            </w:pPr>
          </w:p>
        </w:tc>
      </w:tr>
      <w:tr w:rsidR="00131E41" w:rsidRPr="005F45A6" w14:paraId="0C3F8851"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4D"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rare</w:t>
            </w:r>
          </w:p>
        </w:tc>
        <w:tc>
          <w:tcPr>
            <w:tcW w:w="1337" w:type="dxa"/>
            <w:tcBorders>
              <w:top w:val="nil"/>
              <w:left w:val="nil"/>
              <w:bottom w:val="nil"/>
              <w:right w:val="nil"/>
            </w:tcBorders>
            <w:shd w:val="clear" w:color="000000" w:fill="00B0F0"/>
            <w:noWrap/>
            <w:vAlign w:val="center"/>
            <w:hideMark/>
          </w:tcPr>
          <w:p w14:paraId="0C3F884E"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w:t>
            </w:r>
          </w:p>
        </w:tc>
        <w:tc>
          <w:tcPr>
            <w:tcW w:w="1210" w:type="dxa"/>
            <w:tcBorders>
              <w:top w:val="nil"/>
              <w:left w:val="nil"/>
              <w:bottom w:val="nil"/>
              <w:right w:val="nil"/>
            </w:tcBorders>
            <w:shd w:val="clear" w:color="000000" w:fill="00B0F0"/>
            <w:noWrap/>
            <w:vAlign w:val="center"/>
            <w:hideMark/>
          </w:tcPr>
          <w:p w14:paraId="0C3F884F"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w:t>
            </w:r>
          </w:p>
        </w:tc>
        <w:tc>
          <w:tcPr>
            <w:tcW w:w="1469" w:type="dxa"/>
            <w:tcBorders>
              <w:top w:val="nil"/>
              <w:left w:val="nil"/>
              <w:bottom w:val="nil"/>
              <w:right w:val="nil"/>
            </w:tcBorders>
            <w:shd w:val="clear" w:color="000000" w:fill="1EC103"/>
            <w:noWrap/>
            <w:vAlign w:val="center"/>
            <w:hideMark/>
          </w:tcPr>
          <w:p w14:paraId="0C3F8850"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r>
      <w:tr w:rsidR="00131E41" w:rsidRPr="005F45A6" w14:paraId="0C3F8856"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52"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infrequent</w:t>
            </w:r>
          </w:p>
        </w:tc>
        <w:tc>
          <w:tcPr>
            <w:tcW w:w="1337" w:type="dxa"/>
            <w:tcBorders>
              <w:top w:val="nil"/>
              <w:left w:val="nil"/>
              <w:bottom w:val="nil"/>
              <w:right w:val="nil"/>
            </w:tcBorders>
            <w:shd w:val="clear" w:color="000000" w:fill="00B0F0"/>
            <w:noWrap/>
            <w:vAlign w:val="center"/>
            <w:hideMark/>
          </w:tcPr>
          <w:p w14:paraId="0C3F8853"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w:t>
            </w:r>
          </w:p>
        </w:tc>
        <w:tc>
          <w:tcPr>
            <w:tcW w:w="1210" w:type="dxa"/>
            <w:tcBorders>
              <w:top w:val="nil"/>
              <w:left w:val="nil"/>
              <w:bottom w:val="nil"/>
              <w:right w:val="nil"/>
            </w:tcBorders>
            <w:shd w:val="clear" w:color="000000" w:fill="1EC103"/>
            <w:noWrap/>
            <w:vAlign w:val="center"/>
            <w:hideMark/>
          </w:tcPr>
          <w:p w14:paraId="0C3F8854"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c>
          <w:tcPr>
            <w:tcW w:w="1469" w:type="dxa"/>
            <w:tcBorders>
              <w:top w:val="nil"/>
              <w:left w:val="nil"/>
              <w:bottom w:val="nil"/>
              <w:right w:val="nil"/>
            </w:tcBorders>
            <w:shd w:val="clear" w:color="000000" w:fill="1EC103"/>
            <w:noWrap/>
            <w:vAlign w:val="center"/>
            <w:hideMark/>
          </w:tcPr>
          <w:p w14:paraId="0C3F8855"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r>
      <w:tr w:rsidR="00131E41" w:rsidRPr="005F45A6" w14:paraId="0C3F885B"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57"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occasional</w:t>
            </w:r>
          </w:p>
        </w:tc>
        <w:tc>
          <w:tcPr>
            <w:tcW w:w="1337" w:type="dxa"/>
            <w:tcBorders>
              <w:top w:val="nil"/>
              <w:left w:val="nil"/>
              <w:bottom w:val="nil"/>
              <w:right w:val="nil"/>
            </w:tcBorders>
            <w:shd w:val="clear" w:color="000000" w:fill="1EC103"/>
            <w:noWrap/>
            <w:vAlign w:val="center"/>
            <w:hideMark/>
          </w:tcPr>
          <w:p w14:paraId="0C3F8858"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c>
          <w:tcPr>
            <w:tcW w:w="1210" w:type="dxa"/>
            <w:tcBorders>
              <w:top w:val="nil"/>
              <w:left w:val="nil"/>
              <w:bottom w:val="nil"/>
              <w:right w:val="nil"/>
            </w:tcBorders>
            <w:shd w:val="clear" w:color="000000" w:fill="1EC103"/>
            <w:noWrap/>
            <w:vAlign w:val="center"/>
            <w:hideMark/>
          </w:tcPr>
          <w:p w14:paraId="0C3F8859"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c>
          <w:tcPr>
            <w:tcW w:w="1469" w:type="dxa"/>
            <w:tcBorders>
              <w:top w:val="nil"/>
              <w:left w:val="nil"/>
              <w:bottom w:val="nil"/>
              <w:right w:val="nil"/>
            </w:tcBorders>
            <w:shd w:val="clear" w:color="000000" w:fill="FF0000"/>
            <w:noWrap/>
            <w:vAlign w:val="center"/>
            <w:hideMark/>
          </w:tcPr>
          <w:p w14:paraId="0C3F885A"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III</w:t>
            </w:r>
          </w:p>
        </w:tc>
      </w:tr>
      <w:tr w:rsidR="00131E41" w:rsidRPr="005F45A6" w14:paraId="0C3F8860"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5C"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frequent</w:t>
            </w:r>
          </w:p>
        </w:tc>
        <w:tc>
          <w:tcPr>
            <w:tcW w:w="1337" w:type="dxa"/>
            <w:tcBorders>
              <w:top w:val="nil"/>
              <w:left w:val="nil"/>
              <w:bottom w:val="nil"/>
              <w:right w:val="nil"/>
            </w:tcBorders>
            <w:shd w:val="clear" w:color="000000" w:fill="1EC103"/>
            <w:noWrap/>
            <w:vAlign w:val="center"/>
            <w:hideMark/>
          </w:tcPr>
          <w:p w14:paraId="0C3F885D"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w:t>
            </w:r>
          </w:p>
        </w:tc>
        <w:tc>
          <w:tcPr>
            <w:tcW w:w="1210" w:type="dxa"/>
            <w:tcBorders>
              <w:top w:val="nil"/>
              <w:left w:val="nil"/>
              <w:bottom w:val="nil"/>
              <w:right w:val="nil"/>
            </w:tcBorders>
            <w:shd w:val="clear" w:color="000000" w:fill="FF0000"/>
            <w:noWrap/>
            <w:vAlign w:val="center"/>
            <w:hideMark/>
          </w:tcPr>
          <w:p w14:paraId="0C3F885E"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III</w:t>
            </w:r>
          </w:p>
        </w:tc>
        <w:tc>
          <w:tcPr>
            <w:tcW w:w="1469" w:type="dxa"/>
            <w:tcBorders>
              <w:top w:val="nil"/>
              <w:left w:val="nil"/>
              <w:bottom w:val="nil"/>
              <w:right w:val="nil"/>
            </w:tcBorders>
            <w:shd w:val="clear" w:color="000000" w:fill="FF0000"/>
            <w:noWrap/>
            <w:vAlign w:val="center"/>
            <w:hideMark/>
          </w:tcPr>
          <w:p w14:paraId="0C3F885F"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III</w:t>
            </w:r>
          </w:p>
        </w:tc>
      </w:tr>
      <w:tr w:rsidR="00131E41" w:rsidRPr="005F45A6" w14:paraId="0C3F8865" w14:textId="77777777" w:rsidTr="00131E41">
        <w:trPr>
          <w:trHeight w:val="300"/>
          <w:jc w:val="center"/>
        </w:trPr>
        <w:tc>
          <w:tcPr>
            <w:tcW w:w="1400" w:type="dxa"/>
            <w:tcBorders>
              <w:top w:val="nil"/>
              <w:left w:val="nil"/>
              <w:bottom w:val="nil"/>
              <w:right w:val="single" w:sz="4" w:space="0" w:color="auto"/>
            </w:tcBorders>
            <w:shd w:val="clear" w:color="auto" w:fill="auto"/>
            <w:noWrap/>
            <w:vAlign w:val="center"/>
            <w:hideMark/>
          </w:tcPr>
          <w:p w14:paraId="0C3F8861" w14:textId="77777777" w:rsidR="00131E41" w:rsidRPr="005F45A6" w:rsidRDefault="00131E41" w:rsidP="00131E41">
            <w:pPr>
              <w:spacing w:after="0"/>
              <w:jc w:val="center"/>
              <w:rPr>
                <w:rFonts w:ascii="Calibri" w:hAnsi="Calibri" w:cs="Calibri"/>
                <w:b/>
                <w:bCs/>
                <w:color w:val="000000" w:themeColor="text1"/>
                <w:sz w:val="20"/>
                <w:szCs w:val="20"/>
              </w:rPr>
            </w:pPr>
            <w:r w:rsidRPr="005F45A6">
              <w:rPr>
                <w:rFonts w:ascii="Calibri" w:hAnsi="Calibri" w:cs="Calibri"/>
                <w:b/>
                <w:bCs/>
                <w:color w:val="000000" w:themeColor="text1"/>
                <w:sz w:val="20"/>
                <w:szCs w:val="20"/>
              </w:rPr>
              <w:t>very frequent</w:t>
            </w:r>
          </w:p>
        </w:tc>
        <w:tc>
          <w:tcPr>
            <w:tcW w:w="1337" w:type="dxa"/>
            <w:tcBorders>
              <w:top w:val="nil"/>
              <w:left w:val="nil"/>
              <w:bottom w:val="nil"/>
              <w:right w:val="nil"/>
            </w:tcBorders>
            <w:shd w:val="clear" w:color="000000" w:fill="FF0000"/>
            <w:noWrap/>
            <w:vAlign w:val="center"/>
            <w:hideMark/>
          </w:tcPr>
          <w:p w14:paraId="0C3F8862"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III</w:t>
            </w:r>
          </w:p>
        </w:tc>
        <w:tc>
          <w:tcPr>
            <w:tcW w:w="1210" w:type="dxa"/>
            <w:tcBorders>
              <w:top w:val="nil"/>
              <w:left w:val="nil"/>
              <w:bottom w:val="nil"/>
              <w:right w:val="nil"/>
            </w:tcBorders>
            <w:shd w:val="clear" w:color="000000" w:fill="FF0000"/>
            <w:noWrap/>
            <w:vAlign w:val="center"/>
            <w:hideMark/>
          </w:tcPr>
          <w:p w14:paraId="0C3F8863"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III</w:t>
            </w:r>
          </w:p>
        </w:tc>
        <w:tc>
          <w:tcPr>
            <w:tcW w:w="1469" w:type="dxa"/>
            <w:tcBorders>
              <w:top w:val="nil"/>
              <w:left w:val="nil"/>
              <w:bottom w:val="nil"/>
              <w:right w:val="nil"/>
            </w:tcBorders>
            <w:shd w:val="clear" w:color="000000" w:fill="C00000"/>
            <w:noWrap/>
            <w:vAlign w:val="center"/>
            <w:hideMark/>
          </w:tcPr>
          <w:p w14:paraId="0C3F8864" w14:textId="77777777" w:rsidR="00131E41" w:rsidRPr="005F45A6" w:rsidRDefault="00131E41" w:rsidP="00131E41">
            <w:pPr>
              <w:spacing w:after="0"/>
              <w:jc w:val="center"/>
              <w:rPr>
                <w:rFonts w:ascii="Calibri" w:hAnsi="Calibri" w:cs="Calibri"/>
                <w:color w:val="000000" w:themeColor="text1"/>
                <w:sz w:val="20"/>
                <w:szCs w:val="20"/>
              </w:rPr>
            </w:pPr>
            <w:r>
              <w:rPr>
                <w:rFonts w:ascii="Calibri" w:hAnsi="Calibri" w:cs="Calibri"/>
                <w:color w:val="000000" w:themeColor="text1"/>
                <w:sz w:val="20"/>
                <w:szCs w:val="20"/>
              </w:rPr>
              <w:t>IV</w:t>
            </w:r>
          </w:p>
        </w:tc>
      </w:tr>
    </w:tbl>
    <w:p w14:paraId="0C3F8866" w14:textId="77777777" w:rsidR="00131E41" w:rsidRPr="00C97CC0" w:rsidRDefault="00131E41" w:rsidP="00131E41">
      <w:pPr>
        <w:rPr>
          <w:rFonts w:ascii="Calibri" w:eastAsia="Calibri" w:hAnsi="Calibri" w:cs="Times New Roman"/>
          <w:lang w:eastAsia="en-US"/>
        </w:rPr>
      </w:pPr>
    </w:p>
    <w:p w14:paraId="0C3F8867" w14:textId="77777777"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This risk matrix assumes that potential risk level for GBR ecosystems can be ranked in four qualitative categories (</w:t>
      </w:r>
      <w:r>
        <w:rPr>
          <w:rFonts w:ascii="Calibri" w:eastAsia="Calibri" w:hAnsi="Calibri" w:cs="Times New Roman"/>
          <w:lang w:eastAsia="en-US"/>
        </w:rPr>
        <w:t>I, II, III, IV</w:t>
      </w:r>
      <w:r w:rsidRPr="00C97CC0">
        <w:rPr>
          <w:rFonts w:ascii="Calibri" w:eastAsia="Calibri" w:hAnsi="Calibri" w:cs="Times New Roman"/>
          <w:lang w:eastAsia="en-US"/>
        </w:rPr>
        <w:t>) determined by the combination of the magnitude (i.e., the estimated level of land-sourced pollutants in flood plume) and the likelihood (i.e. the frequency of occurrence) of the river plume risk (modified from Castillo et al., 2012). Potential risk maps were produced in Arcgis and a 4 pixel majority filter used to smooth the final maps. The term ‘potential’ is used as risk maps haven’t been yet validated against ecological health data to confirm the ecological consequences of the risk, i.e., the risk ranking in</w:t>
      </w:r>
      <w:r>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_Ref428881514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t xml:space="preserve">Table </w:t>
      </w:r>
      <w:r w:rsidR="00B62B50">
        <w:rPr>
          <w:noProof/>
        </w:rPr>
        <w:t>5</w:t>
      </w:r>
      <w:r w:rsidR="00B62B50">
        <w:noBreakHyphen/>
      </w:r>
      <w:r w:rsidR="00B62B50">
        <w:rPr>
          <w:noProof/>
        </w:rPr>
        <w:t>1</w:t>
      </w:r>
      <w:r>
        <w:rPr>
          <w:rFonts w:ascii="Calibri" w:eastAsia="Calibri" w:hAnsi="Calibri" w:cs="Times New Roman"/>
          <w:lang w:eastAsia="en-US"/>
        </w:rPr>
        <w:fldChar w:fldCharType="end"/>
      </w:r>
      <w:r w:rsidRPr="00C97CC0">
        <w:rPr>
          <w:rFonts w:ascii="Calibri" w:eastAsia="Calibri" w:hAnsi="Calibri" w:cs="Times New Roman"/>
          <w:lang w:eastAsia="en-US"/>
        </w:rPr>
        <w:t xml:space="preserve"> (</w:t>
      </w:r>
      <w:r>
        <w:rPr>
          <w:rFonts w:ascii="Calibri" w:eastAsia="Calibri" w:hAnsi="Calibri" w:cs="Times New Roman"/>
          <w:lang w:eastAsia="en-US"/>
        </w:rPr>
        <w:t>I, II, III, IV</w:t>
      </w:r>
      <w:r w:rsidRPr="00C97CC0">
        <w:rPr>
          <w:rFonts w:ascii="Calibri" w:eastAsia="Calibri" w:hAnsi="Calibri" w:cs="Times New Roman"/>
          <w:lang w:eastAsia="en-US"/>
        </w:rPr>
        <w:t>) given a combination of magnitude and likelihood is, at this stage, theoretical.</w:t>
      </w:r>
    </w:p>
    <w:p w14:paraId="0C3F8868" w14:textId="77777777" w:rsidR="00131E41" w:rsidRPr="000879B8" w:rsidRDefault="00131E41" w:rsidP="00131E41">
      <w:pPr>
        <w:pStyle w:val="Heading3"/>
        <w:numPr>
          <w:ilvl w:val="2"/>
          <w:numId w:val="3"/>
        </w:numPr>
        <w:rPr>
          <w:bCs/>
          <w:iCs/>
        </w:rPr>
      </w:pPr>
      <w:bookmarkStart w:id="165" w:name="_Toc434208008"/>
      <w:r w:rsidRPr="000879B8">
        <w:rPr>
          <w:bCs/>
          <w:iCs/>
        </w:rPr>
        <w:t>Exposure of GBR ecosystems to river plumes</w:t>
      </w:r>
      <w:bookmarkEnd w:id="165"/>
    </w:p>
    <w:p w14:paraId="0C3F8869" w14:textId="77777777" w:rsidR="00131E41" w:rsidRPr="00C05222" w:rsidRDefault="00131E41" w:rsidP="00C05222">
      <w:pPr>
        <w:rPr>
          <w:rFonts w:eastAsia="Calibri"/>
          <w:lang w:eastAsia="en-US"/>
        </w:rPr>
      </w:pPr>
      <w:r w:rsidRPr="00C05222">
        <w:rPr>
          <w:rFonts w:eastAsia="Calibri"/>
          <w:lang w:eastAsia="en-US"/>
        </w:rPr>
        <w:t xml:space="preserve">RS products designed from both TC and L2 methods help to evaluate the level of exposure of the coral reefs and seagrass meadows to river plumes and land-sourced contaminants during the wet season (e.g., Petus et al., 2014b). These mapping outputs are used to define the exposure of GBR ecosystems (coral reefs and seagrass meadows) to river plumes and anthropogenic WQ exposure. The exposure of GBR marine ecosystems is expressed simply as the area (km2) and percentage (%) of coral reefs and seagrass meadows exposed to river plume and exposed to the different categories (I, II, III, IV) of potential risk from river plume exposure. Areas of GBR waters within each marine NRM region exposed to river plume and river plume risk are also reported in recognition of other important habitats and populations that exist in these areas (Brodie et al., 2013). </w:t>
      </w:r>
      <w:r w:rsidRPr="00C05222">
        <w:rPr>
          <w:rFonts w:eastAsia="Calibri"/>
          <w:lang w:eastAsia="en-US"/>
        </w:rPr>
        <w:fldChar w:fldCharType="begin"/>
      </w:r>
      <w:r w:rsidRPr="00C05222">
        <w:rPr>
          <w:rFonts w:eastAsia="Calibri"/>
          <w:lang w:eastAsia="en-US"/>
        </w:rPr>
        <w:instrText xml:space="preserve"> REF _Ref432671074 \h </w:instrText>
      </w:r>
      <w:r w:rsidR="00C05222">
        <w:rPr>
          <w:rFonts w:eastAsia="Calibri"/>
          <w:lang w:eastAsia="en-US"/>
        </w:rPr>
        <w:instrText xml:space="preserve"> \* MERGEFORMAT </w:instrText>
      </w:r>
      <w:r w:rsidRPr="00C05222">
        <w:rPr>
          <w:rFonts w:eastAsia="Calibri"/>
          <w:lang w:eastAsia="en-US"/>
        </w:rPr>
      </w:r>
      <w:r w:rsidRPr="00C05222">
        <w:rPr>
          <w:rFonts w:eastAsia="Calibri"/>
          <w:lang w:eastAsia="en-US"/>
        </w:rPr>
        <w:fldChar w:fldCharType="separate"/>
      </w:r>
      <w:r w:rsidR="00B62B50" w:rsidRPr="00B62B50">
        <w:rPr>
          <w:rFonts w:eastAsia="Calibri"/>
          <w:lang w:eastAsia="en-US"/>
        </w:rPr>
        <w:t>Figure 5</w:t>
      </w:r>
      <w:r w:rsidR="00B62B50" w:rsidRPr="00B62B50">
        <w:rPr>
          <w:rFonts w:eastAsia="Calibri"/>
          <w:lang w:eastAsia="en-US"/>
        </w:rPr>
        <w:noBreakHyphen/>
        <w:t>2</w:t>
      </w:r>
      <w:r w:rsidRPr="00C05222">
        <w:rPr>
          <w:rFonts w:eastAsia="Calibri"/>
          <w:lang w:eastAsia="en-US"/>
        </w:rPr>
        <w:fldChar w:fldCharType="end"/>
      </w:r>
      <w:r w:rsidRPr="00C05222">
        <w:rPr>
          <w:rFonts w:eastAsia="Calibri"/>
          <w:lang w:eastAsia="en-US"/>
        </w:rPr>
        <w:t xml:space="preserve"> and </w:t>
      </w:r>
      <w:r w:rsidRPr="00C05222">
        <w:rPr>
          <w:rFonts w:eastAsia="Calibri"/>
          <w:lang w:eastAsia="en-US"/>
        </w:rPr>
        <w:fldChar w:fldCharType="begin"/>
      </w:r>
      <w:r w:rsidRPr="00C05222">
        <w:rPr>
          <w:rFonts w:eastAsia="Calibri"/>
          <w:lang w:eastAsia="en-US"/>
        </w:rPr>
        <w:instrText xml:space="preserve"> REF _Ref432671080 \h </w:instrText>
      </w:r>
      <w:r w:rsidR="00C05222">
        <w:rPr>
          <w:rFonts w:eastAsia="Calibri"/>
          <w:lang w:eastAsia="en-US"/>
        </w:rPr>
        <w:instrText xml:space="preserve"> \* MERGEFORMAT </w:instrText>
      </w:r>
      <w:r w:rsidRPr="00C05222">
        <w:rPr>
          <w:rFonts w:eastAsia="Calibri"/>
          <w:lang w:eastAsia="en-US"/>
        </w:rPr>
      </w:r>
      <w:r w:rsidRPr="00C05222">
        <w:rPr>
          <w:rFonts w:eastAsia="Calibri"/>
          <w:lang w:eastAsia="en-US"/>
        </w:rPr>
        <w:fldChar w:fldCharType="separate"/>
      </w:r>
      <w:r w:rsidR="00B62B50" w:rsidRPr="00DF1C49">
        <w:rPr>
          <w:rFonts w:eastAsia="Calibri"/>
          <w:lang w:eastAsia="en-US"/>
        </w:rPr>
        <w:t xml:space="preserve">Figure </w:t>
      </w:r>
      <w:r w:rsidR="00B62B50">
        <w:rPr>
          <w:rFonts w:eastAsia="Calibri"/>
          <w:lang w:eastAsia="en-US"/>
        </w:rPr>
        <w:t>5</w:t>
      </w:r>
      <w:r w:rsidR="00B62B50">
        <w:rPr>
          <w:rFonts w:eastAsia="Calibri"/>
          <w:lang w:eastAsia="en-US"/>
        </w:rPr>
        <w:noBreakHyphen/>
        <w:t>3</w:t>
      </w:r>
      <w:r w:rsidRPr="00C05222">
        <w:rPr>
          <w:rFonts w:eastAsia="Calibri"/>
          <w:lang w:eastAsia="en-US"/>
        </w:rPr>
        <w:fldChar w:fldCharType="end"/>
      </w:r>
      <w:r w:rsidRPr="00C05222">
        <w:rPr>
          <w:rFonts w:eastAsia="Calibri"/>
          <w:lang w:eastAsia="en-US"/>
        </w:rPr>
        <w:t xml:space="preserve"> present the marine boundaries used for the GBR Marine Park, each NRM region and the seagrass and coral reefs ecosystems. </w:t>
      </w:r>
    </w:p>
    <w:p w14:paraId="0C3F886A" w14:textId="77777777" w:rsidR="00131E41" w:rsidRPr="00ED3D85" w:rsidRDefault="00131E41" w:rsidP="00131E41">
      <w:pPr>
        <w:rPr>
          <w:rFonts w:eastAsia="Calibri"/>
          <w:lang w:eastAsia="en-US"/>
        </w:rPr>
      </w:pPr>
      <w:r>
        <w:rPr>
          <w:rFonts w:eastAsia="Calibri"/>
          <w:lang w:eastAsia="en-US"/>
        </w:rPr>
        <w:t xml:space="preserve">We assumed in this study that the shapefile can be used as a representation of the actual seagrass distribution. </w:t>
      </w:r>
      <w:r w:rsidRPr="00DF1C49">
        <w:rPr>
          <w:rFonts w:eastAsia="Calibri"/>
          <w:lang w:eastAsia="en-US"/>
        </w:rPr>
        <w:t>Spatial distribution of the deepwater seagrass is a statistically mode</w:t>
      </w:r>
      <w:r>
        <w:rPr>
          <w:rFonts w:eastAsia="Calibri"/>
          <w:lang w:eastAsia="en-US"/>
        </w:rPr>
        <w:t>l</w:t>
      </w:r>
      <w:r w:rsidRPr="00DF1C49">
        <w:rPr>
          <w:rFonts w:eastAsia="Calibri"/>
          <w:lang w:eastAsia="en-US"/>
        </w:rPr>
        <w:t>led pro</w:t>
      </w:r>
      <w:r>
        <w:rPr>
          <w:rFonts w:eastAsia="Calibri"/>
          <w:lang w:eastAsia="en-US"/>
        </w:rPr>
        <w:t>b</w:t>
      </w:r>
      <w:r w:rsidRPr="00DF1C49">
        <w:rPr>
          <w:rFonts w:eastAsia="Calibri"/>
          <w:lang w:eastAsia="en-US"/>
        </w:rPr>
        <w:t>ability of seagrass presence (using generalized additive models (GAMs) with binomial error and smoothed terms in relative distance across and along the GBR) in GBRWHA wat</w:t>
      </w:r>
      <w:r>
        <w:rPr>
          <w:rFonts w:eastAsia="Calibri"/>
          <w:lang w:eastAsia="en-US"/>
        </w:rPr>
        <w:t>ers &gt;15m depth, based on ground-truthing of each data point</w:t>
      </w:r>
      <w:r w:rsidRPr="00DF1C49">
        <w:rPr>
          <w:rFonts w:eastAsia="Calibri"/>
          <w:lang w:eastAsia="en-US"/>
        </w:rPr>
        <w:t>. For details on approach, see Coles et al. (2009).</w:t>
      </w:r>
    </w:p>
    <w:p w14:paraId="0C3F886B"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lang w:eastAsia="en-US"/>
        </w:rPr>
        <w:t>These mapping outputs are used to define the exposure of GBR ecosystems (coral reefs and seagrass meadows) to river plumes and anthropogenic WQ exposure. The exposure of GBR marine ecosystems is expressed simply as the area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and percentage (%) of coral reefs and seagrass meadows exposed to</w:t>
      </w:r>
      <w:r>
        <w:rPr>
          <w:rFonts w:ascii="Calibri" w:eastAsia="Calibri" w:hAnsi="Calibri" w:cs="Times New Roman"/>
          <w:lang w:eastAsia="en-US"/>
        </w:rPr>
        <w:t xml:space="preserve"> river plume and exposed to the different categories (</w:t>
      </w:r>
      <w:r w:rsidR="001E79B7">
        <w:rPr>
          <w:rFonts w:ascii="Calibri" w:eastAsia="Calibri" w:hAnsi="Calibri" w:cs="Times New Roman"/>
          <w:lang w:eastAsia="en-US"/>
        </w:rPr>
        <w:t>I to IV</w:t>
      </w:r>
      <w:r>
        <w:rPr>
          <w:rFonts w:ascii="Calibri" w:eastAsia="Calibri" w:hAnsi="Calibri" w:cs="Times New Roman"/>
          <w:lang w:eastAsia="en-US"/>
        </w:rPr>
        <w:t xml:space="preserve">) of potential </w:t>
      </w:r>
      <w:r w:rsidRPr="00DF1C49">
        <w:rPr>
          <w:rFonts w:ascii="Calibri" w:eastAsia="Calibri" w:hAnsi="Calibri" w:cs="Times New Roman"/>
          <w:lang w:eastAsia="en-US"/>
        </w:rPr>
        <w:t>risk</w:t>
      </w:r>
      <w:r>
        <w:rPr>
          <w:rFonts w:ascii="Calibri" w:eastAsia="Calibri" w:hAnsi="Calibri" w:cs="Times New Roman"/>
          <w:lang w:eastAsia="en-US"/>
        </w:rPr>
        <w:t xml:space="preserve"> from river plume exposure</w:t>
      </w:r>
      <w:r w:rsidRPr="00DF1C49">
        <w:rPr>
          <w:rFonts w:ascii="Calibri" w:eastAsia="Calibri" w:hAnsi="Calibri" w:cs="Times New Roman"/>
          <w:lang w:eastAsia="en-US"/>
        </w:rPr>
        <w:t xml:space="preserve">. Areas of GBR waters within each marine NRM region exposed to river plume and river plume risk are also reported in recognition of other important habitats and populations that exist in these areas (Brodie et al., 2013). </w:t>
      </w:r>
      <w:r w:rsidRPr="00DF1C49">
        <w:rPr>
          <w:rFonts w:ascii="Calibri" w:eastAsia="Calibri" w:hAnsi="Calibri" w:cs="Times New Roman"/>
          <w:lang w:eastAsia="en-US"/>
        </w:rPr>
        <w:fldChar w:fldCharType="begin"/>
      </w:r>
      <w:r w:rsidRPr="00DF1C49">
        <w:rPr>
          <w:rFonts w:ascii="Calibri" w:eastAsia="Calibri" w:hAnsi="Calibri" w:cs="Times New Roman"/>
          <w:lang w:eastAsia="en-US"/>
        </w:rPr>
        <w:instrText xml:space="preserve"> REF _Ref377039340 \h  \* MERGEFORMAT </w:instrText>
      </w:r>
      <w:r w:rsidRPr="00DF1C49">
        <w:rPr>
          <w:rFonts w:ascii="Calibri" w:eastAsia="Calibri" w:hAnsi="Calibri" w:cs="Times New Roman"/>
          <w:lang w:eastAsia="en-US"/>
        </w:rPr>
      </w:r>
      <w:r w:rsidRPr="00DF1C49">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DF1C49">
        <w:rPr>
          <w:rFonts w:ascii="Calibri" w:eastAsia="Calibri" w:hAnsi="Calibri" w:cs="Times New Roman"/>
          <w:lang w:eastAsia="en-US"/>
        </w:rPr>
        <w:fldChar w:fldCharType="end"/>
      </w:r>
      <w:r w:rsidRPr="00DF1C49">
        <w:rPr>
          <w:rFonts w:ascii="Calibri" w:eastAsia="Calibri" w:hAnsi="Calibri" w:cs="Times New Roman"/>
          <w:lang w:eastAsia="en-US"/>
        </w:rPr>
        <w:t xml:space="preserve"> and </w:t>
      </w:r>
      <w:r w:rsidRPr="00DF1C49">
        <w:rPr>
          <w:rFonts w:ascii="Calibri" w:eastAsia="Calibri" w:hAnsi="Calibri" w:cs="Times New Roman"/>
          <w:lang w:eastAsia="en-US"/>
        </w:rPr>
        <w:fldChar w:fldCharType="begin"/>
      </w:r>
      <w:r w:rsidRPr="00DF1C49">
        <w:rPr>
          <w:rFonts w:ascii="Calibri" w:eastAsia="Calibri" w:hAnsi="Calibri" w:cs="Times New Roman"/>
          <w:lang w:eastAsia="en-US"/>
        </w:rPr>
        <w:instrText xml:space="preserve"> REF _Ref377039362 \h  \* MERGEFORMAT </w:instrText>
      </w:r>
      <w:r w:rsidRPr="00DF1C49">
        <w:rPr>
          <w:rFonts w:ascii="Calibri" w:eastAsia="Calibri" w:hAnsi="Calibri" w:cs="Times New Roman"/>
          <w:lang w:eastAsia="en-US"/>
        </w:rPr>
      </w:r>
      <w:r w:rsidRPr="00DF1C49">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DF1C49">
        <w:rPr>
          <w:rFonts w:ascii="Calibri" w:eastAsia="Calibri" w:hAnsi="Calibri" w:cs="Times New Roman"/>
          <w:lang w:eastAsia="en-US"/>
        </w:rPr>
        <w:fldChar w:fldCharType="end"/>
      </w:r>
      <w:r w:rsidRPr="00DF1C49">
        <w:rPr>
          <w:rFonts w:ascii="Calibri" w:eastAsia="Calibri" w:hAnsi="Calibri" w:cs="Times New Roman"/>
          <w:lang w:eastAsia="en-US"/>
        </w:rPr>
        <w:t xml:space="preserve"> present the marine boundaries used for the GBR Marine Park, each NRM region and the seagrass and coral reefs ecosystems. </w:t>
      </w:r>
    </w:p>
    <w:p w14:paraId="0C3F886C"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noProof/>
        </w:rPr>
        <w:drawing>
          <wp:anchor distT="0" distB="0" distL="114300" distR="114300" simplePos="0" relativeHeight="251786240" behindDoc="0" locked="0" layoutInCell="1" allowOverlap="1" wp14:anchorId="0C3F9005" wp14:editId="0C3F9006">
            <wp:simplePos x="0" y="0"/>
            <wp:positionH relativeFrom="column">
              <wp:posOffset>-4445</wp:posOffset>
            </wp:positionH>
            <wp:positionV relativeFrom="paragraph">
              <wp:posOffset>314325</wp:posOffset>
            </wp:positionV>
            <wp:extent cx="3956050" cy="4036695"/>
            <wp:effectExtent l="19050" t="19050" r="25400" b="20955"/>
            <wp:wrapSquare wrapText="bothSides"/>
            <wp:docPr id="77" name="Picture 3" descr="Marine boundaries used for the GBR Marine Park (a), each NRM region and the coral reefs ecosystems. Coral Reef and NRM layers derived from: GBRMPA, 2013, GBR feature shapefiles and enlargements around (b) the Tully-Herbert Rivers and (c) the Burdekin river. " title="Marine boundaries used for the GBR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956050" cy="4036695"/>
                    </a:xfrm>
                    <a:prstGeom prst="rect">
                      <a:avLst/>
                    </a:prstGeom>
                    <a:solidFill>
                      <a:sysClr val="window" lastClr="FFFFFF"/>
                    </a:solidFill>
                    <a:ln>
                      <a:solidFill>
                        <a:schemeClr val="tx1"/>
                      </a:solidFill>
                    </a:ln>
                  </pic:spPr>
                </pic:pic>
              </a:graphicData>
            </a:graphic>
            <wp14:sizeRelH relativeFrom="page">
              <wp14:pctWidth>0</wp14:pctWidth>
            </wp14:sizeRelH>
            <wp14:sizeRelV relativeFrom="page">
              <wp14:pctHeight>0</wp14:pctHeight>
            </wp14:sizeRelV>
          </wp:anchor>
        </w:drawing>
      </w:r>
    </w:p>
    <w:p w14:paraId="0C3F886D" w14:textId="77777777" w:rsidR="00131E41" w:rsidRPr="00DF1C49" w:rsidRDefault="00131E41" w:rsidP="00131E41">
      <w:pPr>
        <w:rPr>
          <w:rFonts w:ascii="Calibri" w:eastAsia="Calibri" w:hAnsi="Calibri" w:cs="Times New Roman"/>
          <w:lang w:eastAsia="en-US"/>
        </w:rPr>
      </w:pPr>
    </w:p>
    <w:p w14:paraId="0C3F886E" w14:textId="77777777" w:rsidR="00131E41" w:rsidRDefault="00131E41" w:rsidP="00131E41">
      <w:pPr>
        <w:pStyle w:val="Caption"/>
        <w:rPr>
          <w:rFonts w:eastAsia="Calibri"/>
        </w:rPr>
      </w:pPr>
      <w:bookmarkStart w:id="166" w:name="_Ref432671074"/>
      <w:bookmarkStart w:id="167" w:name="_Toc427833269"/>
      <w:bookmarkStart w:id="168" w:name="_Toc434208038"/>
      <w:r w:rsidRPr="00E11FA7">
        <w:t xml:space="preserve">Figure </w:t>
      </w:r>
      <w:r w:rsidR="00D243CD">
        <w:fldChar w:fldCharType="begin"/>
      </w:r>
      <w:r w:rsidR="00D243CD">
        <w:instrText xml:space="preserve"> STYLEREF 1 \s </w:instrText>
      </w:r>
      <w:r w:rsidR="00D243CD">
        <w:fldChar w:fldCharType="separate"/>
      </w:r>
      <w:r w:rsidR="00B62B50">
        <w:rPr>
          <w:noProof/>
        </w:rPr>
        <w:t>5</w:t>
      </w:r>
      <w:r w:rsidR="00D243CD">
        <w:fldChar w:fldCharType="end"/>
      </w:r>
      <w:r w:rsidR="00D243CD">
        <w:noBreakHyphen/>
      </w:r>
      <w:r w:rsidR="00D243CD">
        <w:fldChar w:fldCharType="begin"/>
      </w:r>
      <w:r w:rsidR="00D243CD">
        <w:instrText xml:space="preserve"> SEQ Figure \* ARABIC \s 1 </w:instrText>
      </w:r>
      <w:r w:rsidR="00D243CD">
        <w:fldChar w:fldCharType="separate"/>
      </w:r>
      <w:r w:rsidR="00B62B50">
        <w:rPr>
          <w:noProof/>
        </w:rPr>
        <w:t>2</w:t>
      </w:r>
      <w:r w:rsidR="00D243CD">
        <w:fldChar w:fldCharType="end"/>
      </w:r>
      <w:bookmarkEnd w:id="166"/>
      <w:r w:rsidRPr="00E11FA7">
        <w:t xml:space="preserve">: </w:t>
      </w:r>
      <w:r w:rsidRPr="00E11FA7">
        <w:rPr>
          <w:rFonts w:eastAsia="Calibri"/>
        </w:rPr>
        <w:t>Marine boundaries used for the GBR Marine Park (a), each NRM region and the coral reefs ecosystems. Coral Reef and NRM layers derived from: GBRMPA, 2013, GBR feature shapefiles and enlargements around (b) the Tully-Herbert Rivers and (c) the Burdekin river.</w:t>
      </w:r>
      <w:bookmarkEnd w:id="167"/>
      <w:bookmarkEnd w:id="168"/>
      <w:r w:rsidRPr="00E11FA7">
        <w:rPr>
          <w:rFonts w:eastAsia="Calibri"/>
        </w:rPr>
        <w:t xml:space="preserve"> </w:t>
      </w:r>
    </w:p>
    <w:p w14:paraId="0C3F886F" w14:textId="77777777" w:rsidR="00131E41" w:rsidRDefault="00131E41" w:rsidP="00131E41">
      <w:pPr>
        <w:rPr>
          <w:rFonts w:eastAsia="Calibri"/>
          <w:lang w:val="en-GB" w:eastAsia="en-US"/>
        </w:rPr>
      </w:pPr>
    </w:p>
    <w:p w14:paraId="0C3F8870" w14:textId="77777777" w:rsidR="00131E41" w:rsidRDefault="00131E41" w:rsidP="00131E41">
      <w:pPr>
        <w:rPr>
          <w:rFonts w:eastAsia="Calibri"/>
          <w:lang w:val="en-GB" w:eastAsia="en-US"/>
        </w:rPr>
      </w:pPr>
    </w:p>
    <w:p w14:paraId="0C3F8871" w14:textId="77777777" w:rsidR="00131E41" w:rsidRDefault="00131E41" w:rsidP="00131E41">
      <w:pPr>
        <w:rPr>
          <w:rFonts w:eastAsia="Calibri"/>
          <w:lang w:val="en-GB" w:eastAsia="en-US"/>
        </w:rPr>
      </w:pPr>
    </w:p>
    <w:p w14:paraId="0C3F8872" w14:textId="77777777" w:rsidR="00131E41" w:rsidRDefault="00131E41" w:rsidP="00131E41">
      <w:pPr>
        <w:rPr>
          <w:rFonts w:eastAsia="Calibri"/>
          <w:lang w:val="en-GB" w:eastAsia="en-US"/>
        </w:rPr>
      </w:pPr>
    </w:p>
    <w:p w14:paraId="0C3F8873" w14:textId="77777777" w:rsidR="00131E41" w:rsidRDefault="00131E41" w:rsidP="00131E41">
      <w:pPr>
        <w:rPr>
          <w:rFonts w:eastAsia="Calibri"/>
          <w:lang w:val="en-GB" w:eastAsia="en-US"/>
        </w:rPr>
      </w:pPr>
    </w:p>
    <w:p w14:paraId="0C3F8874" w14:textId="77777777" w:rsidR="00131E41" w:rsidRDefault="00131E41" w:rsidP="00131E41">
      <w:pPr>
        <w:rPr>
          <w:rFonts w:eastAsia="Calibri"/>
          <w:lang w:val="en-GB" w:eastAsia="en-US"/>
        </w:rPr>
      </w:pPr>
    </w:p>
    <w:p w14:paraId="0C3F8875" w14:textId="77777777" w:rsidR="00131E41" w:rsidRPr="00A56E8D" w:rsidRDefault="00131E41" w:rsidP="00131E41">
      <w:pPr>
        <w:rPr>
          <w:rFonts w:eastAsia="Calibri"/>
          <w:lang w:val="en-GB" w:eastAsia="en-US"/>
        </w:rPr>
      </w:pPr>
    </w:p>
    <w:p w14:paraId="0C3F8876" w14:textId="77777777" w:rsidR="00131E41" w:rsidRDefault="00131E41" w:rsidP="00C05222">
      <w:pPr>
        <w:rPr>
          <w:rFonts w:eastAsia="Calibri"/>
        </w:rPr>
      </w:pPr>
      <w:bookmarkStart w:id="169" w:name="_Toc434208039"/>
      <w:r w:rsidRPr="00DF1C49">
        <w:rPr>
          <w:rFonts w:ascii="Calibri" w:eastAsia="Calibri" w:hAnsi="Calibri" w:cs="Times New Roman"/>
          <w:noProof/>
        </w:rPr>
        <w:drawing>
          <wp:anchor distT="0" distB="0" distL="114300" distR="114300" simplePos="0" relativeHeight="251787264" behindDoc="0" locked="0" layoutInCell="1" allowOverlap="1" wp14:anchorId="0C3F9007" wp14:editId="0C3F9008">
            <wp:simplePos x="0" y="0"/>
            <wp:positionH relativeFrom="column">
              <wp:posOffset>3810</wp:posOffset>
            </wp:positionH>
            <wp:positionV relativeFrom="paragraph">
              <wp:posOffset>1905</wp:posOffset>
            </wp:positionV>
            <wp:extent cx="3954145" cy="3930650"/>
            <wp:effectExtent l="19050" t="19050" r="27305" b="12700"/>
            <wp:wrapSquare wrapText="bothSides"/>
            <wp:docPr id="78" name="Picture 11" descr="Marine boundaries used for the GBR Marine Park (a), each NRM region and the coral reefs ecosystems. NRM layers derived from: GBRMPA, 2013, GBR feature shapefiles and seagrass layers from DAFF, Feb. 2013; and enlargements around (b) the Tully-Herbert rivers and (c) the Burdekin rivers. Spatial distribution of the surveyed seagrasses bed is an historical layer composed from all meadows examined between 1984 and 2008 (see reports at: http://www.seagrasswatch.org/meg.html). " title="Marine boundaries used for the GBR Marine Par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954145" cy="3930650"/>
                    </a:xfrm>
                    <a:prstGeom prst="rect">
                      <a:avLst/>
                    </a:prstGeom>
                    <a:solidFill>
                      <a:sysClr val="window" lastClr="FFFFFF"/>
                    </a:solidFill>
                    <a:ln>
                      <a:solidFill>
                        <a:schemeClr val="tx1"/>
                      </a:solidFill>
                    </a:ln>
                  </pic:spPr>
                </pic:pic>
              </a:graphicData>
            </a:graphic>
            <wp14:sizeRelH relativeFrom="page">
              <wp14:pctWidth>0</wp14:pctWidth>
            </wp14:sizeRelH>
            <wp14:sizeRelV relativeFrom="page">
              <wp14:pctHeight>0</wp14:pctHeight>
            </wp14:sizeRelV>
          </wp:anchor>
        </w:drawing>
      </w:r>
      <w:bookmarkStart w:id="170" w:name="_Ref432671080"/>
      <w:bookmarkStart w:id="171" w:name="_Toc427833270"/>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3</w:t>
      </w:r>
      <w:r w:rsidR="00D243CD">
        <w:rPr>
          <w:rFonts w:eastAsia="Calibri"/>
        </w:rPr>
        <w:fldChar w:fldCharType="end"/>
      </w:r>
      <w:bookmarkEnd w:id="170"/>
      <w:r w:rsidRPr="00DF1C49">
        <w:rPr>
          <w:rFonts w:eastAsia="Calibri"/>
        </w:rPr>
        <w:t>: Marine boundaries used for the GBR Marine Park</w:t>
      </w:r>
      <w:r>
        <w:rPr>
          <w:rFonts w:eastAsia="Calibri"/>
        </w:rPr>
        <w:t xml:space="preserve"> (a)</w:t>
      </w:r>
      <w:r w:rsidRPr="00DF1C49">
        <w:rPr>
          <w:rFonts w:eastAsia="Calibri"/>
        </w:rPr>
        <w:t xml:space="preserve">, each NRM region and the coral reefs ecosystems. NRM layers derived from: GBRMPA, 2013, GBR feature shapefiles and seagrass layers from DAFF, Feb. 2013; and enlargements around </w:t>
      </w:r>
      <w:r>
        <w:rPr>
          <w:rFonts w:eastAsia="Calibri"/>
        </w:rPr>
        <w:t>(b</w:t>
      </w:r>
      <w:r w:rsidRPr="00DF1C49">
        <w:rPr>
          <w:rFonts w:eastAsia="Calibri"/>
        </w:rPr>
        <w:t xml:space="preserve">) the Tully-Herbert rivers and </w:t>
      </w:r>
      <w:r>
        <w:rPr>
          <w:rFonts w:eastAsia="Calibri"/>
        </w:rPr>
        <w:t>(</w:t>
      </w:r>
      <w:r w:rsidRPr="00DF1C49">
        <w:rPr>
          <w:rFonts w:eastAsia="Calibri"/>
        </w:rPr>
        <w:t xml:space="preserve">c) the Burdekin rivers. Spatial distribution of the surveyed seagrasses bed </w:t>
      </w:r>
      <w:r>
        <w:rPr>
          <w:rFonts w:eastAsia="Calibri"/>
        </w:rPr>
        <w:t xml:space="preserve">is an historical layer </w:t>
      </w:r>
      <w:r w:rsidRPr="00DF1C49">
        <w:rPr>
          <w:rFonts w:eastAsia="Calibri"/>
        </w:rPr>
        <w:t xml:space="preserve">composed from all meadows examined between 1984 and 2008 (see reports at: </w:t>
      </w:r>
      <w:hyperlink r:id="rId80" w:tooltip="more information" w:history="1">
        <w:r w:rsidRPr="00821A1B">
          <w:rPr>
            <w:rStyle w:val="Hyperlink"/>
            <w:rFonts w:eastAsia="Calibri"/>
            <w:bCs/>
          </w:rPr>
          <w:t>http://www.seagrasswatch.org/meg.html</w:t>
        </w:r>
      </w:hyperlink>
      <w:r w:rsidRPr="00DF1C49">
        <w:rPr>
          <w:rFonts w:eastAsia="Calibri"/>
        </w:rPr>
        <w:t>).</w:t>
      </w:r>
      <w:bookmarkEnd w:id="169"/>
      <w:r>
        <w:rPr>
          <w:rFonts w:eastAsia="Calibri"/>
        </w:rPr>
        <w:t xml:space="preserve"> </w:t>
      </w:r>
    </w:p>
    <w:p w14:paraId="0C3F8877" w14:textId="77777777" w:rsidR="00131E41" w:rsidRPr="00A56E8D" w:rsidRDefault="00131E41" w:rsidP="00131E41">
      <w:pPr>
        <w:pStyle w:val="Heading3"/>
        <w:numPr>
          <w:ilvl w:val="1"/>
          <w:numId w:val="3"/>
        </w:numPr>
        <w:rPr>
          <w:rStyle w:val="Heading20"/>
          <w:b/>
        </w:rPr>
      </w:pPr>
      <w:bookmarkStart w:id="172" w:name="_Toc434208009"/>
      <w:bookmarkEnd w:id="171"/>
      <w:r w:rsidRPr="00A56E8D">
        <w:rPr>
          <w:rStyle w:val="Heading20"/>
          <w:b/>
        </w:rPr>
        <w:t>Results</w:t>
      </w:r>
      <w:bookmarkEnd w:id="172"/>
    </w:p>
    <w:p w14:paraId="0C3F8878" w14:textId="77777777" w:rsidR="00131E41" w:rsidRPr="00A56E8D" w:rsidRDefault="00131E41" w:rsidP="00131E41">
      <w:pPr>
        <w:pStyle w:val="Heading3"/>
        <w:numPr>
          <w:ilvl w:val="2"/>
          <w:numId w:val="3"/>
        </w:numPr>
        <w:rPr>
          <w:bCs/>
          <w:iCs/>
        </w:rPr>
      </w:pPr>
      <w:bookmarkStart w:id="173" w:name="_Toc427251548"/>
      <w:bookmarkStart w:id="174" w:name="_Toc427831211"/>
      <w:bookmarkStart w:id="175" w:name="_Toc428793342"/>
      <w:bookmarkStart w:id="176" w:name="_Toc428851347"/>
      <w:bookmarkStart w:id="177" w:name="_Toc434208010"/>
      <w:r w:rsidRPr="00A56E8D">
        <w:rPr>
          <w:bCs/>
          <w:iCs/>
        </w:rPr>
        <w:t>Production maps (weekly composite maps of secondary water type)</w:t>
      </w:r>
      <w:bookmarkEnd w:id="173"/>
      <w:bookmarkEnd w:id="174"/>
      <w:bookmarkEnd w:id="175"/>
      <w:bookmarkEnd w:id="176"/>
      <w:bookmarkEnd w:id="177"/>
    </w:p>
    <w:p w14:paraId="0C3F8879"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lang w:eastAsia="en-US"/>
        </w:rPr>
        <w:t>W</w:t>
      </w:r>
      <w:r w:rsidRPr="00DF1C49">
        <w:rPr>
          <w:rFonts w:ascii="Calibri" w:eastAsia="Calibri" w:hAnsi="Calibri" w:cs="Times New Roman"/>
          <w:lang w:eastAsia="en-US"/>
        </w:rPr>
        <w:t>eekly composite</w:t>
      </w:r>
      <w:r>
        <w:rPr>
          <w:rFonts w:ascii="Calibri" w:eastAsia="Calibri" w:hAnsi="Calibri" w:cs="Times New Roman"/>
          <w:lang w:eastAsia="en-US"/>
        </w:rPr>
        <w:t xml:space="preserve"> maps of s</w:t>
      </w:r>
      <w:r w:rsidRPr="00DF1C49">
        <w:rPr>
          <w:rFonts w:ascii="Calibri" w:eastAsia="Calibri" w:hAnsi="Calibri" w:cs="Times New Roman"/>
          <w:lang w:eastAsia="en-US"/>
        </w:rPr>
        <w:t>econdary plume water type</w:t>
      </w:r>
      <w:r>
        <w:rPr>
          <w:rFonts w:ascii="Calibri" w:eastAsia="Calibri" w:hAnsi="Calibri" w:cs="Times New Roman"/>
          <w:lang w:eastAsia="en-US"/>
        </w:rPr>
        <w:t xml:space="preserve"> focusing </w:t>
      </w:r>
      <w:r w:rsidRPr="00DF1C49">
        <w:rPr>
          <w:rFonts w:ascii="Calibri" w:eastAsia="Calibri" w:hAnsi="Calibri" w:cs="Times New Roman"/>
          <w:lang w:eastAsia="en-US"/>
        </w:rPr>
        <w:t xml:space="preserve">on the Tully-Herbert and Burdekin regions are presented in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_Ref432671488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5</w:t>
      </w:r>
      <w:r>
        <w:rPr>
          <w:rFonts w:ascii="Calibri" w:eastAsia="Calibri" w:hAnsi="Calibri" w:cs="Times New Roman"/>
          <w:lang w:eastAsia="en-US"/>
        </w:rPr>
        <w:fldChar w:fldCharType="end"/>
      </w:r>
      <w:r>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_Ref432671491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6</w:t>
      </w:r>
      <w:r>
        <w:rPr>
          <w:rFonts w:ascii="Calibri" w:eastAsia="Calibri" w:hAnsi="Calibri" w:cs="Times New Roman"/>
          <w:lang w:eastAsia="en-US"/>
        </w:rPr>
        <w:fldChar w:fldCharType="end"/>
      </w:r>
      <w:r w:rsidRPr="00DF1C49">
        <w:rPr>
          <w:rFonts w:ascii="Calibri" w:eastAsia="Calibri" w:hAnsi="Calibri" w:cs="Times New Roman"/>
          <w:lang w:eastAsia="en-US"/>
        </w:rPr>
        <w:t>, respectively</w:t>
      </w:r>
      <w:r>
        <w:rPr>
          <w:rFonts w:ascii="Calibri" w:eastAsia="Calibri" w:hAnsi="Calibri" w:cs="Times New Roman"/>
          <w:lang w:eastAsia="en-US"/>
        </w:rPr>
        <w:t>.</w:t>
      </w:r>
      <w:r w:rsidRPr="00DF1C49">
        <w:rPr>
          <w:rFonts w:ascii="Calibri" w:eastAsia="Calibri" w:hAnsi="Calibri" w:cs="Times New Roman"/>
          <w:lang w:eastAsia="en-US"/>
        </w:rPr>
        <w:t xml:space="preserve"> Identifying the full extent of these Secondary waters on weekly basis provides recurrent production maps (i.e., areas with mean chl-a = 1.3±0.6 μg L</w:t>
      </w:r>
      <w:r w:rsidRPr="005B726C">
        <w:rPr>
          <w:rFonts w:ascii="Calibri" w:eastAsia="Calibri" w:hAnsi="Calibri" w:cs="Times New Roman"/>
          <w:vertAlign w:val="superscript"/>
          <w:lang w:eastAsia="en-US"/>
        </w:rPr>
        <w:t>-1</w:t>
      </w:r>
      <w:r w:rsidRPr="00DF1C49">
        <w:rPr>
          <w:rFonts w:ascii="Calibri" w:eastAsia="Calibri" w:hAnsi="Calibri" w:cs="Times New Roman"/>
          <w:lang w:eastAsia="en-US"/>
        </w:rPr>
        <w:t xml:space="preserve">; Devlin et al., 2013), and </w:t>
      </w:r>
      <w:r w:rsidRPr="009C3DB1">
        <w:rPr>
          <w:rFonts w:ascii="Calibri" w:eastAsia="Calibri" w:hAnsi="Calibri" w:cs="Times New Roman"/>
          <w:lang w:eastAsia="en-US"/>
        </w:rPr>
        <w:t>identifies areas in which high phytoplankton biomass production are likely to occur during the variable wet season conditions</w:t>
      </w:r>
      <w:r w:rsidRPr="00DF1C49">
        <w:rPr>
          <w:rFonts w:ascii="Calibri" w:eastAsia="Calibri" w:hAnsi="Calibri" w:cs="Times New Roman"/>
          <w:lang w:eastAsia="en-US"/>
        </w:rPr>
        <w:t>.</w:t>
      </w:r>
      <w:r>
        <w:rPr>
          <w:rFonts w:ascii="Calibri" w:eastAsia="Calibri" w:hAnsi="Calibri" w:cs="Times New Roman"/>
          <w:lang w:eastAsia="en-US"/>
        </w:rPr>
        <w:t xml:space="preserve"> Secondary</w:t>
      </w:r>
      <w:r w:rsidRPr="00D70F7B">
        <w:rPr>
          <w:rFonts w:ascii="Calibri" w:eastAsia="Calibri" w:hAnsi="Calibri" w:cs="Times New Roman"/>
          <w:lang w:eastAsia="en-US"/>
        </w:rPr>
        <w:t xml:space="preserve"> </w:t>
      </w:r>
      <w:r>
        <w:rPr>
          <w:rFonts w:ascii="Calibri" w:eastAsia="Calibri" w:hAnsi="Calibri" w:cs="Times New Roman"/>
          <w:lang w:eastAsia="en-US"/>
        </w:rPr>
        <w:t xml:space="preserve">composite </w:t>
      </w:r>
      <w:r w:rsidRPr="00D70F7B">
        <w:rPr>
          <w:rFonts w:ascii="Calibri" w:eastAsia="Calibri" w:hAnsi="Calibri" w:cs="Times New Roman"/>
          <w:lang w:eastAsia="en-US"/>
        </w:rPr>
        <w:t xml:space="preserve">maps </w:t>
      </w:r>
      <w:r>
        <w:rPr>
          <w:rFonts w:ascii="Calibri" w:eastAsia="Calibri" w:hAnsi="Calibri" w:cs="Times New Roman"/>
          <w:lang w:eastAsia="en-US"/>
        </w:rPr>
        <w:t xml:space="preserve">for the whole GBR are </w:t>
      </w:r>
      <w:r w:rsidRPr="00C05222">
        <w:rPr>
          <w:rFonts w:ascii="Calibri" w:eastAsia="Calibri" w:hAnsi="Calibri" w:cs="Times New Roman"/>
          <w:lang w:eastAsia="en-US"/>
        </w:rPr>
        <w:t>presented in Appendix B, Figure</w:t>
      </w:r>
      <w:r>
        <w:rPr>
          <w:rFonts w:ascii="Calibri" w:eastAsia="Calibri" w:hAnsi="Calibri" w:cs="Times New Roman"/>
          <w:lang w:eastAsia="en-US"/>
        </w:rPr>
        <w:t xml:space="preserve"> B-1.</w:t>
      </w:r>
      <w:r w:rsidRPr="00D70F7B">
        <w:rPr>
          <w:rFonts w:ascii="Calibri" w:eastAsia="Calibri" w:hAnsi="Calibri" w:cs="Times New Roman"/>
          <w:lang w:eastAsia="en-US"/>
        </w:rPr>
        <w:t xml:space="preserve"> </w:t>
      </w:r>
      <w:r w:rsidRPr="00B4710A">
        <w:rPr>
          <w:rFonts w:ascii="Calibri" w:eastAsia="Calibri" w:hAnsi="Calibri" w:cs="Times New Roman"/>
          <w:lang w:eastAsia="en-US"/>
        </w:rPr>
        <w:t xml:space="preserve">Table </w:t>
      </w:r>
      <w:r>
        <w:rPr>
          <w:rFonts w:ascii="Calibri" w:eastAsia="Calibri" w:hAnsi="Calibri" w:cs="Times New Roman"/>
          <w:lang w:eastAsia="en-US"/>
        </w:rPr>
        <w:t>B</w:t>
      </w:r>
      <w:r w:rsidRPr="00B4710A">
        <w:rPr>
          <w:rFonts w:ascii="Calibri" w:eastAsia="Calibri" w:hAnsi="Calibri" w:cs="Times New Roman"/>
          <w:lang w:eastAsia="en-US"/>
        </w:rPr>
        <w:t>-</w:t>
      </w:r>
      <w:r>
        <w:rPr>
          <w:rFonts w:ascii="Calibri" w:eastAsia="Calibri" w:hAnsi="Calibri" w:cs="Times New Roman"/>
          <w:lang w:eastAsia="en-US"/>
        </w:rPr>
        <w:t>1 in Appendix B</w:t>
      </w:r>
      <w:r w:rsidRPr="00DF1C49">
        <w:rPr>
          <w:rFonts w:ascii="Calibri" w:eastAsia="Calibri" w:hAnsi="Calibri" w:cs="Times New Roman"/>
          <w:lang w:eastAsia="en-US"/>
        </w:rPr>
        <w:t xml:space="preserve"> presents a conversion chart between Julian days, dates and week numbers. </w:t>
      </w:r>
      <w:r w:rsidRPr="00600E32">
        <w:rPr>
          <w:rFonts w:ascii="Calibri" w:eastAsia="Calibri" w:hAnsi="Calibri" w:cs="Times New Roman"/>
          <w:lang w:eastAsia="en-US"/>
        </w:rPr>
        <w:t>The maximum</w:t>
      </w:r>
      <w:r>
        <w:rPr>
          <w:rFonts w:ascii="Calibri" w:eastAsia="Calibri" w:hAnsi="Calibri" w:cs="Times New Roman"/>
          <w:lang w:eastAsia="en-US"/>
        </w:rPr>
        <w:t xml:space="preserve"> surface aerial</w:t>
      </w:r>
      <w:r w:rsidRPr="00600E32">
        <w:rPr>
          <w:rFonts w:ascii="Calibri" w:eastAsia="Calibri" w:hAnsi="Calibri" w:cs="Times New Roman"/>
          <w:lang w:eastAsia="en-US"/>
        </w:rPr>
        <w:t xml:space="preserve"> extent</w:t>
      </w:r>
      <w:r>
        <w:rPr>
          <w:rFonts w:ascii="Calibri" w:eastAsia="Calibri" w:hAnsi="Calibri" w:cs="Times New Roman"/>
          <w:lang w:eastAsia="en-US"/>
        </w:rPr>
        <w:t>s</w:t>
      </w:r>
      <w:r w:rsidRPr="00600E32">
        <w:rPr>
          <w:rFonts w:ascii="Calibri" w:eastAsia="Calibri" w:hAnsi="Calibri" w:cs="Times New Roman"/>
          <w:lang w:eastAsia="en-US"/>
        </w:rPr>
        <w:t xml:space="preserve"> of secondary water</w:t>
      </w:r>
      <w:r>
        <w:rPr>
          <w:rFonts w:ascii="Calibri" w:eastAsia="Calibri" w:hAnsi="Calibri" w:cs="Times New Roman"/>
          <w:lang w:eastAsia="en-US"/>
        </w:rPr>
        <w:t>s</w:t>
      </w:r>
      <w:r w:rsidRPr="00600E32">
        <w:rPr>
          <w:rFonts w:ascii="Calibri" w:eastAsia="Calibri" w:hAnsi="Calibri" w:cs="Times New Roman"/>
          <w:lang w:eastAsia="en-US"/>
        </w:rPr>
        <w:t xml:space="preserve"> </w:t>
      </w:r>
      <w:r w:rsidRPr="00DF1C49">
        <w:rPr>
          <w:rFonts w:ascii="Calibri" w:eastAsia="Calibri" w:hAnsi="Calibri" w:cs="Times New Roman"/>
          <w:lang w:eastAsia="en-US"/>
        </w:rPr>
        <w:t>were recorded around weeks 9, 15 and 20 (i.e., between the 26t</w:t>
      </w:r>
      <w:r>
        <w:rPr>
          <w:rFonts w:ascii="Calibri" w:eastAsia="Calibri" w:hAnsi="Calibri" w:cs="Times New Roman"/>
          <w:lang w:eastAsia="en-US"/>
        </w:rPr>
        <w:t xml:space="preserve">h of January and 19th of April </w:t>
      </w:r>
      <w:r w:rsidRPr="00DF1C49">
        <w:rPr>
          <w:rFonts w:ascii="Calibri" w:eastAsia="Calibri" w:hAnsi="Calibri" w:cs="Times New Roman"/>
          <w:lang w:eastAsia="en-US"/>
        </w:rPr>
        <w:t>and followed maximum peaks of discharge measured in the Tully-Herbert and Burdekin rivers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_Ref432671576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4</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t>
      </w:r>
      <w:r>
        <w:rPr>
          <w:rFonts w:ascii="Calibri" w:eastAsia="Calibri" w:hAnsi="Calibri" w:cs="Times New Roman"/>
          <w:lang w:eastAsia="en-US"/>
        </w:rPr>
        <w:t>S</w:t>
      </w:r>
      <w:r w:rsidRPr="007D397E">
        <w:rPr>
          <w:rFonts w:ascii="Calibri" w:eastAsia="Calibri" w:hAnsi="Calibri" w:cs="Times New Roman"/>
          <w:lang w:eastAsia="en-US"/>
        </w:rPr>
        <w:t xml:space="preserve">urface aerial extent </w:t>
      </w:r>
      <w:r w:rsidRPr="007C616C">
        <w:rPr>
          <w:rFonts w:ascii="Calibri" w:eastAsia="Calibri" w:hAnsi="Calibri" w:cs="Times New Roman"/>
          <w:lang w:eastAsia="en-US"/>
        </w:rPr>
        <w:t>ma</w:t>
      </w:r>
      <w:r>
        <w:rPr>
          <w:rFonts w:ascii="Calibri" w:eastAsia="Calibri" w:hAnsi="Calibri" w:cs="Times New Roman"/>
          <w:lang w:eastAsia="en-US"/>
        </w:rPr>
        <w:t xml:space="preserve">pped </w:t>
      </w:r>
      <w:r w:rsidRPr="00DF1C49">
        <w:rPr>
          <w:rFonts w:ascii="Calibri" w:eastAsia="Calibri" w:hAnsi="Calibri" w:cs="Times New Roman"/>
          <w:lang w:eastAsia="en-US"/>
        </w:rPr>
        <w:t>were largest in end of January/early February in the wet Tropics and in mid-March/early April in the Burdekin region. Some areas were underestimated due to cloud cover; for example weeks 8 or 19 in the Wet Tropics and week 9 in the Burdekin region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_Ref432671488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5</w:t>
      </w:r>
      <w:r>
        <w:rPr>
          <w:rFonts w:ascii="Calibri" w:eastAsia="Calibri" w:hAnsi="Calibri" w:cs="Times New Roman"/>
          <w:lang w:eastAsia="en-US"/>
        </w:rPr>
        <w:fldChar w:fldCharType="end"/>
      </w:r>
      <w:r>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_Ref432671491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6</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t>
      </w:r>
    </w:p>
    <w:p w14:paraId="0C3F887A" w14:textId="77777777" w:rsidR="00131E41" w:rsidRPr="00DF1C49" w:rsidRDefault="00131E41" w:rsidP="00131E41">
      <w:pPr>
        <w:jc w:val="left"/>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09" wp14:editId="0C3F900A">
            <wp:extent cx="3686175" cy="4773257"/>
            <wp:effectExtent l="0" t="0" r="0" b="8890"/>
            <wp:docPr id="92" name="Picture 92" descr="a) Secondary plume waters areas recorded for the GBR, the Tully-Herbert and the Burdekin subsets and b) cumulative weekly river discharge measured for the Tully-Herbert and Burdekin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684604" cy="4771223"/>
                    </a:xfrm>
                    <a:prstGeom prst="rect">
                      <a:avLst/>
                    </a:prstGeom>
                    <a:solidFill>
                      <a:sysClr val="window" lastClr="FFFFFF"/>
                    </a:solidFill>
                  </pic:spPr>
                </pic:pic>
              </a:graphicData>
            </a:graphic>
          </wp:inline>
        </w:drawing>
      </w:r>
    </w:p>
    <w:p w14:paraId="0C3F887B" w14:textId="77777777" w:rsidR="00131E41" w:rsidRPr="00DF1C49" w:rsidRDefault="00131E41" w:rsidP="00131E41">
      <w:pPr>
        <w:pStyle w:val="Caption"/>
        <w:rPr>
          <w:rFonts w:eastAsia="Calibri"/>
        </w:rPr>
      </w:pPr>
      <w:bookmarkStart w:id="178" w:name="_Ref432671576"/>
      <w:bookmarkStart w:id="179" w:name="_Toc427833284"/>
      <w:bookmarkStart w:id="180" w:name="_Toc434208040"/>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4</w:t>
      </w:r>
      <w:r w:rsidR="00D243CD">
        <w:rPr>
          <w:rFonts w:eastAsia="Calibri"/>
        </w:rPr>
        <w:fldChar w:fldCharType="end"/>
      </w:r>
      <w:bookmarkEnd w:id="178"/>
      <w:r w:rsidRPr="00DF1C49">
        <w:rPr>
          <w:rFonts w:eastAsia="Calibri"/>
        </w:rPr>
        <w:t>: a) Secondary plume waters areas recorded for the GBR, the Tully-Herbert and the Burdekin subsets and b) cumulative weekly river discharge measured for the Tully-Herbert and Burdekin rivers.</w:t>
      </w:r>
      <w:bookmarkEnd w:id="179"/>
      <w:bookmarkEnd w:id="180"/>
      <w:r w:rsidRPr="00DF1C49">
        <w:rPr>
          <w:rFonts w:eastAsia="Calibri"/>
        </w:rPr>
        <w:t xml:space="preserve"> </w:t>
      </w:r>
    </w:p>
    <w:p w14:paraId="0C3F887C" w14:textId="77777777" w:rsidR="00131E41" w:rsidRPr="006E3BBF" w:rsidRDefault="00131E41" w:rsidP="00131E41">
      <w:pPr>
        <w:rPr>
          <w:lang w:eastAsia="en-US"/>
        </w:rPr>
      </w:pPr>
    </w:p>
    <w:p w14:paraId="0C3F887D"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0B" wp14:editId="0C3F900C">
            <wp:extent cx="4464000" cy="7678239"/>
            <wp:effectExtent l="0" t="0" r="0" b="0"/>
            <wp:docPr id="90" name="Picture 90" descr="Secondary plume weekly composites of the Tully-Herbert marine region" title="Secondary plume weekly composites of the Tully-Herbert marin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464000" cy="7678239"/>
                    </a:xfrm>
                    <a:prstGeom prst="rect">
                      <a:avLst/>
                    </a:prstGeom>
                    <a:solidFill>
                      <a:sysClr val="window" lastClr="FFFFFF"/>
                    </a:solidFill>
                  </pic:spPr>
                </pic:pic>
              </a:graphicData>
            </a:graphic>
          </wp:inline>
        </w:drawing>
      </w:r>
    </w:p>
    <w:p w14:paraId="0C3F887E" w14:textId="77777777" w:rsidR="00131E41" w:rsidRDefault="00131E41" w:rsidP="00131E41">
      <w:pPr>
        <w:pStyle w:val="Caption"/>
        <w:rPr>
          <w:rFonts w:eastAsia="Calibri"/>
        </w:rPr>
      </w:pPr>
      <w:bookmarkStart w:id="181" w:name="_Ref432671488"/>
      <w:bookmarkStart w:id="182" w:name="_Toc427833282"/>
      <w:bookmarkStart w:id="183" w:name="_Toc434208041"/>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5</w:t>
      </w:r>
      <w:r w:rsidR="00D243CD">
        <w:rPr>
          <w:rFonts w:eastAsia="Calibri"/>
        </w:rPr>
        <w:fldChar w:fldCharType="end"/>
      </w:r>
      <w:bookmarkEnd w:id="181"/>
      <w:r w:rsidRPr="00DF1C49">
        <w:rPr>
          <w:rFonts w:eastAsia="Calibri"/>
        </w:rPr>
        <w:t>: Secondary plume weekly composites of the Tully-Herbert marine region</w:t>
      </w:r>
      <w:bookmarkEnd w:id="182"/>
      <w:bookmarkEnd w:id="183"/>
    </w:p>
    <w:p w14:paraId="0C3F887F" w14:textId="77777777" w:rsidR="00131E41" w:rsidRDefault="00131E41" w:rsidP="00131E41">
      <w:pPr>
        <w:rPr>
          <w:rFonts w:ascii="Calibri" w:eastAsia="Calibri" w:hAnsi="Calibri" w:cs="Times New Roman"/>
          <w:bCs/>
          <w:color w:val="4F81BD"/>
          <w:lang w:eastAsia="en-US"/>
        </w:rPr>
      </w:pPr>
    </w:p>
    <w:p w14:paraId="0C3F8880"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0D" wp14:editId="0C3F900E">
            <wp:extent cx="4464000" cy="7675825"/>
            <wp:effectExtent l="0" t="0" r="0" b="1905"/>
            <wp:docPr id="91" name="Picture 91" descr=" Secondary plume weekly composites of the Burdekin marine region" title=" Secondary plume weekly composites of the Burdekin marin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464000" cy="7675825"/>
                    </a:xfrm>
                    <a:prstGeom prst="rect">
                      <a:avLst/>
                    </a:prstGeom>
                    <a:solidFill>
                      <a:sysClr val="window" lastClr="FFFFFF"/>
                    </a:solidFill>
                  </pic:spPr>
                </pic:pic>
              </a:graphicData>
            </a:graphic>
          </wp:inline>
        </w:drawing>
      </w:r>
    </w:p>
    <w:p w14:paraId="0C3F8881" w14:textId="77777777" w:rsidR="00131E41" w:rsidRDefault="00131E41" w:rsidP="00131E41">
      <w:pPr>
        <w:pStyle w:val="Caption"/>
        <w:rPr>
          <w:rFonts w:eastAsia="Calibri"/>
        </w:rPr>
      </w:pPr>
      <w:bookmarkStart w:id="184" w:name="_Ref432671491"/>
      <w:bookmarkStart w:id="185" w:name="_Toc427833283"/>
      <w:bookmarkStart w:id="186" w:name="_Toc434208042"/>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6</w:t>
      </w:r>
      <w:r w:rsidR="00D243CD">
        <w:rPr>
          <w:rFonts w:eastAsia="Calibri"/>
        </w:rPr>
        <w:fldChar w:fldCharType="end"/>
      </w:r>
      <w:bookmarkEnd w:id="184"/>
      <w:r w:rsidRPr="00DF1C49">
        <w:rPr>
          <w:rFonts w:eastAsia="Calibri"/>
        </w:rPr>
        <w:t>: Secondary plume weekly composites of the Burdekin marine region</w:t>
      </w:r>
      <w:bookmarkEnd w:id="185"/>
      <w:bookmarkEnd w:id="186"/>
    </w:p>
    <w:p w14:paraId="0C3F8882" w14:textId="77777777" w:rsidR="00131E41" w:rsidRDefault="00131E41" w:rsidP="00131E41">
      <w:pPr>
        <w:rPr>
          <w:rFonts w:ascii="Calibri" w:eastAsia="Calibri" w:hAnsi="Calibri" w:cs="Times New Roman"/>
          <w:bCs/>
          <w:color w:val="4F81BD"/>
          <w:lang w:eastAsia="en-US"/>
        </w:rPr>
      </w:pPr>
    </w:p>
    <w:p w14:paraId="0C3F8883" w14:textId="77777777" w:rsidR="00131E41" w:rsidRPr="00DF1C49" w:rsidRDefault="00131E41" w:rsidP="00131E41">
      <w:pPr>
        <w:rPr>
          <w:rFonts w:ascii="Calibri" w:eastAsia="Calibri" w:hAnsi="Calibri" w:cs="Times New Roman"/>
          <w:lang w:eastAsia="en-US"/>
        </w:rPr>
      </w:pPr>
    </w:p>
    <w:p w14:paraId="0C3F8884" w14:textId="77777777" w:rsidR="00131E41" w:rsidRPr="00C570D1" w:rsidRDefault="00131E41" w:rsidP="00131E41">
      <w:pPr>
        <w:pStyle w:val="Heading3"/>
        <w:numPr>
          <w:ilvl w:val="2"/>
          <w:numId w:val="3"/>
        </w:numPr>
        <w:rPr>
          <w:bCs/>
          <w:iCs/>
        </w:rPr>
      </w:pPr>
      <w:bookmarkStart w:id="187" w:name="_Toc427251549"/>
      <w:bookmarkStart w:id="188" w:name="_Toc427831212"/>
      <w:bookmarkStart w:id="189" w:name="_Toc428793343"/>
      <w:bookmarkStart w:id="190" w:name="_Toc428851348"/>
      <w:bookmarkStart w:id="191" w:name="_Toc434208011"/>
      <w:r w:rsidRPr="00C570D1">
        <w:rPr>
          <w:bCs/>
          <w:iCs/>
        </w:rPr>
        <w:t>2012-13 frequency maps</w:t>
      </w:r>
      <w:bookmarkEnd w:id="187"/>
      <w:bookmarkEnd w:id="188"/>
      <w:bookmarkEnd w:id="189"/>
      <w:bookmarkEnd w:id="190"/>
      <w:bookmarkEnd w:id="191"/>
    </w:p>
    <w:p w14:paraId="0C3F8885"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lang w:eastAsia="en-US"/>
        </w:rPr>
        <w:t>The annual frequency maps</w:t>
      </w:r>
      <w:r w:rsidRPr="00DF1C49">
        <w:rPr>
          <w:rFonts w:ascii="Calibri" w:eastAsia="Calibri" w:hAnsi="Calibri" w:cs="Times New Roman"/>
          <w:lang w:eastAsia="en-US"/>
        </w:rPr>
        <w:t xml:space="preserve"> produced applying both TC and L2 methods illustrate GBR marine areas affected by river plume waters as well as the spatial </w:t>
      </w:r>
      <w:r w:rsidRPr="00593CC8">
        <w:rPr>
          <w:rFonts w:ascii="Calibri" w:eastAsia="Calibri" w:hAnsi="Calibri" w:cs="Times New Roman"/>
          <w:color w:val="000000" w:themeColor="text1"/>
          <w:lang w:eastAsia="en-US"/>
        </w:rPr>
        <w:t xml:space="preserve">distribution and frequencies of occurrence of the three GBR plume water types (Primary, Secondary, and Tertiary) during the wet season 2012-13. Enlargements around the Tully Herbert and Burdekin regions are presented in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_Ref427659567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7</w:t>
      </w:r>
      <w:r>
        <w:rPr>
          <w:rFonts w:ascii="Calibri" w:eastAsia="Calibri" w:hAnsi="Calibri" w:cs="Times New Roman"/>
          <w:color w:val="000000" w:themeColor="text1"/>
          <w:lang w:eastAsia="en-US"/>
        </w:rPr>
        <w:fldChar w:fldCharType="end"/>
      </w:r>
      <w:r>
        <w:rPr>
          <w:rFonts w:ascii="Calibri" w:eastAsia="Calibri" w:hAnsi="Calibri" w:cs="Times New Roman"/>
          <w:color w:val="000000" w:themeColor="text1"/>
          <w:lang w:eastAsia="en-US"/>
        </w:rPr>
        <w:t xml:space="preserve"> to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_Ref432671675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14</w:t>
      </w:r>
      <w:r>
        <w:rPr>
          <w:rFonts w:ascii="Calibri" w:eastAsia="Calibri" w:hAnsi="Calibri" w:cs="Times New Roman"/>
          <w:color w:val="000000" w:themeColor="text1"/>
          <w:lang w:eastAsia="en-US"/>
        </w:rPr>
        <w:fldChar w:fldCharType="end"/>
      </w:r>
      <w:r w:rsidRPr="00593CC8">
        <w:rPr>
          <w:rFonts w:ascii="Calibri" w:eastAsia="Calibri" w:hAnsi="Calibri" w:cs="Times New Roman"/>
          <w:color w:val="000000" w:themeColor="text1"/>
          <w:lang w:eastAsia="en-US"/>
        </w:rPr>
        <w:t xml:space="preserve"> and whole-GBR scale maps in Appendix </w:t>
      </w:r>
      <w:r>
        <w:rPr>
          <w:rFonts w:ascii="Calibri" w:eastAsia="Calibri" w:hAnsi="Calibri" w:cs="Times New Roman"/>
          <w:color w:val="000000" w:themeColor="text1"/>
          <w:lang w:eastAsia="en-US"/>
        </w:rPr>
        <w:t>B</w:t>
      </w:r>
      <w:r w:rsidRPr="00593CC8">
        <w:rPr>
          <w:rFonts w:ascii="Calibri" w:eastAsia="Calibri" w:hAnsi="Calibri" w:cs="Times New Roman"/>
          <w:color w:val="000000" w:themeColor="text1"/>
          <w:lang w:eastAsia="en-US"/>
        </w:rPr>
        <w:t xml:space="preserve"> (Figures </w:t>
      </w:r>
      <w:r>
        <w:rPr>
          <w:rFonts w:ascii="Calibri" w:eastAsia="Calibri" w:hAnsi="Calibri" w:cs="Times New Roman"/>
          <w:color w:val="000000" w:themeColor="text1"/>
          <w:lang w:eastAsia="en-US"/>
        </w:rPr>
        <w:t>B-2 to B-5</w:t>
      </w:r>
      <w:r w:rsidRPr="00593CC8">
        <w:rPr>
          <w:rFonts w:ascii="Calibri" w:eastAsia="Calibri" w:hAnsi="Calibri" w:cs="Times New Roman"/>
          <w:color w:val="000000" w:themeColor="text1"/>
          <w:lang w:eastAsia="en-US"/>
        </w:rPr>
        <w:t xml:space="preserve">). Note that this mapping exercise only identifies the surface river plume waters and plume </w:t>
      </w:r>
      <w:r w:rsidRPr="007D397E">
        <w:rPr>
          <w:rFonts w:ascii="Calibri" w:eastAsia="Calibri" w:hAnsi="Calibri" w:cs="Times New Roman"/>
          <w:lang w:eastAsia="en-US"/>
        </w:rPr>
        <w:t xml:space="preserve">water types and is not identifying scale or extent of impact on GBR ecosystems. </w:t>
      </w:r>
      <w:r w:rsidRPr="00DF1C49">
        <w:rPr>
          <w:rFonts w:ascii="Calibri" w:eastAsia="Calibri" w:hAnsi="Calibri" w:cs="Times New Roman"/>
          <w:lang w:eastAsia="en-US"/>
        </w:rPr>
        <w:t>The higher level of precision observed in all TC maps in comparison to L2 maps is due to satellite resolution</w:t>
      </w:r>
      <w:r>
        <w:rPr>
          <w:rFonts w:ascii="Calibri" w:eastAsia="Calibri" w:hAnsi="Calibri" w:cs="Times New Roman"/>
          <w:lang w:eastAsia="en-US"/>
        </w:rPr>
        <w:t>.</w:t>
      </w:r>
      <w:r w:rsidRPr="00DF1C49">
        <w:rPr>
          <w:rFonts w:ascii="Calibri" w:eastAsia="Calibri" w:hAnsi="Calibri" w:cs="Times New Roman"/>
          <w:lang w:eastAsia="en-US"/>
        </w:rPr>
        <w:t xml:space="preserve"> TC data used </w:t>
      </w:r>
      <w:r>
        <w:rPr>
          <w:rFonts w:ascii="Calibri" w:eastAsia="Calibri" w:hAnsi="Calibri" w:cs="Times New Roman"/>
          <w:lang w:eastAsia="en-US"/>
        </w:rPr>
        <w:t>are, indeed,</w:t>
      </w:r>
      <w:r w:rsidRPr="00DF1C49">
        <w:rPr>
          <w:rFonts w:ascii="Calibri" w:eastAsia="Calibri" w:hAnsi="Calibri" w:cs="Times New Roman"/>
          <w:lang w:eastAsia="en-US"/>
        </w:rPr>
        <w:t xml:space="preserve"> with a 500</w:t>
      </w:r>
      <w:r>
        <w:rPr>
          <w:rFonts w:ascii="Calibri" w:eastAsia="Calibri" w:hAnsi="Calibri" w:cs="Times New Roman"/>
          <w:lang w:eastAsia="en-US"/>
        </w:rPr>
        <w:t xml:space="preserve"> m x </w:t>
      </w:r>
      <w:r w:rsidRPr="00DF1C49">
        <w:rPr>
          <w:rFonts w:ascii="Calibri" w:eastAsia="Calibri" w:hAnsi="Calibri" w:cs="Times New Roman"/>
          <w:lang w:eastAsia="en-US"/>
        </w:rPr>
        <w:t>500 m resolution</w:t>
      </w:r>
      <w:r>
        <w:rPr>
          <w:rFonts w:ascii="Calibri" w:eastAsia="Calibri" w:hAnsi="Calibri" w:cs="Times New Roman"/>
          <w:lang w:eastAsia="en-US"/>
        </w:rPr>
        <w:t>,</w:t>
      </w:r>
      <w:r w:rsidRPr="00DF1C49">
        <w:rPr>
          <w:rFonts w:ascii="Calibri" w:eastAsia="Calibri" w:hAnsi="Calibri" w:cs="Times New Roman"/>
          <w:lang w:eastAsia="en-US"/>
        </w:rPr>
        <w:t xml:space="preserve"> while the L2 data are only 1000</w:t>
      </w:r>
      <w:r>
        <w:rPr>
          <w:rFonts w:ascii="Calibri" w:eastAsia="Calibri" w:hAnsi="Calibri" w:cs="Times New Roman"/>
          <w:lang w:eastAsia="en-US"/>
        </w:rPr>
        <w:t xml:space="preserve"> m x </w:t>
      </w:r>
      <w:r w:rsidRPr="00600E32">
        <w:rPr>
          <w:rFonts w:ascii="Calibri" w:eastAsia="Calibri" w:hAnsi="Calibri" w:cs="Times New Roman"/>
          <w:lang w:eastAsia="en-US"/>
        </w:rPr>
        <w:t>1</w:t>
      </w:r>
      <w:r w:rsidRPr="00DF1C49">
        <w:rPr>
          <w:rFonts w:ascii="Calibri" w:eastAsia="Calibri" w:hAnsi="Calibri" w:cs="Times New Roman"/>
          <w:lang w:eastAsia="en-US"/>
        </w:rPr>
        <w:t xml:space="preserve">000 m. The TC and L2 methods give similar outcomes in term of total GBR areas exposed to river plume. However, frequencies of exposure to river plumes differ and areas mapped as very frequently to frequently exposed to river plumes are more </w:t>
      </w:r>
      <w:r w:rsidRPr="007F5E4B">
        <w:rPr>
          <w:rFonts w:ascii="Calibri" w:eastAsia="Calibri" w:hAnsi="Calibri" w:cs="Times New Roman"/>
          <w:lang w:eastAsia="en-US"/>
        </w:rPr>
        <w:t>extensive in area</w:t>
      </w:r>
      <w:r w:rsidRPr="00DF1C49">
        <w:rPr>
          <w:rFonts w:ascii="Calibri" w:eastAsia="Calibri" w:hAnsi="Calibri" w:cs="Times New Roman"/>
          <w:lang w:eastAsia="en-US"/>
        </w:rPr>
        <w:t xml:space="preserve"> using the TC method than the L2 method, particularly in the wet tropics </w:t>
      </w:r>
    </w:p>
    <w:p w14:paraId="0C3F8886" w14:textId="77777777" w:rsidR="00131E41" w:rsidRPr="00ED3D85" w:rsidRDefault="00131E41" w:rsidP="00131E41">
      <w:pPr>
        <w:rPr>
          <w:rFonts w:ascii="Calibri" w:eastAsia="Calibri" w:hAnsi="Calibri" w:cs="Times New Roman"/>
          <w:lang w:eastAsia="en-US"/>
        </w:rPr>
      </w:pPr>
      <w:r>
        <w:rPr>
          <w:rFonts w:ascii="Calibri" w:eastAsia="Calibri" w:hAnsi="Calibri" w:cs="Times New Roman"/>
          <w:lang w:eastAsia="en-US"/>
        </w:rPr>
        <w:t>The plume water type maps</w:t>
      </w:r>
      <w:r w:rsidRPr="00DF1C49">
        <w:rPr>
          <w:rFonts w:ascii="Calibri" w:eastAsia="Calibri" w:hAnsi="Calibri" w:cs="Times New Roman"/>
          <w:lang w:eastAsia="en-US"/>
        </w:rPr>
        <w:t xml:space="preserve"> </w:t>
      </w:r>
      <w:r>
        <w:rPr>
          <w:rFonts w:ascii="Calibri" w:eastAsia="Calibri" w:hAnsi="Calibri" w:cs="Times New Roman"/>
          <w:lang w:eastAsia="en-US"/>
        </w:rPr>
        <w:t xml:space="preserve">provide </w:t>
      </w:r>
      <w:r w:rsidRPr="00DF1C49">
        <w:rPr>
          <w:rFonts w:ascii="Calibri" w:eastAsia="Calibri" w:hAnsi="Calibri" w:cs="Times New Roman"/>
          <w:lang w:eastAsia="en-US"/>
        </w:rPr>
        <w:t>inform</w:t>
      </w:r>
      <w:r>
        <w:rPr>
          <w:rFonts w:ascii="Calibri" w:eastAsia="Calibri" w:hAnsi="Calibri" w:cs="Times New Roman"/>
          <w:lang w:eastAsia="en-US"/>
        </w:rPr>
        <w:t>ation</w:t>
      </w:r>
      <w:r w:rsidRPr="00DF1C49">
        <w:rPr>
          <w:rFonts w:ascii="Calibri" w:eastAsia="Calibri" w:hAnsi="Calibri" w:cs="Times New Roman"/>
          <w:lang w:eastAsia="en-US"/>
        </w:rPr>
        <w:t xml:space="preserve"> on the type/composition of river plume (through the Primary, Secondary, and Tertiary water type classification) and on the frequency of occurrence (or likelihood) of these plume water </w:t>
      </w:r>
      <w:r w:rsidRPr="00593CC8">
        <w:rPr>
          <w:rFonts w:ascii="Calibri" w:eastAsia="Calibri" w:hAnsi="Calibri" w:cs="Times New Roman"/>
          <w:color w:val="000000" w:themeColor="text1"/>
          <w:lang w:eastAsia="en-US"/>
        </w:rPr>
        <w:t>types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_Ref432671776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9</w:t>
      </w:r>
      <w:r>
        <w:rPr>
          <w:rFonts w:ascii="Calibri" w:eastAsia="Calibri" w:hAnsi="Calibri" w:cs="Times New Roman"/>
          <w:color w:val="000000" w:themeColor="text1"/>
          <w:lang w:eastAsia="en-US"/>
        </w:rPr>
        <w:fldChar w:fldCharType="end"/>
      </w:r>
      <w:r w:rsidRPr="00593CC8">
        <w:rPr>
          <w:rFonts w:ascii="Calibri" w:eastAsia="Calibri" w:hAnsi="Calibri" w:cs="Times New Roman"/>
          <w:color w:val="000000" w:themeColor="text1"/>
          <w:lang w:eastAsia="en-US"/>
        </w:rPr>
        <w:t xml:space="preserve"> </w:t>
      </w:r>
      <w:r>
        <w:rPr>
          <w:rFonts w:ascii="Calibri" w:eastAsia="Calibri" w:hAnsi="Calibri" w:cs="Times New Roman"/>
          <w:color w:val="000000" w:themeColor="text1"/>
          <w:lang w:eastAsia="en-US"/>
        </w:rPr>
        <w:t xml:space="preserve">to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_Ref432671675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14</w:t>
      </w:r>
      <w:r>
        <w:rPr>
          <w:rFonts w:ascii="Calibri" w:eastAsia="Calibri" w:hAnsi="Calibri" w:cs="Times New Roman"/>
          <w:color w:val="000000" w:themeColor="text1"/>
          <w:lang w:eastAsia="en-US"/>
        </w:rPr>
        <w:fldChar w:fldCharType="end"/>
      </w:r>
      <w:r w:rsidRPr="00593CC8">
        <w:rPr>
          <w:rFonts w:ascii="Calibri" w:eastAsia="Calibri" w:hAnsi="Calibri" w:cs="Times New Roman"/>
          <w:color w:val="000000" w:themeColor="text1"/>
          <w:lang w:eastAsia="en-US"/>
        </w:rPr>
        <w:t xml:space="preserve">). </w:t>
      </w:r>
      <w:r w:rsidRPr="00DF1C49">
        <w:rPr>
          <w:rFonts w:ascii="Calibri" w:eastAsia="Calibri" w:hAnsi="Calibri" w:cs="Times New Roman"/>
          <w:lang w:eastAsia="en-US"/>
        </w:rPr>
        <w:t xml:space="preserve">Differences exist between areas and frequencies of plume water types mapped using the L2 and TC methods, particularly between the TC and L2 Secondary (chl-dominated) water type maps. Using the TC outputs, coastal waters of the Burdekin NRM are more often exposed to primary waters (i.e., sediment dominated water type,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_Ref432672036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10</w:t>
      </w:r>
      <w:r>
        <w:rPr>
          <w:rFonts w:ascii="Calibri" w:eastAsia="Calibri" w:hAnsi="Calibri" w:cs="Times New Roman"/>
          <w:lang w:eastAsia="en-US"/>
        </w:rPr>
        <w:fldChar w:fldCharType="end"/>
      </w:r>
      <w:r w:rsidRPr="00DF1C49">
        <w:rPr>
          <w:rFonts w:ascii="Calibri" w:eastAsia="Calibri" w:hAnsi="Calibri" w:cs="Times New Roman"/>
          <w:lang w:eastAsia="en-US"/>
        </w:rPr>
        <w:t>) than coastal waters of the Wet Tropic NRM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_Ref432671776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9</w:t>
      </w:r>
      <w:r>
        <w:rPr>
          <w:rFonts w:ascii="Calibri" w:eastAsia="Calibri" w:hAnsi="Calibri" w:cs="Times New Roman"/>
          <w:lang w:eastAsia="en-US"/>
        </w:rPr>
        <w:fldChar w:fldCharType="end"/>
      </w:r>
      <w:r w:rsidRPr="00DF1C49">
        <w:rPr>
          <w:rFonts w:ascii="Calibri" w:eastAsia="Calibri" w:hAnsi="Calibri" w:cs="Times New Roman"/>
          <w:lang w:eastAsia="en-US"/>
        </w:rPr>
        <w:t>). Inversely marine areas occasionally to frequently exposed to Secondary and Tertiary water types are more extended in the Wet Tropic NRM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_Ref432672066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11</w:t>
      </w:r>
      <w:r>
        <w:rPr>
          <w:rFonts w:ascii="Calibri" w:eastAsia="Calibri" w:hAnsi="Calibri" w:cs="Times New Roman"/>
          <w:lang w:eastAsia="en-US"/>
        </w:rPr>
        <w:fldChar w:fldCharType="end"/>
      </w:r>
      <w:r>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_Ref432672071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13</w:t>
      </w:r>
      <w:r>
        <w:rPr>
          <w:rFonts w:ascii="Calibri" w:eastAsia="Calibri" w:hAnsi="Calibri" w:cs="Times New Roman"/>
          <w:lang w:eastAsia="en-US"/>
        </w:rPr>
        <w:fldChar w:fldCharType="end"/>
      </w:r>
      <w:r w:rsidRPr="00DF1C49">
        <w:rPr>
          <w:rFonts w:ascii="Calibri" w:eastAsia="Calibri" w:hAnsi="Calibri" w:cs="Times New Roman"/>
          <w:lang w:eastAsia="en-US"/>
        </w:rPr>
        <w:t>) than in the Burdekin NRM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_Ref432672098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12</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_Ref432671675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14</w:t>
      </w:r>
      <w:r>
        <w:rPr>
          <w:rFonts w:ascii="Calibri" w:eastAsia="Calibri" w:hAnsi="Calibri" w:cs="Times New Roman"/>
          <w:lang w:eastAsia="en-US"/>
        </w:rPr>
        <w:fldChar w:fldCharType="end"/>
      </w:r>
      <w:r w:rsidRPr="00DF1C49">
        <w:rPr>
          <w:rFonts w:ascii="Calibri" w:eastAsia="Calibri" w:hAnsi="Calibri" w:cs="Times New Roman"/>
          <w:lang w:eastAsia="en-US"/>
        </w:rPr>
        <w:t>). Tertiary waters (CDOM dominated) are located offshore in the GBR and constitute the transitional waters between plume-affected</w:t>
      </w:r>
      <w:r>
        <w:rPr>
          <w:rFonts w:ascii="Calibri" w:eastAsia="Calibri" w:hAnsi="Calibri" w:cs="Times New Roman"/>
          <w:lang w:eastAsia="en-US"/>
        </w:rPr>
        <w:t xml:space="preserve"> and ambient waters. </w:t>
      </w:r>
    </w:p>
    <w:p w14:paraId="0C3F8887"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0F" wp14:editId="0C3F9010">
            <wp:extent cx="5086350" cy="6400800"/>
            <wp:effectExtent l="0" t="0" r="0" b="0"/>
            <wp:docPr id="93" name="Picture 93" descr="Frequency of occurrence of river plume recorded in 2013 in the Tully-Herbert region by a) and b) the TC method and c) and d) the L2 method. Maps a) and c) show all areas that have been classified as least one day over the wet season 2012-13 as river plume waters. Maps b) and d) show same maps reclassified into frequency breaks  " title="Frequency of occurrence of river plu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090077" cy="6405490"/>
                    </a:xfrm>
                    <a:prstGeom prst="rect">
                      <a:avLst/>
                    </a:prstGeom>
                    <a:solidFill>
                      <a:sysClr val="window" lastClr="FFFFFF"/>
                    </a:solidFill>
                  </pic:spPr>
                </pic:pic>
              </a:graphicData>
            </a:graphic>
          </wp:inline>
        </w:drawing>
      </w:r>
    </w:p>
    <w:p w14:paraId="0C3F8888" w14:textId="77777777" w:rsidR="00131E41" w:rsidRPr="00DF1C49" w:rsidRDefault="00131E41" w:rsidP="00131E41">
      <w:pPr>
        <w:pStyle w:val="Caption"/>
        <w:rPr>
          <w:rFonts w:eastAsia="Calibri"/>
        </w:rPr>
      </w:pPr>
      <w:bookmarkStart w:id="192" w:name="_Ref427659567"/>
      <w:bookmarkStart w:id="193" w:name="_Toc434208043"/>
      <w:bookmarkStart w:id="194" w:name="_Toc427833285"/>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7</w:t>
      </w:r>
      <w:r w:rsidR="00D243CD">
        <w:rPr>
          <w:rFonts w:eastAsia="Calibri"/>
        </w:rPr>
        <w:fldChar w:fldCharType="end"/>
      </w:r>
      <w:bookmarkEnd w:id="192"/>
      <w:r w:rsidRPr="00DF1C49">
        <w:rPr>
          <w:rFonts w:eastAsia="Calibri"/>
        </w:rPr>
        <w:t xml:space="preserve">: Frequency of occurrence of river plume recorded in 2013 in the Tully-Herbert region by a) and b) the TC method and c) and d) the L2 method. Maps a) and c) show all areas that have been </w:t>
      </w:r>
      <w:r>
        <w:rPr>
          <w:rFonts w:eastAsia="Calibri"/>
        </w:rPr>
        <w:t>c</w:t>
      </w:r>
      <w:r w:rsidRPr="00DF1C49">
        <w:rPr>
          <w:rFonts w:eastAsia="Calibri"/>
        </w:rPr>
        <w:t>lassified as least one day over the wet season 2012-13 as river plume waters. Maps b) and d) show same maps reclassified into frequency breaks</w:t>
      </w:r>
      <w:r>
        <w:rPr>
          <w:rStyle w:val="FootnoteReference"/>
          <w:rFonts w:eastAsia="Calibri"/>
        </w:rPr>
        <w:footnoteReference w:id="3"/>
      </w:r>
      <w:bookmarkEnd w:id="193"/>
      <w:r w:rsidRPr="00DF1C49">
        <w:rPr>
          <w:rFonts w:eastAsia="Calibri"/>
        </w:rPr>
        <w:t xml:space="preserve"> </w:t>
      </w:r>
      <w:bookmarkEnd w:id="194"/>
    </w:p>
    <w:p w14:paraId="0C3F8889"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11" wp14:editId="0C3F9012">
            <wp:extent cx="5580000" cy="7024522"/>
            <wp:effectExtent l="0" t="0" r="1905" b="5080"/>
            <wp:docPr id="94" name="Picture 94" descr="Frequency of occurrence of river plume recorded in 2013 in the Burdekin region by a) and b) the TC method and c) and d) the L2 method. Maps a) and c) show all areas that have been classified as least one day over the wet season 2012-13 as river plume waters. Maps b) and d) show same maps reclassified into frequency breaks" title="Frequency of occurrence of river plu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580000" cy="7024522"/>
                    </a:xfrm>
                    <a:prstGeom prst="rect">
                      <a:avLst/>
                    </a:prstGeom>
                    <a:solidFill>
                      <a:sysClr val="window" lastClr="FFFFFF"/>
                    </a:solidFill>
                  </pic:spPr>
                </pic:pic>
              </a:graphicData>
            </a:graphic>
          </wp:inline>
        </w:drawing>
      </w:r>
    </w:p>
    <w:p w14:paraId="0C3F888A" w14:textId="77777777" w:rsidR="00131E41" w:rsidRDefault="00131E41" w:rsidP="00131E41">
      <w:pPr>
        <w:pStyle w:val="Caption"/>
        <w:rPr>
          <w:rFonts w:eastAsia="Calibri"/>
        </w:rPr>
      </w:pPr>
      <w:bookmarkStart w:id="195" w:name="_Toc427833286"/>
      <w:bookmarkStart w:id="196" w:name="_Toc434208044"/>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8</w:t>
      </w:r>
      <w:r w:rsidR="00D243CD">
        <w:rPr>
          <w:rFonts w:eastAsia="Calibri"/>
        </w:rPr>
        <w:fldChar w:fldCharType="end"/>
      </w:r>
      <w:r w:rsidRPr="00DF1C49">
        <w:rPr>
          <w:rFonts w:eastAsia="Calibri"/>
        </w:rPr>
        <w:t>: Frequency of occurrence of river plume recorded in 2013 in the Burdekin region by a) and b) the TC method and c) and d) the L2 method. Maps a) and c) show all areas that have been classified as least one day over the wet season 2012-13 as river plume waters. Maps b) and d) show same maps reclassified into frequency breaks</w:t>
      </w:r>
      <w:bookmarkEnd w:id="195"/>
      <w:bookmarkEnd w:id="196"/>
    </w:p>
    <w:p w14:paraId="0C3F888B" w14:textId="77777777" w:rsidR="00131E41" w:rsidRPr="00DF1C49" w:rsidRDefault="00131E41" w:rsidP="00131E41">
      <w:pPr>
        <w:rPr>
          <w:rFonts w:ascii="Calibri" w:eastAsia="Calibri" w:hAnsi="Calibri" w:cs="Times New Roman"/>
          <w:bCs/>
          <w:color w:val="4F81BD"/>
          <w:lang w:eastAsia="en-US"/>
        </w:rPr>
      </w:pPr>
    </w:p>
    <w:p w14:paraId="0C3F888C"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3" wp14:editId="0C3F9014">
            <wp:extent cx="5508000" cy="6933884"/>
            <wp:effectExtent l="0" t="0" r="0" b="635"/>
            <wp:docPr id="95" name="Picture 95" descr="Frequency of occurrence of Primary plume waters recorded in 2013 in the Tully-Herbert region by a) and b) the TC method and c) and d) the L2 method. Maps a) and c) show all areas that have been classified as least one day over the wet season 2012-13 as Primary plume waters. Maps b) and d) show same maps reclassified into frequency breaks" title="Frequency of occurrence of Primary plume waters recorded in 2013 in the Tully-Herbert reg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508000" cy="6933884"/>
                    </a:xfrm>
                    <a:prstGeom prst="rect">
                      <a:avLst/>
                    </a:prstGeom>
                    <a:solidFill>
                      <a:sysClr val="window" lastClr="FFFFFF"/>
                    </a:solidFill>
                  </pic:spPr>
                </pic:pic>
              </a:graphicData>
            </a:graphic>
          </wp:inline>
        </w:drawing>
      </w:r>
    </w:p>
    <w:p w14:paraId="0C3F888D" w14:textId="77777777" w:rsidR="00131E41" w:rsidRPr="00DF1C49" w:rsidRDefault="00131E41" w:rsidP="00131E41">
      <w:pPr>
        <w:pStyle w:val="Caption"/>
        <w:rPr>
          <w:rFonts w:eastAsia="Calibri"/>
        </w:rPr>
      </w:pPr>
      <w:bookmarkStart w:id="197" w:name="_Ref432671776"/>
      <w:bookmarkStart w:id="198" w:name="_Toc427833287"/>
      <w:bookmarkStart w:id="199" w:name="_Toc434208045"/>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9</w:t>
      </w:r>
      <w:r w:rsidR="00D243CD">
        <w:rPr>
          <w:rFonts w:eastAsia="Calibri"/>
        </w:rPr>
        <w:fldChar w:fldCharType="end"/>
      </w:r>
      <w:bookmarkEnd w:id="197"/>
      <w:r w:rsidRPr="00DF1C49">
        <w:rPr>
          <w:rFonts w:eastAsia="Calibri"/>
        </w:rPr>
        <w:t>: Frequency of occurrence of Primary plume waters recorded in 2013 in the Tully-Herbert region by a) and b) the TC method and c) and d) the L2 method. Maps a) and c) show all areas that have been classified as least one day over the wet season 2012-13 as Primary plume waters. Maps b) and d) show same maps reclassified into frequency break</w:t>
      </w:r>
      <w:bookmarkEnd w:id="198"/>
      <w:r>
        <w:rPr>
          <w:rFonts w:eastAsia="Calibri"/>
        </w:rPr>
        <w:t>s</w:t>
      </w:r>
      <w:bookmarkEnd w:id="199"/>
    </w:p>
    <w:p w14:paraId="0C3F888E"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5" wp14:editId="0C3F9016">
            <wp:extent cx="5724000" cy="7207200"/>
            <wp:effectExtent l="0" t="0" r="0" b="0"/>
            <wp:docPr id="96" name="Picture 96" descr="Frequency of occurrence of Primary plume waters recorded in 2013 in the Burdekin region by a) and b) the TC method and c) and d) the L2 method. Maps a) and c) show all areas that have been classified as least one day over the wet season 2012-13 as Primary plume waters. Maps b) and d) show same maps reclassified into frequency breaks" title="Frequency of occurrence of Primary plume waters recorded in 2013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24000" cy="7207200"/>
                    </a:xfrm>
                    <a:prstGeom prst="rect">
                      <a:avLst/>
                    </a:prstGeom>
                    <a:solidFill>
                      <a:sysClr val="window" lastClr="FFFFFF"/>
                    </a:solidFill>
                  </pic:spPr>
                </pic:pic>
              </a:graphicData>
            </a:graphic>
          </wp:inline>
        </w:drawing>
      </w:r>
    </w:p>
    <w:p w14:paraId="0C3F888F" w14:textId="77777777" w:rsidR="00131E41" w:rsidRPr="00A56E8D" w:rsidRDefault="00131E41" w:rsidP="00131E41">
      <w:pPr>
        <w:pStyle w:val="Caption"/>
        <w:rPr>
          <w:rFonts w:eastAsia="Calibri"/>
        </w:rPr>
      </w:pPr>
      <w:bookmarkStart w:id="200" w:name="_Ref432672036"/>
      <w:bookmarkStart w:id="201" w:name="_Toc427833288"/>
      <w:bookmarkStart w:id="202" w:name="_Toc434208046"/>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10</w:t>
      </w:r>
      <w:r w:rsidR="00D243CD">
        <w:rPr>
          <w:rFonts w:eastAsia="Calibri"/>
        </w:rPr>
        <w:fldChar w:fldCharType="end"/>
      </w:r>
      <w:bookmarkEnd w:id="200"/>
      <w:r w:rsidRPr="00DF1C49">
        <w:rPr>
          <w:rFonts w:eastAsia="Calibri"/>
        </w:rPr>
        <w:t>: Frequency of occurrence of Primary plume waters recorded in 2013 in the Burdekin region by a) and b) the TC method and c) and d) the L2 method. Maps a) and c) show all areas that have been classified as least one day over the wet season 2012-13 as Primary plume waters. Maps b) and d) show same maps reclassified into frequency breaks</w:t>
      </w:r>
      <w:bookmarkEnd w:id="201"/>
      <w:bookmarkEnd w:id="202"/>
    </w:p>
    <w:p w14:paraId="0C3F8890"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7" wp14:editId="0C3F9018">
            <wp:extent cx="5544000" cy="6980560"/>
            <wp:effectExtent l="0" t="0" r="0" b="0"/>
            <wp:docPr id="97" name="Picture 97" descr="Frequency of occurrence of Secondary plume waters recorded in 2013 in the Tully-Herbert region by a) and b) the TC method and c) and d) the L2 method. Maps a) and c) show all areas that have been classified as least one day over the wet season 2012-13 as Secondary plume waters. Maps b) and d) show same maps reclassified into frequency breaks" title="Frequency of occurrence of Secondary plume waters recorded in 2013 in the Tully-Herbert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544000" cy="6980560"/>
                    </a:xfrm>
                    <a:prstGeom prst="rect">
                      <a:avLst/>
                    </a:prstGeom>
                    <a:solidFill>
                      <a:sysClr val="window" lastClr="FFFFFF"/>
                    </a:solidFill>
                  </pic:spPr>
                </pic:pic>
              </a:graphicData>
            </a:graphic>
          </wp:inline>
        </w:drawing>
      </w:r>
    </w:p>
    <w:p w14:paraId="0C3F8891" w14:textId="77777777" w:rsidR="00131E41" w:rsidRPr="00DF1C49" w:rsidRDefault="00131E41" w:rsidP="00131E41">
      <w:pPr>
        <w:pStyle w:val="Caption"/>
        <w:rPr>
          <w:rFonts w:eastAsia="Calibri"/>
          <w:highlight w:val="green"/>
        </w:rPr>
      </w:pPr>
      <w:bookmarkStart w:id="203" w:name="_Ref432672066"/>
      <w:bookmarkStart w:id="204" w:name="_Toc427833289"/>
      <w:bookmarkStart w:id="205" w:name="_Toc434208047"/>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11</w:t>
      </w:r>
      <w:r w:rsidR="00D243CD">
        <w:rPr>
          <w:rFonts w:eastAsia="Calibri"/>
        </w:rPr>
        <w:fldChar w:fldCharType="end"/>
      </w:r>
      <w:bookmarkEnd w:id="203"/>
      <w:r w:rsidRPr="00DF1C49">
        <w:rPr>
          <w:rFonts w:eastAsia="Calibri"/>
        </w:rPr>
        <w:t>: Frequency of occurrence of Secondary plume waters recorded in 2013 in the Tully-Herbert region by a) and b) the TC method and c) and d) the L2 method. Maps a) and c) show all areas that have been classified as least one day over the wet season 2012-13 as Secondary plume waters. Maps b) and d) show same maps reclassified into frequency breaks</w:t>
      </w:r>
      <w:bookmarkEnd w:id="204"/>
      <w:bookmarkEnd w:id="205"/>
    </w:p>
    <w:p w14:paraId="0C3F8892"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9" wp14:editId="0C3F901A">
            <wp:extent cx="5724000" cy="7205798"/>
            <wp:effectExtent l="0" t="0" r="0" b="0"/>
            <wp:docPr id="98" name="Picture 98" descr="Frequency of occurrence of Secondary plume waters recorded in 2013 in the Burdekin region by a) and b) the TC method and c) and d) the L2 method. Maps a) and c) show all areas that have been classified as least one day over the wet season 2012-13 as Secondary plume waters. Maps b) and d) show same maps reclassified into frequency breaks" title="Frequency of occurrence of Secondary plume waters recorded in 2013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24000" cy="7205798"/>
                    </a:xfrm>
                    <a:prstGeom prst="rect">
                      <a:avLst/>
                    </a:prstGeom>
                    <a:solidFill>
                      <a:sysClr val="window" lastClr="FFFFFF"/>
                    </a:solidFill>
                  </pic:spPr>
                </pic:pic>
              </a:graphicData>
            </a:graphic>
          </wp:inline>
        </w:drawing>
      </w:r>
    </w:p>
    <w:p w14:paraId="0C3F8893" w14:textId="77777777" w:rsidR="00131E41" w:rsidRDefault="00131E41" w:rsidP="00131E41">
      <w:pPr>
        <w:pStyle w:val="Caption"/>
        <w:rPr>
          <w:rFonts w:eastAsia="Calibri"/>
        </w:rPr>
      </w:pPr>
      <w:bookmarkStart w:id="206" w:name="_Ref432672098"/>
      <w:bookmarkStart w:id="207" w:name="_Toc427833290"/>
      <w:bookmarkStart w:id="208" w:name="_Toc434208048"/>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12</w:t>
      </w:r>
      <w:r w:rsidR="00D243CD">
        <w:rPr>
          <w:rFonts w:eastAsia="Calibri"/>
        </w:rPr>
        <w:fldChar w:fldCharType="end"/>
      </w:r>
      <w:bookmarkEnd w:id="206"/>
      <w:r w:rsidRPr="00DF1C49">
        <w:rPr>
          <w:rFonts w:eastAsia="Calibri"/>
        </w:rPr>
        <w:t>: Frequency of occurrence of Secondary plume waters recorded in 2013 in the Burdekin region by a) and b) the TC method and c) and d) the L2 method. Maps a) and c) show all areas that have been classified as least one day over the wet season 2012-13 as Secondary plume waters. Maps b) and d) show same maps reclassified into frequency breaks</w:t>
      </w:r>
      <w:bookmarkEnd w:id="207"/>
      <w:bookmarkEnd w:id="208"/>
    </w:p>
    <w:p w14:paraId="0C3F8894"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B" wp14:editId="0C3F901C">
            <wp:extent cx="5544000" cy="6980560"/>
            <wp:effectExtent l="0" t="0" r="0" b="0"/>
            <wp:docPr id="99" name="Picture 99" descr="Frequency of occurrence of Tertiary plume waters recorded in 2013 in the Tully-Herbert region by a) and b) the TC method and c) and d) the L2 method. Maps a) and c) show all areas that have been classified as least one day over the wet season 2012-13 as Tertiary plume water. Maps b) and d) show same maps reclassified into frequency breaks" title="Frequency of occurrence of Tertiary plume waters recorded in 2013 in the Tully-Herbert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544000" cy="6980560"/>
                    </a:xfrm>
                    <a:prstGeom prst="rect">
                      <a:avLst/>
                    </a:prstGeom>
                    <a:solidFill>
                      <a:sysClr val="window" lastClr="FFFFFF"/>
                    </a:solidFill>
                  </pic:spPr>
                </pic:pic>
              </a:graphicData>
            </a:graphic>
          </wp:inline>
        </w:drawing>
      </w:r>
    </w:p>
    <w:p w14:paraId="0C3F8895" w14:textId="77777777" w:rsidR="00131E41" w:rsidRPr="00DF1C49" w:rsidRDefault="00131E41" w:rsidP="00131E41">
      <w:pPr>
        <w:pStyle w:val="Caption"/>
        <w:rPr>
          <w:rFonts w:eastAsia="Calibri"/>
          <w:highlight w:val="green"/>
        </w:rPr>
      </w:pPr>
      <w:bookmarkStart w:id="209" w:name="_Ref432672071"/>
      <w:bookmarkStart w:id="210" w:name="_Toc427833291"/>
      <w:bookmarkStart w:id="211" w:name="_Toc434208049"/>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13</w:t>
      </w:r>
      <w:r w:rsidR="00D243CD">
        <w:rPr>
          <w:rFonts w:eastAsia="Calibri"/>
        </w:rPr>
        <w:fldChar w:fldCharType="end"/>
      </w:r>
      <w:bookmarkEnd w:id="209"/>
      <w:r w:rsidRPr="00DF1C49">
        <w:rPr>
          <w:rFonts w:eastAsia="Calibri"/>
        </w:rPr>
        <w:t xml:space="preserve">: Frequency of occurrence of </w:t>
      </w:r>
      <w:r>
        <w:rPr>
          <w:rFonts w:eastAsia="Calibri"/>
        </w:rPr>
        <w:t>Tertiary</w:t>
      </w:r>
      <w:r w:rsidRPr="00DF1C49">
        <w:rPr>
          <w:rFonts w:eastAsia="Calibri"/>
        </w:rPr>
        <w:t xml:space="preserve"> plume waters recorded in 2013 in the Tully-Herbert region by a) and b) the TC method and c) and d) the L2 method. Maps a) and c) show all areas that have been classified as least one day over the wet season 2012-13 as Tertiary plume water. Maps b) and d) show same maps reclassified into frequency breaks</w:t>
      </w:r>
      <w:bookmarkEnd w:id="210"/>
      <w:bookmarkEnd w:id="211"/>
    </w:p>
    <w:p w14:paraId="0C3F8896"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sz w:val="24"/>
          <w:szCs w:val="24"/>
        </w:rPr>
        <w:drawing>
          <wp:inline distT="0" distB="0" distL="0" distR="0" wp14:anchorId="0C3F901D" wp14:editId="0C3F901E">
            <wp:extent cx="5802924" cy="7306573"/>
            <wp:effectExtent l="0" t="0" r="7620" b="8890"/>
            <wp:docPr id="100" name="Picture 100" descr="Frequency of occurrence of Tertiary plume waters recorded in 2013 in the Burdekin region by a) and b) the TC method and c) and d) the L2 method. Maps a) and c) show all areas that have been classified as least one day over the wet season 2012-13 as Tertiary plume water. Maps b) and d) show same maps reclassified into frequency breaks." title="Frequency of occurrence of Tertiary plume waters recorded in 2013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801263" cy="7304481"/>
                    </a:xfrm>
                    <a:prstGeom prst="rect">
                      <a:avLst/>
                    </a:prstGeom>
                    <a:solidFill>
                      <a:sysClr val="window" lastClr="FFFFFF"/>
                    </a:solidFill>
                  </pic:spPr>
                </pic:pic>
              </a:graphicData>
            </a:graphic>
          </wp:inline>
        </w:drawing>
      </w:r>
    </w:p>
    <w:p w14:paraId="0C3F8897" w14:textId="77777777" w:rsidR="00131E41" w:rsidRDefault="00131E41" w:rsidP="00131E41">
      <w:pPr>
        <w:pStyle w:val="Caption"/>
        <w:rPr>
          <w:rFonts w:eastAsia="Calibri"/>
        </w:rPr>
      </w:pPr>
      <w:bookmarkStart w:id="212" w:name="_Ref432671675"/>
      <w:bookmarkStart w:id="213" w:name="_Toc427833292"/>
      <w:bookmarkStart w:id="214" w:name="_Toc434208050"/>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14</w:t>
      </w:r>
      <w:r w:rsidR="00D243CD">
        <w:rPr>
          <w:rFonts w:eastAsia="Calibri"/>
        </w:rPr>
        <w:fldChar w:fldCharType="end"/>
      </w:r>
      <w:bookmarkEnd w:id="212"/>
      <w:r w:rsidRPr="00DF1C49">
        <w:rPr>
          <w:rFonts w:eastAsia="Calibri"/>
        </w:rPr>
        <w:t>: Frequency of occurrence of Tertiary plume waters recorded in 2013 in the Burdekin region by a) and b) the TC method and c) and d) the L2 method. Maps a) and c) show all areas that have been classified as least one day over the wet season 2012-13 as Tertiary plume water. Maps b) and d) show same maps reclassified into frequency breaks</w:t>
      </w:r>
      <w:bookmarkEnd w:id="213"/>
      <w:r>
        <w:rPr>
          <w:rFonts w:eastAsia="Calibri"/>
        </w:rPr>
        <w:t>.</w:t>
      </w:r>
      <w:bookmarkEnd w:id="214"/>
    </w:p>
    <w:p w14:paraId="0C3F8898" w14:textId="77777777" w:rsidR="00131E41" w:rsidRPr="00CF0CFC" w:rsidRDefault="00131E41" w:rsidP="00131E41">
      <w:pPr>
        <w:rPr>
          <w:rFonts w:eastAsia="Calibri"/>
          <w:lang w:val="en-GB" w:eastAsia="en-US"/>
        </w:rPr>
      </w:pPr>
    </w:p>
    <w:p w14:paraId="0C3F8899" w14:textId="77777777" w:rsidR="00131E41" w:rsidRPr="00C570D1" w:rsidRDefault="00131E41" w:rsidP="00131E41">
      <w:pPr>
        <w:pStyle w:val="Heading3"/>
        <w:numPr>
          <w:ilvl w:val="2"/>
          <w:numId w:val="3"/>
        </w:numPr>
        <w:rPr>
          <w:bCs/>
          <w:iCs/>
        </w:rPr>
      </w:pPr>
      <w:bookmarkStart w:id="215" w:name="_Toc427831218"/>
      <w:bookmarkStart w:id="216" w:name="_Toc428793349"/>
      <w:bookmarkStart w:id="217" w:name="_Toc428851354"/>
      <w:bookmarkStart w:id="218" w:name="_Toc434208012"/>
      <w:r w:rsidRPr="00C570D1">
        <w:rPr>
          <w:bCs/>
          <w:iCs/>
        </w:rPr>
        <w:t>Water Quality concentration in river plumes</w:t>
      </w:r>
      <w:bookmarkEnd w:id="215"/>
      <w:bookmarkEnd w:id="216"/>
      <w:bookmarkEnd w:id="217"/>
      <w:bookmarkEnd w:id="218"/>
    </w:p>
    <w:p w14:paraId="0C3F889A" w14:textId="77777777" w:rsidR="00131E41" w:rsidRPr="00AA03D3" w:rsidRDefault="00131E41" w:rsidP="00131E41">
      <w:pPr>
        <w:rPr>
          <w:rFonts w:ascii="Calibri" w:eastAsia="Calibri" w:hAnsi="Calibri" w:cs="Times New Roman"/>
          <w:lang w:eastAsia="en-US"/>
        </w:rPr>
      </w:pPr>
      <w:r w:rsidRPr="00AA03D3">
        <w:rPr>
          <w:rFonts w:ascii="Calibri" w:eastAsia="Calibri" w:hAnsi="Calibri" w:cs="Times New Roman"/>
          <w:lang w:eastAsia="en-US"/>
        </w:rPr>
        <w:t>Comparison of plume water type maps produced from the TC method with in-situ WQ data of the wet seasons from 2007 to 2012 were performed and published in Devlin et al. (2013b). Mean annual (i.e., from December to April) in-situ values of chl-a, TSS and the Kd</w:t>
      </w:r>
      <w:r>
        <w:rPr>
          <w:rFonts w:ascii="Calibri" w:eastAsia="Calibri" w:hAnsi="Calibri" w:cs="Times New Roman"/>
          <w:lang w:eastAsia="en-US"/>
        </w:rPr>
        <w:t>(</w:t>
      </w:r>
      <w:r w:rsidRPr="00AA03D3">
        <w:rPr>
          <w:rFonts w:ascii="Calibri" w:eastAsia="Calibri" w:hAnsi="Calibri" w:cs="Times New Roman"/>
          <w:lang w:eastAsia="en-US"/>
        </w:rPr>
        <w:t>PAR</w:t>
      </w:r>
      <w:r>
        <w:rPr>
          <w:rFonts w:ascii="Calibri" w:eastAsia="Calibri" w:hAnsi="Calibri" w:cs="Times New Roman"/>
          <w:lang w:eastAsia="en-US"/>
        </w:rPr>
        <w:t>)</w:t>
      </w:r>
      <w:r w:rsidRPr="00AA03D3">
        <w:rPr>
          <w:rFonts w:ascii="Calibri" w:eastAsia="Calibri" w:hAnsi="Calibri" w:cs="Times New Roman"/>
          <w:lang w:eastAsia="en-US"/>
        </w:rPr>
        <w:t xml:space="preserve">, measured </w:t>
      </w:r>
      <w:r>
        <w:rPr>
          <w:rFonts w:ascii="Calibri" w:eastAsia="Calibri" w:hAnsi="Calibri" w:cs="Times New Roman"/>
          <w:lang w:eastAsia="en-US"/>
        </w:rPr>
        <w:t xml:space="preserve">across plume waters </w:t>
      </w:r>
      <w:r w:rsidRPr="00AA03D3">
        <w:rPr>
          <w:rFonts w:ascii="Calibri" w:eastAsia="Calibri" w:hAnsi="Calibri" w:cs="Times New Roman"/>
          <w:lang w:eastAsia="en-US"/>
        </w:rPr>
        <w:t>through MMP funding, were mapped against annual frequency maps of Primary, Secondary and Tertiary water types produced from the TC method for 6 wet seasons (2007 to 2012). WQ data (chl-a, TSS, KdPAR) over these 6 years were assigned to Primary, Secondary or Tertiary water type where that frequency of the water type was greater than 0.5, representing the pixel was identified as “this” water type for at least 50% of the wet season. The mean value (x +/- standard error) of chl-a, Kd</w:t>
      </w:r>
      <w:r>
        <w:rPr>
          <w:rFonts w:ascii="Calibri" w:eastAsia="Calibri" w:hAnsi="Calibri" w:cs="Times New Roman"/>
          <w:lang w:eastAsia="en-US"/>
        </w:rPr>
        <w:t>(</w:t>
      </w:r>
      <w:r w:rsidRPr="00AA03D3">
        <w:rPr>
          <w:rFonts w:ascii="Calibri" w:eastAsia="Calibri" w:hAnsi="Calibri" w:cs="Times New Roman"/>
          <w:lang w:eastAsia="en-US"/>
        </w:rPr>
        <w:t>PAR</w:t>
      </w:r>
      <w:r>
        <w:rPr>
          <w:rFonts w:ascii="Calibri" w:eastAsia="Calibri" w:hAnsi="Calibri" w:cs="Times New Roman"/>
          <w:lang w:eastAsia="en-US"/>
        </w:rPr>
        <w:t>)</w:t>
      </w:r>
      <w:r w:rsidRPr="00AA03D3">
        <w:rPr>
          <w:rFonts w:ascii="Calibri" w:eastAsia="Calibri" w:hAnsi="Calibri" w:cs="Times New Roman"/>
          <w:lang w:eastAsia="en-US"/>
        </w:rPr>
        <w:t xml:space="preserve"> and TSS was calculated for each water type over the sampling period</w:t>
      </w:r>
      <w:r>
        <w:rPr>
          <w:rFonts w:ascii="Calibri" w:eastAsia="Calibri" w:hAnsi="Calibri" w:cs="Times New Roman"/>
          <w:lang w:eastAsia="en-US"/>
        </w:rPr>
        <w:t xml:space="preserve"> </w:t>
      </w:r>
      <w:r w:rsidRPr="00AA03D3">
        <w:rPr>
          <w:rFonts w:ascii="Calibri" w:eastAsia="Calibri" w:hAnsi="Calibri" w:cs="Times New Roman"/>
          <w:lang w:eastAsia="en-US"/>
        </w:rPr>
        <w:t>.</w:t>
      </w:r>
    </w:p>
    <w:p w14:paraId="0C3F889B" w14:textId="77777777" w:rsidR="00131E41" w:rsidRDefault="00131E41" w:rsidP="00131E41">
      <w:pPr>
        <w:rPr>
          <w:rFonts w:ascii="Calibri" w:eastAsia="Calibri" w:hAnsi="Calibri" w:cs="Times New Roman"/>
          <w:lang w:eastAsia="en-US"/>
        </w:rPr>
      </w:pPr>
      <w:r w:rsidRPr="00AA03D3">
        <w:rPr>
          <w:rFonts w:ascii="Calibri" w:eastAsia="Calibri" w:hAnsi="Calibri" w:cs="Times New Roman"/>
          <w:lang w:eastAsia="en-US"/>
        </w:rPr>
        <w:t>WQ concentrations across the three plume water types were comparable with the current understanding of GBR WQ gradients (as described by e.g. Devlin and Schaffelke, 2009; Devlin et al., 2012a and Devlin et al., 2013a, b)</w:t>
      </w:r>
      <w:r>
        <w:rPr>
          <w:rFonts w:ascii="Calibri" w:eastAsia="Calibri" w:hAnsi="Calibri" w:cs="Times New Roman"/>
          <w:lang w:eastAsia="en-US"/>
        </w:rPr>
        <w:t>. It</w:t>
      </w:r>
      <w:r w:rsidRPr="00AA03D3">
        <w:rPr>
          <w:rFonts w:ascii="Calibri" w:eastAsia="Calibri" w:hAnsi="Calibri" w:cs="Times New Roman"/>
          <w:lang w:eastAsia="en-US"/>
        </w:rPr>
        <w:t xml:space="preserve"> supported the validity of the TC method developed to produce GBR river plume and plume water type maps</w:t>
      </w:r>
      <w:r>
        <w:rPr>
          <w:rFonts w:ascii="Calibri" w:eastAsia="Calibri" w:hAnsi="Calibri" w:cs="Times New Roman"/>
          <w:lang w:eastAsia="en-US"/>
        </w:rPr>
        <w:t xml:space="preserve"> as well as theories behind the production of potential river plume risk maps for GBR ecosystems, i.e., theories assuming </w:t>
      </w:r>
      <w:r w:rsidRPr="005224DA">
        <w:rPr>
          <w:rFonts w:ascii="Calibri" w:eastAsia="Calibri" w:hAnsi="Calibri" w:cs="Times New Roman"/>
          <w:lang w:eastAsia="en-US"/>
        </w:rPr>
        <w:t>that the magnitude of the river plume risk for the GBR seagrass beds and coral reefs from combined WQ stressors w</w:t>
      </w:r>
      <w:r>
        <w:rPr>
          <w:rFonts w:ascii="Calibri" w:eastAsia="Calibri" w:hAnsi="Calibri" w:cs="Times New Roman"/>
          <w:lang w:eastAsia="en-US"/>
        </w:rPr>
        <w:t>ould</w:t>
      </w:r>
      <w:r w:rsidRPr="005224DA">
        <w:rPr>
          <w:rFonts w:ascii="Calibri" w:eastAsia="Calibri" w:hAnsi="Calibri" w:cs="Times New Roman"/>
          <w:lang w:eastAsia="en-US"/>
        </w:rPr>
        <w:t xml:space="preserve"> increase from the Tertiary waters to the Primary core of river plumes</w:t>
      </w:r>
      <w:r w:rsidRPr="00AA03D3">
        <w:rPr>
          <w:rFonts w:ascii="Calibri" w:eastAsia="Calibri" w:hAnsi="Calibri" w:cs="Times New Roman"/>
          <w:lang w:eastAsia="en-US"/>
        </w:rPr>
        <w:t>. The TSS and Kd(PAR) values reduce through the three plume water types from 36.8 ± 5.5 mg l</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and 0.73 ± 0.54 m</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(Primary), to 8.9 ± 18.1 mg l</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and 0.39 ± 0.20 m</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(Secondary) and to 2.9 ± 3.2 mg l</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and 0.24 ± 0.02 m</w:t>
      </w:r>
      <w:r w:rsidRPr="009A2DEC">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(Tertiary), respectively. The chl-a concentration were lower in the initial turbid Primary water type (0.98 ± 0.2 μg L</w:t>
      </w:r>
      <w:r w:rsidRPr="002C6534">
        <w:rPr>
          <w:rFonts w:ascii="Calibri" w:eastAsia="Calibri" w:hAnsi="Calibri" w:cs="Times New Roman"/>
          <w:vertAlign w:val="superscript"/>
          <w:lang w:eastAsia="en-US"/>
        </w:rPr>
        <w:t>-1</w:t>
      </w:r>
      <w:r w:rsidRPr="00AA03D3">
        <w:rPr>
          <w:rFonts w:ascii="Calibri" w:eastAsia="Calibri" w:hAnsi="Calibri" w:cs="Times New Roman"/>
          <w:lang w:eastAsia="en-US"/>
        </w:rPr>
        <w:t>) and increased through the Secondary water type (1.3 ± 0.6 μg L</w:t>
      </w:r>
      <w:r w:rsidRPr="002C6534">
        <w:rPr>
          <w:rFonts w:ascii="Calibri" w:eastAsia="Calibri" w:hAnsi="Calibri" w:cs="Times New Roman"/>
          <w:vertAlign w:val="superscript"/>
          <w:lang w:eastAsia="en-US"/>
        </w:rPr>
        <w:t>-1</w:t>
      </w:r>
      <w:r w:rsidRPr="00AA03D3">
        <w:rPr>
          <w:rFonts w:ascii="Calibri" w:eastAsia="Calibri" w:hAnsi="Calibri" w:cs="Times New Roman"/>
          <w:lang w:eastAsia="en-US"/>
        </w:rPr>
        <w:t>) as sedimentation increases and nutrient concentrations stay elevated. The concentrations were lower in the Tertiary zone (0.7 ± 0.3 μg L</w:t>
      </w:r>
      <w:r w:rsidRPr="002C6534">
        <w:rPr>
          <w:rFonts w:ascii="Calibri" w:eastAsia="Calibri" w:hAnsi="Calibri" w:cs="Times New Roman"/>
          <w:vertAlign w:val="superscript"/>
          <w:lang w:eastAsia="en-US"/>
        </w:rPr>
        <w:t>-1</w:t>
      </w:r>
      <w:r w:rsidRPr="00AA03D3">
        <w:rPr>
          <w:rFonts w:ascii="Calibri" w:eastAsia="Calibri" w:hAnsi="Calibri" w:cs="Times New Roman"/>
          <w:lang w:eastAsia="en-US"/>
        </w:rPr>
        <w:t xml:space="preserve">), suggesting dilution processes and biological uptake as the flood plume aged over time and space. </w:t>
      </w:r>
    </w:p>
    <w:p w14:paraId="0C3F889C" w14:textId="77777777" w:rsidR="00131E41" w:rsidRPr="0025424E" w:rsidRDefault="00131E41" w:rsidP="00131E41">
      <w:pPr>
        <w:rPr>
          <w:rFonts w:ascii="Calibri" w:eastAsia="Calibri" w:hAnsi="Calibri" w:cs="Times New Roman"/>
          <w:bCs/>
          <w:color w:val="4F81BD"/>
          <w:sz w:val="18"/>
          <w:szCs w:val="18"/>
          <w:lang w:eastAsia="en-US"/>
        </w:rPr>
      </w:pPr>
      <w:r>
        <w:rPr>
          <w:noProof/>
        </w:rPr>
        <w:drawing>
          <wp:inline distT="0" distB="0" distL="0" distR="0" wp14:anchorId="0C3F901F" wp14:editId="0C3F9020">
            <wp:extent cx="4680000" cy="3129557"/>
            <wp:effectExtent l="0" t="0" r="6350" b="0"/>
            <wp:docPr id="101" name="Picture 25" descr="Mean concentrations of in-situ WQ measurements within each plume type. WQ data were assigned to plume water type based on dominant frequency (frequency &gt; 0.5). Data are reported for (a) total suspended solids (TSS), with higher values in the Primary " title="Mean concentrations of in-situ WQ measurements within each plume ty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680000" cy="3129557"/>
                    </a:xfrm>
                    <a:prstGeom prst="rect">
                      <a:avLst/>
                    </a:prstGeom>
                    <a:solidFill>
                      <a:schemeClr val="bg1"/>
                    </a:solidFill>
                  </pic:spPr>
                </pic:pic>
              </a:graphicData>
            </a:graphic>
          </wp:inline>
        </w:drawing>
      </w:r>
    </w:p>
    <w:p w14:paraId="0C3F889D" w14:textId="77777777" w:rsidR="00131E41" w:rsidRPr="00C570D1" w:rsidRDefault="00131E41" w:rsidP="00131E41">
      <w:pPr>
        <w:pStyle w:val="Caption"/>
        <w:rPr>
          <w:rFonts w:eastAsia="Calibri"/>
        </w:rPr>
      </w:pPr>
      <w:bookmarkStart w:id="219" w:name="_Ref427763904"/>
      <w:bookmarkStart w:id="220" w:name="_Toc427833293"/>
      <w:bookmarkStart w:id="221" w:name="_Toc434208051"/>
      <w:r w:rsidRPr="00C570D1">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15</w:t>
      </w:r>
      <w:r w:rsidR="00D243CD">
        <w:rPr>
          <w:rFonts w:eastAsia="Calibri"/>
        </w:rPr>
        <w:fldChar w:fldCharType="end"/>
      </w:r>
      <w:bookmarkEnd w:id="219"/>
      <w:r w:rsidRPr="00C570D1">
        <w:rPr>
          <w:rFonts w:eastAsia="Calibri"/>
        </w:rPr>
        <w:t>: Mean concentrations of in-situ WQ measurements within each plume type. WQ data were assigned to plume water type based on dominant frequency (frequency &gt; 0.5). Data are reported for (a) total suspended solids (TSS), with higher values in the Primary plume zone, (b) KdPAR, with higher values in the Primary plume zone, and (c) chl-a, with highest values in the Secondary plume zone (modified from Devlin et al., 2013b).</w:t>
      </w:r>
      <w:bookmarkEnd w:id="220"/>
      <w:bookmarkEnd w:id="221"/>
    </w:p>
    <w:p w14:paraId="0C3F889E" w14:textId="77777777" w:rsidR="00131E41" w:rsidRDefault="00131E41" w:rsidP="00131E41">
      <w:pPr>
        <w:rPr>
          <w:rFonts w:ascii="Calibri" w:eastAsia="Calibri" w:hAnsi="Calibri" w:cs="Times New Roman"/>
          <w:lang w:eastAsia="en-US"/>
        </w:rPr>
      </w:pPr>
    </w:p>
    <w:p w14:paraId="0C3F889F" w14:textId="77777777" w:rsidR="00131E41" w:rsidRDefault="00131E41" w:rsidP="00131E41">
      <w:pPr>
        <w:rPr>
          <w:rFonts w:ascii="Calibri" w:eastAsia="Calibri" w:hAnsi="Calibri" w:cs="Times New Roman"/>
          <w:lang w:eastAsia="en-US"/>
        </w:rPr>
      </w:pPr>
      <w:r>
        <w:rPr>
          <w:rFonts w:ascii="Calibri" w:eastAsia="Calibri" w:hAnsi="Calibri" w:cs="Times New Roman"/>
          <w:lang w:eastAsia="en-US"/>
        </w:rPr>
        <w:t xml:space="preserve">Similar results were obtained by Petus et al. (2014b). where the authors compared </w:t>
      </w:r>
      <w:r w:rsidRPr="001C3998">
        <w:rPr>
          <w:rFonts w:ascii="Calibri" w:eastAsia="Calibri" w:hAnsi="Calibri" w:cs="Times New Roman"/>
          <w:lang w:eastAsia="en-US"/>
        </w:rPr>
        <w:t>water type maps produced from the L2 method in wet seasons of 2011, 2012, 2013 against in-situ values of chl-a, TSS, CDOM, and Kd(PAR) acquired within ±2 h of the satellite over passes.</w:t>
      </w:r>
      <w:r>
        <w:rPr>
          <w:rFonts w:ascii="Calibri" w:eastAsia="Calibri" w:hAnsi="Calibri" w:cs="Times New Roman"/>
          <w:lang w:eastAsia="en-US"/>
        </w:rPr>
        <w:t xml:space="preserve"> </w:t>
      </w:r>
      <w:r w:rsidRPr="001C3998">
        <w:rPr>
          <w:rFonts w:ascii="Calibri" w:eastAsia="Calibri" w:hAnsi="Calibri" w:cs="Times New Roman"/>
          <w:lang w:eastAsia="en-US"/>
        </w:rPr>
        <w:t xml:space="preserve">WQ concentrations across the three plume water were comparable with </w:t>
      </w:r>
      <w:r>
        <w:rPr>
          <w:rFonts w:ascii="Calibri" w:eastAsia="Calibri" w:hAnsi="Calibri" w:cs="Times New Roman"/>
          <w:lang w:eastAsia="en-US"/>
        </w:rPr>
        <w:t>the</w:t>
      </w:r>
      <w:r w:rsidRPr="001C3998">
        <w:rPr>
          <w:rFonts w:ascii="Calibri" w:eastAsia="Calibri" w:hAnsi="Calibri" w:cs="Times New Roman"/>
          <w:lang w:eastAsia="en-US"/>
        </w:rPr>
        <w:t xml:space="preserve"> current understanding of WQ gradients (as described by e.g. Devlin and Schaffelke, 2009; Devlin et al., 2012a, 2013a, b), with mean in-situ WQ values similar to the ones calculated for the validation of the TC method (Devlin et al., 2013b). The Kd(PAR) and CDOM values reduced through the three plume water types from 0.67 m</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and 0.35 m</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(Primary) to 0.32 m</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and 0.22 m</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(Tertiary), respectively. The chl-a concentration were lower in the initial turbid Primary water type (0.75 μg L</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and increased through the Secondary water type (0.96 μg L</w:t>
      </w:r>
      <w:r w:rsidRPr="00282A2C">
        <w:rPr>
          <w:rFonts w:ascii="Calibri" w:eastAsia="Calibri" w:hAnsi="Calibri" w:cs="Times New Roman"/>
          <w:vertAlign w:val="superscript"/>
          <w:lang w:eastAsia="en-US"/>
        </w:rPr>
        <w:t>-1</w:t>
      </w:r>
      <w:r w:rsidRPr="001C3998">
        <w:rPr>
          <w:rFonts w:ascii="Calibri" w:eastAsia="Calibri" w:hAnsi="Calibri" w:cs="Times New Roman"/>
          <w:lang w:eastAsia="en-US"/>
        </w:rPr>
        <w:t>) as sedimentation increases and nutrient concentrations stay elevated. The chl-a values calculated in the TC method are slightly higher with 0.98 μg L</w:t>
      </w:r>
      <w:r w:rsidRPr="003C792F">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in the Primary water type and 1.3 μg L</w:t>
      </w:r>
      <w:r w:rsidRPr="00AA7607">
        <w:rPr>
          <w:rFonts w:ascii="Calibri" w:eastAsia="Calibri" w:hAnsi="Calibri" w:cs="Times New Roman"/>
          <w:vertAlign w:val="superscript"/>
          <w:lang w:eastAsia="en-US"/>
        </w:rPr>
        <w:t>-1</w:t>
      </w:r>
      <w:r w:rsidRPr="001C3998">
        <w:rPr>
          <w:rFonts w:ascii="Calibri" w:eastAsia="Calibri" w:hAnsi="Calibri" w:cs="Times New Roman"/>
          <w:lang w:eastAsia="en-US"/>
        </w:rPr>
        <w:t xml:space="preserve"> in the secondary water type. These differences in chl-a values are the most probably due to datasets used to compare the in-situ WQ data and the river plume maps. Indeed L2 comparisons utilize only data acquired within ±2 h of the satellite over passes (i.e., direct match ups) while TC comparisons utilize all data available and do not exclude on direct match ups. Furthermore, differences have been observed between areas and frequencies of plume water types mapped using the L2 and TC methods, particularly between the TC and L2 Secondary (chl-dominated) water type maps (see </w:t>
      </w:r>
      <w:r>
        <w:rPr>
          <w:rFonts w:ascii="Calibri" w:eastAsia="Calibri" w:hAnsi="Calibri" w:cs="Times New Roman"/>
          <w:lang w:eastAsia="en-US"/>
        </w:rPr>
        <w:t>previous section</w:t>
      </w:r>
      <w:r w:rsidRPr="001C3998">
        <w:rPr>
          <w:rFonts w:ascii="Calibri" w:eastAsia="Calibri" w:hAnsi="Calibri" w:cs="Times New Roman"/>
          <w:lang w:eastAsia="en-US"/>
        </w:rPr>
        <w:t xml:space="preserve">). </w:t>
      </w:r>
    </w:p>
    <w:p w14:paraId="0C3F88A0" w14:textId="77777777" w:rsidR="00131E41" w:rsidRDefault="00131E41" w:rsidP="00131E41">
      <w:pPr>
        <w:rPr>
          <w:rFonts w:ascii="Calibri" w:eastAsia="Calibri" w:hAnsi="Calibri" w:cs="Times New Roman"/>
          <w:lang w:eastAsia="en-US"/>
        </w:rPr>
      </w:pPr>
    </w:p>
    <w:p w14:paraId="0C3F88A1" w14:textId="77777777" w:rsidR="00131E41" w:rsidRDefault="00131E41" w:rsidP="00131E41">
      <w:pPr>
        <w:rPr>
          <w:rFonts w:ascii="Calibri" w:eastAsia="Calibri" w:hAnsi="Calibri" w:cs="Times New Roman"/>
          <w:lang w:eastAsia="en-US"/>
        </w:rPr>
      </w:pPr>
      <w:r>
        <w:rPr>
          <w:noProof/>
        </w:rPr>
        <w:drawing>
          <wp:inline distT="0" distB="0" distL="0" distR="0" wp14:anchorId="0C3F9021" wp14:editId="0C3F9022">
            <wp:extent cx="5148000" cy="3296016"/>
            <wp:effectExtent l="0" t="0" r="0" b="0"/>
            <wp:docPr id="102" name="Picture 29" descr="mean concentrations of in-situ WQ measurements (CDOM, TSS, Chl-a and Kd(PAR)) within each plume water type. WQ data assigned to plume water when the difference between in-situ collection and the satellite over passes is within ±2 h. Number of data is indicated in italic (modified from Petus et al., in 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t="48889"/>
                    <a:stretch/>
                  </pic:blipFill>
                  <pic:spPr bwMode="auto">
                    <a:xfrm>
                      <a:off x="0" y="0"/>
                      <a:ext cx="5148000" cy="3296016"/>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8A2" w14:textId="77777777" w:rsidR="00131E41" w:rsidRDefault="00131E41" w:rsidP="00131E41">
      <w:pPr>
        <w:pStyle w:val="Caption"/>
        <w:rPr>
          <w:rFonts w:eastAsia="Calibri"/>
        </w:rPr>
      </w:pPr>
      <w:bookmarkStart w:id="222" w:name="_Toc427833294"/>
      <w:bookmarkStart w:id="223" w:name="_Toc434208052"/>
      <w:r w:rsidRPr="00DF1C49">
        <w:rPr>
          <w:rFonts w:eastAsia="Calibri"/>
          <w:bCs/>
          <w:color w:val="4F81BD"/>
        </w:rPr>
        <w:t xml:space="preserve">Figure </w:t>
      </w:r>
      <w:r w:rsidR="00D243CD">
        <w:rPr>
          <w:rFonts w:eastAsia="Calibri"/>
          <w:bCs/>
          <w:color w:val="4F81BD"/>
        </w:rPr>
        <w:fldChar w:fldCharType="begin"/>
      </w:r>
      <w:r w:rsidR="00D243CD">
        <w:rPr>
          <w:rFonts w:eastAsia="Calibri"/>
          <w:bCs/>
          <w:color w:val="4F81BD"/>
        </w:rPr>
        <w:instrText xml:space="preserve"> STYLEREF 1 \s </w:instrText>
      </w:r>
      <w:r w:rsidR="00D243CD">
        <w:rPr>
          <w:rFonts w:eastAsia="Calibri"/>
          <w:bCs/>
          <w:color w:val="4F81BD"/>
        </w:rPr>
        <w:fldChar w:fldCharType="separate"/>
      </w:r>
      <w:r w:rsidR="00B62B50">
        <w:rPr>
          <w:rFonts w:eastAsia="Calibri"/>
          <w:bCs/>
          <w:noProof/>
          <w:color w:val="4F81BD"/>
        </w:rPr>
        <w:t>5</w:t>
      </w:r>
      <w:r w:rsidR="00D243CD">
        <w:rPr>
          <w:rFonts w:eastAsia="Calibri"/>
          <w:bCs/>
          <w:color w:val="4F81BD"/>
        </w:rPr>
        <w:fldChar w:fldCharType="end"/>
      </w:r>
      <w:r w:rsidR="00D243CD">
        <w:rPr>
          <w:rFonts w:eastAsia="Calibri"/>
          <w:bCs/>
          <w:color w:val="4F81BD"/>
        </w:rPr>
        <w:noBreakHyphen/>
      </w:r>
      <w:r w:rsidR="00D243CD">
        <w:rPr>
          <w:rFonts w:eastAsia="Calibri"/>
          <w:bCs/>
          <w:color w:val="4F81BD"/>
        </w:rPr>
        <w:fldChar w:fldCharType="begin"/>
      </w:r>
      <w:r w:rsidR="00D243CD">
        <w:rPr>
          <w:rFonts w:eastAsia="Calibri"/>
          <w:bCs/>
          <w:color w:val="4F81BD"/>
        </w:rPr>
        <w:instrText xml:space="preserve"> SEQ Figure \* ARABIC \s 1 </w:instrText>
      </w:r>
      <w:r w:rsidR="00D243CD">
        <w:rPr>
          <w:rFonts w:eastAsia="Calibri"/>
          <w:bCs/>
          <w:color w:val="4F81BD"/>
        </w:rPr>
        <w:fldChar w:fldCharType="separate"/>
      </w:r>
      <w:r w:rsidR="00B62B50">
        <w:rPr>
          <w:rFonts w:eastAsia="Calibri"/>
          <w:bCs/>
          <w:noProof/>
          <w:color w:val="4F81BD"/>
        </w:rPr>
        <w:t>16</w:t>
      </w:r>
      <w:r w:rsidR="00D243CD">
        <w:rPr>
          <w:rFonts w:eastAsia="Calibri"/>
          <w:bCs/>
          <w:color w:val="4F81BD"/>
        </w:rPr>
        <w:fldChar w:fldCharType="end"/>
      </w:r>
      <w:r w:rsidRPr="00AA03D3">
        <w:rPr>
          <w:rFonts w:eastAsia="Calibri"/>
        </w:rPr>
        <w:t xml:space="preserve">: </w:t>
      </w:r>
      <w:r w:rsidRPr="00173201">
        <w:rPr>
          <w:rFonts w:eastAsia="Calibri"/>
        </w:rPr>
        <w:t>mean concentrations of in-situ WQ measurements (CDOM, TSS, Chl-a and Kd(PAR)) within each plume water type. WQ data assigned to plume water when the difference between in-situ collection and the satellite over passes is within ±2 h. Number of data is indicated in italic (modified from Petus et al., in press).</w:t>
      </w:r>
      <w:bookmarkEnd w:id="222"/>
      <w:bookmarkEnd w:id="223"/>
    </w:p>
    <w:p w14:paraId="0C3F88A3" w14:textId="77777777" w:rsidR="00131E41" w:rsidRPr="001C3998" w:rsidRDefault="00131E41" w:rsidP="00131E41">
      <w:pPr>
        <w:rPr>
          <w:rFonts w:ascii="Calibri" w:eastAsia="Calibri" w:hAnsi="Calibri" w:cs="Times New Roman"/>
          <w:lang w:eastAsia="en-US"/>
        </w:rPr>
      </w:pPr>
    </w:p>
    <w:p w14:paraId="0C3F88A4" w14:textId="77777777" w:rsidR="00131E41" w:rsidRDefault="00131E41" w:rsidP="00131E41">
      <w:pPr>
        <w:rPr>
          <w:rFonts w:ascii="Calibri" w:eastAsia="Calibri" w:hAnsi="Calibri" w:cs="Times New Roman"/>
          <w:lang w:eastAsia="en-US"/>
        </w:rPr>
      </w:pPr>
      <w:r w:rsidRPr="001C3998">
        <w:rPr>
          <w:rFonts w:ascii="Calibri" w:eastAsia="Calibri" w:hAnsi="Calibri" w:cs="Times New Roman"/>
          <w:lang w:eastAsia="en-US"/>
        </w:rPr>
        <w:t>TSS concentration reduced from the Secondary (10 mg L</w:t>
      </w:r>
      <w:r w:rsidRPr="00294F2C">
        <w:rPr>
          <w:rFonts w:ascii="Calibri" w:eastAsia="Calibri" w:hAnsi="Calibri" w:cs="Times New Roman"/>
          <w:vertAlign w:val="superscript"/>
          <w:lang w:eastAsia="en-US"/>
        </w:rPr>
        <w:t>-1</w:t>
      </w:r>
      <w:r w:rsidRPr="001C3998">
        <w:rPr>
          <w:rFonts w:ascii="Calibri" w:eastAsia="Calibri" w:hAnsi="Calibri" w:cs="Times New Roman"/>
          <w:lang w:eastAsia="en-US"/>
        </w:rPr>
        <w:t>) to the Tertiary (5 m L</w:t>
      </w:r>
      <w:r w:rsidRPr="00D1022D">
        <w:rPr>
          <w:rFonts w:ascii="Calibri" w:eastAsia="Calibri" w:hAnsi="Calibri" w:cs="Times New Roman"/>
          <w:vertAlign w:val="superscript"/>
          <w:lang w:eastAsia="en-US"/>
        </w:rPr>
        <w:t>-1</w:t>
      </w:r>
      <w:r w:rsidRPr="001C3998">
        <w:rPr>
          <w:rFonts w:ascii="Calibri" w:eastAsia="Calibri" w:hAnsi="Calibri" w:cs="Times New Roman"/>
          <w:lang w:eastAsia="en-US"/>
        </w:rPr>
        <w:t>) water type. The low TSS concentrations in the Primary water type, as compared to e.g. Devlin et al. (2013b) can be attributed to the limited number of TSS data points available within ±2 h time difference between in-situ collection and the satellite over passes in the Primary water type data (only 2 TSS measurements). Despite this limitation, Figure 2 support the validity of the supervised classification method applied in this study.</w:t>
      </w:r>
    </w:p>
    <w:p w14:paraId="0C3F88A5" w14:textId="77777777" w:rsidR="00131E41" w:rsidRPr="00C570D1" w:rsidRDefault="00131E41" w:rsidP="00131E41">
      <w:pPr>
        <w:pStyle w:val="Heading3"/>
        <w:numPr>
          <w:ilvl w:val="2"/>
          <w:numId w:val="3"/>
        </w:numPr>
      </w:pPr>
      <w:bookmarkStart w:id="224" w:name="_Toc427251550"/>
      <w:bookmarkStart w:id="225" w:name="_Toc427831221"/>
      <w:bookmarkStart w:id="226" w:name="_Toc428793352"/>
      <w:bookmarkStart w:id="227" w:name="_Toc428851357"/>
      <w:bookmarkStart w:id="228" w:name="_Toc434208013"/>
      <w:r>
        <w:t>P</w:t>
      </w:r>
      <w:r w:rsidRPr="00C570D1">
        <w:t>otential river plume risk maps</w:t>
      </w:r>
      <w:bookmarkEnd w:id="224"/>
      <w:bookmarkEnd w:id="225"/>
      <w:bookmarkEnd w:id="226"/>
      <w:bookmarkEnd w:id="227"/>
      <w:r>
        <w:t xml:space="preserve"> – 2012/2013</w:t>
      </w:r>
      <w:bookmarkEnd w:id="228"/>
      <w:r w:rsidRPr="00C570D1">
        <w:t xml:space="preserve"> </w:t>
      </w:r>
    </w:p>
    <w:p w14:paraId="0C3F88A6" w14:textId="77777777" w:rsidR="00131E41" w:rsidRPr="00EA05E0" w:rsidRDefault="00131E41" w:rsidP="00131E41">
      <w:pPr>
        <w:rPr>
          <w:rFonts w:ascii="Calibri" w:eastAsia="Calibri" w:hAnsi="Calibri" w:cs="Times New Roman"/>
          <w:lang w:eastAsia="en-US"/>
        </w:rPr>
      </w:pP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_Ref427754111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17</w:t>
      </w:r>
      <w:r>
        <w:rPr>
          <w:rFonts w:ascii="Calibri" w:eastAsia="Calibri" w:hAnsi="Calibri" w:cs="Times New Roman"/>
          <w:lang w:eastAsia="en-US"/>
        </w:rPr>
        <w:fldChar w:fldCharType="end"/>
      </w:r>
      <w:r w:rsidRPr="00EA05E0">
        <w:rPr>
          <w:rFonts w:ascii="Calibri" w:eastAsia="Calibri" w:hAnsi="Calibri" w:cs="Times New Roman"/>
          <w:lang w:eastAsia="en-US"/>
        </w:rPr>
        <w:t xml:space="preserve"> presents the 2013 river plume potential risk map and enlargements around the Tully Herbert and Burdekin regions produced using the simple risk matrix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_Ref428881339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t xml:space="preserve">Figure </w:t>
      </w:r>
      <w:r w:rsidR="00B62B50">
        <w:rPr>
          <w:noProof/>
        </w:rPr>
        <w:t>5</w:t>
      </w:r>
      <w:r w:rsidR="00B62B50">
        <w:noBreakHyphen/>
      </w:r>
      <w:r w:rsidR="00B62B50">
        <w:rPr>
          <w:noProof/>
        </w:rPr>
        <w:t>1</w:t>
      </w:r>
      <w:r>
        <w:rPr>
          <w:rFonts w:ascii="Calibri" w:eastAsia="Calibri" w:hAnsi="Calibri" w:cs="Times New Roman"/>
          <w:lang w:eastAsia="en-US"/>
        </w:rPr>
        <w:fldChar w:fldCharType="end"/>
      </w:r>
      <w:r w:rsidRPr="00EA05E0">
        <w:rPr>
          <w:rFonts w:ascii="Calibri" w:eastAsia="Calibri" w:hAnsi="Calibri" w:cs="Times New Roman"/>
          <w:lang w:eastAsia="en-US"/>
        </w:rPr>
        <w:t>). This table assumes that potential risk level from plume exposure for GBR ecosystems can be ranked in four qualitative categories (</w:t>
      </w:r>
      <w:r>
        <w:rPr>
          <w:rFonts w:ascii="Calibri" w:eastAsia="Calibri" w:hAnsi="Calibri" w:cs="Times New Roman"/>
          <w:lang w:eastAsia="en-US"/>
        </w:rPr>
        <w:t>I, II, III and IV)</w:t>
      </w:r>
      <w:r w:rsidRPr="00EA05E0">
        <w:rPr>
          <w:rFonts w:ascii="Calibri" w:eastAsia="Calibri" w:hAnsi="Calibri" w:cs="Times New Roman"/>
          <w:lang w:eastAsia="en-US"/>
        </w:rPr>
        <w:t xml:space="preserve"> determined by the combination of the magnitude (mapped through the Primary, Secondary, Tertiary water type classes) and the likelihood (mapped through the frequency of occurrence of Primary, Secondary, Tertiary water type classes) of the river plume exposure (Petus et al., 2014b).</w:t>
      </w:r>
    </w:p>
    <w:p w14:paraId="0C3F88A7" w14:textId="77777777" w:rsidR="00131E41" w:rsidRPr="00362A9F" w:rsidRDefault="00131E41" w:rsidP="00362A9F">
      <w:pPr>
        <w:rPr>
          <w:rFonts w:eastAsia="Calibri"/>
        </w:rPr>
      </w:pPr>
      <w:r w:rsidRPr="00362A9F">
        <w:rPr>
          <w:rFonts w:eastAsia="Calibri"/>
        </w:rPr>
        <w:t>At the GBR scale, the TC and L2 methods give similar outcomes. A general inshore to offshore spatial pattern is present in both TC and L2 potential river plume risk maps, with inshore areas within 10 to 30 km of the coast experiencing exposure to the highest potential risk categories (III and IV) and offshore areas experiencing lower potential risk from river plume water. At the regional scale, differences exist between potential risk maps produced using the L2 and TC methods, particularly around the Wet-tropics (</w:t>
      </w:r>
      <w:r w:rsidRPr="00362A9F">
        <w:rPr>
          <w:rFonts w:eastAsia="Calibri"/>
        </w:rPr>
        <w:fldChar w:fldCharType="begin"/>
      </w:r>
      <w:r w:rsidRPr="00362A9F">
        <w:rPr>
          <w:rFonts w:eastAsia="Calibri"/>
        </w:rPr>
        <w:instrText xml:space="preserve"> REF _Ref427754111 \h </w:instrText>
      </w:r>
      <w:r w:rsidR="00362A9F">
        <w:rPr>
          <w:rFonts w:eastAsia="Calibri"/>
        </w:rPr>
        <w:instrText xml:space="preserve"> \* MERGEFORMAT </w:instrText>
      </w:r>
      <w:r w:rsidRPr="00362A9F">
        <w:rPr>
          <w:rFonts w:eastAsia="Calibri"/>
        </w:rPr>
      </w:r>
      <w:r w:rsidRPr="00362A9F">
        <w:rPr>
          <w:rFonts w:eastAsia="Calibri"/>
        </w:rPr>
        <w:fldChar w:fldCharType="separate"/>
      </w:r>
      <w:r w:rsidR="00B62B50" w:rsidRPr="00DF1C49">
        <w:rPr>
          <w:rFonts w:eastAsia="Calibri"/>
        </w:rPr>
        <w:t xml:space="preserve">Figure </w:t>
      </w:r>
      <w:r w:rsidR="00B62B50">
        <w:rPr>
          <w:rFonts w:eastAsia="Calibri"/>
        </w:rPr>
        <w:t>5</w:t>
      </w:r>
      <w:r w:rsidR="00B62B50">
        <w:rPr>
          <w:rFonts w:eastAsia="Calibri"/>
        </w:rPr>
        <w:noBreakHyphen/>
        <w:t>17</w:t>
      </w:r>
      <w:r w:rsidRPr="00362A9F">
        <w:rPr>
          <w:rFonts w:eastAsia="Calibri"/>
        </w:rPr>
        <w:fldChar w:fldCharType="end"/>
      </w:r>
      <w:r w:rsidRPr="00362A9F">
        <w:rPr>
          <w:rFonts w:eastAsia="Calibri"/>
        </w:rPr>
        <w:t>). In this region, areas categorized as potential risk III for the GBR ecosystems are largest using the TC method than the L2 method. Potential risk maps produced in the Burdekin region are similar using both the TC and L2 methods, even if areas categorized as potential risk III are again largest using the TC method. Total areas under exposure to river plumes extend 85 km offshore of the Herbert River mouth and 60 km offshore of the Burdekin River mouth (if measured along a NE/SW strait line from both estuary mouths).</w:t>
      </w:r>
    </w:p>
    <w:p w14:paraId="0C3F88A8" w14:textId="77777777" w:rsidR="00131E41" w:rsidRDefault="00131E41" w:rsidP="00131E41">
      <w:pPr>
        <w:rPr>
          <w:rFonts w:ascii="Calibri" w:eastAsia="Calibri" w:hAnsi="Calibri" w:cs="Times New Roman"/>
          <w:lang w:eastAsia="en-US"/>
        </w:rPr>
      </w:pPr>
    </w:p>
    <w:p w14:paraId="0C3F88A9" w14:textId="77777777" w:rsidR="00131E41" w:rsidRPr="00DF1C49" w:rsidRDefault="00131E41" w:rsidP="00131E41">
      <w:pPr>
        <w:rPr>
          <w:rFonts w:ascii="Calibri" w:eastAsia="Calibri" w:hAnsi="Calibri" w:cs="Times New Roman"/>
          <w:lang w:eastAsia="en-US"/>
        </w:rPr>
      </w:pPr>
      <w:r w:rsidRPr="00856ED8">
        <w:rPr>
          <w:rFonts w:ascii="Calibri" w:eastAsia="Calibri" w:hAnsi="Calibri" w:cs="Times New Roman"/>
          <w:noProof/>
        </w:rPr>
        <w:t xml:space="preserve"> </w:t>
      </w:r>
      <w:r>
        <w:rPr>
          <w:rFonts w:ascii="Calibri" w:eastAsia="Calibri" w:hAnsi="Calibri" w:cs="Times New Roman"/>
          <w:noProof/>
        </w:rPr>
        <w:drawing>
          <wp:inline distT="0" distB="0" distL="0" distR="0" wp14:anchorId="0C3F9023" wp14:editId="0C3F9024">
            <wp:extent cx="5328000" cy="5670000"/>
            <wp:effectExtent l="0" t="0" r="6350" b="6985"/>
            <wp:docPr id="4" name="Picture 4" descr="2012-13 “potential” river plume risk maps of (left) the GBR; (middle) the Tully Herbert region and (right) the Burdekin region produced by a) the TC method and b) the L2 method. Maps have been smoothed twice with a 4 pixel majority filter (ArcG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328000" cy="5670000"/>
                    </a:xfrm>
                    <a:prstGeom prst="rect">
                      <a:avLst/>
                    </a:prstGeom>
                    <a:noFill/>
                  </pic:spPr>
                </pic:pic>
              </a:graphicData>
            </a:graphic>
          </wp:inline>
        </w:drawing>
      </w:r>
    </w:p>
    <w:p w14:paraId="0C3F88AA" w14:textId="77777777" w:rsidR="00131E41" w:rsidRPr="00DF1C49" w:rsidRDefault="00131E41" w:rsidP="00131E41">
      <w:pPr>
        <w:pStyle w:val="Caption"/>
        <w:rPr>
          <w:rFonts w:eastAsia="Calibri"/>
        </w:rPr>
      </w:pPr>
      <w:bookmarkStart w:id="229" w:name="_Ref427754111"/>
      <w:bookmarkStart w:id="230" w:name="_Toc427833295"/>
      <w:bookmarkStart w:id="231" w:name="_Toc434208053"/>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17</w:t>
      </w:r>
      <w:r w:rsidR="00D243CD">
        <w:rPr>
          <w:rFonts w:eastAsia="Calibri"/>
        </w:rPr>
        <w:fldChar w:fldCharType="end"/>
      </w:r>
      <w:bookmarkEnd w:id="229"/>
      <w:r w:rsidRPr="00DF1C49">
        <w:rPr>
          <w:rFonts w:eastAsia="Calibri"/>
        </w:rPr>
        <w:t>: 201</w:t>
      </w:r>
      <w:r>
        <w:rPr>
          <w:rFonts w:eastAsia="Calibri"/>
        </w:rPr>
        <w:t>2-1</w:t>
      </w:r>
      <w:r w:rsidRPr="00DF1C49">
        <w:rPr>
          <w:rFonts w:eastAsia="Calibri"/>
        </w:rPr>
        <w:t>3 “potential” river plume risk maps of (left) the GBR; (middle) the Tully Herbert region and (right) the Burdekin region produced by a) the TC method and b) the L2 method. Maps have been smoothed twice with a 4 pixel majority filter (ArcGIS).</w:t>
      </w:r>
      <w:bookmarkEnd w:id="230"/>
      <w:bookmarkEnd w:id="231"/>
    </w:p>
    <w:p w14:paraId="0C3F88AB" w14:textId="77777777" w:rsidR="00131E41" w:rsidRDefault="00131E41" w:rsidP="00131E41">
      <w:pPr>
        <w:rPr>
          <w:rStyle w:val="Heading20"/>
          <w:rFonts w:eastAsia="Calibri"/>
        </w:rPr>
      </w:pPr>
      <w:bookmarkStart w:id="232" w:name="_Toc427831222"/>
      <w:bookmarkStart w:id="233" w:name="_Toc428793353"/>
      <w:bookmarkStart w:id="234" w:name="_Toc428851358"/>
    </w:p>
    <w:p w14:paraId="0C3F88AC" w14:textId="77777777" w:rsidR="00131E41" w:rsidRPr="008D23C3" w:rsidRDefault="00131E41" w:rsidP="00131E41">
      <w:pPr>
        <w:pStyle w:val="Heading3"/>
        <w:numPr>
          <w:ilvl w:val="2"/>
          <w:numId w:val="3"/>
        </w:numPr>
      </w:pPr>
      <w:bookmarkStart w:id="235" w:name="_Toc434208014"/>
      <w:bookmarkEnd w:id="232"/>
      <w:bookmarkEnd w:id="233"/>
      <w:bookmarkEnd w:id="234"/>
      <w:r w:rsidRPr="008D23C3">
        <w:t>Comparison between RS outputs derived from the TC and L2 methods</w:t>
      </w:r>
      <w:bookmarkEnd w:id="235"/>
    </w:p>
    <w:p w14:paraId="0C3F88AD" w14:textId="77777777" w:rsidR="00131E41" w:rsidRDefault="00131E41" w:rsidP="00131E41">
      <w:pPr>
        <w:rPr>
          <w:rFonts w:ascii="Calibri" w:eastAsia="Calibri" w:hAnsi="Calibri" w:cs="Calibri"/>
          <w:lang w:eastAsia="en-US"/>
        </w:rPr>
      </w:pPr>
      <w:r w:rsidRPr="009077F2">
        <w:rPr>
          <w:rFonts w:ascii="Calibri" w:eastAsia="Calibri" w:hAnsi="Calibri" w:cs="Calibri"/>
          <w:lang w:eastAsia="en-US"/>
        </w:rPr>
        <w:t xml:space="preserve">Both </w:t>
      </w:r>
      <w:r>
        <w:rPr>
          <w:rFonts w:ascii="Calibri" w:eastAsia="Calibri" w:hAnsi="Calibri" w:cs="Calibri"/>
          <w:lang w:eastAsia="en-US"/>
        </w:rPr>
        <w:t xml:space="preserve">the TC and L2 </w:t>
      </w:r>
      <w:r w:rsidRPr="009077F2">
        <w:rPr>
          <w:rFonts w:ascii="Calibri" w:eastAsia="Calibri" w:hAnsi="Calibri" w:cs="Calibri"/>
          <w:lang w:eastAsia="en-US"/>
        </w:rPr>
        <w:t>methods</w:t>
      </w:r>
      <w:r>
        <w:rPr>
          <w:rFonts w:ascii="Calibri" w:eastAsia="Calibri" w:hAnsi="Calibri" w:cs="Calibri"/>
          <w:lang w:eastAsia="en-US"/>
        </w:rPr>
        <w:t xml:space="preserve"> used in this report</w:t>
      </w:r>
      <w:r w:rsidRPr="009077F2">
        <w:rPr>
          <w:rFonts w:ascii="Calibri" w:eastAsia="Calibri" w:hAnsi="Calibri" w:cs="Calibri"/>
          <w:lang w:eastAsia="en-US"/>
        </w:rPr>
        <w:t xml:space="preserve"> rely on the same principle: gradients of WQ existing in river plumes (from the estuary mouth to the edge of the river plume) modify the optical signature of the water (related to the concentration of TSS, chl-a, CDOM), which in turn change the colour of the water. Both methods present advantages and disadvantages: the TC method offers a simple and objective method by clustering the information contained in MODIS true-colour composites (Red–Green–Blue bands), but relies on non-atmospherically corrected data, and the spectral signature used to classify images (from Alvarez-Romero et al., 2013) does not incorporate potential spatio-temporal variability. The L2 threshold method assumes fixed WQ value/level/concentration thresholds (</w:t>
      </w:r>
      <w:r>
        <w:rPr>
          <w:rFonts w:ascii="Calibri" w:eastAsia="Calibri" w:hAnsi="Calibri" w:cs="Calibri"/>
          <w:lang w:eastAsia="en-US"/>
        </w:rPr>
        <w:t>Petus et al., 2014b</w:t>
      </w:r>
      <w:r w:rsidRPr="009077F2">
        <w:rPr>
          <w:rFonts w:ascii="Calibri" w:eastAsia="Calibri" w:hAnsi="Calibri" w:cs="Calibri"/>
          <w:lang w:eastAsia="en-US"/>
        </w:rPr>
        <w:t>) and thus also ignores potential temporal and spatial variability, but does account for atmospheric correction. In addition, this method offers valuable quantitative information, such as the concentration of CDOM, TSS, chl-a, or Kd(PAR) values that are not directly available through the clustering of the true-colour composites. This quantitative information can be interesting to further evaluate the concentration/level/load of stressors discharged through river plumes during the wet season and to assess potential ecological impacts.</w:t>
      </w:r>
      <w:r>
        <w:rPr>
          <w:rFonts w:ascii="Calibri" w:eastAsia="Calibri" w:hAnsi="Calibri" w:cs="Calibri"/>
          <w:lang w:eastAsia="en-US"/>
        </w:rPr>
        <w:t xml:space="preserve"> </w:t>
      </w:r>
    </w:p>
    <w:p w14:paraId="0C3F88AE" w14:textId="77777777" w:rsidR="00131E41" w:rsidRPr="00DF1C49" w:rsidRDefault="00131E41" w:rsidP="00131E41">
      <w:pPr>
        <w:rPr>
          <w:rFonts w:ascii="Calibri" w:eastAsia="Calibri" w:hAnsi="Calibri" w:cs="Calibri"/>
          <w:lang w:eastAsia="en-US"/>
        </w:rPr>
      </w:pPr>
      <w:r w:rsidRPr="00DF1C49">
        <w:rPr>
          <w:rFonts w:ascii="Calibri" w:eastAsia="Calibri" w:hAnsi="Calibri" w:cs="Calibri"/>
          <w:lang w:eastAsia="en-US"/>
        </w:rPr>
        <w:t>Differences observed between the annual L2 and TC maps of frequency of occurrence of river plumes and plume water types produced can be explain</w:t>
      </w:r>
      <w:r>
        <w:rPr>
          <w:rFonts w:ascii="Calibri" w:eastAsia="Calibri" w:hAnsi="Calibri" w:cs="Calibri"/>
          <w:lang w:eastAsia="en-US"/>
        </w:rPr>
        <w:t>ed</w:t>
      </w:r>
      <w:r w:rsidRPr="00DF1C49">
        <w:rPr>
          <w:rFonts w:ascii="Calibri" w:eastAsia="Calibri" w:hAnsi="Calibri" w:cs="Calibri"/>
          <w:lang w:eastAsia="en-US"/>
        </w:rPr>
        <w:t xml:space="preserve"> by different factors:</w:t>
      </w:r>
    </w:p>
    <w:p w14:paraId="0C3F88AF" w14:textId="77777777" w:rsidR="00131E41" w:rsidRPr="00C236D5" w:rsidRDefault="00131E41" w:rsidP="00C05A63">
      <w:pPr>
        <w:pStyle w:val="ListParagraph"/>
        <w:numPr>
          <w:ilvl w:val="0"/>
          <w:numId w:val="18"/>
        </w:numPr>
        <w:rPr>
          <w:rFonts w:ascii="Calibri" w:eastAsia="Calibri" w:hAnsi="Calibri" w:cs="Calibri"/>
          <w:lang w:eastAsia="en-US"/>
        </w:rPr>
      </w:pPr>
      <w:r w:rsidRPr="00C236D5">
        <w:rPr>
          <w:rFonts w:ascii="Calibri" w:eastAsia="Calibri" w:hAnsi="Calibri" w:cs="Calibri"/>
          <w:lang w:eastAsia="en-US"/>
        </w:rPr>
        <w:t>Maps are with different spatial resolutions: 500 m for the TC outputs vs. 1000 m for the L2 outputs;</w:t>
      </w:r>
    </w:p>
    <w:p w14:paraId="0C3F88B0" w14:textId="77777777" w:rsidR="00131E41" w:rsidRPr="00C236D5" w:rsidRDefault="00131E41" w:rsidP="00C05A63">
      <w:pPr>
        <w:pStyle w:val="ListParagraph"/>
        <w:numPr>
          <w:ilvl w:val="0"/>
          <w:numId w:val="18"/>
        </w:numPr>
        <w:rPr>
          <w:rFonts w:ascii="Calibri" w:eastAsia="Calibri" w:hAnsi="Calibri" w:cs="Calibri"/>
          <w:lang w:eastAsia="en-US"/>
        </w:rPr>
      </w:pPr>
      <w:r w:rsidRPr="00C236D5">
        <w:rPr>
          <w:rFonts w:ascii="Calibri" w:eastAsia="Calibri" w:hAnsi="Calibri" w:cs="Calibri"/>
          <w:lang w:eastAsia="en-US"/>
        </w:rPr>
        <w:t xml:space="preserve">The TC method allow to map river plumes and plume water types under light cloud cover or sunglint conditions (Alvarez-Romero et al., 2013); while MODIS Level-2 products used for the L2 method are inaccurate and masked out when any cloud or sunglint are present. Numbers of river plumes mapped per wet season are thus larger using the TC method than the L2 method. </w:t>
      </w:r>
    </w:p>
    <w:p w14:paraId="0C3F88B1" w14:textId="77777777" w:rsidR="00131E41" w:rsidRPr="00C236D5" w:rsidRDefault="00131E41" w:rsidP="00C05A63">
      <w:pPr>
        <w:pStyle w:val="ListParagraph"/>
        <w:numPr>
          <w:ilvl w:val="0"/>
          <w:numId w:val="18"/>
        </w:numPr>
        <w:rPr>
          <w:rFonts w:ascii="Calibri" w:eastAsia="Calibri" w:hAnsi="Calibri" w:cs="Calibri"/>
          <w:lang w:eastAsia="en-US"/>
        </w:rPr>
      </w:pPr>
      <w:r w:rsidRPr="00C236D5">
        <w:rPr>
          <w:rFonts w:ascii="Calibri" w:eastAsia="Calibri" w:hAnsi="Calibri" w:cs="Calibri"/>
          <w:lang w:eastAsia="en-US"/>
        </w:rPr>
        <w:t xml:space="preserve">Annual maps of frequency of occurrence of river plumes and plume water types obtained from the TC method are created from </w:t>
      </w:r>
      <w:r w:rsidRPr="00C236D5">
        <w:rPr>
          <w:rFonts w:ascii="Calibri" w:eastAsia="Calibri" w:hAnsi="Calibri" w:cs="Calibri"/>
          <w:u w:val="single"/>
          <w:lang w:eastAsia="en-US"/>
        </w:rPr>
        <w:t>w</w:t>
      </w:r>
      <w:r w:rsidRPr="00C236D5">
        <w:rPr>
          <w:rFonts w:ascii="Calibri" w:eastAsia="Calibri" w:hAnsi="Calibri" w:cs="Times New Roman"/>
          <w:u w:val="single"/>
          <w:lang w:eastAsia="en-US"/>
        </w:rPr>
        <w:t>eekly</w:t>
      </w:r>
      <w:r w:rsidRPr="00C236D5">
        <w:rPr>
          <w:rFonts w:ascii="Calibri" w:eastAsia="Calibri" w:hAnsi="Calibri" w:cs="Times New Roman"/>
          <w:lang w:eastAsia="en-US"/>
        </w:rPr>
        <w:t xml:space="preserve"> 6-color class composites produced from the TC method while L2 maps are created from </w:t>
      </w:r>
      <w:r w:rsidRPr="00C236D5">
        <w:rPr>
          <w:rFonts w:ascii="Calibri" w:eastAsia="Calibri" w:hAnsi="Calibri" w:cs="Times New Roman"/>
          <w:u w:val="single"/>
          <w:lang w:eastAsia="en-US"/>
        </w:rPr>
        <w:t>daily</w:t>
      </w:r>
      <w:r w:rsidRPr="00C236D5">
        <w:rPr>
          <w:rFonts w:ascii="Calibri" w:eastAsia="Calibri" w:hAnsi="Calibri" w:cs="Times New Roman"/>
          <w:lang w:eastAsia="en-US"/>
        </w:rPr>
        <w:t xml:space="preserve"> river plume maps and plume water type maps produced from the L2 method. The technique presented by Alvarez-Romero et al (2013) to calculate the weekly color class composites is really conservative as the minimum color-class value of each cell/week (i.e., the color class with the highest turbidity level) is used to map the color classes. This means that the highest level of risk to river plume for each week is selected (assuming the color classes represented a gradient in exposure to pollutants). This also explain why breaks used to categorize the annual maps of frequency of occurrence of river plume and plume water types are different when using the L2 (breaks in days) and TC methods (breaks in weeks</w:t>
      </w:r>
      <w:r w:rsidRPr="00C236D5">
        <w:rPr>
          <w:rFonts w:ascii="Calibri" w:eastAsia="Calibri" w:hAnsi="Calibri" w:cs="Calibri"/>
          <w:lang w:eastAsia="en-US"/>
        </w:rPr>
        <w:t>) (</w:t>
      </w:r>
      <w:r w:rsidRPr="00C236D5">
        <w:rPr>
          <w:rFonts w:ascii="Calibri" w:eastAsia="Calibri" w:hAnsi="Calibri" w:cs="Times New Roman"/>
          <w:lang w:eastAsia="en-US"/>
        </w:rPr>
        <w:t>Annexe 4-1.4, Table 2</w:t>
      </w:r>
      <w:r w:rsidRPr="00C236D5">
        <w:rPr>
          <w:rFonts w:ascii="Calibri" w:eastAsia="Calibri" w:hAnsi="Calibri" w:cs="Calibri"/>
          <w:lang w:eastAsia="en-US"/>
        </w:rPr>
        <w:t>).</w:t>
      </w:r>
    </w:p>
    <w:p w14:paraId="0C3F88B2" w14:textId="77777777" w:rsidR="00131E41" w:rsidRPr="00C236D5" w:rsidRDefault="00131E41" w:rsidP="00C05A63">
      <w:pPr>
        <w:pStyle w:val="ListParagraph"/>
        <w:numPr>
          <w:ilvl w:val="0"/>
          <w:numId w:val="18"/>
        </w:numPr>
        <w:rPr>
          <w:rFonts w:ascii="Calibri" w:eastAsia="Calibri" w:hAnsi="Calibri" w:cs="Calibri"/>
          <w:lang w:eastAsia="en-US"/>
        </w:rPr>
      </w:pPr>
      <w:r w:rsidRPr="00C236D5">
        <w:rPr>
          <w:rFonts w:ascii="Calibri" w:eastAsia="Calibri" w:hAnsi="Calibri" w:cs="Calibri"/>
          <w:lang w:eastAsia="en-US"/>
        </w:rPr>
        <w:t>External/full extent boundaries of the weekly TC are manually cleaned (high precision but time consuming) while a simple “maximum river plume extent” shapefile (computed from MODIS river plumes mapped from 2007 to 2013) is used to clean the L2 annual maps of frequency of occurrence of river plumes and plume water types (lower precision but less time consuming);</w:t>
      </w:r>
    </w:p>
    <w:p w14:paraId="0C3F88B3" w14:textId="77777777" w:rsidR="00131E41" w:rsidRDefault="00131E41" w:rsidP="00131E41">
      <w:pPr>
        <w:rPr>
          <w:rFonts w:ascii="Calibri" w:eastAsia="Calibri" w:hAnsi="Calibri" w:cs="Calibri"/>
          <w:lang w:eastAsia="en-US"/>
        </w:rPr>
      </w:pPr>
      <w:r w:rsidRPr="009077F2">
        <w:rPr>
          <w:rFonts w:ascii="Calibri" w:eastAsia="Calibri" w:hAnsi="Calibri" w:cs="Calibri"/>
          <w:lang w:eastAsia="en-US"/>
        </w:rPr>
        <w:t>The main objective of the RS part of the MMP is to develop and apply innovative spatial products</w:t>
      </w:r>
      <w:r>
        <w:rPr>
          <w:rFonts w:ascii="Calibri" w:eastAsia="Calibri" w:hAnsi="Calibri" w:cs="Calibri"/>
          <w:lang w:eastAsia="en-US"/>
        </w:rPr>
        <w:t>.</w:t>
      </w:r>
      <w:r w:rsidRPr="009077F2">
        <w:rPr>
          <w:rFonts w:ascii="Calibri" w:eastAsia="Calibri" w:hAnsi="Calibri" w:cs="Calibri"/>
          <w:lang w:eastAsia="en-US"/>
        </w:rPr>
        <w:t xml:space="preserve"> </w:t>
      </w:r>
      <w:r w:rsidRPr="007A147F">
        <w:rPr>
          <w:rFonts w:ascii="Calibri" w:eastAsia="Calibri" w:hAnsi="Calibri" w:cs="Calibri"/>
          <w:lang w:eastAsia="en-US"/>
        </w:rPr>
        <w:t>Assessing water quality concentrations, and especially the CDOM and Chl-a concentrations, with satellite data is notoriously challenging in the optically complex coastal waters (Case 2 waters) around the world, including the GBR lagoon, where suspended sediment and Coloured Dissolved Organic Matter (CDOM) co-occur with phytoplankton (see Gitelson et al. 2008, Odermatt et al. 2012). For the GBR, Qin et al. (2007) demonstrated that the accuracy of NASA algorithms implemented in SeaDAS for the retrieval of Chl-a, TSS concentrations or CDOM (hereafter global algorithms) decreased with increasing CDOM and inorganic particles concentrations; with level of disagreement at least twofold for Chl-a concentrations above 2 μg L</w:t>
      </w:r>
      <w:r w:rsidRPr="002C6534">
        <w:rPr>
          <w:rFonts w:ascii="Calibri" w:eastAsia="Calibri" w:hAnsi="Calibri" w:cs="Calibri"/>
          <w:vertAlign w:val="superscript"/>
          <w:lang w:eastAsia="en-US"/>
        </w:rPr>
        <w:t>-1</w:t>
      </w:r>
      <w:r w:rsidRPr="007A147F">
        <w:rPr>
          <w:rFonts w:ascii="Calibri" w:eastAsia="Calibri" w:hAnsi="Calibri" w:cs="Calibri"/>
          <w:lang w:eastAsia="en-US"/>
        </w:rPr>
        <w:t xml:space="preserve"> (Brando et al. 2011; 2013; King et al. 2014). </w:t>
      </w:r>
      <w:r w:rsidRPr="00DE6CC8">
        <w:rPr>
          <w:rFonts w:ascii="Calibri" w:eastAsia="Calibri" w:hAnsi="Calibri" w:cs="Calibri"/>
          <w:lang w:eastAsia="en-US"/>
        </w:rPr>
        <w:t>Differences observed between TC and L2 maps of frequency of occurrence of Secondary water type are the most probably linked to the MODIS algorithm used to estimate the chl-a concentrations</w:t>
      </w:r>
      <w:r>
        <w:rPr>
          <w:rFonts w:ascii="Calibri" w:eastAsia="Calibri" w:hAnsi="Calibri" w:cs="Calibri"/>
          <w:lang w:eastAsia="en-US"/>
        </w:rPr>
        <w:t xml:space="preserve"> (</w:t>
      </w:r>
      <w:r w:rsidRPr="00DF1C49">
        <w:rPr>
          <w:rFonts w:ascii="Calibri" w:eastAsia="Calibri" w:hAnsi="Calibri" w:cs="Calibri"/>
          <w:lang w:eastAsia="en-US"/>
        </w:rPr>
        <w:t>chl-a-oc3 algorithm</w:t>
      </w:r>
      <w:r>
        <w:rPr>
          <w:rFonts w:ascii="Calibri" w:eastAsia="Calibri" w:hAnsi="Calibri" w:cs="Calibri"/>
          <w:lang w:eastAsia="en-US"/>
        </w:rPr>
        <w:t>, Petus et al., 2014b)</w:t>
      </w:r>
      <w:r w:rsidRPr="007A147F">
        <w:rPr>
          <w:rFonts w:ascii="Calibri" w:eastAsia="Calibri" w:hAnsi="Calibri" w:cs="Calibri"/>
          <w:lang w:eastAsia="en-US"/>
        </w:rPr>
        <w:t>.</w:t>
      </w:r>
      <w:r>
        <w:rPr>
          <w:rFonts w:ascii="Calibri" w:eastAsia="Calibri" w:hAnsi="Calibri" w:cs="Calibri"/>
          <w:lang w:eastAsia="en-US"/>
        </w:rPr>
        <w:t xml:space="preserve"> </w:t>
      </w:r>
      <w:r w:rsidRPr="007A147F">
        <w:rPr>
          <w:rFonts w:ascii="Calibri" w:eastAsia="Calibri" w:hAnsi="Calibri" w:cs="Calibri"/>
          <w:lang w:eastAsia="en-US"/>
        </w:rPr>
        <w:t xml:space="preserve">Regional parameterisation helps to increase accuracies of so called “global algorithms”, and a regionally parameterised inversion algorithm for the GBR coastal waters (hereafter GBR Algorithm) was developed to achieve more accurate retrievals of optically active constituents in the GBR (Brando et al. 2008, Schroeder et al. 2008, Brando et al. 2010, Brando et al. 2012, Schroeder et al. 2012, Brando et al. 2013, King et al., 2014). This </w:t>
      </w:r>
      <w:r>
        <w:rPr>
          <w:rFonts w:ascii="Calibri" w:eastAsia="Calibri" w:hAnsi="Calibri" w:cs="Calibri"/>
          <w:lang w:eastAsia="en-US"/>
        </w:rPr>
        <w:t xml:space="preserve">GBR </w:t>
      </w:r>
      <w:r w:rsidRPr="007A147F">
        <w:rPr>
          <w:rFonts w:ascii="Calibri" w:eastAsia="Calibri" w:hAnsi="Calibri" w:cs="Calibri"/>
          <w:lang w:eastAsia="en-US"/>
        </w:rPr>
        <w:t xml:space="preserve">algorithm nevertheless still requires further validation across the GBR coastal water types, particularly in optically complex wet season conditions (Petus et al., 2015). </w:t>
      </w:r>
    </w:p>
    <w:p w14:paraId="0C3F88B4" w14:textId="77777777" w:rsidR="00131E41" w:rsidRDefault="00131E41" w:rsidP="00131E41">
      <w:pPr>
        <w:rPr>
          <w:rFonts w:ascii="Calibri" w:eastAsia="Calibri" w:hAnsi="Calibri" w:cs="Calibri"/>
          <w:lang w:eastAsia="en-US"/>
        </w:rPr>
      </w:pPr>
      <w:r w:rsidRPr="00EC5A32">
        <w:rPr>
          <w:rFonts w:ascii="Calibri" w:eastAsia="Calibri" w:hAnsi="Calibri" w:cs="Calibri"/>
          <w:lang w:eastAsia="en-US"/>
        </w:rPr>
        <w:t xml:space="preserve">It was thus decided, for the rest of this report and for the following monitoring years, to work with river plume products derived from </w:t>
      </w:r>
      <w:r w:rsidRPr="00C236D5">
        <w:rPr>
          <w:rFonts w:ascii="Calibri" w:eastAsia="Calibri" w:hAnsi="Calibri" w:cs="Calibri"/>
          <w:u w:val="single"/>
          <w:lang w:eastAsia="en-US"/>
        </w:rPr>
        <w:t>MODIS true color satellite data only</w:t>
      </w:r>
      <w:r w:rsidRPr="00EC5A32">
        <w:rPr>
          <w:rFonts w:ascii="Calibri" w:eastAsia="Calibri" w:hAnsi="Calibri" w:cs="Calibri"/>
          <w:lang w:eastAsia="en-US"/>
        </w:rPr>
        <w:t xml:space="preserve"> to assess the exposure of GBR key ecosystems to the river plume and describe the potential risk experienced by these ecosystems from the river plume exposure</w:t>
      </w:r>
      <w:r>
        <w:rPr>
          <w:rFonts w:ascii="Calibri" w:eastAsia="Calibri" w:hAnsi="Calibri" w:cs="Calibri"/>
          <w:lang w:eastAsia="en-US"/>
        </w:rPr>
        <w:t xml:space="preserve">. It is however worth noting that effort to produce accurate L2 data for the GBR and other optically complex waters in the world are ongoing in the RS community. Methods could thus be updated in future toward the use of L2 derived RS product if more accurate L2 algorithms become available.  </w:t>
      </w:r>
    </w:p>
    <w:p w14:paraId="0C3F88B5" w14:textId="77777777" w:rsidR="00131E41" w:rsidRDefault="00131E41" w:rsidP="00131E41">
      <w:pPr>
        <w:rPr>
          <w:rFonts w:ascii="Calibri" w:eastAsia="Calibri" w:hAnsi="Calibri" w:cs="Times New Roman"/>
          <w:lang w:eastAsia="en-US"/>
        </w:rPr>
      </w:pPr>
    </w:p>
    <w:p w14:paraId="0C3F88B6" w14:textId="77777777" w:rsidR="00131E41" w:rsidRPr="008D23C3" w:rsidRDefault="00131E41" w:rsidP="00131E41">
      <w:pPr>
        <w:pStyle w:val="Heading3"/>
        <w:numPr>
          <w:ilvl w:val="2"/>
          <w:numId w:val="3"/>
        </w:numPr>
      </w:pPr>
      <w:bookmarkStart w:id="236" w:name="_Toc428341676"/>
      <w:bookmarkStart w:id="237" w:name="_Toc434208015"/>
      <w:r w:rsidRPr="008D23C3">
        <w:t>Exposure of GBR ecosystems to river plumes and potential risk from river plume exposure in 2013</w:t>
      </w:r>
      <w:bookmarkEnd w:id="236"/>
      <w:bookmarkEnd w:id="237"/>
    </w:p>
    <w:p w14:paraId="0C3F88B7"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lang w:eastAsia="en-US"/>
        </w:rPr>
        <w:t>The 2013 frequency</w:t>
      </w:r>
      <w:r>
        <w:rPr>
          <w:rFonts w:ascii="Calibri" w:eastAsia="Calibri" w:hAnsi="Calibri" w:cs="Times New Roman"/>
          <w:lang w:eastAsia="en-US"/>
        </w:rPr>
        <w:t xml:space="preserve"> maps (full extent and plume water types)</w:t>
      </w:r>
      <w:r w:rsidRPr="00DF1C49">
        <w:rPr>
          <w:rFonts w:ascii="Calibri" w:eastAsia="Calibri" w:hAnsi="Calibri" w:cs="Times New Roman"/>
          <w:lang w:eastAsia="en-US"/>
        </w:rPr>
        <w:t xml:space="preserve"> </w:t>
      </w:r>
      <w:r>
        <w:rPr>
          <w:rFonts w:ascii="Calibri" w:eastAsia="Calibri" w:hAnsi="Calibri" w:cs="Times New Roman"/>
          <w:lang w:eastAsia="en-US"/>
        </w:rPr>
        <w:t xml:space="preserve">and </w:t>
      </w:r>
      <w:r w:rsidRPr="00DF1C49">
        <w:rPr>
          <w:rFonts w:ascii="Calibri" w:eastAsia="Calibri" w:hAnsi="Calibri" w:cs="Times New Roman"/>
          <w:lang w:eastAsia="en-US"/>
        </w:rPr>
        <w:t>potential risk map</w:t>
      </w:r>
      <w:r>
        <w:rPr>
          <w:rFonts w:ascii="Calibri" w:eastAsia="Calibri" w:hAnsi="Calibri" w:cs="Times New Roman"/>
          <w:lang w:eastAsia="en-US"/>
        </w:rPr>
        <w:t>s</w:t>
      </w:r>
      <w:r w:rsidRPr="00DF1C49">
        <w:rPr>
          <w:rFonts w:ascii="Calibri" w:eastAsia="Calibri" w:hAnsi="Calibri" w:cs="Times New Roman"/>
          <w:lang w:eastAsia="en-US"/>
        </w:rPr>
        <w:t xml:space="preserve"> </w:t>
      </w:r>
      <w:r>
        <w:rPr>
          <w:rFonts w:ascii="Calibri" w:eastAsia="Calibri" w:hAnsi="Calibri" w:cs="Times New Roman"/>
          <w:lang w:eastAsia="en-US"/>
        </w:rPr>
        <w:t>constructed</w:t>
      </w:r>
      <w:r w:rsidRPr="00305332">
        <w:rPr>
          <w:rFonts w:ascii="Calibri" w:eastAsia="Calibri" w:hAnsi="Calibri" w:cs="Times New Roman"/>
          <w:lang w:eastAsia="en-US"/>
        </w:rPr>
        <w:t xml:space="preserve"> </w:t>
      </w:r>
      <w:r w:rsidRPr="00652C07">
        <w:rPr>
          <w:rFonts w:ascii="Calibri" w:eastAsia="Calibri" w:hAnsi="Calibri" w:cs="Times New Roman"/>
          <w:u w:val="single"/>
          <w:lang w:eastAsia="en-US"/>
        </w:rPr>
        <w:t>from the TC methods</w:t>
      </w:r>
      <w:r w:rsidRPr="00DF1C49">
        <w:rPr>
          <w:rFonts w:ascii="Calibri" w:eastAsia="Calibri" w:hAnsi="Calibri" w:cs="Times New Roman"/>
          <w:lang w:eastAsia="en-US"/>
        </w:rPr>
        <w:t xml:space="preserve"> were used to describe the exposure of GBR ecosystems to plumes and </w:t>
      </w:r>
      <w:r>
        <w:rPr>
          <w:rFonts w:ascii="Calibri" w:eastAsia="Calibri" w:hAnsi="Calibri" w:cs="Times New Roman"/>
          <w:lang w:eastAsia="en-US"/>
        </w:rPr>
        <w:t xml:space="preserve"> potential</w:t>
      </w:r>
      <w:r w:rsidRPr="00DF1C49">
        <w:rPr>
          <w:rFonts w:ascii="Calibri" w:eastAsia="Calibri" w:hAnsi="Calibri" w:cs="Times New Roman"/>
          <w:lang w:eastAsia="en-US"/>
        </w:rPr>
        <w:t xml:space="preserve"> risk</w:t>
      </w:r>
      <w:r>
        <w:rPr>
          <w:rFonts w:ascii="Calibri" w:eastAsia="Calibri" w:hAnsi="Calibri" w:cs="Times New Roman"/>
          <w:lang w:eastAsia="en-US"/>
        </w:rPr>
        <w:t xml:space="preserve"> from river plume exposure during the 2012-13 wet season</w:t>
      </w:r>
      <w:r w:rsidRPr="00DF1C49">
        <w:rPr>
          <w:rFonts w:ascii="Calibri" w:eastAsia="Calibri" w:hAnsi="Calibri" w:cs="Times New Roman"/>
          <w:lang w:eastAsia="en-US"/>
        </w:rPr>
        <w:t xml:space="preserve"> (</w:t>
      </w:r>
      <w:r>
        <w:rPr>
          <w:rFonts w:ascii="Calibri" w:eastAsia="Calibri" w:hAnsi="Calibri" w:cs="Times New Roman"/>
          <w:lang w:eastAsia="en-US"/>
        </w:rPr>
        <w:t xml:space="preserve">Appendix B, </w:t>
      </w:r>
      <w:r w:rsidRPr="004B2708">
        <w:rPr>
          <w:rFonts w:ascii="Calibri" w:eastAsia="Calibri" w:hAnsi="Calibri" w:cs="Times New Roman"/>
          <w:lang w:eastAsia="en-US"/>
        </w:rPr>
        <w:t>Tables A-</w:t>
      </w:r>
      <w:r>
        <w:rPr>
          <w:rFonts w:ascii="Calibri" w:eastAsia="Calibri" w:hAnsi="Calibri" w:cs="Times New Roman"/>
          <w:lang w:eastAsia="en-US"/>
        </w:rPr>
        <w:t>2</w:t>
      </w:r>
      <w:r w:rsidRPr="004B2708">
        <w:rPr>
          <w:rFonts w:ascii="Calibri" w:eastAsia="Calibri" w:hAnsi="Calibri" w:cs="Times New Roman"/>
          <w:lang w:eastAsia="en-US"/>
        </w:rPr>
        <w:t>, A-</w:t>
      </w:r>
      <w:r>
        <w:rPr>
          <w:rFonts w:ascii="Calibri" w:eastAsia="Calibri" w:hAnsi="Calibri" w:cs="Times New Roman"/>
          <w:lang w:eastAsia="en-US"/>
        </w:rPr>
        <w:t>3</w:t>
      </w:r>
      <w:r w:rsidRPr="004B2708">
        <w:rPr>
          <w:rFonts w:ascii="Calibri" w:eastAsia="Calibri" w:hAnsi="Calibri" w:cs="Times New Roman"/>
          <w:lang w:eastAsia="en-US"/>
        </w:rPr>
        <w:t>, A-</w:t>
      </w:r>
      <w:r>
        <w:rPr>
          <w:rFonts w:ascii="Calibri" w:eastAsia="Calibri" w:hAnsi="Calibri" w:cs="Times New Roman"/>
          <w:lang w:eastAsia="en-US"/>
        </w:rPr>
        <w:t>4)</w:t>
      </w:r>
      <w:r w:rsidRPr="00DF1C49">
        <w:rPr>
          <w:rFonts w:ascii="Calibri" w:eastAsia="Calibri" w:hAnsi="Calibri" w:cs="Times New Roman"/>
          <w:lang w:eastAsia="en-US"/>
        </w:rPr>
        <w:t xml:space="preserve">. The </w:t>
      </w:r>
      <w:r>
        <w:rPr>
          <w:rFonts w:ascii="Calibri" w:eastAsia="Calibri" w:hAnsi="Calibri" w:cs="Times New Roman"/>
          <w:lang w:eastAsia="en-US"/>
        </w:rPr>
        <w:t>total GBR</w:t>
      </w:r>
      <w:r w:rsidRPr="00DF1C49">
        <w:rPr>
          <w:rFonts w:ascii="Calibri" w:eastAsia="Calibri" w:hAnsi="Calibri" w:cs="Times New Roman"/>
          <w:lang w:eastAsia="en-US"/>
        </w:rPr>
        <w:t xml:space="preserve"> area</w:t>
      </w:r>
      <w:r>
        <w:rPr>
          <w:rFonts w:ascii="Calibri" w:eastAsia="Calibri" w:hAnsi="Calibri" w:cs="Times New Roman"/>
          <w:lang w:eastAsia="en-US"/>
        </w:rPr>
        <w:t xml:space="preserve"> exposed to</w:t>
      </w:r>
      <w:r w:rsidRPr="00DF1C49">
        <w:rPr>
          <w:rFonts w:ascii="Calibri" w:eastAsia="Calibri" w:hAnsi="Calibri" w:cs="Times New Roman"/>
          <w:lang w:eastAsia="en-US"/>
        </w:rPr>
        <w:t xml:space="preserve"> </w:t>
      </w:r>
      <w:r>
        <w:rPr>
          <w:rFonts w:ascii="Calibri" w:eastAsia="Calibri" w:hAnsi="Calibri" w:cs="Times New Roman"/>
          <w:lang w:eastAsia="en-US"/>
        </w:rPr>
        <w:t xml:space="preserve">river </w:t>
      </w:r>
      <w:r w:rsidRPr="00DF1C49">
        <w:rPr>
          <w:rFonts w:ascii="Calibri" w:eastAsia="Calibri" w:hAnsi="Calibri" w:cs="Times New Roman"/>
          <w:lang w:eastAsia="en-US"/>
        </w:rPr>
        <w:t>plume waters</w:t>
      </w:r>
      <w:r>
        <w:rPr>
          <w:rFonts w:ascii="Calibri" w:eastAsia="Calibri" w:hAnsi="Calibri" w:cs="Times New Roman"/>
          <w:lang w:eastAsia="en-US"/>
        </w:rPr>
        <w:t xml:space="preserve"> was </w:t>
      </w:r>
      <w:r w:rsidRPr="00DF1C49">
        <w:rPr>
          <w:rFonts w:ascii="Calibri" w:eastAsia="Calibri" w:hAnsi="Calibri" w:cs="Times New Roman"/>
          <w:lang w:eastAsia="en-US"/>
        </w:rPr>
        <w:t>153852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i.e., 44% of the GBR </w:t>
      </w:r>
      <w:r>
        <w:rPr>
          <w:rFonts w:ascii="Calibri" w:eastAsia="Calibri" w:hAnsi="Calibri" w:cs="Times New Roman"/>
          <w:lang w:eastAsia="en-US"/>
        </w:rPr>
        <w:t>(</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18</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and </w:t>
      </w:r>
      <w:r>
        <w:rPr>
          <w:rFonts w:ascii="Calibri" w:eastAsia="Calibri" w:hAnsi="Calibri" w:cs="Times New Roman"/>
          <w:lang w:eastAsia="en-US"/>
        </w:rPr>
        <w:t xml:space="preserve">Appendix B: </w:t>
      </w:r>
      <w:r w:rsidRPr="00305332">
        <w:rPr>
          <w:rFonts w:ascii="Calibri" w:eastAsia="Calibri" w:hAnsi="Calibri" w:cs="Times New Roman"/>
          <w:lang w:eastAsia="en-US"/>
        </w:rPr>
        <w:t xml:space="preserve">Table </w:t>
      </w:r>
      <w:r>
        <w:rPr>
          <w:rFonts w:ascii="Calibri" w:eastAsia="Calibri" w:hAnsi="Calibri" w:cs="Times New Roman"/>
          <w:lang w:eastAsia="en-US"/>
        </w:rPr>
        <w:t>A-2.</w:t>
      </w:r>
      <w:r w:rsidRPr="00DF1C49">
        <w:rPr>
          <w:rFonts w:ascii="Calibri" w:eastAsia="Calibri" w:hAnsi="Calibri" w:cs="Times New Roman"/>
          <w:lang w:eastAsia="en-US"/>
        </w:rPr>
        <w:t xml:space="preserve"> However, the actual area very frequent</w:t>
      </w:r>
      <w:r>
        <w:rPr>
          <w:rFonts w:ascii="Calibri" w:eastAsia="Calibri" w:hAnsi="Calibri" w:cs="Times New Roman"/>
          <w:lang w:eastAsia="en-US"/>
        </w:rPr>
        <w:t>ly</w:t>
      </w:r>
      <w:r w:rsidRPr="00DF1C49">
        <w:rPr>
          <w:rFonts w:ascii="Calibri" w:eastAsia="Calibri" w:hAnsi="Calibri" w:cs="Times New Roman"/>
          <w:lang w:eastAsia="en-US"/>
        </w:rPr>
        <w:t xml:space="preserve"> to frequent</w:t>
      </w:r>
      <w:r>
        <w:rPr>
          <w:rFonts w:ascii="Calibri" w:eastAsia="Calibri" w:hAnsi="Calibri" w:cs="Times New Roman"/>
          <w:lang w:eastAsia="en-US"/>
        </w:rPr>
        <w:t>ly exposed to r</w:t>
      </w:r>
      <w:r w:rsidRPr="00DF1C49">
        <w:rPr>
          <w:rFonts w:ascii="Calibri" w:eastAsia="Calibri" w:hAnsi="Calibri" w:cs="Times New Roman"/>
          <w:lang w:eastAsia="en-US"/>
        </w:rPr>
        <w:t>iver plume</w:t>
      </w:r>
      <w:r>
        <w:rPr>
          <w:rFonts w:ascii="Calibri" w:eastAsia="Calibri" w:hAnsi="Calibri" w:cs="Times New Roman"/>
          <w:lang w:eastAsia="en-US"/>
        </w:rPr>
        <w:t xml:space="preserve"> was</w:t>
      </w:r>
      <w:r w:rsidRPr="00DF1C49">
        <w:rPr>
          <w:rFonts w:ascii="Calibri" w:eastAsia="Calibri" w:hAnsi="Calibri" w:cs="Times New Roman"/>
          <w:lang w:eastAsia="en-US"/>
        </w:rPr>
        <w:t xml:space="preserve"> much lower: 63027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i.e., about 18% of the GBR</w:t>
      </w:r>
      <w:r>
        <w:rPr>
          <w:rFonts w:ascii="Calibri" w:eastAsia="Calibri" w:hAnsi="Calibri" w:cs="Times New Roman"/>
          <w:lang w:eastAsia="en-US"/>
        </w:rPr>
        <w:t xml:space="preserve">. NRM areas exposed </w:t>
      </w:r>
      <w:r w:rsidRPr="00DF1C49">
        <w:rPr>
          <w:rFonts w:ascii="Calibri" w:eastAsia="Calibri" w:hAnsi="Calibri" w:cs="Times New Roman"/>
          <w:lang w:eastAsia="en-US"/>
        </w:rPr>
        <w:t>ranged from 2050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in Burnett-Mary (i.e., 5% of the Burnett-Mary NRM) to 18522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(i.e., 21% of the Burnett-Mary NRM) in the Fitzroy NRM. </w:t>
      </w:r>
    </w:p>
    <w:p w14:paraId="0C3F88B8" w14:textId="77777777" w:rsidR="00131E41"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18</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illustrates the areas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and percentage (%) of the GBR lagoon, coral reefs and </w:t>
      </w:r>
      <w:r>
        <w:rPr>
          <w:rFonts w:ascii="Calibri" w:eastAsia="Calibri" w:hAnsi="Calibri" w:cs="Times New Roman"/>
          <w:lang w:eastAsia="en-US"/>
        </w:rPr>
        <w:t xml:space="preserve">seagrass beds, including the </w:t>
      </w:r>
      <w:r w:rsidRPr="00DF1C49">
        <w:rPr>
          <w:rFonts w:ascii="Calibri" w:eastAsia="Calibri" w:hAnsi="Calibri" w:cs="Times New Roman"/>
          <w:lang w:eastAsia="en-US"/>
        </w:rPr>
        <w:t>surveyed; deep and total</w:t>
      </w:r>
      <w:r>
        <w:rPr>
          <w:rFonts w:ascii="Calibri" w:eastAsia="Calibri" w:hAnsi="Calibri" w:cs="Times New Roman"/>
          <w:lang w:eastAsia="en-US"/>
        </w:rPr>
        <w:t xml:space="preserve"> </w:t>
      </w:r>
      <w:r w:rsidRPr="00DF1C49">
        <w:rPr>
          <w:rFonts w:ascii="Calibri" w:eastAsia="Calibri" w:hAnsi="Calibri" w:cs="Times New Roman"/>
          <w:lang w:eastAsia="en-US"/>
        </w:rPr>
        <w:t xml:space="preserve">(surveyed + deep) seagrass beds exposed to different categories of </w:t>
      </w:r>
      <w:r>
        <w:rPr>
          <w:rFonts w:ascii="Calibri" w:eastAsia="Calibri" w:hAnsi="Calibri" w:cs="Times New Roman"/>
          <w:lang w:eastAsia="en-US"/>
        </w:rPr>
        <w:t xml:space="preserve">potential </w:t>
      </w:r>
      <w:r w:rsidRPr="00DF1C49">
        <w:rPr>
          <w:rFonts w:ascii="Calibri" w:eastAsia="Calibri" w:hAnsi="Calibri" w:cs="Times New Roman"/>
          <w:lang w:eastAsia="en-US"/>
        </w:rPr>
        <w:t>river plume risk within each NRM</w:t>
      </w:r>
      <w:r>
        <w:rPr>
          <w:rFonts w:ascii="Calibri" w:eastAsia="Calibri" w:hAnsi="Calibri" w:cs="Times New Roman"/>
          <w:lang w:eastAsia="en-US"/>
        </w:rPr>
        <w:t xml:space="preserve"> (Appendix B: Table </w:t>
      </w:r>
      <w:r w:rsidRPr="004B2708">
        <w:rPr>
          <w:rFonts w:ascii="Calibri" w:eastAsia="Calibri" w:hAnsi="Calibri" w:cs="Times New Roman"/>
          <w:lang w:eastAsia="en-US"/>
        </w:rPr>
        <w:t>A-</w:t>
      </w:r>
      <w:r>
        <w:rPr>
          <w:rFonts w:ascii="Calibri" w:eastAsia="Calibri" w:hAnsi="Calibri" w:cs="Times New Roman"/>
          <w:lang w:eastAsia="en-US"/>
        </w:rPr>
        <w:t>3 and</w:t>
      </w:r>
      <w:r w:rsidRPr="004B2708">
        <w:rPr>
          <w:rFonts w:ascii="Calibri" w:eastAsia="Calibri" w:hAnsi="Calibri" w:cs="Times New Roman"/>
          <w:lang w:eastAsia="en-US"/>
        </w:rPr>
        <w:t xml:space="preserve"> A-</w:t>
      </w:r>
      <w:r>
        <w:rPr>
          <w:rFonts w:ascii="Calibri" w:eastAsia="Calibri" w:hAnsi="Calibri" w:cs="Times New Roman"/>
          <w:lang w:eastAsia="en-US"/>
        </w:rPr>
        <w:t>4)</w:t>
      </w:r>
      <w:r w:rsidRPr="00DF1C49">
        <w:rPr>
          <w:rFonts w:ascii="Calibri" w:eastAsia="Calibri" w:hAnsi="Calibri" w:cs="Times New Roman"/>
          <w:lang w:eastAsia="en-US"/>
        </w:rPr>
        <w:t>. Coral reefs and seagrass beds exhibit a wide range of exposure to the</w:t>
      </w:r>
      <w:r>
        <w:rPr>
          <w:rFonts w:ascii="Calibri" w:eastAsia="Calibri" w:hAnsi="Calibri" w:cs="Times New Roman"/>
          <w:lang w:eastAsia="en-US"/>
        </w:rPr>
        <w:t xml:space="preserve"> potential</w:t>
      </w:r>
      <w:r w:rsidRPr="00DF1C49">
        <w:rPr>
          <w:rFonts w:ascii="Calibri" w:eastAsia="Calibri" w:hAnsi="Calibri" w:cs="Times New Roman"/>
          <w:lang w:eastAsia="en-US"/>
        </w:rPr>
        <w:t xml:space="preserve"> river plume risk, reflecting the differences</w:t>
      </w:r>
      <w:r>
        <w:rPr>
          <w:rFonts w:ascii="Calibri" w:eastAsia="Calibri" w:hAnsi="Calibri" w:cs="Times New Roman"/>
          <w:lang w:eastAsia="en-US"/>
        </w:rPr>
        <w:t xml:space="preserve"> in</w:t>
      </w:r>
      <w:r w:rsidRPr="00DF1C49">
        <w:rPr>
          <w:rFonts w:ascii="Calibri" w:eastAsia="Calibri" w:hAnsi="Calibri" w:cs="Times New Roman"/>
          <w:lang w:eastAsia="en-US"/>
        </w:rPr>
        <w:t xml:space="preserve"> </w:t>
      </w:r>
      <w:r>
        <w:rPr>
          <w:rFonts w:ascii="Calibri" w:eastAsia="Calibri" w:hAnsi="Calibri" w:cs="Times New Roman"/>
          <w:lang w:eastAsia="en-US"/>
        </w:rPr>
        <w:t xml:space="preserve">exposure (likelihood or frequency) and composition (measured though the different water types) of river plumes </w:t>
      </w:r>
      <w:r w:rsidRPr="00DF1C49">
        <w:rPr>
          <w:rFonts w:ascii="Calibri" w:eastAsia="Calibri" w:hAnsi="Calibri" w:cs="Times New Roman"/>
          <w:lang w:eastAsia="en-US"/>
        </w:rPr>
        <w:t xml:space="preserve"> </w:t>
      </w:r>
      <w:r>
        <w:rPr>
          <w:rFonts w:ascii="Calibri" w:eastAsia="Calibri" w:hAnsi="Calibri" w:cs="Times New Roman"/>
          <w:lang w:eastAsia="en-US"/>
        </w:rPr>
        <w:t>across the</w:t>
      </w:r>
      <w:r w:rsidRPr="00DF1C49">
        <w:rPr>
          <w:rFonts w:ascii="Calibri" w:eastAsia="Calibri" w:hAnsi="Calibri" w:cs="Times New Roman"/>
          <w:lang w:eastAsia="en-US"/>
        </w:rPr>
        <w:t xml:space="preserve"> NRM</w:t>
      </w:r>
      <w:r>
        <w:rPr>
          <w:rFonts w:ascii="Calibri" w:eastAsia="Calibri" w:hAnsi="Calibri" w:cs="Times New Roman"/>
          <w:lang w:eastAsia="en-US"/>
        </w:rPr>
        <w:t xml:space="preserve"> regions</w:t>
      </w:r>
      <w:r w:rsidRPr="00DF1C49">
        <w:rPr>
          <w:rFonts w:ascii="Calibri" w:eastAsia="Calibri" w:hAnsi="Calibri" w:cs="Times New Roman"/>
          <w:lang w:eastAsia="en-US"/>
        </w:rPr>
        <w:t xml:space="preserve"> as well of cross-shore locations of the habitats. In 2013, the </w:t>
      </w:r>
      <w:r>
        <w:rPr>
          <w:rFonts w:ascii="Calibri" w:eastAsia="Calibri" w:hAnsi="Calibri" w:cs="Times New Roman"/>
          <w:lang w:eastAsia="en-US"/>
        </w:rPr>
        <w:t>potential</w:t>
      </w:r>
      <w:r w:rsidRPr="00DF1C49">
        <w:rPr>
          <w:rFonts w:ascii="Calibri" w:eastAsia="Calibri" w:hAnsi="Calibri" w:cs="Times New Roman"/>
          <w:lang w:eastAsia="en-US"/>
        </w:rPr>
        <w:t xml:space="preserve"> risk from </w:t>
      </w:r>
      <w:r>
        <w:rPr>
          <w:rFonts w:ascii="Calibri" w:eastAsia="Calibri" w:hAnsi="Calibri" w:cs="Times New Roman"/>
          <w:lang w:eastAsia="en-US"/>
        </w:rPr>
        <w:t xml:space="preserve">exposure to </w:t>
      </w:r>
      <w:r w:rsidRPr="00DF1C49">
        <w:rPr>
          <w:rFonts w:ascii="Calibri" w:eastAsia="Calibri" w:hAnsi="Calibri" w:cs="Times New Roman"/>
          <w:lang w:eastAsia="en-US"/>
        </w:rPr>
        <w:t xml:space="preserve">river plume </w:t>
      </w:r>
      <w:r>
        <w:rPr>
          <w:rFonts w:ascii="Calibri" w:eastAsia="Calibri" w:hAnsi="Calibri" w:cs="Times New Roman"/>
          <w:lang w:eastAsia="en-US"/>
        </w:rPr>
        <w:t>generally increased from</w:t>
      </w:r>
      <w:r w:rsidRPr="00DF1C49">
        <w:rPr>
          <w:rFonts w:ascii="Calibri" w:eastAsia="Calibri" w:hAnsi="Calibri" w:cs="Times New Roman"/>
          <w:lang w:eastAsia="en-US"/>
        </w:rPr>
        <w:t xml:space="preserve"> the coral reefs, </w:t>
      </w:r>
      <w:r>
        <w:rPr>
          <w:rFonts w:ascii="Calibri" w:eastAsia="Calibri" w:hAnsi="Calibri" w:cs="Times New Roman"/>
          <w:lang w:eastAsia="en-US"/>
        </w:rPr>
        <w:t>to</w:t>
      </w:r>
      <w:r w:rsidRPr="00DF1C49">
        <w:rPr>
          <w:rFonts w:ascii="Calibri" w:eastAsia="Calibri" w:hAnsi="Calibri" w:cs="Times New Roman"/>
          <w:lang w:eastAsia="en-US"/>
        </w:rPr>
        <w:t xml:space="preserve"> the deep seagrasses</w:t>
      </w:r>
      <w:r>
        <w:rPr>
          <w:rFonts w:ascii="Calibri" w:eastAsia="Calibri" w:hAnsi="Calibri" w:cs="Times New Roman"/>
          <w:lang w:eastAsia="en-US"/>
        </w:rPr>
        <w:t>, to the</w:t>
      </w:r>
      <w:r w:rsidRPr="00DF1C49">
        <w:rPr>
          <w:rFonts w:ascii="Calibri" w:eastAsia="Calibri" w:hAnsi="Calibri" w:cs="Times New Roman"/>
          <w:lang w:eastAsia="en-US"/>
        </w:rPr>
        <w:t xml:space="preserve"> surveyed (coastal) seagrass beds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18</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t>
      </w:r>
    </w:p>
    <w:p w14:paraId="0C3F88B9" w14:textId="77777777" w:rsidR="00131E41" w:rsidRPr="00DF1C49" w:rsidRDefault="00131E41" w:rsidP="00131E41">
      <w:pPr>
        <w:spacing w:after="200" w:line="276" w:lineRule="auto"/>
        <w:rPr>
          <w:rFonts w:ascii="Calibri" w:eastAsia="Calibri" w:hAnsi="Calibri" w:cs="Times New Roman"/>
          <w:lang w:eastAsia="en-US"/>
        </w:rPr>
      </w:pPr>
      <w:r w:rsidRPr="0090382F">
        <w:rPr>
          <w:rFonts w:ascii="Calibri" w:eastAsia="Calibri" w:hAnsi="Calibri" w:cs="Times New Roman"/>
          <w:lang w:eastAsia="en-US"/>
        </w:rPr>
        <w:t>Twelve percent (Mackay-Whitsundays</w:t>
      </w:r>
      <w:r w:rsidRPr="0090382F" w:rsidDel="009D15DC">
        <w:rPr>
          <w:rFonts w:ascii="Calibri" w:eastAsia="Calibri" w:hAnsi="Calibri" w:cs="Times New Roman"/>
          <w:lang w:eastAsia="en-US"/>
        </w:rPr>
        <w:t xml:space="preserve"> </w:t>
      </w:r>
      <w:r w:rsidRPr="0090382F">
        <w:rPr>
          <w:rFonts w:ascii="Calibri" w:eastAsia="Calibri" w:hAnsi="Calibri" w:cs="Times New Roman"/>
          <w:lang w:eastAsia="en-US"/>
        </w:rPr>
        <w:t xml:space="preserve">NRM) to 100% (Burnett-Mary NRM) of the coral reefs were exposed to river plumes, with most of them </w:t>
      </w:r>
      <w:r>
        <w:rPr>
          <w:rFonts w:ascii="Calibri" w:eastAsia="Calibri" w:hAnsi="Calibri" w:cs="Times New Roman"/>
          <w:lang w:eastAsia="en-US"/>
        </w:rPr>
        <w:t>exposed to</w:t>
      </w:r>
      <w:r w:rsidRPr="0090382F">
        <w:rPr>
          <w:rFonts w:ascii="Calibri" w:eastAsia="Calibri" w:hAnsi="Calibri" w:cs="Times New Roman"/>
          <w:lang w:eastAsia="en-US"/>
        </w:rPr>
        <w:t xml:space="preserve"> </w:t>
      </w:r>
      <w:r>
        <w:rPr>
          <w:rFonts w:ascii="Calibri" w:eastAsia="Calibri" w:hAnsi="Calibri" w:cs="Times New Roman"/>
          <w:lang w:eastAsia="en-US"/>
        </w:rPr>
        <w:t>the lowest</w:t>
      </w:r>
      <w:r w:rsidRPr="0090382F">
        <w:rPr>
          <w:rFonts w:ascii="Calibri" w:eastAsia="Calibri" w:hAnsi="Calibri" w:cs="Times New Roman"/>
          <w:lang w:eastAsia="en-US"/>
        </w:rPr>
        <w:t xml:space="preserve"> potential risk </w:t>
      </w:r>
      <w:r>
        <w:rPr>
          <w:rFonts w:ascii="Calibri" w:eastAsia="Calibri" w:hAnsi="Calibri" w:cs="Times New Roman"/>
          <w:lang w:eastAsia="en-US"/>
        </w:rPr>
        <w:t xml:space="preserve">categories (I and II) </w:t>
      </w:r>
      <w:r w:rsidRPr="0090382F">
        <w:rPr>
          <w:rFonts w:ascii="Calibri" w:eastAsia="Calibri" w:hAnsi="Calibri" w:cs="Times New Roman"/>
          <w:lang w:eastAsia="en-US"/>
        </w:rPr>
        <w:t>from the river plumes</w:t>
      </w:r>
      <w:r>
        <w:rPr>
          <w:rFonts w:ascii="Calibri" w:eastAsia="Calibri" w:hAnsi="Calibri" w:cs="Times New Roman"/>
          <w:lang w:eastAsia="en-US"/>
        </w:rPr>
        <w:t xml:space="preserve"> exposure</w:t>
      </w:r>
      <w:r w:rsidRPr="0090382F">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18</w:t>
      </w:r>
      <w:r>
        <w:rPr>
          <w:rFonts w:ascii="Calibri" w:eastAsia="Calibri" w:hAnsi="Calibri" w:cs="Times New Roman"/>
          <w:lang w:eastAsia="en-US"/>
        </w:rPr>
        <w:fldChar w:fldCharType="end"/>
      </w:r>
      <w:r w:rsidRPr="0090382F">
        <w:rPr>
          <w:rFonts w:ascii="Calibri" w:eastAsia="Calibri" w:hAnsi="Calibri" w:cs="Times New Roman"/>
          <w:lang w:eastAsia="en-US"/>
        </w:rPr>
        <w:t xml:space="preserve">b and Appendix </w:t>
      </w:r>
      <w:r>
        <w:rPr>
          <w:rFonts w:ascii="Calibri" w:eastAsia="Calibri" w:hAnsi="Calibri" w:cs="Times New Roman"/>
          <w:lang w:eastAsia="en-US"/>
        </w:rPr>
        <w:t>B</w:t>
      </w:r>
      <w:r w:rsidRPr="0090382F">
        <w:rPr>
          <w:rFonts w:ascii="Calibri" w:eastAsia="Calibri" w:hAnsi="Calibri" w:cs="Times New Roman"/>
          <w:lang w:eastAsia="en-US"/>
        </w:rPr>
        <w:t>: Table A-</w:t>
      </w:r>
      <w:r>
        <w:rPr>
          <w:rFonts w:ascii="Calibri" w:eastAsia="Calibri" w:hAnsi="Calibri" w:cs="Times New Roman"/>
          <w:lang w:eastAsia="en-US"/>
        </w:rPr>
        <w:t>3</w:t>
      </w:r>
      <w:r w:rsidRPr="0090382F">
        <w:rPr>
          <w:rFonts w:ascii="Calibri" w:eastAsia="Calibri" w:hAnsi="Calibri" w:cs="Times New Roman"/>
          <w:lang w:eastAsia="en-US"/>
        </w:rPr>
        <w:t>).</w:t>
      </w:r>
      <w:r>
        <w:rPr>
          <w:rFonts w:ascii="Calibri" w:eastAsia="Calibri" w:hAnsi="Calibri" w:cs="Times New Roman"/>
          <w:lang w:eastAsia="en-US"/>
        </w:rPr>
        <w:t xml:space="preserve"> C</w:t>
      </w:r>
      <w:r w:rsidRPr="00DF1C49">
        <w:rPr>
          <w:rFonts w:ascii="Calibri" w:eastAsia="Calibri" w:hAnsi="Calibri" w:cs="Times New Roman"/>
          <w:lang w:eastAsia="en-US"/>
        </w:rPr>
        <w:t>oral reefs</w:t>
      </w:r>
      <w:r>
        <w:rPr>
          <w:rFonts w:ascii="Calibri" w:eastAsia="Calibri" w:hAnsi="Calibri" w:cs="Times New Roman"/>
          <w:lang w:eastAsia="en-US"/>
        </w:rPr>
        <w:t xml:space="preserve"> of the Fitzroy NRM</w:t>
      </w:r>
      <w:r w:rsidRPr="00DF1C49">
        <w:rPr>
          <w:rFonts w:ascii="Calibri" w:eastAsia="Calibri" w:hAnsi="Calibri" w:cs="Times New Roman"/>
          <w:lang w:eastAsia="en-US"/>
        </w:rPr>
        <w:t xml:space="preserve"> experienced</w:t>
      </w:r>
      <w:r>
        <w:rPr>
          <w:rFonts w:ascii="Calibri" w:eastAsia="Calibri" w:hAnsi="Calibri" w:cs="Times New Roman"/>
          <w:lang w:eastAsia="en-US"/>
        </w:rPr>
        <w:t xml:space="preserve"> the highest potential risk from river plume</w:t>
      </w:r>
      <w:r w:rsidRPr="00DF1C49">
        <w:rPr>
          <w:rFonts w:ascii="Calibri" w:eastAsia="Calibri" w:hAnsi="Calibri" w:cs="Times New Roman"/>
          <w:lang w:eastAsia="en-US"/>
        </w:rPr>
        <w:t xml:space="preserve"> (153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or 3% of the Fitzroy reefs</w:t>
      </w:r>
      <w:r>
        <w:rPr>
          <w:rFonts w:ascii="Calibri" w:eastAsia="Calibri" w:hAnsi="Calibri" w:cs="Times New Roman"/>
          <w:lang w:eastAsia="en-US"/>
        </w:rPr>
        <w:t xml:space="preserve"> exposed potential</w:t>
      </w:r>
      <w:r w:rsidRPr="00DF1C49">
        <w:rPr>
          <w:rFonts w:ascii="Calibri" w:eastAsia="Calibri" w:hAnsi="Calibri" w:cs="Times New Roman"/>
          <w:lang w:eastAsia="en-US"/>
        </w:rPr>
        <w:t xml:space="preserve"> risk </w:t>
      </w:r>
      <w:r>
        <w:rPr>
          <w:rFonts w:ascii="Calibri" w:eastAsia="Calibri" w:hAnsi="Calibri" w:cs="Times New Roman"/>
          <w:lang w:eastAsia="en-US"/>
        </w:rPr>
        <w:t>categories III and IV</w:t>
      </w:r>
      <w:r w:rsidRPr="00DF1C49">
        <w:rPr>
          <w:rFonts w:ascii="Calibri" w:eastAsia="Calibri" w:hAnsi="Calibri" w:cs="Times New Roman"/>
          <w:lang w:eastAsia="en-US"/>
        </w:rPr>
        <w:t xml:space="preserve">), </w:t>
      </w:r>
      <w:r>
        <w:rPr>
          <w:rFonts w:ascii="Calibri" w:eastAsia="Calibri" w:hAnsi="Calibri" w:cs="Times New Roman"/>
          <w:lang w:eastAsia="en-US"/>
        </w:rPr>
        <w:t xml:space="preserve">followed by the </w:t>
      </w:r>
      <w:r w:rsidRPr="00DF1C49">
        <w:rPr>
          <w:rFonts w:ascii="Calibri" w:eastAsia="Calibri" w:hAnsi="Calibri" w:cs="Times New Roman"/>
          <w:lang w:eastAsia="en-US"/>
        </w:rPr>
        <w:t>Mackay-Whitsundays</w:t>
      </w:r>
      <w:r>
        <w:rPr>
          <w:rFonts w:ascii="Calibri" w:eastAsia="Calibri" w:hAnsi="Calibri" w:cs="Times New Roman"/>
          <w:lang w:eastAsia="en-US"/>
        </w:rPr>
        <w:t xml:space="preserve"> reefs</w:t>
      </w:r>
      <w:r w:rsidRPr="00DF1C49">
        <w:rPr>
          <w:rFonts w:ascii="Calibri" w:eastAsia="Calibri" w:hAnsi="Calibri" w:cs="Times New Roman"/>
          <w:lang w:eastAsia="en-US"/>
        </w:rPr>
        <w:t xml:space="preserve"> (104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or 3% of the Mackay-Whitsundays reefs), and Cape York</w:t>
      </w:r>
      <w:r>
        <w:rPr>
          <w:rFonts w:ascii="Calibri" w:eastAsia="Calibri" w:hAnsi="Calibri" w:cs="Times New Roman"/>
          <w:lang w:eastAsia="en-US"/>
        </w:rPr>
        <w:t xml:space="preserve"> reefs</w:t>
      </w:r>
      <w:r w:rsidRPr="00DF1C49">
        <w:rPr>
          <w:rFonts w:ascii="Calibri" w:eastAsia="Calibri" w:hAnsi="Calibri" w:cs="Times New Roman"/>
          <w:lang w:eastAsia="en-US"/>
        </w:rPr>
        <w:t xml:space="preserve"> (76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or 1% of the Cape York reefs)</w:t>
      </w:r>
      <w:r>
        <w:rPr>
          <w:rFonts w:ascii="Calibri" w:eastAsia="Calibri" w:hAnsi="Calibri" w:cs="Times New Roman"/>
          <w:lang w:eastAsia="en-US"/>
        </w:rPr>
        <w:t xml:space="preserve"> (Appendix B: Table </w:t>
      </w:r>
      <w:r w:rsidRPr="004B2708">
        <w:rPr>
          <w:rFonts w:ascii="Calibri" w:eastAsia="Calibri" w:hAnsi="Calibri" w:cs="Times New Roman"/>
          <w:lang w:eastAsia="en-US"/>
        </w:rPr>
        <w:t>A-</w:t>
      </w:r>
      <w:r>
        <w:rPr>
          <w:rFonts w:ascii="Calibri" w:eastAsia="Calibri" w:hAnsi="Calibri" w:cs="Times New Roman"/>
          <w:lang w:eastAsia="en-US"/>
        </w:rPr>
        <w:t>3</w:t>
      </w:r>
      <w:r w:rsidRPr="00DF1C49">
        <w:rPr>
          <w:rFonts w:ascii="Calibri" w:eastAsia="Calibri" w:hAnsi="Calibri" w:cs="Times New Roman"/>
          <w:lang w:eastAsia="en-US"/>
        </w:rPr>
        <w:t xml:space="preserve">). </w:t>
      </w:r>
      <w:r>
        <w:rPr>
          <w:rFonts w:ascii="Calibri" w:eastAsia="Calibri" w:hAnsi="Calibri" w:cs="Times New Roman"/>
          <w:lang w:eastAsia="en-US"/>
        </w:rPr>
        <w:t xml:space="preserve">Despite being nearly always exposed to plume waters (&gt; 98% of the wet season), the potential river plume risk was lower for coral reefs of the </w:t>
      </w:r>
      <w:r w:rsidRPr="00DF1C49">
        <w:rPr>
          <w:rFonts w:ascii="Calibri" w:eastAsia="Calibri" w:hAnsi="Calibri" w:cs="Times New Roman"/>
          <w:lang w:eastAsia="en-US"/>
        </w:rPr>
        <w:t xml:space="preserve">Wet Tropics and Burnett Mary </w:t>
      </w:r>
      <w:r>
        <w:rPr>
          <w:rFonts w:ascii="Calibri" w:eastAsia="Calibri" w:hAnsi="Calibri" w:cs="Times New Roman"/>
          <w:lang w:eastAsia="en-US"/>
        </w:rPr>
        <w:t xml:space="preserve">NRM regions </w:t>
      </w:r>
      <w:r w:rsidRPr="00DF1C49">
        <w:rPr>
          <w:rFonts w:ascii="Calibri" w:eastAsia="Calibri" w:hAnsi="Calibri" w:cs="Times New Roman"/>
          <w:lang w:eastAsia="en-US"/>
        </w:rPr>
        <w:t>(</w:t>
      </w:r>
      <w:r>
        <w:rPr>
          <w:rFonts w:ascii="Calibri" w:eastAsia="Calibri" w:hAnsi="Calibri" w:cs="Times New Roman"/>
          <w:lang w:eastAsia="en-US"/>
        </w:rPr>
        <w:t>more than</w:t>
      </w:r>
      <w:r w:rsidRPr="00DF1C49">
        <w:rPr>
          <w:rFonts w:ascii="Calibri" w:eastAsia="Calibri" w:hAnsi="Calibri" w:cs="Times New Roman"/>
          <w:lang w:eastAsia="en-US"/>
        </w:rPr>
        <w:t xml:space="preserve"> 96%</w:t>
      </w:r>
      <w:r>
        <w:rPr>
          <w:rFonts w:ascii="Calibri" w:eastAsia="Calibri" w:hAnsi="Calibri" w:cs="Times New Roman"/>
          <w:lang w:eastAsia="en-US"/>
        </w:rPr>
        <w:t xml:space="preserve"> of reefs</w:t>
      </w:r>
      <w:r w:rsidRPr="00DF1C49">
        <w:rPr>
          <w:rFonts w:ascii="Calibri" w:eastAsia="Calibri" w:hAnsi="Calibri" w:cs="Times New Roman"/>
          <w:lang w:eastAsia="en-US"/>
        </w:rPr>
        <w:t xml:space="preserve"> under </w:t>
      </w:r>
      <w:r>
        <w:rPr>
          <w:rFonts w:ascii="Calibri" w:eastAsia="Calibri" w:hAnsi="Calibri" w:cs="Times New Roman"/>
          <w:lang w:eastAsia="en-US"/>
        </w:rPr>
        <w:t>potential</w:t>
      </w:r>
      <w:r w:rsidRPr="00DF1C49">
        <w:rPr>
          <w:rFonts w:ascii="Calibri" w:eastAsia="Calibri" w:hAnsi="Calibri" w:cs="Times New Roman"/>
          <w:lang w:eastAsia="en-US"/>
        </w:rPr>
        <w:t xml:space="preserve"> risk</w:t>
      </w:r>
      <w:r>
        <w:rPr>
          <w:rFonts w:ascii="Calibri" w:eastAsia="Calibri" w:hAnsi="Calibri" w:cs="Times New Roman"/>
          <w:lang w:eastAsia="en-US"/>
        </w:rPr>
        <w:t xml:space="preserve"> category I</w:t>
      </w:r>
      <w:r w:rsidRPr="00DF1C49">
        <w:rPr>
          <w:rFonts w:ascii="Calibri" w:eastAsia="Calibri" w:hAnsi="Calibri" w:cs="Times New Roman"/>
          <w:lang w:eastAsia="en-US"/>
        </w:rPr>
        <w:t xml:space="preserve">). </w:t>
      </w:r>
    </w:p>
    <w:p w14:paraId="0C3F88BA" w14:textId="77777777" w:rsidR="00131E41"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t>Ninety four</w:t>
      </w:r>
      <w:r w:rsidRPr="00485511">
        <w:rPr>
          <w:rFonts w:ascii="Calibri" w:eastAsia="Calibri" w:hAnsi="Calibri" w:cs="Times New Roman"/>
          <w:lang w:eastAsia="en-US"/>
        </w:rPr>
        <w:t xml:space="preserve"> </w:t>
      </w:r>
      <w:r>
        <w:rPr>
          <w:rFonts w:ascii="Calibri" w:eastAsia="Calibri" w:hAnsi="Calibri" w:cs="Times New Roman"/>
          <w:lang w:eastAsia="en-US"/>
        </w:rPr>
        <w:t>percent</w:t>
      </w:r>
      <w:r w:rsidRPr="00DF1C49">
        <w:rPr>
          <w:rFonts w:ascii="Calibri" w:eastAsia="Calibri" w:hAnsi="Calibri" w:cs="Times New Roman"/>
          <w:lang w:eastAsia="en-US"/>
        </w:rPr>
        <w:t xml:space="preserve"> (Cape York NRM) to 100% (Burdekin, Fitzroy and Burnett-Mary NRM</w:t>
      </w:r>
      <w:r>
        <w:rPr>
          <w:rFonts w:ascii="Calibri" w:eastAsia="Calibri" w:hAnsi="Calibri" w:cs="Times New Roman"/>
          <w:lang w:eastAsia="en-US"/>
        </w:rPr>
        <w:t xml:space="preserve"> region</w:t>
      </w:r>
      <w:r w:rsidRPr="00DF1C49">
        <w:rPr>
          <w:rFonts w:ascii="Calibri" w:eastAsia="Calibri" w:hAnsi="Calibri" w:cs="Times New Roman"/>
          <w:lang w:eastAsia="en-US"/>
        </w:rPr>
        <w:t xml:space="preserve">s) of the monitored seagrass beds were exposed to </w:t>
      </w:r>
      <w:r>
        <w:rPr>
          <w:rFonts w:ascii="Calibri" w:eastAsia="Calibri" w:hAnsi="Calibri" w:cs="Times New Roman"/>
          <w:lang w:eastAsia="en-US"/>
        </w:rPr>
        <w:t>river plumes,</w:t>
      </w:r>
      <w:r w:rsidRPr="00DF1C49">
        <w:rPr>
          <w:rFonts w:ascii="Calibri" w:eastAsia="Calibri" w:hAnsi="Calibri" w:cs="Times New Roman"/>
          <w:lang w:eastAsia="en-US"/>
        </w:rPr>
        <w:t xml:space="preserve"> with most of them under </w:t>
      </w:r>
      <w:r>
        <w:rPr>
          <w:rFonts w:ascii="Calibri" w:eastAsia="Calibri" w:hAnsi="Calibri" w:cs="Times New Roman"/>
          <w:lang w:eastAsia="en-US"/>
        </w:rPr>
        <w:t>the highest</w:t>
      </w:r>
      <w:r w:rsidRPr="00DF1C49">
        <w:rPr>
          <w:rFonts w:ascii="Calibri" w:eastAsia="Calibri" w:hAnsi="Calibri" w:cs="Times New Roman"/>
          <w:lang w:eastAsia="en-US"/>
        </w:rPr>
        <w:t xml:space="preserve"> </w:t>
      </w:r>
      <w:r>
        <w:rPr>
          <w:rFonts w:ascii="Calibri" w:eastAsia="Calibri" w:hAnsi="Calibri" w:cs="Times New Roman"/>
          <w:lang w:eastAsia="en-US"/>
        </w:rPr>
        <w:t xml:space="preserve">potential </w:t>
      </w:r>
      <w:r w:rsidRPr="00DF1C49">
        <w:rPr>
          <w:rFonts w:ascii="Calibri" w:eastAsia="Calibri" w:hAnsi="Calibri" w:cs="Times New Roman"/>
          <w:lang w:eastAsia="en-US"/>
        </w:rPr>
        <w:t>risk</w:t>
      </w:r>
      <w:r>
        <w:rPr>
          <w:rFonts w:ascii="Calibri" w:eastAsia="Calibri" w:hAnsi="Calibri" w:cs="Times New Roman"/>
          <w:lang w:eastAsia="en-US"/>
        </w:rPr>
        <w:t xml:space="preserve"> categories (III and IV)</w:t>
      </w:r>
      <w:r w:rsidRPr="00DF1C49">
        <w:rPr>
          <w:rFonts w:ascii="Calibri" w:eastAsia="Calibri" w:hAnsi="Calibri" w:cs="Times New Roman"/>
          <w:lang w:eastAsia="en-US"/>
        </w:rPr>
        <w:t xml:space="preserve"> from the river plumes</w:t>
      </w:r>
      <w:r>
        <w:rPr>
          <w:rFonts w:ascii="Calibri" w:eastAsia="Calibri" w:hAnsi="Calibri" w:cs="Times New Roman"/>
          <w:lang w:eastAsia="en-US"/>
        </w:rPr>
        <w:t xml:space="preserve"> </w:t>
      </w:r>
      <w:r w:rsidRPr="00DF1C49">
        <w:rPr>
          <w:rFonts w:ascii="Calibri" w:eastAsia="Calibri" w:hAnsi="Calibri" w:cs="Times New Roman"/>
          <w:lang w:eastAsia="en-US"/>
        </w:rPr>
        <w:t>(</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 MERGEFORMAT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B62B50">
        <w:rPr>
          <w:rFonts w:ascii="Calibri" w:eastAsia="Calibri" w:hAnsi="Calibri" w:cs="Times New Roman"/>
          <w:lang w:eastAsia="en-US"/>
        </w:rPr>
        <w:t>Figure 5</w:t>
      </w:r>
      <w:r w:rsidR="00B62B50" w:rsidRPr="00B62B50">
        <w:rPr>
          <w:rFonts w:ascii="Calibri" w:eastAsia="Calibri" w:hAnsi="Calibri" w:cs="Times New Roman"/>
          <w:lang w:eastAsia="en-US"/>
        </w:rPr>
        <w:noBreakHyphen/>
        <w:t>18</w:t>
      </w:r>
      <w:r>
        <w:rPr>
          <w:rFonts w:ascii="Calibri" w:eastAsia="Calibri" w:hAnsi="Calibri" w:cs="Times New Roman"/>
          <w:lang w:eastAsia="en-US"/>
        </w:rPr>
        <w:fldChar w:fldCharType="end"/>
      </w:r>
      <w:r w:rsidR="00A60496">
        <w:rPr>
          <w:rFonts w:ascii="Calibri" w:eastAsia="Calibri" w:hAnsi="Calibri" w:cs="Times New Roman"/>
          <w:lang w:eastAsia="en-US"/>
        </w:rPr>
        <w:t xml:space="preserve"> </w:t>
      </w:r>
      <w:r w:rsidRPr="00DF1C49">
        <w:rPr>
          <w:rFonts w:ascii="Calibri" w:eastAsia="Calibri" w:hAnsi="Calibri" w:cs="Times New Roman"/>
          <w:lang w:eastAsia="en-US"/>
        </w:rPr>
        <w:t xml:space="preserve">and </w:t>
      </w:r>
      <w:r>
        <w:rPr>
          <w:rFonts w:ascii="Calibri" w:eastAsia="Calibri" w:hAnsi="Calibri" w:cs="Times New Roman"/>
          <w:lang w:eastAsia="en-US"/>
        </w:rPr>
        <w:t xml:space="preserve">Appendix B: Table </w:t>
      </w:r>
      <w:r w:rsidRPr="004B2708">
        <w:rPr>
          <w:rFonts w:ascii="Calibri" w:eastAsia="Calibri" w:hAnsi="Calibri" w:cs="Times New Roman"/>
          <w:lang w:eastAsia="en-US"/>
        </w:rPr>
        <w:t>A-</w:t>
      </w:r>
      <w:r>
        <w:rPr>
          <w:rFonts w:ascii="Calibri" w:eastAsia="Calibri" w:hAnsi="Calibri" w:cs="Times New Roman"/>
          <w:lang w:eastAsia="en-US"/>
        </w:rPr>
        <w:t>4a</w:t>
      </w:r>
      <w:r w:rsidRPr="00DF1C49">
        <w:rPr>
          <w:rFonts w:ascii="Calibri" w:eastAsia="Calibri" w:hAnsi="Calibri" w:cs="Times New Roman"/>
          <w:lang w:eastAsia="en-US"/>
        </w:rPr>
        <w:t>).</w:t>
      </w:r>
      <w:r>
        <w:rPr>
          <w:rFonts w:ascii="Calibri" w:eastAsia="Calibri" w:hAnsi="Calibri" w:cs="Times New Roman"/>
          <w:lang w:eastAsia="en-US"/>
        </w:rPr>
        <w:t xml:space="preserve"> Seagrass beds of the </w:t>
      </w:r>
      <w:r w:rsidRPr="00DF1C49">
        <w:rPr>
          <w:rFonts w:ascii="Calibri" w:eastAsia="Calibri" w:hAnsi="Calibri" w:cs="Times New Roman"/>
          <w:lang w:eastAsia="en-US"/>
        </w:rPr>
        <w:t>Cape York</w:t>
      </w:r>
      <w:r>
        <w:rPr>
          <w:rFonts w:ascii="Calibri" w:eastAsia="Calibri" w:hAnsi="Calibri" w:cs="Times New Roman"/>
          <w:lang w:eastAsia="en-US"/>
        </w:rPr>
        <w:t xml:space="preserve"> and Burdekin NRM regions were evaluated as the most at risk, with </w:t>
      </w:r>
      <w:r w:rsidRPr="00C1049D">
        <w:rPr>
          <w:rFonts w:ascii="Calibri" w:eastAsia="Calibri" w:hAnsi="Calibri" w:cs="Times New Roman"/>
          <w:lang w:eastAsia="en-US"/>
        </w:rPr>
        <w:t>1186 km</w:t>
      </w:r>
      <w:r w:rsidRPr="00C1049D">
        <w:rPr>
          <w:rFonts w:ascii="Calibri" w:eastAsia="Calibri" w:hAnsi="Calibri" w:cs="Times New Roman"/>
          <w:vertAlign w:val="superscript"/>
          <w:lang w:eastAsia="en-US"/>
        </w:rPr>
        <w:t>2</w:t>
      </w:r>
      <w:r w:rsidRPr="00C1049D">
        <w:rPr>
          <w:rFonts w:ascii="Calibri" w:eastAsia="Calibri" w:hAnsi="Calibri" w:cs="Times New Roman"/>
          <w:lang w:eastAsia="en-US"/>
        </w:rPr>
        <w:t xml:space="preserve"> </w:t>
      </w:r>
      <w:r>
        <w:rPr>
          <w:rFonts w:ascii="Calibri" w:eastAsia="Calibri" w:hAnsi="Calibri" w:cs="Times New Roman"/>
          <w:lang w:eastAsia="en-US"/>
        </w:rPr>
        <w:t>(</w:t>
      </w:r>
      <w:r w:rsidRPr="00C1049D">
        <w:rPr>
          <w:rFonts w:ascii="Calibri" w:eastAsia="Calibri" w:hAnsi="Calibri" w:cs="Times New Roman"/>
          <w:lang w:eastAsia="en-US"/>
        </w:rPr>
        <w:t>or 49%</w:t>
      </w:r>
      <w:r>
        <w:rPr>
          <w:rFonts w:ascii="Calibri" w:eastAsia="Calibri" w:hAnsi="Calibri" w:cs="Times New Roman"/>
          <w:lang w:eastAsia="en-US"/>
        </w:rPr>
        <w:t xml:space="preserve">) and </w:t>
      </w:r>
      <w:r w:rsidRPr="00DF1C49">
        <w:rPr>
          <w:rFonts w:ascii="Calibri" w:eastAsia="Calibri" w:hAnsi="Calibri" w:cs="Times New Roman"/>
          <w:lang w:eastAsia="en-US"/>
        </w:rPr>
        <w:t>501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80%</w:t>
      </w:r>
      <w:r>
        <w:rPr>
          <w:rFonts w:ascii="Calibri" w:eastAsia="Calibri" w:hAnsi="Calibri" w:cs="Times New Roman"/>
          <w:lang w:eastAsia="en-US"/>
        </w:rPr>
        <w:t>)</w:t>
      </w:r>
      <w:r w:rsidRPr="00DF1C49">
        <w:rPr>
          <w:rFonts w:ascii="Calibri" w:eastAsia="Calibri" w:hAnsi="Calibri" w:cs="Times New Roman"/>
          <w:lang w:eastAsia="en-US"/>
        </w:rPr>
        <w:t xml:space="preserve"> </w:t>
      </w:r>
      <w:r w:rsidRPr="00C1049D">
        <w:rPr>
          <w:rFonts w:ascii="Calibri" w:eastAsia="Calibri" w:hAnsi="Calibri" w:cs="Times New Roman"/>
          <w:lang w:eastAsia="en-US"/>
        </w:rPr>
        <w:t>of the monitored Cape York</w:t>
      </w:r>
      <w:r>
        <w:rPr>
          <w:rFonts w:ascii="Calibri" w:eastAsia="Calibri" w:hAnsi="Calibri" w:cs="Times New Roman"/>
          <w:lang w:eastAsia="en-US"/>
        </w:rPr>
        <w:t xml:space="preserve"> and Burdekin</w:t>
      </w:r>
      <w:r w:rsidRPr="00C1049D">
        <w:rPr>
          <w:rFonts w:ascii="Calibri" w:eastAsia="Calibri" w:hAnsi="Calibri" w:cs="Times New Roman"/>
          <w:lang w:eastAsia="en-US"/>
        </w:rPr>
        <w:t xml:space="preserve"> seagrass beds exposed to </w:t>
      </w:r>
      <w:r>
        <w:rPr>
          <w:rFonts w:ascii="Calibri" w:eastAsia="Calibri" w:hAnsi="Calibri" w:cs="Times New Roman"/>
          <w:lang w:eastAsia="en-US"/>
        </w:rPr>
        <w:t xml:space="preserve">potential </w:t>
      </w:r>
      <w:r w:rsidRPr="00C1049D">
        <w:rPr>
          <w:rFonts w:ascii="Calibri" w:eastAsia="Calibri" w:hAnsi="Calibri" w:cs="Times New Roman"/>
          <w:lang w:eastAsia="en-US"/>
        </w:rPr>
        <w:t>risk categories</w:t>
      </w:r>
      <w:r>
        <w:rPr>
          <w:rFonts w:ascii="Calibri" w:eastAsia="Calibri" w:hAnsi="Calibri" w:cs="Times New Roman"/>
          <w:lang w:eastAsia="en-US"/>
        </w:rPr>
        <w:t xml:space="preserve"> III and IV, respectively</w:t>
      </w:r>
      <w:r w:rsidRPr="00DF1C49">
        <w:rPr>
          <w:rFonts w:ascii="Calibri" w:eastAsia="Calibri" w:hAnsi="Calibri" w:cs="Times New Roman"/>
          <w:lang w:eastAsia="en-US"/>
        </w:rPr>
        <w:t xml:space="preserve">. When expressed in percentage, monitored seagrass beds the most exposed </w:t>
      </w:r>
      <w:r>
        <w:rPr>
          <w:rFonts w:ascii="Calibri" w:eastAsia="Calibri" w:hAnsi="Calibri" w:cs="Times New Roman"/>
          <w:lang w:eastAsia="en-US"/>
        </w:rPr>
        <w:t>the potential</w:t>
      </w:r>
      <w:r w:rsidRPr="00DF1C49">
        <w:rPr>
          <w:rFonts w:ascii="Calibri" w:eastAsia="Calibri" w:hAnsi="Calibri" w:cs="Times New Roman"/>
          <w:lang w:eastAsia="en-US"/>
        </w:rPr>
        <w:t xml:space="preserve"> risk </w:t>
      </w:r>
      <w:r>
        <w:rPr>
          <w:rFonts w:ascii="Calibri" w:eastAsia="Calibri" w:hAnsi="Calibri" w:cs="Times New Roman"/>
          <w:lang w:eastAsia="en-US"/>
        </w:rPr>
        <w:t>category IV</w:t>
      </w:r>
      <w:r w:rsidRPr="00DF1C49">
        <w:rPr>
          <w:rFonts w:ascii="Calibri" w:eastAsia="Calibri" w:hAnsi="Calibri" w:cs="Times New Roman"/>
          <w:lang w:eastAsia="en-US"/>
        </w:rPr>
        <w:t xml:space="preserve"> were those located in the Dry tropics NRM</w:t>
      </w:r>
      <w:r>
        <w:rPr>
          <w:rFonts w:ascii="Calibri" w:eastAsia="Calibri" w:hAnsi="Calibri" w:cs="Times New Roman"/>
          <w:lang w:eastAsia="en-US"/>
        </w:rPr>
        <w:t xml:space="preserve"> regions</w:t>
      </w:r>
      <w:r w:rsidRPr="00DF1C49">
        <w:rPr>
          <w:rFonts w:ascii="Calibri" w:eastAsia="Calibri" w:hAnsi="Calibri" w:cs="Times New Roman"/>
          <w:lang w:eastAsia="en-US"/>
        </w:rPr>
        <w:t xml:space="preserve"> (Fitzroy: 24%, Burnett-Mary: 20% and Burdekin: 11% of the seagrass beds monitored in each respective NRM).</w:t>
      </w:r>
    </w:p>
    <w:p w14:paraId="0C3F88BB" w14:textId="77777777" w:rsidR="00131E41" w:rsidRPr="00DF1C49" w:rsidRDefault="00131E41" w:rsidP="00131E41">
      <w:pPr>
        <w:rPr>
          <w:rFonts w:ascii="Calibri" w:eastAsia="Calibri" w:hAnsi="Calibri" w:cs="Times New Roman"/>
          <w:bCs/>
          <w:color w:val="4F81BD"/>
          <w:sz w:val="18"/>
          <w:szCs w:val="18"/>
          <w:lang w:eastAsia="en-US"/>
        </w:rPr>
      </w:pPr>
      <w:r>
        <w:rPr>
          <w:rFonts w:ascii="Calibri" w:eastAsia="Calibri" w:hAnsi="Calibri" w:cs="Times New Roman"/>
          <w:bCs/>
          <w:noProof/>
          <w:color w:val="4F81BD"/>
          <w:sz w:val="24"/>
          <w:szCs w:val="24"/>
        </w:rPr>
        <w:drawing>
          <wp:inline distT="0" distB="0" distL="0" distR="0" wp14:anchorId="0C3F9025" wp14:editId="0C3F9026">
            <wp:extent cx="5724000" cy="7160400"/>
            <wp:effectExtent l="0" t="0" r="0" b="2540"/>
            <wp:docPr id="10" name="Picture 10" descr="Areas (km2) and percentage (%) of the a) GBR lagoon, b) coral reefs and c) seagrass beds (c1: surveyed; c2: deep and c3) total (surveyed + deep) seagrass beds) exposed to different categories of river plume risk within each NRM and during the wet season 2012-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24000" cy="7160400"/>
                    </a:xfrm>
                    <a:prstGeom prst="rect">
                      <a:avLst/>
                    </a:prstGeom>
                    <a:noFill/>
                  </pic:spPr>
                </pic:pic>
              </a:graphicData>
            </a:graphic>
          </wp:inline>
        </w:drawing>
      </w:r>
    </w:p>
    <w:p w14:paraId="0C3F88BC" w14:textId="77777777" w:rsidR="00131E41" w:rsidRPr="00DF1C49" w:rsidRDefault="00131E41" w:rsidP="00131E41">
      <w:pPr>
        <w:pStyle w:val="Caption"/>
        <w:rPr>
          <w:rFonts w:eastAsia="Calibri"/>
        </w:rPr>
      </w:pPr>
      <w:bookmarkStart w:id="238" w:name="_Ref427750071"/>
      <w:bookmarkStart w:id="239" w:name="_Toc427833296"/>
      <w:bookmarkStart w:id="240" w:name="_Toc434208054"/>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18</w:t>
      </w:r>
      <w:r w:rsidR="00D243CD">
        <w:rPr>
          <w:rFonts w:eastAsia="Calibri"/>
        </w:rPr>
        <w:fldChar w:fldCharType="end"/>
      </w:r>
      <w:bookmarkEnd w:id="238"/>
      <w:r w:rsidRPr="00DF1C49">
        <w:rPr>
          <w:rFonts w:eastAsia="Calibri"/>
        </w:rPr>
        <w:t>: Areas (km</w:t>
      </w:r>
      <w:r w:rsidRPr="00DF1C49">
        <w:rPr>
          <w:rFonts w:eastAsia="Calibri"/>
          <w:vertAlign w:val="superscript"/>
        </w:rPr>
        <w:t>2</w:t>
      </w:r>
      <w:r w:rsidRPr="00DF1C49">
        <w:rPr>
          <w:rFonts w:eastAsia="Calibri"/>
        </w:rPr>
        <w:t>) and percentage (%) of the a) GBR lagoon, b) coral reefs and c) seagrass beds (c1: surveyed; c2: deep and c3) total (surveyed + deep) seagrass beds) exposed to different categories of river plume risk within each NRM and during the wet season 2012-13.</w:t>
      </w:r>
      <w:bookmarkEnd w:id="239"/>
      <w:bookmarkEnd w:id="240"/>
      <w:r w:rsidRPr="00DF1C49">
        <w:rPr>
          <w:rFonts w:eastAsia="Calibri"/>
        </w:rPr>
        <w:t xml:space="preserve"> </w:t>
      </w:r>
    </w:p>
    <w:p w14:paraId="0C3F88BD" w14:textId="77777777" w:rsidR="00131E41" w:rsidRPr="00DF1C49" w:rsidRDefault="00131E41" w:rsidP="00131E41">
      <w:pPr>
        <w:rPr>
          <w:rFonts w:ascii="Calibri" w:eastAsia="Calibri" w:hAnsi="Calibri" w:cs="Times New Roman"/>
          <w:lang w:eastAsia="en-US"/>
        </w:rPr>
      </w:pPr>
    </w:p>
    <w:p w14:paraId="0C3F88BE" w14:textId="77777777" w:rsidR="00131E41"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t>Sixty four</w:t>
      </w:r>
      <w:r w:rsidRPr="00485511">
        <w:rPr>
          <w:rFonts w:ascii="Calibri" w:eastAsia="Calibri" w:hAnsi="Calibri" w:cs="Times New Roman"/>
          <w:lang w:eastAsia="en-US"/>
        </w:rPr>
        <w:t xml:space="preserve"> </w:t>
      </w:r>
      <w:r>
        <w:rPr>
          <w:rFonts w:ascii="Calibri" w:eastAsia="Calibri" w:hAnsi="Calibri" w:cs="Times New Roman"/>
          <w:lang w:eastAsia="en-US"/>
        </w:rPr>
        <w:t>percent</w:t>
      </w:r>
      <w:r w:rsidRPr="00DF1C49">
        <w:rPr>
          <w:rFonts w:ascii="Calibri" w:eastAsia="Calibri" w:hAnsi="Calibri" w:cs="Times New Roman"/>
          <w:lang w:eastAsia="en-US"/>
        </w:rPr>
        <w:t xml:space="preserve"> (Burdekin NRM) to 100% (Wet Tropics, Mackay-Whitsundays and Fitzroy NRM</w:t>
      </w:r>
      <w:r>
        <w:rPr>
          <w:rFonts w:ascii="Calibri" w:eastAsia="Calibri" w:hAnsi="Calibri" w:cs="Times New Roman"/>
          <w:lang w:eastAsia="en-US"/>
        </w:rPr>
        <w:t xml:space="preserve"> region</w:t>
      </w:r>
      <w:r w:rsidRPr="00DF1C49">
        <w:rPr>
          <w:rFonts w:ascii="Calibri" w:eastAsia="Calibri" w:hAnsi="Calibri" w:cs="Times New Roman"/>
          <w:lang w:eastAsia="en-US"/>
        </w:rPr>
        <w:t xml:space="preserve">s) of the </w:t>
      </w:r>
      <w:r>
        <w:rPr>
          <w:rFonts w:ascii="Calibri" w:eastAsia="Calibri" w:hAnsi="Calibri" w:cs="Times New Roman"/>
          <w:lang w:eastAsia="en-US"/>
        </w:rPr>
        <w:t xml:space="preserve">modelled </w:t>
      </w:r>
      <w:r w:rsidRPr="00DF1C49">
        <w:rPr>
          <w:rFonts w:ascii="Calibri" w:eastAsia="Calibri" w:hAnsi="Calibri" w:cs="Times New Roman"/>
          <w:lang w:eastAsia="en-US"/>
        </w:rPr>
        <w:t>deep seagrass beds were exposed to river plumes</w:t>
      </w:r>
      <w:r>
        <w:rPr>
          <w:rFonts w:ascii="Calibri" w:eastAsia="Calibri" w:hAnsi="Calibri" w:cs="Times New Roman"/>
          <w:lang w:eastAsia="en-US"/>
        </w:rPr>
        <w:t xml:space="preserve">, </w:t>
      </w:r>
      <w:r w:rsidRPr="00DF1C49">
        <w:rPr>
          <w:rFonts w:ascii="Calibri" w:eastAsia="Calibri" w:hAnsi="Calibri" w:cs="Times New Roman"/>
          <w:lang w:eastAsia="en-US"/>
        </w:rPr>
        <w:t xml:space="preserve">with most of them under </w:t>
      </w:r>
      <w:r>
        <w:rPr>
          <w:rFonts w:ascii="Calibri" w:eastAsia="Calibri" w:hAnsi="Calibri" w:cs="Times New Roman"/>
          <w:lang w:eastAsia="en-US"/>
        </w:rPr>
        <w:t xml:space="preserve">potential </w:t>
      </w:r>
      <w:r w:rsidRPr="00DF1C49">
        <w:rPr>
          <w:rFonts w:ascii="Calibri" w:eastAsia="Calibri" w:hAnsi="Calibri" w:cs="Times New Roman"/>
          <w:lang w:eastAsia="en-US"/>
        </w:rPr>
        <w:t>risk</w:t>
      </w:r>
      <w:r>
        <w:rPr>
          <w:rFonts w:ascii="Calibri" w:eastAsia="Calibri" w:hAnsi="Calibri" w:cs="Times New Roman"/>
          <w:lang w:eastAsia="en-US"/>
        </w:rPr>
        <w:t xml:space="preserve"> categories II and III</w:t>
      </w:r>
      <w:r w:rsidRPr="00DF1C49">
        <w:rPr>
          <w:rFonts w:ascii="Calibri" w:eastAsia="Calibri" w:hAnsi="Calibri" w:cs="Times New Roman"/>
          <w:lang w:eastAsia="en-US"/>
        </w:rPr>
        <w:t xml:space="preserve"> from the river plumes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 MERGEFORMAT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B62B50">
        <w:rPr>
          <w:rFonts w:ascii="Calibri" w:eastAsia="Calibri" w:hAnsi="Calibri" w:cs="Times New Roman"/>
          <w:lang w:eastAsia="en-US"/>
        </w:rPr>
        <w:t>Figure 5</w:t>
      </w:r>
      <w:r w:rsidR="00B62B50" w:rsidRPr="00B62B50">
        <w:rPr>
          <w:rFonts w:ascii="Calibri" w:eastAsia="Calibri" w:hAnsi="Calibri" w:cs="Times New Roman"/>
          <w:lang w:eastAsia="en-US"/>
        </w:rPr>
        <w:noBreakHyphen/>
        <w:t>18</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c2 and </w:t>
      </w:r>
      <w:r>
        <w:rPr>
          <w:rFonts w:ascii="Calibri" w:eastAsia="Calibri" w:hAnsi="Calibri" w:cs="Times New Roman"/>
          <w:lang w:eastAsia="en-US"/>
        </w:rPr>
        <w:t xml:space="preserve">Appendix B: Table </w:t>
      </w:r>
      <w:r w:rsidRPr="004B2708">
        <w:rPr>
          <w:rFonts w:ascii="Calibri" w:eastAsia="Calibri" w:hAnsi="Calibri" w:cs="Times New Roman"/>
          <w:lang w:eastAsia="en-US"/>
        </w:rPr>
        <w:t>A-</w:t>
      </w:r>
      <w:r>
        <w:rPr>
          <w:rFonts w:ascii="Calibri" w:eastAsia="Calibri" w:hAnsi="Calibri" w:cs="Times New Roman"/>
          <w:lang w:eastAsia="en-US"/>
        </w:rPr>
        <w:t>4b</w:t>
      </w:r>
      <w:r w:rsidRPr="00DF1C49">
        <w:rPr>
          <w:rFonts w:ascii="Calibri" w:eastAsia="Calibri" w:hAnsi="Calibri" w:cs="Times New Roman"/>
          <w:lang w:eastAsia="en-US"/>
        </w:rPr>
        <w:t>).</w:t>
      </w:r>
      <w:r>
        <w:rPr>
          <w:rFonts w:ascii="Calibri" w:eastAsia="Calibri" w:hAnsi="Calibri" w:cs="Times New Roman"/>
          <w:lang w:eastAsia="en-US"/>
        </w:rPr>
        <w:t xml:space="preserve"> Deep seagrass of the </w:t>
      </w:r>
      <w:r w:rsidRPr="00DF1C49">
        <w:rPr>
          <w:rFonts w:ascii="Calibri" w:eastAsia="Calibri" w:hAnsi="Calibri" w:cs="Times New Roman"/>
          <w:lang w:eastAsia="en-US"/>
        </w:rPr>
        <w:t>Cape York</w:t>
      </w:r>
      <w:r>
        <w:rPr>
          <w:rFonts w:ascii="Calibri" w:eastAsia="Calibri" w:hAnsi="Calibri" w:cs="Times New Roman"/>
          <w:lang w:eastAsia="en-US"/>
        </w:rPr>
        <w:t xml:space="preserve">, </w:t>
      </w:r>
      <w:r w:rsidRPr="00DF1C49">
        <w:rPr>
          <w:rFonts w:ascii="Calibri" w:eastAsia="Calibri" w:hAnsi="Calibri" w:cs="Times New Roman"/>
          <w:lang w:eastAsia="en-US"/>
        </w:rPr>
        <w:t>Burnett-Mary</w:t>
      </w:r>
      <w:r>
        <w:rPr>
          <w:rFonts w:ascii="Calibri" w:eastAsia="Calibri" w:hAnsi="Calibri" w:cs="Times New Roman"/>
          <w:lang w:eastAsia="en-US"/>
        </w:rPr>
        <w:t xml:space="preserve"> and</w:t>
      </w:r>
      <w:r w:rsidRPr="00DF1C49">
        <w:rPr>
          <w:rFonts w:ascii="Calibri" w:eastAsia="Calibri" w:hAnsi="Calibri" w:cs="Times New Roman"/>
          <w:lang w:eastAsia="en-US"/>
        </w:rPr>
        <w:t xml:space="preserve"> Fitzroy</w:t>
      </w:r>
      <w:r>
        <w:rPr>
          <w:rFonts w:ascii="Calibri" w:eastAsia="Calibri" w:hAnsi="Calibri" w:cs="Times New Roman"/>
          <w:lang w:eastAsia="en-US"/>
        </w:rPr>
        <w:t xml:space="preserve"> NRM regions were evaluated as the most at risk, with </w:t>
      </w:r>
      <w:r w:rsidRPr="00DF1C49">
        <w:rPr>
          <w:rFonts w:ascii="Calibri" w:eastAsia="Calibri" w:hAnsi="Calibri" w:cs="Times New Roman"/>
          <w:lang w:eastAsia="en-US"/>
        </w:rPr>
        <w:t>6634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70%</w:t>
      </w:r>
      <w:r>
        <w:rPr>
          <w:rFonts w:ascii="Calibri" w:eastAsia="Calibri" w:hAnsi="Calibri" w:cs="Times New Roman"/>
          <w:lang w:eastAsia="en-US"/>
        </w:rPr>
        <w:t xml:space="preserve">), </w:t>
      </w:r>
      <w:r w:rsidRPr="00DF1C49">
        <w:rPr>
          <w:rFonts w:ascii="Calibri" w:eastAsia="Calibri" w:hAnsi="Calibri" w:cs="Times New Roman"/>
          <w:lang w:eastAsia="en-US"/>
        </w:rPr>
        <w:t>2829 km</w:t>
      </w:r>
      <w:r w:rsidRPr="00600E32">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45%</w:t>
      </w:r>
      <w:r>
        <w:rPr>
          <w:rFonts w:ascii="Calibri" w:eastAsia="Calibri" w:hAnsi="Calibri" w:cs="Times New Roman"/>
          <w:lang w:eastAsia="en-US"/>
        </w:rPr>
        <w:t xml:space="preserve">) and </w:t>
      </w:r>
      <w:r w:rsidRPr="00DF1C49">
        <w:rPr>
          <w:rFonts w:ascii="Calibri" w:eastAsia="Calibri" w:hAnsi="Calibri" w:cs="Times New Roman"/>
          <w:lang w:eastAsia="en-US"/>
        </w:rPr>
        <w:t>2181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39%</w:t>
      </w:r>
      <w:r>
        <w:rPr>
          <w:rFonts w:ascii="Calibri" w:eastAsia="Calibri" w:hAnsi="Calibri" w:cs="Times New Roman"/>
          <w:lang w:eastAsia="en-US"/>
        </w:rPr>
        <w:t xml:space="preserve">) of the </w:t>
      </w:r>
      <w:r w:rsidRPr="00DF1C49">
        <w:rPr>
          <w:rFonts w:ascii="Calibri" w:eastAsia="Calibri" w:hAnsi="Calibri" w:cs="Times New Roman"/>
          <w:lang w:eastAsia="en-US"/>
        </w:rPr>
        <w:t>Cape York</w:t>
      </w:r>
      <w:r>
        <w:rPr>
          <w:rFonts w:ascii="Calibri" w:eastAsia="Calibri" w:hAnsi="Calibri" w:cs="Times New Roman"/>
          <w:lang w:eastAsia="en-US"/>
        </w:rPr>
        <w:t xml:space="preserve">, </w:t>
      </w:r>
      <w:r w:rsidRPr="00DF1C49">
        <w:rPr>
          <w:rFonts w:ascii="Calibri" w:eastAsia="Calibri" w:hAnsi="Calibri" w:cs="Times New Roman"/>
          <w:lang w:eastAsia="en-US"/>
        </w:rPr>
        <w:t>Burnett-Mary</w:t>
      </w:r>
      <w:r>
        <w:rPr>
          <w:rFonts w:ascii="Calibri" w:eastAsia="Calibri" w:hAnsi="Calibri" w:cs="Times New Roman"/>
          <w:lang w:eastAsia="en-US"/>
        </w:rPr>
        <w:t xml:space="preserve"> and </w:t>
      </w:r>
      <w:r w:rsidRPr="00C1049D">
        <w:rPr>
          <w:rFonts w:ascii="Calibri" w:eastAsia="Calibri" w:hAnsi="Calibri" w:cs="Times New Roman"/>
          <w:lang w:eastAsia="en-US"/>
        </w:rPr>
        <w:t>Fitzroy</w:t>
      </w:r>
      <w:r>
        <w:rPr>
          <w:rFonts w:ascii="Calibri" w:eastAsia="Calibri" w:hAnsi="Calibri" w:cs="Times New Roman"/>
          <w:lang w:eastAsia="en-US"/>
        </w:rPr>
        <w:t xml:space="preserve"> </w:t>
      </w:r>
      <w:r w:rsidRPr="00DF1C49">
        <w:rPr>
          <w:rFonts w:ascii="Calibri" w:eastAsia="Calibri" w:hAnsi="Calibri" w:cs="Times New Roman"/>
          <w:lang w:eastAsia="en-US"/>
        </w:rPr>
        <w:t>deep</w:t>
      </w:r>
      <w:r>
        <w:rPr>
          <w:rFonts w:ascii="Calibri" w:eastAsia="Calibri" w:hAnsi="Calibri" w:cs="Times New Roman"/>
          <w:lang w:eastAsia="en-US"/>
        </w:rPr>
        <w:t xml:space="preserve"> </w:t>
      </w:r>
      <w:r w:rsidRPr="00DF1C49">
        <w:rPr>
          <w:rFonts w:ascii="Calibri" w:eastAsia="Calibri" w:hAnsi="Calibri" w:cs="Times New Roman"/>
          <w:lang w:eastAsia="en-US"/>
        </w:rPr>
        <w:t>seagrass beds</w:t>
      </w:r>
      <w:r>
        <w:rPr>
          <w:rFonts w:ascii="Calibri" w:eastAsia="Calibri" w:hAnsi="Calibri" w:cs="Times New Roman"/>
          <w:lang w:eastAsia="en-US"/>
        </w:rPr>
        <w:t xml:space="preserve"> </w:t>
      </w:r>
      <w:r w:rsidRPr="00C1049D">
        <w:rPr>
          <w:rFonts w:ascii="Calibri" w:eastAsia="Calibri" w:hAnsi="Calibri" w:cs="Times New Roman"/>
          <w:lang w:eastAsia="en-US"/>
        </w:rPr>
        <w:t xml:space="preserve">exposed </w:t>
      </w:r>
      <w:r>
        <w:rPr>
          <w:rFonts w:ascii="Calibri" w:eastAsia="Calibri" w:hAnsi="Calibri" w:cs="Times New Roman"/>
          <w:lang w:eastAsia="en-US"/>
        </w:rPr>
        <w:t xml:space="preserve">to </w:t>
      </w:r>
      <w:r w:rsidRPr="00C1049D">
        <w:rPr>
          <w:rFonts w:ascii="Calibri" w:eastAsia="Calibri" w:hAnsi="Calibri" w:cs="Times New Roman"/>
          <w:lang w:eastAsia="en-US"/>
        </w:rPr>
        <w:t>potential risk categories</w:t>
      </w:r>
      <w:r>
        <w:rPr>
          <w:rFonts w:ascii="Calibri" w:eastAsia="Calibri" w:hAnsi="Calibri" w:cs="Times New Roman"/>
          <w:lang w:eastAsia="en-US"/>
        </w:rPr>
        <w:t xml:space="preserve"> II and III</w:t>
      </w:r>
      <w:r w:rsidRPr="00C1049D">
        <w:rPr>
          <w:rFonts w:ascii="Calibri" w:eastAsia="Calibri" w:hAnsi="Calibri" w:cs="Times New Roman"/>
          <w:lang w:eastAsia="en-US"/>
        </w:rPr>
        <w:t>, respectively</w:t>
      </w:r>
      <w:r>
        <w:rPr>
          <w:rFonts w:ascii="Calibri" w:eastAsia="Calibri" w:hAnsi="Calibri" w:cs="Times New Roman"/>
          <w:lang w:eastAsia="en-US"/>
        </w:rPr>
        <w:t xml:space="preserve">. </w:t>
      </w:r>
      <w:r w:rsidRPr="00DF1C49">
        <w:rPr>
          <w:rFonts w:ascii="Calibri" w:eastAsia="Calibri" w:hAnsi="Calibri" w:cs="Times New Roman"/>
          <w:lang w:eastAsia="en-US"/>
        </w:rPr>
        <w:t xml:space="preserve">When expressed in percentage, </w:t>
      </w:r>
      <w:r>
        <w:rPr>
          <w:rFonts w:ascii="Calibri" w:eastAsia="Calibri" w:hAnsi="Calibri" w:cs="Times New Roman"/>
          <w:lang w:eastAsia="en-US"/>
        </w:rPr>
        <w:t>deep seagrass beds</w:t>
      </w:r>
      <w:r w:rsidRPr="00DF1C49">
        <w:rPr>
          <w:rFonts w:ascii="Calibri" w:eastAsia="Calibri" w:hAnsi="Calibri" w:cs="Times New Roman"/>
          <w:lang w:eastAsia="en-US"/>
        </w:rPr>
        <w:t xml:space="preserve"> the most exposed to </w:t>
      </w:r>
      <w:r>
        <w:rPr>
          <w:rFonts w:ascii="Calibri" w:eastAsia="Calibri" w:hAnsi="Calibri" w:cs="Times New Roman"/>
          <w:lang w:eastAsia="en-US"/>
        </w:rPr>
        <w:t>potential</w:t>
      </w:r>
      <w:r w:rsidRPr="00DF1C49">
        <w:rPr>
          <w:rFonts w:ascii="Calibri" w:eastAsia="Calibri" w:hAnsi="Calibri" w:cs="Times New Roman"/>
          <w:lang w:eastAsia="en-US"/>
        </w:rPr>
        <w:t xml:space="preserve"> risk </w:t>
      </w:r>
      <w:r>
        <w:rPr>
          <w:rFonts w:ascii="Calibri" w:eastAsia="Calibri" w:hAnsi="Calibri" w:cs="Times New Roman"/>
          <w:lang w:eastAsia="en-US"/>
        </w:rPr>
        <w:t xml:space="preserve">categories II and III </w:t>
      </w:r>
      <w:r w:rsidRPr="00DF1C49">
        <w:rPr>
          <w:rFonts w:ascii="Calibri" w:eastAsia="Calibri" w:hAnsi="Calibri" w:cs="Times New Roman"/>
          <w:lang w:eastAsia="en-US"/>
        </w:rPr>
        <w:t xml:space="preserve">from river plumes were </w:t>
      </w:r>
      <w:r>
        <w:rPr>
          <w:rFonts w:ascii="Calibri" w:eastAsia="Calibri" w:hAnsi="Calibri" w:cs="Times New Roman"/>
          <w:lang w:eastAsia="en-US"/>
        </w:rPr>
        <w:t xml:space="preserve">located in the </w:t>
      </w:r>
      <w:r w:rsidRPr="00DF1C49">
        <w:rPr>
          <w:rFonts w:ascii="Calibri" w:eastAsia="Calibri" w:hAnsi="Calibri" w:cs="Times New Roman"/>
          <w:lang w:eastAsia="en-US"/>
        </w:rPr>
        <w:t xml:space="preserve">Mackay-Whitsundays, Cape York, Burnett-Mary and Fitzroy (100%, 70%, 45% and 39% of the deep seagrass beds modelled in each respective NRM). </w:t>
      </w:r>
    </w:p>
    <w:p w14:paraId="0C3F88BF" w14:textId="77777777" w:rsidR="00131E41" w:rsidRDefault="00131E41" w:rsidP="00131E41">
      <w:pPr>
        <w:spacing w:after="200" w:line="276" w:lineRule="auto"/>
        <w:rPr>
          <w:rFonts w:ascii="Calibri" w:eastAsia="Calibri" w:hAnsi="Calibri" w:cs="Times New Roman"/>
          <w:lang w:eastAsia="en-US"/>
        </w:rPr>
      </w:pPr>
      <w:r w:rsidRPr="00DF1C49">
        <w:rPr>
          <w:rFonts w:ascii="Calibri" w:eastAsia="Calibri" w:hAnsi="Calibri" w:cs="Times New Roman"/>
          <w:lang w:eastAsia="en-US"/>
        </w:rPr>
        <w:t>Finally,</w:t>
      </w:r>
      <w:r>
        <w:rPr>
          <w:rFonts w:ascii="Calibri" w:eastAsia="Calibri" w:hAnsi="Calibri" w:cs="Times New Roman"/>
          <w:lang w:eastAsia="en-US"/>
        </w:rPr>
        <w:t xml:space="preserve"> when the modelled and deep seagrass beds were combined, total seagrass beds the most at risk were located in the</w:t>
      </w:r>
      <w:r w:rsidRPr="00D67045">
        <w:rPr>
          <w:rFonts w:ascii="Calibri" w:eastAsia="Calibri" w:hAnsi="Calibri" w:cs="Times New Roman"/>
          <w:lang w:eastAsia="en-US"/>
        </w:rPr>
        <w:t xml:space="preserve"> </w:t>
      </w:r>
      <w:r w:rsidRPr="00DF1C49">
        <w:rPr>
          <w:rFonts w:ascii="Calibri" w:eastAsia="Calibri" w:hAnsi="Calibri" w:cs="Times New Roman"/>
          <w:lang w:eastAsia="en-US"/>
        </w:rPr>
        <w:t>Cape York</w:t>
      </w:r>
      <w:r>
        <w:rPr>
          <w:rFonts w:ascii="Calibri" w:eastAsia="Calibri" w:hAnsi="Calibri" w:cs="Times New Roman"/>
          <w:lang w:eastAsia="en-US"/>
        </w:rPr>
        <w:t xml:space="preserve">, </w:t>
      </w:r>
      <w:r w:rsidRPr="00DF1C49">
        <w:rPr>
          <w:rFonts w:ascii="Calibri" w:eastAsia="Calibri" w:hAnsi="Calibri" w:cs="Times New Roman"/>
          <w:lang w:eastAsia="en-US"/>
        </w:rPr>
        <w:t>Burdekin</w:t>
      </w:r>
      <w:r>
        <w:rPr>
          <w:rFonts w:ascii="Calibri" w:eastAsia="Calibri" w:hAnsi="Calibri" w:cs="Times New Roman"/>
          <w:lang w:eastAsia="en-US"/>
        </w:rPr>
        <w:t xml:space="preserve"> </w:t>
      </w:r>
      <w:r w:rsidRPr="00DF1C49">
        <w:rPr>
          <w:rFonts w:ascii="Calibri" w:eastAsia="Calibri" w:hAnsi="Calibri" w:cs="Times New Roman"/>
          <w:lang w:eastAsia="en-US"/>
        </w:rPr>
        <w:t>and Fitzroy</w:t>
      </w:r>
      <w:r>
        <w:rPr>
          <w:rFonts w:ascii="Calibri" w:eastAsia="Calibri" w:hAnsi="Calibri" w:cs="Times New Roman"/>
          <w:lang w:eastAsia="en-US"/>
        </w:rPr>
        <w:t xml:space="preserve"> NRM regions, with </w:t>
      </w:r>
      <w:r w:rsidRPr="00DF1C49">
        <w:rPr>
          <w:rFonts w:ascii="Calibri" w:eastAsia="Calibri" w:hAnsi="Calibri" w:cs="Times New Roman"/>
          <w:lang w:eastAsia="en-US"/>
        </w:rPr>
        <w:t>1362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11%</w:t>
      </w:r>
      <w:r>
        <w:rPr>
          <w:rFonts w:ascii="Calibri" w:eastAsia="Calibri" w:hAnsi="Calibri" w:cs="Times New Roman"/>
          <w:lang w:eastAsia="en-US"/>
        </w:rPr>
        <w:t xml:space="preserve">), </w:t>
      </w:r>
      <w:r w:rsidRPr="00DF1C49">
        <w:rPr>
          <w:rFonts w:ascii="Calibri" w:eastAsia="Calibri" w:hAnsi="Calibri" w:cs="Times New Roman"/>
          <w:lang w:eastAsia="en-US"/>
        </w:rPr>
        <w:t>501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8%</w:t>
      </w:r>
      <w:r>
        <w:rPr>
          <w:rFonts w:ascii="Calibri" w:eastAsia="Calibri" w:hAnsi="Calibri" w:cs="Times New Roman"/>
          <w:lang w:eastAsia="en-US"/>
        </w:rPr>
        <w:t xml:space="preserve">) and </w:t>
      </w:r>
      <w:r w:rsidRPr="00DF1C49">
        <w:rPr>
          <w:rFonts w:ascii="Calibri" w:eastAsia="Calibri" w:hAnsi="Calibri" w:cs="Times New Roman"/>
          <w:lang w:eastAsia="en-US"/>
        </w:rPr>
        <w:t>500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or 9%</w:t>
      </w:r>
      <w:r>
        <w:rPr>
          <w:rFonts w:ascii="Calibri" w:eastAsia="Calibri" w:hAnsi="Calibri" w:cs="Times New Roman"/>
          <w:lang w:eastAsia="en-US"/>
        </w:rPr>
        <w:t xml:space="preserve">) of the </w:t>
      </w:r>
      <w:r w:rsidRPr="00DF1C49">
        <w:rPr>
          <w:rFonts w:ascii="Calibri" w:eastAsia="Calibri" w:hAnsi="Calibri" w:cs="Times New Roman"/>
          <w:lang w:eastAsia="en-US"/>
        </w:rPr>
        <w:t>Cape York</w:t>
      </w:r>
      <w:r>
        <w:rPr>
          <w:rFonts w:ascii="Calibri" w:eastAsia="Calibri" w:hAnsi="Calibri" w:cs="Times New Roman"/>
          <w:b/>
          <w:lang w:eastAsia="en-US"/>
        </w:rPr>
        <w:t xml:space="preserve">, </w:t>
      </w:r>
      <w:r>
        <w:rPr>
          <w:rFonts w:ascii="Calibri" w:eastAsia="Calibri" w:hAnsi="Calibri" w:cs="Times New Roman"/>
          <w:lang w:eastAsia="en-US"/>
        </w:rPr>
        <w:t xml:space="preserve">Burdekin and </w:t>
      </w:r>
      <w:r w:rsidRPr="00DF1C49">
        <w:rPr>
          <w:rFonts w:ascii="Calibri" w:eastAsia="Calibri" w:hAnsi="Calibri" w:cs="Times New Roman"/>
          <w:lang w:eastAsia="en-US"/>
        </w:rPr>
        <w:t>Fitzroy</w:t>
      </w:r>
      <w:r>
        <w:rPr>
          <w:rFonts w:ascii="Calibri" w:eastAsia="Calibri" w:hAnsi="Calibri" w:cs="Times New Roman"/>
          <w:lang w:eastAsia="en-US"/>
        </w:rPr>
        <w:t xml:space="preserve"> total seagrass beds </w:t>
      </w:r>
      <w:r w:rsidRPr="00DF1C49">
        <w:rPr>
          <w:rFonts w:ascii="Calibri" w:eastAsia="Calibri" w:hAnsi="Calibri" w:cs="Times New Roman"/>
          <w:lang w:eastAsia="en-US"/>
        </w:rPr>
        <w:t>exposed</w:t>
      </w:r>
      <w:r w:rsidRPr="00C1049D">
        <w:rPr>
          <w:rFonts w:ascii="Calibri" w:eastAsia="Calibri" w:hAnsi="Calibri" w:cs="Times New Roman"/>
          <w:lang w:eastAsia="en-US"/>
        </w:rPr>
        <w:t xml:space="preserve"> to </w:t>
      </w:r>
      <w:r>
        <w:rPr>
          <w:rFonts w:ascii="Calibri" w:eastAsia="Calibri" w:hAnsi="Calibri" w:cs="Times New Roman"/>
          <w:lang w:eastAsia="en-US"/>
        </w:rPr>
        <w:t>the highest</w:t>
      </w:r>
      <w:r w:rsidRPr="00C1049D">
        <w:rPr>
          <w:rFonts w:ascii="Calibri" w:eastAsia="Calibri" w:hAnsi="Calibri" w:cs="Times New Roman"/>
          <w:lang w:eastAsia="en-US"/>
        </w:rPr>
        <w:t xml:space="preserve"> </w:t>
      </w:r>
      <w:r>
        <w:rPr>
          <w:rFonts w:ascii="Calibri" w:eastAsia="Calibri" w:hAnsi="Calibri" w:cs="Times New Roman"/>
          <w:lang w:eastAsia="en-US"/>
        </w:rPr>
        <w:t xml:space="preserve">potential </w:t>
      </w:r>
      <w:r w:rsidRPr="00C1049D">
        <w:rPr>
          <w:rFonts w:ascii="Calibri" w:eastAsia="Calibri" w:hAnsi="Calibri" w:cs="Times New Roman"/>
          <w:lang w:eastAsia="en-US"/>
        </w:rPr>
        <w:t>risk categories</w:t>
      </w:r>
      <w:r>
        <w:rPr>
          <w:rFonts w:ascii="Calibri" w:eastAsia="Calibri" w:hAnsi="Calibri" w:cs="Times New Roman"/>
          <w:lang w:eastAsia="en-US"/>
        </w:rPr>
        <w:t xml:space="preserve"> (III and IV), respectively. </w:t>
      </w:r>
      <w:r w:rsidRPr="00DF1C49">
        <w:rPr>
          <w:rFonts w:ascii="Calibri" w:eastAsia="Calibri" w:hAnsi="Calibri" w:cs="Times New Roman"/>
          <w:lang w:eastAsia="en-US"/>
        </w:rPr>
        <w:t xml:space="preserve">When expressed in %, </w:t>
      </w:r>
      <w:r>
        <w:rPr>
          <w:rFonts w:ascii="Calibri" w:eastAsia="Calibri" w:hAnsi="Calibri" w:cs="Times New Roman"/>
          <w:lang w:eastAsia="en-US"/>
        </w:rPr>
        <w:t>total seagrass beds the most exposed were those located in the</w:t>
      </w:r>
      <w:r w:rsidRPr="00DF1C49">
        <w:rPr>
          <w:rFonts w:ascii="Calibri" w:eastAsia="Calibri" w:hAnsi="Calibri" w:cs="Times New Roman"/>
          <w:lang w:eastAsia="en-US"/>
        </w:rPr>
        <w:t xml:space="preserve"> Mackay-Whitsunday NRM</w:t>
      </w:r>
      <w:r>
        <w:rPr>
          <w:rFonts w:ascii="Calibri" w:eastAsia="Calibri" w:hAnsi="Calibri" w:cs="Times New Roman"/>
          <w:lang w:eastAsia="en-US"/>
        </w:rPr>
        <w:t xml:space="preserve">, with </w:t>
      </w:r>
      <w:r w:rsidRPr="00DF1C49">
        <w:rPr>
          <w:rFonts w:ascii="Calibri" w:eastAsia="Calibri" w:hAnsi="Calibri" w:cs="Times New Roman"/>
          <w:lang w:eastAsia="en-US"/>
        </w:rPr>
        <w:t>239 km</w:t>
      </w:r>
      <w:r w:rsidRPr="00DF1C49">
        <w:rPr>
          <w:rFonts w:ascii="Calibri" w:eastAsia="Calibri" w:hAnsi="Calibri" w:cs="Times New Roman"/>
          <w:vertAlign w:val="superscript"/>
          <w:lang w:eastAsia="en-US"/>
        </w:rPr>
        <w:t>2</w:t>
      </w:r>
      <w:r>
        <w:rPr>
          <w:rFonts w:ascii="Calibri" w:eastAsia="Calibri" w:hAnsi="Calibri" w:cs="Times New Roman"/>
          <w:vertAlign w:val="superscript"/>
          <w:lang w:eastAsia="en-US"/>
        </w:rPr>
        <w:t xml:space="preserve"> </w:t>
      </w:r>
      <w:r>
        <w:rPr>
          <w:rFonts w:ascii="Calibri" w:eastAsia="Calibri" w:hAnsi="Calibri" w:cs="Times New Roman"/>
          <w:lang w:eastAsia="en-US"/>
        </w:rPr>
        <w:t xml:space="preserve">(or </w:t>
      </w:r>
      <w:r w:rsidRPr="00DF1C49">
        <w:rPr>
          <w:rFonts w:ascii="Calibri" w:eastAsia="Calibri" w:hAnsi="Calibri" w:cs="Times New Roman"/>
          <w:lang w:eastAsia="en-US"/>
        </w:rPr>
        <w:t>53%</w:t>
      </w:r>
      <w:r>
        <w:rPr>
          <w:rFonts w:ascii="Calibri" w:eastAsia="Calibri" w:hAnsi="Calibri" w:cs="Times New Roman"/>
          <w:lang w:eastAsia="en-US"/>
        </w:rPr>
        <w:t>) of seagrass bed under the</w:t>
      </w:r>
      <w:r w:rsidRPr="00DF1C49">
        <w:rPr>
          <w:rFonts w:ascii="Calibri" w:eastAsia="Calibri" w:hAnsi="Calibri" w:cs="Times New Roman"/>
          <w:lang w:eastAsia="en-US"/>
        </w:rPr>
        <w:t xml:space="preserve"> </w:t>
      </w:r>
      <w:r>
        <w:rPr>
          <w:rFonts w:ascii="Calibri" w:eastAsia="Calibri" w:hAnsi="Calibri" w:cs="Times New Roman"/>
          <w:lang w:eastAsia="en-US"/>
        </w:rPr>
        <w:t>potential</w:t>
      </w:r>
      <w:r w:rsidRPr="00DF1C49">
        <w:rPr>
          <w:rFonts w:ascii="Calibri" w:eastAsia="Calibri" w:hAnsi="Calibri" w:cs="Times New Roman"/>
          <w:lang w:eastAsia="en-US"/>
        </w:rPr>
        <w:t xml:space="preserve"> risk</w:t>
      </w:r>
      <w:r>
        <w:rPr>
          <w:rFonts w:ascii="Calibri" w:eastAsia="Calibri" w:hAnsi="Calibri" w:cs="Times New Roman"/>
          <w:lang w:eastAsia="en-US"/>
        </w:rPr>
        <w:t xml:space="preserve"> categories III and IV</w:t>
      </w:r>
      <w:r w:rsidRPr="00DF1C49">
        <w:rPr>
          <w:rFonts w:ascii="Calibri" w:eastAsia="Calibri" w:hAnsi="Calibri" w:cs="Times New Roman"/>
          <w:lang w:eastAsia="en-US"/>
        </w:rPr>
        <w:t xml:space="preserve"> and</w:t>
      </w:r>
      <w:r>
        <w:rPr>
          <w:rFonts w:ascii="Calibri" w:eastAsia="Calibri" w:hAnsi="Calibri" w:cs="Times New Roman"/>
          <w:lang w:eastAsia="en-US"/>
        </w:rPr>
        <w:t xml:space="preserve"> </w:t>
      </w:r>
      <w:r w:rsidRPr="00FA7916">
        <w:rPr>
          <w:rFonts w:ascii="Calibri" w:eastAsia="Calibri" w:hAnsi="Calibri" w:cs="Times New Roman"/>
          <w:lang w:eastAsia="en-US"/>
        </w:rPr>
        <w:t xml:space="preserve">203 </w:t>
      </w:r>
      <w:r w:rsidRPr="00DF1C49">
        <w:rPr>
          <w:rFonts w:ascii="Calibri" w:eastAsia="Calibri" w:hAnsi="Calibri" w:cs="Times New Roman"/>
          <w:lang w:eastAsia="en-US"/>
        </w:rPr>
        <w:t>km</w:t>
      </w:r>
      <w:r w:rsidRPr="00FA7916">
        <w:rPr>
          <w:rFonts w:ascii="Calibri" w:eastAsia="Calibri" w:hAnsi="Calibri" w:cs="Times New Roman"/>
          <w:vertAlign w:val="superscript"/>
          <w:lang w:eastAsia="en-US"/>
        </w:rPr>
        <w:t>2</w:t>
      </w:r>
      <w:r>
        <w:rPr>
          <w:rFonts w:ascii="Calibri" w:eastAsia="Calibri" w:hAnsi="Calibri" w:cs="Times New Roman"/>
          <w:lang w:eastAsia="en-US"/>
        </w:rPr>
        <w:t xml:space="preserve"> (45%) under the</w:t>
      </w:r>
      <w:r w:rsidRPr="00DF1C49">
        <w:rPr>
          <w:rFonts w:ascii="Calibri" w:eastAsia="Calibri" w:hAnsi="Calibri" w:cs="Times New Roman"/>
          <w:lang w:eastAsia="en-US"/>
        </w:rPr>
        <w:t xml:space="preserve"> </w:t>
      </w:r>
      <w:r>
        <w:rPr>
          <w:rFonts w:ascii="Calibri" w:eastAsia="Calibri" w:hAnsi="Calibri" w:cs="Times New Roman"/>
          <w:lang w:eastAsia="en-US"/>
        </w:rPr>
        <w:t>potential risk category III. The</w:t>
      </w:r>
      <w:r w:rsidRPr="00DF1C49">
        <w:rPr>
          <w:rFonts w:ascii="Calibri" w:eastAsia="Calibri" w:hAnsi="Calibri" w:cs="Times New Roman"/>
          <w:lang w:eastAsia="en-US"/>
        </w:rPr>
        <w:t xml:space="preserve"> Burdekin seagrass</w:t>
      </w:r>
      <w:r>
        <w:rPr>
          <w:rFonts w:ascii="Calibri" w:eastAsia="Calibri" w:hAnsi="Calibri" w:cs="Times New Roman"/>
          <w:lang w:eastAsia="en-US"/>
        </w:rPr>
        <w:t xml:space="preserve"> beds</w:t>
      </w:r>
      <w:r w:rsidRPr="00DF1C49">
        <w:rPr>
          <w:rFonts w:ascii="Calibri" w:eastAsia="Calibri" w:hAnsi="Calibri" w:cs="Times New Roman"/>
          <w:lang w:eastAsia="en-US"/>
        </w:rPr>
        <w:t xml:space="preserve"> were the least at risk from river plumes</w:t>
      </w:r>
      <w:r>
        <w:rPr>
          <w:rFonts w:ascii="Calibri" w:eastAsia="Calibri" w:hAnsi="Calibri" w:cs="Times New Roman"/>
          <w:lang w:eastAsia="en-US"/>
        </w:rPr>
        <w:t>; however,</w:t>
      </w:r>
      <w:r w:rsidRPr="00DF1C49">
        <w:rPr>
          <w:rFonts w:ascii="Calibri" w:eastAsia="Calibri" w:hAnsi="Calibri" w:cs="Times New Roman"/>
          <w:lang w:eastAsia="en-US"/>
        </w:rPr>
        <w:t xml:space="preserve"> seagrass meadows in Hervey Bay (outside of the GBR southern boundary) were not included in the</w:t>
      </w:r>
      <w:r>
        <w:rPr>
          <w:rFonts w:ascii="Calibri" w:eastAsia="Calibri" w:hAnsi="Calibri" w:cs="Times New Roman"/>
          <w:lang w:eastAsia="en-US"/>
        </w:rPr>
        <w:t xml:space="preserve"> potential</w:t>
      </w:r>
      <w:r w:rsidRPr="00DF1C49">
        <w:rPr>
          <w:rFonts w:ascii="Calibri" w:eastAsia="Calibri" w:hAnsi="Calibri" w:cs="Times New Roman"/>
          <w:lang w:eastAsia="en-US"/>
        </w:rPr>
        <w:t xml:space="preserve"> risk analysis</w:t>
      </w:r>
      <w:r>
        <w:rPr>
          <w:rFonts w:ascii="Calibri" w:eastAsia="Calibri" w:hAnsi="Calibri" w:cs="Times New Roman"/>
          <w:lang w:eastAsia="en-US"/>
        </w:rPr>
        <w:t xml:space="preserve"> </w:t>
      </w:r>
      <w:r w:rsidRPr="00DF1C49">
        <w:rPr>
          <w:rFonts w:ascii="Calibri" w:eastAsia="Calibri" w:hAnsi="Calibri" w:cs="Times New Roman"/>
          <w:lang w:eastAsia="en-US"/>
        </w:rPr>
        <w:t>(</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_Ref427750071 \h  \* MERGEFORMAT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B62B50">
        <w:rPr>
          <w:rFonts w:ascii="Calibri" w:eastAsia="Calibri" w:hAnsi="Calibri" w:cs="Times New Roman"/>
          <w:lang w:eastAsia="en-US"/>
        </w:rPr>
        <w:t>Figure 5</w:t>
      </w:r>
      <w:r w:rsidR="00B62B50" w:rsidRPr="00B62B50">
        <w:rPr>
          <w:rFonts w:ascii="Calibri" w:eastAsia="Calibri" w:hAnsi="Calibri" w:cs="Times New Roman"/>
          <w:lang w:eastAsia="en-US"/>
        </w:rPr>
        <w:noBreakHyphen/>
        <w:t>18</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c3). </w:t>
      </w:r>
    </w:p>
    <w:p w14:paraId="0C3F88C0" w14:textId="77777777" w:rsidR="00131E41" w:rsidRPr="00DF1C49" w:rsidRDefault="00131E41" w:rsidP="00131E41">
      <w:pPr>
        <w:rPr>
          <w:rFonts w:ascii="Calibri" w:eastAsia="Calibri" w:hAnsi="Calibri" w:cs="Times New Roman"/>
          <w:lang w:eastAsia="en-US"/>
        </w:rPr>
      </w:pPr>
    </w:p>
    <w:p w14:paraId="0C3F88C1" w14:textId="77777777" w:rsidR="00131E41" w:rsidRPr="00C570D1" w:rsidRDefault="00131E41" w:rsidP="00131E41">
      <w:pPr>
        <w:pStyle w:val="Heading3"/>
        <w:numPr>
          <w:ilvl w:val="2"/>
          <w:numId w:val="3"/>
        </w:numPr>
      </w:pPr>
      <w:bookmarkStart w:id="241" w:name="_Toc434208016"/>
      <w:bookmarkStart w:id="242" w:name="_Toc427251553"/>
      <w:bookmarkStart w:id="243" w:name="_Toc427831225"/>
      <w:bookmarkStart w:id="244" w:name="_Toc428793356"/>
      <w:bookmarkStart w:id="245" w:name="_Toc428851361"/>
      <w:r>
        <w:t>P</w:t>
      </w:r>
      <w:r w:rsidRPr="00C570D1">
        <w:t>otential river plume risk maps</w:t>
      </w:r>
      <w:r>
        <w:t xml:space="preserve"> – 2007</w:t>
      </w:r>
      <w:r w:rsidRPr="00C570D1">
        <w:t xml:space="preserve"> </w:t>
      </w:r>
      <w:r>
        <w:t>- 2012</w:t>
      </w:r>
      <w:bookmarkEnd w:id="241"/>
    </w:p>
    <w:bookmarkEnd w:id="242"/>
    <w:bookmarkEnd w:id="243"/>
    <w:bookmarkEnd w:id="244"/>
    <w:bookmarkEnd w:id="245"/>
    <w:p w14:paraId="0C3F88C2"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lang w:eastAsia="en-US"/>
        </w:rPr>
        <w:t xml:space="preserve">Annual </w:t>
      </w:r>
      <w:r>
        <w:rPr>
          <w:rFonts w:ascii="Calibri" w:eastAsia="Calibri" w:hAnsi="Calibri" w:cs="Times New Roman"/>
          <w:lang w:eastAsia="en-US"/>
        </w:rPr>
        <w:t>potential</w:t>
      </w:r>
      <w:r w:rsidRPr="00DF1C49">
        <w:rPr>
          <w:rFonts w:ascii="Calibri" w:eastAsia="Calibri" w:hAnsi="Calibri" w:cs="Times New Roman"/>
          <w:lang w:eastAsia="en-US"/>
        </w:rPr>
        <w:t xml:space="preserve"> risk maps</w:t>
      </w:r>
      <w:r>
        <w:rPr>
          <w:rFonts w:ascii="Calibri" w:eastAsia="Calibri" w:hAnsi="Calibri" w:cs="Times New Roman"/>
          <w:lang w:eastAsia="en-US"/>
        </w:rPr>
        <w:t xml:space="preserve"> from river plume exposure</w:t>
      </w:r>
      <w:r w:rsidRPr="00DF1C49">
        <w:rPr>
          <w:rFonts w:ascii="Calibri" w:eastAsia="Calibri" w:hAnsi="Calibri" w:cs="Times New Roman"/>
          <w:lang w:eastAsia="en-US"/>
        </w:rPr>
        <w:t xml:space="preserve"> produced from 2007 to 2012 using the TC method are presented in</w:t>
      </w:r>
      <w:r>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_Ref432673962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19</w:t>
      </w:r>
      <w:r>
        <w:rPr>
          <w:rFonts w:ascii="Calibri" w:eastAsia="Calibri" w:hAnsi="Calibri" w:cs="Times New Roman"/>
          <w:lang w:eastAsia="en-US"/>
        </w:rPr>
        <w:fldChar w:fldCharType="end"/>
      </w:r>
      <w:r>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_Ref432673964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20</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t>
      </w:r>
      <w:r>
        <w:rPr>
          <w:rFonts w:ascii="Calibri" w:eastAsia="Calibri" w:hAnsi="Calibri" w:cs="Times New Roman"/>
          <w:lang w:eastAsia="en-US"/>
        </w:rPr>
        <w:t>Surface a</w:t>
      </w:r>
      <w:r w:rsidRPr="00DF1C49">
        <w:rPr>
          <w:rFonts w:ascii="Calibri" w:eastAsia="Calibri" w:hAnsi="Calibri" w:cs="Times New Roman"/>
          <w:lang w:eastAsia="en-US"/>
        </w:rPr>
        <w:t xml:space="preserve">reas </w:t>
      </w:r>
      <w:r>
        <w:rPr>
          <w:rFonts w:ascii="Calibri" w:eastAsia="Calibri" w:hAnsi="Calibri" w:cs="Times New Roman"/>
          <w:lang w:eastAsia="en-US"/>
        </w:rPr>
        <w:t>of the GBR under the highest potential</w:t>
      </w:r>
      <w:r w:rsidRPr="00DF1C49">
        <w:rPr>
          <w:rFonts w:ascii="Calibri" w:eastAsia="Calibri" w:hAnsi="Calibri" w:cs="Times New Roman"/>
          <w:lang w:eastAsia="en-US"/>
        </w:rPr>
        <w:t xml:space="preserve"> risk </w:t>
      </w:r>
      <w:r>
        <w:rPr>
          <w:rFonts w:ascii="Calibri" w:eastAsia="Calibri" w:hAnsi="Calibri" w:cs="Times New Roman"/>
          <w:lang w:eastAsia="en-US"/>
        </w:rPr>
        <w:t xml:space="preserve">(III and IV) </w:t>
      </w:r>
      <w:r w:rsidRPr="00DF1C49">
        <w:rPr>
          <w:rFonts w:ascii="Calibri" w:eastAsia="Calibri" w:hAnsi="Calibri" w:cs="Times New Roman"/>
          <w:lang w:eastAsia="en-US"/>
        </w:rPr>
        <w:t>from river plumes</w:t>
      </w:r>
      <w:r>
        <w:rPr>
          <w:rFonts w:ascii="Calibri" w:eastAsia="Calibri" w:hAnsi="Calibri" w:cs="Times New Roman"/>
          <w:lang w:eastAsia="en-US"/>
        </w:rPr>
        <w:t xml:space="preserve"> exposure</w:t>
      </w:r>
      <w:r w:rsidRPr="00DF1C49">
        <w:rPr>
          <w:rFonts w:ascii="Calibri" w:eastAsia="Calibri" w:hAnsi="Calibri" w:cs="Times New Roman"/>
          <w:lang w:eastAsia="en-US"/>
        </w:rPr>
        <w:t xml:space="preserve"> ranged between 24</w:t>
      </w:r>
      <w:r>
        <w:rPr>
          <w:rFonts w:ascii="Calibri" w:eastAsia="Calibri" w:hAnsi="Calibri" w:cs="Times New Roman"/>
          <w:lang w:eastAsia="en-US"/>
        </w:rPr>
        <w:t>340</w:t>
      </w:r>
      <w:r w:rsidRPr="00DF1C49">
        <w:rPr>
          <w:rFonts w:ascii="Calibri" w:eastAsia="Calibri" w:hAnsi="Calibri" w:cs="Times New Roman"/>
          <w:lang w:eastAsia="en-US"/>
        </w:rPr>
        <w:t xml:space="preserve"> km² (in 2011) to 16</w:t>
      </w:r>
      <w:r>
        <w:rPr>
          <w:rFonts w:ascii="Calibri" w:eastAsia="Calibri" w:hAnsi="Calibri" w:cs="Times New Roman"/>
          <w:lang w:eastAsia="en-US"/>
        </w:rPr>
        <w:t>940</w:t>
      </w:r>
      <w:r w:rsidRPr="00DF1C49">
        <w:rPr>
          <w:rFonts w:ascii="Calibri" w:eastAsia="Calibri" w:hAnsi="Calibri" w:cs="Times New Roman"/>
          <w:lang w:eastAsia="en-US"/>
        </w:rPr>
        <w:t xml:space="preserve"> km² (in 2008)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_Ref432674034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t xml:space="preserve">Table </w:t>
      </w:r>
      <w:r w:rsidR="00B62B50">
        <w:rPr>
          <w:noProof/>
        </w:rPr>
        <w:t>5</w:t>
      </w:r>
      <w:r w:rsidR="00B62B50">
        <w:noBreakHyphen/>
      </w:r>
      <w:r w:rsidR="00B62B50">
        <w:rPr>
          <w:noProof/>
        </w:rPr>
        <w:t>2</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Whatever the year considered, areas under </w:t>
      </w:r>
      <w:r>
        <w:rPr>
          <w:rFonts w:ascii="Calibri" w:eastAsia="Calibri" w:hAnsi="Calibri" w:cs="Times New Roman"/>
          <w:lang w:eastAsia="en-US"/>
        </w:rPr>
        <w:t>the potential</w:t>
      </w:r>
      <w:r w:rsidRPr="00DF1C49">
        <w:rPr>
          <w:rFonts w:ascii="Calibri" w:eastAsia="Calibri" w:hAnsi="Calibri" w:cs="Times New Roman"/>
          <w:lang w:eastAsia="en-US"/>
        </w:rPr>
        <w:t xml:space="preserve"> risk categor</w:t>
      </w:r>
      <w:r>
        <w:rPr>
          <w:rFonts w:ascii="Calibri" w:eastAsia="Calibri" w:hAnsi="Calibri" w:cs="Times New Roman"/>
          <w:lang w:eastAsia="en-US"/>
        </w:rPr>
        <w:t>y IV</w:t>
      </w:r>
      <w:r w:rsidRPr="00DF1C49">
        <w:rPr>
          <w:rFonts w:ascii="Calibri" w:eastAsia="Calibri" w:hAnsi="Calibri" w:cs="Times New Roman"/>
          <w:lang w:eastAsia="en-US"/>
        </w:rPr>
        <w:t xml:space="preserve"> were higher in the Burdekin region than in the Tully-Herbert region</w:t>
      </w:r>
      <w:r>
        <w:rPr>
          <w:rFonts w:ascii="Calibri" w:eastAsia="Calibri" w:hAnsi="Calibri" w:cs="Times New Roman"/>
          <w:lang w:eastAsia="en-US"/>
        </w:rPr>
        <w:t>.</w:t>
      </w:r>
    </w:p>
    <w:p w14:paraId="0C3F88C3" w14:textId="77777777" w:rsidR="00131E41" w:rsidRPr="00DF1C49" w:rsidRDefault="00131E41" w:rsidP="00131E41">
      <w:pPr>
        <w:spacing w:after="200" w:line="276" w:lineRule="auto"/>
        <w:rPr>
          <w:rFonts w:ascii="Calibri" w:eastAsia="Calibri" w:hAnsi="Calibri" w:cs="Times New Roman"/>
          <w:lang w:eastAsia="en-US"/>
        </w:rPr>
      </w:pPr>
      <w:r w:rsidRPr="00DF1C49">
        <w:rPr>
          <w:rFonts w:ascii="Calibri" w:eastAsia="Calibri" w:hAnsi="Calibri" w:cs="Times New Roman"/>
          <w:lang w:eastAsia="en-US"/>
        </w:rPr>
        <w:t xml:space="preserve">No significative correlation could be found between the total </w:t>
      </w:r>
      <w:r>
        <w:rPr>
          <w:rFonts w:ascii="Calibri" w:eastAsia="Calibri" w:hAnsi="Calibri" w:cs="Times New Roman"/>
          <w:lang w:eastAsia="en-US"/>
        </w:rPr>
        <w:t xml:space="preserve">GBR surface </w:t>
      </w:r>
      <w:r w:rsidRPr="00DF1C49">
        <w:rPr>
          <w:rFonts w:ascii="Calibri" w:eastAsia="Calibri" w:hAnsi="Calibri" w:cs="Times New Roman"/>
          <w:lang w:eastAsia="en-US"/>
        </w:rPr>
        <w:t xml:space="preserve">areas exposed to </w:t>
      </w:r>
      <w:r>
        <w:rPr>
          <w:rFonts w:ascii="Calibri" w:eastAsia="Calibri" w:hAnsi="Calibri" w:cs="Times New Roman"/>
          <w:lang w:eastAsia="en-US"/>
        </w:rPr>
        <w:t xml:space="preserve">river plume </w:t>
      </w:r>
      <w:r w:rsidRPr="00DF1C49">
        <w:rPr>
          <w:rFonts w:ascii="Calibri" w:eastAsia="Calibri" w:hAnsi="Calibri" w:cs="Times New Roman"/>
          <w:lang w:eastAsia="en-US"/>
        </w:rPr>
        <w:t xml:space="preserve">and the total GBR river discharge. </w:t>
      </w:r>
      <w:r>
        <w:rPr>
          <w:rFonts w:ascii="Calibri" w:eastAsia="Calibri" w:hAnsi="Calibri" w:cs="Times New Roman"/>
          <w:lang w:eastAsia="en-US"/>
        </w:rPr>
        <w:t>Surface a</w:t>
      </w:r>
      <w:r w:rsidRPr="00DF1C49">
        <w:rPr>
          <w:rFonts w:ascii="Calibri" w:eastAsia="Calibri" w:hAnsi="Calibri" w:cs="Times New Roman"/>
          <w:lang w:eastAsia="en-US"/>
        </w:rPr>
        <w:t xml:space="preserve">reas </w:t>
      </w:r>
      <w:r>
        <w:rPr>
          <w:rFonts w:ascii="Calibri" w:eastAsia="Calibri" w:hAnsi="Calibri" w:cs="Times New Roman"/>
          <w:lang w:eastAsia="en-US"/>
        </w:rPr>
        <w:t>of the GBR (in km</w:t>
      </w:r>
      <w:r w:rsidRPr="00767E7F">
        <w:rPr>
          <w:rFonts w:ascii="Calibri" w:eastAsia="Calibri" w:hAnsi="Calibri" w:cs="Times New Roman"/>
          <w:vertAlign w:val="superscript"/>
          <w:lang w:eastAsia="en-US"/>
        </w:rPr>
        <w:t>2</w:t>
      </w:r>
      <w:r>
        <w:rPr>
          <w:rFonts w:ascii="Calibri" w:eastAsia="Calibri" w:hAnsi="Calibri" w:cs="Times New Roman"/>
          <w:lang w:eastAsia="en-US"/>
        </w:rPr>
        <w:t>) under the highest potential</w:t>
      </w:r>
      <w:r w:rsidRPr="00DF1C49">
        <w:rPr>
          <w:rFonts w:ascii="Calibri" w:eastAsia="Calibri" w:hAnsi="Calibri" w:cs="Times New Roman"/>
          <w:lang w:eastAsia="en-US"/>
        </w:rPr>
        <w:t xml:space="preserve"> risk from river plume</w:t>
      </w:r>
      <w:r>
        <w:rPr>
          <w:rFonts w:ascii="Calibri" w:eastAsia="Calibri" w:hAnsi="Calibri" w:cs="Times New Roman"/>
          <w:lang w:eastAsia="en-US"/>
        </w:rPr>
        <w:t xml:space="preserve"> expo</w:t>
      </w:r>
      <w:r w:rsidRPr="00DF1C49">
        <w:rPr>
          <w:rFonts w:ascii="Calibri" w:eastAsia="Calibri" w:hAnsi="Calibri" w:cs="Times New Roman"/>
          <w:lang w:eastAsia="en-US"/>
        </w:rPr>
        <w:t>s</w:t>
      </w:r>
      <w:r>
        <w:rPr>
          <w:rFonts w:ascii="Calibri" w:eastAsia="Calibri" w:hAnsi="Calibri" w:cs="Times New Roman"/>
          <w:lang w:eastAsia="en-US"/>
        </w:rPr>
        <w:t>ure (III and IV)</w:t>
      </w:r>
      <w:r w:rsidRPr="00DF1C49">
        <w:rPr>
          <w:rFonts w:ascii="Calibri" w:eastAsia="Calibri" w:hAnsi="Calibri" w:cs="Times New Roman"/>
          <w:lang w:eastAsia="en-US"/>
        </w:rPr>
        <w:t xml:space="preserve"> were</w:t>
      </w:r>
      <w:r>
        <w:rPr>
          <w:rFonts w:ascii="Calibri" w:eastAsia="Calibri" w:hAnsi="Calibri" w:cs="Times New Roman"/>
          <w:lang w:eastAsia="en-US"/>
        </w:rPr>
        <w:t>,</w:t>
      </w:r>
      <w:r w:rsidRPr="00DF1C49">
        <w:rPr>
          <w:rFonts w:ascii="Calibri" w:eastAsia="Calibri" w:hAnsi="Calibri" w:cs="Times New Roman"/>
          <w:lang w:eastAsia="en-US"/>
        </w:rPr>
        <w:t xml:space="preserve"> </w:t>
      </w:r>
      <w:r>
        <w:rPr>
          <w:rFonts w:ascii="Calibri" w:eastAsia="Calibri" w:hAnsi="Calibri" w:cs="Times New Roman"/>
          <w:lang w:eastAsia="en-US"/>
        </w:rPr>
        <w:t xml:space="preserve">however, </w:t>
      </w:r>
      <w:r w:rsidRPr="00DF1C49">
        <w:rPr>
          <w:rFonts w:ascii="Calibri" w:eastAsia="Calibri" w:hAnsi="Calibri" w:cs="Times New Roman"/>
          <w:lang w:eastAsia="en-US"/>
        </w:rPr>
        <w:t>correlated to the total GBR river discharge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_Ref427752201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21</w:t>
      </w:r>
      <w:r>
        <w:rPr>
          <w:rFonts w:ascii="Calibri" w:eastAsia="Calibri" w:hAnsi="Calibri" w:cs="Times New Roman"/>
          <w:lang w:eastAsia="en-US"/>
        </w:rPr>
        <w:fldChar w:fldCharType="end"/>
      </w:r>
      <w:r w:rsidRPr="00DF1C49">
        <w:rPr>
          <w:rFonts w:ascii="Calibri" w:eastAsia="Calibri" w:hAnsi="Calibri" w:cs="Times New Roman"/>
          <w:lang w:eastAsia="en-US"/>
        </w:rPr>
        <w:t>)</w:t>
      </w:r>
      <w:r>
        <w:rPr>
          <w:rFonts w:ascii="Calibri" w:eastAsia="Calibri" w:hAnsi="Calibri" w:cs="Times New Roman"/>
          <w:lang w:eastAsia="en-US"/>
        </w:rPr>
        <w:t>, but 2008 was an outlier of the relationship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_Ref427752201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21</w:t>
      </w:r>
      <w:r>
        <w:rPr>
          <w:rFonts w:ascii="Calibri" w:eastAsia="Calibri" w:hAnsi="Calibri" w:cs="Times New Roman"/>
          <w:lang w:eastAsia="en-US"/>
        </w:rPr>
        <w:fldChar w:fldCharType="end"/>
      </w:r>
      <w:r>
        <w:rPr>
          <w:rFonts w:ascii="Calibri" w:eastAsia="Calibri" w:hAnsi="Calibri" w:cs="Times New Roman"/>
          <w:lang w:eastAsia="en-US"/>
        </w:rPr>
        <w:t>: R</w:t>
      </w:r>
      <w:r w:rsidRPr="00767E7F">
        <w:rPr>
          <w:rFonts w:ascii="Calibri" w:eastAsia="Calibri" w:hAnsi="Calibri" w:cs="Times New Roman"/>
          <w:vertAlign w:val="superscript"/>
          <w:lang w:eastAsia="en-US"/>
        </w:rPr>
        <w:t>2</w:t>
      </w:r>
      <w:r>
        <w:rPr>
          <w:rFonts w:ascii="Calibri" w:eastAsia="Calibri" w:hAnsi="Calibri" w:cs="Times New Roman"/>
          <w:lang w:eastAsia="en-US"/>
        </w:rPr>
        <w:t>= 0.8)</w:t>
      </w:r>
      <w:r w:rsidRPr="00DF1C49">
        <w:rPr>
          <w:rFonts w:ascii="Calibri" w:eastAsia="Calibri" w:hAnsi="Calibri" w:cs="Times New Roman"/>
          <w:lang w:eastAsia="en-US"/>
        </w:rPr>
        <w:t>.</w:t>
      </w:r>
    </w:p>
    <w:p w14:paraId="0C3F88C4" w14:textId="77777777" w:rsidR="00131E41" w:rsidRPr="00DF1C49" w:rsidRDefault="00131E41" w:rsidP="00131E41">
      <w:pPr>
        <w:rPr>
          <w:rFonts w:ascii="Calibri" w:eastAsia="Calibri" w:hAnsi="Calibri" w:cs="Times New Roman"/>
          <w:lang w:eastAsia="en-US"/>
        </w:rPr>
      </w:pPr>
    </w:p>
    <w:p w14:paraId="0C3F88C5" w14:textId="77777777" w:rsidR="00131E41" w:rsidRPr="00DF1C49" w:rsidRDefault="00131E41" w:rsidP="00131E41">
      <w:pPr>
        <w:rPr>
          <w:rFonts w:ascii="Calibri" w:eastAsia="Calibri" w:hAnsi="Calibri" w:cs="Times New Roman"/>
          <w:bCs/>
          <w:color w:val="4F81BD"/>
          <w:lang w:eastAsia="en-US"/>
        </w:rPr>
      </w:pPr>
      <w:r w:rsidRPr="00DF1C49">
        <w:rPr>
          <w:rFonts w:ascii="Calibri" w:eastAsia="Calibri" w:hAnsi="Calibri" w:cs="Times New Roman"/>
          <w:bCs/>
          <w:color w:val="4F81BD"/>
          <w:lang w:eastAsia="en-US"/>
        </w:rPr>
        <w:t xml:space="preserve"> </w:t>
      </w:r>
      <w:r>
        <w:rPr>
          <w:rFonts w:ascii="Calibri" w:eastAsia="Calibri" w:hAnsi="Calibri" w:cs="Times New Roman"/>
          <w:bCs/>
          <w:noProof/>
          <w:color w:val="4F81BD"/>
        </w:rPr>
        <w:drawing>
          <wp:inline distT="0" distB="0" distL="0" distR="0" wp14:anchorId="0C3F9027" wp14:editId="0C3F9028">
            <wp:extent cx="5724000" cy="7961807"/>
            <wp:effectExtent l="0" t="0" r="0" b="1270"/>
            <wp:docPr id="23" name="Picture 23" descr=" “potential” river plume risk maps of (left) the GBR; (middle) the Tully Herbert region and (right) the Burdekin region produced by a) the TC method in a) 2007, b) 2008, c) 2009. Maps have been smoothed twice with a 4 pixel majority filter (ArcG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24000" cy="7961807"/>
                    </a:xfrm>
                    <a:prstGeom prst="rect">
                      <a:avLst/>
                    </a:prstGeom>
                    <a:noFill/>
                  </pic:spPr>
                </pic:pic>
              </a:graphicData>
            </a:graphic>
          </wp:inline>
        </w:drawing>
      </w:r>
    </w:p>
    <w:p w14:paraId="0C3F88C6" w14:textId="77777777" w:rsidR="00131E41" w:rsidRPr="00DF1C49" w:rsidRDefault="00131E41" w:rsidP="00131E41">
      <w:pPr>
        <w:pStyle w:val="Caption"/>
        <w:rPr>
          <w:rFonts w:eastAsia="Calibri"/>
        </w:rPr>
      </w:pPr>
      <w:bookmarkStart w:id="246" w:name="_Ref432673962"/>
      <w:bookmarkStart w:id="247" w:name="_Toc427833297"/>
      <w:bookmarkStart w:id="248" w:name="_Toc434208055"/>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19</w:t>
      </w:r>
      <w:r w:rsidR="00D243CD">
        <w:rPr>
          <w:rFonts w:eastAsia="Calibri"/>
        </w:rPr>
        <w:fldChar w:fldCharType="end"/>
      </w:r>
      <w:bookmarkEnd w:id="246"/>
      <w:r w:rsidRPr="00DF1C49">
        <w:rPr>
          <w:rFonts w:eastAsia="Calibri"/>
        </w:rPr>
        <w:t>: “potential” river plume risk maps of (left) the GBR; (middle) the Tully Herbert region and (right) the Burdekin region produced by a) the TC method in a) 2007, b) 2008, c) 2009. Maps have been smoothed twice with a 4 pixel majority filter (ArcGIS).</w:t>
      </w:r>
      <w:bookmarkEnd w:id="247"/>
      <w:bookmarkEnd w:id="248"/>
    </w:p>
    <w:p w14:paraId="0C3F88C7"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noProof/>
        </w:rPr>
        <w:drawing>
          <wp:inline distT="0" distB="0" distL="0" distR="0" wp14:anchorId="0C3F9029" wp14:editId="0C3F902A">
            <wp:extent cx="5724000" cy="7963200"/>
            <wp:effectExtent l="0" t="0" r="0" b="0"/>
            <wp:docPr id="24" name="Picture 24" descr="Figure 5 20: “Potential” river plume risk maps of (left) the GBR; (middle) the Tully Herbert region and (right) the Burdekin region produced by a) the TC method in a) 2010, b) 2011, c) 2012. Maps have been smoothed twice with a 4 pixel majority filter (ArcG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24000" cy="7963200"/>
                    </a:xfrm>
                    <a:prstGeom prst="rect">
                      <a:avLst/>
                    </a:prstGeom>
                    <a:noFill/>
                  </pic:spPr>
                </pic:pic>
              </a:graphicData>
            </a:graphic>
          </wp:inline>
        </w:drawing>
      </w:r>
    </w:p>
    <w:p w14:paraId="0C3F88C8" w14:textId="77777777" w:rsidR="00131E41" w:rsidRDefault="00131E41" w:rsidP="00131E41">
      <w:pPr>
        <w:pStyle w:val="Caption"/>
        <w:rPr>
          <w:rFonts w:eastAsia="Calibri"/>
        </w:rPr>
      </w:pPr>
      <w:bookmarkStart w:id="249" w:name="_Ref432673964"/>
      <w:bookmarkStart w:id="250" w:name="_Toc427833298"/>
      <w:bookmarkStart w:id="251" w:name="_Toc434208056"/>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20</w:t>
      </w:r>
      <w:r w:rsidR="00D243CD">
        <w:rPr>
          <w:rFonts w:eastAsia="Calibri"/>
        </w:rPr>
        <w:fldChar w:fldCharType="end"/>
      </w:r>
      <w:bookmarkEnd w:id="249"/>
      <w:r>
        <w:rPr>
          <w:rFonts w:eastAsia="Calibri"/>
        </w:rPr>
        <w:t>: “P</w:t>
      </w:r>
      <w:r w:rsidRPr="00DF1C49">
        <w:rPr>
          <w:rFonts w:eastAsia="Calibri"/>
        </w:rPr>
        <w:t>otential” river plume risk maps of (left) the GBR; (middle) the Tully Herbert region and (right) the Burdekin region produced by a) the TC method in a) 2010, b) 2011, c) 2012. Maps have been smoothed twice with a 4 pixel majority filter (ArcGIS).</w:t>
      </w:r>
      <w:bookmarkEnd w:id="250"/>
      <w:bookmarkEnd w:id="251"/>
    </w:p>
    <w:p w14:paraId="0C3F88C9" w14:textId="77777777" w:rsidR="00131E41" w:rsidRDefault="00131E41" w:rsidP="00131E41">
      <w:pPr>
        <w:pStyle w:val="Caption"/>
        <w:rPr>
          <w:rFonts w:eastAsia="Calibri"/>
          <w:bCs/>
        </w:rPr>
      </w:pPr>
      <w:bookmarkStart w:id="252" w:name="_Ref432674034"/>
      <w:bookmarkStart w:id="253" w:name="_Toc434208080"/>
      <w:r>
        <w:t xml:space="preserve">Table </w:t>
      </w:r>
      <w:r w:rsidR="00AE4287">
        <w:fldChar w:fldCharType="begin"/>
      </w:r>
      <w:r w:rsidR="00AE4287">
        <w:instrText xml:space="preserve"> STYLEREF 1 \s </w:instrText>
      </w:r>
      <w:r w:rsidR="00AE4287">
        <w:fldChar w:fldCharType="separate"/>
      </w:r>
      <w:r w:rsidR="00B62B50">
        <w:rPr>
          <w:noProof/>
        </w:rPr>
        <w:t>5</w:t>
      </w:r>
      <w:r w:rsidR="00AE4287">
        <w:fldChar w:fldCharType="end"/>
      </w:r>
      <w:r w:rsidR="00AE4287">
        <w:noBreakHyphen/>
      </w:r>
      <w:r w:rsidR="00AE4287">
        <w:fldChar w:fldCharType="begin"/>
      </w:r>
      <w:r w:rsidR="00AE4287">
        <w:instrText xml:space="preserve"> SEQ Table \* ARABIC \s 1 </w:instrText>
      </w:r>
      <w:r w:rsidR="00AE4287">
        <w:fldChar w:fldCharType="separate"/>
      </w:r>
      <w:r w:rsidR="00B62B50">
        <w:rPr>
          <w:noProof/>
        </w:rPr>
        <w:t>2</w:t>
      </w:r>
      <w:r w:rsidR="00AE4287">
        <w:fldChar w:fldCharType="end"/>
      </w:r>
      <w:bookmarkEnd w:id="252"/>
      <w:r>
        <w:t xml:space="preserve">: </w:t>
      </w:r>
      <w:r w:rsidRPr="0032103D">
        <w:rPr>
          <w:rFonts w:eastAsia="Calibri"/>
        </w:rPr>
        <w:t>inter-annual (2007-2012) areas (km</w:t>
      </w:r>
      <w:r w:rsidRPr="0032103D">
        <w:rPr>
          <w:rFonts w:eastAsia="Calibri"/>
          <w:vertAlign w:val="superscript"/>
        </w:rPr>
        <w:t>2</w:t>
      </w:r>
      <w:r>
        <w:rPr>
          <w:rFonts w:eastAsia="Calibri"/>
        </w:rPr>
        <w:t>, left table</w:t>
      </w:r>
      <w:r w:rsidRPr="0032103D">
        <w:rPr>
          <w:rFonts w:eastAsia="Calibri"/>
        </w:rPr>
        <w:t>) and percentage (%</w:t>
      </w:r>
      <w:r>
        <w:rPr>
          <w:rFonts w:eastAsia="Calibri"/>
        </w:rPr>
        <w:t>, right table</w:t>
      </w:r>
      <w:r w:rsidRPr="0032103D">
        <w:rPr>
          <w:rFonts w:eastAsia="Calibri"/>
        </w:rPr>
        <w:t xml:space="preserve">) of the </w:t>
      </w:r>
      <w:r>
        <w:rPr>
          <w:rFonts w:eastAsia="Calibri"/>
        </w:rPr>
        <w:t>GBR under potential risk from river plume exposure.</w:t>
      </w:r>
      <w:bookmarkEnd w:id="253"/>
    </w:p>
    <w:tbl>
      <w:tblPr>
        <w:tblW w:w="9049" w:type="dxa"/>
        <w:tblLayout w:type="fixed"/>
        <w:tblLook w:val="04A0" w:firstRow="1" w:lastRow="0" w:firstColumn="1" w:lastColumn="0" w:noHBand="0" w:noVBand="1"/>
        <w:tblDescription w:val="inter-annual (2007-2012) areas (km2, left table) and percentage (%, right table) of the GBR under potential risk from river plume exposure."/>
      </w:tblPr>
      <w:tblGrid>
        <w:gridCol w:w="675"/>
        <w:gridCol w:w="1007"/>
        <w:gridCol w:w="639"/>
        <w:gridCol w:w="55"/>
        <w:gridCol w:w="584"/>
        <w:gridCol w:w="125"/>
        <w:gridCol w:w="709"/>
        <w:gridCol w:w="850"/>
        <w:gridCol w:w="801"/>
        <w:gridCol w:w="617"/>
        <w:gridCol w:w="236"/>
        <w:gridCol w:w="331"/>
        <w:gridCol w:w="210"/>
        <w:gridCol w:w="215"/>
        <w:gridCol w:w="326"/>
        <w:gridCol w:w="99"/>
        <w:gridCol w:w="567"/>
        <w:gridCol w:w="76"/>
        <w:gridCol w:w="350"/>
        <w:gridCol w:w="76"/>
        <w:gridCol w:w="425"/>
        <w:gridCol w:w="76"/>
      </w:tblGrid>
      <w:tr w:rsidR="00131E41" w:rsidRPr="00464AC8" w14:paraId="0C3F88D8" w14:textId="77777777" w:rsidTr="00131E41">
        <w:trPr>
          <w:trHeight w:val="300"/>
        </w:trPr>
        <w:tc>
          <w:tcPr>
            <w:tcW w:w="675" w:type="dxa"/>
            <w:tcBorders>
              <w:top w:val="nil"/>
              <w:left w:val="nil"/>
              <w:bottom w:val="nil"/>
              <w:right w:val="nil"/>
            </w:tcBorders>
            <w:shd w:val="clear" w:color="auto" w:fill="auto"/>
            <w:noWrap/>
            <w:vAlign w:val="center"/>
            <w:hideMark/>
          </w:tcPr>
          <w:p w14:paraId="0C3F88CA" w14:textId="77777777" w:rsidR="00131E41" w:rsidRPr="00464AC8" w:rsidRDefault="00131E41" w:rsidP="00131E41">
            <w:pPr>
              <w:spacing w:after="120"/>
              <w:jc w:val="center"/>
              <w:rPr>
                <w:rFonts w:ascii="Calibri" w:hAnsi="Calibri" w:cs="Calibri"/>
                <w:color w:val="000000"/>
                <w:sz w:val="18"/>
                <w:szCs w:val="18"/>
              </w:rPr>
            </w:pPr>
          </w:p>
        </w:tc>
        <w:tc>
          <w:tcPr>
            <w:tcW w:w="1007" w:type="dxa"/>
            <w:tcBorders>
              <w:top w:val="nil"/>
              <w:left w:val="nil"/>
              <w:bottom w:val="nil"/>
              <w:right w:val="nil"/>
            </w:tcBorders>
            <w:shd w:val="clear" w:color="auto" w:fill="auto"/>
            <w:noWrap/>
            <w:vAlign w:val="center"/>
            <w:hideMark/>
          </w:tcPr>
          <w:p w14:paraId="0C3F88CB" w14:textId="77777777" w:rsidR="00131E41" w:rsidRPr="00464AC8" w:rsidRDefault="00131E41" w:rsidP="00131E41">
            <w:pPr>
              <w:spacing w:after="120"/>
              <w:jc w:val="center"/>
              <w:rPr>
                <w:rFonts w:ascii="Calibri" w:hAnsi="Calibri" w:cs="Calibri"/>
                <w:color w:val="000000"/>
                <w:sz w:val="18"/>
                <w:szCs w:val="18"/>
              </w:rPr>
            </w:pPr>
          </w:p>
        </w:tc>
        <w:tc>
          <w:tcPr>
            <w:tcW w:w="639" w:type="dxa"/>
            <w:tcBorders>
              <w:top w:val="nil"/>
              <w:left w:val="nil"/>
              <w:bottom w:val="nil"/>
              <w:right w:val="nil"/>
            </w:tcBorders>
            <w:shd w:val="clear" w:color="auto" w:fill="auto"/>
            <w:noWrap/>
            <w:vAlign w:val="center"/>
            <w:hideMark/>
          </w:tcPr>
          <w:p w14:paraId="0C3F88CC" w14:textId="77777777" w:rsidR="00131E41" w:rsidRPr="00464AC8" w:rsidRDefault="00131E41" w:rsidP="00131E41">
            <w:pPr>
              <w:spacing w:after="120"/>
              <w:jc w:val="center"/>
              <w:rPr>
                <w:rFonts w:ascii="Calibri" w:hAnsi="Calibri" w:cs="Calibri"/>
                <w:color w:val="000000"/>
                <w:sz w:val="18"/>
                <w:szCs w:val="18"/>
              </w:rPr>
            </w:pPr>
          </w:p>
        </w:tc>
        <w:tc>
          <w:tcPr>
            <w:tcW w:w="639" w:type="dxa"/>
            <w:gridSpan w:val="2"/>
            <w:tcBorders>
              <w:top w:val="nil"/>
              <w:left w:val="nil"/>
              <w:bottom w:val="nil"/>
              <w:right w:val="nil"/>
            </w:tcBorders>
            <w:shd w:val="clear" w:color="auto" w:fill="auto"/>
            <w:noWrap/>
            <w:vAlign w:val="center"/>
            <w:hideMark/>
          </w:tcPr>
          <w:p w14:paraId="0C3F88CD" w14:textId="77777777" w:rsidR="00131E41" w:rsidRPr="00464AC8" w:rsidRDefault="00131E41" w:rsidP="00131E41">
            <w:pPr>
              <w:spacing w:after="120"/>
              <w:jc w:val="center"/>
              <w:rPr>
                <w:rFonts w:ascii="Calibri" w:hAnsi="Calibri" w:cs="Calibri"/>
                <w:color w:val="000000"/>
                <w:sz w:val="18"/>
                <w:szCs w:val="18"/>
              </w:rPr>
            </w:pPr>
          </w:p>
        </w:tc>
        <w:tc>
          <w:tcPr>
            <w:tcW w:w="834" w:type="dxa"/>
            <w:gridSpan w:val="2"/>
            <w:tcBorders>
              <w:top w:val="nil"/>
              <w:left w:val="nil"/>
              <w:bottom w:val="nil"/>
              <w:right w:val="nil"/>
            </w:tcBorders>
            <w:shd w:val="clear" w:color="auto" w:fill="auto"/>
            <w:noWrap/>
            <w:vAlign w:val="center"/>
            <w:hideMark/>
          </w:tcPr>
          <w:p w14:paraId="0C3F88CE" w14:textId="77777777" w:rsidR="00131E41" w:rsidRPr="00464AC8" w:rsidRDefault="00131E41" w:rsidP="00131E41">
            <w:pPr>
              <w:spacing w:after="120"/>
              <w:jc w:val="center"/>
              <w:rPr>
                <w:rFonts w:ascii="Calibri" w:hAnsi="Calibri" w:cs="Calibri"/>
                <w:color w:val="000000"/>
                <w:sz w:val="18"/>
                <w:szCs w:val="18"/>
              </w:rPr>
            </w:pPr>
          </w:p>
        </w:tc>
        <w:tc>
          <w:tcPr>
            <w:tcW w:w="850" w:type="dxa"/>
            <w:tcBorders>
              <w:top w:val="nil"/>
              <w:left w:val="nil"/>
              <w:bottom w:val="nil"/>
              <w:right w:val="nil"/>
            </w:tcBorders>
            <w:shd w:val="clear" w:color="auto" w:fill="auto"/>
            <w:noWrap/>
            <w:vAlign w:val="center"/>
            <w:hideMark/>
          </w:tcPr>
          <w:p w14:paraId="0C3F88CF" w14:textId="77777777" w:rsidR="00131E41" w:rsidRPr="00464AC8" w:rsidRDefault="00131E41" w:rsidP="00131E41">
            <w:pPr>
              <w:spacing w:after="120"/>
              <w:jc w:val="center"/>
              <w:rPr>
                <w:rFonts w:ascii="Calibri" w:hAnsi="Calibri" w:cs="Calibri"/>
                <w:color w:val="000000"/>
                <w:sz w:val="18"/>
                <w:szCs w:val="18"/>
              </w:rPr>
            </w:pPr>
          </w:p>
        </w:tc>
        <w:tc>
          <w:tcPr>
            <w:tcW w:w="801" w:type="dxa"/>
            <w:tcBorders>
              <w:top w:val="nil"/>
              <w:left w:val="nil"/>
              <w:bottom w:val="nil"/>
              <w:right w:val="nil"/>
            </w:tcBorders>
            <w:shd w:val="clear" w:color="auto" w:fill="auto"/>
            <w:noWrap/>
            <w:vAlign w:val="center"/>
            <w:hideMark/>
          </w:tcPr>
          <w:p w14:paraId="0C3F88D0" w14:textId="77777777" w:rsidR="00131E41" w:rsidRPr="00464AC8" w:rsidRDefault="00131E41" w:rsidP="00131E41">
            <w:pPr>
              <w:spacing w:after="120"/>
              <w:jc w:val="center"/>
              <w:rPr>
                <w:rFonts w:ascii="Calibri" w:hAnsi="Calibri" w:cs="Calibri"/>
                <w:color w:val="000000"/>
                <w:sz w:val="18"/>
                <w:szCs w:val="18"/>
              </w:rPr>
            </w:pPr>
          </w:p>
        </w:tc>
        <w:tc>
          <w:tcPr>
            <w:tcW w:w="617" w:type="dxa"/>
            <w:tcBorders>
              <w:top w:val="nil"/>
              <w:left w:val="nil"/>
              <w:bottom w:val="nil"/>
              <w:right w:val="nil"/>
            </w:tcBorders>
            <w:shd w:val="clear" w:color="auto" w:fill="auto"/>
            <w:noWrap/>
            <w:vAlign w:val="center"/>
            <w:hideMark/>
          </w:tcPr>
          <w:p w14:paraId="0C3F88D1" w14:textId="77777777" w:rsidR="00131E41" w:rsidRPr="00464AC8" w:rsidRDefault="00131E41" w:rsidP="00131E41">
            <w:pPr>
              <w:spacing w:after="120"/>
              <w:jc w:val="center"/>
              <w:rPr>
                <w:rFonts w:ascii="Calibri" w:hAnsi="Calibri" w:cs="Calibri"/>
                <w:color w:val="000000"/>
                <w:sz w:val="18"/>
                <w:szCs w:val="18"/>
              </w:rPr>
            </w:pPr>
          </w:p>
        </w:tc>
        <w:tc>
          <w:tcPr>
            <w:tcW w:w="236" w:type="dxa"/>
            <w:tcBorders>
              <w:top w:val="nil"/>
              <w:left w:val="nil"/>
              <w:bottom w:val="nil"/>
              <w:right w:val="nil"/>
            </w:tcBorders>
            <w:shd w:val="clear" w:color="auto" w:fill="auto"/>
            <w:noWrap/>
            <w:vAlign w:val="center"/>
            <w:hideMark/>
          </w:tcPr>
          <w:p w14:paraId="0C3F88D2" w14:textId="77777777" w:rsidR="00131E41" w:rsidRPr="00464AC8" w:rsidRDefault="00131E41" w:rsidP="00131E41">
            <w:pPr>
              <w:spacing w:after="120"/>
              <w:jc w:val="center"/>
              <w:rPr>
                <w:rFonts w:ascii="Calibri" w:hAnsi="Calibri" w:cs="Calibri"/>
                <w:color w:val="000000"/>
                <w:sz w:val="18"/>
                <w:szCs w:val="18"/>
              </w:rPr>
            </w:pPr>
          </w:p>
        </w:tc>
        <w:tc>
          <w:tcPr>
            <w:tcW w:w="541" w:type="dxa"/>
            <w:gridSpan w:val="2"/>
            <w:tcBorders>
              <w:top w:val="nil"/>
              <w:left w:val="nil"/>
              <w:bottom w:val="nil"/>
              <w:right w:val="nil"/>
            </w:tcBorders>
            <w:shd w:val="clear" w:color="auto" w:fill="auto"/>
            <w:noWrap/>
            <w:vAlign w:val="center"/>
            <w:hideMark/>
          </w:tcPr>
          <w:p w14:paraId="0C3F88D3" w14:textId="77777777" w:rsidR="00131E41" w:rsidRPr="00464AC8" w:rsidRDefault="00131E41" w:rsidP="00131E41">
            <w:pPr>
              <w:spacing w:after="120"/>
              <w:jc w:val="center"/>
              <w:rPr>
                <w:rFonts w:ascii="Calibri" w:hAnsi="Calibri" w:cs="Calibri"/>
                <w:color w:val="000000"/>
                <w:sz w:val="18"/>
                <w:szCs w:val="18"/>
              </w:rPr>
            </w:pPr>
          </w:p>
        </w:tc>
        <w:tc>
          <w:tcPr>
            <w:tcW w:w="541" w:type="dxa"/>
            <w:gridSpan w:val="2"/>
            <w:tcBorders>
              <w:top w:val="nil"/>
              <w:left w:val="nil"/>
              <w:bottom w:val="nil"/>
              <w:right w:val="nil"/>
            </w:tcBorders>
            <w:shd w:val="clear" w:color="auto" w:fill="auto"/>
            <w:noWrap/>
            <w:vAlign w:val="center"/>
            <w:hideMark/>
          </w:tcPr>
          <w:p w14:paraId="0C3F88D4" w14:textId="77777777" w:rsidR="00131E41" w:rsidRPr="00464AC8" w:rsidRDefault="00131E41" w:rsidP="00131E41">
            <w:pPr>
              <w:spacing w:after="120"/>
              <w:jc w:val="center"/>
              <w:rPr>
                <w:rFonts w:ascii="Calibri" w:hAnsi="Calibri" w:cs="Calibri"/>
                <w:color w:val="000000"/>
                <w:sz w:val="18"/>
                <w:szCs w:val="18"/>
              </w:rPr>
            </w:pPr>
          </w:p>
        </w:tc>
        <w:tc>
          <w:tcPr>
            <w:tcW w:w="742" w:type="dxa"/>
            <w:gridSpan w:val="3"/>
            <w:tcBorders>
              <w:top w:val="nil"/>
              <w:left w:val="nil"/>
              <w:bottom w:val="nil"/>
              <w:right w:val="nil"/>
            </w:tcBorders>
            <w:shd w:val="clear" w:color="auto" w:fill="auto"/>
            <w:noWrap/>
            <w:vAlign w:val="center"/>
            <w:hideMark/>
          </w:tcPr>
          <w:p w14:paraId="0C3F88D5" w14:textId="77777777" w:rsidR="00131E41" w:rsidRPr="00464AC8" w:rsidRDefault="00131E41" w:rsidP="00131E41">
            <w:pPr>
              <w:spacing w:after="120"/>
              <w:jc w:val="center"/>
              <w:rPr>
                <w:rFonts w:ascii="Calibri" w:hAnsi="Calibri" w:cs="Calibri"/>
                <w:color w:val="000000"/>
                <w:sz w:val="18"/>
                <w:szCs w:val="18"/>
              </w:rPr>
            </w:pPr>
          </w:p>
        </w:tc>
        <w:tc>
          <w:tcPr>
            <w:tcW w:w="426" w:type="dxa"/>
            <w:gridSpan w:val="2"/>
            <w:tcBorders>
              <w:top w:val="nil"/>
              <w:left w:val="nil"/>
              <w:bottom w:val="nil"/>
              <w:right w:val="nil"/>
            </w:tcBorders>
            <w:shd w:val="clear" w:color="auto" w:fill="auto"/>
            <w:noWrap/>
            <w:vAlign w:val="center"/>
            <w:hideMark/>
          </w:tcPr>
          <w:p w14:paraId="0C3F88D6" w14:textId="77777777" w:rsidR="00131E41" w:rsidRPr="00464AC8" w:rsidRDefault="00131E41" w:rsidP="00131E41">
            <w:pPr>
              <w:spacing w:after="120"/>
              <w:jc w:val="center"/>
              <w:rPr>
                <w:rFonts w:ascii="Calibri" w:hAnsi="Calibri" w:cs="Calibri"/>
                <w:color w:val="000000"/>
                <w:sz w:val="18"/>
                <w:szCs w:val="18"/>
              </w:rPr>
            </w:pPr>
          </w:p>
        </w:tc>
        <w:tc>
          <w:tcPr>
            <w:tcW w:w="501" w:type="dxa"/>
            <w:gridSpan w:val="2"/>
            <w:tcBorders>
              <w:top w:val="nil"/>
              <w:left w:val="nil"/>
              <w:bottom w:val="nil"/>
              <w:right w:val="nil"/>
            </w:tcBorders>
            <w:shd w:val="clear" w:color="auto" w:fill="auto"/>
            <w:noWrap/>
            <w:vAlign w:val="center"/>
            <w:hideMark/>
          </w:tcPr>
          <w:p w14:paraId="0C3F88D7" w14:textId="77777777" w:rsidR="00131E41" w:rsidRPr="00464AC8" w:rsidRDefault="00131E41" w:rsidP="00131E41">
            <w:pPr>
              <w:spacing w:after="120"/>
              <w:jc w:val="center"/>
              <w:rPr>
                <w:rFonts w:ascii="Calibri" w:hAnsi="Calibri" w:cs="Calibri"/>
                <w:color w:val="000000"/>
                <w:sz w:val="18"/>
                <w:szCs w:val="18"/>
              </w:rPr>
            </w:pPr>
          </w:p>
        </w:tc>
      </w:tr>
      <w:tr w:rsidR="00131E41" w:rsidRPr="00F44B82" w14:paraId="0C3F88E1" w14:textId="77777777" w:rsidTr="00131E41">
        <w:trPr>
          <w:gridAfter w:val="1"/>
          <w:wAfter w:w="76" w:type="dxa"/>
          <w:trHeight w:val="300"/>
        </w:trPr>
        <w:tc>
          <w:tcPr>
            <w:tcW w:w="675" w:type="dxa"/>
            <w:tcBorders>
              <w:top w:val="nil"/>
              <w:left w:val="nil"/>
              <w:bottom w:val="nil"/>
              <w:right w:val="nil"/>
            </w:tcBorders>
            <w:shd w:val="clear" w:color="auto" w:fill="auto"/>
            <w:noWrap/>
            <w:vAlign w:val="center"/>
            <w:hideMark/>
          </w:tcPr>
          <w:p w14:paraId="0C3F88D9" w14:textId="77777777" w:rsidR="00131E41" w:rsidRPr="00464AC8" w:rsidRDefault="00131E41" w:rsidP="00131E41">
            <w:pPr>
              <w:spacing w:after="120"/>
              <w:jc w:val="center"/>
              <w:rPr>
                <w:rFonts w:ascii="Calibri" w:hAnsi="Calibri" w:cs="Calibri"/>
                <w:color w:val="000000"/>
                <w:sz w:val="18"/>
                <w:szCs w:val="18"/>
              </w:rPr>
            </w:pPr>
          </w:p>
        </w:tc>
        <w:tc>
          <w:tcPr>
            <w:tcW w:w="3119" w:type="dxa"/>
            <w:gridSpan w:val="6"/>
            <w:tcBorders>
              <w:top w:val="single" w:sz="4" w:space="0" w:color="auto"/>
              <w:left w:val="single" w:sz="4" w:space="0" w:color="auto"/>
              <w:bottom w:val="single" w:sz="4" w:space="0" w:color="auto"/>
              <w:right w:val="nil"/>
            </w:tcBorders>
            <w:shd w:val="clear" w:color="000000" w:fill="F2F2F2"/>
            <w:noWrap/>
            <w:vAlign w:val="center"/>
            <w:hideMark/>
          </w:tcPr>
          <w:p w14:paraId="0C3F88DA"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Risk category</w:t>
            </w:r>
          </w:p>
        </w:tc>
        <w:tc>
          <w:tcPr>
            <w:tcW w:w="850" w:type="dxa"/>
            <w:vMerge w:val="restart"/>
            <w:tcBorders>
              <w:top w:val="single" w:sz="4" w:space="0" w:color="auto"/>
              <w:left w:val="nil"/>
              <w:bottom w:val="nil"/>
              <w:right w:val="nil"/>
            </w:tcBorders>
            <w:shd w:val="clear" w:color="000000" w:fill="F2DCDB"/>
            <w:textDirection w:val="btLr"/>
            <w:vAlign w:val="bottom"/>
            <w:hideMark/>
          </w:tcPr>
          <w:p w14:paraId="0C3F88DB" w14:textId="77777777" w:rsidR="00131E41" w:rsidRPr="00DF1C49" w:rsidRDefault="00131E41" w:rsidP="00131E41">
            <w:pPr>
              <w:spacing w:after="120"/>
              <w:ind w:left="113" w:right="113"/>
              <w:jc w:val="center"/>
              <w:rPr>
                <w:rFonts w:ascii="Calibri" w:hAnsi="Calibri" w:cs="Calibri"/>
                <w:b/>
                <w:bCs/>
                <w:sz w:val="20"/>
                <w:szCs w:val="20"/>
              </w:rPr>
            </w:pPr>
            <w:r w:rsidRPr="00DF1C49">
              <w:rPr>
                <w:rFonts w:ascii="Calibri" w:hAnsi="Calibri" w:cs="Calibri"/>
                <w:b/>
                <w:bCs/>
                <w:sz w:val="20"/>
                <w:szCs w:val="20"/>
              </w:rPr>
              <w:t xml:space="preserve">TOT </w:t>
            </w:r>
            <w:r>
              <w:rPr>
                <w:rFonts w:ascii="Calibri" w:hAnsi="Calibri" w:cs="Calibri"/>
                <w:b/>
                <w:bCs/>
                <w:sz w:val="20"/>
                <w:szCs w:val="20"/>
              </w:rPr>
              <w:t>exp.</w:t>
            </w:r>
          </w:p>
        </w:tc>
        <w:tc>
          <w:tcPr>
            <w:tcW w:w="801" w:type="dxa"/>
            <w:vMerge w:val="restart"/>
            <w:tcBorders>
              <w:top w:val="single" w:sz="4" w:space="0" w:color="auto"/>
              <w:left w:val="nil"/>
              <w:bottom w:val="nil"/>
              <w:right w:val="single" w:sz="4" w:space="0" w:color="auto"/>
            </w:tcBorders>
            <w:shd w:val="clear" w:color="000000" w:fill="F2DCDB"/>
            <w:textDirection w:val="btLr"/>
            <w:vAlign w:val="bottom"/>
            <w:hideMark/>
          </w:tcPr>
          <w:p w14:paraId="0C3F88DC" w14:textId="77777777" w:rsidR="00131E41" w:rsidRPr="00DF1C49" w:rsidRDefault="00131E41" w:rsidP="00131E41">
            <w:pPr>
              <w:spacing w:after="120"/>
              <w:ind w:left="113" w:right="113"/>
              <w:jc w:val="center"/>
              <w:rPr>
                <w:rFonts w:ascii="Calibri" w:hAnsi="Calibri" w:cs="Calibri"/>
                <w:b/>
                <w:bCs/>
                <w:sz w:val="20"/>
                <w:szCs w:val="20"/>
              </w:rPr>
            </w:pPr>
            <w:r w:rsidRPr="00DF1C49">
              <w:rPr>
                <w:rFonts w:ascii="Calibri" w:hAnsi="Calibri" w:cs="Calibri"/>
                <w:b/>
                <w:bCs/>
                <w:sz w:val="20"/>
                <w:szCs w:val="20"/>
              </w:rPr>
              <w:t xml:space="preserve">TOT non </w:t>
            </w:r>
            <w:r>
              <w:rPr>
                <w:rFonts w:ascii="Calibri" w:hAnsi="Calibri" w:cs="Calibri"/>
                <w:b/>
                <w:bCs/>
                <w:sz w:val="20"/>
                <w:szCs w:val="20"/>
              </w:rPr>
              <w:t>exp.</w:t>
            </w:r>
          </w:p>
        </w:tc>
        <w:tc>
          <w:tcPr>
            <w:tcW w:w="617" w:type="dxa"/>
            <w:tcBorders>
              <w:top w:val="nil"/>
              <w:left w:val="nil"/>
              <w:bottom w:val="nil"/>
              <w:right w:val="nil"/>
            </w:tcBorders>
            <w:shd w:val="clear" w:color="auto" w:fill="auto"/>
            <w:noWrap/>
            <w:vAlign w:val="center"/>
            <w:hideMark/>
          </w:tcPr>
          <w:p w14:paraId="0C3F88DD" w14:textId="77777777" w:rsidR="00131E41" w:rsidRPr="00464AC8" w:rsidRDefault="00131E41" w:rsidP="00131E41">
            <w:pPr>
              <w:spacing w:after="120"/>
              <w:jc w:val="center"/>
              <w:rPr>
                <w:rFonts w:ascii="Calibri" w:hAnsi="Calibri" w:cs="Calibri"/>
                <w:color w:val="000000"/>
                <w:sz w:val="18"/>
                <w:szCs w:val="18"/>
              </w:rPr>
            </w:pPr>
          </w:p>
        </w:tc>
        <w:tc>
          <w:tcPr>
            <w:tcW w:w="1984" w:type="dxa"/>
            <w:gridSpan w:val="7"/>
            <w:tcBorders>
              <w:top w:val="single" w:sz="4" w:space="0" w:color="auto"/>
              <w:left w:val="single" w:sz="4" w:space="0" w:color="auto"/>
              <w:bottom w:val="single" w:sz="4" w:space="0" w:color="auto"/>
              <w:right w:val="nil"/>
            </w:tcBorders>
            <w:shd w:val="clear" w:color="000000" w:fill="F2F2F2"/>
            <w:noWrap/>
            <w:vAlign w:val="center"/>
            <w:hideMark/>
          </w:tcPr>
          <w:p w14:paraId="0C3F88DE"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Risk category</w:t>
            </w:r>
          </w:p>
        </w:tc>
        <w:tc>
          <w:tcPr>
            <w:tcW w:w="426" w:type="dxa"/>
            <w:gridSpan w:val="2"/>
            <w:vMerge w:val="restart"/>
            <w:tcBorders>
              <w:top w:val="single" w:sz="4" w:space="0" w:color="auto"/>
              <w:left w:val="single" w:sz="4" w:space="0" w:color="auto"/>
              <w:bottom w:val="single" w:sz="4" w:space="0" w:color="000000"/>
              <w:right w:val="nil"/>
            </w:tcBorders>
            <w:shd w:val="clear" w:color="000000" w:fill="F2DCDB"/>
            <w:textDirection w:val="btLr"/>
            <w:hideMark/>
          </w:tcPr>
          <w:p w14:paraId="0C3F88DF" w14:textId="77777777" w:rsidR="00131E41" w:rsidRPr="009842DB" w:rsidRDefault="00131E41" w:rsidP="00131E41">
            <w:pPr>
              <w:spacing w:after="120"/>
              <w:ind w:left="113" w:right="113"/>
              <w:jc w:val="center"/>
              <w:rPr>
                <w:rFonts w:ascii="Calibri" w:hAnsi="Calibri" w:cs="Calibri"/>
                <w:b/>
                <w:bCs/>
                <w:sz w:val="20"/>
                <w:szCs w:val="20"/>
              </w:rPr>
            </w:pPr>
            <w:r w:rsidRPr="009842DB">
              <w:rPr>
                <w:b/>
              </w:rPr>
              <w:t>TOT exp.</w:t>
            </w:r>
          </w:p>
        </w:tc>
        <w:tc>
          <w:tcPr>
            <w:tcW w:w="501" w:type="dxa"/>
            <w:gridSpan w:val="2"/>
            <w:vMerge w:val="restart"/>
            <w:tcBorders>
              <w:top w:val="single" w:sz="4" w:space="0" w:color="auto"/>
              <w:left w:val="nil"/>
              <w:bottom w:val="single" w:sz="4" w:space="0" w:color="000000"/>
              <w:right w:val="single" w:sz="4" w:space="0" w:color="auto"/>
            </w:tcBorders>
            <w:shd w:val="clear" w:color="000000" w:fill="F2DCDB"/>
            <w:textDirection w:val="btLr"/>
            <w:hideMark/>
          </w:tcPr>
          <w:p w14:paraId="0C3F88E0" w14:textId="77777777" w:rsidR="00131E41" w:rsidRPr="009842DB" w:rsidRDefault="00131E41" w:rsidP="00131E41">
            <w:pPr>
              <w:spacing w:after="120"/>
              <w:ind w:left="113" w:right="113"/>
              <w:jc w:val="center"/>
              <w:rPr>
                <w:rFonts w:ascii="Calibri" w:hAnsi="Calibri" w:cs="Calibri"/>
                <w:b/>
                <w:bCs/>
                <w:sz w:val="20"/>
                <w:szCs w:val="20"/>
                <w:lang w:val="fr-FR"/>
              </w:rPr>
            </w:pPr>
            <w:r w:rsidRPr="009842DB">
              <w:rPr>
                <w:b/>
              </w:rPr>
              <w:t>TOT non exp.</w:t>
            </w:r>
          </w:p>
        </w:tc>
      </w:tr>
      <w:tr w:rsidR="00131E41" w:rsidRPr="00464AC8" w14:paraId="0C3F88F0" w14:textId="77777777" w:rsidTr="00131E41">
        <w:trPr>
          <w:gridAfter w:val="1"/>
          <w:wAfter w:w="76" w:type="dxa"/>
          <w:cantSplit/>
          <w:trHeight w:val="1144"/>
        </w:trPr>
        <w:tc>
          <w:tcPr>
            <w:tcW w:w="675"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C3F88E2" w14:textId="77777777" w:rsidR="00131E41" w:rsidRPr="00464AC8" w:rsidRDefault="00131E41" w:rsidP="00131E41">
            <w:pPr>
              <w:spacing w:after="120"/>
              <w:jc w:val="center"/>
              <w:rPr>
                <w:rFonts w:ascii="Calibri" w:hAnsi="Calibri" w:cs="Calibri"/>
                <w:b/>
                <w:bCs/>
                <w:color w:val="000000"/>
                <w:sz w:val="18"/>
                <w:szCs w:val="18"/>
              </w:rPr>
            </w:pPr>
            <w:r>
              <w:rPr>
                <w:rFonts w:ascii="Calibri" w:hAnsi="Calibri" w:cs="Calibri"/>
                <w:b/>
                <w:bCs/>
                <w:color w:val="000000"/>
                <w:sz w:val="18"/>
                <w:szCs w:val="18"/>
              </w:rPr>
              <w:t>GBR</w:t>
            </w:r>
            <w:r w:rsidRPr="00464AC8">
              <w:rPr>
                <w:rFonts w:ascii="Calibri" w:hAnsi="Calibri" w:cs="Calibri"/>
                <w:b/>
                <w:bCs/>
                <w:color w:val="000000"/>
                <w:sz w:val="18"/>
                <w:szCs w:val="18"/>
              </w:rPr>
              <w:t xml:space="preserve"> (</w:t>
            </w:r>
            <w:r>
              <w:rPr>
                <w:rFonts w:ascii="Calibri" w:hAnsi="Calibri" w:cs="Calibri"/>
                <w:b/>
                <w:bCs/>
                <w:color w:val="000000"/>
                <w:sz w:val="18"/>
                <w:szCs w:val="18"/>
              </w:rPr>
              <w:t>km</w:t>
            </w:r>
            <w:r w:rsidRPr="00224D62">
              <w:rPr>
                <w:rFonts w:ascii="Calibri" w:hAnsi="Calibri" w:cs="Calibri"/>
                <w:b/>
                <w:bCs/>
                <w:color w:val="000000"/>
                <w:sz w:val="18"/>
                <w:szCs w:val="18"/>
                <w:vertAlign w:val="superscript"/>
              </w:rPr>
              <w:t>2</w:t>
            </w:r>
            <w:r w:rsidRPr="00464AC8">
              <w:rPr>
                <w:rFonts w:ascii="Calibri" w:hAnsi="Calibri" w:cs="Calibri"/>
                <w:b/>
                <w:bCs/>
                <w:color w:val="000000"/>
                <w:sz w:val="18"/>
                <w:szCs w:val="18"/>
              </w:rPr>
              <w:t>)</w:t>
            </w:r>
          </w:p>
        </w:tc>
        <w:tc>
          <w:tcPr>
            <w:tcW w:w="1007" w:type="dxa"/>
            <w:tcBorders>
              <w:top w:val="nil"/>
              <w:left w:val="nil"/>
              <w:bottom w:val="nil"/>
              <w:right w:val="nil"/>
            </w:tcBorders>
            <w:shd w:val="clear" w:color="000000" w:fill="0070C0"/>
            <w:noWrap/>
            <w:vAlign w:val="center"/>
            <w:hideMark/>
          </w:tcPr>
          <w:p w14:paraId="0C3F88E3"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w:t>
            </w:r>
          </w:p>
        </w:tc>
        <w:tc>
          <w:tcPr>
            <w:tcW w:w="694" w:type="dxa"/>
            <w:gridSpan w:val="2"/>
            <w:tcBorders>
              <w:top w:val="nil"/>
              <w:left w:val="nil"/>
              <w:bottom w:val="nil"/>
              <w:right w:val="nil"/>
            </w:tcBorders>
            <w:shd w:val="clear" w:color="000000" w:fill="00B050"/>
            <w:noWrap/>
            <w:vAlign w:val="center"/>
            <w:hideMark/>
          </w:tcPr>
          <w:p w14:paraId="0C3F88E4"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II</w:t>
            </w:r>
          </w:p>
        </w:tc>
        <w:tc>
          <w:tcPr>
            <w:tcW w:w="709" w:type="dxa"/>
            <w:gridSpan w:val="2"/>
            <w:tcBorders>
              <w:top w:val="nil"/>
              <w:left w:val="nil"/>
              <w:bottom w:val="nil"/>
              <w:right w:val="nil"/>
            </w:tcBorders>
            <w:shd w:val="clear" w:color="000000" w:fill="FF0000"/>
            <w:noWrap/>
            <w:vAlign w:val="center"/>
            <w:hideMark/>
          </w:tcPr>
          <w:p w14:paraId="0C3F88E5"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III</w:t>
            </w:r>
          </w:p>
        </w:tc>
        <w:tc>
          <w:tcPr>
            <w:tcW w:w="709" w:type="dxa"/>
            <w:tcBorders>
              <w:top w:val="nil"/>
              <w:left w:val="nil"/>
              <w:bottom w:val="nil"/>
              <w:right w:val="nil"/>
            </w:tcBorders>
            <w:shd w:val="clear" w:color="000000" w:fill="C00000"/>
            <w:noWrap/>
            <w:vAlign w:val="center"/>
            <w:hideMark/>
          </w:tcPr>
          <w:p w14:paraId="0C3F88E6"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IV</w:t>
            </w:r>
          </w:p>
        </w:tc>
        <w:tc>
          <w:tcPr>
            <w:tcW w:w="850" w:type="dxa"/>
            <w:vMerge/>
            <w:tcBorders>
              <w:top w:val="single" w:sz="4" w:space="0" w:color="auto"/>
              <w:left w:val="nil"/>
              <w:bottom w:val="nil"/>
              <w:right w:val="nil"/>
            </w:tcBorders>
            <w:vAlign w:val="center"/>
            <w:hideMark/>
          </w:tcPr>
          <w:p w14:paraId="0C3F88E7" w14:textId="77777777" w:rsidR="00131E41" w:rsidRPr="00464AC8" w:rsidRDefault="00131E41" w:rsidP="00131E41">
            <w:pPr>
              <w:spacing w:after="120"/>
              <w:rPr>
                <w:rFonts w:ascii="Calibri" w:hAnsi="Calibri" w:cs="Calibri"/>
                <w:b/>
                <w:bCs/>
                <w:sz w:val="18"/>
                <w:szCs w:val="18"/>
              </w:rPr>
            </w:pPr>
          </w:p>
        </w:tc>
        <w:tc>
          <w:tcPr>
            <w:tcW w:w="801" w:type="dxa"/>
            <w:vMerge/>
            <w:tcBorders>
              <w:top w:val="single" w:sz="4" w:space="0" w:color="auto"/>
              <w:left w:val="nil"/>
              <w:bottom w:val="nil"/>
              <w:right w:val="single" w:sz="4" w:space="0" w:color="auto"/>
            </w:tcBorders>
            <w:vAlign w:val="center"/>
            <w:hideMark/>
          </w:tcPr>
          <w:p w14:paraId="0C3F88E8" w14:textId="77777777" w:rsidR="00131E41" w:rsidRPr="00464AC8" w:rsidRDefault="00131E41" w:rsidP="00131E41">
            <w:pPr>
              <w:spacing w:after="120"/>
              <w:rPr>
                <w:rFonts w:ascii="Calibri" w:hAnsi="Calibri" w:cs="Calibri"/>
                <w:b/>
                <w:bCs/>
                <w:sz w:val="18"/>
                <w:szCs w:val="18"/>
              </w:rPr>
            </w:pPr>
          </w:p>
        </w:tc>
        <w:tc>
          <w:tcPr>
            <w:tcW w:w="617"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C3F88E9" w14:textId="77777777" w:rsidR="00131E41" w:rsidRPr="00464AC8" w:rsidRDefault="00131E41" w:rsidP="00131E41">
            <w:pPr>
              <w:spacing w:after="120"/>
              <w:jc w:val="center"/>
              <w:rPr>
                <w:rFonts w:ascii="Calibri" w:hAnsi="Calibri" w:cs="Calibri"/>
                <w:b/>
                <w:bCs/>
                <w:color w:val="000000"/>
                <w:sz w:val="18"/>
                <w:szCs w:val="18"/>
              </w:rPr>
            </w:pPr>
            <w:r>
              <w:rPr>
                <w:rFonts w:ascii="Calibri" w:hAnsi="Calibri" w:cs="Calibri"/>
                <w:b/>
                <w:bCs/>
                <w:color w:val="000000"/>
                <w:sz w:val="18"/>
                <w:szCs w:val="18"/>
              </w:rPr>
              <w:t xml:space="preserve">GBR </w:t>
            </w:r>
            <w:r w:rsidRPr="00464AC8">
              <w:rPr>
                <w:rFonts w:ascii="Calibri" w:hAnsi="Calibri" w:cs="Calibri"/>
                <w:b/>
                <w:bCs/>
                <w:color w:val="000000"/>
                <w:sz w:val="18"/>
                <w:szCs w:val="18"/>
              </w:rPr>
              <w:t>(%)</w:t>
            </w:r>
          </w:p>
        </w:tc>
        <w:tc>
          <w:tcPr>
            <w:tcW w:w="567" w:type="dxa"/>
            <w:gridSpan w:val="2"/>
            <w:tcBorders>
              <w:top w:val="nil"/>
              <w:left w:val="nil"/>
              <w:bottom w:val="nil"/>
              <w:right w:val="nil"/>
            </w:tcBorders>
            <w:shd w:val="clear" w:color="000000" w:fill="0070C0"/>
            <w:noWrap/>
            <w:vAlign w:val="center"/>
            <w:hideMark/>
          </w:tcPr>
          <w:p w14:paraId="0C3F88EA"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w:t>
            </w:r>
          </w:p>
        </w:tc>
        <w:tc>
          <w:tcPr>
            <w:tcW w:w="425" w:type="dxa"/>
            <w:gridSpan w:val="2"/>
            <w:tcBorders>
              <w:top w:val="nil"/>
              <w:left w:val="nil"/>
              <w:bottom w:val="nil"/>
              <w:right w:val="nil"/>
            </w:tcBorders>
            <w:shd w:val="clear" w:color="000000" w:fill="00B050"/>
            <w:noWrap/>
            <w:vAlign w:val="center"/>
            <w:hideMark/>
          </w:tcPr>
          <w:p w14:paraId="0C3F88EB"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II</w:t>
            </w:r>
          </w:p>
        </w:tc>
        <w:tc>
          <w:tcPr>
            <w:tcW w:w="425" w:type="dxa"/>
            <w:gridSpan w:val="2"/>
            <w:tcBorders>
              <w:top w:val="nil"/>
              <w:left w:val="nil"/>
              <w:bottom w:val="nil"/>
              <w:right w:val="nil"/>
            </w:tcBorders>
            <w:shd w:val="clear" w:color="000000" w:fill="FF0000"/>
            <w:noWrap/>
            <w:vAlign w:val="center"/>
            <w:hideMark/>
          </w:tcPr>
          <w:p w14:paraId="0C3F88EC"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III</w:t>
            </w:r>
          </w:p>
        </w:tc>
        <w:tc>
          <w:tcPr>
            <w:tcW w:w="567" w:type="dxa"/>
            <w:tcBorders>
              <w:top w:val="nil"/>
              <w:left w:val="nil"/>
              <w:bottom w:val="nil"/>
              <w:right w:val="nil"/>
            </w:tcBorders>
            <w:shd w:val="clear" w:color="000000" w:fill="C00000"/>
            <w:noWrap/>
            <w:vAlign w:val="center"/>
            <w:hideMark/>
          </w:tcPr>
          <w:p w14:paraId="0C3F88ED" w14:textId="77777777" w:rsidR="00131E41" w:rsidRPr="00464AC8" w:rsidRDefault="00131E41" w:rsidP="00131E41">
            <w:pPr>
              <w:spacing w:after="120"/>
              <w:jc w:val="center"/>
              <w:rPr>
                <w:rFonts w:ascii="Calibri" w:hAnsi="Calibri" w:cs="Calibri"/>
                <w:b/>
                <w:bCs/>
                <w:color w:val="FFFFFF"/>
                <w:sz w:val="18"/>
                <w:szCs w:val="18"/>
              </w:rPr>
            </w:pPr>
            <w:r>
              <w:rPr>
                <w:rFonts w:ascii="Calibri" w:hAnsi="Calibri" w:cs="Calibri"/>
                <w:b/>
                <w:bCs/>
                <w:color w:val="FFFFFF"/>
                <w:sz w:val="18"/>
                <w:szCs w:val="18"/>
              </w:rPr>
              <w:t>IV</w:t>
            </w:r>
          </w:p>
        </w:tc>
        <w:tc>
          <w:tcPr>
            <w:tcW w:w="426" w:type="dxa"/>
            <w:gridSpan w:val="2"/>
            <w:vMerge/>
            <w:tcBorders>
              <w:top w:val="single" w:sz="4" w:space="0" w:color="auto"/>
              <w:left w:val="single" w:sz="4" w:space="0" w:color="auto"/>
              <w:bottom w:val="single" w:sz="4" w:space="0" w:color="000000"/>
              <w:right w:val="nil"/>
            </w:tcBorders>
            <w:vAlign w:val="center"/>
            <w:hideMark/>
          </w:tcPr>
          <w:p w14:paraId="0C3F88EE" w14:textId="77777777" w:rsidR="00131E41" w:rsidRPr="00464AC8" w:rsidRDefault="00131E41" w:rsidP="00131E41">
            <w:pPr>
              <w:spacing w:after="120"/>
              <w:rPr>
                <w:rFonts w:ascii="Calibri" w:hAnsi="Calibri" w:cs="Calibri"/>
                <w:b/>
                <w:bCs/>
                <w:sz w:val="18"/>
                <w:szCs w:val="18"/>
              </w:rPr>
            </w:pPr>
          </w:p>
        </w:tc>
        <w:tc>
          <w:tcPr>
            <w:tcW w:w="501" w:type="dxa"/>
            <w:gridSpan w:val="2"/>
            <w:vMerge/>
            <w:tcBorders>
              <w:top w:val="single" w:sz="4" w:space="0" w:color="auto"/>
              <w:left w:val="nil"/>
              <w:bottom w:val="single" w:sz="4" w:space="0" w:color="000000"/>
              <w:right w:val="single" w:sz="4" w:space="0" w:color="auto"/>
            </w:tcBorders>
            <w:vAlign w:val="center"/>
            <w:hideMark/>
          </w:tcPr>
          <w:p w14:paraId="0C3F88EF" w14:textId="77777777" w:rsidR="00131E41" w:rsidRPr="00464AC8" w:rsidRDefault="00131E41" w:rsidP="00131E41">
            <w:pPr>
              <w:spacing w:after="120"/>
              <w:rPr>
                <w:rFonts w:ascii="Calibri" w:hAnsi="Calibri" w:cs="Calibri"/>
                <w:b/>
                <w:bCs/>
                <w:sz w:val="18"/>
                <w:szCs w:val="18"/>
              </w:rPr>
            </w:pPr>
          </w:p>
        </w:tc>
      </w:tr>
      <w:tr w:rsidR="00131E41" w:rsidRPr="00464AC8" w14:paraId="0C3F88FF" w14:textId="77777777" w:rsidTr="00131E41">
        <w:trPr>
          <w:gridAfter w:val="1"/>
          <w:wAfter w:w="76" w:type="dxa"/>
          <w:trHeight w:val="300"/>
        </w:trPr>
        <w:tc>
          <w:tcPr>
            <w:tcW w:w="675" w:type="dxa"/>
            <w:tcBorders>
              <w:top w:val="single" w:sz="4" w:space="0" w:color="auto"/>
              <w:left w:val="single" w:sz="4" w:space="0" w:color="auto"/>
              <w:bottom w:val="nil"/>
              <w:right w:val="single" w:sz="4" w:space="0" w:color="auto"/>
            </w:tcBorders>
            <w:shd w:val="clear" w:color="000000" w:fill="F2F2F2"/>
            <w:noWrap/>
            <w:vAlign w:val="center"/>
            <w:hideMark/>
          </w:tcPr>
          <w:p w14:paraId="0C3F88F1"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2007</w:t>
            </w:r>
          </w:p>
        </w:tc>
        <w:tc>
          <w:tcPr>
            <w:tcW w:w="1007" w:type="dxa"/>
            <w:tcBorders>
              <w:top w:val="single" w:sz="4" w:space="0" w:color="auto"/>
              <w:left w:val="nil"/>
              <w:bottom w:val="nil"/>
              <w:right w:val="nil"/>
            </w:tcBorders>
            <w:shd w:val="clear" w:color="auto" w:fill="auto"/>
            <w:noWrap/>
            <w:vAlign w:val="center"/>
            <w:hideMark/>
          </w:tcPr>
          <w:p w14:paraId="0C3F88F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89362</w:t>
            </w:r>
          </w:p>
        </w:tc>
        <w:tc>
          <w:tcPr>
            <w:tcW w:w="694" w:type="dxa"/>
            <w:gridSpan w:val="2"/>
            <w:tcBorders>
              <w:top w:val="single" w:sz="4" w:space="0" w:color="auto"/>
              <w:left w:val="nil"/>
              <w:bottom w:val="nil"/>
              <w:right w:val="nil"/>
            </w:tcBorders>
            <w:shd w:val="clear" w:color="auto" w:fill="auto"/>
            <w:noWrap/>
            <w:vAlign w:val="center"/>
            <w:hideMark/>
          </w:tcPr>
          <w:p w14:paraId="0C3F88F3"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58587</w:t>
            </w:r>
          </w:p>
        </w:tc>
        <w:tc>
          <w:tcPr>
            <w:tcW w:w="709" w:type="dxa"/>
            <w:gridSpan w:val="2"/>
            <w:tcBorders>
              <w:top w:val="single" w:sz="4" w:space="0" w:color="auto"/>
              <w:left w:val="nil"/>
              <w:bottom w:val="nil"/>
              <w:right w:val="nil"/>
            </w:tcBorders>
            <w:shd w:val="clear" w:color="auto" w:fill="auto"/>
            <w:noWrap/>
            <w:vAlign w:val="center"/>
            <w:hideMark/>
          </w:tcPr>
          <w:p w14:paraId="0C3F88F4"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18497</w:t>
            </w:r>
          </w:p>
        </w:tc>
        <w:tc>
          <w:tcPr>
            <w:tcW w:w="709" w:type="dxa"/>
            <w:tcBorders>
              <w:top w:val="single" w:sz="4" w:space="0" w:color="auto"/>
              <w:left w:val="nil"/>
              <w:bottom w:val="nil"/>
              <w:right w:val="nil"/>
            </w:tcBorders>
            <w:shd w:val="clear" w:color="auto" w:fill="auto"/>
            <w:noWrap/>
            <w:vAlign w:val="center"/>
            <w:hideMark/>
          </w:tcPr>
          <w:p w14:paraId="0C3F88F5"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1163</w:t>
            </w:r>
          </w:p>
        </w:tc>
        <w:tc>
          <w:tcPr>
            <w:tcW w:w="850" w:type="dxa"/>
            <w:tcBorders>
              <w:top w:val="single" w:sz="4" w:space="0" w:color="auto"/>
              <w:left w:val="single" w:sz="4" w:space="0" w:color="auto"/>
              <w:bottom w:val="nil"/>
              <w:right w:val="nil"/>
            </w:tcBorders>
            <w:shd w:val="clear" w:color="auto" w:fill="auto"/>
            <w:noWrap/>
            <w:vAlign w:val="center"/>
            <w:hideMark/>
          </w:tcPr>
          <w:p w14:paraId="0C3F88F6"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167609</w:t>
            </w:r>
          </w:p>
        </w:tc>
        <w:tc>
          <w:tcPr>
            <w:tcW w:w="801" w:type="dxa"/>
            <w:tcBorders>
              <w:top w:val="single" w:sz="4" w:space="0" w:color="auto"/>
              <w:left w:val="nil"/>
              <w:bottom w:val="nil"/>
              <w:right w:val="single" w:sz="4" w:space="0" w:color="auto"/>
            </w:tcBorders>
            <w:shd w:val="clear" w:color="auto" w:fill="auto"/>
            <w:noWrap/>
            <w:vAlign w:val="center"/>
            <w:hideMark/>
          </w:tcPr>
          <w:p w14:paraId="0C3F88F7"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181144</w:t>
            </w:r>
          </w:p>
        </w:tc>
        <w:tc>
          <w:tcPr>
            <w:tcW w:w="617" w:type="dxa"/>
            <w:tcBorders>
              <w:top w:val="single" w:sz="4" w:space="0" w:color="auto"/>
              <w:left w:val="single" w:sz="4" w:space="0" w:color="auto"/>
              <w:bottom w:val="nil"/>
              <w:right w:val="single" w:sz="4" w:space="0" w:color="auto"/>
            </w:tcBorders>
            <w:shd w:val="clear" w:color="000000" w:fill="F2F2F2"/>
            <w:noWrap/>
            <w:vAlign w:val="center"/>
            <w:hideMark/>
          </w:tcPr>
          <w:p w14:paraId="0C3F88F8"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2007</w:t>
            </w:r>
          </w:p>
        </w:tc>
        <w:tc>
          <w:tcPr>
            <w:tcW w:w="567" w:type="dxa"/>
            <w:gridSpan w:val="2"/>
            <w:tcBorders>
              <w:top w:val="single" w:sz="4" w:space="0" w:color="auto"/>
              <w:left w:val="nil"/>
              <w:bottom w:val="nil"/>
              <w:right w:val="nil"/>
            </w:tcBorders>
            <w:shd w:val="clear" w:color="auto" w:fill="auto"/>
            <w:noWrap/>
            <w:vAlign w:val="center"/>
            <w:hideMark/>
          </w:tcPr>
          <w:p w14:paraId="0C3F88F9"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26</w:t>
            </w:r>
          </w:p>
        </w:tc>
        <w:tc>
          <w:tcPr>
            <w:tcW w:w="425" w:type="dxa"/>
            <w:gridSpan w:val="2"/>
            <w:tcBorders>
              <w:top w:val="single" w:sz="4" w:space="0" w:color="auto"/>
              <w:left w:val="nil"/>
              <w:bottom w:val="nil"/>
              <w:right w:val="nil"/>
            </w:tcBorders>
            <w:shd w:val="clear" w:color="auto" w:fill="auto"/>
            <w:noWrap/>
            <w:vAlign w:val="center"/>
            <w:hideMark/>
          </w:tcPr>
          <w:p w14:paraId="0C3F88FA"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17</w:t>
            </w:r>
          </w:p>
        </w:tc>
        <w:tc>
          <w:tcPr>
            <w:tcW w:w="425" w:type="dxa"/>
            <w:gridSpan w:val="2"/>
            <w:tcBorders>
              <w:top w:val="single" w:sz="4" w:space="0" w:color="auto"/>
              <w:left w:val="nil"/>
              <w:bottom w:val="nil"/>
              <w:right w:val="nil"/>
            </w:tcBorders>
            <w:shd w:val="clear" w:color="auto" w:fill="auto"/>
            <w:noWrap/>
            <w:vAlign w:val="center"/>
            <w:hideMark/>
          </w:tcPr>
          <w:p w14:paraId="0C3F88FB"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5</w:t>
            </w:r>
          </w:p>
        </w:tc>
        <w:tc>
          <w:tcPr>
            <w:tcW w:w="567" w:type="dxa"/>
            <w:tcBorders>
              <w:top w:val="single" w:sz="4" w:space="0" w:color="auto"/>
              <w:left w:val="nil"/>
              <w:bottom w:val="nil"/>
              <w:right w:val="nil"/>
            </w:tcBorders>
            <w:shd w:val="clear" w:color="auto" w:fill="auto"/>
            <w:noWrap/>
            <w:vAlign w:val="center"/>
            <w:hideMark/>
          </w:tcPr>
          <w:p w14:paraId="0C3F88FC"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8FD"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48</w:t>
            </w:r>
          </w:p>
        </w:tc>
        <w:tc>
          <w:tcPr>
            <w:tcW w:w="501" w:type="dxa"/>
            <w:gridSpan w:val="2"/>
            <w:tcBorders>
              <w:top w:val="nil"/>
              <w:left w:val="nil"/>
              <w:bottom w:val="nil"/>
              <w:right w:val="single" w:sz="4" w:space="0" w:color="auto"/>
            </w:tcBorders>
            <w:shd w:val="clear" w:color="auto" w:fill="auto"/>
            <w:noWrap/>
            <w:vAlign w:val="center"/>
            <w:hideMark/>
          </w:tcPr>
          <w:p w14:paraId="0C3F88FE"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52</w:t>
            </w:r>
          </w:p>
        </w:tc>
      </w:tr>
      <w:tr w:rsidR="00131E41" w:rsidRPr="00464AC8" w14:paraId="0C3F890E" w14:textId="77777777" w:rsidTr="00131E41">
        <w:trPr>
          <w:gridAfter w:val="1"/>
          <w:wAfter w:w="76" w:type="dxa"/>
          <w:trHeight w:val="300"/>
        </w:trPr>
        <w:tc>
          <w:tcPr>
            <w:tcW w:w="675" w:type="dxa"/>
            <w:tcBorders>
              <w:top w:val="nil"/>
              <w:left w:val="single" w:sz="4" w:space="0" w:color="auto"/>
              <w:bottom w:val="nil"/>
              <w:right w:val="single" w:sz="4" w:space="0" w:color="auto"/>
            </w:tcBorders>
            <w:shd w:val="clear" w:color="000000" w:fill="F2F2F2"/>
            <w:noWrap/>
            <w:vAlign w:val="center"/>
            <w:hideMark/>
          </w:tcPr>
          <w:p w14:paraId="0C3F8900"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2008</w:t>
            </w:r>
          </w:p>
        </w:tc>
        <w:tc>
          <w:tcPr>
            <w:tcW w:w="1007" w:type="dxa"/>
            <w:tcBorders>
              <w:top w:val="nil"/>
              <w:left w:val="nil"/>
              <w:bottom w:val="nil"/>
              <w:right w:val="nil"/>
            </w:tcBorders>
            <w:shd w:val="clear" w:color="auto" w:fill="auto"/>
            <w:noWrap/>
            <w:vAlign w:val="center"/>
            <w:hideMark/>
          </w:tcPr>
          <w:p w14:paraId="0C3F8901"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111035</w:t>
            </w:r>
          </w:p>
        </w:tc>
        <w:tc>
          <w:tcPr>
            <w:tcW w:w="694" w:type="dxa"/>
            <w:gridSpan w:val="2"/>
            <w:tcBorders>
              <w:top w:val="nil"/>
              <w:left w:val="nil"/>
              <w:bottom w:val="nil"/>
              <w:right w:val="nil"/>
            </w:tcBorders>
            <w:shd w:val="clear" w:color="auto" w:fill="auto"/>
            <w:noWrap/>
            <w:vAlign w:val="center"/>
            <w:hideMark/>
          </w:tcPr>
          <w:p w14:paraId="0C3F890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59513</w:t>
            </w:r>
          </w:p>
        </w:tc>
        <w:tc>
          <w:tcPr>
            <w:tcW w:w="709" w:type="dxa"/>
            <w:gridSpan w:val="2"/>
            <w:tcBorders>
              <w:top w:val="nil"/>
              <w:left w:val="nil"/>
              <w:bottom w:val="nil"/>
              <w:right w:val="nil"/>
            </w:tcBorders>
            <w:shd w:val="clear" w:color="auto" w:fill="auto"/>
            <w:noWrap/>
            <w:vAlign w:val="center"/>
            <w:hideMark/>
          </w:tcPr>
          <w:p w14:paraId="0C3F8903" w14:textId="77777777" w:rsidR="00131E41" w:rsidRPr="00767E7F" w:rsidRDefault="00131E41" w:rsidP="00131E41">
            <w:pPr>
              <w:spacing w:after="120"/>
              <w:jc w:val="center"/>
              <w:rPr>
                <w:rFonts w:ascii="Calibri" w:hAnsi="Calibri" w:cs="Calibri"/>
                <w:b/>
                <w:color w:val="4F81BD" w:themeColor="accent1"/>
                <w:sz w:val="18"/>
                <w:szCs w:val="18"/>
              </w:rPr>
            </w:pPr>
            <w:r w:rsidRPr="00767E7F">
              <w:rPr>
                <w:rFonts w:ascii="Calibri" w:hAnsi="Calibri" w:cs="Calibri"/>
                <w:b/>
                <w:color w:val="4F81BD" w:themeColor="accent1"/>
                <w:sz w:val="18"/>
                <w:szCs w:val="18"/>
              </w:rPr>
              <w:t>16940</w:t>
            </w:r>
          </w:p>
        </w:tc>
        <w:tc>
          <w:tcPr>
            <w:tcW w:w="709" w:type="dxa"/>
            <w:tcBorders>
              <w:top w:val="nil"/>
              <w:left w:val="nil"/>
              <w:bottom w:val="nil"/>
              <w:right w:val="nil"/>
            </w:tcBorders>
            <w:shd w:val="clear" w:color="auto" w:fill="auto"/>
            <w:noWrap/>
            <w:vAlign w:val="center"/>
            <w:hideMark/>
          </w:tcPr>
          <w:p w14:paraId="0C3F8904" w14:textId="77777777" w:rsidR="00131E41" w:rsidRPr="00767E7F" w:rsidRDefault="00131E41" w:rsidP="00131E41">
            <w:pPr>
              <w:spacing w:after="120"/>
              <w:jc w:val="center"/>
              <w:rPr>
                <w:rFonts w:ascii="Calibri" w:hAnsi="Calibri" w:cs="Calibri"/>
                <w:b/>
                <w:color w:val="4F81BD" w:themeColor="accent1"/>
                <w:sz w:val="18"/>
                <w:szCs w:val="18"/>
              </w:rPr>
            </w:pPr>
            <w:r w:rsidRPr="00767E7F">
              <w:rPr>
                <w:rFonts w:ascii="Calibri" w:hAnsi="Calibri" w:cs="Calibri"/>
                <w:b/>
                <w:color w:val="4F81BD" w:themeColor="accent1"/>
                <w:sz w:val="18"/>
                <w:szCs w:val="18"/>
              </w:rPr>
              <w:t>0</w:t>
            </w:r>
          </w:p>
        </w:tc>
        <w:tc>
          <w:tcPr>
            <w:tcW w:w="850" w:type="dxa"/>
            <w:tcBorders>
              <w:top w:val="nil"/>
              <w:left w:val="single" w:sz="4" w:space="0" w:color="auto"/>
              <w:bottom w:val="nil"/>
              <w:right w:val="nil"/>
            </w:tcBorders>
            <w:shd w:val="clear" w:color="auto" w:fill="auto"/>
            <w:noWrap/>
            <w:vAlign w:val="center"/>
            <w:hideMark/>
          </w:tcPr>
          <w:p w14:paraId="0C3F8905"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187488</w:t>
            </w:r>
          </w:p>
        </w:tc>
        <w:tc>
          <w:tcPr>
            <w:tcW w:w="801" w:type="dxa"/>
            <w:tcBorders>
              <w:top w:val="nil"/>
              <w:left w:val="nil"/>
              <w:bottom w:val="nil"/>
              <w:right w:val="single" w:sz="4" w:space="0" w:color="auto"/>
            </w:tcBorders>
            <w:shd w:val="clear" w:color="auto" w:fill="auto"/>
            <w:noWrap/>
            <w:vAlign w:val="center"/>
            <w:hideMark/>
          </w:tcPr>
          <w:p w14:paraId="0C3F8906"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161265</w:t>
            </w:r>
          </w:p>
        </w:tc>
        <w:tc>
          <w:tcPr>
            <w:tcW w:w="617" w:type="dxa"/>
            <w:tcBorders>
              <w:top w:val="nil"/>
              <w:left w:val="single" w:sz="4" w:space="0" w:color="auto"/>
              <w:bottom w:val="nil"/>
              <w:right w:val="single" w:sz="4" w:space="0" w:color="auto"/>
            </w:tcBorders>
            <w:shd w:val="clear" w:color="000000" w:fill="F2F2F2"/>
            <w:noWrap/>
            <w:vAlign w:val="center"/>
            <w:hideMark/>
          </w:tcPr>
          <w:p w14:paraId="0C3F8907"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2008</w:t>
            </w:r>
          </w:p>
        </w:tc>
        <w:tc>
          <w:tcPr>
            <w:tcW w:w="567" w:type="dxa"/>
            <w:gridSpan w:val="2"/>
            <w:tcBorders>
              <w:top w:val="nil"/>
              <w:left w:val="nil"/>
              <w:bottom w:val="nil"/>
              <w:right w:val="nil"/>
            </w:tcBorders>
            <w:shd w:val="clear" w:color="auto" w:fill="auto"/>
            <w:noWrap/>
            <w:vAlign w:val="center"/>
            <w:hideMark/>
          </w:tcPr>
          <w:p w14:paraId="0C3F8908"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32</w:t>
            </w:r>
          </w:p>
        </w:tc>
        <w:tc>
          <w:tcPr>
            <w:tcW w:w="425" w:type="dxa"/>
            <w:gridSpan w:val="2"/>
            <w:tcBorders>
              <w:top w:val="nil"/>
              <w:left w:val="nil"/>
              <w:bottom w:val="nil"/>
              <w:right w:val="nil"/>
            </w:tcBorders>
            <w:shd w:val="clear" w:color="auto" w:fill="auto"/>
            <w:noWrap/>
            <w:vAlign w:val="center"/>
            <w:hideMark/>
          </w:tcPr>
          <w:p w14:paraId="0C3F8909"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17</w:t>
            </w:r>
          </w:p>
        </w:tc>
        <w:tc>
          <w:tcPr>
            <w:tcW w:w="425" w:type="dxa"/>
            <w:gridSpan w:val="2"/>
            <w:tcBorders>
              <w:top w:val="nil"/>
              <w:left w:val="nil"/>
              <w:bottom w:val="nil"/>
              <w:right w:val="nil"/>
            </w:tcBorders>
            <w:shd w:val="clear" w:color="auto" w:fill="auto"/>
            <w:noWrap/>
            <w:vAlign w:val="center"/>
            <w:hideMark/>
          </w:tcPr>
          <w:p w14:paraId="0C3F890A"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w:t>
            </w:r>
          </w:p>
        </w:tc>
        <w:tc>
          <w:tcPr>
            <w:tcW w:w="567" w:type="dxa"/>
            <w:tcBorders>
              <w:top w:val="nil"/>
              <w:left w:val="nil"/>
              <w:bottom w:val="nil"/>
              <w:right w:val="nil"/>
            </w:tcBorders>
            <w:shd w:val="clear" w:color="auto" w:fill="auto"/>
            <w:noWrap/>
            <w:vAlign w:val="center"/>
            <w:hideMark/>
          </w:tcPr>
          <w:p w14:paraId="0C3F890B"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90C"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54</w:t>
            </w:r>
          </w:p>
        </w:tc>
        <w:tc>
          <w:tcPr>
            <w:tcW w:w="501" w:type="dxa"/>
            <w:gridSpan w:val="2"/>
            <w:tcBorders>
              <w:top w:val="nil"/>
              <w:left w:val="nil"/>
              <w:bottom w:val="nil"/>
              <w:right w:val="single" w:sz="4" w:space="0" w:color="auto"/>
            </w:tcBorders>
            <w:shd w:val="clear" w:color="auto" w:fill="auto"/>
            <w:noWrap/>
            <w:vAlign w:val="center"/>
            <w:hideMark/>
          </w:tcPr>
          <w:p w14:paraId="0C3F890D"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46</w:t>
            </w:r>
          </w:p>
        </w:tc>
      </w:tr>
      <w:tr w:rsidR="00131E41" w:rsidRPr="00464AC8" w14:paraId="0C3F891D" w14:textId="77777777" w:rsidTr="00131E41">
        <w:trPr>
          <w:gridAfter w:val="1"/>
          <w:wAfter w:w="76" w:type="dxa"/>
          <w:trHeight w:val="300"/>
        </w:trPr>
        <w:tc>
          <w:tcPr>
            <w:tcW w:w="675" w:type="dxa"/>
            <w:tcBorders>
              <w:top w:val="nil"/>
              <w:left w:val="single" w:sz="4" w:space="0" w:color="auto"/>
              <w:bottom w:val="nil"/>
              <w:right w:val="single" w:sz="4" w:space="0" w:color="auto"/>
            </w:tcBorders>
            <w:shd w:val="clear" w:color="000000" w:fill="F2F2F2"/>
            <w:noWrap/>
            <w:vAlign w:val="center"/>
            <w:hideMark/>
          </w:tcPr>
          <w:p w14:paraId="0C3F890F"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2009</w:t>
            </w:r>
          </w:p>
        </w:tc>
        <w:tc>
          <w:tcPr>
            <w:tcW w:w="1007" w:type="dxa"/>
            <w:tcBorders>
              <w:top w:val="nil"/>
              <w:left w:val="nil"/>
              <w:bottom w:val="nil"/>
              <w:right w:val="nil"/>
            </w:tcBorders>
            <w:shd w:val="clear" w:color="auto" w:fill="auto"/>
            <w:noWrap/>
            <w:vAlign w:val="center"/>
            <w:hideMark/>
          </w:tcPr>
          <w:p w14:paraId="0C3F8910"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135839</w:t>
            </w:r>
          </w:p>
        </w:tc>
        <w:tc>
          <w:tcPr>
            <w:tcW w:w="694" w:type="dxa"/>
            <w:gridSpan w:val="2"/>
            <w:tcBorders>
              <w:top w:val="nil"/>
              <w:left w:val="nil"/>
              <w:bottom w:val="nil"/>
              <w:right w:val="nil"/>
            </w:tcBorders>
            <w:shd w:val="clear" w:color="auto" w:fill="auto"/>
            <w:noWrap/>
            <w:vAlign w:val="center"/>
            <w:hideMark/>
          </w:tcPr>
          <w:p w14:paraId="0C3F8911"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67621</w:t>
            </w:r>
          </w:p>
        </w:tc>
        <w:tc>
          <w:tcPr>
            <w:tcW w:w="709" w:type="dxa"/>
            <w:gridSpan w:val="2"/>
            <w:tcBorders>
              <w:top w:val="nil"/>
              <w:left w:val="nil"/>
              <w:bottom w:val="nil"/>
              <w:right w:val="nil"/>
            </w:tcBorders>
            <w:shd w:val="clear" w:color="auto" w:fill="auto"/>
            <w:noWrap/>
            <w:vAlign w:val="center"/>
            <w:hideMark/>
          </w:tcPr>
          <w:p w14:paraId="0C3F891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18660</w:t>
            </w:r>
          </w:p>
        </w:tc>
        <w:tc>
          <w:tcPr>
            <w:tcW w:w="709" w:type="dxa"/>
            <w:tcBorders>
              <w:top w:val="nil"/>
              <w:left w:val="nil"/>
              <w:bottom w:val="nil"/>
              <w:right w:val="nil"/>
            </w:tcBorders>
            <w:shd w:val="clear" w:color="auto" w:fill="auto"/>
            <w:noWrap/>
            <w:vAlign w:val="center"/>
            <w:hideMark/>
          </w:tcPr>
          <w:p w14:paraId="0C3F8913"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1008</w:t>
            </w:r>
          </w:p>
        </w:tc>
        <w:tc>
          <w:tcPr>
            <w:tcW w:w="850" w:type="dxa"/>
            <w:tcBorders>
              <w:top w:val="nil"/>
              <w:left w:val="single" w:sz="4" w:space="0" w:color="auto"/>
              <w:bottom w:val="nil"/>
              <w:right w:val="nil"/>
            </w:tcBorders>
            <w:shd w:val="clear" w:color="auto" w:fill="auto"/>
            <w:noWrap/>
            <w:vAlign w:val="center"/>
            <w:hideMark/>
          </w:tcPr>
          <w:p w14:paraId="0C3F8914"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223128</w:t>
            </w:r>
          </w:p>
        </w:tc>
        <w:tc>
          <w:tcPr>
            <w:tcW w:w="801" w:type="dxa"/>
            <w:tcBorders>
              <w:top w:val="nil"/>
              <w:left w:val="nil"/>
              <w:bottom w:val="nil"/>
              <w:right w:val="single" w:sz="4" w:space="0" w:color="auto"/>
            </w:tcBorders>
            <w:shd w:val="clear" w:color="auto" w:fill="auto"/>
            <w:noWrap/>
            <w:vAlign w:val="center"/>
            <w:hideMark/>
          </w:tcPr>
          <w:p w14:paraId="0C3F8915"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125625</w:t>
            </w:r>
          </w:p>
        </w:tc>
        <w:tc>
          <w:tcPr>
            <w:tcW w:w="617" w:type="dxa"/>
            <w:tcBorders>
              <w:top w:val="nil"/>
              <w:left w:val="single" w:sz="4" w:space="0" w:color="auto"/>
              <w:bottom w:val="nil"/>
              <w:right w:val="single" w:sz="4" w:space="0" w:color="auto"/>
            </w:tcBorders>
            <w:shd w:val="clear" w:color="000000" w:fill="F2F2F2"/>
            <w:noWrap/>
            <w:vAlign w:val="center"/>
            <w:hideMark/>
          </w:tcPr>
          <w:p w14:paraId="0C3F8916"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2009</w:t>
            </w:r>
          </w:p>
        </w:tc>
        <w:tc>
          <w:tcPr>
            <w:tcW w:w="567" w:type="dxa"/>
            <w:gridSpan w:val="2"/>
            <w:tcBorders>
              <w:top w:val="nil"/>
              <w:left w:val="nil"/>
              <w:bottom w:val="nil"/>
              <w:right w:val="nil"/>
            </w:tcBorders>
            <w:shd w:val="clear" w:color="auto" w:fill="auto"/>
            <w:noWrap/>
            <w:vAlign w:val="center"/>
            <w:hideMark/>
          </w:tcPr>
          <w:p w14:paraId="0C3F8917"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39</w:t>
            </w:r>
          </w:p>
        </w:tc>
        <w:tc>
          <w:tcPr>
            <w:tcW w:w="425" w:type="dxa"/>
            <w:gridSpan w:val="2"/>
            <w:tcBorders>
              <w:top w:val="nil"/>
              <w:left w:val="nil"/>
              <w:bottom w:val="nil"/>
              <w:right w:val="nil"/>
            </w:tcBorders>
            <w:shd w:val="clear" w:color="auto" w:fill="auto"/>
            <w:noWrap/>
            <w:vAlign w:val="center"/>
            <w:hideMark/>
          </w:tcPr>
          <w:p w14:paraId="0C3F8918"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19</w:t>
            </w:r>
          </w:p>
        </w:tc>
        <w:tc>
          <w:tcPr>
            <w:tcW w:w="425" w:type="dxa"/>
            <w:gridSpan w:val="2"/>
            <w:tcBorders>
              <w:top w:val="nil"/>
              <w:left w:val="nil"/>
              <w:bottom w:val="nil"/>
              <w:right w:val="nil"/>
            </w:tcBorders>
            <w:shd w:val="clear" w:color="auto" w:fill="auto"/>
            <w:noWrap/>
            <w:vAlign w:val="center"/>
            <w:hideMark/>
          </w:tcPr>
          <w:p w14:paraId="0C3F8919"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w:t>
            </w:r>
          </w:p>
        </w:tc>
        <w:tc>
          <w:tcPr>
            <w:tcW w:w="567" w:type="dxa"/>
            <w:tcBorders>
              <w:top w:val="nil"/>
              <w:left w:val="nil"/>
              <w:bottom w:val="nil"/>
              <w:right w:val="nil"/>
            </w:tcBorders>
            <w:shd w:val="clear" w:color="auto" w:fill="auto"/>
            <w:noWrap/>
            <w:vAlign w:val="center"/>
            <w:hideMark/>
          </w:tcPr>
          <w:p w14:paraId="0C3F891A"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91B"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64</w:t>
            </w:r>
          </w:p>
        </w:tc>
        <w:tc>
          <w:tcPr>
            <w:tcW w:w="501" w:type="dxa"/>
            <w:gridSpan w:val="2"/>
            <w:tcBorders>
              <w:top w:val="nil"/>
              <w:left w:val="nil"/>
              <w:bottom w:val="nil"/>
              <w:right w:val="single" w:sz="4" w:space="0" w:color="auto"/>
            </w:tcBorders>
            <w:shd w:val="clear" w:color="auto" w:fill="auto"/>
            <w:noWrap/>
            <w:vAlign w:val="center"/>
            <w:hideMark/>
          </w:tcPr>
          <w:p w14:paraId="0C3F891C"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36</w:t>
            </w:r>
          </w:p>
        </w:tc>
      </w:tr>
      <w:tr w:rsidR="00131E41" w:rsidRPr="00464AC8" w14:paraId="0C3F892C" w14:textId="77777777" w:rsidTr="00131E41">
        <w:trPr>
          <w:gridAfter w:val="1"/>
          <w:wAfter w:w="76" w:type="dxa"/>
          <w:trHeight w:val="300"/>
        </w:trPr>
        <w:tc>
          <w:tcPr>
            <w:tcW w:w="675" w:type="dxa"/>
            <w:tcBorders>
              <w:top w:val="nil"/>
              <w:left w:val="single" w:sz="4" w:space="0" w:color="auto"/>
              <w:bottom w:val="nil"/>
              <w:right w:val="single" w:sz="4" w:space="0" w:color="auto"/>
            </w:tcBorders>
            <w:shd w:val="clear" w:color="000000" w:fill="F2F2F2"/>
            <w:noWrap/>
            <w:vAlign w:val="center"/>
            <w:hideMark/>
          </w:tcPr>
          <w:p w14:paraId="0C3F891E"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2010</w:t>
            </w:r>
          </w:p>
        </w:tc>
        <w:tc>
          <w:tcPr>
            <w:tcW w:w="1007" w:type="dxa"/>
            <w:tcBorders>
              <w:top w:val="nil"/>
              <w:left w:val="nil"/>
              <w:bottom w:val="nil"/>
              <w:right w:val="nil"/>
            </w:tcBorders>
            <w:shd w:val="clear" w:color="auto" w:fill="auto"/>
            <w:noWrap/>
            <w:vAlign w:val="center"/>
            <w:hideMark/>
          </w:tcPr>
          <w:p w14:paraId="0C3F891F"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117960</w:t>
            </w:r>
          </w:p>
        </w:tc>
        <w:tc>
          <w:tcPr>
            <w:tcW w:w="694" w:type="dxa"/>
            <w:gridSpan w:val="2"/>
            <w:tcBorders>
              <w:top w:val="nil"/>
              <w:left w:val="nil"/>
              <w:bottom w:val="nil"/>
              <w:right w:val="nil"/>
            </w:tcBorders>
            <w:shd w:val="clear" w:color="auto" w:fill="auto"/>
            <w:noWrap/>
            <w:vAlign w:val="center"/>
            <w:hideMark/>
          </w:tcPr>
          <w:p w14:paraId="0C3F8920"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65914</w:t>
            </w:r>
          </w:p>
        </w:tc>
        <w:tc>
          <w:tcPr>
            <w:tcW w:w="709" w:type="dxa"/>
            <w:gridSpan w:val="2"/>
            <w:tcBorders>
              <w:top w:val="nil"/>
              <w:left w:val="nil"/>
              <w:bottom w:val="nil"/>
              <w:right w:val="nil"/>
            </w:tcBorders>
            <w:shd w:val="clear" w:color="auto" w:fill="auto"/>
            <w:noWrap/>
            <w:vAlign w:val="center"/>
            <w:hideMark/>
          </w:tcPr>
          <w:p w14:paraId="0C3F8921"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18239</w:t>
            </w:r>
          </w:p>
        </w:tc>
        <w:tc>
          <w:tcPr>
            <w:tcW w:w="709" w:type="dxa"/>
            <w:tcBorders>
              <w:top w:val="nil"/>
              <w:left w:val="nil"/>
              <w:bottom w:val="nil"/>
              <w:right w:val="nil"/>
            </w:tcBorders>
            <w:shd w:val="clear" w:color="auto" w:fill="auto"/>
            <w:noWrap/>
            <w:vAlign w:val="center"/>
            <w:hideMark/>
          </w:tcPr>
          <w:p w14:paraId="0C3F892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1071</w:t>
            </w:r>
          </w:p>
        </w:tc>
        <w:tc>
          <w:tcPr>
            <w:tcW w:w="850" w:type="dxa"/>
            <w:tcBorders>
              <w:top w:val="nil"/>
              <w:left w:val="single" w:sz="4" w:space="0" w:color="auto"/>
              <w:bottom w:val="nil"/>
              <w:right w:val="nil"/>
            </w:tcBorders>
            <w:shd w:val="clear" w:color="auto" w:fill="auto"/>
            <w:noWrap/>
            <w:vAlign w:val="center"/>
            <w:hideMark/>
          </w:tcPr>
          <w:p w14:paraId="0C3F8923"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203185</w:t>
            </w:r>
          </w:p>
        </w:tc>
        <w:tc>
          <w:tcPr>
            <w:tcW w:w="801" w:type="dxa"/>
            <w:tcBorders>
              <w:top w:val="nil"/>
              <w:left w:val="nil"/>
              <w:bottom w:val="nil"/>
              <w:right w:val="single" w:sz="4" w:space="0" w:color="auto"/>
            </w:tcBorders>
            <w:shd w:val="clear" w:color="auto" w:fill="auto"/>
            <w:noWrap/>
            <w:vAlign w:val="center"/>
            <w:hideMark/>
          </w:tcPr>
          <w:p w14:paraId="0C3F8924"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145568</w:t>
            </w:r>
          </w:p>
        </w:tc>
        <w:tc>
          <w:tcPr>
            <w:tcW w:w="617" w:type="dxa"/>
            <w:tcBorders>
              <w:top w:val="nil"/>
              <w:left w:val="single" w:sz="4" w:space="0" w:color="auto"/>
              <w:bottom w:val="nil"/>
              <w:right w:val="single" w:sz="4" w:space="0" w:color="auto"/>
            </w:tcBorders>
            <w:shd w:val="clear" w:color="000000" w:fill="F2F2F2"/>
            <w:noWrap/>
            <w:vAlign w:val="center"/>
            <w:hideMark/>
          </w:tcPr>
          <w:p w14:paraId="0C3F8925"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2010</w:t>
            </w:r>
          </w:p>
        </w:tc>
        <w:tc>
          <w:tcPr>
            <w:tcW w:w="567" w:type="dxa"/>
            <w:gridSpan w:val="2"/>
            <w:tcBorders>
              <w:top w:val="nil"/>
              <w:left w:val="nil"/>
              <w:bottom w:val="nil"/>
              <w:right w:val="nil"/>
            </w:tcBorders>
            <w:shd w:val="clear" w:color="auto" w:fill="auto"/>
            <w:noWrap/>
            <w:vAlign w:val="center"/>
            <w:hideMark/>
          </w:tcPr>
          <w:p w14:paraId="0C3F8926"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34</w:t>
            </w:r>
          </w:p>
        </w:tc>
        <w:tc>
          <w:tcPr>
            <w:tcW w:w="425" w:type="dxa"/>
            <w:gridSpan w:val="2"/>
            <w:tcBorders>
              <w:top w:val="nil"/>
              <w:left w:val="nil"/>
              <w:bottom w:val="nil"/>
              <w:right w:val="nil"/>
            </w:tcBorders>
            <w:shd w:val="clear" w:color="auto" w:fill="auto"/>
            <w:noWrap/>
            <w:vAlign w:val="center"/>
            <w:hideMark/>
          </w:tcPr>
          <w:p w14:paraId="0C3F8927"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19</w:t>
            </w:r>
          </w:p>
        </w:tc>
        <w:tc>
          <w:tcPr>
            <w:tcW w:w="425" w:type="dxa"/>
            <w:gridSpan w:val="2"/>
            <w:tcBorders>
              <w:top w:val="nil"/>
              <w:left w:val="nil"/>
              <w:bottom w:val="nil"/>
              <w:right w:val="nil"/>
            </w:tcBorders>
            <w:shd w:val="clear" w:color="auto" w:fill="auto"/>
            <w:noWrap/>
            <w:vAlign w:val="center"/>
            <w:hideMark/>
          </w:tcPr>
          <w:p w14:paraId="0C3F8928"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w:t>
            </w:r>
          </w:p>
        </w:tc>
        <w:tc>
          <w:tcPr>
            <w:tcW w:w="567" w:type="dxa"/>
            <w:tcBorders>
              <w:top w:val="nil"/>
              <w:left w:val="nil"/>
              <w:bottom w:val="nil"/>
              <w:right w:val="nil"/>
            </w:tcBorders>
            <w:shd w:val="clear" w:color="auto" w:fill="auto"/>
            <w:noWrap/>
            <w:vAlign w:val="center"/>
            <w:hideMark/>
          </w:tcPr>
          <w:p w14:paraId="0C3F8929"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92A"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58</w:t>
            </w:r>
          </w:p>
        </w:tc>
        <w:tc>
          <w:tcPr>
            <w:tcW w:w="501" w:type="dxa"/>
            <w:gridSpan w:val="2"/>
            <w:tcBorders>
              <w:top w:val="nil"/>
              <w:left w:val="nil"/>
              <w:bottom w:val="nil"/>
              <w:right w:val="single" w:sz="4" w:space="0" w:color="auto"/>
            </w:tcBorders>
            <w:shd w:val="clear" w:color="auto" w:fill="auto"/>
            <w:noWrap/>
            <w:vAlign w:val="center"/>
            <w:hideMark/>
          </w:tcPr>
          <w:p w14:paraId="0C3F892B"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42</w:t>
            </w:r>
          </w:p>
        </w:tc>
      </w:tr>
      <w:tr w:rsidR="00131E41" w:rsidRPr="00464AC8" w14:paraId="0C3F893B" w14:textId="77777777" w:rsidTr="00131E41">
        <w:trPr>
          <w:gridAfter w:val="1"/>
          <w:wAfter w:w="76" w:type="dxa"/>
          <w:trHeight w:val="300"/>
        </w:trPr>
        <w:tc>
          <w:tcPr>
            <w:tcW w:w="675" w:type="dxa"/>
            <w:tcBorders>
              <w:top w:val="nil"/>
              <w:left w:val="single" w:sz="4" w:space="0" w:color="auto"/>
              <w:bottom w:val="nil"/>
              <w:right w:val="single" w:sz="4" w:space="0" w:color="auto"/>
            </w:tcBorders>
            <w:shd w:val="clear" w:color="000000" w:fill="F2F2F2"/>
            <w:noWrap/>
            <w:vAlign w:val="center"/>
            <w:hideMark/>
          </w:tcPr>
          <w:p w14:paraId="0C3F892D"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2011</w:t>
            </w:r>
          </w:p>
        </w:tc>
        <w:tc>
          <w:tcPr>
            <w:tcW w:w="1007" w:type="dxa"/>
            <w:tcBorders>
              <w:top w:val="nil"/>
              <w:left w:val="nil"/>
              <w:bottom w:val="nil"/>
              <w:right w:val="nil"/>
            </w:tcBorders>
            <w:shd w:val="clear" w:color="auto" w:fill="auto"/>
            <w:noWrap/>
            <w:vAlign w:val="center"/>
            <w:hideMark/>
          </w:tcPr>
          <w:p w14:paraId="0C3F892E"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85836</w:t>
            </w:r>
          </w:p>
        </w:tc>
        <w:tc>
          <w:tcPr>
            <w:tcW w:w="694" w:type="dxa"/>
            <w:gridSpan w:val="2"/>
            <w:tcBorders>
              <w:top w:val="nil"/>
              <w:left w:val="nil"/>
              <w:bottom w:val="nil"/>
              <w:right w:val="nil"/>
            </w:tcBorders>
            <w:shd w:val="clear" w:color="auto" w:fill="auto"/>
            <w:noWrap/>
            <w:vAlign w:val="center"/>
            <w:hideMark/>
          </w:tcPr>
          <w:p w14:paraId="0C3F892F"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76766</w:t>
            </w:r>
          </w:p>
        </w:tc>
        <w:tc>
          <w:tcPr>
            <w:tcW w:w="709" w:type="dxa"/>
            <w:gridSpan w:val="2"/>
            <w:tcBorders>
              <w:top w:val="nil"/>
              <w:left w:val="nil"/>
              <w:bottom w:val="nil"/>
              <w:right w:val="nil"/>
            </w:tcBorders>
            <w:shd w:val="clear" w:color="auto" w:fill="auto"/>
            <w:noWrap/>
            <w:vAlign w:val="center"/>
            <w:hideMark/>
          </w:tcPr>
          <w:p w14:paraId="0C3F8930" w14:textId="77777777" w:rsidR="00131E41" w:rsidRPr="00795359" w:rsidRDefault="00131E41" w:rsidP="00131E41">
            <w:pPr>
              <w:spacing w:after="120"/>
              <w:jc w:val="center"/>
              <w:rPr>
                <w:rFonts w:ascii="Calibri" w:hAnsi="Calibri" w:cs="Calibri"/>
                <w:b/>
                <w:color w:val="FF0000"/>
                <w:sz w:val="18"/>
                <w:szCs w:val="18"/>
              </w:rPr>
            </w:pPr>
            <w:r w:rsidRPr="00795359">
              <w:rPr>
                <w:rFonts w:ascii="Calibri" w:hAnsi="Calibri" w:cs="Calibri"/>
                <w:b/>
                <w:color w:val="FF0000"/>
                <w:sz w:val="18"/>
                <w:szCs w:val="18"/>
              </w:rPr>
              <w:t>22752</w:t>
            </w:r>
          </w:p>
        </w:tc>
        <w:tc>
          <w:tcPr>
            <w:tcW w:w="709" w:type="dxa"/>
            <w:tcBorders>
              <w:top w:val="nil"/>
              <w:left w:val="nil"/>
              <w:bottom w:val="nil"/>
              <w:right w:val="nil"/>
            </w:tcBorders>
            <w:shd w:val="clear" w:color="auto" w:fill="auto"/>
            <w:noWrap/>
            <w:vAlign w:val="center"/>
            <w:hideMark/>
          </w:tcPr>
          <w:p w14:paraId="0C3F8931" w14:textId="77777777" w:rsidR="00131E41" w:rsidRPr="00795359" w:rsidRDefault="00131E41" w:rsidP="00131E41">
            <w:pPr>
              <w:spacing w:after="120"/>
              <w:jc w:val="center"/>
              <w:rPr>
                <w:rFonts w:ascii="Calibri" w:hAnsi="Calibri" w:cs="Calibri"/>
                <w:b/>
                <w:color w:val="FF0000"/>
                <w:sz w:val="18"/>
                <w:szCs w:val="18"/>
              </w:rPr>
            </w:pPr>
            <w:r w:rsidRPr="00795359">
              <w:rPr>
                <w:rFonts w:ascii="Calibri" w:hAnsi="Calibri" w:cs="Calibri"/>
                <w:b/>
                <w:color w:val="FF0000"/>
                <w:sz w:val="18"/>
                <w:szCs w:val="18"/>
              </w:rPr>
              <w:t>1588</w:t>
            </w:r>
          </w:p>
        </w:tc>
        <w:tc>
          <w:tcPr>
            <w:tcW w:w="850" w:type="dxa"/>
            <w:tcBorders>
              <w:top w:val="nil"/>
              <w:left w:val="single" w:sz="4" w:space="0" w:color="auto"/>
              <w:bottom w:val="nil"/>
              <w:right w:val="nil"/>
            </w:tcBorders>
            <w:shd w:val="clear" w:color="auto" w:fill="auto"/>
            <w:noWrap/>
            <w:vAlign w:val="center"/>
            <w:hideMark/>
          </w:tcPr>
          <w:p w14:paraId="0C3F893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186942</w:t>
            </w:r>
          </w:p>
        </w:tc>
        <w:tc>
          <w:tcPr>
            <w:tcW w:w="801" w:type="dxa"/>
            <w:tcBorders>
              <w:top w:val="nil"/>
              <w:left w:val="nil"/>
              <w:bottom w:val="nil"/>
              <w:right w:val="single" w:sz="4" w:space="0" w:color="auto"/>
            </w:tcBorders>
            <w:shd w:val="clear" w:color="auto" w:fill="auto"/>
            <w:noWrap/>
            <w:vAlign w:val="center"/>
            <w:hideMark/>
          </w:tcPr>
          <w:p w14:paraId="0C3F8933"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161811</w:t>
            </w:r>
          </w:p>
        </w:tc>
        <w:tc>
          <w:tcPr>
            <w:tcW w:w="617" w:type="dxa"/>
            <w:tcBorders>
              <w:top w:val="nil"/>
              <w:left w:val="single" w:sz="4" w:space="0" w:color="auto"/>
              <w:bottom w:val="nil"/>
              <w:right w:val="single" w:sz="4" w:space="0" w:color="auto"/>
            </w:tcBorders>
            <w:shd w:val="clear" w:color="000000" w:fill="F2F2F2"/>
            <w:noWrap/>
            <w:vAlign w:val="center"/>
            <w:hideMark/>
          </w:tcPr>
          <w:p w14:paraId="0C3F8934"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2011</w:t>
            </w:r>
          </w:p>
        </w:tc>
        <w:tc>
          <w:tcPr>
            <w:tcW w:w="567" w:type="dxa"/>
            <w:gridSpan w:val="2"/>
            <w:tcBorders>
              <w:top w:val="nil"/>
              <w:left w:val="nil"/>
              <w:bottom w:val="nil"/>
              <w:right w:val="nil"/>
            </w:tcBorders>
            <w:shd w:val="clear" w:color="auto" w:fill="auto"/>
            <w:noWrap/>
            <w:vAlign w:val="center"/>
            <w:hideMark/>
          </w:tcPr>
          <w:p w14:paraId="0C3F8935"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25</w:t>
            </w:r>
          </w:p>
        </w:tc>
        <w:tc>
          <w:tcPr>
            <w:tcW w:w="425" w:type="dxa"/>
            <w:gridSpan w:val="2"/>
            <w:tcBorders>
              <w:top w:val="nil"/>
              <w:left w:val="nil"/>
              <w:bottom w:val="nil"/>
              <w:right w:val="nil"/>
            </w:tcBorders>
            <w:shd w:val="clear" w:color="auto" w:fill="auto"/>
            <w:noWrap/>
            <w:vAlign w:val="center"/>
            <w:hideMark/>
          </w:tcPr>
          <w:p w14:paraId="0C3F8936"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22</w:t>
            </w:r>
          </w:p>
        </w:tc>
        <w:tc>
          <w:tcPr>
            <w:tcW w:w="425" w:type="dxa"/>
            <w:gridSpan w:val="2"/>
            <w:tcBorders>
              <w:top w:val="nil"/>
              <w:left w:val="nil"/>
              <w:bottom w:val="nil"/>
              <w:right w:val="nil"/>
            </w:tcBorders>
            <w:shd w:val="clear" w:color="auto" w:fill="auto"/>
            <w:noWrap/>
            <w:vAlign w:val="center"/>
            <w:hideMark/>
          </w:tcPr>
          <w:p w14:paraId="0C3F8937"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7</w:t>
            </w:r>
          </w:p>
        </w:tc>
        <w:tc>
          <w:tcPr>
            <w:tcW w:w="567" w:type="dxa"/>
            <w:tcBorders>
              <w:top w:val="nil"/>
              <w:left w:val="nil"/>
              <w:bottom w:val="nil"/>
              <w:right w:val="nil"/>
            </w:tcBorders>
            <w:shd w:val="clear" w:color="auto" w:fill="auto"/>
            <w:noWrap/>
            <w:vAlign w:val="center"/>
            <w:hideMark/>
          </w:tcPr>
          <w:p w14:paraId="0C3F8938"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939"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54</w:t>
            </w:r>
          </w:p>
        </w:tc>
        <w:tc>
          <w:tcPr>
            <w:tcW w:w="501" w:type="dxa"/>
            <w:gridSpan w:val="2"/>
            <w:tcBorders>
              <w:top w:val="nil"/>
              <w:left w:val="nil"/>
              <w:bottom w:val="nil"/>
              <w:right w:val="single" w:sz="4" w:space="0" w:color="auto"/>
            </w:tcBorders>
            <w:shd w:val="clear" w:color="auto" w:fill="auto"/>
            <w:noWrap/>
            <w:vAlign w:val="center"/>
            <w:hideMark/>
          </w:tcPr>
          <w:p w14:paraId="0C3F893A"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46</w:t>
            </w:r>
          </w:p>
        </w:tc>
      </w:tr>
      <w:tr w:rsidR="00131E41" w:rsidRPr="00464AC8" w14:paraId="0C3F894A" w14:textId="77777777" w:rsidTr="00131E41">
        <w:trPr>
          <w:gridAfter w:val="1"/>
          <w:wAfter w:w="76" w:type="dxa"/>
          <w:trHeight w:val="301"/>
        </w:trPr>
        <w:tc>
          <w:tcPr>
            <w:tcW w:w="675" w:type="dxa"/>
            <w:tcBorders>
              <w:top w:val="nil"/>
              <w:left w:val="single" w:sz="4" w:space="0" w:color="auto"/>
              <w:bottom w:val="nil"/>
              <w:right w:val="single" w:sz="4" w:space="0" w:color="auto"/>
            </w:tcBorders>
            <w:shd w:val="clear" w:color="000000" w:fill="F2F2F2"/>
            <w:noWrap/>
            <w:vAlign w:val="center"/>
            <w:hideMark/>
          </w:tcPr>
          <w:p w14:paraId="0C3F893C"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2012</w:t>
            </w:r>
          </w:p>
        </w:tc>
        <w:tc>
          <w:tcPr>
            <w:tcW w:w="1007" w:type="dxa"/>
            <w:tcBorders>
              <w:top w:val="nil"/>
              <w:left w:val="nil"/>
              <w:bottom w:val="nil"/>
              <w:right w:val="nil"/>
            </w:tcBorders>
            <w:shd w:val="clear" w:color="auto" w:fill="auto"/>
            <w:noWrap/>
            <w:vAlign w:val="center"/>
            <w:hideMark/>
          </w:tcPr>
          <w:p w14:paraId="0C3F893D"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122430</w:t>
            </w:r>
          </w:p>
        </w:tc>
        <w:tc>
          <w:tcPr>
            <w:tcW w:w="694" w:type="dxa"/>
            <w:gridSpan w:val="2"/>
            <w:tcBorders>
              <w:top w:val="nil"/>
              <w:left w:val="nil"/>
              <w:bottom w:val="nil"/>
              <w:right w:val="nil"/>
            </w:tcBorders>
            <w:shd w:val="clear" w:color="auto" w:fill="auto"/>
            <w:noWrap/>
            <w:vAlign w:val="center"/>
            <w:hideMark/>
          </w:tcPr>
          <w:p w14:paraId="0C3F893E"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77886</w:t>
            </w:r>
          </w:p>
        </w:tc>
        <w:tc>
          <w:tcPr>
            <w:tcW w:w="709" w:type="dxa"/>
            <w:gridSpan w:val="2"/>
            <w:tcBorders>
              <w:top w:val="nil"/>
              <w:left w:val="nil"/>
              <w:bottom w:val="nil"/>
              <w:right w:val="nil"/>
            </w:tcBorders>
            <w:shd w:val="clear" w:color="auto" w:fill="auto"/>
            <w:noWrap/>
            <w:vAlign w:val="center"/>
            <w:hideMark/>
          </w:tcPr>
          <w:p w14:paraId="0C3F893F"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18222</w:t>
            </w:r>
          </w:p>
        </w:tc>
        <w:tc>
          <w:tcPr>
            <w:tcW w:w="709" w:type="dxa"/>
            <w:tcBorders>
              <w:top w:val="nil"/>
              <w:left w:val="nil"/>
              <w:bottom w:val="nil"/>
              <w:right w:val="nil"/>
            </w:tcBorders>
            <w:shd w:val="clear" w:color="auto" w:fill="auto"/>
            <w:noWrap/>
            <w:vAlign w:val="center"/>
            <w:hideMark/>
          </w:tcPr>
          <w:p w14:paraId="0C3F8940"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1395</w:t>
            </w:r>
          </w:p>
        </w:tc>
        <w:tc>
          <w:tcPr>
            <w:tcW w:w="850" w:type="dxa"/>
            <w:tcBorders>
              <w:top w:val="nil"/>
              <w:left w:val="single" w:sz="4" w:space="0" w:color="auto"/>
              <w:bottom w:val="nil"/>
              <w:right w:val="nil"/>
            </w:tcBorders>
            <w:shd w:val="clear" w:color="auto" w:fill="auto"/>
            <w:noWrap/>
            <w:vAlign w:val="center"/>
            <w:hideMark/>
          </w:tcPr>
          <w:p w14:paraId="0C3F8941"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219933</w:t>
            </w:r>
          </w:p>
        </w:tc>
        <w:tc>
          <w:tcPr>
            <w:tcW w:w="801" w:type="dxa"/>
            <w:tcBorders>
              <w:top w:val="nil"/>
              <w:left w:val="nil"/>
              <w:bottom w:val="nil"/>
              <w:right w:val="single" w:sz="4" w:space="0" w:color="auto"/>
            </w:tcBorders>
            <w:shd w:val="clear" w:color="auto" w:fill="auto"/>
            <w:noWrap/>
            <w:vAlign w:val="center"/>
            <w:hideMark/>
          </w:tcPr>
          <w:p w14:paraId="0C3F8942"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128820</w:t>
            </w:r>
          </w:p>
        </w:tc>
        <w:tc>
          <w:tcPr>
            <w:tcW w:w="617" w:type="dxa"/>
            <w:tcBorders>
              <w:top w:val="nil"/>
              <w:left w:val="single" w:sz="4" w:space="0" w:color="auto"/>
              <w:bottom w:val="nil"/>
              <w:right w:val="single" w:sz="4" w:space="0" w:color="auto"/>
            </w:tcBorders>
            <w:shd w:val="clear" w:color="000000" w:fill="F2F2F2"/>
            <w:noWrap/>
            <w:vAlign w:val="center"/>
            <w:hideMark/>
          </w:tcPr>
          <w:p w14:paraId="0C3F8943"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2012</w:t>
            </w:r>
          </w:p>
        </w:tc>
        <w:tc>
          <w:tcPr>
            <w:tcW w:w="567" w:type="dxa"/>
            <w:gridSpan w:val="2"/>
            <w:tcBorders>
              <w:top w:val="nil"/>
              <w:left w:val="nil"/>
              <w:bottom w:val="nil"/>
              <w:right w:val="nil"/>
            </w:tcBorders>
            <w:shd w:val="clear" w:color="auto" w:fill="auto"/>
            <w:noWrap/>
            <w:vAlign w:val="center"/>
            <w:hideMark/>
          </w:tcPr>
          <w:p w14:paraId="0C3F8944"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35</w:t>
            </w:r>
          </w:p>
        </w:tc>
        <w:tc>
          <w:tcPr>
            <w:tcW w:w="425" w:type="dxa"/>
            <w:gridSpan w:val="2"/>
            <w:tcBorders>
              <w:top w:val="nil"/>
              <w:left w:val="nil"/>
              <w:bottom w:val="nil"/>
              <w:right w:val="nil"/>
            </w:tcBorders>
            <w:shd w:val="clear" w:color="auto" w:fill="auto"/>
            <w:noWrap/>
            <w:vAlign w:val="center"/>
            <w:hideMark/>
          </w:tcPr>
          <w:p w14:paraId="0C3F8945"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22</w:t>
            </w:r>
          </w:p>
        </w:tc>
        <w:tc>
          <w:tcPr>
            <w:tcW w:w="425" w:type="dxa"/>
            <w:gridSpan w:val="2"/>
            <w:tcBorders>
              <w:top w:val="nil"/>
              <w:left w:val="nil"/>
              <w:bottom w:val="nil"/>
              <w:right w:val="nil"/>
            </w:tcBorders>
            <w:shd w:val="clear" w:color="auto" w:fill="auto"/>
            <w:noWrap/>
            <w:vAlign w:val="center"/>
            <w:hideMark/>
          </w:tcPr>
          <w:p w14:paraId="0C3F8946"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w:t>
            </w:r>
          </w:p>
        </w:tc>
        <w:tc>
          <w:tcPr>
            <w:tcW w:w="567" w:type="dxa"/>
            <w:tcBorders>
              <w:top w:val="nil"/>
              <w:left w:val="nil"/>
              <w:bottom w:val="nil"/>
              <w:right w:val="nil"/>
            </w:tcBorders>
            <w:shd w:val="clear" w:color="auto" w:fill="auto"/>
            <w:noWrap/>
            <w:vAlign w:val="center"/>
            <w:hideMark/>
          </w:tcPr>
          <w:p w14:paraId="0C3F8947"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0</w:t>
            </w:r>
          </w:p>
        </w:tc>
        <w:tc>
          <w:tcPr>
            <w:tcW w:w="426" w:type="dxa"/>
            <w:gridSpan w:val="2"/>
            <w:tcBorders>
              <w:top w:val="nil"/>
              <w:left w:val="single" w:sz="4" w:space="0" w:color="auto"/>
              <w:bottom w:val="nil"/>
              <w:right w:val="nil"/>
            </w:tcBorders>
            <w:shd w:val="clear" w:color="auto" w:fill="auto"/>
            <w:noWrap/>
            <w:vAlign w:val="center"/>
            <w:hideMark/>
          </w:tcPr>
          <w:p w14:paraId="0C3F8948"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63</w:t>
            </w:r>
          </w:p>
        </w:tc>
        <w:tc>
          <w:tcPr>
            <w:tcW w:w="501" w:type="dxa"/>
            <w:gridSpan w:val="2"/>
            <w:tcBorders>
              <w:top w:val="nil"/>
              <w:left w:val="nil"/>
              <w:bottom w:val="nil"/>
              <w:right w:val="single" w:sz="4" w:space="0" w:color="auto"/>
            </w:tcBorders>
            <w:shd w:val="clear" w:color="auto" w:fill="auto"/>
            <w:noWrap/>
            <w:vAlign w:val="center"/>
            <w:hideMark/>
          </w:tcPr>
          <w:p w14:paraId="0C3F8949"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37</w:t>
            </w:r>
          </w:p>
        </w:tc>
      </w:tr>
      <w:tr w:rsidR="00131E41" w:rsidRPr="00464AC8" w14:paraId="0C3F8959" w14:textId="77777777" w:rsidTr="00131E41">
        <w:trPr>
          <w:gridAfter w:val="1"/>
          <w:wAfter w:w="76" w:type="dxa"/>
          <w:trHeight w:val="391"/>
        </w:trPr>
        <w:tc>
          <w:tcPr>
            <w:tcW w:w="675" w:type="dxa"/>
            <w:tcBorders>
              <w:top w:val="nil"/>
              <w:left w:val="single" w:sz="4" w:space="0" w:color="auto"/>
              <w:bottom w:val="single" w:sz="4" w:space="0" w:color="auto"/>
              <w:right w:val="single" w:sz="4" w:space="0" w:color="auto"/>
            </w:tcBorders>
            <w:shd w:val="clear" w:color="000000" w:fill="F2F2F2"/>
            <w:noWrap/>
            <w:vAlign w:val="center"/>
            <w:hideMark/>
          </w:tcPr>
          <w:p w14:paraId="0C3F894B"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2013</w:t>
            </w:r>
          </w:p>
        </w:tc>
        <w:tc>
          <w:tcPr>
            <w:tcW w:w="1007" w:type="dxa"/>
            <w:tcBorders>
              <w:top w:val="nil"/>
              <w:left w:val="nil"/>
              <w:bottom w:val="single" w:sz="4" w:space="0" w:color="auto"/>
              <w:right w:val="nil"/>
            </w:tcBorders>
            <w:shd w:val="clear" w:color="auto" w:fill="auto"/>
            <w:noWrap/>
            <w:vAlign w:val="center"/>
            <w:hideMark/>
          </w:tcPr>
          <w:p w14:paraId="0C3F894C"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67194</w:t>
            </w:r>
          </w:p>
        </w:tc>
        <w:tc>
          <w:tcPr>
            <w:tcW w:w="694" w:type="dxa"/>
            <w:gridSpan w:val="2"/>
            <w:tcBorders>
              <w:top w:val="nil"/>
              <w:left w:val="nil"/>
              <w:bottom w:val="single" w:sz="4" w:space="0" w:color="auto"/>
              <w:right w:val="nil"/>
            </w:tcBorders>
            <w:shd w:val="clear" w:color="auto" w:fill="auto"/>
            <w:noWrap/>
            <w:vAlign w:val="center"/>
            <w:hideMark/>
          </w:tcPr>
          <w:p w14:paraId="0C3F894D"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64466</w:t>
            </w:r>
          </w:p>
        </w:tc>
        <w:tc>
          <w:tcPr>
            <w:tcW w:w="709" w:type="dxa"/>
            <w:gridSpan w:val="2"/>
            <w:tcBorders>
              <w:top w:val="nil"/>
              <w:left w:val="nil"/>
              <w:bottom w:val="single" w:sz="4" w:space="0" w:color="auto"/>
              <w:right w:val="nil"/>
            </w:tcBorders>
            <w:shd w:val="clear" w:color="auto" w:fill="auto"/>
            <w:noWrap/>
            <w:vAlign w:val="center"/>
            <w:hideMark/>
          </w:tcPr>
          <w:p w14:paraId="0C3F894E"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20782</w:t>
            </w:r>
          </w:p>
        </w:tc>
        <w:tc>
          <w:tcPr>
            <w:tcW w:w="709" w:type="dxa"/>
            <w:tcBorders>
              <w:top w:val="nil"/>
              <w:left w:val="nil"/>
              <w:bottom w:val="single" w:sz="4" w:space="0" w:color="auto"/>
              <w:right w:val="nil"/>
            </w:tcBorders>
            <w:shd w:val="clear" w:color="auto" w:fill="auto"/>
            <w:noWrap/>
            <w:vAlign w:val="center"/>
            <w:hideMark/>
          </w:tcPr>
          <w:p w14:paraId="0C3F894F"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1168</w:t>
            </w:r>
          </w:p>
        </w:tc>
        <w:tc>
          <w:tcPr>
            <w:tcW w:w="850" w:type="dxa"/>
            <w:tcBorders>
              <w:top w:val="nil"/>
              <w:left w:val="single" w:sz="4" w:space="0" w:color="auto"/>
              <w:bottom w:val="single" w:sz="4" w:space="0" w:color="auto"/>
              <w:right w:val="nil"/>
            </w:tcBorders>
            <w:shd w:val="clear" w:color="auto" w:fill="auto"/>
            <w:noWrap/>
            <w:vAlign w:val="center"/>
            <w:hideMark/>
          </w:tcPr>
          <w:p w14:paraId="0C3F8950"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153610</w:t>
            </w:r>
          </w:p>
        </w:tc>
        <w:tc>
          <w:tcPr>
            <w:tcW w:w="801" w:type="dxa"/>
            <w:tcBorders>
              <w:top w:val="nil"/>
              <w:left w:val="nil"/>
              <w:bottom w:val="single" w:sz="4" w:space="0" w:color="auto"/>
              <w:right w:val="single" w:sz="4" w:space="0" w:color="auto"/>
            </w:tcBorders>
            <w:shd w:val="clear" w:color="auto" w:fill="auto"/>
            <w:noWrap/>
            <w:vAlign w:val="center"/>
            <w:hideMark/>
          </w:tcPr>
          <w:p w14:paraId="0C3F8951"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195143</w:t>
            </w:r>
          </w:p>
        </w:tc>
        <w:tc>
          <w:tcPr>
            <w:tcW w:w="617" w:type="dxa"/>
            <w:tcBorders>
              <w:top w:val="nil"/>
              <w:left w:val="single" w:sz="4" w:space="0" w:color="auto"/>
              <w:bottom w:val="single" w:sz="4" w:space="0" w:color="auto"/>
              <w:right w:val="single" w:sz="4" w:space="0" w:color="auto"/>
            </w:tcBorders>
            <w:shd w:val="clear" w:color="000000" w:fill="F2F2F2"/>
            <w:noWrap/>
            <w:vAlign w:val="center"/>
            <w:hideMark/>
          </w:tcPr>
          <w:p w14:paraId="0C3F8952" w14:textId="77777777" w:rsidR="00131E41" w:rsidRPr="00464AC8" w:rsidRDefault="00131E41" w:rsidP="00131E41">
            <w:pPr>
              <w:spacing w:after="120"/>
              <w:jc w:val="center"/>
              <w:rPr>
                <w:rFonts w:ascii="Calibri" w:hAnsi="Calibri" w:cs="Calibri"/>
                <w:b/>
                <w:bCs/>
                <w:color w:val="000000"/>
                <w:sz w:val="18"/>
                <w:szCs w:val="18"/>
              </w:rPr>
            </w:pPr>
            <w:r w:rsidRPr="00464AC8">
              <w:rPr>
                <w:rFonts w:ascii="Calibri" w:hAnsi="Calibri" w:cs="Calibri"/>
                <w:b/>
                <w:bCs/>
                <w:color w:val="000000"/>
                <w:sz w:val="18"/>
                <w:szCs w:val="18"/>
              </w:rPr>
              <w:t>2013</w:t>
            </w:r>
          </w:p>
        </w:tc>
        <w:tc>
          <w:tcPr>
            <w:tcW w:w="567" w:type="dxa"/>
            <w:gridSpan w:val="2"/>
            <w:tcBorders>
              <w:top w:val="nil"/>
              <w:left w:val="nil"/>
              <w:bottom w:val="single" w:sz="4" w:space="0" w:color="auto"/>
              <w:right w:val="nil"/>
            </w:tcBorders>
            <w:shd w:val="clear" w:color="auto" w:fill="auto"/>
            <w:noWrap/>
            <w:vAlign w:val="center"/>
            <w:hideMark/>
          </w:tcPr>
          <w:p w14:paraId="0C3F8953"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19</w:t>
            </w:r>
          </w:p>
        </w:tc>
        <w:tc>
          <w:tcPr>
            <w:tcW w:w="425" w:type="dxa"/>
            <w:gridSpan w:val="2"/>
            <w:tcBorders>
              <w:top w:val="nil"/>
              <w:left w:val="nil"/>
              <w:bottom w:val="single" w:sz="4" w:space="0" w:color="auto"/>
              <w:right w:val="nil"/>
            </w:tcBorders>
            <w:shd w:val="clear" w:color="auto" w:fill="auto"/>
            <w:noWrap/>
            <w:vAlign w:val="center"/>
            <w:hideMark/>
          </w:tcPr>
          <w:p w14:paraId="0C3F8954"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18</w:t>
            </w:r>
          </w:p>
        </w:tc>
        <w:tc>
          <w:tcPr>
            <w:tcW w:w="425" w:type="dxa"/>
            <w:gridSpan w:val="2"/>
            <w:tcBorders>
              <w:top w:val="nil"/>
              <w:left w:val="nil"/>
              <w:bottom w:val="single" w:sz="4" w:space="0" w:color="auto"/>
              <w:right w:val="nil"/>
            </w:tcBorders>
            <w:shd w:val="clear" w:color="auto" w:fill="auto"/>
            <w:noWrap/>
            <w:vAlign w:val="center"/>
            <w:hideMark/>
          </w:tcPr>
          <w:p w14:paraId="0C3F8955"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6</w:t>
            </w:r>
          </w:p>
        </w:tc>
        <w:tc>
          <w:tcPr>
            <w:tcW w:w="567" w:type="dxa"/>
            <w:tcBorders>
              <w:top w:val="nil"/>
              <w:left w:val="nil"/>
              <w:bottom w:val="single" w:sz="4" w:space="0" w:color="auto"/>
              <w:right w:val="nil"/>
            </w:tcBorders>
            <w:shd w:val="clear" w:color="auto" w:fill="auto"/>
            <w:noWrap/>
            <w:vAlign w:val="center"/>
            <w:hideMark/>
          </w:tcPr>
          <w:p w14:paraId="0C3F8956" w14:textId="77777777" w:rsidR="00131E41" w:rsidRPr="00464AC8" w:rsidRDefault="00131E41" w:rsidP="00131E41">
            <w:pPr>
              <w:spacing w:after="120"/>
              <w:jc w:val="center"/>
              <w:rPr>
                <w:rFonts w:ascii="Calibri" w:hAnsi="Calibri" w:cs="Calibri"/>
                <w:color w:val="000000"/>
                <w:sz w:val="18"/>
                <w:szCs w:val="18"/>
              </w:rPr>
            </w:pPr>
            <w:r w:rsidRPr="00464AC8">
              <w:rPr>
                <w:rFonts w:ascii="Calibri" w:hAnsi="Calibri" w:cs="Calibri"/>
                <w:color w:val="000000"/>
                <w:sz w:val="18"/>
                <w:szCs w:val="18"/>
              </w:rPr>
              <w:t>0</w:t>
            </w:r>
          </w:p>
        </w:tc>
        <w:tc>
          <w:tcPr>
            <w:tcW w:w="426" w:type="dxa"/>
            <w:gridSpan w:val="2"/>
            <w:tcBorders>
              <w:top w:val="nil"/>
              <w:left w:val="single" w:sz="4" w:space="0" w:color="auto"/>
              <w:bottom w:val="single" w:sz="4" w:space="0" w:color="auto"/>
              <w:right w:val="nil"/>
            </w:tcBorders>
            <w:shd w:val="clear" w:color="auto" w:fill="auto"/>
            <w:noWrap/>
            <w:vAlign w:val="center"/>
            <w:hideMark/>
          </w:tcPr>
          <w:p w14:paraId="0C3F8957"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44</w:t>
            </w:r>
          </w:p>
        </w:tc>
        <w:tc>
          <w:tcPr>
            <w:tcW w:w="501" w:type="dxa"/>
            <w:gridSpan w:val="2"/>
            <w:tcBorders>
              <w:top w:val="nil"/>
              <w:left w:val="nil"/>
              <w:bottom w:val="single" w:sz="4" w:space="0" w:color="auto"/>
              <w:right w:val="single" w:sz="4" w:space="0" w:color="auto"/>
            </w:tcBorders>
            <w:shd w:val="clear" w:color="auto" w:fill="auto"/>
            <w:noWrap/>
            <w:vAlign w:val="center"/>
            <w:hideMark/>
          </w:tcPr>
          <w:p w14:paraId="0C3F8958" w14:textId="77777777" w:rsidR="00131E41" w:rsidRPr="00464AC8" w:rsidRDefault="00131E41" w:rsidP="00131E41">
            <w:pPr>
              <w:spacing w:after="120"/>
              <w:jc w:val="center"/>
              <w:rPr>
                <w:rFonts w:ascii="Calibri" w:hAnsi="Calibri" w:cs="Calibri"/>
                <w:color w:val="000000"/>
                <w:sz w:val="18"/>
                <w:szCs w:val="18"/>
              </w:rPr>
            </w:pPr>
            <w:r>
              <w:rPr>
                <w:rFonts w:ascii="Calibri" w:hAnsi="Calibri" w:cs="Calibri"/>
                <w:color w:val="000000"/>
                <w:sz w:val="18"/>
                <w:szCs w:val="18"/>
              </w:rPr>
              <w:t>56</w:t>
            </w:r>
          </w:p>
        </w:tc>
      </w:tr>
    </w:tbl>
    <w:p w14:paraId="0C3F895A" w14:textId="77777777" w:rsidR="00131E41" w:rsidRDefault="00131E41" w:rsidP="00131E41">
      <w:pPr>
        <w:rPr>
          <w:rFonts w:ascii="Calibri" w:eastAsia="Calibri" w:hAnsi="Calibri" w:cs="Times New Roman"/>
          <w:bCs/>
          <w:color w:val="4F81BD"/>
          <w:lang w:eastAsia="en-US"/>
        </w:rPr>
      </w:pPr>
    </w:p>
    <w:p w14:paraId="0C3F895B" w14:textId="77777777" w:rsidR="00131E41" w:rsidRDefault="00131E41" w:rsidP="00131E41">
      <w:pPr>
        <w:rPr>
          <w:rFonts w:ascii="Calibri" w:eastAsia="Calibri" w:hAnsi="Calibri" w:cs="Times New Roman"/>
          <w:bCs/>
          <w:color w:val="4F81BD"/>
          <w:lang w:eastAsia="en-US"/>
        </w:rPr>
      </w:pPr>
    </w:p>
    <w:p w14:paraId="0C3F895C"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noProof/>
        </w:rPr>
        <w:drawing>
          <wp:inline distT="0" distB="0" distL="0" distR="0" wp14:anchorId="0C3F902B" wp14:editId="0C3F902C">
            <wp:extent cx="5731685" cy="2117034"/>
            <wp:effectExtent l="0" t="0" r="2540" b="0"/>
            <wp:docPr id="107" name="Picture 1" descr="relationships between the total GBR areas exposed to to the highest potential risk categories (III and IV, red line) to river plume and the total GBR river discharge (blue line, calculated as the sum of the Normanby, Daintree, Barron, Russell, Mulgrave, North Johnstone, South Johnstone, Tully, Herbert, Burdekin, O'Connell, Pioneer, Proserpine, Plane, Fitzroy, Burnett and Mary-river discharges for the whole hydrological year (i.e., from Oct-1 to Sep-3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8" cstate="print"/>
                    <a:srcRect t="10127"/>
                    <a:stretch/>
                  </pic:blipFill>
                  <pic:spPr bwMode="auto">
                    <a:xfrm>
                      <a:off x="0" y="0"/>
                      <a:ext cx="5731510" cy="2116969"/>
                    </a:xfrm>
                    <a:prstGeom prst="rect">
                      <a:avLst/>
                    </a:prstGeom>
                    <a:solidFill>
                      <a:sysClr val="window" lastClr="FFFFFF"/>
                    </a:solidFill>
                    <a:ln>
                      <a:noFill/>
                    </a:ln>
                    <a:extLst>
                      <a:ext uri="{53640926-AAD7-44D8-BBD7-CCE9431645EC}">
                        <a14:shadowObscured xmlns:a14="http://schemas.microsoft.com/office/drawing/2010/main"/>
                      </a:ext>
                    </a:extLst>
                  </pic:spPr>
                </pic:pic>
              </a:graphicData>
            </a:graphic>
          </wp:inline>
        </w:drawing>
      </w:r>
    </w:p>
    <w:p w14:paraId="0C3F895D" w14:textId="77777777" w:rsidR="00131E41" w:rsidRPr="00DF1C49" w:rsidRDefault="00131E41" w:rsidP="00131E41">
      <w:pPr>
        <w:pStyle w:val="Caption"/>
        <w:rPr>
          <w:rFonts w:eastAsia="Calibri"/>
        </w:rPr>
      </w:pPr>
      <w:bookmarkStart w:id="254" w:name="_Ref427752201"/>
      <w:bookmarkStart w:id="255" w:name="_Toc427833299"/>
      <w:bookmarkStart w:id="256" w:name="_Toc434208057"/>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21</w:t>
      </w:r>
      <w:r w:rsidR="00D243CD">
        <w:rPr>
          <w:rFonts w:eastAsia="Calibri"/>
        </w:rPr>
        <w:fldChar w:fldCharType="end"/>
      </w:r>
      <w:bookmarkEnd w:id="254"/>
      <w:r w:rsidRPr="00DF1C49">
        <w:rPr>
          <w:rFonts w:eastAsia="Calibri"/>
        </w:rPr>
        <w:t xml:space="preserve">: relationships between the total GBR areas exposed to </w:t>
      </w:r>
      <w:r w:rsidRPr="00856ED8">
        <w:rPr>
          <w:rFonts w:eastAsia="Calibri"/>
        </w:rPr>
        <w:t>to the highest potential risk categories (III and IV</w:t>
      </w:r>
      <w:r>
        <w:rPr>
          <w:rFonts w:eastAsia="Calibri"/>
        </w:rPr>
        <w:t>, red line</w:t>
      </w:r>
      <w:r w:rsidRPr="00856ED8">
        <w:rPr>
          <w:rFonts w:eastAsia="Calibri"/>
        </w:rPr>
        <w:t xml:space="preserve">) </w:t>
      </w:r>
      <w:r w:rsidRPr="00DF1C49">
        <w:rPr>
          <w:rFonts w:eastAsia="Calibri"/>
        </w:rPr>
        <w:t>to river plume and the total GBR river discharge (</w:t>
      </w:r>
      <w:r>
        <w:rPr>
          <w:rFonts w:eastAsia="Calibri"/>
        </w:rPr>
        <w:t xml:space="preserve">blue line, </w:t>
      </w:r>
      <w:r w:rsidRPr="00DF1C49">
        <w:rPr>
          <w:rFonts w:eastAsia="Calibri"/>
        </w:rPr>
        <w:t>calculated as the sum of the Normanby, Daintree, Barron, Russell, Mulgrave, North Johnstone, South Johnstone, Tully, Herbert, Burdekin, O'Connell, Pioneer, Proserpine, Plane, Fitzroy, Burnett and Mary-river discharges for the whole hydrological year (i.e., from Oct-1 to Sep-30).</w:t>
      </w:r>
      <w:bookmarkEnd w:id="255"/>
      <w:bookmarkEnd w:id="256"/>
      <w:r w:rsidRPr="00DF1C49">
        <w:rPr>
          <w:rFonts w:eastAsia="Calibri"/>
        </w:rPr>
        <w:t xml:space="preserve">   </w:t>
      </w:r>
    </w:p>
    <w:p w14:paraId="0C3F895E" w14:textId="77777777" w:rsidR="00131E41" w:rsidRDefault="00131E41" w:rsidP="00131E41">
      <w:pPr>
        <w:rPr>
          <w:rFonts w:ascii="Calibri" w:eastAsia="Calibri" w:hAnsi="Calibri" w:cs="Times New Roman"/>
          <w:bCs/>
          <w:color w:val="4F81BD"/>
          <w:lang w:eastAsia="en-US"/>
        </w:rPr>
      </w:pPr>
    </w:p>
    <w:p w14:paraId="0C3F895F" w14:textId="77777777" w:rsidR="00131E41" w:rsidRDefault="00131E41" w:rsidP="00131E41">
      <w:pPr>
        <w:rPr>
          <w:rFonts w:ascii="Calibri" w:eastAsia="Calibri" w:hAnsi="Calibri" w:cs="Times New Roman"/>
          <w:lang w:eastAsia="en-US"/>
        </w:rPr>
      </w:pPr>
      <w:r w:rsidRPr="00C236D5">
        <w:rPr>
          <w:rFonts w:ascii="Calibri" w:eastAsia="Calibri" w:hAnsi="Calibri" w:cs="Times New Roman"/>
          <w:u w:val="single"/>
          <w:lang w:eastAsia="en-US"/>
        </w:rPr>
        <w:t>A multiannual potential risk</w:t>
      </w:r>
      <w:r w:rsidRPr="00DF1C49">
        <w:rPr>
          <w:rFonts w:ascii="Calibri" w:eastAsia="Calibri" w:hAnsi="Calibri" w:cs="Times New Roman"/>
          <w:lang w:eastAsia="en-US"/>
        </w:rPr>
        <w:t xml:space="preserve"> </w:t>
      </w:r>
      <w:r>
        <w:rPr>
          <w:rFonts w:ascii="Calibri" w:eastAsia="Calibri" w:hAnsi="Calibri" w:cs="Times New Roman"/>
          <w:lang w:eastAsia="en-US"/>
        </w:rPr>
        <w:t xml:space="preserve">composite </w:t>
      </w:r>
      <w:r w:rsidRPr="00DF1C49">
        <w:rPr>
          <w:rFonts w:ascii="Calibri" w:eastAsia="Calibri" w:hAnsi="Calibri" w:cs="Times New Roman"/>
          <w:lang w:eastAsia="en-US"/>
        </w:rPr>
        <w:t>map w</w:t>
      </w:r>
      <w:r>
        <w:rPr>
          <w:rFonts w:ascii="Calibri" w:eastAsia="Calibri" w:hAnsi="Calibri" w:cs="Times New Roman"/>
          <w:lang w:eastAsia="en-US"/>
        </w:rPr>
        <w:t>as</w:t>
      </w:r>
      <w:r w:rsidRPr="00DF1C49">
        <w:rPr>
          <w:rFonts w:ascii="Calibri" w:eastAsia="Calibri" w:hAnsi="Calibri" w:cs="Times New Roman"/>
          <w:lang w:eastAsia="en-US"/>
        </w:rPr>
        <w:t xml:space="preserve"> calculated </w:t>
      </w:r>
      <w:r>
        <w:rPr>
          <w:rFonts w:ascii="Calibri" w:eastAsia="Calibri" w:hAnsi="Calibri" w:cs="Times New Roman"/>
          <w:lang w:eastAsia="en-US"/>
        </w:rPr>
        <w:t>by averaging the</w:t>
      </w:r>
      <w:r w:rsidRPr="00DF1C49">
        <w:rPr>
          <w:rFonts w:ascii="Calibri" w:eastAsia="Calibri" w:hAnsi="Calibri" w:cs="Times New Roman"/>
          <w:lang w:eastAsia="en-US"/>
        </w:rPr>
        <w:t xml:space="preserve"> inter-annual risk maps </w:t>
      </w:r>
      <w:r>
        <w:rPr>
          <w:rFonts w:ascii="Calibri" w:eastAsia="Calibri" w:hAnsi="Calibri" w:cs="Times New Roman"/>
          <w:lang w:eastAsia="en-US"/>
        </w:rPr>
        <w:t xml:space="preserve">produced </w:t>
      </w:r>
      <w:r w:rsidRPr="00DF1C49">
        <w:rPr>
          <w:rFonts w:ascii="Calibri" w:eastAsia="Calibri" w:hAnsi="Calibri" w:cs="Times New Roman"/>
          <w:lang w:eastAsia="en-US"/>
        </w:rPr>
        <w:t>from the TC methods</w:t>
      </w:r>
      <w:r>
        <w:rPr>
          <w:rFonts w:ascii="Calibri" w:eastAsia="Calibri" w:hAnsi="Calibri" w:cs="Times New Roman"/>
          <w:lang w:eastAsia="en-US"/>
        </w:rPr>
        <w:t xml:space="preserve"> </w:t>
      </w:r>
      <w:r w:rsidRPr="00DF1C49">
        <w:rPr>
          <w:rFonts w:ascii="Calibri" w:eastAsia="Calibri" w:hAnsi="Calibri" w:cs="Times New Roman"/>
          <w:lang w:eastAsia="en-US"/>
        </w:rPr>
        <w:t>(</w:t>
      </w:r>
      <w:r w:rsidRPr="00DF1C49">
        <w:rPr>
          <w:rFonts w:ascii="Calibri" w:eastAsia="Calibri" w:hAnsi="Calibri" w:cs="Times New Roman"/>
          <w:lang w:eastAsia="en-US"/>
        </w:rPr>
        <w:fldChar w:fldCharType="begin"/>
      </w:r>
      <w:r w:rsidRPr="00DF1C49">
        <w:rPr>
          <w:rFonts w:ascii="Calibri" w:eastAsia="Calibri" w:hAnsi="Calibri" w:cs="Times New Roman"/>
          <w:lang w:eastAsia="en-US"/>
        </w:rPr>
        <w:instrText xml:space="preserve"> REF _Ref377388847 \h  \* MERGEFORMAT </w:instrText>
      </w:r>
      <w:r w:rsidRPr="00DF1C49">
        <w:rPr>
          <w:rFonts w:ascii="Calibri" w:eastAsia="Calibri" w:hAnsi="Calibri" w:cs="Times New Roman"/>
          <w:lang w:eastAsia="en-US"/>
        </w:rPr>
      </w:r>
      <w:r w:rsidRPr="00DF1C49">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DF1C49">
        <w:rPr>
          <w:rFonts w:ascii="Calibri" w:eastAsia="Calibri" w:hAnsi="Calibri" w:cs="Times New Roman"/>
          <w:lang w:eastAsia="en-US"/>
        </w:rPr>
        <w:fldChar w:fldCharType="end"/>
      </w:r>
      <w:r w:rsidRPr="00DF1C49">
        <w:rPr>
          <w:rFonts w:ascii="Calibri" w:eastAsia="Calibri" w:hAnsi="Calibri" w:cs="Times New Roman"/>
          <w:lang w:eastAsia="en-US"/>
        </w:rPr>
        <w:t xml:space="preserve">). Recalculating </w:t>
      </w:r>
      <w:r>
        <w:rPr>
          <w:rFonts w:ascii="Calibri" w:eastAsia="Calibri" w:hAnsi="Calibri" w:cs="Times New Roman"/>
          <w:lang w:eastAsia="en-US"/>
        </w:rPr>
        <w:t xml:space="preserve">individual wet season </w:t>
      </w:r>
      <w:r w:rsidRPr="00DF1C49">
        <w:rPr>
          <w:rFonts w:ascii="Calibri" w:eastAsia="Calibri" w:hAnsi="Calibri" w:cs="Times New Roman"/>
          <w:lang w:eastAsia="en-US"/>
        </w:rPr>
        <w:t xml:space="preserve">risk maps to </w:t>
      </w:r>
      <w:r>
        <w:rPr>
          <w:rFonts w:ascii="Calibri" w:eastAsia="Calibri" w:hAnsi="Calibri" w:cs="Times New Roman"/>
          <w:lang w:eastAsia="en-US"/>
        </w:rPr>
        <w:t xml:space="preserve">a </w:t>
      </w:r>
      <w:r w:rsidRPr="00DF1C49">
        <w:rPr>
          <w:rFonts w:ascii="Calibri" w:eastAsia="Calibri" w:hAnsi="Calibri" w:cs="Times New Roman"/>
          <w:lang w:eastAsia="en-US"/>
        </w:rPr>
        <w:t>long-term (7-year) map is useful to</w:t>
      </w:r>
      <w:r w:rsidRPr="00043AD4">
        <w:rPr>
          <w:rFonts w:ascii="Calibri" w:eastAsia="Calibri" w:hAnsi="Calibri" w:cs="Times New Roman"/>
          <w:lang w:eastAsia="en-US"/>
        </w:rPr>
        <w:t xml:space="preserve"> describe where potential risk condition</w:t>
      </w:r>
      <w:r>
        <w:rPr>
          <w:rFonts w:ascii="Calibri" w:eastAsia="Calibri" w:hAnsi="Calibri" w:cs="Times New Roman"/>
          <w:lang w:eastAsia="en-US"/>
        </w:rPr>
        <w:t>s</w:t>
      </w:r>
      <w:r w:rsidRPr="00043AD4">
        <w:rPr>
          <w:rFonts w:ascii="Calibri" w:eastAsia="Calibri" w:hAnsi="Calibri" w:cs="Times New Roman"/>
          <w:lang w:eastAsia="en-US"/>
        </w:rPr>
        <w:t xml:space="preserve"> from river plume are, on average</w:t>
      </w:r>
      <w:r w:rsidRPr="00DF1C49">
        <w:rPr>
          <w:rFonts w:ascii="Calibri" w:eastAsia="Calibri" w:hAnsi="Calibri" w:cs="Times New Roman"/>
          <w:lang w:eastAsia="en-US"/>
        </w:rPr>
        <w:t>. As observed on the 2013 risk maps, an inshore to offshore spatial pattern is present, with inshore areas within ~ 20 km of the coast experiencing high frequency of Primary waters and thus</w:t>
      </w:r>
      <w:r>
        <w:rPr>
          <w:rFonts w:ascii="Calibri" w:eastAsia="Calibri" w:hAnsi="Calibri" w:cs="Times New Roman"/>
          <w:lang w:eastAsia="en-US"/>
        </w:rPr>
        <w:t xml:space="preserve"> highest potential</w:t>
      </w:r>
      <w:r w:rsidRPr="00DF1C49">
        <w:rPr>
          <w:rFonts w:ascii="Calibri" w:eastAsia="Calibri" w:hAnsi="Calibri" w:cs="Times New Roman"/>
          <w:lang w:eastAsia="en-US"/>
        </w:rPr>
        <w:t xml:space="preserve"> risk from river plume water</w:t>
      </w:r>
      <w:r>
        <w:rPr>
          <w:rFonts w:ascii="Calibri" w:eastAsia="Calibri" w:hAnsi="Calibri" w:cs="Times New Roman"/>
          <w:lang w:eastAsia="en-US"/>
        </w:rPr>
        <w:t xml:space="preserve"> (as Primary waters are the most concentrated in land-sourced pollutants),</w:t>
      </w:r>
      <w:r w:rsidRPr="00DF1C49">
        <w:rPr>
          <w:rFonts w:ascii="Calibri" w:eastAsia="Calibri" w:hAnsi="Calibri" w:cs="Times New Roman"/>
          <w:lang w:eastAsia="en-US"/>
        </w:rPr>
        <w:t xml:space="preserve"> and offshore areas experiencing highest/lowest frequency of Tertiary/Primary plume water types and thus lowest</w:t>
      </w:r>
      <w:r>
        <w:rPr>
          <w:rFonts w:ascii="Calibri" w:eastAsia="Calibri" w:hAnsi="Calibri" w:cs="Times New Roman"/>
          <w:lang w:eastAsia="en-US"/>
        </w:rPr>
        <w:t xml:space="preserve"> potential</w:t>
      </w:r>
      <w:r w:rsidRPr="00DF1C49">
        <w:rPr>
          <w:rFonts w:ascii="Calibri" w:eastAsia="Calibri" w:hAnsi="Calibri" w:cs="Times New Roman"/>
          <w:lang w:eastAsia="en-US"/>
        </w:rPr>
        <w:t xml:space="preserve"> risk from river plume </w:t>
      </w:r>
      <w:r>
        <w:rPr>
          <w:rFonts w:ascii="Calibri" w:eastAsia="Calibri" w:hAnsi="Calibri" w:cs="Times New Roman"/>
          <w:lang w:eastAsia="en-US"/>
        </w:rPr>
        <w:t>exposure (as Tertiary waters are the less concentrated in land-sourced pollutants)</w:t>
      </w:r>
      <w:r w:rsidRPr="00DF1C49">
        <w:rPr>
          <w:rFonts w:ascii="Calibri" w:eastAsia="Calibri" w:hAnsi="Calibri" w:cs="Times New Roman"/>
          <w:lang w:eastAsia="en-US"/>
        </w:rPr>
        <w:t xml:space="preserve">. </w:t>
      </w:r>
      <w:r>
        <w:rPr>
          <w:rFonts w:ascii="Calibri" w:eastAsia="Calibri" w:hAnsi="Calibri" w:cs="Times New Roman"/>
          <w:lang w:eastAsia="en-US"/>
        </w:rPr>
        <w:t>Multi-annual composite maps of the river plume frequency</w:t>
      </w:r>
      <w:r w:rsidRPr="004C1716">
        <w:rPr>
          <w:rFonts w:ascii="Calibri" w:eastAsia="Calibri" w:hAnsi="Calibri" w:cs="Times New Roman"/>
          <w:lang w:eastAsia="en-US"/>
        </w:rPr>
        <w:t xml:space="preserve"> </w:t>
      </w:r>
      <w:r>
        <w:rPr>
          <w:rFonts w:ascii="Calibri" w:eastAsia="Calibri" w:hAnsi="Calibri" w:cs="Times New Roman"/>
          <w:lang w:eastAsia="en-US"/>
        </w:rPr>
        <w:t>and plume water type frequency are also presented in appendix B, Figure B-1 and B-2.</w:t>
      </w:r>
    </w:p>
    <w:p w14:paraId="0C3F8960" w14:textId="77777777" w:rsidR="00131E41" w:rsidRPr="00DF1C49"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t>T</w:t>
      </w:r>
      <w:r w:rsidRPr="00DF1C49">
        <w:rPr>
          <w:rFonts w:ascii="Calibri" w:eastAsia="Calibri" w:hAnsi="Calibri" w:cs="Times New Roman"/>
          <w:lang w:eastAsia="en-US"/>
        </w:rPr>
        <w:t xml:space="preserve">otal areas </w:t>
      </w:r>
      <w:r>
        <w:rPr>
          <w:rFonts w:ascii="Calibri" w:eastAsia="Calibri" w:hAnsi="Calibri" w:cs="Times New Roman"/>
          <w:lang w:eastAsia="en-US"/>
        </w:rPr>
        <w:t>exposed to river plumes</w:t>
      </w:r>
      <w:r w:rsidRPr="00DF1C49">
        <w:rPr>
          <w:rFonts w:ascii="Calibri" w:eastAsia="Calibri" w:hAnsi="Calibri" w:cs="Times New Roman"/>
          <w:lang w:eastAsia="en-US"/>
        </w:rPr>
        <w:t xml:space="preserve"> extend</w:t>
      </w:r>
      <w:r>
        <w:rPr>
          <w:rFonts w:ascii="Calibri" w:eastAsia="Calibri" w:hAnsi="Calibri" w:cs="Times New Roman"/>
          <w:lang w:eastAsia="en-US"/>
        </w:rPr>
        <w:t>ed</w:t>
      </w:r>
      <w:r w:rsidRPr="00DF1C49">
        <w:rPr>
          <w:rFonts w:ascii="Calibri" w:eastAsia="Calibri" w:hAnsi="Calibri" w:cs="Times New Roman"/>
          <w:lang w:eastAsia="en-US"/>
        </w:rPr>
        <w:t xml:space="preserve"> about 100 km offshore of the Herbert River mouth and 110 km offshore of the Burdekin River mouth (if measured along a NE/SW strait line from both estuary mouths), i.e. further offshore than observed in 2013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_Ref432674621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22</w:t>
      </w:r>
      <w:r>
        <w:rPr>
          <w:rFonts w:ascii="Calibri" w:eastAsia="Calibri" w:hAnsi="Calibri" w:cs="Times New Roman"/>
          <w:lang w:eastAsia="en-US"/>
        </w:rPr>
        <w:fldChar w:fldCharType="end"/>
      </w:r>
      <w:r w:rsidRPr="00DF1C49">
        <w:rPr>
          <w:rFonts w:ascii="Calibri" w:eastAsia="Calibri" w:hAnsi="Calibri" w:cs="Times New Roman"/>
          <w:lang w:eastAsia="en-US"/>
        </w:rPr>
        <w:t xml:space="preserve">). </w:t>
      </w:r>
    </w:p>
    <w:p w14:paraId="0C3F8961" w14:textId="77777777" w:rsidR="00131E41" w:rsidRPr="00DF1C49" w:rsidRDefault="00131E41" w:rsidP="00131E41">
      <w:pPr>
        <w:rPr>
          <w:rFonts w:ascii="Calibri" w:eastAsia="Calibri" w:hAnsi="Calibri" w:cs="Times New Roman"/>
          <w:lang w:eastAsia="en-US"/>
        </w:rPr>
      </w:pPr>
    </w:p>
    <w:p w14:paraId="0C3F8962"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noProof/>
        </w:rPr>
        <w:drawing>
          <wp:inline distT="0" distB="0" distL="0" distR="0" wp14:anchorId="0C3F902D" wp14:editId="0C3F902E">
            <wp:extent cx="5724000" cy="4079394"/>
            <wp:effectExtent l="0" t="0" r="0" b="0"/>
            <wp:docPr id="25" name="Picture 25" descr="Multi-annual (2007-2013) “potential” river plume risk maps of (left) the GBR; (middle) the Tully Herbert region and (right) the Burdekin region produced by a) the TC method. Maps have been smoothed twice with a 4 pixel majority filter (ArcG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24000" cy="4079394"/>
                    </a:xfrm>
                    <a:prstGeom prst="rect">
                      <a:avLst/>
                    </a:prstGeom>
                    <a:noFill/>
                  </pic:spPr>
                </pic:pic>
              </a:graphicData>
            </a:graphic>
          </wp:inline>
        </w:drawing>
      </w:r>
    </w:p>
    <w:p w14:paraId="0C3F8963" w14:textId="77777777" w:rsidR="00131E41" w:rsidRDefault="00131E41" w:rsidP="00131E41">
      <w:pPr>
        <w:pStyle w:val="Caption"/>
        <w:rPr>
          <w:rFonts w:eastAsia="Calibri"/>
        </w:rPr>
      </w:pPr>
      <w:bookmarkStart w:id="257" w:name="_Ref432674621"/>
      <w:bookmarkStart w:id="258" w:name="_Toc427833300"/>
      <w:bookmarkStart w:id="259" w:name="_Toc434208058"/>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22</w:t>
      </w:r>
      <w:r w:rsidR="00D243CD">
        <w:rPr>
          <w:rFonts w:eastAsia="Calibri"/>
        </w:rPr>
        <w:fldChar w:fldCharType="end"/>
      </w:r>
      <w:bookmarkEnd w:id="257"/>
      <w:r w:rsidRPr="00DF1C49">
        <w:rPr>
          <w:rFonts w:eastAsia="Calibri"/>
        </w:rPr>
        <w:t>: Multi-annual (2007-2013) “potential” river plume risk maps of (left) the GBR; (middle) the Tully Herbert region and (right) the Burdekin region produced by a) the TC method. Maps have been smoothed twice with a 4 pixel majority filter (ArcGIS).</w:t>
      </w:r>
      <w:bookmarkEnd w:id="258"/>
      <w:bookmarkEnd w:id="259"/>
    </w:p>
    <w:p w14:paraId="0C3F8964" w14:textId="77777777" w:rsidR="00131E41" w:rsidRDefault="00131E41" w:rsidP="00131E41">
      <w:pPr>
        <w:rPr>
          <w:rFonts w:ascii="Calibri" w:eastAsia="Calibri" w:hAnsi="Calibri" w:cs="Times New Roman"/>
          <w:lang w:eastAsia="en-US"/>
        </w:rPr>
      </w:pPr>
    </w:p>
    <w:p w14:paraId="0C3F8965" w14:textId="77777777" w:rsidR="00131E41" w:rsidRPr="00DF1C49"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t>U</w:t>
      </w:r>
      <w:r w:rsidRPr="00DF1C49">
        <w:rPr>
          <w:rFonts w:ascii="Calibri" w:eastAsia="Calibri" w:hAnsi="Calibri" w:cs="Times New Roman"/>
          <w:lang w:eastAsia="en-US"/>
        </w:rPr>
        <w:t>sing the mean multi-annual (2007-2013)</w:t>
      </w:r>
      <w:r>
        <w:rPr>
          <w:rFonts w:ascii="Calibri" w:eastAsia="Calibri" w:hAnsi="Calibri" w:cs="Times New Roman"/>
          <w:lang w:eastAsia="en-US"/>
        </w:rPr>
        <w:t xml:space="preserve"> surface</w:t>
      </w:r>
      <w:r w:rsidRPr="00DF1C49">
        <w:rPr>
          <w:rFonts w:ascii="Calibri" w:eastAsia="Calibri" w:hAnsi="Calibri" w:cs="Times New Roman"/>
          <w:lang w:eastAsia="en-US"/>
        </w:rPr>
        <w:t xml:space="preserve"> areas (in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of coral and seagrass beds </w:t>
      </w:r>
      <w:r>
        <w:rPr>
          <w:rFonts w:ascii="Calibri" w:eastAsia="Calibri" w:hAnsi="Calibri" w:cs="Times New Roman"/>
          <w:lang w:eastAsia="en-US"/>
        </w:rPr>
        <w:t>under</w:t>
      </w:r>
      <w:r w:rsidRPr="00DF1C49">
        <w:rPr>
          <w:rFonts w:ascii="Calibri" w:eastAsia="Calibri" w:hAnsi="Calibri" w:cs="Times New Roman"/>
          <w:lang w:eastAsia="en-US"/>
        </w:rPr>
        <w:t xml:space="preserve"> </w:t>
      </w:r>
      <w:r>
        <w:rPr>
          <w:rFonts w:ascii="Calibri" w:eastAsia="Calibri" w:hAnsi="Calibri" w:cs="Times New Roman"/>
          <w:lang w:eastAsia="en-US"/>
        </w:rPr>
        <w:t>the highest</w:t>
      </w:r>
      <w:r w:rsidRPr="00DF1C49">
        <w:rPr>
          <w:rFonts w:ascii="Calibri" w:eastAsia="Calibri" w:hAnsi="Calibri" w:cs="Times New Roman"/>
          <w:lang w:eastAsia="en-US"/>
        </w:rPr>
        <w:t xml:space="preserve"> </w:t>
      </w:r>
      <w:r>
        <w:rPr>
          <w:rFonts w:ascii="Calibri" w:eastAsia="Calibri" w:hAnsi="Calibri" w:cs="Times New Roman"/>
          <w:lang w:eastAsia="en-US"/>
        </w:rPr>
        <w:t xml:space="preserve">potential </w:t>
      </w:r>
      <w:r w:rsidRPr="00DF1C49">
        <w:rPr>
          <w:rFonts w:ascii="Calibri" w:eastAsia="Calibri" w:hAnsi="Calibri" w:cs="Times New Roman"/>
          <w:lang w:eastAsia="en-US"/>
        </w:rPr>
        <w:t>risk</w:t>
      </w:r>
      <w:r>
        <w:rPr>
          <w:rFonts w:ascii="Calibri" w:eastAsia="Calibri" w:hAnsi="Calibri" w:cs="Times New Roman"/>
          <w:lang w:eastAsia="en-US"/>
        </w:rPr>
        <w:t xml:space="preserve"> categories (III and IV) from plume exposure</w:t>
      </w:r>
      <w:r w:rsidRPr="00DF1C49">
        <w:rPr>
          <w:rFonts w:ascii="Calibri" w:eastAsia="Calibri" w:hAnsi="Calibri" w:cs="Times New Roman"/>
          <w:lang w:eastAsia="en-US"/>
        </w:rPr>
        <w:t xml:space="preserve"> </w:t>
      </w:r>
      <w:r>
        <w:rPr>
          <w:rFonts w:ascii="Calibri" w:eastAsia="Calibri" w:hAnsi="Calibri" w:cs="Times New Roman"/>
          <w:lang w:eastAsia="en-US"/>
        </w:rPr>
        <w:t>(</w:t>
      </w:r>
      <w:r w:rsidRPr="00DF1C49">
        <w:rPr>
          <w:rFonts w:ascii="Calibri" w:eastAsia="Calibri" w:hAnsi="Calibri" w:cs="Times New Roman"/>
          <w:lang w:eastAsia="en-US"/>
        </w:rPr>
        <w:t>and without considering Cape York</w:t>
      </w:r>
      <w:r>
        <w:rPr>
          <w:rFonts w:ascii="Calibri" w:eastAsia="Calibri" w:hAnsi="Calibri" w:cs="Times New Roman"/>
          <w:lang w:eastAsia="en-US"/>
        </w:rPr>
        <w:t>) were calculated</w:t>
      </w:r>
      <w:r w:rsidRPr="00DF1C49">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_Ref427833072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23</w:t>
      </w:r>
      <w:r>
        <w:rPr>
          <w:rFonts w:ascii="Calibri" w:eastAsia="Calibri" w:hAnsi="Calibri" w:cs="Times New Roman"/>
          <w:lang w:eastAsia="en-US"/>
        </w:rPr>
        <w:fldChar w:fldCharType="end"/>
      </w:r>
      <w:r w:rsidRPr="00DF1C49">
        <w:rPr>
          <w:rFonts w:ascii="Calibri" w:eastAsia="Calibri" w:hAnsi="Calibri" w:cs="Times New Roman"/>
          <w:lang w:eastAsia="en-US"/>
        </w:rPr>
        <w:t>):</w:t>
      </w:r>
    </w:p>
    <w:p w14:paraId="0C3F8966" w14:textId="77777777" w:rsidR="00131E41" w:rsidRPr="00DF1C49" w:rsidRDefault="00131E41" w:rsidP="00C05A63">
      <w:pPr>
        <w:numPr>
          <w:ilvl w:val="0"/>
          <w:numId w:val="23"/>
        </w:numPr>
        <w:spacing w:before="0" w:after="200" w:line="276" w:lineRule="auto"/>
        <w:contextualSpacing/>
        <w:jc w:val="left"/>
        <w:rPr>
          <w:rFonts w:ascii="Calibri" w:eastAsia="Calibri" w:hAnsi="Calibri" w:cs="Times New Roman"/>
          <w:lang w:eastAsia="en-US"/>
        </w:rPr>
      </w:pPr>
      <w:r w:rsidRPr="00DF1C49">
        <w:rPr>
          <w:rFonts w:ascii="Calibri" w:eastAsia="Calibri" w:hAnsi="Calibri" w:cs="Times New Roman"/>
          <w:lang w:eastAsia="en-US"/>
        </w:rPr>
        <w:t xml:space="preserve">Coral reef areas </w:t>
      </w:r>
      <w:r>
        <w:rPr>
          <w:rFonts w:ascii="Calibri" w:eastAsia="Calibri" w:hAnsi="Calibri" w:cs="Times New Roman"/>
          <w:lang w:eastAsia="en-US"/>
        </w:rPr>
        <w:t xml:space="preserve">under potential </w:t>
      </w:r>
      <w:r w:rsidRPr="00DF1C49">
        <w:rPr>
          <w:rFonts w:ascii="Calibri" w:eastAsia="Calibri" w:hAnsi="Calibri" w:cs="Times New Roman"/>
          <w:lang w:eastAsia="en-US"/>
        </w:rPr>
        <w:t>risk</w:t>
      </w:r>
      <w:r>
        <w:rPr>
          <w:rFonts w:ascii="Calibri" w:eastAsia="Calibri" w:hAnsi="Calibri" w:cs="Times New Roman"/>
          <w:lang w:eastAsia="en-US"/>
        </w:rPr>
        <w:t xml:space="preserve"> categories III and IV</w:t>
      </w:r>
      <w:r w:rsidRPr="00DF1C49">
        <w:rPr>
          <w:rFonts w:ascii="Calibri" w:eastAsia="Calibri" w:hAnsi="Calibri" w:cs="Times New Roman"/>
          <w:lang w:eastAsia="en-US"/>
        </w:rPr>
        <w:t xml:space="preserve"> were greater in Mackay-Whitsunday &gt; Fitzroy &gt; Wet Tropics &gt; Burdekin &gt; Burnett-Mary NRM</w:t>
      </w:r>
      <w:r>
        <w:rPr>
          <w:rFonts w:ascii="Calibri" w:eastAsia="Calibri" w:hAnsi="Calibri" w:cs="Times New Roman"/>
          <w:lang w:eastAsia="en-US"/>
        </w:rPr>
        <w:t xml:space="preserve"> region</w:t>
      </w:r>
      <w:r w:rsidRPr="00DF1C49">
        <w:rPr>
          <w:rFonts w:ascii="Calibri" w:eastAsia="Calibri" w:hAnsi="Calibri" w:cs="Times New Roman"/>
          <w:lang w:eastAsia="en-US"/>
        </w:rPr>
        <w:t xml:space="preserve">s. </w:t>
      </w:r>
    </w:p>
    <w:p w14:paraId="0C3F8967" w14:textId="77777777" w:rsidR="00131E41" w:rsidRPr="00DF1C49" w:rsidRDefault="00131E41" w:rsidP="00C05A63">
      <w:pPr>
        <w:numPr>
          <w:ilvl w:val="0"/>
          <w:numId w:val="23"/>
        </w:numPr>
        <w:spacing w:before="0" w:after="200" w:line="276" w:lineRule="auto"/>
        <w:contextualSpacing/>
        <w:jc w:val="left"/>
        <w:rPr>
          <w:rFonts w:ascii="Calibri" w:eastAsia="Calibri" w:hAnsi="Calibri" w:cs="Times New Roman"/>
          <w:lang w:eastAsia="en-US"/>
        </w:rPr>
      </w:pPr>
      <w:r w:rsidRPr="00DF1C49">
        <w:rPr>
          <w:rFonts w:ascii="Calibri" w:eastAsia="Calibri" w:hAnsi="Calibri" w:cs="Times New Roman"/>
          <w:lang w:eastAsia="en-US"/>
        </w:rPr>
        <w:t xml:space="preserve">Total seagrass areas </w:t>
      </w:r>
      <w:r w:rsidRPr="00FA7916">
        <w:rPr>
          <w:rFonts w:ascii="Calibri" w:eastAsia="Calibri" w:hAnsi="Calibri" w:cs="Times New Roman"/>
          <w:lang w:eastAsia="en-US"/>
        </w:rPr>
        <w:t xml:space="preserve">under potential risk categories III and IV </w:t>
      </w:r>
      <w:r w:rsidRPr="00DF1C49">
        <w:rPr>
          <w:rFonts w:ascii="Calibri" w:eastAsia="Calibri" w:hAnsi="Calibri" w:cs="Times New Roman"/>
          <w:lang w:eastAsia="en-US"/>
        </w:rPr>
        <w:t>greater in Fitzroy &gt; Burdekin &gt; Mackay-Whitsunday &gt; Wet Tropics &gt; Burnett-Mary NRM</w:t>
      </w:r>
      <w:r>
        <w:rPr>
          <w:rFonts w:ascii="Calibri" w:eastAsia="Calibri" w:hAnsi="Calibri" w:cs="Times New Roman"/>
          <w:lang w:eastAsia="en-US"/>
        </w:rPr>
        <w:t xml:space="preserve"> region</w:t>
      </w:r>
      <w:r w:rsidRPr="00DF1C49">
        <w:rPr>
          <w:rFonts w:ascii="Calibri" w:eastAsia="Calibri" w:hAnsi="Calibri" w:cs="Times New Roman"/>
          <w:lang w:eastAsia="en-US"/>
        </w:rPr>
        <w:t>s.</w:t>
      </w:r>
    </w:p>
    <w:p w14:paraId="0C3F8968" w14:textId="77777777" w:rsidR="00131E41" w:rsidRPr="00DF1C49" w:rsidRDefault="00131E41" w:rsidP="00131E41">
      <w:pPr>
        <w:spacing w:after="200" w:line="276" w:lineRule="auto"/>
        <w:rPr>
          <w:rFonts w:ascii="Calibri" w:eastAsia="Calibri" w:hAnsi="Calibri" w:cs="Times New Roman"/>
          <w:lang w:eastAsia="en-US"/>
        </w:rPr>
      </w:pPr>
      <w:r w:rsidRPr="00DF1C49">
        <w:rPr>
          <w:rFonts w:ascii="Calibri" w:eastAsia="Calibri" w:hAnsi="Calibri" w:cs="Times New Roman"/>
          <w:lang w:eastAsia="en-US"/>
        </w:rPr>
        <w:t>In the Mackay Whitsunday Region, 60% of the tot</w:t>
      </w:r>
      <w:r>
        <w:rPr>
          <w:rFonts w:ascii="Calibri" w:eastAsia="Calibri" w:hAnsi="Calibri" w:cs="Times New Roman"/>
          <w:lang w:eastAsia="en-US"/>
        </w:rPr>
        <w:t>al</w:t>
      </w:r>
      <w:r w:rsidRPr="00DF1C49">
        <w:rPr>
          <w:rFonts w:ascii="Calibri" w:eastAsia="Calibri" w:hAnsi="Calibri" w:cs="Times New Roman"/>
          <w:lang w:eastAsia="en-US"/>
        </w:rPr>
        <w:t xml:space="preserve"> seagrass areas were in the highest relative </w:t>
      </w:r>
      <w:r>
        <w:rPr>
          <w:rFonts w:ascii="Calibri" w:eastAsia="Calibri" w:hAnsi="Calibri" w:cs="Times New Roman"/>
          <w:lang w:eastAsia="en-US"/>
        </w:rPr>
        <w:t xml:space="preserve">potential </w:t>
      </w:r>
      <w:r w:rsidRPr="00DF1C49">
        <w:rPr>
          <w:rFonts w:ascii="Calibri" w:eastAsia="Calibri" w:hAnsi="Calibri" w:cs="Times New Roman"/>
          <w:lang w:eastAsia="en-US"/>
        </w:rPr>
        <w:t>risk c</w:t>
      </w:r>
      <w:r>
        <w:rPr>
          <w:rFonts w:ascii="Calibri" w:eastAsia="Calibri" w:hAnsi="Calibri" w:cs="Times New Roman"/>
          <w:lang w:eastAsia="en-US"/>
        </w:rPr>
        <w:t>ategories</w:t>
      </w:r>
      <w:r w:rsidRPr="00DF1C49">
        <w:rPr>
          <w:rFonts w:ascii="Calibri" w:eastAsia="Calibri" w:hAnsi="Calibri" w:cs="Times New Roman"/>
          <w:lang w:eastAsia="en-US"/>
        </w:rPr>
        <w:t xml:space="preserve"> compared to less than 10% for all other regions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_Ref427833072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23</w:t>
      </w:r>
      <w:r>
        <w:rPr>
          <w:rFonts w:ascii="Calibri" w:eastAsia="Calibri" w:hAnsi="Calibri" w:cs="Times New Roman"/>
          <w:lang w:eastAsia="en-US"/>
        </w:rPr>
        <w:fldChar w:fldCharType="end"/>
      </w:r>
      <w:r w:rsidRPr="00DF1C49">
        <w:rPr>
          <w:rFonts w:ascii="Calibri" w:eastAsia="Calibri" w:hAnsi="Calibri" w:cs="Times New Roman"/>
          <w:lang w:eastAsia="en-US"/>
        </w:rPr>
        <w:t>). Note that seagrass meadows in Hervey Bay (outside of the GBR southern boundary) were not included in the risk analysis.</w:t>
      </w:r>
    </w:p>
    <w:p w14:paraId="0C3F8969" w14:textId="77777777" w:rsidR="00131E41" w:rsidRDefault="00131E41" w:rsidP="00131E41">
      <w:pPr>
        <w:rPr>
          <w:rFonts w:ascii="Calibri" w:eastAsia="Calibri" w:hAnsi="Calibri" w:cs="Times New Roman"/>
          <w:bCs/>
          <w:color w:val="4F81BD"/>
          <w:lang w:eastAsia="en-US"/>
        </w:rPr>
      </w:pPr>
    </w:p>
    <w:p w14:paraId="0C3F896A" w14:textId="77777777" w:rsidR="00131E41" w:rsidRPr="00DF1C49" w:rsidRDefault="00131E41" w:rsidP="00131E41">
      <w:pPr>
        <w:rPr>
          <w:rFonts w:ascii="Calibri" w:eastAsia="Calibri" w:hAnsi="Calibri" w:cs="Times New Roman"/>
          <w:noProof/>
        </w:rPr>
      </w:pPr>
      <w:r w:rsidRPr="00DF1C49">
        <w:rPr>
          <w:rFonts w:ascii="Calibri" w:eastAsia="Calibri" w:hAnsi="Calibri" w:cs="Times New Roman"/>
          <w:noProof/>
        </w:rPr>
        <w:drawing>
          <wp:inline distT="0" distB="0" distL="0" distR="0" wp14:anchorId="0C3F902F" wp14:editId="0C3F9030">
            <wp:extent cx="5724000" cy="4068742"/>
            <wp:effectExtent l="0" t="0" r="0" b="8255"/>
            <wp:docPr id="109" name="Picture 109" descr="mean multiannual (2007-2013) percentage (%, in grey) and areas (km2, in black) of a) coral reefs and b) total seagrass exposed to potential risk categories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24000" cy="4068742"/>
                    </a:xfrm>
                    <a:prstGeom prst="rect">
                      <a:avLst/>
                    </a:prstGeom>
                    <a:solidFill>
                      <a:sysClr val="window" lastClr="FFFFFF"/>
                    </a:solidFill>
                  </pic:spPr>
                </pic:pic>
              </a:graphicData>
            </a:graphic>
          </wp:inline>
        </w:drawing>
      </w:r>
    </w:p>
    <w:p w14:paraId="0C3F896B" w14:textId="77777777" w:rsidR="00131E41" w:rsidRPr="00DF1C49" w:rsidRDefault="00131E41" w:rsidP="00131E41">
      <w:pPr>
        <w:pStyle w:val="Caption"/>
        <w:rPr>
          <w:rFonts w:eastAsia="Calibri"/>
          <w:sz w:val="18"/>
          <w:szCs w:val="18"/>
        </w:rPr>
      </w:pPr>
      <w:bookmarkStart w:id="260" w:name="_Ref427833072"/>
      <w:bookmarkStart w:id="261" w:name="_Toc427833301"/>
      <w:bookmarkStart w:id="262" w:name="_Toc434208059"/>
      <w:r w:rsidRPr="00DF1C49">
        <w:rPr>
          <w:rFonts w:eastAsia="Calibri"/>
        </w:rPr>
        <w:t xml:space="preserve">Figure </w:t>
      </w:r>
      <w:r w:rsidR="00D243CD">
        <w:rPr>
          <w:rFonts w:eastAsia="Calibri"/>
        </w:rPr>
        <w:fldChar w:fldCharType="begin"/>
      </w:r>
      <w:r w:rsidR="00D243CD">
        <w:rPr>
          <w:rFonts w:eastAsia="Calibri"/>
        </w:rPr>
        <w:instrText xml:space="preserve"> STYLEREF 1 \s </w:instrText>
      </w:r>
      <w:r w:rsidR="00D243CD">
        <w:rPr>
          <w:rFonts w:eastAsia="Calibri"/>
        </w:rPr>
        <w:fldChar w:fldCharType="separate"/>
      </w:r>
      <w:r w:rsidR="00B62B50">
        <w:rPr>
          <w:rFonts w:eastAsia="Calibri"/>
          <w:noProof/>
        </w:rPr>
        <w:t>5</w:t>
      </w:r>
      <w:r w:rsidR="00D243CD">
        <w:rPr>
          <w:rFonts w:eastAsia="Calibri"/>
        </w:rPr>
        <w:fldChar w:fldCharType="end"/>
      </w:r>
      <w:r w:rsidR="00D243CD">
        <w:rPr>
          <w:rFonts w:eastAsia="Calibri"/>
        </w:rPr>
        <w:noBreakHyphen/>
      </w:r>
      <w:r w:rsidR="00D243CD">
        <w:rPr>
          <w:rFonts w:eastAsia="Calibri"/>
        </w:rPr>
        <w:fldChar w:fldCharType="begin"/>
      </w:r>
      <w:r w:rsidR="00D243CD">
        <w:rPr>
          <w:rFonts w:eastAsia="Calibri"/>
        </w:rPr>
        <w:instrText xml:space="preserve"> SEQ Figure \* ARABIC \s 1 </w:instrText>
      </w:r>
      <w:r w:rsidR="00D243CD">
        <w:rPr>
          <w:rFonts w:eastAsia="Calibri"/>
        </w:rPr>
        <w:fldChar w:fldCharType="separate"/>
      </w:r>
      <w:r w:rsidR="00B62B50">
        <w:rPr>
          <w:rFonts w:eastAsia="Calibri"/>
          <w:noProof/>
        </w:rPr>
        <w:t>23</w:t>
      </w:r>
      <w:r w:rsidR="00D243CD">
        <w:rPr>
          <w:rFonts w:eastAsia="Calibri"/>
        </w:rPr>
        <w:fldChar w:fldCharType="end"/>
      </w:r>
      <w:bookmarkEnd w:id="260"/>
      <w:r w:rsidRPr="00DF1C49">
        <w:rPr>
          <w:rFonts w:eastAsia="Calibri"/>
        </w:rPr>
        <w:t>: mean multiannual (2007-2013) percentage (%, in grey) and areas (km</w:t>
      </w:r>
      <w:r w:rsidRPr="00DF1C49">
        <w:rPr>
          <w:rFonts w:eastAsia="Calibri"/>
          <w:vertAlign w:val="superscript"/>
        </w:rPr>
        <w:t>2</w:t>
      </w:r>
      <w:r w:rsidRPr="00DF1C49">
        <w:rPr>
          <w:rFonts w:eastAsia="Calibri"/>
        </w:rPr>
        <w:t xml:space="preserve">, in black) of a) coral reefs and b) total seagrass exposed to </w:t>
      </w:r>
      <w:r>
        <w:rPr>
          <w:rFonts w:eastAsia="Calibri"/>
        </w:rPr>
        <w:t>potential risk</w:t>
      </w:r>
      <w:r w:rsidRPr="00DF1C49">
        <w:rPr>
          <w:rFonts w:eastAsia="Calibri"/>
        </w:rPr>
        <w:t xml:space="preserve"> categories </w:t>
      </w:r>
      <w:bookmarkEnd w:id="261"/>
      <w:r>
        <w:rPr>
          <w:rFonts w:eastAsia="Calibri"/>
        </w:rPr>
        <w:t>I</w:t>
      </w:r>
      <w:bookmarkEnd w:id="262"/>
    </w:p>
    <w:p w14:paraId="0C3F896C" w14:textId="77777777" w:rsidR="00131E41" w:rsidRDefault="00131E41" w:rsidP="00131E41">
      <w:pPr>
        <w:rPr>
          <w:lang w:eastAsia="en-US"/>
        </w:rPr>
      </w:pPr>
      <w:bookmarkStart w:id="263" w:name="_Toc427251556"/>
    </w:p>
    <w:p w14:paraId="0C3F896D" w14:textId="77777777" w:rsidR="00131E41" w:rsidRDefault="00131E41" w:rsidP="00131E41">
      <w:pPr>
        <w:pStyle w:val="Heading1"/>
        <w:numPr>
          <w:ilvl w:val="0"/>
          <w:numId w:val="3"/>
        </w:numPr>
      </w:pPr>
      <w:bookmarkStart w:id="264" w:name="_Toc427831227"/>
      <w:bookmarkStart w:id="265" w:name="_Toc428793358"/>
      <w:bookmarkStart w:id="266" w:name="_Toc428851363"/>
      <w:bookmarkStart w:id="267" w:name="_Toc434208017"/>
      <w:r w:rsidRPr="00BE31E1">
        <w:t>Discussion and conclusions</w:t>
      </w:r>
      <w:bookmarkEnd w:id="263"/>
      <w:bookmarkEnd w:id="264"/>
      <w:bookmarkEnd w:id="265"/>
      <w:bookmarkEnd w:id="266"/>
      <w:bookmarkEnd w:id="267"/>
    </w:p>
    <w:p w14:paraId="0C3F896E" w14:textId="77777777" w:rsidR="00131E41" w:rsidRPr="00C12BFC" w:rsidRDefault="00131E41" w:rsidP="00131E41">
      <w:pPr>
        <w:pStyle w:val="ListParagraph"/>
        <w:numPr>
          <w:ilvl w:val="1"/>
          <w:numId w:val="3"/>
        </w:numPr>
        <w:rPr>
          <w:rStyle w:val="Heading20"/>
        </w:rPr>
      </w:pPr>
      <w:bookmarkStart w:id="268" w:name="_Toc427251559"/>
      <w:bookmarkStart w:id="269" w:name="_Toc427831231"/>
      <w:bookmarkStart w:id="270" w:name="_Toc428793362"/>
      <w:bookmarkStart w:id="271" w:name="_Toc428851367"/>
      <w:r w:rsidRPr="00C12BFC">
        <w:rPr>
          <w:rStyle w:val="Heading20"/>
        </w:rPr>
        <w:t>The 2012-13 wet season</w:t>
      </w:r>
      <w:bookmarkEnd w:id="268"/>
      <w:bookmarkEnd w:id="269"/>
      <w:bookmarkEnd w:id="270"/>
      <w:bookmarkEnd w:id="271"/>
    </w:p>
    <w:p w14:paraId="0C3F896F"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lang w:eastAsia="en-US"/>
        </w:rPr>
        <w:t>The wet season 2013 was characterised by neutral (neither El Niño nor La Niña) to borderline El Niño climatic conditions and tropical cyclone activity for the 2012-12 wet season was slightly below the typical cyclone season activity of Queensland. Two main flood periods were recorded in the river hydrographs: (i) around the 25</w:t>
      </w:r>
      <w:r w:rsidRPr="00DF1C49">
        <w:rPr>
          <w:rFonts w:ascii="Calibri" w:eastAsia="Calibri" w:hAnsi="Calibri" w:cs="Times New Roman"/>
          <w:vertAlign w:val="superscript"/>
          <w:lang w:eastAsia="en-US"/>
        </w:rPr>
        <w:t>th</w:t>
      </w:r>
      <w:r w:rsidRPr="00DF1C49">
        <w:rPr>
          <w:rFonts w:ascii="Calibri" w:eastAsia="Calibri" w:hAnsi="Calibri" w:cs="Times New Roman"/>
          <w:lang w:eastAsia="en-US"/>
        </w:rPr>
        <w:t xml:space="preserve"> of January and the 11</w:t>
      </w:r>
      <w:r w:rsidRPr="00DF1C49">
        <w:rPr>
          <w:rFonts w:ascii="Calibri" w:eastAsia="Calibri" w:hAnsi="Calibri" w:cs="Times New Roman"/>
          <w:vertAlign w:val="superscript"/>
          <w:lang w:eastAsia="en-US"/>
        </w:rPr>
        <w:t>th</w:t>
      </w:r>
      <w:r w:rsidRPr="00DF1C49">
        <w:rPr>
          <w:rFonts w:ascii="Calibri" w:eastAsia="Calibri" w:hAnsi="Calibri" w:cs="Times New Roman"/>
          <w:lang w:eastAsia="en-US"/>
        </w:rPr>
        <w:t xml:space="preserve"> of February under the influence of Tropical Cyclone Oswald and (ii) around the 24th of February and 18</w:t>
      </w:r>
      <w:r w:rsidRPr="00DF1C49">
        <w:rPr>
          <w:rFonts w:ascii="Calibri" w:eastAsia="Calibri" w:hAnsi="Calibri" w:cs="Times New Roman"/>
          <w:vertAlign w:val="superscript"/>
          <w:lang w:eastAsia="en-US"/>
        </w:rPr>
        <w:t>th</w:t>
      </w:r>
      <w:r w:rsidRPr="00DF1C49">
        <w:rPr>
          <w:rFonts w:ascii="Calibri" w:eastAsia="Calibri" w:hAnsi="Calibri" w:cs="Times New Roman"/>
          <w:lang w:eastAsia="en-US"/>
        </w:rPr>
        <w:t xml:space="preserve"> of March. Maximum aerial extents</w:t>
      </w:r>
      <w:r>
        <w:rPr>
          <w:rFonts w:ascii="Calibri" w:eastAsia="Calibri" w:hAnsi="Calibri" w:cs="Times New Roman"/>
          <w:lang w:eastAsia="en-US"/>
        </w:rPr>
        <w:t xml:space="preserve"> of the GBR River plumes</w:t>
      </w:r>
      <w:r w:rsidRPr="00DF1C49">
        <w:rPr>
          <w:rFonts w:ascii="Calibri" w:eastAsia="Calibri" w:hAnsi="Calibri" w:cs="Times New Roman"/>
          <w:lang w:eastAsia="en-US"/>
        </w:rPr>
        <w:t xml:space="preserve"> </w:t>
      </w:r>
      <w:r w:rsidR="00E67427">
        <w:rPr>
          <w:rFonts w:ascii="Calibri" w:eastAsia="Calibri" w:hAnsi="Calibri" w:cs="Times New Roman"/>
          <w:lang w:eastAsia="en-US"/>
        </w:rPr>
        <w:t>are</w:t>
      </w:r>
      <w:r w:rsidRPr="00DF1C49">
        <w:rPr>
          <w:rFonts w:ascii="Calibri" w:eastAsia="Calibri" w:hAnsi="Calibri" w:cs="Times New Roman"/>
          <w:lang w:eastAsia="en-US"/>
        </w:rPr>
        <w:t xml:space="preserve"> recorded between these dates (</w:t>
      </w:r>
      <w:r w:rsidRPr="00006513">
        <w:rPr>
          <w:rFonts w:eastAsia="Calibri"/>
          <w:lang w:eastAsia="en-US"/>
        </w:rPr>
        <w:t xml:space="preserve">Appendix A. </w:t>
      </w:r>
      <w:r w:rsidRPr="00006513">
        <w:rPr>
          <w:rFonts w:eastAsia="Calibri"/>
          <w:lang w:eastAsia="en-US"/>
        </w:rPr>
        <w:fldChar w:fldCharType="begin"/>
      </w:r>
      <w:r w:rsidRPr="00006513">
        <w:rPr>
          <w:rFonts w:eastAsia="Calibri"/>
          <w:lang w:eastAsia="en-US"/>
        </w:rPr>
        <w:instrText xml:space="preserve"> REF _Ref428871352 \h </w:instrText>
      </w:r>
      <w:r>
        <w:rPr>
          <w:rFonts w:eastAsia="Calibri"/>
          <w:lang w:eastAsia="en-US"/>
        </w:rPr>
        <w:instrText xml:space="preserve"> \* MERGEFORMAT </w:instrText>
      </w:r>
      <w:r w:rsidRPr="00006513">
        <w:rPr>
          <w:rFonts w:eastAsia="Calibri"/>
          <w:lang w:eastAsia="en-US"/>
        </w:rPr>
      </w:r>
      <w:r w:rsidRPr="00006513">
        <w:rPr>
          <w:rFonts w:eastAsia="Calibri"/>
          <w:lang w:eastAsia="en-US"/>
        </w:rPr>
        <w:fldChar w:fldCharType="separate"/>
      </w:r>
      <w:r w:rsidR="00B62B50">
        <w:t xml:space="preserve">Figure </w:t>
      </w:r>
      <w:r w:rsidR="00B62B50">
        <w:rPr>
          <w:noProof/>
        </w:rPr>
        <w:t>3</w:t>
      </w:r>
      <w:r w:rsidR="00B62B50">
        <w:rPr>
          <w:noProof/>
        </w:rPr>
        <w:noBreakHyphen/>
        <w:t>2</w:t>
      </w:r>
      <w:r w:rsidRPr="00006513">
        <w:rPr>
          <w:rFonts w:eastAsia="Calibri"/>
          <w:lang w:eastAsia="en-US"/>
        </w:rPr>
        <w:fldChar w:fldCharType="end"/>
      </w:r>
      <w:r w:rsidR="00C05222">
        <w:rPr>
          <w:rFonts w:eastAsia="Calibri"/>
          <w:lang w:eastAsia="en-US"/>
        </w:rPr>
        <w:t xml:space="preserve"> </w:t>
      </w:r>
      <w:r w:rsidRPr="00006513">
        <w:rPr>
          <w:rFonts w:eastAsia="Calibri"/>
          <w:lang w:eastAsia="en-US"/>
        </w:rPr>
        <w:t xml:space="preserve">to </w:t>
      </w:r>
      <w:r w:rsidRPr="00C05222">
        <w:rPr>
          <w:rFonts w:eastAsia="Calibri"/>
          <w:lang w:eastAsia="en-US"/>
        </w:rPr>
        <w:fldChar w:fldCharType="begin"/>
      </w:r>
      <w:r w:rsidRPr="00C05222">
        <w:rPr>
          <w:rFonts w:eastAsia="Calibri"/>
          <w:lang w:eastAsia="en-US"/>
        </w:rPr>
        <w:instrText xml:space="preserve"> REF _Ref428852947 \h  \* MERGEFORMAT </w:instrText>
      </w:r>
      <w:r w:rsidRPr="00C05222">
        <w:rPr>
          <w:rFonts w:eastAsia="Calibri"/>
          <w:lang w:eastAsia="en-US"/>
        </w:rPr>
      </w:r>
      <w:r w:rsidRPr="00C05222">
        <w:rPr>
          <w:rFonts w:eastAsia="Calibri"/>
          <w:lang w:eastAsia="en-US"/>
        </w:rPr>
        <w:fldChar w:fldCharType="separate"/>
      </w:r>
      <w:r w:rsidR="00B62B50" w:rsidRPr="00482CB4">
        <w:rPr>
          <w:rFonts w:eastAsia="Calibri"/>
        </w:rPr>
        <w:t xml:space="preserve">Figure </w:t>
      </w:r>
      <w:r w:rsidR="00B62B50">
        <w:rPr>
          <w:rFonts w:eastAsia="Calibri"/>
          <w:noProof/>
        </w:rPr>
        <w:t>3</w:t>
      </w:r>
      <w:r w:rsidR="00B62B50">
        <w:rPr>
          <w:rFonts w:eastAsia="Calibri"/>
          <w:noProof/>
        </w:rPr>
        <w:noBreakHyphen/>
        <w:t>7</w:t>
      </w:r>
      <w:r w:rsidRPr="00C05222">
        <w:rPr>
          <w:rFonts w:eastAsia="Calibri"/>
          <w:lang w:eastAsia="en-US"/>
        </w:rPr>
        <w:fldChar w:fldCharType="end"/>
      </w:r>
      <w:r w:rsidRPr="00C05222">
        <w:rPr>
          <w:rFonts w:eastAsia="Calibri"/>
          <w:lang w:eastAsia="en-US"/>
        </w:rPr>
        <w:t xml:space="preserve"> </w:t>
      </w:r>
      <w:r w:rsidRPr="00C05222">
        <w:rPr>
          <w:rFonts w:eastAsia="Calibri"/>
          <w:lang w:eastAsia="en-US"/>
        </w:rPr>
        <w:fldChar w:fldCharType="begin"/>
      </w:r>
      <w:r w:rsidRPr="00C05222">
        <w:rPr>
          <w:rFonts w:eastAsia="Calibri"/>
          <w:lang w:eastAsia="en-US"/>
        </w:rPr>
        <w:instrText xml:space="preserve"> REF _Ref371609622 \h  \* MERGEFORMAT </w:instrText>
      </w:r>
      <w:r w:rsidRPr="00C05222">
        <w:rPr>
          <w:rFonts w:eastAsia="Calibri"/>
          <w:lang w:eastAsia="en-US"/>
        </w:rPr>
      </w:r>
      <w:r w:rsidRPr="00C05222">
        <w:rPr>
          <w:rFonts w:eastAsia="Calibri"/>
          <w:lang w:eastAsia="en-US"/>
        </w:rPr>
        <w:fldChar w:fldCharType="separate"/>
      </w:r>
      <w:r w:rsidR="00B62B50">
        <w:rPr>
          <w:rFonts w:eastAsia="Calibri"/>
          <w:b/>
          <w:bCs/>
          <w:lang w:val="en-US" w:eastAsia="en-US"/>
        </w:rPr>
        <w:t>Error! Reference source not found.</w:t>
      </w:r>
      <w:r w:rsidRPr="00C05222">
        <w:rPr>
          <w:rFonts w:eastAsia="Calibri"/>
          <w:lang w:eastAsia="en-US"/>
        </w:rPr>
        <w:fldChar w:fldCharType="end"/>
      </w:r>
      <w:r w:rsidRPr="00C05222">
        <w:rPr>
          <w:rFonts w:ascii="Calibri" w:eastAsia="Calibri" w:hAnsi="Calibri" w:cs="Times New Roman"/>
          <w:lang w:eastAsia="en-US"/>
        </w:rPr>
        <w:t>).</w:t>
      </w:r>
      <w:r w:rsidRPr="00DF1C49">
        <w:rPr>
          <w:rFonts w:ascii="Calibri" w:eastAsia="Calibri" w:hAnsi="Calibri" w:cs="Times New Roman"/>
          <w:lang w:eastAsia="en-US"/>
        </w:rPr>
        <w:t xml:space="preserve"> </w:t>
      </w:r>
    </w:p>
    <w:p w14:paraId="0C3F8970" w14:textId="77777777" w:rsidR="00C05222" w:rsidRDefault="00C05222" w:rsidP="00C05222">
      <w:r>
        <w:t xml:space="preserve">Analysis of spatial variation across all WQ parameters, considering the factors of salinity, distance and </w:t>
      </w:r>
      <w:r w:rsidR="00E67427">
        <w:t>5-day</w:t>
      </w:r>
      <w:r>
        <w:t xml:space="preserve"> average flow was performed on </w:t>
      </w:r>
      <w:r w:rsidRPr="0064679C">
        <w:t xml:space="preserve">Tully and Herbert </w:t>
      </w:r>
      <w:r w:rsidR="00E67427">
        <w:t xml:space="preserve">data </w:t>
      </w:r>
      <w:r w:rsidRPr="0064679C">
        <w:t xml:space="preserve">in the Wet Tropics; </w:t>
      </w:r>
      <w:r>
        <w:t xml:space="preserve">and the </w:t>
      </w:r>
      <w:r w:rsidRPr="0064679C">
        <w:t>Burdekin region</w:t>
      </w:r>
      <w:r>
        <w:t>.</w:t>
      </w:r>
      <w:r w:rsidRPr="0064679C">
        <w:t xml:space="preserve"> Salinity in the Tully and</w:t>
      </w:r>
      <w:r>
        <w:t xml:space="preserve"> Herbert is correlated with most of the forms of nitrogen and phosphorous, excluding the dissolved forms. River discharge correlates with DIN and Si for the Tully River samples and with TP for the Herbert. Distance </w:t>
      </w:r>
      <w:r w:rsidR="00E67427">
        <w:t xml:space="preserve">showed that OAC’s and Kd (PAR) generally decreased across distance from a river mouth, however these patterns were not always seen in the nutrient concentrations, which suggests strongly that discharge, tides, and prevailing winds also influence the concentrations across that distance gradients. </w:t>
      </w:r>
      <w:r>
        <w:t xml:space="preserve">Dissolved nutrients </w:t>
      </w:r>
      <w:r w:rsidR="00E67427">
        <w:t>were responsive to coastal</w:t>
      </w:r>
      <w:r>
        <w:t xml:space="preserve"> hydrodynamic, biological processes and </w:t>
      </w:r>
      <w:r w:rsidR="00E67427">
        <w:t>dilution</w:t>
      </w:r>
      <w:r>
        <w:t xml:space="preserve"> </w:t>
      </w:r>
      <w:r w:rsidR="00E67427">
        <w:t>across distance and discharge.</w:t>
      </w:r>
      <w:r>
        <w:t xml:space="preserve"> Note that these processes are examined over the whole of the wet season and </w:t>
      </w:r>
      <w:r w:rsidR="00E67427">
        <w:t xml:space="preserve">the </w:t>
      </w:r>
      <w:r>
        <w:t>individual events over single dates show a greater correlation with distance and salinity.</w:t>
      </w:r>
      <w:r w:rsidR="00E67427">
        <w:t xml:space="preserve"> The Burdekin showed clearer reductions over salinity and distance in response to defined flow events, however the scatter around the TSS values, DIN and DIP values are due to the flow conditions characterised by sampling in the flux (decline) of the second major flow event</w:t>
      </w:r>
      <w:r w:rsidR="008E03E9">
        <w:t xml:space="preserve"> (07-03-2013, 173,312 ML, </w:t>
      </w:r>
      <w:r w:rsidR="008E03E9">
        <w:fldChar w:fldCharType="begin"/>
      </w:r>
      <w:r w:rsidR="008E03E9">
        <w:instrText xml:space="preserve"> REF _Ref428873545 \h </w:instrText>
      </w:r>
      <w:r w:rsidR="008E03E9">
        <w:fldChar w:fldCharType="separate"/>
      </w:r>
      <w:r w:rsidR="00B62B50">
        <w:t xml:space="preserve">Figure </w:t>
      </w:r>
      <w:r w:rsidR="00B62B50">
        <w:rPr>
          <w:noProof/>
        </w:rPr>
        <w:t>4</w:t>
      </w:r>
      <w:r w:rsidR="00B62B50">
        <w:noBreakHyphen/>
      </w:r>
      <w:r w:rsidR="00B62B50">
        <w:rPr>
          <w:noProof/>
        </w:rPr>
        <w:t>2</w:t>
      </w:r>
      <w:r w:rsidR="008E03E9">
        <w:fldChar w:fldCharType="end"/>
      </w:r>
      <w:r w:rsidR="008E03E9">
        <w:t xml:space="preserve"> 4-2).</w:t>
      </w:r>
      <w:r w:rsidR="00E67427">
        <w:t xml:space="preserve"> The highest peak flow</w:t>
      </w:r>
      <w:r w:rsidR="005F304A">
        <w:t xml:space="preserve"> event</w:t>
      </w:r>
      <w:r w:rsidR="00E67427">
        <w:t xml:space="preserve"> was not captured in the Burdekin data</w:t>
      </w:r>
      <w:r w:rsidR="008E03E9">
        <w:t xml:space="preserve"> (Figure 4-2).</w:t>
      </w:r>
      <w:r w:rsidR="00E67427">
        <w:t xml:space="preserve"> </w:t>
      </w:r>
    </w:p>
    <w:p w14:paraId="0C3F8971" w14:textId="77777777" w:rsidR="009259F9" w:rsidRDefault="009259F9" w:rsidP="009259F9">
      <w:r>
        <w:t xml:space="preserve">Outcomes of the temporal analysis shows the Tully has several WQ parameters correlating significantly with river discharge, including TSS, TP, DIN, DIP and PP. For Franklins, TN, DIN and PN were significantly correlated with discharge. The dissolved nutrients were not significant for the Burdekin, but TN, TP, PN and PP all correlated strongly. The Fitzroy river discharge correlates with all the nitrogen species, including TN, DIN and PN. For most of the WQ parameters analysed, the best temporal model was obtained by using all variables, i.e., salinity, flow, distance, River and water type as random effects. For light extinction, the best model was obtained using salinity, distance and water type only, and for </w:t>
      </w:r>
      <w:r w:rsidR="005F304A">
        <w:t>chl</w:t>
      </w:r>
      <w:r>
        <w:t xml:space="preserve">-a, distance was used as a single random effect to produce the best model. The low r-squared indicates that in general the models do not explain much of the data variability, although they capture the general temporal trend of the data (all-significant at p &lt; 0.05). For </w:t>
      </w:r>
      <w:r w:rsidR="005F304A">
        <w:t>chl</w:t>
      </w:r>
      <w:r>
        <w:t>-a, DIN and DIP, one can see a clear reduction in values after a 2012, which was precede by an increasing in concentrations in 2010-11 wet season, corresponding to the Ex-Tropical Cyclone Yasi passage in January-February, 2011. Interesting to note that the same trend was observed for light attenuation, suggesting clear waters in 2010-11 wet season. As a general trend the majority of the parameters show reducing values towards the end of the analysed period, except for CDOM and DIP, which all show increasing values from 2013-13 wet season onwards.</w:t>
      </w:r>
    </w:p>
    <w:p w14:paraId="0C3F8972"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lang w:eastAsia="en-US"/>
        </w:rPr>
        <w:t>The river plume snapshots, as well as the river plume and plume water type frequency maps</w:t>
      </w:r>
      <w:r w:rsidRPr="00DF1C49">
        <w:rPr>
          <w:rFonts w:ascii="Calibri" w:eastAsia="Calibri" w:hAnsi="Calibri" w:cs="Times New Roman"/>
          <w:lang w:eastAsia="en-US"/>
        </w:rPr>
        <w:t xml:space="preserve"> illustrate GBR marine areas affected by river plume waters and inform on the type/composition of river plume through the Primary, Secondary, and Tertiary water type classification</w:t>
      </w:r>
      <w:r>
        <w:rPr>
          <w:rFonts w:ascii="Calibri" w:eastAsia="Calibri" w:hAnsi="Calibri" w:cs="Times New Roman"/>
          <w:lang w:eastAsia="en-US"/>
        </w:rPr>
        <w:t xml:space="preserve">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_Ref427659567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7</w:t>
      </w:r>
      <w:r>
        <w:rPr>
          <w:rFonts w:ascii="Calibri" w:eastAsia="Calibri" w:hAnsi="Calibri" w:cs="Times New Roman"/>
          <w:color w:val="000000" w:themeColor="text1"/>
          <w:lang w:eastAsia="en-US"/>
        </w:rPr>
        <w:fldChar w:fldCharType="end"/>
      </w:r>
      <w:r>
        <w:rPr>
          <w:rFonts w:ascii="Calibri" w:eastAsia="Calibri" w:hAnsi="Calibri" w:cs="Times New Roman"/>
          <w:color w:val="000000" w:themeColor="text1"/>
          <w:lang w:eastAsia="en-US"/>
        </w:rPr>
        <w:t xml:space="preserve"> to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_Ref432671675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14</w:t>
      </w:r>
      <w:r>
        <w:rPr>
          <w:rFonts w:ascii="Calibri" w:eastAsia="Calibri" w:hAnsi="Calibri" w:cs="Times New Roman"/>
          <w:color w:val="000000" w:themeColor="text1"/>
          <w:lang w:eastAsia="en-US"/>
        </w:rPr>
        <w:fldChar w:fldCharType="end"/>
      </w:r>
      <w:r>
        <w:rPr>
          <w:rFonts w:ascii="Calibri" w:eastAsia="Calibri" w:hAnsi="Calibri" w:cs="Times New Roman"/>
          <w:lang w:eastAsia="en-US"/>
        </w:rPr>
        <w:t>). They also inform</w:t>
      </w:r>
      <w:r w:rsidRPr="00DF1C49">
        <w:rPr>
          <w:rFonts w:ascii="Calibri" w:eastAsia="Calibri" w:hAnsi="Calibri" w:cs="Times New Roman"/>
          <w:lang w:eastAsia="en-US"/>
        </w:rPr>
        <w:t xml:space="preserve"> on the frequency of occurrence of these plume water types during the wet season 2012-13. These maps are in agreement with theoretical models (Geyer et al., 2004; Wiseman Jr and Garvine, 1995), previous physical oceanographic studies (Wolanski and Jones 1981; Wolanski and van Senden 1983), modelling studies (King et al., 1997) and previous MMP reports (e.g., Devlin et al., 2013a) of river plumes in the GBR, and suggest that river plumes are constrained close to the coast by </w:t>
      </w:r>
      <w:r>
        <w:rPr>
          <w:rFonts w:ascii="Calibri" w:eastAsia="Calibri" w:hAnsi="Calibri" w:cs="Times New Roman"/>
          <w:lang w:eastAsia="en-US"/>
        </w:rPr>
        <w:t xml:space="preserve">the </w:t>
      </w:r>
      <w:r w:rsidRPr="00DF1C49">
        <w:rPr>
          <w:rFonts w:ascii="Calibri" w:eastAsia="Calibri" w:hAnsi="Calibri" w:cs="Times New Roman"/>
          <w:lang w:eastAsia="en-US"/>
        </w:rPr>
        <w:t xml:space="preserve">Coriolis </w:t>
      </w:r>
      <w:r>
        <w:rPr>
          <w:rFonts w:ascii="Calibri" w:eastAsia="Calibri" w:hAnsi="Calibri" w:cs="Times New Roman"/>
          <w:lang w:eastAsia="en-US"/>
        </w:rPr>
        <w:t>effect</w:t>
      </w:r>
      <w:r w:rsidRPr="00DF1C49">
        <w:rPr>
          <w:rFonts w:ascii="Calibri" w:eastAsia="Calibri" w:hAnsi="Calibri" w:cs="Times New Roman"/>
          <w:lang w:eastAsia="en-US"/>
        </w:rPr>
        <w:t xml:space="preserve"> and the prevailing wind regime, limiting impacts on the more offshore ecosystems like coral reefs, while onshore ecosystems like seagrass beds are under a greatest risk from river plumes and associated pollutants. However under offshore wind conditions, river plumes can be deflected seaward (e.g., </w:t>
      </w:r>
      <w:r w:rsidRPr="00DF1C49">
        <w:rPr>
          <w:rFonts w:ascii="Calibri" w:eastAsia="Calibri" w:hAnsi="Calibri" w:cs="Times New Roman"/>
          <w:lang w:eastAsia="en-US"/>
        </w:rPr>
        <w:fldChar w:fldCharType="begin"/>
      </w:r>
      <w:r w:rsidRPr="00DF1C49">
        <w:rPr>
          <w:rFonts w:ascii="Calibri" w:eastAsia="Calibri" w:hAnsi="Calibri" w:cs="Times New Roman"/>
          <w:lang w:eastAsia="en-US"/>
        </w:rPr>
        <w:instrText xml:space="preserve"> REF _Ref372732581 \h  \* MERGEFORMAT </w:instrText>
      </w:r>
      <w:r w:rsidRPr="00DF1C49">
        <w:rPr>
          <w:rFonts w:ascii="Calibri" w:eastAsia="Calibri" w:hAnsi="Calibri" w:cs="Times New Roman"/>
          <w:lang w:eastAsia="en-US"/>
        </w:rPr>
      </w:r>
      <w:r w:rsidRPr="00DF1C49">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DF1C49">
        <w:rPr>
          <w:rFonts w:ascii="Calibri" w:eastAsia="Calibri" w:hAnsi="Calibri" w:cs="Times New Roman"/>
          <w:lang w:eastAsia="en-US"/>
        </w:rPr>
        <w:fldChar w:fldCharType="end"/>
      </w:r>
      <w:r w:rsidRPr="00DF1C49">
        <w:rPr>
          <w:rFonts w:ascii="Calibri" w:eastAsia="Calibri" w:hAnsi="Calibri" w:cs="Times New Roman"/>
          <w:lang w:eastAsia="en-US"/>
        </w:rPr>
        <w:t xml:space="preserve">) and occasionally to rarely (at the wet season scale) reach the mid and outer-shelf of the GBR reef. Mid and outer-shelf of the GBR reef are nevertheless more likely to be affected by the Tertiary water type (i.e., </w:t>
      </w:r>
      <w:r>
        <w:rPr>
          <w:rFonts w:ascii="Calibri" w:eastAsia="Calibri" w:hAnsi="Calibri" w:cs="Times New Roman"/>
          <w:lang w:eastAsia="en-US"/>
        </w:rPr>
        <w:t>less concentrated in land-sourced pollutants</w:t>
      </w:r>
      <w:r w:rsidRPr="00DF1C49">
        <w:rPr>
          <w:rFonts w:ascii="Calibri" w:eastAsia="Calibri" w:hAnsi="Calibri" w:cs="Times New Roman"/>
          <w:lang w:eastAsia="en-US"/>
        </w:rPr>
        <w:t xml:space="preserve">) than the Primary turbid core (i.e., </w:t>
      </w:r>
      <w:r>
        <w:rPr>
          <w:rFonts w:ascii="Calibri" w:eastAsia="Calibri" w:hAnsi="Calibri" w:cs="Times New Roman"/>
          <w:lang w:eastAsia="en-US"/>
        </w:rPr>
        <w:t>more</w:t>
      </w:r>
      <w:r w:rsidRPr="00C810EC">
        <w:rPr>
          <w:rFonts w:ascii="Calibri" w:eastAsia="Calibri" w:hAnsi="Calibri" w:cs="Times New Roman"/>
          <w:lang w:eastAsia="en-US"/>
        </w:rPr>
        <w:t xml:space="preserve"> concentrated in land-sourced pollutants</w:t>
      </w:r>
      <w:r w:rsidRPr="00DF1C49">
        <w:rPr>
          <w:rFonts w:ascii="Calibri" w:eastAsia="Calibri" w:hAnsi="Calibri" w:cs="Times New Roman"/>
          <w:lang w:eastAsia="en-US"/>
        </w:rPr>
        <w:t xml:space="preserve">) of the river plumes. As a result, a general inshore to offshore spatial pattern is present in </w:t>
      </w:r>
      <w:r>
        <w:rPr>
          <w:rFonts w:ascii="Calibri" w:eastAsia="Calibri" w:hAnsi="Calibri" w:cs="Times New Roman"/>
          <w:lang w:eastAsia="en-US"/>
        </w:rPr>
        <w:t xml:space="preserve">the potential </w:t>
      </w:r>
      <w:r w:rsidRPr="00DF1C49">
        <w:rPr>
          <w:rFonts w:ascii="Calibri" w:eastAsia="Calibri" w:hAnsi="Calibri" w:cs="Times New Roman"/>
          <w:lang w:eastAsia="en-US"/>
        </w:rPr>
        <w:t xml:space="preserve">risk maps </w:t>
      </w:r>
      <w:r>
        <w:rPr>
          <w:rFonts w:ascii="Calibri" w:eastAsia="Calibri" w:hAnsi="Calibri" w:cs="Times New Roman"/>
          <w:lang w:eastAsia="en-US"/>
        </w:rPr>
        <w:t xml:space="preserve">from plume exposure </w:t>
      </w:r>
      <w:r w:rsidRPr="00DF1C49">
        <w:rPr>
          <w:rFonts w:ascii="Calibri" w:eastAsia="Calibri" w:hAnsi="Calibri" w:cs="Times New Roman"/>
          <w:lang w:eastAsia="en-US"/>
        </w:rPr>
        <w:t xml:space="preserve">of </w:t>
      </w:r>
      <w:r>
        <w:rPr>
          <w:rFonts w:ascii="Calibri" w:eastAsia="Calibri" w:hAnsi="Calibri" w:cs="Times New Roman"/>
          <w:lang w:eastAsia="en-US"/>
        </w:rPr>
        <w:t xml:space="preserve">the </w:t>
      </w:r>
      <w:r w:rsidRPr="00DF1C49">
        <w:rPr>
          <w:rFonts w:ascii="Calibri" w:eastAsia="Calibri" w:hAnsi="Calibri" w:cs="Times New Roman"/>
          <w:lang w:eastAsia="en-US"/>
        </w:rPr>
        <w:t>201</w:t>
      </w:r>
      <w:r>
        <w:rPr>
          <w:rFonts w:ascii="Calibri" w:eastAsia="Calibri" w:hAnsi="Calibri" w:cs="Times New Roman"/>
          <w:lang w:eastAsia="en-US"/>
        </w:rPr>
        <w:t>2-1</w:t>
      </w:r>
      <w:r w:rsidRPr="00DF1C49">
        <w:rPr>
          <w:rFonts w:ascii="Calibri" w:eastAsia="Calibri" w:hAnsi="Calibri" w:cs="Times New Roman"/>
          <w:lang w:eastAsia="en-US"/>
        </w:rPr>
        <w:t>3</w:t>
      </w:r>
      <w:r>
        <w:rPr>
          <w:rFonts w:ascii="Calibri" w:eastAsia="Calibri" w:hAnsi="Calibri" w:cs="Times New Roman"/>
          <w:lang w:eastAsia="en-US"/>
        </w:rPr>
        <w:t xml:space="preserve"> wet season</w:t>
      </w:r>
      <w:r w:rsidRPr="00DF1C49">
        <w:rPr>
          <w:rFonts w:ascii="Calibri" w:eastAsia="Calibri" w:hAnsi="Calibri" w:cs="Times New Roman"/>
          <w:lang w:eastAsia="en-US"/>
        </w:rPr>
        <w:t>, with inshore areas and ecosystems within 10 to 30 km of the coast</w:t>
      </w:r>
      <w:r>
        <w:rPr>
          <w:rFonts w:ascii="Calibri" w:eastAsia="Calibri" w:hAnsi="Calibri" w:cs="Times New Roman"/>
          <w:lang w:eastAsia="en-US"/>
        </w:rPr>
        <w:t>, including the coastal (surveyed seagrass)</w:t>
      </w:r>
      <w:r w:rsidRPr="00DF1C49">
        <w:rPr>
          <w:rFonts w:ascii="Calibri" w:eastAsia="Calibri" w:hAnsi="Calibri" w:cs="Times New Roman"/>
          <w:lang w:eastAsia="en-US"/>
        </w:rPr>
        <w:t xml:space="preserve"> </w:t>
      </w:r>
      <w:r>
        <w:rPr>
          <w:rFonts w:ascii="Calibri" w:eastAsia="Calibri" w:hAnsi="Calibri" w:cs="Times New Roman"/>
          <w:lang w:eastAsia="en-US"/>
        </w:rPr>
        <w:t>estimated at</w:t>
      </w:r>
      <w:r w:rsidRPr="00DF1C49">
        <w:rPr>
          <w:rFonts w:ascii="Calibri" w:eastAsia="Calibri" w:hAnsi="Calibri" w:cs="Times New Roman"/>
          <w:lang w:eastAsia="en-US"/>
        </w:rPr>
        <w:t xml:space="preserve"> </w:t>
      </w:r>
      <w:r>
        <w:rPr>
          <w:rFonts w:ascii="Calibri" w:eastAsia="Calibri" w:hAnsi="Calibri" w:cs="Times New Roman"/>
          <w:lang w:eastAsia="en-US"/>
        </w:rPr>
        <w:t>the highest potential</w:t>
      </w:r>
      <w:r w:rsidRPr="00DF1C49">
        <w:rPr>
          <w:rFonts w:ascii="Calibri" w:eastAsia="Calibri" w:hAnsi="Calibri" w:cs="Times New Roman"/>
          <w:lang w:eastAsia="en-US"/>
        </w:rPr>
        <w:t xml:space="preserve"> risk</w:t>
      </w:r>
      <w:r>
        <w:rPr>
          <w:rFonts w:ascii="Calibri" w:eastAsia="Calibri" w:hAnsi="Calibri" w:cs="Times New Roman"/>
          <w:lang w:eastAsia="en-US"/>
        </w:rPr>
        <w:t xml:space="preserve"> (categories III and IV) from river plume exposure,</w:t>
      </w:r>
      <w:r w:rsidRPr="00DF1C49">
        <w:rPr>
          <w:rFonts w:ascii="Calibri" w:eastAsia="Calibri" w:hAnsi="Calibri" w:cs="Times New Roman"/>
          <w:lang w:eastAsia="en-US"/>
        </w:rPr>
        <w:t xml:space="preserve"> and offshore areas</w:t>
      </w:r>
      <w:r>
        <w:rPr>
          <w:rFonts w:ascii="Calibri" w:eastAsia="Calibri" w:hAnsi="Calibri" w:cs="Times New Roman"/>
          <w:lang w:eastAsia="en-US"/>
        </w:rPr>
        <w:t xml:space="preserve"> and ecosystems, including the offshore seagrass and coral reef,</w:t>
      </w:r>
      <w:r w:rsidRPr="00DF1C49">
        <w:rPr>
          <w:rFonts w:ascii="Calibri" w:eastAsia="Calibri" w:hAnsi="Calibri" w:cs="Times New Roman"/>
          <w:lang w:eastAsia="en-US"/>
        </w:rPr>
        <w:t xml:space="preserve"> </w:t>
      </w:r>
      <w:r>
        <w:rPr>
          <w:rFonts w:ascii="Calibri" w:eastAsia="Calibri" w:hAnsi="Calibri" w:cs="Times New Roman"/>
          <w:lang w:eastAsia="en-US"/>
        </w:rPr>
        <w:t>estimated at</w:t>
      </w:r>
      <w:r w:rsidRPr="00DF1C49">
        <w:rPr>
          <w:rFonts w:ascii="Calibri" w:eastAsia="Calibri" w:hAnsi="Calibri" w:cs="Times New Roman"/>
          <w:lang w:eastAsia="en-US"/>
        </w:rPr>
        <w:t xml:space="preserve"> low</w:t>
      </w:r>
      <w:r>
        <w:rPr>
          <w:rFonts w:ascii="Calibri" w:eastAsia="Calibri" w:hAnsi="Calibri" w:cs="Times New Roman"/>
          <w:lang w:eastAsia="en-US"/>
        </w:rPr>
        <w:t>er</w:t>
      </w:r>
      <w:r w:rsidRPr="00DF1C49">
        <w:rPr>
          <w:rFonts w:ascii="Calibri" w:eastAsia="Calibri" w:hAnsi="Calibri" w:cs="Times New Roman"/>
          <w:lang w:eastAsia="en-US"/>
        </w:rPr>
        <w:t xml:space="preserve"> risk from river plume water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_Ref427754111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17</w:t>
      </w:r>
      <w:r>
        <w:rPr>
          <w:rFonts w:ascii="Calibri" w:eastAsia="Calibri" w:hAnsi="Calibri" w:cs="Times New Roman"/>
          <w:lang w:eastAsia="en-US"/>
        </w:rPr>
        <w:fldChar w:fldCharType="end"/>
      </w:r>
      <w:r w:rsidRPr="00DF1C49">
        <w:rPr>
          <w:rFonts w:ascii="Calibri" w:eastAsia="Calibri" w:hAnsi="Calibri" w:cs="Times New Roman"/>
          <w:lang w:eastAsia="en-US"/>
        </w:rPr>
        <w:t>).</w:t>
      </w:r>
    </w:p>
    <w:p w14:paraId="0C3F8973" w14:textId="77777777" w:rsidR="00131E41" w:rsidRPr="00DF1C49" w:rsidRDefault="00131E41" w:rsidP="00131E41">
      <w:pPr>
        <w:rPr>
          <w:rFonts w:ascii="Calibri" w:eastAsia="Calibri" w:hAnsi="Calibri" w:cs="Times New Roman"/>
          <w:highlight w:val="cyan"/>
          <w:lang w:eastAsia="en-US"/>
        </w:rPr>
      </w:pPr>
      <w:r w:rsidRPr="00DF1C49">
        <w:rPr>
          <w:rFonts w:ascii="Calibri" w:eastAsia="Calibri" w:hAnsi="Calibri" w:cs="Times New Roman"/>
          <w:lang w:eastAsia="en-US"/>
        </w:rPr>
        <w:t xml:space="preserve">Differences </w:t>
      </w:r>
      <w:r>
        <w:rPr>
          <w:rFonts w:ascii="Calibri" w:eastAsia="Calibri" w:hAnsi="Calibri" w:cs="Times New Roman"/>
          <w:lang w:eastAsia="en-US"/>
        </w:rPr>
        <w:t xml:space="preserve">also </w:t>
      </w:r>
      <w:r w:rsidRPr="00DF1C49">
        <w:rPr>
          <w:rFonts w:ascii="Calibri" w:eastAsia="Calibri" w:hAnsi="Calibri" w:cs="Times New Roman"/>
          <w:lang w:eastAsia="en-US"/>
        </w:rPr>
        <w:t xml:space="preserve">exist between NRMs and, for example, coastal waters of the Burdekin NRM are more often exposed to Primary waters (i.e., sediment dominated water type, </w:t>
      </w:r>
      <w:r w:rsidRPr="00DF1C49">
        <w:rPr>
          <w:rFonts w:ascii="Calibri" w:eastAsia="Calibri" w:hAnsi="Calibri" w:cs="Times New Roman"/>
          <w:lang w:eastAsia="en-US"/>
        </w:rPr>
        <w:fldChar w:fldCharType="begin"/>
      </w:r>
      <w:r w:rsidRPr="00DF1C49">
        <w:rPr>
          <w:rFonts w:ascii="Calibri" w:eastAsia="Calibri" w:hAnsi="Calibri" w:cs="Times New Roman"/>
          <w:lang w:eastAsia="en-US"/>
        </w:rPr>
        <w:instrText xml:space="preserve"> REF _Ref372729282 \h  \* MERGEFORMAT </w:instrText>
      </w:r>
      <w:r w:rsidRPr="00DF1C49">
        <w:rPr>
          <w:rFonts w:ascii="Calibri" w:eastAsia="Calibri" w:hAnsi="Calibri" w:cs="Times New Roman"/>
          <w:lang w:eastAsia="en-US"/>
        </w:rPr>
      </w:r>
      <w:r w:rsidRPr="00DF1C49">
        <w:rPr>
          <w:rFonts w:ascii="Calibri" w:eastAsia="Calibri" w:hAnsi="Calibri" w:cs="Times New Roman"/>
          <w:lang w:eastAsia="en-US"/>
        </w:rPr>
        <w:fldChar w:fldCharType="separate"/>
      </w:r>
      <w:r w:rsidR="00B62B50">
        <w:rPr>
          <w:rFonts w:ascii="Calibri" w:eastAsia="Calibri" w:hAnsi="Calibri" w:cs="Times New Roman"/>
          <w:b/>
          <w:bCs/>
          <w:lang w:val="en-US" w:eastAsia="en-US"/>
        </w:rPr>
        <w:t>Error! Reference source not found.</w:t>
      </w:r>
      <w:r w:rsidRPr="00DF1C49">
        <w:rPr>
          <w:rFonts w:ascii="Calibri" w:eastAsia="Calibri" w:hAnsi="Calibri" w:cs="Times New Roman"/>
          <w:lang w:eastAsia="en-US"/>
        </w:rPr>
        <w:fldChar w:fldCharType="end"/>
      </w:r>
      <w:r w:rsidRPr="00DF1C49">
        <w:rPr>
          <w:rFonts w:ascii="Calibri" w:eastAsia="Calibri" w:hAnsi="Calibri" w:cs="Times New Roman"/>
          <w:lang w:eastAsia="en-US"/>
        </w:rPr>
        <w:t xml:space="preserve">) than coastal waters of the Wet Tropic NRM. </w:t>
      </w:r>
      <w:r>
        <w:rPr>
          <w:rFonts w:ascii="Calibri" w:eastAsia="Calibri" w:hAnsi="Calibri" w:cs="Times New Roman"/>
          <w:lang w:eastAsia="en-US"/>
        </w:rPr>
        <w:t>Conversely,</w:t>
      </w:r>
      <w:r w:rsidRPr="00DF1C49">
        <w:rPr>
          <w:rFonts w:ascii="Calibri" w:eastAsia="Calibri" w:hAnsi="Calibri" w:cs="Times New Roman"/>
          <w:lang w:eastAsia="en-US"/>
        </w:rPr>
        <w:t xml:space="preserve"> marine areas occasionally to frequently exposed to Secondary and Tertiary water types are more extended in the Wet Tropic NRM than in the Burdekin NRM</w:t>
      </w:r>
      <w:r>
        <w:rPr>
          <w:rFonts w:ascii="Calibri" w:eastAsia="Calibri" w:hAnsi="Calibri" w:cs="Times New Roman"/>
          <w:lang w:eastAsia="en-US"/>
        </w:rPr>
        <w:t xml:space="preserve"> (</w:t>
      </w:r>
      <w:r>
        <w:rPr>
          <w:rFonts w:ascii="Calibri" w:eastAsia="Calibri" w:hAnsi="Calibri" w:cs="Times New Roman"/>
          <w:color w:val="000000" w:themeColor="text1"/>
          <w:lang w:eastAsia="en-US"/>
        </w:rPr>
        <w:fldChar w:fldCharType="begin"/>
      </w:r>
      <w:r>
        <w:rPr>
          <w:rFonts w:ascii="Calibri" w:eastAsia="Calibri" w:hAnsi="Calibri" w:cs="Times New Roman"/>
          <w:lang w:eastAsia="en-US"/>
        </w:rPr>
        <w:instrText xml:space="preserve"> REF _Ref432671776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9</w:t>
      </w:r>
      <w:r>
        <w:rPr>
          <w:rFonts w:ascii="Calibri" w:eastAsia="Calibri" w:hAnsi="Calibri" w:cs="Times New Roman"/>
          <w:color w:val="000000" w:themeColor="text1"/>
          <w:lang w:eastAsia="en-US"/>
        </w:rPr>
        <w:fldChar w:fldCharType="end"/>
      </w:r>
      <w:r>
        <w:rPr>
          <w:rFonts w:ascii="Calibri" w:eastAsia="Calibri" w:hAnsi="Calibri" w:cs="Times New Roman"/>
          <w:color w:val="000000" w:themeColor="text1"/>
          <w:lang w:eastAsia="en-US"/>
        </w:rPr>
        <w:t xml:space="preserve"> to </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_Ref432671675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14</w:t>
      </w:r>
      <w:r>
        <w:rPr>
          <w:rFonts w:ascii="Calibri" w:eastAsia="Calibri" w:hAnsi="Calibri" w:cs="Times New Roman"/>
          <w:color w:val="000000" w:themeColor="text1"/>
          <w:lang w:eastAsia="en-US"/>
        </w:rPr>
        <w:fldChar w:fldCharType="end"/>
      </w:r>
      <w:r>
        <w:rPr>
          <w:rFonts w:ascii="Calibri" w:eastAsia="Calibri" w:hAnsi="Calibri" w:cs="Times New Roman"/>
          <w:lang w:eastAsia="en-US"/>
        </w:rPr>
        <w:t>)</w:t>
      </w:r>
      <w:r w:rsidRPr="00DF1C49">
        <w:rPr>
          <w:rFonts w:ascii="Calibri" w:eastAsia="Calibri" w:hAnsi="Calibri" w:cs="Times New Roman"/>
          <w:lang w:eastAsia="en-US"/>
        </w:rPr>
        <w:t xml:space="preserve">. These results are in agreement with current knowledge as high TSS concentrations have been mainly linked to grazing activities in the Dry Tropics and particularly the Burdekin NRM; while occurrence of coastal waters with elevated concentrations of dissolved inorganic nitrogen (DIN) has been linked to fertilised agriculture (predominantly sugarcane) in the Wet Tropics region (e.g., Brodie et al., 2008a, 2008b, 2012; Brodie and Waterhouse, 2009). </w:t>
      </w:r>
      <w:r>
        <w:rPr>
          <w:rFonts w:ascii="Calibri" w:eastAsia="Calibri" w:hAnsi="Calibri" w:cs="Times New Roman"/>
          <w:lang w:eastAsia="en-US"/>
        </w:rPr>
        <w:t>The</w:t>
      </w:r>
      <w:r w:rsidRPr="00DF1C49">
        <w:rPr>
          <w:rFonts w:ascii="Calibri" w:eastAsia="Calibri" w:hAnsi="Calibri" w:cs="Times New Roman"/>
          <w:lang w:eastAsia="en-US"/>
        </w:rPr>
        <w:t xml:space="preserve"> </w:t>
      </w:r>
      <w:r>
        <w:rPr>
          <w:rFonts w:ascii="Calibri" w:eastAsia="Calibri" w:hAnsi="Calibri" w:cs="Times New Roman"/>
          <w:lang w:eastAsia="en-US"/>
        </w:rPr>
        <w:t xml:space="preserve">GBR </w:t>
      </w:r>
      <w:r w:rsidRPr="00DF1C49">
        <w:rPr>
          <w:rFonts w:ascii="Calibri" w:eastAsia="Calibri" w:hAnsi="Calibri" w:cs="Times New Roman"/>
          <w:lang w:eastAsia="en-US"/>
        </w:rPr>
        <w:t xml:space="preserve">areas </w:t>
      </w:r>
      <w:r>
        <w:rPr>
          <w:rFonts w:ascii="Calibri" w:eastAsia="Calibri" w:hAnsi="Calibri" w:cs="Times New Roman"/>
          <w:lang w:eastAsia="en-US"/>
        </w:rPr>
        <w:t xml:space="preserve">estimated </w:t>
      </w:r>
      <w:r w:rsidRPr="00DF1C49">
        <w:rPr>
          <w:rFonts w:ascii="Calibri" w:eastAsia="Calibri" w:hAnsi="Calibri" w:cs="Times New Roman"/>
          <w:lang w:eastAsia="en-US"/>
        </w:rPr>
        <w:t xml:space="preserve">under </w:t>
      </w:r>
      <w:r>
        <w:rPr>
          <w:rFonts w:ascii="Calibri" w:eastAsia="Calibri" w:hAnsi="Calibri" w:cs="Times New Roman"/>
          <w:lang w:eastAsia="en-US"/>
        </w:rPr>
        <w:t xml:space="preserve">a potential </w:t>
      </w:r>
      <w:r w:rsidRPr="00DF1C49">
        <w:rPr>
          <w:rFonts w:ascii="Calibri" w:eastAsia="Calibri" w:hAnsi="Calibri" w:cs="Times New Roman"/>
          <w:lang w:eastAsia="en-US"/>
        </w:rPr>
        <w:t>risk from river plume</w:t>
      </w:r>
      <w:r>
        <w:rPr>
          <w:rFonts w:ascii="Calibri" w:eastAsia="Calibri" w:hAnsi="Calibri" w:cs="Times New Roman"/>
          <w:lang w:eastAsia="en-US"/>
        </w:rPr>
        <w:t xml:space="preserve"> exposure</w:t>
      </w:r>
      <w:r w:rsidRPr="00DF1C49">
        <w:rPr>
          <w:rFonts w:ascii="Calibri" w:eastAsia="Calibri" w:hAnsi="Calibri" w:cs="Times New Roman"/>
          <w:lang w:eastAsia="en-US"/>
        </w:rPr>
        <w:t xml:space="preserve"> extended 85 km offshore of the Herbert River mouth and 60 km offshore of the Burdekin River mouth (if measured along a NE/SW strait line from both estuary mouths</w:t>
      </w:r>
      <w:r>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_Ref427754111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17</w:t>
      </w:r>
      <w:r>
        <w:rPr>
          <w:rFonts w:ascii="Calibri" w:eastAsia="Calibri" w:hAnsi="Calibri" w:cs="Times New Roman"/>
          <w:lang w:eastAsia="en-US"/>
        </w:rPr>
        <w:fldChar w:fldCharType="end"/>
      </w:r>
      <w:r w:rsidRPr="00DF1C49">
        <w:rPr>
          <w:rFonts w:ascii="Calibri" w:eastAsia="Calibri" w:hAnsi="Calibri" w:cs="Times New Roman"/>
          <w:lang w:eastAsia="en-US"/>
        </w:rPr>
        <w:t>.</w:t>
      </w:r>
    </w:p>
    <w:p w14:paraId="0C3F8974" w14:textId="77777777" w:rsidR="00131E41" w:rsidRDefault="00131E41" w:rsidP="00131E41">
      <w:pPr>
        <w:spacing w:after="200" w:line="276" w:lineRule="auto"/>
        <w:rPr>
          <w:rFonts w:ascii="Calibri" w:eastAsia="Calibri" w:hAnsi="Calibri" w:cs="Times New Roman"/>
          <w:lang w:eastAsia="en-US"/>
        </w:rPr>
      </w:pPr>
      <w:r>
        <w:rPr>
          <w:rFonts w:ascii="Calibri" w:eastAsia="Calibri" w:hAnsi="Calibri" w:cs="Times New Roman"/>
          <w:lang w:eastAsia="en-US"/>
        </w:rPr>
        <w:t>From the 2012-13 plume frequency maps and potential risk map, it was estimated that:</w:t>
      </w:r>
    </w:p>
    <w:p w14:paraId="0C3F8975" w14:textId="77777777" w:rsidR="00131E41" w:rsidRDefault="00131E41" w:rsidP="00C05A63">
      <w:pPr>
        <w:pStyle w:val="ListParagraph"/>
        <w:numPr>
          <w:ilvl w:val="0"/>
          <w:numId w:val="24"/>
        </w:numPr>
        <w:spacing w:before="0" w:after="200" w:line="276" w:lineRule="auto"/>
        <w:rPr>
          <w:rFonts w:ascii="Calibri" w:eastAsia="Calibri" w:hAnsi="Calibri" w:cs="Times New Roman"/>
          <w:lang w:eastAsia="en-US"/>
        </w:rPr>
      </w:pPr>
      <w:r w:rsidRPr="00DF1C49">
        <w:rPr>
          <w:rFonts w:ascii="Calibri" w:eastAsia="Calibri" w:hAnsi="Calibri" w:cs="Times New Roman"/>
          <w:lang w:eastAsia="en-US"/>
        </w:rPr>
        <w:t xml:space="preserve">The </w:t>
      </w:r>
      <w:r>
        <w:rPr>
          <w:rFonts w:ascii="Calibri" w:eastAsia="Calibri" w:hAnsi="Calibri" w:cs="Times New Roman"/>
          <w:lang w:eastAsia="en-US"/>
        </w:rPr>
        <w:t>total GBR</w:t>
      </w:r>
      <w:r w:rsidRPr="00DF1C49">
        <w:rPr>
          <w:rFonts w:ascii="Calibri" w:eastAsia="Calibri" w:hAnsi="Calibri" w:cs="Times New Roman"/>
          <w:lang w:eastAsia="en-US"/>
        </w:rPr>
        <w:t xml:space="preserve"> area</w:t>
      </w:r>
      <w:r>
        <w:rPr>
          <w:rFonts w:ascii="Calibri" w:eastAsia="Calibri" w:hAnsi="Calibri" w:cs="Times New Roman"/>
          <w:lang w:eastAsia="en-US"/>
        </w:rPr>
        <w:t xml:space="preserve"> exposed to</w:t>
      </w:r>
      <w:r w:rsidRPr="00DF1C49">
        <w:rPr>
          <w:rFonts w:ascii="Calibri" w:eastAsia="Calibri" w:hAnsi="Calibri" w:cs="Times New Roman"/>
          <w:lang w:eastAsia="en-US"/>
        </w:rPr>
        <w:t xml:space="preserve"> </w:t>
      </w:r>
      <w:r>
        <w:rPr>
          <w:rFonts w:ascii="Calibri" w:eastAsia="Calibri" w:hAnsi="Calibri" w:cs="Times New Roman"/>
          <w:lang w:eastAsia="en-US"/>
        </w:rPr>
        <w:t xml:space="preserve">river </w:t>
      </w:r>
      <w:r w:rsidRPr="00DF1C49">
        <w:rPr>
          <w:rFonts w:ascii="Calibri" w:eastAsia="Calibri" w:hAnsi="Calibri" w:cs="Times New Roman"/>
          <w:lang w:eastAsia="en-US"/>
        </w:rPr>
        <w:t>plume waters</w:t>
      </w:r>
      <w:r>
        <w:rPr>
          <w:rFonts w:ascii="Calibri" w:eastAsia="Calibri" w:hAnsi="Calibri" w:cs="Times New Roman"/>
          <w:lang w:eastAsia="en-US"/>
        </w:rPr>
        <w:t xml:space="preserve"> was </w:t>
      </w:r>
      <w:r w:rsidRPr="00DF1C49">
        <w:rPr>
          <w:rFonts w:ascii="Calibri" w:eastAsia="Calibri" w:hAnsi="Calibri" w:cs="Times New Roman"/>
          <w:lang w:eastAsia="en-US"/>
        </w:rPr>
        <w:t>153852 km</w:t>
      </w:r>
      <w:r w:rsidRPr="00DF1C49">
        <w:rPr>
          <w:rFonts w:ascii="Calibri" w:eastAsia="Calibri" w:hAnsi="Calibri" w:cs="Times New Roman"/>
          <w:vertAlign w:val="superscript"/>
          <w:lang w:eastAsia="en-US"/>
        </w:rPr>
        <w:t>2</w:t>
      </w:r>
      <w:r w:rsidRPr="00DF1C49">
        <w:rPr>
          <w:rFonts w:ascii="Calibri" w:eastAsia="Calibri" w:hAnsi="Calibri" w:cs="Times New Roman"/>
          <w:lang w:eastAsia="en-US"/>
        </w:rPr>
        <w:t xml:space="preserve"> i.e., 44% of the GBR</w:t>
      </w:r>
      <w:r>
        <w:rPr>
          <w:rFonts w:ascii="Calibri" w:eastAsia="Calibri" w:hAnsi="Calibri" w:cs="Times New Roman"/>
          <w:lang w:eastAsia="en-US"/>
        </w:rPr>
        <w:t xml:space="preserve">, with </w:t>
      </w:r>
      <w:r w:rsidRPr="00465C8C">
        <w:rPr>
          <w:rFonts w:ascii="Calibri" w:eastAsia="Calibri" w:hAnsi="Calibri" w:cs="Times New Roman"/>
          <w:lang w:eastAsia="en-US"/>
        </w:rPr>
        <w:t>63027 km</w:t>
      </w:r>
      <w:r w:rsidRPr="00465C8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w:t>
      </w:r>
      <w:r>
        <w:rPr>
          <w:rFonts w:ascii="Calibri" w:eastAsia="Calibri" w:hAnsi="Calibri" w:cs="Times New Roman"/>
          <w:lang w:eastAsia="en-US"/>
        </w:rPr>
        <w:t>(</w:t>
      </w:r>
      <w:r w:rsidRPr="00465C8C">
        <w:rPr>
          <w:rFonts w:ascii="Calibri" w:eastAsia="Calibri" w:hAnsi="Calibri" w:cs="Times New Roman"/>
          <w:lang w:eastAsia="en-US"/>
        </w:rPr>
        <w:t>18% of the GBR</w:t>
      </w:r>
      <w:r>
        <w:rPr>
          <w:rFonts w:ascii="Calibri" w:eastAsia="Calibri" w:hAnsi="Calibri" w:cs="Times New Roman"/>
          <w:lang w:eastAsia="en-US"/>
        </w:rPr>
        <w:t xml:space="preserve">) </w:t>
      </w:r>
      <w:r w:rsidRPr="00465C8C">
        <w:rPr>
          <w:rFonts w:ascii="Calibri" w:eastAsia="Calibri" w:hAnsi="Calibri" w:cs="Times New Roman"/>
          <w:lang w:eastAsia="en-US"/>
        </w:rPr>
        <w:t>very frequently to frequently exposed to river plume</w:t>
      </w:r>
      <w:r>
        <w:rPr>
          <w:rFonts w:ascii="Calibri" w:eastAsia="Calibri" w:hAnsi="Calibri" w:cs="Times New Roman"/>
          <w:lang w:eastAsia="en-US"/>
        </w:rPr>
        <w:t xml:space="preserve">. i.e., more than 15 weeks out of the 22 (68 %) of the wet season. </w:t>
      </w:r>
    </w:p>
    <w:p w14:paraId="0C3F8976" w14:textId="77777777" w:rsidR="00131E41" w:rsidRPr="0028650F" w:rsidRDefault="00131E41" w:rsidP="00C05A63">
      <w:pPr>
        <w:pStyle w:val="ListParagraph"/>
        <w:numPr>
          <w:ilvl w:val="0"/>
          <w:numId w:val="24"/>
        </w:numPr>
        <w:spacing w:before="0" w:after="200" w:line="276" w:lineRule="auto"/>
        <w:rPr>
          <w:rFonts w:ascii="Calibri" w:eastAsia="Calibri" w:hAnsi="Calibri" w:cs="Times New Roman"/>
          <w:lang w:eastAsia="en-US"/>
        </w:rPr>
      </w:pPr>
      <w:r w:rsidRPr="0028650F">
        <w:rPr>
          <w:rFonts w:ascii="Calibri" w:eastAsia="Calibri" w:hAnsi="Calibri" w:cs="Times New Roman"/>
          <w:lang w:eastAsia="en-US"/>
        </w:rPr>
        <w:t xml:space="preserve">NRM areas </w:t>
      </w:r>
      <w:r w:rsidRPr="007228D6">
        <w:rPr>
          <w:rFonts w:ascii="Calibri" w:eastAsia="Calibri" w:hAnsi="Calibri" w:cs="Times New Roman"/>
          <w:lang w:eastAsia="en-US"/>
        </w:rPr>
        <w:t>very frequently to frequently exposed</w:t>
      </w:r>
      <w:r w:rsidRPr="0028650F">
        <w:rPr>
          <w:rFonts w:ascii="Calibri" w:eastAsia="Calibri" w:hAnsi="Calibri" w:cs="Times New Roman"/>
          <w:lang w:eastAsia="en-US"/>
        </w:rPr>
        <w:t xml:space="preserve"> ranged from 2050 km</w:t>
      </w:r>
      <w:r w:rsidRPr="0028650F">
        <w:rPr>
          <w:rFonts w:ascii="Calibri" w:eastAsia="Calibri" w:hAnsi="Calibri" w:cs="Times New Roman"/>
          <w:vertAlign w:val="superscript"/>
          <w:lang w:eastAsia="en-US"/>
        </w:rPr>
        <w:t>2</w:t>
      </w:r>
      <w:r w:rsidRPr="0028650F">
        <w:rPr>
          <w:rFonts w:ascii="Calibri" w:eastAsia="Calibri" w:hAnsi="Calibri" w:cs="Times New Roman"/>
          <w:lang w:eastAsia="en-US"/>
        </w:rPr>
        <w:t xml:space="preserve"> in Burnett-Mary (i.e., 5% of the Burnett-Mary NRM) to 18522 km</w:t>
      </w:r>
      <w:r w:rsidRPr="0028650F">
        <w:rPr>
          <w:rFonts w:ascii="Calibri" w:eastAsia="Calibri" w:hAnsi="Calibri" w:cs="Times New Roman"/>
          <w:vertAlign w:val="superscript"/>
          <w:lang w:eastAsia="en-US"/>
        </w:rPr>
        <w:t>2</w:t>
      </w:r>
      <w:r w:rsidRPr="0028650F">
        <w:rPr>
          <w:rFonts w:ascii="Calibri" w:eastAsia="Calibri" w:hAnsi="Calibri" w:cs="Times New Roman"/>
          <w:lang w:eastAsia="en-US"/>
        </w:rPr>
        <w:t xml:space="preserve"> (21%) in the Fitzroy NRM. </w:t>
      </w:r>
    </w:p>
    <w:p w14:paraId="0C3F8977" w14:textId="77777777" w:rsidR="00131E41" w:rsidRDefault="00131E41" w:rsidP="00C05A63">
      <w:pPr>
        <w:pStyle w:val="ListParagraph"/>
        <w:numPr>
          <w:ilvl w:val="0"/>
          <w:numId w:val="24"/>
        </w:numPr>
        <w:spacing w:before="0" w:after="200" w:line="276" w:lineRule="auto"/>
        <w:rPr>
          <w:rFonts w:ascii="Calibri" w:eastAsia="Calibri" w:hAnsi="Calibri" w:cs="Times New Roman"/>
          <w:lang w:eastAsia="en-US"/>
        </w:rPr>
      </w:pPr>
      <w:r>
        <w:rPr>
          <w:rFonts w:ascii="Calibri" w:eastAsia="Calibri" w:hAnsi="Calibri" w:cs="Times New Roman"/>
          <w:lang w:eastAsia="en-US"/>
        </w:rPr>
        <w:t>Twelve</w:t>
      </w:r>
      <w:r w:rsidRPr="00485511">
        <w:rPr>
          <w:rFonts w:ascii="Calibri" w:eastAsia="Calibri" w:hAnsi="Calibri" w:cs="Times New Roman"/>
          <w:lang w:eastAsia="en-US"/>
        </w:rPr>
        <w:t xml:space="preserve"> </w:t>
      </w:r>
      <w:r>
        <w:rPr>
          <w:rFonts w:ascii="Calibri" w:eastAsia="Calibri" w:hAnsi="Calibri" w:cs="Times New Roman"/>
          <w:lang w:eastAsia="en-US"/>
        </w:rPr>
        <w:t>percent</w:t>
      </w:r>
      <w:r w:rsidRPr="00DF1C49">
        <w:rPr>
          <w:rFonts w:ascii="Calibri" w:eastAsia="Calibri" w:hAnsi="Calibri" w:cs="Times New Roman"/>
          <w:lang w:eastAsia="en-US"/>
        </w:rPr>
        <w:t xml:space="preserve"> (</w:t>
      </w:r>
      <w:r w:rsidRPr="009D15DC">
        <w:rPr>
          <w:rFonts w:ascii="Calibri" w:eastAsia="Calibri" w:hAnsi="Calibri" w:cs="Times New Roman"/>
          <w:lang w:eastAsia="en-US"/>
        </w:rPr>
        <w:t>Mackay-Whitsundays</w:t>
      </w:r>
      <w:r w:rsidRPr="009D15DC" w:rsidDel="009D15DC">
        <w:rPr>
          <w:rFonts w:ascii="Calibri" w:eastAsia="Calibri" w:hAnsi="Calibri" w:cs="Times New Roman"/>
          <w:lang w:eastAsia="en-US"/>
        </w:rPr>
        <w:t xml:space="preserve"> </w:t>
      </w:r>
      <w:r w:rsidRPr="00DF1C49">
        <w:rPr>
          <w:rFonts w:ascii="Calibri" w:eastAsia="Calibri" w:hAnsi="Calibri" w:cs="Times New Roman"/>
          <w:lang w:eastAsia="en-US"/>
        </w:rPr>
        <w:t>NRM) to 100% (Burnett-Mary NRM</w:t>
      </w:r>
      <w:r>
        <w:rPr>
          <w:rFonts w:ascii="Calibri" w:eastAsia="Calibri" w:hAnsi="Calibri" w:cs="Times New Roman"/>
          <w:lang w:eastAsia="en-US"/>
        </w:rPr>
        <w:t xml:space="preserve"> region</w:t>
      </w:r>
      <w:r w:rsidRPr="00DF1C49">
        <w:rPr>
          <w:rFonts w:ascii="Calibri" w:eastAsia="Calibri" w:hAnsi="Calibri" w:cs="Times New Roman"/>
          <w:lang w:eastAsia="en-US"/>
        </w:rPr>
        <w:t xml:space="preserve">s) of the </w:t>
      </w:r>
      <w:r>
        <w:rPr>
          <w:rFonts w:ascii="Calibri" w:eastAsia="Calibri" w:hAnsi="Calibri" w:cs="Times New Roman"/>
          <w:lang w:eastAsia="en-US"/>
        </w:rPr>
        <w:t>coral reefs</w:t>
      </w:r>
      <w:r w:rsidRPr="00DF1C49">
        <w:rPr>
          <w:rFonts w:ascii="Calibri" w:eastAsia="Calibri" w:hAnsi="Calibri" w:cs="Times New Roman"/>
          <w:lang w:eastAsia="en-US"/>
        </w:rPr>
        <w:t xml:space="preserve"> were exposed to </w:t>
      </w:r>
      <w:r>
        <w:rPr>
          <w:rFonts w:ascii="Calibri" w:eastAsia="Calibri" w:hAnsi="Calibri" w:cs="Times New Roman"/>
          <w:lang w:eastAsia="en-US"/>
        </w:rPr>
        <w:t xml:space="preserve">river plumes. </w:t>
      </w:r>
      <w:r w:rsidRPr="00465C8C">
        <w:rPr>
          <w:rFonts w:ascii="Calibri" w:eastAsia="Calibri" w:hAnsi="Calibri" w:cs="Times New Roman"/>
          <w:lang w:eastAsia="en-US"/>
        </w:rPr>
        <w:t xml:space="preserve">Coral reef areas </w:t>
      </w:r>
      <w:r>
        <w:rPr>
          <w:rFonts w:ascii="Calibri" w:eastAsia="Calibri" w:hAnsi="Calibri" w:cs="Times New Roman"/>
          <w:lang w:eastAsia="en-US"/>
        </w:rPr>
        <w:t>under the highest potential risk (III and IV)</w:t>
      </w:r>
      <w:r w:rsidRPr="00465C8C">
        <w:rPr>
          <w:rFonts w:ascii="Calibri" w:eastAsia="Calibri" w:hAnsi="Calibri" w:cs="Times New Roman"/>
          <w:lang w:eastAsia="en-US"/>
        </w:rPr>
        <w:t xml:space="preserve"> were greater in Fitzroy (153 km</w:t>
      </w:r>
      <w:r w:rsidRPr="00465C8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or 3% of Fitzroy reefs) &gt; Mackay-Whitsundays (104 km</w:t>
      </w:r>
      <w:r w:rsidRPr="00465C8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or 3%) &gt; Cape York (76 km</w:t>
      </w:r>
      <w:r w:rsidRPr="00465C8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or 1%)</w:t>
      </w:r>
      <w:r>
        <w:rPr>
          <w:rFonts w:ascii="Calibri" w:eastAsia="Calibri" w:hAnsi="Calibri" w:cs="Times New Roman"/>
          <w:lang w:eastAsia="en-US"/>
        </w:rPr>
        <w:t>;</w:t>
      </w:r>
    </w:p>
    <w:p w14:paraId="0C3F8978" w14:textId="77777777" w:rsidR="00131E41" w:rsidRDefault="00131E41" w:rsidP="00C05A63">
      <w:pPr>
        <w:pStyle w:val="ListParagraph"/>
        <w:numPr>
          <w:ilvl w:val="0"/>
          <w:numId w:val="24"/>
        </w:numPr>
        <w:spacing w:before="0" w:after="200" w:line="276" w:lineRule="auto"/>
        <w:rPr>
          <w:rFonts w:ascii="Calibri" w:eastAsia="Calibri" w:hAnsi="Calibri" w:cs="Times New Roman"/>
          <w:lang w:eastAsia="en-US"/>
        </w:rPr>
      </w:pPr>
      <w:r w:rsidRPr="00465C8C">
        <w:rPr>
          <w:rFonts w:ascii="Calibri" w:eastAsia="Calibri" w:hAnsi="Calibri" w:cs="Times New Roman"/>
          <w:lang w:eastAsia="en-US"/>
        </w:rPr>
        <w:t>Ninety four percent (Cape York NRM) to 100% (Burdekin, Fitzroy and Burnett-Mary NRM</w:t>
      </w:r>
      <w:r>
        <w:rPr>
          <w:rFonts w:ascii="Calibri" w:eastAsia="Calibri" w:hAnsi="Calibri" w:cs="Times New Roman"/>
          <w:lang w:eastAsia="en-US"/>
        </w:rPr>
        <w:t xml:space="preserve"> region</w:t>
      </w:r>
      <w:r w:rsidRPr="00465C8C">
        <w:rPr>
          <w:rFonts w:ascii="Calibri" w:eastAsia="Calibri" w:hAnsi="Calibri" w:cs="Times New Roman"/>
          <w:lang w:eastAsia="en-US"/>
        </w:rPr>
        <w:t>s) of the monitored seagrass beds were exposed to river plumes</w:t>
      </w:r>
      <w:r>
        <w:rPr>
          <w:rFonts w:ascii="Calibri" w:eastAsia="Calibri" w:hAnsi="Calibri" w:cs="Times New Roman"/>
          <w:lang w:eastAsia="en-US"/>
        </w:rPr>
        <w:t>.</w:t>
      </w:r>
      <w:r w:rsidRPr="00465C8C">
        <w:rPr>
          <w:rFonts w:ascii="Calibri" w:eastAsia="Calibri" w:hAnsi="Calibri" w:cs="Times New Roman"/>
          <w:lang w:eastAsia="en-US"/>
        </w:rPr>
        <w:t xml:space="preserve"> Seagrass beds </w:t>
      </w:r>
      <w:r w:rsidRPr="007228D6">
        <w:rPr>
          <w:rFonts w:ascii="Calibri" w:eastAsia="Calibri" w:hAnsi="Calibri" w:cs="Times New Roman"/>
          <w:lang w:eastAsia="en-US"/>
        </w:rPr>
        <w:t xml:space="preserve">under the highest potential risk (III and IV) </w:t>
      </w:r>
      <w:r>
        <w:rPr>
          <w:rFonts w:ascii="Calibri" w:eastAsia="Calibri" w:hAnsi="Calibri" w:cs="Times New Roman"/>
          <w:lang w:eastAsia="en-US"/>
        </w:rPr>
        <w:t>were greater in</w:t>
      </w:r>
      <w:r w:rsidRPr="00465C8C">
        <w:rPr>
          <w:rFonts w:ascii="Calibri" w:eastAsia="Calibri" w:hAnsi="Calibri" w:cs="Times New Roman"/>
          <w:lang w:eastAsia="en-US"/>
        </w:rPr>
        <w:t xml:space="preserve"> the Cape York</w:t>
      </w:r>
      <w:r>
        <w:rPr>
          <w:rFonts w:ascii="Calibri" w:eastAsia="Calibri" w:hAnsi="Calibri" w:cs="Times New Roman"/>
          <w:lang w:eastAsia="en-US"/>
        </w:rPr>
        <w:t xml:space="preserve"> (</w:t>
      </w:r>
      <w:r w:rsidRPr="00465C8C">
        <w:rPr>
          <w:rFonts w:ascii="Calibri" w:eastAsia="Calibri" w:hAnsi="Calibri" w:cs="Times New Roman"/>
          <w:lang w:eastAsia="en-US"/>
        </w:rPr>
        <w:t>1186 km</w:t>
      </w:r>
      <w:r w:rsidRPr="00465C8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or 49%) and Burdekin </w:t>
      </w:r>
      <w:r>
        <w:rPr>
          <w:rFonts w:ascii="Calibri" w:eastAsia="Calibri" w:hAnsi="Calibri" w:cs="Times New Roman"/>
          <w:lang w:eastAsia="en-US"/>
        </w:rPr>
        <w:t>(</w:t>
      </w:r>
      <w:r w:rsidRPr="00465C8C">
        <w:rPr>
          <w:rFonts w:ascii="Calibri" w:eastAsia="Calibri" w:hAnsi="Calibri" w:cs="Times New Roman"/>
          <w:lang w:eastAsia="en-US"/>
        </w:rPr>
        <w:t>501 km</w:t>
      </w:r>
      <w:r w:rsidRPr="00465C8C">
        <w:rPr>
          <w:rFonts w:ascii="Calibri" w:eastAsia="Calibri" w:hAnsi="Calibri" w:cs="Times New Roman"/>
          <w:vertAlign w:val="superscript"/>
          <w:lang w:eastAsia="en-US"/>
        </w:rPr>
        <w:t>2</w:t>
      </w:r>
      <w:r>
        <w:rPr>
          <w:rFonts w:ascii="Calibri" w:eastAsia="Calibri" w:hAnsi="Calibri" w:cs="Times New Roman"/>
          <w:lang w:eastAsia="en-US"/>
        </w:rPr>
        <w:t xml:space="preserve"> </w:t>
      </w:r>
      <w:r w:rsidRPr="00465C8C">
        <w:rPr>
          <w:rFonts w:ascii="Calibri" w:eastAsia="Calibri" w:hAnsi="Calibri" w:cs="Times New Roman"/>
          <w:lang w:eastAsia="en-US"/>
        </w:rPr>
        <w:t>or 80%)</w:t>
      </w:r>
      <w:r>
        <w:rPr>
          <w:rFonts w:ascii="Calibri" w:eastAsia="Calibri" w:hAnsi="Calibri" w:cs="Times New Roman"/>
          <w:lang w:eastAsia="en-US"/>
        </w:rPr>
        <w:t>.</w:t>
      </w:r>
    </w:p>
    <w:p w14:paraId="0C3F8979" w14:textId="77777777" w:rsidR="00131E41" w:rsidRDefault="00131E41" w:rsidP="00C05A63">
      <w:pPr>
        <w:pStyle w:val="ListParagraph"/>
        <w:numPr>
          <w:ilvl w:val="0"/>
          <w:numId w:val="24"/>
        </w:numPr>
        <w:spacing w:before="0" w:after="200" w:line="276" w:lineRule="auto"/>
        <w:rPr>
          <w:rFonts w:ascii="Calibri" w:eastAsia="Calibri" w:hAnsi="Calibri" w:cs="Times New Roman"/>
          <w:lang w:eastAsia="en-US"/>
        </w:rPr>
      </w:pPr>
      <w:r w:rsidRPr="00465C8C">
        <w:rPr>
          <w:rFonts w:ascii="Calibri" w:eastAsia="Calibri" w:hAnsi="Calibri" w:cs="Times New Roman"/>
          <w:lang w:eastAsia="en-US"/>
        </w:rPr>
        <w:t xml:space="preserve">Sixty four percent (Burdekin NRM) to 100% (Wet Tropics, Mackay-Whitsundays and Fitzroy </w:t>
      </w:r>
      <w:r>
        <w:rPr>
          <w:rFonts w:ascii="Calibri" w:eastAsia="Calibri" w:hAnsi="Calibri" w:cs="Times New Roman"/>
          <w:lang w:eastAsia="en-US"/>
        </w:rPr>
        <w:t>NRM regions</w:t>
      </w:r>
      <w:r w:rsidRPr="00465C8C">
        <w:rPr>
          <w:rFonts w:ascii="Calibri" w:eastAsia="Calibri" w:hAnsi="Calibri" w:cs="Times New Roman"/>
          <w:lang w:eastAsia="en-US"/>
        </w:rPr>
        <w:t>) of the modelled deep seagrass beds were exposed to river plumes</w:t>
      </w:r>
      <w:r>
        <w:rPr>
          <w:rFonts w:ascii="Calibri" w:eastAsia="Calibri" w:hAnsi="Calibri" w:cs="Times New Roman"/>
          <w:lang w:eastAsia="en-US"/>
        </w:rPr>
        <w:t>.</w:t>
      </w:r>
      <w:r w:rsidRPr="00465C8C">
        <w:rPr>
          <w:rFonts w:ascii="Calibri" w:eastAsia="Calibri" w:hAnsi="Calibri" w:cs="Times New Roman"/>
          <w:lang w:eastAsia="en-US"/>
        </w:rPr>
        <w:t xml:space="preserve"> Deep seagrass</w:t>
      </w:r>
      <w:r>
        <w:rPr>
          <w:rFonts w:ascii="Calibri" w:eastAsia="Calibri" w:hAnsi="Calibri" w:cs="Times New Roman"/>
          <w:lang w:eastAsia="en-US"/>
        </w:rPr>
        <w:t xml:space="preserve"> beds</w:t>
      </w:r>
      <w:r w:rsidRPr="00465C8C">
        <w:rPr>
          <w:rFonts w:ascii="Calibri" w:eastAsia="Calibri" w:hAnsi="Calibri" w:cs="Times New Roman"/>
          <w:lang w:eastAsia="en-US"/>
        </w:rPr>
        <w:t xml:space="preserve"> </w:t>
      </w:r>
      <w:r>
        <w:rPr>
          <w:rFonts w:ascii="Calibri" w:eastAsia="Calibri" w:hAnsi="Calibri" w:cs="Times New Roman"/>
          <w:lang w:eastAsia="en-US"/>
        </w:rPr>
        <w:t xml:space="preserve">exposed to </w:t>
      </w:r>
      <w:r w:rsidRPr="00465C8C">
        <w:rPr>
          <w:rFonts w:ascii="Calibri" w:eastAsia="Calibri" w:hAnsi="Calibri" w:cs="Times New Roman"/>
          <w:lang w:eastAsia="en-US"/>
        </w:rPr>
        <w:t>potential risk</w:t>
      </w:r>
      <w:r>
        <w:rPr>
          <w:rFonts w:ascii="Calibri" w:eastAsia="Calibri" w:hAnsi="Calibri" w:cs="Times New Roman"/>
          <w:lang w:eastAsia="en-US"/>
        </w:rPr>
        <w:t xml:space="preserve"> categories II and III were greater in</w:t>
      </w:r>
      <w:r w:rsidRPr="00465C8C">
        <w:rPr>
          <w:rFonts w:ascii="Calibri" w:eastAsia="Calibri" w:hAnsi="Calibri" w:cs="Times New Roman"/>
          <w:lang w:eastAsia="en-US"/>
        </w:rPr>
        <w:t xml:space="preserve"> the Cape York</w:t>
      </w:r>
      <w:r>
        <w:rPr>
          <w:rFonts w:ascii="Calibri" w:eastAsia="Calibri" w:hAnsi="Calibri" w:cs="Times New Roman"/>
          <w:lang w:eastAsia="en-US"/>
        </w:rPr>
        <w:t xml:space="preserve"> (6634 km</w:t>
      </w:r>
      <w:r w:rsidRPr="00D1383C">
        <w:rPr>
          <w:rFonts w:ascii="Calibri" w:eastAsia="Calibri" w:hAnsi="Calibri" w:cs="Times New Roman"/>
          <w:vertAlign w:val="superscript"/>
          <w:lang w:eastAsia="en-US"/>
        </w:rPr>
        <w:t>2</w:t>
      </w:r>
      <w:r>
        <w:rPr>
          <w:rFonts w:ascii="Calibri" w:eastAsia="Calibri" w:hAnsi="Calibri" w:cs="Times New Roman"/>
          <w:lang w:eastAsia="en-US"/>
        </w:rPr>
        <w:t xml:space="preserve"> </w:t>
      </w:r>
      <w:r w:rsidRPr="00465C8C">
        <w:rPr>
          <w:rFonts w:ascii="Calibri" w:eastAsia="Calibri" w:hAnsi="Calibri" w:cs="Times New Roman"/>
          <w:lang w:eastAsia="en-US"/>
        </w:rPr>
        <w:t>or 70%</w:t>
      </w:r>
      <w:r>
        <w:rPr>
          <w:rFonts w:ascii="Calibri" w:eastAsia="Calibri" w:hAnsi="Calibri" w:cs="Times New Roman"/>
          <w:lang w:eastAsia="en-US"/>
        </w:rPr>
        <w:t>) &gt;</w:t>
      </w:r>
      <w:r w:rsidRPr="00465C8C">
        <w:rPr>
          <w:rFonts w:ascii="Calibri" w:eastAsia="Calibri" w:hAnsi="Calibri" w:cs="Times New Roman"/>
          <w:lang w:eastAsia="en-US"/>
        </w:rPr>
        <w:t xml:space="preserve"> Burnett-Mary </w:t>
      </w:r>
      <w:r>
        <w:rPr>
          <w:rFonts w:ascii="Calibri" w:eastAsia="Calibri" w:hAnsi="Calibri" w:cs="Times New Roman"/>
          <w:lang w:eastAsia="en-US"/>
        </w:rPr>
        <w:t>(2829 km</w:t>
      </w:r>
      <w:r w:rsidRPr="00D1383C">
        <w:rPr>
          <w:rFonts w:ascii="Calibri" w:eastAsia="Calibri" w:hAnsi="Calibri" w:cs="Times New Roman"/>
          <w:vertAlign w:val="superscript"/>
          <w:lang w:eastAsia="en-US"/>
        </w:rPr>
        <w:t>2</w:t>
      </w:r>
      <w:r>
        <w:rPr>
          <w:rFonts w:ascii="Calibri" w:eastAsia="Calibri" w:hAnsi="Calibri" w:cs="Times New Roman"/>
          <w:lang w:eastAsia="en-US"/>
        </w:rPr>
        <w:t xml:space="preserve"> </w:t>
      </w:r>
      <w:r w:rsidRPr="00465C8C">
        <w:rPr>
          <w:rFonts w:ascii="Calibri" w:eastAsia="Calibri" w:hAnsi="Calibri" w:cs="Times New Roman"/>
          <w:lang w:eastAsia="en-US"/>
        </w:rPr>
        <w:t xml:space="preserve">or 45%) </w:t>
      </w:r>
      <w:r>
        <w:rPr>
          <w:rFonts w:ascii="Calibri" w:eastAsia="Calibri" w:hAnsi="Calibri" w:cs="Times New Roman"/>
          <w:lang w:eastAsia="en-US"/>
        </w:rPr>
        <w:t>&gt;</w:t>
      </w:r>
      <w:r w:rsidRPr="00465C8C">
        <w:rPr>
          <w:rFonts w:ascii="Calibri" w:eastAsia="Calibri" w:hAnsi="Calibri" w:cs="Times New Roman"/>
          <w:lang w:eastAsia="en-US"/>
        </w:rPr>
        <w:t xml:space="preserve"> Fitzroy </w:t>
      </w:r>
      <w:r>
        <w:rPr>
          <w:rFonts w:ascii="Calibri" w:eastAsia="Calibri" w:hAnsi="Calibri" w:cs="Times New Roman"/>
          <w:lang w:eastAsia="en-US"/>
        </w:rPr>
        <w:t>(</w:t>
      </w:r>
      <w:r w:rsidRPr="00465C8C">
        <w:rPr>
          <w:rFonts w:ascii="Calibri" w:eastAsia="Calibri" w:hAnsi="Calibri" w:cs="Times New Roman"/>
          <w:lang w:eastAsia="en-US"/>
        </w:rPr>
        <w:t>2181 km</w:t>
      </w:r>
      <w:r w:rsidRPr="00D1383C">
        <w:rPr>
          <w:rFonts w:ascii="Calibri" w:eastAsia="Calibri" w:hAnsi="Calibri" w:cs="Times New Roman"/>
          <w:vertAlign w:val="superscript"/>
          <w:lang w:eastAsia="en-US"/>
        </w:rPr>
        <w:t>2</w:t>
      </w:r>
      <w:r w:rsidRPr="00465C8C">
        <w:rPr>
          <w:rFonts w:ascii="Calibri" w:eastAsia="Calibri" w:hAnsi="Calibri" w:cs="Times New Roman"/>
          <w:lang w:eastAsia="en-US"/>
        </w:rPr>
        <w:t xml:space="preserve"> or 39%)</w:t>
      </w:r>
      <w:r>
        <w:rPr>
          <w:rFonts w:ascii="Calibri" w:eastAsia="Calibri" w:hAnsi="Calibri" w:cs="Times New Roman"/>
          <w:lang w:eastAsia="en-US"/>
        </w:rPr>
        <w:t>.</w:t>
      </w:r>
    </w:p>
    <w:p w14:paraId="0C3F897A" w14:textId="77777777" w:rsidR="00131E41" w:rsidRDefault="00131E41" w:rsidP="00C05A63">
      <w:pPr>
        <w:pStyle w:val="ListParagraph"/>
        <w:numPr>
          <w:ilvl w:val="0"/>
          <w:numId w:val="24"/>
        </w:numPr>
        <w:spacing w:before="0" w:after="200" w:line="276" w:lineRule="auto"/>
        <w:rPr>
          <w:rFonts w:ascii="Calibri" w:eastAsia="Calibri" w:hAnsi="Calibri" w:cs="Times New Roman"/>
          <w:lang w:eastAsia="en-US"/>
        </w:rPr>
      </w:pPr>
      <w:r w:rsidRPr="00D1383C">
        <w:rPr>
          <w:rFonts w:ascii="Calibri" w:eastAsia="Calibri" w:hAnsi="Calibri" w:cs="Times New Roman"/>
          <w:lang w:eastAsia="en-US"/>
        </w:rPr>
        <w:t>Finally, when the modelled and deep seagrass beds were combined, total seagrass beds the most at risk</w:t>
      </w:r>
      <w:r>
        <w:rPr>
          <w:rFonts w:ascii="Calibri" w:eastAsia="Calibri" w:hAnsi="Calibri" w:cs="Times New Roman"/>
          <w:lang w:eastAsia="en-US"/>
        </w:rPr>
        <w:t xml:space="preserve"> (III and IV)</w:t>
      </w:r>
      <w:r w:rsidRPr="00D1383C">
        <w:rPr>
          <w:rFonts w:ascii="Calibri" w:eastAsia="Calibri" w:hAnsi="Calibri" w:cs="Times New Roman"/>
          <w:lang w:eastAsia="en-US"/>
        </w:rPr>
        <w:t xml:space="preserve"> were located in the Cape York</w:t>
      </w:r>
      <w:r>
        <w:rPr>
          <w:rFonts w:ascii="Calibri" w:eastAsia="Calibri" w:hAnsi="Calibri" w:cs="Times New Roman"/>
          <w:lang w:eastAsia="en-US"/>
        </w:rPr>
        <w:t xml:space="preserve"> (</w:t>
      </w:r>
      <w:r w:rsidRPr="00D1383C">
        <w:rPr>
          <w:rFonts w:ascii="Calibri" w:eastAsia="Calibri" w:hAnsi="Calibri" w:cs="Times New Roman"/>
          <w:lang w:eastAsia="en-US"/>
        </w:rPr>
        <w:t>1362 km</w:t>
      </w:r>
      <w:r w:rsidRPr="00C5125B">
        <w:rPr>
          <w:rFonts w:ascii="Calibri" w:eastAsia="Calibri" w:hAnsi="Calibri" w:cs="Times New Roman"/>
          <w:vertAlign w:val="superscript"/>
          <w:lang w:eastAsia="en-US"/>
        </w:rPr>
        <w:t>2</w:t>
      </w:r>
      <w:r w:rsidRPr="00D1383C">
        <w:rPr>
          <w:rFonts w:ascii="Calibri" w:eastAsia="Calibri" w:hAnsi="Calibri" w:cs="Times New Roman"/>
          <w:lang w:eastAsia="en-US"/>
        </w:rPr>
        <w:t xml:space="preserve"> or 11%) </w:t>
      </w:r>
      <w:r>
        <w:rPr>
          <w:rFonts w:ascii="Calibri" w:eastAsia="Calibri" w:hAnsi="Calibri" w:cs="Times New Roman"/>
          <w:lang w:eastAsia="en-US"/>
        </w:rPr>
        <w:t xml:space="preserve">&gt; </w:t>
      </w:r>
      <w:r w:rsidRPr="00D1383C">
        <w:rPr>
          <w:rFonts w:ascii="Calibri" w:eastAsia="Calibri" w:hAnsi="Calibri" w:cs="Times New Roman"/>
          <w:lang w:eastAsia="en-US"/>
        </w:rPr>
        <w:t>Burdekin</w:t>
      </w:r>
      <w:r>
        <w:rPr>
          <w:rFonts w:ascii="Calibri" w:eastAsia="Calibri" w:hAnsi="Calibri" w:cs="Times New Roman"/>
          <w:lang w:eastAsia="en-US"/>
        </w:rPr>
        <w:t xml:space="preserve"> (501 km</w:t>
      </w:r>
      <w:r w:rsidRPr="007228D6">
        <w:rPr>
          <w:rFonts w:ascii="Calibri" w:eastAsia="Calibri" w:hAnsi="Calibri" w:cs="Times New Roman"/>
          <w:vertAlign w:val="superscript"/>
          <w:lang w:eastAsia="en-US"/>
        </w:rPr>
        <w:t>2</w:t>
      </w:r>
      <w:r>
        <w:rPr>
          <w:rFonts w:ascii="Calibri" w:eastAsia="Calibri" w:hAnsi="Calibri" w:cs="Times New Roman"/>
          <w:lang w:eastAsia="en-US"/>
        </w:rPr>
        <w:t xml:space="preserve"> </w:t>
      </w:r>
      <w:r w:rsidRPr="00D1383C">
        <w:rPr>
          <w:rFonts w:ascii="Calibri" w:eastAsia="Calibri" w:hAnsi="Calibri" w:cs="Times New Roman"/>
          <w:lang w:eastAsia="en-US"/>
        </w:rPr>
        <w:t xml:space="preserve">or 8%)  </w:t>
      </w:r>
      <w:r>
        <w:rPr>
          <w:rFonts w:ascii="Calibri" w:eastAsia="Calibri" w:hAnsi="Calibri" w:cs="Times New Roman"/>
          <w:lang w:eastAsia="en-US"/>
        </w:rPr>
        <w:t>&gt;</w:t>
      </w:r>
      <w:r w:rsidRPr="00D1383C">
        <w:rPr>
          <w:rFonts w:ascii="Calibri" w:eastAsia="Calibri" w:hAnsi="Calibri" w:cs="Times New Roman"/>
          <w:lang w:eastAsia="en-US"/>
        </w:rPr>
        <w:t xml:space="preserve"> Fitzroy </w:t>
      </w:r>
      <w:r>
        <w:rPr>
          <w:rFonts w:ascii="Calibri" w:eastAsia="Calibri" w:hAnsi="Calibri" w:cs="Times New Roman"/>
          <w:lang w:eastAsia="en-US"/>
        </w:rPr>
        <w:t>NRM regions</w:t>
      </w:r>
      <w:r w:rsidRPr="00D1383C">
        <w:rPr>
          <w:rFonts w:ascii="Calibri" w:eastAsia="Calibri" w:hAnsi="Calibri" w:cs="Times New Roman"/>
          <w:lang w:eastAsia="en-US"/>
        </w:rPr>
        <w:t xml:space="preserve"> </w:t>
      </w:r>
      <w:r>
        <w:rPr>
          <w:rFonts w:ascii="Calibri" w:eastAsia="Calibri" w:hAnsi="Calibri" w:cs="Times New Roman"/>
          <w:lang w:eastAsia="en-US"/>
        </w:rPr>
        <w:t>(</w:t>
      </w:r>
      <w:r w:rsidRPr="00D1383C">
        <w:rPr>
          <w:rFonts w:ascii="Calibri" w:eastAsia="Calibri" w:hAnsi="Calibri" w:cs="Times New Roman"/>
          <w:lang w:eastAsia="en-US"/>
        </w:rPr>
        <w:t>500 km</w:t>
      </w:r>
      <w:r w:rsidRPr="00C5125B">
        <w:rPr>
          <w:rFonts w:ascii="Calibri" w:eastAsia="Calibri" w:hAnsi="Calibri" w:cs="Times New Roman"/>
          <w:vertAlign w:val="superscript"/>
          <w:lang w:eastAsia="en-US"/>
        </w:rPr>
        <w:t>2</w:t>
      </w:r>
      <w:r w:rsidRPr="00D1383C">
        <w:rPr>
          <w:rFonts w:ascii="Calibri" w:eastAsia="Calibri" w:hAnsi="Calibri" w:cs="Times New Roman"/>
          <w:lang w:eastAsia="en-US"/>
        </w:rPr>
        <w:t xml:space="preserve"> or 9%)</w:t>
      </w:r>
      <w:r>
        <w:rPr>
          <w:rFonts w:ascii="Calibri" w:eastAsia="Calibri" w:hAnsi="Calibri" w:cs="Times New Roman"/>
          <w:lang w:eastAsia="en-US"/>
        </w:rPr>
        <w:t>.</w:t>
      </w:r>
    </w:p>
    <w:p w14:paraId="0C3F897B" w14:textId="77777777" w:rsidR="00131E41" w:rsidRDefault="00131E41" w:rsidP="00131E41">
      <w:pPr>
        <w:rPr>
          <w:rFonts w:ascii="Calibri" w:eastAsia="Calibri" w:hAnsi="Calibri" w:cs="Calibri"/>
          <w:lang w:eastAsia="en-US"/>
        </w:rPr>
      </w:pPr>
      <w:r w:rsidRPr="00DF1C49">
        <w:rPr>
          <w:rFonts w:ascii="Calibri" w:eastAsia="Calibri" w:hAnsi="Calibri" w:cs="Calibri"/>
          <w:lang w:eastAsia="en-US"/>
        </w:rPr>
        <w:t>River plume models</w:t>
      </w:r>
      <w:r>
        <w:rPr>
          <w:rFonts w:ascii="Calibri" w:eastAsia="Calibri" w:hAnsi="Calibri" w:cs="Calibri"/>
          <w:lang w:eastAsia="en-US"/>
        </w:rPr>
        <w:t xml:space="preserve"> help</w:t>
      </w:r>
      <w:r w:rsidRPr="00DF1C49">
        <w:rPr>
          <w:rFonts w:ascii="Calibri" w:eastAsia="Calibri" w:hAnsi="Calibri" w:cs="Calibri"/>
          <w:lang w:eastAsia="en-US"/>
        </w:rPr>
        <w:t xml:space="preserve"> </w:t>
      </w:r>
      <w:r>
        <w:rPr>
          <w:rFonts w:ascii="Calibri" w:eastAsia="Calibri" w:hAnsi="Calibri" w:cs="Calibri"/>
          <w:lang w:eastAsia="en-US"/>
        </w:rPr>
        <w:t xml:space="preserve">mapping </w:t>
      </w:r>
      <w:r w:rsidRPr="00DF1C49">
        <w:rPr>
          <w:rFonts w:ascii="Calibri" w:eastAsia="Calibri" w:hAnsi="Calibri" w:cs="Calibri"/>
          <w:lang w:eastAsia="en-US"/>
        </w:rPr>
        <w:t>areas which may experience acute or chronic high exposure to river plumes and associated land-</w:t>
      </w:r>
      <w:r>
        <w:rPr>
          <w:rFonts w:ascii="Calibri" w:eastAsia="Calibri" w:hAnsi="Calibri" w:cs="Calibri"/>
          <w:lang w:eastAsia="en-US"/>
        </w:rPr>
        <w:t>sourced</w:t>
      </w:r>
      <w:r w:rsidRPr="00DF1C49">
        <w:rPr>
          <w:rFonts w:ascii="Calibri" w:eastAsia="Calibri" w:hAnsi="Calibri" w:cs="Calibri"/>
          <w:lang w:eastAsia="en-US"/>
        </w:rPr>
        <w:t xml:space="preserve"> pollutants</w:t>
      </w:r>
      <w:r>
        <w:rPr>
          <w:rFonts w:ascii="Calibri" w:eastAsia="Calibri" w:hAnsi="Calibri" w:cs="Calibri"/>
          <w:lang w:eastAsia="en-US"/>
        </w:rPr>
        <w:t xml:space="preserve">, including </w:t>
      </w:r>
      <w:r>
        <w:t>sediments, nutrients and pesticides.</w:t>
      </w:r>
      <w:r>
        <w:rPr>
          <w:rStyle w:val="CommentReference"/>
        </w:rPr>
        <w:t xml:space="preserve"> </w:t>
      </w:r>
      <w:r w:rsidRPr="00DF1C49">
        <w:rPr>
          <w:rFonts w:ascii="Calibri" w:eastAsia="Calibri" w:hAnsi="Calibri" w:cs="Calibri"/>
          <w:lang w:eastAsia="en-US"/>
        </w:rPr>
        <w:t xml:space="preserve"> Knowledge of the areas and the type of ecosystem that is the most likely to be impacted by </w:t>
      </w:r>
      <w:r>
        <w:rPr>
          <w:rFonts w:ascii="Calibri" w:eastAsia="Calibri" w:hAnsi="Calibri" w:cs="Calibri"/>
          <w:lang w:eastAsia="en-US"/>
        </w:rPr>
        <w:t>degraded</w:t>
      </w:r>
      <w:r w:rsidRPr="00DF1C49">
        <w:rPr>
          <w:rFonts w:ascii="Calibri" w:eastAsia="Calibri" w:hAnsi="Calibri" w:cs="Calibri"/>
          <w:lang w:eastAsia="en-US"/>
        </w:rPr>
        <w:t xml:space="preserve"> WQ</w:t>
      </w:r>
      <w:r>
        <w:rPr>
          <w:rFonts w:ascii="Calibri" w:eastAsia="Calibri" w:hAnsi="Calibri" w:cs="Calibri"/>
          <w:lang w:eastAsia="en-US"/>
        </w:rPr>
        <w:t xml:space="preserve"> through river plume exposure</w:t>
      </w:r>
      <w:r w:rsidRPr="00DF1C49">
        <w:rPr>
          <w:rFonts w:ascii="Calibri" w:eastAsia="Calibri" w:hAnsi="Calibri" w:cs="Calibri"/>
          <w:lang w:eastAsia="en-US"/>
        </w:rPr>
        <w:t xml:space="preserve"> help focus our understanding on what type of ecological impacts are occurring to those ecosystems and help marine, coastal and catchment management. </w:t>
      </w:r>
    </w:p>
    <w:p w14:paraId="0C3F897C" w14:textId="77777777" w:rsidR="00131E41" w:rsidRDefault="00131E41" w:rsidP="00131E41">
      <w:pPr>
        <w:rPr>
          <w:rFonts w:ascii="Calibri" w:eastAsia="Calibri" w:hAnsi="Calibri" w:cs="Calibri"/>
          <w:lang w:eastAsia="en-US"/>
        </w:rPr>
      </w:pPr>
      <w:r w:rsidRPr="00DF1C49">
        <w:rPr>
          <w:rFonts w:ascii="Calibri" w:eastAsia="Calibri" w:hAnsi="Calibri" w:cs="Calibri"/>
          <w:lang w:eastAsia="en-US"/>
        </w:rPr>
        <w:t xml:space="preserve">As part of our efforts for the MMP in 2012-13, we have undertaken a number of important steps to improve our capacity to identify and monitor the </w:t>
      </w:r>
      <w:r>
        <w:rPr>
          <w:rFonts w:ascii="Calibri" w:eastAsia="Calibri" w:hAnsi="Calibri" w:cs="Calibri"/>
          <w:lang w:eastAsia="en-US"/>
        </w:rPr>
        <w:t>l</w:t>
      </w:r>
      <w:r w:rsidRPr="000352C4">
        <w:rPr>
          <w:rFonts w:ascii="Calibri" w:eastAsia="Calibri" w:hAnsi="Calibri" w:cs="Calibri"/>
          <w:lang w:eastAsia="en-US"/>
        </w:rPr>
        <w:t xml:space="preserve">evel of exposure of </w:t>
      </w:r>
      <w:r>
        <w:rPr>
          <w:rFonts w:ascii="Calibri" w:eastAsia="Calibri" w:hAnsi="Calibri" w:cs="Calibri"/>
          <w:lang w:eastAsia="en-US"/>
        </w:rPr>
        <w:t>GBR</w:t>
      </w:r>
      <w:r w:rsidRPr="000352C4">
        <w:rPr>
          <w:rFonts w:ascii="Calibri" w:eastAsia="Calibri" w:hAnsi="Calibri" w:cs="Calibri"/>
          <w:lang w:eastAsia="en-US"/>
        </w:rPr>
        <w:t xml:space="preserve"> coral reefs and seagrass meadows to river plumes and land-sourced contaminants</w:t>
      </w:r>
      <w:r>
        <w:rPr>
          <w:rFonts w:ascii="Calibri" w:eastAsia="Calibri" w:hAnsi="Calibri" w:cs="Calibri"/>
          <w:lang w:eastAsia="en-US"/>
        </w:rPr>
        <w:t xml:space="preserve"> during the wet season</w:t>
      </w:r>
      <w:r w:rsidRPr="00DF1C49">
        <w:rPr>
          <w:rFonts w:ascii="Calibri" w:eastAsia="Calibri" w:hAnsi="Calibri" w:cs="Calibri"/>
          <w:lang w:eastAsia="en-US"/>
        </w:rPr>
        <w:t xml:space="preserve">. These steps include the validation and development of innovative RS methods, the production of synoptic maps describing the spatial and temporal movements of GBR river plumes, and </w:t>
      </w:r>
      <w:r>
        <w:rPr>
          <w:rFonts w:ascii="Calibri" w:eastAsia="Calibri" w:hAnsi="Calibri" w:cs="Calibri"/>
          <w:lang w:eastAsia="en-US"/>
        </w:rPr>
        <w:t>a preliminary assessment of the potential of using MODIS-derived products to assess the</w:t>
      </w:r>
      <w:r w:rsidRPr="00DF1C49">
        <w:rPr>
          <w:rFonts w:ascii="Calibri" w:eastAsia="Calibri" w:hAnsi="Calibri" w:cs="Calibri"/>
          <w:lang w:eastAsia="en-US"/>
        </w:rPr>
        <w:t xml:space="preserve"> </w:t>
      </w:r>
      <w:r>
        <w:rPr>
          <w:rFonts w:ascii="Calibri" w:eastAsia="Calibri" w:hAnsi="Calibri" w:cs="Calibri"/>
          <w:lang w:eastAsia="en-US"/>
        </w:rPr>
        <w:t>potential risk</w:t>
      </w:r>
      <w:r w:rsidRPr="00DF1C49">
        <w:rPr>
          <w:rFonts w:ascii="Calibri" w:eastAsia="Calibri" w:hAnsi="Calibri" w:cs="Calibri"/>
          <w:lang w:eastAsia="en-US"/>
        </w:rPr>
        <w:t xml:space="preserve"> of GBR ecosystems </w:t>
      </w:r>
      <w:r>
        <w:rPr>
          <w:rFonts w:ascii="Calibri" w:eastAsia="Calibri" w:hAnsi="Calibri" w:cs="Calibri"/>
          <w:lang w:eastAsia="en-US"/>
        </w:rPr>
        <w:t xml:space="preserve">due </w:t>
      </w:r>
      <w:r w:rsidRPr="00DF1C49">
        <w:rPr>
          <w:rFonts w:ascii="Calibri" w:eastAsia="Calibri" w:hAnsi="Calibri" w:cs="Calibri"/>
          <w:lang w:eastAsia="en-US"/>
        </w:rPr>
        <w:t xml:space="preserve">to the river plume </w:t>
      </w:r>
      <w:r>
        <w:rPr>
          <w:rFonts w:ascii="Calibri" w:eastAsia="Calibri" w:hAnsi="Calibri" w:cs="Calibri"/>
          <w:lang w:eastAsia="en-US"/>
        </w:rPr>
        <w:t>exposure</w:t>
      </w:r>
      <w:r w:rsidRPr="00DF1C49">
        <w:rPr>
          <w:rFonts w:ascii="Calibri" w:eastAsia="Calibri" w:hAnsi="Calibri" w:cs="Calibri"/>
          <w:lang w:eastAsia="en-US"/>
        </w:rPr>
        <w:t xml:space="preserve"> during the 2012-13 wet season and </w:t>
      </w:r>
      <w:r>
        <w:rPr>
          <w:rFonts w:ascii="Calibri" w:eastAsia="Calibri" w:hAnsi="Calibri" w:cs="Calibri"/>
          <w:lang w:eastAsia="en-US"/>
        </w:rPr>
        <w:t xml:space="preserve">over multiple </w:t>
      </w:r>
      <w:r w:rsidRPr="00DF1C49">
        <w:rPr>
          <w:rFonts w:ascii="Calibri" w:eastAsia="Calibri" w:hAnsi="Calibri" w:cs="Calibri"/>
          <w:lang w:eastAsia="en-US"/>
        </w:rPr>
        <w:t xml:space="preserve">wet seasons </w:t>
      </w:r>
      <w:r>
        <w:rPr>
          <w:rFonts w:ascii="Calibri" w:eastAsia="Calibri" w:hAnsi="Calibri" w:cs="Calibri"/>
          <w:lang w:eastAsia="en-US"/>
        </w:rPr>
        <w:t>(</w:t>
      </w:r>
      <w:r w:rsidRPr="00DF1C49">
        <w:rPr>
          <w:rFonts w:ascii="Calibri" w:eastAsia="Calibri" w:hAnsi="Calibri" w:cs="Calibri"/>
          <w:lang w:eastAsia="en-US"/>
        </w:rPr>
        <w:t xml:space="preserve">2006-07 </w:t>
      </w:r>
      <w:r>
        <w:rPr>
          <w:rFonts w:ascii="Calibri" w:eastAsia="Calibri" w:hAnsi="Calibri" w:cs="Calibri"/>
          <w:lang w:eastAsia="en-US"/>
        </w:rPr>
        <w:t>to</w:t>
      </w:r>
      <w:r w:rsidRPr="00DF1C49">
        <w:rPr>
          <w:rFonts w:ascii="Calibri" w:eastAsia="Calibri" w:hAnsi="Calibri" w:cs="Calibri"/>
          <w:lang w:eastAsia="en-US"/>
        </w:rPr>
        <w:t xml:space="preserve"> 2012-13</w:t>
      </w:r>
      <w:r>
        <w:rPr>
          <w:rFonts w:ascii="Calibri" w:eastAsia="Calibri" w:hAnsi="Calibri" w:cs="Calibri"/>
          <w:lang w:eastAsia="en-US"/>
        </w:rPr>
        <w:t>)</w:t>
      </w:r>
      <w:r w:rsidRPr="00DF1C49">
        <w:rPr>
          <w:rFonts w:ascii="Calibri" w:eastAsia="Calibri" w:hAnsi="Calibri" w:cs="Calibri"/>
          <w:lang w:eastAsia="en-US"/>
        </w:rPr>
        <w:t>.</w:t>
      </w:r>
    </w:p>
    <w:p w14:paraId="0C3F897D" w14:textId="77777777" w:rsidR="00131E41" w:rsidRPr="00BE31E1" w:rsidRDefault="00131E41" w:rsidP="00131E41">
      <w:pPr>
        <w:pStyle w:val="ListParagraph"/>
        <w:numPr>
          <w:ilvl w:val="1"/>
          <w:numId w:val="3"/>
        </w:numPr>
        <w:rPr>
          <w:rStyle w:val="Heading20"/>
        </w:rPr>
      </w:pPr>
      <w:bookmarkStart w:id="272" w:name="_Toc427831229"/>
      <w:bookmarkStart w:id="273" w:name="_Toc428793360"/>
      <w:bookmarkStart w:id="274" w:name="_Toc428851365"/>
      <w:r w:rsidRPr="00BE31E1">
        <w:rPr>
          <w:rStyle w:val="Heading20"/>
        </w:rPr>
        <w:t>True colour vs. Level 2 methods</w:t>
      </w:r>
      <w:bookmarkEnd w:id="272"/>
      <w:bookmarkEnd w:id="273"/>
      <w:bookmarkEnd w:id="274"/>
    </w:p>
    <w:p w14:paraId="0C3F897E" w14:textId="77777777" w:rsidR="00131E41" w:rsidRDefault="00131E41" w:rsidP="00131E41">
      <w:pPr>
        <w:rPr>
          <w:rFonts w:ascii="Calibri" w:eastAsia="Calibri" w:hAnsi="Calibri" w:cs="Calibri"/>
          <w:lang w:eastAsia="en-US"/>
        </w:rPr>
      </w:pPr>
      <w:r>
        <w:rPr>
          <w:rFonts w:ascii="Calibri" w:eastAsia="Calibri" w:hAnsi="Calibri" w:cs="Calibri"/>
          <w:lang w:eastAsia="en-US"/>
        </w:rPr>
        <w:t>Three</w:t>
      </w:r>
      <w:r w:rsidRPr="000352C4">
        <w:rPr>
          <w:rFonts w:ascii="Calibri" w:eastAsia="Calibri" w:hAnsi="Calibri" w:cs="Calibri"/>
          <w:lang w:eastAsia="en-US"/>
        </w:rPr>
        <w:t xml:space="preserve"> different water types</w:t>
      </w:r>
      <w:r>
        <w:rPr>
          <w:rFonts w:ascii="Calibri" w:eastAsia="Calibri" w:hAnsi="Calibri" w:cs="Calibri"/>
          <w:lang w:eastAsia="en-US"/>
        </w:rPr>
        <w:t xml:space="preserve"> (Primary, Secondary, tertiary)</w:t>
      </w:r>
      <w:r w:rsidRPr="000352C4">
        <w:rPr>
          <w:rFonts w:ascii="Calibri" w:eastAsia="Calibri" w:hAnsi="Calibri" w:cs="Calibri"/>
          <w:lang w:eastAsia="en-US"/>
        </w:rPr>
        <w:t xml:space="preserve"> are characteristic of the </w:t>
      </w:r>
      <w:r>
        <w:rPr>
          <w:rFonts w:ascii="Calibri" w:eastAsia="Calibri" w:hAnsi="Calibri" w:cs="Calibri"/>
          <w:lang w:eastAsia="en-US"/>
        </w:rPr>
        <w:t xml:space="preserve">WQ </w:t>
      </w:r>
      <w:r w:rsidRPr="000352C4">
        <w:rPr>
          <w:rFonts w:ascii="Calibri" w:eastAsia="Calibri" w:hAnsi="Calibri" w:cs="Calibri"/>
          <w:lang w:eastAsia="en-US"/>
        </w:rPr>
        <w:t>gradient across the GBR river plumes and have been described from the inshore to the offshore boundaries of river plumes</w:t>
      </w:r>
      <w:r>
        <w:rPr>
          <w:rFonts w:ascii="Calibri" w:eastAsia="Calibri" w:hAnsi="Calibri" w:cs="Calibri"/>
          <w:lang w:eastAsia="en-US"/>
        </w:rPr>
        <w:t xml:space="preserve">. </w:t>
      </w:r>
      <w:r w:rsidRPr="00DF1C49">
        <w:rPr>
          <w:rFonts w:ascii="Calibri" w:eastAsia="Calibri" w:hAnsi="Calibri" w:cs="Times New Roman"/>
          <w:lang w:eastAsia="en-US"/>
        </w:rPr>
        <w:t xml:space="preserve">Two families of supervised classification methods based on MODIS data have been investigated </w:t>
      </w:r>
      <w:r>
        <w:rPr>
          <w:rFonts w:ascii="Calibri" w:eastAsia="Calibri" w:hAnsi="Calibri" w:cs="Times New Roman"/>
          <w:lang w:eastAsia="en-US"/>
        </w:rPr>
        <w:t xml:space="preserve">in this report </w:t>
      </w:r>
      <w:r w:rsidRPr="00DF1C49">
        <w:rPr>
          <w:rFonts w:ascii="Calibri" w:eastAsia="Calibri" w:hAnsi="Calibri" w:cs="Times New Roman"/>
          <w:lang w:eastAsia="en-US"/>
        </w:rPr>
        <w:t xml:space="preserve">to map </w:t>
      </w:r>
      <w:r w:rsidRPr="003A50F8">
        <w:rPr>
          <w:rFonts w:ascii="Calibri" w:eastAsia="Calibri" w:hAnsi="Calibri" w:cs="Calibri"/>
          <w:lang w:eastAsia="en-US"/>
        </w:rPr>
        <w:t>GBR river plumes and plume water type surface areas</w:t>
      </w:r>
      <w:r w:rsidRPr="00DF1C49">
        <w:rPr>
          <w:rFonts w:ascii="Calibri" w:eastAsia="Calibri" w:hAnsi="Calibri" w:cs="Times New Roman"/>
          <w:lang w:eastAsia="en-US"/>
        </w:rPr>
        <w:t xml:space="preserve">: one based on </w:t>
      </w:r>
      <w:r w:rsidRPr="003B7032">
        <w:rPr>
          <w:rFonts w:ascii="Calibri" w:eastAsia="Calibri" w:hAnsi="Calibri" w:cs="Times New Roman"/>
          <w:lang w:eastAsia="en-US"/>
        </w:rPr>
        <w:t>MODIS true colour images, and one using MODIS images calibrated into WQ proxies.</w:t>
      </w:r>
      <w:r>
        <w:rPr>
          <w:rFonts w:ascii="Calibri" w:eastAsia="Calibri" w:hAnsi="Calibri" w:cs="Times New Roman"/>
          <w:lang w:eastAsia="en-US"/>
        </w:rPr>
        <w:t xml:space="preserve"> </w:t>
      </w:r>
      <w:r w:rsidRPr="0058358A">
        <w:rPr>
          <w:rFonts w:ascii="Calibri" w:eastAsia="Calibri" w:hAnsi="Calibri" w:cs="Calibri"/>
          <w:lang w:eastAsia="en-US"/>
        </w:rPr>
        <w:t>Both methods present advantages and disadvantages</w:t>
      </w:r>
      <w:r>
        <w:rPr>
          <w:rFonts w:ascii="Calibri" w:eastAsia="Calibri" w:hAnsi="Calibri" w:cs="Calibri"/>
          <w:lang w:eastAsia="en-US"/>
        </w:rPr>
        <w:t xml:space="preserve">, described in the section </w:t>
      </w:r>
      <w:r w:rsidRPr="003B7032">
        <w:rPr>
          <w:rFonts w:ascii="Calibri" w:eastAsia="Calibri" w:hAnsi="Calibri" w:cs="Calibri"/>
          <w:i/>
          <w:lang w:eastAsia="en-US"/>
        </w:rPr>
        <w:t xml:space="preserve">“Comparison between RS outputs derived from the TC and L2 </w:t>
      </w:r>
      <w:r w:rsidRPr="003B7032">
        <w:rPr>
          <w:rFonts w:ascii="Calibri" w:eastAsia="Calibri" w:hAnsi="Calibri" w:cs="Calibri"/>
          <w:lang w:eastAsia="en-US"/>
        </w:rPr>
        <w:t>methods”</w:t>
      </w:r>
      <w:r w:rsidRPr="00714C13">
        <w:rPr>
          <w:rFonts w:ascii="Calibri" w:eastAsia="Calibri" w:hAnsi="Calibri" w:cs="Calibri"/>
          <w:lang w:eastAsia="en-US"/>
        </w:rPr>
        <w:t>.</w:t>
      </w:r>
      <w:r w:rsidRPr="003B7032">
        <w:rPr>
          <w:rFonts w:ascii="Calibri" w:eastAsia="Calibri" w:hAnsi="Calibri" w:cs="Calibri"/>
          <w:lang w:eastAsia="en-US"/>
        </w:rPr>
        <w:t xml:space="preserve"> Quickly, the TC method offers a simple and objective method by clustering the information contained in MODIS true-colour composites (Red–Green–Blue bands), but relies on non-atmospherically corrected data</w:t>
      </w:r>
      <w:r>
        <w:rPr>
          <w:rFonts w:ascii="Calibri" w:eastAsia="Calibri" w:hAnsi="Calibri" w:cs="Calibri"/>
          <w:lang w:eastAsia="en-US"/>
        </w:rPr>
        <w:t xml:space="preserve">. </w:t>
      </w:r>
      <w:r w:rsidRPr="003B7032">
        <w:rPr>
          <w:rFonts w:ascii="Calibri" w:eastAsia="Calibri" w:hAnsi="Calibri" w:cs="Calibri"/>
          <w:lang w:eastAsia="en-US"/>
        </w:rPr>
        <w:t>The L2 threshold method</w:t>
      </w:r>
      <w:r>
        <w:rPr>
          <w:rFonts w:ascii="Calibri" w:eastAsia="Calibri" w:hAnsi="Calibri" w:cs="Calibri"/>
          <w:lang w:eastAsia="en-US"/>
        </w:rPr>
        <w:t xml:space="preserve"> provide </w:t>
      </w:r>
      <w:r w:rsidRPr="009077F2">
        <w:rPr>
          <w:rFonts w:ascii="Calibri" w:eastAsia="Calibri" w:hAnsi="Calibri" w:cs="Calibri"/>
          <w:lang w:eastAsia="en-US"/>
        </w:rPr>
        <w:t xml:space="preserve">valuable quantitative information, such as the concentration of CDOM, TSS, chl-a, or Kd(PAR) values that are not directly available through the </w:t>
      </w:r>
      <w:r>
        <w:rPr>
          <w:rFonts w:ascii="Calibri" w:eastAsia="Calibri" w:hAnsi="Calibri" w:cs="Calibri"/>
          <w:lang w:eastAsia="en-US"/>
        </w:rPr>
        <w:t xml:space="preserve">TC method, but rely on bio-optical algorithms that are not fully validated in the optically complex waters, such as the GBR coastal waters. </w:t>
      </w:r>
      <w:r w:rsidRPr="003B7032">
        <w:rPr>
          <w:rFonts w:ascii="Calibri" w:eastAsia="Calibri" w:hAnsi="Calibri" w:cs="Calibri"/>
          <w:lang w:eastAsia="en-US"/>
        </w:rPr>
        <w:t xml:space="preserve">It was thus decided, for the rest of this report and for the following monitoring years, to work with river plume products derived from MODIS true </w:t>
      </w:r>
      <w:r w:rsidR="008E03E9" w:rsidRPr="003B7032">
        <w:rPr>
          <w:rFonts w:ascii="Calibri" w:eastAsia="Calibri" w:hAnsi="Calibri" w:cs="Calibri"/>
          <w:lang w:eastAsia="en-US"/>
        </w:rPr>
        <w:t>colour</w:t>
      </w:r>
      <w:r w:rsidRPr="003B7032">
        <w:rPr>
          <w:rFonts w:ascii="Calibri" w:eastAsia="Calibri" w:hAnsi="Calibri" w:cs="Calibri"/>
          <w:lang w:eastAsia="en-US"/>
        </w:rPr>
        <w:t xml:space="preserve"> satellite data to assess the exposure of GBR key ecosystems to the river plume and describe the potential risk experienced by these ecosystems from the river plume exposure</w:t>
      </w:r>
      <w:r>
        <w:rPr>
          <w:rFonts w:ascii="Calibri" w:eastAsia="Calibri" w:hAnsi="Calibri" w:cs="Calibri"/>
          <w:lang w:eastAsia="en-US"/>
        </w:rPr>
        <w:t xml:space="preserve">. </w:t>
      </w:r>
      <w:r w:rsidRPr="00A15E5A">
        <w:rPr>
          <w:rFonts w:ascii="Calibri" w:eastAsia="Calibri" w:hAnsi="Calibri" w:cs="Calibri"/>
          <w:lang w:eastAsia="en-US"/>
        </w:rPr>
        <w:t xml:space="preserve">Methods could be updated in future toward the use of L2 derived RS product if more accurate L2 algorithms become available.   </w:t>
      </w:r>
    </w:p>
    <w:p w14:paraId="0C3F897F" w14:textId="77777777" w:rsidR="00131E41" w:rsidRPr="00BE31E1" w:rsidRDefault="00131E41" w:rsidP="00131E41">
      <w:pPr>
        <w:pStyle w:val="ListParagraph"/>
        <w:numPr>
          <w:ilvl w:val="1"/>
          <w:numId w:val="3"/>
        </w:numPr>
        <w:rPr>
          <w:rStyle w:val="Heading20"/>
        </w:rPr>
      </w:pPr>
      <w:bookmarkStart w:id="275" w:name="_Toc427831230"/>
      <w:bookmarkStart w:id="276" w:name="_Toc428793361"/>
      <w:bookmarkStart w:id="277" w:name="_Toc428851366"/>
      <w:r w:rsidRPr="00BE31E1">
        <w:rPr>
          <w:rStyle w:val="Heading20"/>
        </w:rPr>
        <w:t>Toward the production of river plume risk maps for the GBR ecosystems</w:t>
      </w:r>
      <w:bookmarkEnd w:id="275"/>
      <w:bookmarkEnd w:id="276"/>
      <w:bookmarkEnd w:id="277"/>
    </w:p>
    <w:p w14:paraId="0C3F8980" w14:textId="77777777" w:rsidR="00131E41" w:rsidRDefault="00131E41" w:rsidP="00131E41">
      <w:pPr>
        <w:rPr>
          <w:rFonts w:ascii="Calibri" w:eastAsia="Calibri" w:hAnsi="Calibri" w:cs="Calibri"/>
          <w:lang w:eastAsia="en-US"/>
        </w:rPr>
      </w:pPr>
      <w:r w:rsidRPr="007A37BA">
        <w:rPr>
          <w:rFonts w:ascii="Calibri" w:eastAsia="Calibri" w:hAnsi="Calibri" w:cs="Calibri"/>
          <w:lang w:eastAsia="en-US"/>
        </w:rPr>
        <w:t>Each plume water type is associated with different optical properties, colours, as well as different concentrations and proportions of nutrient, sediment and pesticides and different light levels. Concentrations of TSS, CDOM and light levels in flood plumes generally decrease across plume water types i.e., from Primary to Tertiary water types. Linear decrease of DIN and PSII herbicides concentrations across river plumes (from the coast to offshore i.e., from Primary to Tertiary water types) have also been reported in the literature (Álvarez-Romero et al., 2013, Kennedy et al., 2012, Lewis et al. 2009). As an approximation, it can be assumed that the magnitude of risk for the GBR seagrass beds and coral reefs from river plume exposure (i.e., from land-sourced pollutants in river plumes) will increase from the Tertiary waters to the Primary core of river plumes.</w:t>
      </w:r>
    </w:p>
    <w:p w14:paraId="0C3F8981" w14:textId="77777777" w:rsidR="00131E41" w:rsidRPr="00DF1C49" w:rsidRDefault="00131E41" w:rsidP="00131E41">
      <w:pPr>
        <w:rPr>
          <w:rFonts w:ascii="Calibri" w:eastAsia="Calibri" w:hAnsi="Calibri" w:cs="Calibri"/>
          <w:lang w:eastAsia="en-US"/>
        </w:rPr>
      </w:pPr>
      <w:r>
        <w:rPr>
          <w:rFonts w:ascii="Calibri" w:eastAsia="Calibri" w:hAnsi="Calibri" w:cs="Times New Roman"/>
          <w:lang w:eastAsia="en-US"/>
        </w:rPr>
        <w:t>R</w:t>
      </w:r>
      <w:r w:rsidRPr="00100395">
        <w:rPr>
          <w:rFonts w:ascii="Calibri" w:eastAsia="Calibri" w:hAnsi="Calibri" w:cs="Times New Roman"/>
          <w:lang w:eastAsia="en-US"/>
        </w:rPr>
        <w:t>iver plume maps produced have been used as an interpretative tool for understanding changes in seagrass meadow health in the GBR, and decline in seagrass meadow area and biomass has been positively linked to high occurrence of turbid water masses mapped through MODIS imagery (Petus et al., 2014</w:t>
      </w:r>
      <w:r>
        <w:rPr>
          <w:rFonts w:ascii="Calibri" w:eastAsia="Calibri" w:hAnsi="Calibri" w:cs="Times New Roman"/>
          <w:lang w:eastAsia="en-US"/>
        </w:rPr>
        <w:t>c</w:t>
      </w:r>
      <w:r w:rsidRPr="00100395">
        <w:rPr>
          <w:rFonts w:ascii="Calibri" w:eastAsia="Calibri" w:hAnsi="Calibri" w:cs="Times New Roman"/>
          <w:lang w:eastAsia="en-US"/>
        </w:rPr>
        <w:t>).</w:t>
      </w:r>
      <w:r>
        <w:rPr>
          <w:rFonts w:ascii="Calibri" w:eastAsia="Calibri" w:hAnsi="Calibri" w:cs="Times New Roman"/>
          <w:lang w:eastAsia="en-US"/>
        </w:rPr>
        <w:t xml:space="preserve"> </w:t>
      </w:r>
      <w:r w:rsidRPr="005834B5">
        <w:rPr>
          <w:rFonts w:ascii="Calibri" w:eastAsia="Calibri" w:hAnsi="Calibri" w:cs="Times New Roman"/>
          <w:lang w:eastAsia="en-US"/>
        </w:rPr>
        <w:t>Petus et al. (2014</w:t>
      </w:r>
      <w:r>
        <w:rPr>
          <w:rFonts w:ascii="Calibri" w:eastAsia="Calibri" w:hAnsi="Calibri" w:cs="Times New Roman"/>
          <w:lang w:eastAsia="en-US"/>
        </w:rPr>
        <w:t>b</w:t>
      </w:r>
      <w:r w:rsidRPr="005834B5">
        <w:rPr>
          <w:rFonts w:ascii="Calibri" w:eastAsia="Calibri" w:hAnsi="Calibri" w:cs="Times New Roman"/>
          <w:lang w:eastAsia="en-US"/>
        </w:rPr>
        <w:t>) proposed that time series of MODIS plume water type maps could help progress river plume risk maps for the GBR by clustering water masses with different concentrations and proportions of land-sourced contaminants and</w:t>
      </w:r>
      <w:r>
        <w:rPr>
          <w:rFonts w:ascii="Calibri" w:eastAsia="Calibri" w:hAnsi="Calibri" w:cs="Times New Roman"/>
          <w:lang w:eastAsia="en-US"/>
        </w:rPr>
        <w:t>,</w:t>
      </w:r>
      <w:r w:rsidRPr="005834B5">
        <w:rPr>
          <w:rFonts w:ascii="Calibri" w:eastAsia="Calibri" w:hAnsi="Calibri" w:cs="Times New Roman"/>
          <w:lang w:eastAsia="en-US"/>
        </w:rPr>
        <w:t xml:space="preserve"> thus</w:t>
      </w:r>
      <w:r>
        <w:rPr>
          <w:rFonts w:ascii="Calibri" w:eastAsia="Calibri" w:hAnsi="Calibri" w:cs="Times New Roman"/>
          <w:lang w:eastAsia="en-US"/>
        </w:rPr>
        <w:t>,</w:t>
      </w:r>
      <w:r w:rsidRPr="005834B5">
        <w:rPr>
          <w:rFonts w:ascii="Calibri" w:eastAsia="Calibri" w:hAnsi="Calibri" w:cs="Times New Roman"/>
          <w:lang w:eastAsia="en-US"/>
        </w:rPr>
        <w:t xml:space="preserve"> by mapping ‘potential’ risk areas in the marine environment</w:t>
      </w:r>
      <w:r>
        <w:rPr>
          <w:rFonts w:ascii="Calibri" w:eastAsia="Calibri" w:hAnsi="Calibri" w:cs="Times New Roman"/>
          <w:lang w:eastAsia="en-US"/>
        </w:rPr>
        <w:t xml:space="preserve"> from river plume exposure</w:t>
      </w:r>
      <w:r w:rsidRPr="005834B5">
        <w:rPr>
          <w:rFonts w:ascii="Calibri" w:eastAsia="Calibri" w:hAnsi="Calibri" w:cs="Times New Roman"/>
          <w:lang w:eastAsia="en-US"/>
        </w:rPr>
        <w:t xml:space="preserve">. They proposed a </w:t>
      </w:r>
      <w:r>
        <w:rPr>
          <w:rFonts w:ascii="Calibri" w:eastAsia="Calibri" w:hAnsi="Calibri" w:cs="Times New Roman"/>
          <w:lang w:eastAsia="en-US"/>
        </w:rPr>
        <w:t xml:space="preserve">simplified </w:t>
      </w:r>
      <w:r w:rsidRPr="005834B5">
        <w:rPr>
          <w:rFonts w:ascii="Calibri" w:eastAsia="Calibri" w:hAnsi="Calibri" w:cs="Times New Roman"/>
          <w:lang w:eastAsia="en-US"/>
        </w:rPr>
        <w:t>framework to produce river plume risk maps for seagrass and coral ecosystems based on a simplified risk matrix assuming that ecological responses</w:t>
      </w:r>
      <w:r>
        <w:rPr>
          <w:rFonts w:ascii="Calibri" w:eastAsia="Calibri" w:hAnsi="Calibri" w:cs="Times New Roman"/>
          <w:lang w:eastAsia="en-US"/>
        </w:rPr>
        <w:t xml:space="preserve"> and, thus, ecological risk from the river plume exposure,</w:t>
      </w:r>
      <w:r w:rsidRPr="005834B5">
        <w:rPr>
          <w:rFonts w:ascii="Calibri" w:eastAsia="Calibri" w:hAnsi="Calibri" w:cs="Times New Roman"/>
          <w:lang w:eastAsia="en-US"/>
        </w:rPr>
        <w:t xml:space="preserve"> will increase linearly with the pollutant concentrations and frequency </w:t>
      </w:r>
      <w:r>
        <w:rPr>
          <w:rFonts w:ascii="Calibri" w:eastAsia="Calibri" w:hAnsi="Calibri" w:cs="Times New Roman"/>
          <w:lang w:eastAsia="en-US"/>
        </w:rPr>
        <w:t xml:space="preserve">or ‘likelihood’ </w:t>
      </w:r>
      <w:r w:rsidRPr="005834B5">
        <w:rPr>
          <w:rFonts w:ascii="Calibri" w:eastAsia="Calibri" w:hAnsi="Calibri" w:cs="Times New Roman"/>
          <w:lang w:eastAsia="en-US"/>
        </w:rPr>
        <w:t xml:space="preserve">of river plume occurrence. </w:t>
      </w:r>
      <w:r w:rsidRPr="00DF1C49">
        <w:rPr>
          <w:rFonts w:ascii="Calibri" w:eastAsia="Calibri" w:hAnsi="Calibri" w:cs="Calibri"/>
          <w:lang w:eastAsia="en-US"/>
        </w:rPr>
        <w:t>Annual river plume risk maps were produced</w:t>
      </w:r>
      <w:r>
        <w:rPr>
          <w:rFonts w:ascii="Calibri" w:eastAsia="Calibri" w:hAnsi="Calibri" w:cs="Calibri"/>
          <w:lang w:eastAsia="en-US"/>
        </w:rPr>
        <w:t xml:space="preserve"> in this report</w:t>
      </w:r>
      <w:r w:rsidRPr="00DF1C49">
        <w:rPr>
          <w:rFonts w:ascii="Calibri" w:eastAsia="Calibri" w:hAnsi="Calibri" w:cs="Calibri"/>
          <w:lang w:eastAsia="en-US"/>
        </w:rPr>
        <w:t xml:space="preserve"> for </w:t>
      </w:r>
      <w:r>
        <w:rPr>
          <w:rFonts w:ascii="Calibri" w:eastAsia="Calibri" w:hAnsi="Calibri" w:cs="Calibri"/>
          <w:lang w:eastAsia="en-US"/>
        </w:rPr>
        <w:t xml:space="preserve">the wet seasons 2006-07 to </w:t>
      </w:r>
      <w:r w:rsidRPr="00DF1C49">
        <w:rPr>
          <w:rFonts w:ascii="Calibri" w:eastAsia="Calibri" w:hAnsi="Calibri" w:cs="Calibri"/>
          <w:lang w:eastAsia="en-US"/>
        </w:rPr>
        <w:t>201</w:t>
      </w:r>
      <w:r>
        <w:rPr>
          <w:rFonts w:ascii="Calibri" w:eastAsia="Calibri" w:hAnsi="Calibri" w:cs="Calibri"/>
          <w:lang w:eastAsia="en-US"/>
        </w:rPr>
        <w:t>2-1</w:t>
      </w:r>
      <w:r w:rsidRPr="00DF1C49">
        <w:rPr>
          <w:rFonts w:ascii="Calibri" w:eastAsia="Calibri" w:hAnsi="Calibri" w:cs="Calibri"/>
          <w:lang w:eastAsia="en-US"/>
        </w:rPr>
        <w:t>3</w:t>
      </w:r>
      <w:r>
        <w:rPr>
          <w:rFonts w:ascii="Calibri" w:eastAsia="Calibri" w:hAnsi="Calibri" w:cs="Calibri"/>
          <w:lang w:eastAsia="en-US"/>
        </w:rPr>
        <w:t xml:space="preserve">. </w:t>
      </w:r>
    </w:p>
    <w:p w14:paraId="0C3F8982" w14:textId="77777777" w:rsidR="00131E41" w:rsidRPr="00DF1C49" w:rsidRDefault="00131E41" w:rsidP="00131E41">
      <w:pPr>
        <w:rPr>
          <w:rFonts w:ascii="Calibri" w:eastAsia="Calibri" w:hAnsi="Calibri" w:cs="Calibri"/>
          <w:lang w:eastAsia="en-US"/>
        </w:rPr>
      </w:pPr>
      <w:r w:rsidRPr="00DF1C49">
        <w:rPr>
          <w:rFonts w:ascii="Calibri" w:eastAsia="Calibri" w:hAnsi="Calibri" w:cs="Calibri"/>
          <w:lang w:eastAsia="en-US"/>
        </w:rPr>
        <w:t xml:space="preserve">It should nevertheless be emphasized the mapping of exposure and water types; and thus of the final river plume risk; is depend on the availability of MODIS images. Number of MODIS cloud free images available for a specific study area is, in general, inversely proportional to the local river discharge conditions (Petus et al., 2014). Strong river discharge rates are associated with stormy/cyclonic conditions and characterised by high rainfall rates and high cloud coverage. This cloud contamination prevents ocean colour observations (TC method allow to map river plumes and plume water types only under light cloud cover) and to map GBR River plumes through MODIS images. Inversely, a greater availability of satellite information due to a less frequent cloud cover </w:t>
      </w:r>
      <w:r>
        <w:rPr>
          <w:rFonts w:ascii="Calibri" w:eastAsia="Calibri" w:hAnsi="Calibri" w:cs="Calibri"/>
          <w:lang w:eastAsia="en-US"/>
        </w:rPr>
        <w:t xml:space="preserve">can results in mapping relatively higher frequency of occurrence of river plume. </w:t>
      </w:r>
      <w:r w:rsidRPr="00DF1C49">
        <w:rPr>
          <w:rFonts w:ascii="Calibri" w:eastAsia="Calibri" w:hAnsi="Calibri" w:cs="Calibri"/>
          <w:lang w:eastAsia="en-US"/>
        </w:rPr>
        <w:t xml:space="preserve">Finally, </w:t>
      </w:r>
      <w:r>
        <w:rPr>
          <w:rFonts w:ascii="Calibri" w:eastAsia="Calibri" w:hAnsi="Calibri" w:cs="Calibri"/>
          <w:lang w:eastAsia="en-US"/>
        </w:rPr>
        <w:t>it is worth noting any</w:t>
      </w:r>
      <w:r w:rsidRPr="00DF1C49">
        <w:rPr>
          <w:rFonts w:ascii="Calibri" w:eastAsia="Calibri" w:hAnsi="Calibri" w:cs="Calibri"/>
          <w:lang w:eastAsia="en-US"/>
        </w:rPr>
        <w:t xml:space="preserve"> results obtained in the Cape York NRM should be considered with care. Cape York is a shallow and optically complex environment where the TC method hasn’t been fully validated. </w:t>
      </w:r>
    </w:p>
    <w:p w14:paraId="0C3F8983" w14:textId="77777777" w:rsidR="00131E41" w:rsidRPr="00BE31E1" w:rsidRDefault="00131E41" w:rsidP="00131E41">
      <w:pPr>
        <w:pStyle w:val="ListParagraph"/>
        <w:numPr>
          <w:ilvl w:val="1"/>
          <w:numId w:val="3"/>
        </w:numPr>
        <w:rPr>
          <w:rStyle w:val="Heading20"/>
        </w:rPr>
      </w:pPr>
      <w:bookmarkStart w:id="278" w:name="_Toc427251560"/>
      <w:bookmarkStart w:id="279" w:name="_Toc427831232"/>
      <w:bookmarkStart w:id="280" w:name="_Toc428793363"/>
      <w:bookmarkStart w:id="281" w:name="_Toc428851368"/>
      <w:r w:rsidRPr="00BE31E1">
        <w:rPr>
          <w:rStyle w:val="Heading20"/>
        </w:rPr>
        <w:t>Inter-annual and averaged (7-year) trends in the GBR</w:t>
      </w:r>
      <w:bookmarkEnd w:id="278"/>
      <w:bookmarkEnd w:id="279"/>
      <w:bookmarkEnd w:id="280"/>
      <w:bookmarkEnd w:id="281"/>
    </w:p>
    <w:p w14:paraId="0C3F8984" w14:textId="77777777" w:rsidR="00131E41" w:rsidRPr="00DF1C49" w:rsidRDefault="00131E41" w:rsidP="00131E41">
      <w:pPr>
        <w:rPr>
          <w:rFonts w:ascii="Calibri" w:eastAsia="Calibri" w:hAnsi="Calibri" w:cs="Times New Roman"/>
          <w:lang w:eastAsia="en-US"/>
        </w:rPr>
      </w:pPr>
      <w:r>
        <w:rPr>
          <w:rFonts w:ascii="Calibri" w:eastAsia="Calibri" w:hAnsi="Calibri" w:cs="Times New Roman"/>
          <w:lang w:eastAsia="en-US"/>
        </w:rPr>
        <w:t>A</w:t>
      </w:r>
      <w:r w:rsidRPr="00DF1C49">
        <w:rPr>
          <w:rFonts w:ascii="Calibri" w:eastAsia="Calibri" w:hAnsi="Calibri" w:cs="Times New Roman"/>
          <w:lang w:eastAsia="en-US"/>
        </w:rPr>
        <w:t xml:space="preserve">nnual river plume risk maps were produced </w:t>
      </w:r>
      <w:r>
        <w:rPr>
          <w:rFonts w:ascii="Calibri" w:eastAsia="Calibri" w:hAnsi="Calibri" w:cs="Times New Roman"/>
          <w:lang w:eastAsia="en-US"/>
        </w:rPr>
        <w:t>for the wet seasons</w:t>
      </w:r>
      <w:r w:rsidRPr="00DF1C49">
        <w:rPr>
          <w:rFonts w:ascii="Calibri" w:eastAsia="Calibri" w:hAnsi="Calibri" w:cs="Times New Roman"/>
          <w:lang w:eastAsia="en-US"/>
        </w:rPr>
        <w:t xml:space="preserve"> </w:t>
      </w:r>
      <w:r>
        <w:rPr>
          <w:rFonts w:ascii="Calibri" w:eastAsia="Calibri" w:hAnsi="Calibri" w:cs="Times New Roman"/>
          <w:lang w:eastAsia="en-US"/>
        </w:rPr>
        <w:t>2006-</w:t>
      </w:r>
      <w:r w:rsidRPr="00DF1C49">
        <w:rPr>
          <w:rFonts w:ascii="Calibri" w:eastAsia="Calibri" w:hAnsi="Calibri" w:cs="Times New Roman"/>
          <w:lang w:eastAsia="en-US"/>
        </w:rPr>
        <w:t>07 to 20</w:t>
      </w:r>
      <w:r>
        <w:rPr>
          <w:rFonts w:ascii="Calibri" w:eastAsia="Calibri" w:hAnsi="Calibri" w:cs="Times New Roman"/>
          <w:lang w:eastAsia="en-US"/>
        </w:rPr>
        <w:t>11-</w:t>
      </w:r>
      <w:r w:rsidRPr="00DF1C49">
        <w:rPr>
          <w:rFonts w:ascii="Calibri" w:eastAsia="Calibri" w:hAnsi="Calibri" w:cs="Times New Roman"/>
          <w:lang w:eastAsia="en-US"/>
        </w:rPr>
        <w:t>12</w:t>
      </w:r>
      <w:r>
        <w:rPr>
          <w:rFonts w:ascii="Calibri" w:eastAsia="Calibri" w:hAnsi="Calibri" w:cs="Times New Roman"/>
          <w:lang w:eastAsia="en-US"/>
        </w:rPr>
        <w:t xml:space="preserve">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_Ref432673962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19</w:t>
      </w:r>
      <w:r>
        <w:rPr>
          <w:rFonts w:ascii="Calibri" w:eastAsia="Calibri" w:hAnsi="Calibri" w:cs="Times New Roman"/>
          <w:lang w:eastAsia="en-US"/>
        </w:rPr>
        <w:fldChar w:fldCharType="end"/>
      </w:r>
      <w:r>
        <w:rPr>
          <w:rFonts w:ascii="Calibri" w:eastAsia="Calibri" w:hAnsi="Calibri" w:cs="Times New Roman"/>
          <w:lang w:eastAsia="en-US"/>
        </w:rPr>
        <w:t xml:space="preserve"> and </w:t>
      </w:r>
      <w:r>
        <w:rPr>
          <w:rFonts w:ascii="Calibri" w:eastAsia="Calibri" w:hAnsi="Calibri" w:cs="Times New Roman"/>
          <w:lang w:eastAsia="en-US"/>
        </w:rPr>
        <w:fldChar w:fldCharType="begin"/>
      </w:r>
      <w:r>
        <w:rPr>
          <w:rFonts w:ascii="Calibri" w:eastAsia="Calibri" w:hAnsi="Calibri" w:cs="Times New Roman"/>
          <w:lang w:eastAsia="en-US"/>
        </w:rPr>
        <w:instrText xml:space="preserve"> REF _Ref432673964 \h </w:instrText>
      </w:r>
      <w:r>
        <w:rPr>
          <w:rFonts w:ascii="Calibri" w:eastAsia="Calibri" w:hAnsi="Calibri" w:cs="Times New Roman"/>
          <w:lang w:eastAsia="en-US"/>
        </w:rPr>
      </w:r>
      <w:r>
        <w:rPr>
          <w:rFonts w:ascii="Calibri" w:eastAsia="Calibri" w:hAnsi="Calibri" w:cs="Times New Roman"/>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20</w:t>
      </w:r>
      <w:r>
        <w:rPr>
          <w:rFonts w:ascii="Calibri" w:eastAsia="Calibri" w:hAnsi="Calibri" w:cs="Times New Roman"/>
          <w:lang w:eastAsia="en-US"/>
        </w:rPr>
        <w:fldChar w:fldCharType="end"/>
      </w:r>
      <w:r>
        <w:rPr>
          <w:rFonts w:ascii="Calibri" w:eastAsia="Calibri" w:hAnsi="Calibri" w:cs="Times New Roman"/>
          <w:lang w:eastAsia="en-US"/>
        </w:rPr>
        <w:t>)</w:t>
      </w:r>
      <w:r w:rsidRPr="00DF1C49">
        <w:rPr>
          <w:rFonts w:ascii="Calibri" w:eastAsia="Calibri" w:hAnsi="Calibri" w:cs="Times New Roman"/>
          <w:lang w:eastAsia="en-US"/>
        </w:rPr>
        <w:t>. This m</w:t>
      </w:r>
      <w:r w:rsidRPr="00DF1C49">
        <w:rPr>
          <w:rFonts w:ascii="Calibri" w:eastAsia="Calibri" w:hAnsi="Calibri" w:cs="Calibri"/>
          <w:lang w:eastAsia="en-US"/>
        </w:rPr>
        <w:t xml:space="preserve">ulti-annual satellite dataset </w:t>
      </w:r>
      <w:r w:rsidRPr="00DF1C49">
        <w:rPr>
          <w:rFonts w:ascii="Calibri" w:eastAsia="Calibri" w:hAnsi="Calibri" w:cs="Times New Roman"/>
          <w:lang w:eastAsia="en-US"/>
        </w:rPr>
        <w:t>illustrates the complex spatial and a temporal dynamic that affect GBR lagoon areas exposed to river plume risk and constitutes</w:t>
      </w:r>
      <w:r w:rsidRPr="00DF1C49">
        <w:rPr>
          <w:rFonts w:ascii="Calibri" w:eastAsia="Calibri" w:hAnsi="Calibri" w:cs="Calibri"/>
          <w:lang w:eastAsia="en-US"/>
        </w:rPr>
        <w:t xml:space="preserve"> a </w:t>
      </w:r>
      <w:r>
        <w:rPr>
          <w:rFonts w:ascii="Calibri" w:eastAsia="Calibri" w:hAnsi="Calibri" w:cs="Calibri"/>
          <w:lang w:eastAsia="en-US"/>
        </w:rPr>
        <w:t>preliminary</w:t>
      </w:r>
      <w:r w:rsidRPr="00DF1C49">
        <w:rPr>
          <w:rFonts w:ascii="Calibri" w:eastAsia="Calibri" w:hAnsi="Calibri" w:cs="Calibri"/>
          <w:lang w:eastAsia="en-US"/>
        </w:rPr>
        <w:t xml:space="preserve"> baseline against which to assess future changes in ecosystems</w:t>
      </w:r>
      <w:r>
        <w:rPr>
          <w:rFonts w:ascii="Calibri" w:eastAsia="Calibri" w:hAnsi="Calibri" w:cs="Calibri"/>
          <w:lang w:eastAsia="en-US"/>
        </w:rPr>
        <w:t xml:space="preserve"> health against</w:t>
      </w:r>
      <w:r w:rsidRPr="00DF1C49">
        <w:rPr>
          <w:rFonts w:ascii="Calibri" w:eastAsia="Calibri" w:hAnsi="Calibri" w:cs="Calibri"/>
          <w:lang w:eastAsia="en-US"/>
        </w:rPr>
        <w:t xml:space="preserve"> exposure to river plume </w:t>
      </w:r>
      <w:r>
        <w:rPr>
          <w:rFonts w:ascii="Calibri" w:eastAsia="Calibri" w:hAnsi="Calibri" w:cs="Calibri"/>
          <w:lang w:eastAsia="en-US"/>
        </w:rPr>
        <w:t>and potential risk from this exposure</w:t>
      </w:r>
      <w:r w:rsidRPr="00DF1C49">
        <w:rPr>
          <w:rFonts w:ascii="Calibri" w:eastAsia="Calibri" w:hAnsi="Calibri" w:cs="Calibri"/>
          <w:lang w:eastAsia="en-US"/>
        </w:rPr>
        <w:t>.</w:t>
      </w:r>
    </w:p>
    <w:p w14:paraId="0C3F8985" w14:textId="77777777" w:rsidR="00131E41" w:rsidRDefault="00131E41" w:rsidP="00131E41">
      <w:pPr>
        <w:rPr>
          <w:rFonts w:ascii="Calibri" w:eastAsia="Calibri" w:hAnsi="Calibri" w:cs="Times New Roman"/>
          <w:lang w:eastAsia="en-US"/>
        </w:rPr>
      </w:pPr>
      <w:r w:rsidRPr="00DF1C49">
        <w:rPr>
          <w:rFonts w:ascii="Calibri" w:eastAsia="Calibri" w:hAnsi="Calibri" w:cs="Times New Roman"/>
          <w:lang w:eastAsia="en-US"/>
        </w:rPr>
        <w:t xml:space="preserve">Spatial extent and orientations of river plumes are shaped by the Coriolis </w:t>
      </w:r>
      <w:r>
        <w:rPr>
          <w:rFonts w:ascii="Calibri" w:eastAsia="Calibri" w:hAnsi="Calibri" w:cs="Times New Roman"/>
          <w:lang w:eastAsia="en-US"/>
        </w:rPr>
        <w:t>effect</w:t>
      </w:r>
      <w:r w:rsidRPr="00DF1C49">
        <w:rPr>
          <w:rFonts w:ascii="Calibri" w:eastAsia="Calibri" w:hAnsi="Calibri" w:cs="Times New Roman"/>
          <w:lang w:eastAsia="en-US"/>
        </w:rPr>
        <w:t xml:space="preserve"> and a combination of hydro-climatic forces</w:t>
      </w:r>
      <w:r>
        <w:rPr>
          <w:rFonts w:ascii="Calibri" w:eastAsia="Calibri" w:hAnsi="Calibri" w:cs="Times New Roman"/>
          <w:lang w:eastAsia="en-US"/>
        </w:rPr>
        <w:t>,</w:t>
      </w:r>
      <w:r w:rsidRPr="00DF1C49">
        <w:rPr>
          <w:rFonts w:ascii="Calibri" w:eastAsia="Calibri" w:hAnsi="Calibri" w:cs="Times New Roman"/>
          <w:lang w:eastAsia="en-US"/>
        </w:rPr>
        <w:t xml:space="preserve"> including (i) the river discharge rates, (ii) the wind strength and orientation and (iii) the local currents. Primary (highly turbid) coastal water surface areas are mainly modulated by the river discharge rates</w:t>
      </w:r>
      <w:r>
        <w:rPr>
          <w:rFonts w:ascii="Calibri" w:eastAsia="Calibri" w:hAnsi="Calibri" w:cs="Times New Roman"/>
          <w:lang w:eastAsia="en-US"/>
        </w:rPr>
        <w:t>.</w:t>
      </w:r>
      <w:r w:rsidRPr="00DF1C49">
        <w:rPr>
          <w:rFonts w:ascii="Calibri" w:eastAsia="Calibri" w:hAnsi="Calibri" w:cs="Times New Roman"/>
          <w:lang w:eastAsia="en-US"/>
        </w:rPr>
        <w:t xml:space="preserve"> More offshore, Secondary and Tertiary river plumes water areas are also correlated to the river discharge</w:t>
      </w:r>
      <w:r>
        <w:rPr>
          <w:rFonts w:ascii="Calibri" w:eastAsia="Calibri" w:hAnsi="Calibri" w:cs="Times New Roman"/>
          <w:lang w:eastAsia="en-US"/>
        </w:rPr>
        <w:t>,</w:t>
      </w:r>
      <w:r w:rsidRPr="00DF1C49">
        <w:rPr>
          <w:rFonts w:ascii="Calibri" w:eastAsia="Calibri" w:hAnsi="Calibri" w:cs="Times New Roman"/>
          <w:lang w:eastAsia="en-US"/>
        </w:rPr>
        <w:t xml:space="preserve"> but their shapes and orientations are strongly modulated by the wind, the local currents  and Secondary and Tertiary plume </w:t>
      </w:r>
      <w:r w:rsidRPr="00593CC8">
        <w:rPr>
          <w:rFonts w:ascii="Calibri" w:eastAsia="Calibri" w:hAnsi="Calibri" w:cs="Times New Roman"/>
          <w:color w:val="000000" w:themeColor="text1"/>
          <w:lang w:eastAsia="en-US"/>
        </w:rPr>
        <w:t>waters from different river plumes are often merged all together. This might explain why, at the multi-annual scale, total river discharge per NRM was well correlated with areas under very high to river plume risk</w:t>
      </w:r>
      <w:r>
        <w:rPr>
          <w:rFonts w:ascii="Calibri" w:eastAsia="Calibri" w:hAnsi="Calibri" w:cs="Times New Roman"/>
          <w:color w:val="000000" w:themeColor="text1"/>
          <w:lang w:eastAsia="en-US"/>
        </w:rPr>
        <w:t>,</w:t>
      </w:r>
      <w:r w:rsidRPr="00593CC8">
        <w:rPr>
          <w:rFonts w:ascii="Calibri" w:eastAsia="Calibri" w:hAnsi="Calibri" w:cs="Times New Roman"/>
          <w:color w:val="000000" w:themeColor="text1"/>
          <w:lang w:eastAsia="en-US"/>
        </w:rPr>
        <w:t xml:space="preserve"> identified</w:t>
      </w:r>
      <w:r>
        <w:rPr>
          <w:rFonts w:ascii="Calibri" w:eastAsia="Calibri" w:hAnsi="Calibri" w:cs="Times New Roman"/>
          <w:color w:val="000000" w:themeColor="text1"/>
          <w:lang w:eastAsia="en-US"/>
        </w:rPr>
        <w:t xml:space="preserve"> primarily</w:t>
      </w:r>
      <w:r w:rsidRPr="00593CC8">
        <w:rPr>
          <w:rFonts w:ascii="Calibri" w:eastAsia="Calibri" w:hAnsi="Calibri" w:cs="Times New Roman"/>
          <w:color w:val="000000" w:themeColor="text1"/>
          <w:lang w:eastAsia="en-US"/>
        </w:rPr>
        <w:t xml:space="preserve"> as areas occasionally to very frequently inundated by Primary plume water </w:t>
      </w:r>
      <w:r>
        <w:rPr>
          <w:rFonts w:ascii="Calibri" w:eastAsia="Calibri" w:hAnsi="Calibri" w:cs="Times New Roman"/>
          <w:color w:val="000000" w:themeColor="text1"/>
          <w:lang w:eastAsia="en-US"/>
        </w:rPr>
        <w:t>(</w:t>
      </w:r>
      <w:r>
        <w:rPr>
          <w:rFonts w:ascii="Calibri" w:eastAsia="Calibri" w:hAnsi="Calibri" w:cs="Times New Roman"/>
          <w:color w:val="000000" w:themeColor="text1"/>
          <w:lang w:eastAsia="en-US"/>
        </w:rPr>
        <w:fldChar w:fldCharType="begin"/>
      </w:r>
      <w:r>
        <w:rPr>
          <w:rFonts w:ascii="Calibri" w:eastAsia="Calibri" w:hAnsi="Calibri" w:cs="Times New Roman"/>
          <w:color w:val="000000" w:themeColor="text1"/>
          <w:lang w:eastAsia="en-US"/>
        </w:rPr>
        <w:instrText xml:space="preserve"> REF _Ref427752201 \h </w:instrText>
      </w:r>
      <w:r>
        <w:rPr>
          <w:rFonts w:ascii="Calibri" w:eastAsia="Calibri" w:hAnsi="Calibri" w:cs="Times New Roman"/>
          <w:color w:val="000000" w:themeColor="text1"/>
          <w:lang w:eastAsia="en-US"/>
        </w:rPr>
      </w:r>
      <w:r>
        <w:rPr>
          <w:rFonts w:ascii="Calibri" w:eastAsia="Calibri" w:hAnsi="Calibri" w:cs="Times New Roman"/>
          <w:color w:val="000000" w:themeColor="text1"/>
          <w:lang w:eastAsia="en-US"/>
        </w:rPr>
        <w:fldChar w:fldCharType="separate"/>
      </w:r>
      <w:r w:rsidR="00B62B50" w:rsidRPr="00DF1C49">
        <w:rPr>
          <w:rFonts w:eastAsia="Calibri"/>
        </w:rPr>
        <w:t xml:space="preserve">Figure </w:t>
      </w:r>
      <w:r w:rsidR="00B62B50">
        <w:rPr>
          <w:rFonts w:eastAsia="Calibri"/>
          <w:noProof/>
        </w:rPr>
        <w:t>5</w:t>
      </w:r>
      <w:r w:rsidR="00B62B50">
        <w:rPr>
          <w:rFonts w:eastAsia="Calibri"/>
        </w:rPr>
        <w:noBreakHyphen/>
      </w:r>
      <w:r w:rsidR="00B62B50">
        <w:rPr>
          <w:rFonts w:eastAsia="Calibri"/>
          <w:noProof/>
        </w:rPr>
        <w:t>21</w:t>
      </w:r>
      <w:r>
        <w:rPr>
          <w:rFonts w:ascii="Calibri" w:eastAsia="Calibri" w:hAnsi="Calibri" w:cs="Times New Roman"/>
          <w:color w:val="000000" w:themeColor="text1"/>
          <w:lang w:eastAsia="en-US"/>
        </w:rPr>
        <w:fldChar w:fldCharType="end"/>
      </w:r>
      <w:r w:rsidRPr="00593CC8">
        <w:rPr>
          <w:rFonts w:ascii="Calibri" w:eastAsia="Calibri" w:hAnsi="Calibri" w:cs="Times New Roman"/>
          <w:color w:val="000000" w:themeColor="text1"/>
          <w:lang w:eastAsia="en-US"/>
        </w:rPr>
        <w:t xml:space="preserve">), while no relationships could be found with the total areas exposed to river plume (all water types). </w:t>
      </w:r>
    </w:p>
    <w:p w14:paraId="0C3F8986" w14:textId="77777777" w:rsidR="00131E41" w:rsidRPr="00BE31E1" w:rsidRDefault="00131E41" w:rsidP="00131E41">
      <w:pPr>
        <w:rPr>
          <w:rFonts w:ascii="Calibri" w:eastAsia="Calibri" w:hAnsi="Calibri" w:cs="Times New Roman"/>
          <w:lang w:eastAsia="en-US"/>
        </w:rPr>
      </w:pPr>
      <w:r>
        <w:rPr>
          <w:rFonts w:ascii="Calibri" w:eastAsia="Calibri" w:hAnsi="Calibri" w:cs="Times New Roman"/>
          <w:lang w:eastAsia="en-US"/>
        </w:rPr>
        <w:t>A m</w:t>
      </w:r>
      <w:r w:rsidRPr="00DF1C49">
        <w:rPr>
          <w:rFonts w:ascii="Calibri" w:eastAsia="Calibri" w:hAnsi="Calibri" w:cs="Times New Roman"/>
          <w:lang w:eastAsia="en-US"/>
        </w:rPr>
        <w:t xml:space="preserve">ultiannual </w:t>
      </w:r>
      <w:r>
        <w:rPr>
          <w:rFonts w:ascii="Calibri" w:eastAsia="Calibri" w:hAnsi="Calibri" w:cs="Times New Roman"/>
          <w:lang w:eastAsia="en-US"/>
        </w:rPr>
        <w:t>potential</w:t>
      </w:r>
      <w:r w:rsidRPr="00DF1C49">
        <w:rPr>
          <w:rFonts w:ascii="Calibri" w:eastAsia="Calibri" w:hAnsi="Calibri" w:cs="Times New Roman"/>
          <w:lang w:eastAsia="en-US"/>
        </w:rPr>
        <w:t xml:space="preserve"> risk map w</w:t>
      </w:r>
      <w:r>
        <w:rPr>
          <w:rFonts w:ascii="Calibri" w:eastAsia="Calibri" w:hAnsi="Calibri" w:cs="Times New Roman"/>
          <w:lang w:eastAsia="en-US"/>
        </w:rPr>
        <w:t>as</w:t>
      </w:r>
      <w:r w:rsidRPr="00DF1C49">
        <w:rPr>
          <w:rFonts w:ascii="Calibri" w:eastAsia="Calibri" w:hAnsi="Calibri" w:cs="Times New Roman"/>
          <w:lang w:eastAsia="en-US"/>
        </w:rPr>
        <w:t xml:space="preserve"> calculated </w:t>
      </w:r>
      <w:r>
        <w:rPr>
          <w:rFonts w:ascii="Calibri" w:eastAsia="Calibri" w:hAnsi="Calibri" w:cs="Times New Roman"/>
          <w:lang w:eastAsia="en-US"/>
        </w:rPr>
        <w:t>by averaging the</w:t>
      </w:r>
      <w:r w:rsidRPr="00DF1C49">
        <w:rPr>
          <w:rFonts w:ascii="Calibri" w:eastAsia="Calibri" w:hAnsi="Calibri" w:cs="Times New Roman"/>
          <w:lang w:eastAsia="en-US"/>
        </w:rPr>
        <w:t xml:space="preserve"> inter-annual risk maps </w:t>
      </w:r>
      <w:r>
        <w:rPr>
          <w:rFonts w:ascii="Calibri" w:eastAsia="Calibri" w:hAnsi="Calibri" w:cs="Times New Roman"/>
          <w:lang w:eastAsia="en-US"/>
        </w:rPr>
        <w:t>produced</w:t>
      </w:r>
      <w:r w:rsidRPr="00DF1C49">
        <w:rPr>
          <w:rFonts w:ascii="Calibri" w:eastAsia="Calibri" w:hAnsi="Calibri" w:cs="Times New Roman"/>
          <w:lang w:eastAsia="en-US"/>
        </w:rPr>
        <w:t xml:space="preserve">. Recalculating </w:t>
      </w:r>
      <w:r>
        <w:rPr>
          <w:rFonts w:ascii="Calibri" w:eastAsia="Calibri" w:hAnsi="Calibri" w:cs="Times New Roman"/>
          <w:lang w:eastAsia="en-US"/>
        </w:rPr>
        <w:t xml:space="preserve">individual wet season </w:t>
      </w:r>
      <w:r w:rsidRPr="00DF1C49">
        <w:rPr>
          <w:rFonts w:ascii="Calibri" w:eastAsia="Calibri" w:hAnsi="Calibri" w:cs="Times New Roman"/>
          <w:lang w:eastAsia="en-US"/>
        </w:rPr>
        <w:t xml:space="preserve">risk maps to </w:t>
      </w:r>
      <w:r>
        <w:rPr>
          <w:rFonts w:ascii="Calibri" w:eastAsia="Calibri" w:hAnsi="Calibri" w:cs="Times New Roman"/>
          <w:lang w:eastAsia="en-US"/>
        </w:rPr>
        <w:t xml:space="preserve">a </w:t>
      </w:r>
      <w:r w:rsidRPr="00DF1C49">
        <w:rPr>
          <w:rFonts w:ascii="Calibri" w:eastAsia="Calibri" w:hAnsi="Calibri" w:cs="Times New Roman"/>
          <w:lang w:eastAsia="en-US"/>
        </w:rPr>
        <w:t>long-term (7-year) map is useful to</w:t>
      </w:r>
      <w:r w:rsidRPr="00043AD4">
        <w:rPr>
          <w:rFonts w:ascii="Calibri" w:eastAsia="Calibri" w:hAnsi="Calibri" w:cs="Times New Roman"/>
          <w:lang w:eastAsia="en-US"/>
        </w:rPr>
        <w:t xml:space="preserve"> describe where potential risk condition</w:t>
      </w:r>
      <w:r>
        <w:rPr>
          <w:rFonts w:ascii="Calibri" w:eastAsia="Calibri" w:hAnsi="Calibri" w:cs="Times New Roman"/>
          <w:lang w:eastAsia="en-US"/>
        </w:rPr>
        <w:t>s</w:t>
      </w:r>
      <w:r w:rsidRPr="00043AD4">
        <w:rPr>
          <w:rFonts w:ascii="Calibri" w:eastAsia="Calibri" w:hAnsi="Calibri" w:cs="Times New Roman"/>
          <w:lang w:eastAsia="en-US"/>
        </w:rPr>
        <w:t xml:space="preserve"> from river plume are, on average</w:t>
      </w:r>
      <w:r w:rsidRPr="00DF1C49">
        <w:rPr>
          <w:rFonts w:ascii="Calibri" w:eastAsia="Calibri" w:hAnsi="Calibri" w:cs="Times New Roman"/>
          <w:lang w:eastAsia="en-US"/>
        </w:rPr>
        <w:t>.</w:t>
      </w:r>
      <w:r>
        <w:rPr>
          <w:rFonts w:ascii="Calibri" w:eastAsia="Calibri" w:hAnsi="Calibri" w:cs="Times New Roman"/>
          <w:lang w:eastAsia="en-US"/>
        </w:rPr>
        <w:t xml:space="preserve"> </w:t>
      </w:r>
      <w:r w:rsidRPr="00765AC0">
        <w:rPr>
          <w:rFonts w:ascii="Calibri" w:eastAsia="Calibri" w:hAnsi="Calibri" w:cs="Times New Roman"/>
          <w:lang w:eastAsia="en-US"/>
        </w:rPr>
        <w:t>From th</w:t>
      </w:r>
      <w:r>
        <w:rPr>
          <w:rFonts w:ascii="Calibri" w:eastAsia="Calibri" w:hAnsi="Calibri" w:cs="Times New Roman"/>
          <w:lang w:eastAsia="en-US"/>
        </w:rPr>
        <w:t>is multi-annual composite map</w:t>
      </w:r>
      <w:r w:rsidRPr="00765AC0">
        <w:rPr>
          <w:rFonts w:ascii="Calibri" w:eastAsia="Calibri" w:hAnsi="Calibri" w:cs="Times New Roman"/>
          <w:lang w:eastAsia="en-US"/>
        </w:rPr>
        <w:t>, it was estimated that</w:t>
      </w:r>
      <w:r>
        <w:rPr>
          <w:rFonts w:ascii="Calibri" w:eastAsia="Calibri" w:hAnsi="Calibri" w:cs="Times New Roman"/>
          <w:lang w:eastAsia="en-US"/>
        </w:rPr>
        <w:t>:</w:t>
      </w:r>
    </w:p>
    <w:p w14:paraId="0C3F8987" w14:textId="77777777" w:rsidR="00131E41" w:rsidRPr="00E635A2" w:rsidRDefault="00131E41" w:rsidP="00C05A63">
      <w:pPr>
        <w:pStyle w:val="ListParagraph"/>
        <w:numPr>
          <w:ilvl w:val="0"/>
          <w:numId w:val="19"/>
        </w:numPr>
        <w:rPr>
          <w:rFonts w:ascii="Calibri" w:eastAsia="Calibri" w:hAnsi="Calibri" w:cs="Times New Roman"/>
          <w:lang w:eastAsia="en-US"/>
        </w:rPr>
      </w:pPr>
      <w:r w:rsidRPr="00E635A2">
        <w:rPr>
          <w:rFonts w:ascii="Calibri" w:eastAsia="Calibri" w:hAnsi="Calibri" w:cs="Times New Roman"/>
          <w:lang w:eastAsia="en-US"/>
        </w:rPr>
        <w:t xml:space="preserve">Coral reef areas exposed to </w:t>
      </w:r>
      <w:r w:rsidRPr="007228D6">
        <w:rPr>
          <w:rFonts w:ascii="Calibri" w:eastAsia="Calibri" w:hAnsi="Calibri" w:cs="Times New Roman"/>
          <w:lang w:eastAsia="en-US"/>
        </w:rPr>
        <w:t xml:space="preserve">potential risk categories III and IV </w:t>
      </w:r>
      <w:r w:rsidRPr="00E635A2">
        <w:rPr>
          <w:rFonts w:ascii="Calibri" w:eastAsia="Calibri" w:hAnsi="Calibri" w:cs="Times New Roman"/>
          <w:lang w:eastAsia="en-US"/>
        </w:rPr>
        <w:t xml:space="preserve">were greater in Mackay-Whitsunday &gt; Fitzroy &gt; Wet Tropics &gt; Burdekin &gt; Burnett-Mary NRMs. </w:t>
      </w:r>
    </w:p>
    <w:p w14:paraId="0C3F8988" w14:textId="77777777" w:rsidR="00131E41" w:rsidRPr="00E635A2" w:rsidRDefault="00131E41" w:rsidP="00C05A63">
      <w:pPr>
        <w:pStyle w:val="ListParagraph"/>
        <w:numPr>
          <w:ilvl w:val="0"/>
          <w:numId w:val="19"/>
        </w:numPr>
        <w:rPr>
          <w:rFonts w:ascii="Calibri" w:eastAsia="Calibri" w:hAnsi="Calibri" w:cs="Times New Roman"/>
          <w:lang w:eastAsia="en-US"/>
        </w:rPr>
      </w:pPr>
      <w:r w:rsidRPr="00E635A2">
        <w:rPr>
          <w:rFonts w:ascii="Calibri" w:eastAsia="Calibri" w:hAnsi="Calibri" w:cs="Times New Roman"/>
          <w:lang w:eastAsia="en-US"/>
        </w:rPr>
        <w:t xml:space="preserve">Total seagrass areas exposed to </w:t>
      </w:r>
      <w:r w:rsidRPr="007228D6">
        <w:rPr>
          <w:rFonts w:ascii="Calibri" w:eastAsia="Calibri" w:hAnsi="Calibri" w:cs="Times New Roman"/>
          <w:lang w:eastAsia="en-US"/>
        </w:rPr>
        <w:t xml:space="preserve">potential risk categories III and IV </w:t>
      </w:r>
      <w:r w:rsidRPr="00E635A2">
        <w:rPr>
          <w:rFonts w:ascii="Calibri" w:eastAsia="Calibri" w:hAnsi="Calibri" w:cs="Times New Roman"/>
          <w:lang w:eastAsia="en-US"/>
        </w:rPr>
        <w:t>greater in Fitzroy &gt; Burdekin &gt; Mackay-Whitsunday &gt; Wet Tropics &gt; Burnett-Mary NRMs.</w:t>
      </w:r>
    </w:p>
    <w:p w14:paraId="0C3F8989"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lang w:eastAsia="en-US"/>
        </w:rPr>
        <w:t xml:space="preserve">In the Mackay Whitsunday Region, 60% of the total seagrass areas were in the highest relative risk </w:t>
      </w:r>
      <w:r>
        <w:rPr>
          <w:rFonts w:ascii="Calibri" w:eastAsia="Calibri" w:hAnsi="Calibri" w:cs="Times New Roman"/>
          <w:lang w:eastAsia="en-US"/>
        </w:rPr>
        <w:t>categories</w:t>
      </w:r>
      <w:r w:rsidRPr="00DF1C49">
        <w:rPr>
          <w:rFonts w:ascii="Calibri" w:eastAsia="Calibri" w:hAnsi="Calibri" w:cs="Times New Roman"/>
          <w:lang w:eastAsia="en-US"/>
        </w:rPr>
        <w:t xml:space="preserve"> compared to less than 10% for all other regions. This result is similar to the result obtained by Brodie et al., 2013 who assessed the risk of pollutants to GBR ecosystems using a comprehensive combination of qualitative and semi-quantitative WQ information about the influence of individual catchments in the 6 natural resource management (NRM) regions on coral reefs and seagrass ecosystems. They described 40% of the seagrass areas in the Mackay Whitsunday Region in the highest relative risk class of degraded WQ compared to less than 10% for all other regions. They also ranked the regional risk to coral reefs from degraded WQ as (without considering Cape York) highest in the Wet Tropics, Fitzroy and Mackay Whitsunday NRMs (though ranking was Wet Tropics&gt; Fitzroy &gt; Mackay Whitsunday), medium in Burdekin and the lowest in the Burnett-Mary NRM. This </w:t>
      </w:r>
      <w:r>
        <w:rPr>
          <w:rFonts w:ascii="Calibri" w:eastAsia="Calibri" w:hAnsi="Calibri" w:cs="Times New Roman"/>
          <w:lang w:eastAsia="en-US"/>
        </w:rPr>
        <w:t>illustrates</w:t>
      </w:r>
      <w:r w:rsidRPr="00DF1C49">
        <w:rPr>
          <w:rFonts w:ascii="Calibri" w:eastAsia="Calibri" w:hAnsi="Calibri" w:cs="Times New Roman"/>
          <w:lang w:eastAsia="en-US"/>
        </w:rPr>
        <w:t xml:space="preserve"> the potential of using the Primary, Secondary, Tertiary plume water type classification scheme to simply estimate combined WQ stressors in plume waters and thus simply model the risk of cumulative effects of pollutants in river plumes at different spatial and temporal scales.</w:t>
      </w:r>
    </w:p>
    <w:p w14:paraId="0C3F898A" w14:textId="77777777" w:rsidR="008E03E9" w:rsidRPr="008E03E9" w:rsidRDefault="00131E41" w:rsidP="008E03E9">
      <w:pPr>
        <w:pStyle w:val="Heading1"/>
        <w:numPr>
          <w:ilvl w:val="0"/>
          <w:numId w:val="3"/>
        </w:numPr>
        <w:autoSpaceDE w:val="0"/>
        <w:autoSpaceDN w:val="0"/>
        <w:adjustRightInd w:val="0"/>
        <w:spacing w:before="0" w:after="0"/>
        <w:jc w:val="left"/>
        <w:rPr>
          <w:rFonts w:ascii="Myriad Pro" w:hAnsi="Myriad Pro" w:cs="Myriad Pro"/>
          <w:color w:val="000000"/>
          <w:sz w:val="24"/>
          <w:szCs w:val="24"/>
          <w:lang w:val="en-US"/>
        </w:rPr>
      </w:pPr>
      <w:bookmarkStart w:id="282" w:name="_Toc427251561"/>
      <w:bookmarkStart w:id="283" w:name="_Toc427831235"/>
      <w:bookmarkStart w:id="284" w:name="_Toc428793366"/>
      <w:bookmarkStart w:id="285" w:name="_Toc428851371"/>
      <w:bookmarkStart w:id="286" w:name="_Toc434208018"/>
      <w:r w:rsidRPr="008E03E9">
        <w:rPr>
          <w:rStyle w:val="Heading20"/>
          <w:rFonts w:asciiTheme="minorHAnsi" w:hAnsiTheme="minorHAnsi"/>
          <w:b/>
          <w:bCs/>
          <w:iCs w:val="0"/>
          <w:sz w:val="32"/>
        </w:rPr>
        <w:t>Future developments</w:t>
      </w:r>
      <w:bookmarkEnd w:id="282"/>
      <w:bookmarkEnd w:id="283"/>
      <w:bookmarkEnd w:id="284"/>
      <w:bookmarkEnd w:id="285"/>
      <w:bookmarkEnd w:id="286"/>
    </w:p>
    <w:p w14:paraId="0C3F898B" w14:textId="77777777" w:rsidR="008E03E9" w:rsidRPr="008E03E9" w:rsidRDefault="008E03E9" w:rsidP="008E03E9">
      <w:pPr>
        <w:rPr>
          <w:rFonts w:ascii="Calibri" w:eastAsia="Calibri" w:hAnsi="Calibri" w:cs="Times New Roman"/>
          <w:lang w:eastAsia="en-US"/>
        </w:rPr>
      </w:pPr>
      <w:r w:rsidRPr="008E03E9">
        <w:rPr>
          <w:rFonts w:ascii="Calibri" w:eastAsia="Calibri" w:hAnsi="Calibri" w:cs="Times New Roman"/>
          <w:lang w:eastAsia="en-US"/>
        </w:rPr>
        <w:t xml:space="preserve"> The MMP was established in 2005 to help assess the long-term status and health of GBR ecosystems and is a critical component assessing regional water quality changes as land management practices </w:t>
      </w:r>
      <w:r>
        <w:rPr>
          <w:rFonts w:ascii="Calibri" w:eastAsia="Calibri" w:hAnsi="Calibri" w:cs="Times New Roman"/>
          <w:lang w:eastAsia="en-US"/>
        </w:rPr>
        <w:t xml:space="preserve">improve </w:t>
      </w:r>
      <w:r w:rsidRPr="008E03E9">
        <w:rPr>
          <w:rFonts w:ascii="Calibri" w:eastAsia="Calibri" w:hAnsi="Calibri" w:cs="Times New Roman"/>
          <w:lang w:eastAsia="en-US"/>
        </w:rPr>
        <w:t>across GBR catchments. The program forms an integral part of the Reef Plan Paddock to Reef Integrated Monitoring, Modelling and Reporting Program</w:t>
      </w:r>
      <w:r>
        <w:rPr>
          <w:rFonts w:ascii="Calibri" w:eastAsia="Calibri" w:hAnsi="Calibri" w:cs="Times New Roman"/>
          <w:lang w:eastAsia="en-US"/>
        </w:rPr>
        <w:t>.</w:t>
      </w:r>
    </w:p>
    <w:p w14:paraId="0C3F898C" w14:textId="77777777" w:rsidR="008E03E9" w:rsidRPr="008E03E9" w:rsidRDefault="00131E41" w:rsidP="00C05A63">
      <w:pPr>
        <w:pStyle w:val="ListParagraph"/>
        <w:numPr>
          <w:ilvl w:val="0"/>
          <w:numId w:val="25"/>
        </w:numPr>
        <w:rPr>
          <w:rFonts w:ascii="Calibri" w:eastAsia="Calibri" w:hAnsi="Calibri" w:cs="Calibri"/>
          <w:lang w:eastAsia="en-US"/>
        </w:rPr>
      </w:pPr>
      <w:r w:rsidRPr="008E03E9">
        <w:rPr>
          <w:rFonts w:ascii="Calibri" w:eastAsia="Calibri" w:hAnsi="Calibri" w:cs="Calibri"/>
          <w:lang w:eastAsia="en-US"/>
        </w:rPr>
        <w:t xml:space="preserve">The water quality </w:t>
      </w:r>
      <w:r w:rsidR="008E03E9">
        <w:rPr>
          <w:rFonts w:ascii="Calibri" w:eastAsia="Calibri" w:hAnsi="Calibri" w:cs="Calibri"/>
          <w:lang w:eastAsia="en-US"/>
        </w:rPr>
        <w:t>program will integrate</w:t>
      </w:r>
      <w:r w:rsidRPr="008E03E9">
        <w:rPr>
          <w:rFonts w:ascii="Calibri" w:eastAsia="Calibri" w:hAnsi="Calibri" w:cs="Calibri"/>
          <w:lang w:eastAsia="en-US"/>
        </w:rPr>
        <w:t xml:space="preserve"> into </w:t>
      </w:r>
      <w:r w:rsidR="008E03E9">
        <w:rPr>
          <w:rFonts w:ascii="Calibri" w:eastAsia="Calibri" w:hAnsi="Calibri" w:cs="Calibri"/>
          <w:lang w:eastAsia="en-US"/>
        </w:rPr>
        <w:t>one</w:t>
      </w:r>
      <w:r w:rsidRPr="008E03E9">
        <w:rPr>
          <w:rFonts w:ascii="Calibri" w:eastAsia="Calibri" w:hAnsi="Calibri" w:cs="Calibri"/>
          <w:lang w:eastAsia="en-US"/>
        </w:rPr>
        <w:t xml:space="preserve"> combined program </w:t>
      </w:r>
      <w:r w:rsidR="008E03E9">
        <w:rPr>
          <w:rFonts w:ascii="Calibri" w:eastAsia="Calibri" w:hAnsi="Calibri" w:cs="Calibri"/>
          <w:lang w:eastAsia="en-US"/>
        </w:rPr>
        <w:t xml:space="preserve">with wet season sampling, ambient and pesticide monitoring programs. </w:t>
      </w:r>
      <w:r w:rsidR="008E03E9" w:rsidRPr="008E03E9">
        <w:rPr>
          <w:rFonts w:ascii="Calibri" w:eastAsia="Calibri" w:hAnsi="Calibri" w:cs="Calibri"/>
          <w:lang w:eastAsia="en-US"/>
        </w:rPr>
        <w:t xml:space="preserve">The </w:t>
      </w:r>
      <w:r w:rsidR="008E03E9">
        <w:rPr>
          <w:rFonts w:ascii="Calibri" w:eastAsia="Calibri" w:hAnsi="Calibri" w:cs="Calibri"/>
          <w:lang w:eastAsia="en-US"/>
        </w:rPr>
        <w:t>new water quality program will include</w:t>
      </w:r>
      <w:r w:rsidR="008E03E9" w:rsidRPr="008E03E9">
        <w:rPr>
          <w:rFonts w:ascii="Calibri" w:eastAsia="Calibri" w:hAnsi="Calibri" w:cs="Calibri"/>
          <w:lang w:eastAsia="en-US"/>
        </w:rPr>
        <w:t xml:space="preserve"> ambient and wet season monitoring provided by researchers from James Cook University (JCU), Australian Institute of Marine Science (AIMS) and University of Queensland (UQ). These monitoring programs </w:t>
      </w:r>
      <w:r w:rsidR="008E03E9">
        <w:rPr>
          <w:rFonts w:ascii="Calibri" w:eastAsia="Calibri" w:hAnsi="Calibri" w:cs="Calibri"/>
          <w:lang w:eastAsia="en-US"/>
        </w:rPr>
        <w:t>will provide</w:t>
      </w:r>
      <w:r w:rsidR="008E03E9" w:rsidRPr="008E03E9">
        <w:rPr>
          <w:rFonts w:ascii="Calibri" w:eastAsia="Calibri" w:hAnsi="Calibri" w:cs="Calibri"/>
          <w:lang w:eastAsia="en-US"/>
        </w:rPr>
        <w:t xml:space="preserve"> a comprehensive data set that </w:t>
      </w:r>
      <w:r w:rsidR="008E03E9">
        <w:rPr>
          <w:rFonts w:ascii="Calibri" w:eastAsia="Calibri" w:hAnsi="Calibri" w:cs="Calibri"/>
          <w:lang w:eastAsia="en-US"/>
        </w:rPr>
        <w:t>will further</w:t>
      </w:r>
      <w:r w:rsidR="008E03E9" w:rsidRPr="008E03E9">
        <w:rPr>
          <w:rFonts w:ascii="Calibri" w:eastAsia="Calibri" w:hAnsi="Calibri" w:cs="Calibri"/>
          <w:lang w:eastAsia="en-US"/>
        </w:rPr>
        <w:t xml:space="preserve"> characterise the temporal and spatial variability of coastal water quality in the GBR.</w:t>
      </w:r>
    </w:p>
    <w:p w14:paraId="0C3F898D" w14:textId="77777777" w:rsidR="008E03E9" w:rsidRPr="008E03E9" w:rsidRDefault="00131E41" w:rsidP="00C05A63">
      <w:pPr>
        <w:pStyle w:val="ListParagraph"/>
        <w:numPr>
          <w:ilvl w:val="0"/>
          <w:numId w:val="25"/>
        </w:numPr>
        <w:rPr>
          <w:rFonts w:ascii="Calibri" w:eastAsia="Calibri" w:hAnsi="Calibri" w:cs="Calibri"/>
          <w:lang w:eastAsia="en-US"/>
        </w:rPr>
      </w:pPr>
      <w:r w:rsidRPr="008E03E9">
        <w:rPr>
          <w:rFonts w:ascii="Calibri" w:eastAsia="Calibri" w:hAnsi="Calibri" w:cs="Calibri"/>
          <w:lang w:eastAsia="en-US"/>
        </w:rPr>
        <w:t xml:space="preserve"> Four focus areas, including Tully, Russell-Mulgrave, Mackay-Whitsundays and </w:t>
      </w:r>
      <w:r w:rsidR="008E03E9" w:rsidRPr="008E03E9">
        <w:rPr>
          <w:rFonts w:ascii="Calibri" w:eastAsia="Calibri" w:hAnsi="Calibri" w:cs="Calibri"/>
          <w:lang w:eastAsia="en-US"/>
        </w:rPr>
        <w:t xml:space="preserve">Burdekin will </w:t>
      </w:r>
      <w:r w:rsidR="008E03E9">
        <w:rPr>
          <w:rFonts w:ascii="Calibri" w:eastAsia="Calibri" w:hAnsi="Calibri" w:cs="Calibri"/>
          <w:lang w:eastAsia="en-US"/>
        </w:rPr>
        <w:t>be</w:t>
      </w:r>
      <w:r w:rsidR="008E03E9" w:rsidRPr="008E03E9">
        <w:rPr>
          <w:rFonts w:ascii="Calibri" w:eastAsia="Calibri" w:hAnsi="Calibri" w:cs="Calibri"/>
          <w:lang w:eastAsia="en-US"/>
        </w:rPr>
        <w:t xml:space="preserve"> sampled </w:t>
      </w:r>
      <w:r w:rsidR="008E03E9">
        <w:rPr>
          <w:rFonts w:ascii="Calibri" w:eastAsia="Calibri" w:hAnsi="Calibri" w:cs="Calibri"/>
          <w:lang w:eastAsia="en-US"/>
        </w:rPr>
        <w:t xml:space="preserve">over pre-determined sites </w:t>
      </w:r>
      <w:r w:rsidR="008E03E9" w:rsidRPr="008E03E9">
        <w:rPr>
          <w:rFonts w:ascii="Calibri" w:eastAsia="Calibri" w:hAnsi="Calibri" w:cs="Calibri"/>
          <w:lang w:eastAsia="en-US"/>
        </w:rPr>
        <w:t>through the wet and dry seasons.</w:t>
      </w:r>
    </w:p>
    <w:p w14:paraId="0C3F898E"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lang w:eastAsia="en-US"/>
        </w:rPr>
        <w:t>Further developments include improvements of our RS methods to map river plumes, plume water types and the river plume risk:</w:t>
      </w:r>
    </w:p>
    <w:p w14:paraId="0C3F898F" w14:textId="77777777" w:rsidR="00131E41" w:rsidRPr="00652C07" w:rsidRDefault="00131E41" w:rsidP="00C05A63">
      <w:pPr>
        <w:pStyle w:val="ListParagraph"/>
        <w:numPr>
          <w:ilvl w:val="0"/>
          <w:numId w:val="25"/>
        </w:numPr>
        <w:rPr>
          <w:rFonts w:ascii="Calibri" w:eastAsia="Calibri" w:hAnsi="Calibri" w:cs="Calibri"/>
          <w:lang w:eastAsia="en-US"/>
        </w:rPr>
      </w:pPr>
      <w:r w:rsidRPr="00652C07">
        <w:rPr>
          <w:rFonts w:ascii="Calibri" w:eastAsia="Calibri" w:hAnsi="Calibri" w:cs="Calibri"/>
          <w:lang w:eastAsia="en-US"/>
        </w:rPr>
        <w:t xml:space="preserve">Recent progresses have been made to develop accurate regional algorithms for the GBR region (Brando et al., 2012; Schroeder et al., 2012), that provide better retrieval in optically complex coastal waters. Using these algorithms to map chl-a concentrations in near future will be instrumental in more accurate mapping of river plume waters using the Level-2 method and more particularly of the productive Secondary waters. </w:t>
      </w:r>
      <w:r w:rsidRPr="00652C07">
        <w:rPr>
          <w:rFonts w:ascii="Calibri" w:eastAsia="Calibri" w:hAnsi="Calibri" w:cs="Times New Roman"/>
          <w:lang w:eastAsia="en-US"/>
        </w:rPr>
        <w:t xml:space="preserve">MODIS images calibrated into relevant water quality metrics (e.g. TSM, </w:t>
      </w:r>
      <w:r w:rsidR="005F304A">
        <w:rPr>
          <w:rFonts w:ascii="Calibri" w:eastAsia="Calibri" w:hAnsi="Calibri" w:cs="Times New Roman"/>
          <w:lang w:eastAsia="en-US"/>
        </w:rPr>
        <w:t>chl</w:t>
      </w:r>
      <w:r w:rsidRPr="00652C07">
        <w:rPr>
          <w:rFonts w:ascii="Calibri" w:eastAsia="Calibri" w:hAnsi="Calibri" w:cs="Times New Roman"/>
          <w:lang w:eastAsia="en-US"/>
        </w:rPr>
        <w:t>-a, Dissolved Organic Matters concentrations, light attenuation) using accurate algorithms would allow producing produce compliance maps to ecological threshold and describing thresholds of acceptable WQ changes as well as their respective extent, frequency and duration for ecological management purposes.</w:t>
      </w:r>
    </w:p>
    <w:p w14:paraId="0C3F8990" w14:textId="77777777" w:rsidR="00131E41" w:rsidRPr="00652C07" w:rsidRDefault="00131E41" w:rsidP="00C05A63">
      <w:pPr>
        <w:pStyle w:val="ListParagraph"/>
        <w:numPr>
          <w:ilvl w:val="0"/>
          <w:numId w:val="25"/>
        </w:numPr>
        <w:rPr>
          <w:rFonts w:ascii="Calibri" w:eastAsia="Calibri" w:hAnsi="Calibri" w:cs="Times New Roman"/>
          <w:lang w:eastAsia="en-US"/>
        </w:rPr>
      </w:pPr>
      <w:r w:rsidRPr="00652C07">
        <w:rPr>
          <w:rFonts w:ascii="Calibri" w:eastAsia="Calibri" w:hAnsi="Calibri" w:cs="Times New Roman"/>
          <w:lang w:eastAsia="en-US"/>
        </w:rPr>
        <w:t xml:space="preserve">Further comparisons between RS-derived products and </w:t>
      </w:r>
      <w:r w:rsidRPr="00652C07">
        <w:rPr>
          <w:rFonts w:ascii="Calibri" w:eastAsia="Calibri" w:hAnsi="Calibri" w:cs="Times New Roman"/>
          <w:i/>
          <w:lang w:eastAsia="en-US"/>
        </w:rPr>
        <w:t>in situ</w:t>
      </w:r>
      <w:r w:rsidRPr="00652C07">
        <w:rPr>
          <w:rFonts w:ascii="Calibri" w:eastAsia="Calibri" w:hAnsi="Calibri" w:cs="Times New Roman"/>
          <w:lang w:eastAsia="en-US"/>
        </w:rPr>
        <w:t xml:space="preserve"> WQ data acquired over the next MMP monitoring years will be undertaken. </w:t>
      </w:r>
    </w:p>
    <w:p w14:paraId="0C3F8991" w14:textId="77777777" w:rsidR="00131E41" w:rsidRPr="00652C07" w:rsidRDefault="00131E41" w:rsidP="00C05A63">
      <w:pPr>
        <w:pStyle w:val="ListParagraph"/>
        <w:numPr>
          <w:ilvl w:val="0"/>
          <w:numId w:val="25"/>
        </w:numPr>
        <w:rPr>
          <w:rFonts w:ascii="Calibri" w:eastAsia="Calibri" w:hAnsi="Calibri" w:cs="Times New Roman"/>
          <w:lang w:eastAsia="en-US"/>
        </w:rPr>
      </w:pPr>
      <w:r w:rsidRPr="00652C07">
        <w:rPr>
          <w:rFonts w:ascii="Calibri" w:eastAsia="Calibri" w:hAnsi="Calibri" w:cs="Times New Roman"/>
          <w:lang w:eastAsia="en-US"/>
        </w:rPr>
        <w:t>Finally, analysis of the magnitude and likelihood of the risk from the RS data must be accompanied by sound knowledge of the regional ecosystems and of the water quality concentrations across plume water types relative to natural levels and to ecologically-relevant thresholds, to produce river plume risk assessment of reef and seagrass ecosystems. Ecological consequences of the risk will primarily be a function of the presence/absence of GBR ecosystems subjected to different occurrence and magnitude of risk. However, community characteristics such as the sensitivity and resilience of particular seagrass or coral communities (e.g., associated with their natural levels of exposure to pollutants) are additional parameters that must be considered when defining the ecological consequences of the risk. Indeed, different species assemblages will respond differently to the same exposure (i.e., same likelihood × magnitude of risk) to river plumes. The consequence of the exposure of species to a range of WQ conditions is complicated by the influence of multiple stressors and additional external influences including weather and climate conditions. All this information should be used in future to develop ecosystem-specific risk matrix combining the magnitude (mapped through the Primary, Secondary, Tertiary water type classes), likelihood (mapped through the frequency of occurrence) of the river plume risk and the sensitivity of the studied ecosystem.</w:t>
      </w:r>
    </w:p>
    <w:p w14:paraId="0C3F8992" w14:textId="77777777" w:rsidR="00131E41" w:rsidRPr="00822090" w:rsidRDefault="00131E41" w:rsidP="00C05A63">
      <w:pPr>
        <w:pStyle w:val="ListParagraph"/>
        <w:numPr>
          <w:ilvl w:val="0"/>
          <w:numId w:val="25"/>
        </w:numPr>
        <w:rPr>
          <w:rFonts w:cs="Times New Roman"/>
          <w:lang w:val="en-US"/>
        </w:rPr>
      </w:pPr>
      <w:r w:rsidRPr="00D75847">
        <w:rPr>
          <w:rFonts w:ascii="Calibri" w:eastAsia="Calibri" w:hAnsi="Calibri" w:cs="Times New Roman"/>
          <w:lang w:eastAsia="en-US"/>
        </w:rPr>
        <w:t xml:space="preserve">Finally, the </w:t>
      </w:r>
      <w:r w:rsidRPr="00D75847">
        <w:rPr>
          <w:rFonts w:cs="Times New Roman"/>
          <w:lang w:val="en-US"/>
        </w:rPr>
        <w:t xml:space="preserve">GBR areas classified following the risk framework of Petus et al. (2014b) should be </w:t>
      </w:r>
      <w:r w:rsidRPr="00822090">
        <w:rPr>
          <w:rFonts w:cs="Times New Roman"/>
          <w:lang w:val="en-US"/>
        </w:rPr>
        <w:t>compared to ecosystem health data</w:t>
      </w:r>
      <w:r w:rsidRPr="00A12D05">
        <w:t xml:space="preserve"> </w:t>
      </w:r>
      <w:r w:rsidRPr="00D75847">
        <w:rPr>
          <w:rFonts w:cs="Times New Roman"/>
          <w:lang w:val="en-US"/>
        </w:rPr>
        <w:t>and the validity of the risk framework assessed by examining spatial patterns, including the distribution of monitored cases of ecosystem health decline per designated risk area.</w:t>
      </w:r>
      <w:r w:rsidRPr="00822090">
        <w:rPr>
          <w:rFonts w:cs="Times New Roman"/>
          <w:lang w:val="en-US"/>
        </w:rPr>
        <w:t xml:space="preserve">  </w:t>
      </w:r>
    </w:p>
    <w:p w14:paraId="0C3F8993"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lang w:eastAsia="en-US"/>
        </w:rPr>
        <w:t>Further developments of our RS methods to map loads of pollutants (TSS, DIN and pesticides) include:</w:t>
      </w:r>
    </w:p>
    <w:p w14:paraId="0C3F8994" w14:textId="77777777" w:rsidR="00131E41" w:rsidRPr="00E635A2" w:rsidRDefault="00131E41" w:rsidP="00C05A63">
      <w:pPr>
        <w:pStyle w:val="ListParagraph"/>
        <w:numPr>
          <w:ilvl w:val="0"/>
          <w:numId w:val="20"/>
        </w:numPr>
        <w:rPr>
          <w:rFonts w:ascii="Calibri" w:eastAsia="Calibri" w:hAnsi="Calibri" w:cs="Times New Roman"/>
          <w:lang w:eastAsia="en-US"/>
        </w:rPr>
      </w:pPr>
      <w:r w:rsidRPr="00E635A2">
        <w:rPr>
          <w:rFonts w:ascii="Calibri" w:eastAsia="Calibri" w:hAnsi="Calibri" w:cs="Times New Roman"/>
          <w:lang w:eastAsia="en-US"/>
        </w:rPr>
        <w:t xml:space="preserve">The Increase of the spatial resolution of WQ data used to calculate the spatially distributed DIN and TSS maps. In this present form, the true colour method uses annual loads of TSS and DIN from seven major rivers draining into four selected NRMs to calculate their proportional contribution to the total pollutant load. Increasing the spatial resolution of these data would improve the precision of the mapping. Work is also currently undertaken to re-run the model with the annual loads from the Source Catchments modelling for all of the 35 GBR catchments. This requires establishment of dispersal relationships for the additional rivers and require non-negligible processing time and effort to automate processing steps as much as possible. </w:t>
      </w:r>
    </w:p>
    <w:p w14:paraId="0C3F8995" w14:textId="77777777" w:rsidR="00131E41" w:rsidRPr="00E635A2" w:rsidRDefault="00131E41" w:rsidP="00C05A63">
      <w:pPr>
        <w:pStyle w:val="ListParagraph"/>
        <w:numPr>
          <w:ilvl w:val="0"/>
          <w:numId w:val="20"/>
        </w:numPr>
        <w:rPr>
          <w:rFonts w:ascii="Calibri" w:eastAsia="Calibri" w:hAnsi="Calibri" w:cs="Times New Roman"/>
          <w:lang w:eastAsia="en-US"/>
        </w:rPr>
      </w:pPr>
      <w:r w:rsidRPr="00E635A2">
        <w:rPr>
          <w:rFonts w:ascii="Calibri" w:eastAsia="Calibri" w:hAnsi="Calibri" w:cs="Times New Roman"/>
          <w:lang w:eastAsia="en-US"/>
        </w:rPr>
        <w:t>The production annual load maps of Photosystem II inhibiting herbicides (PSII herbicides). The approach for modelling exposure to DIN (i.e., assuming conservative mixing) will be used for PSII. However, further investigation will be necessary to adjust the dispersal relationships i.e., relationship between PSII concentrations and color classes (see Figure 3 of Álvarez-Romero et al., 2013) to calculate the annual cost surface for PSII.</w:t>
      </w:r>
    </w:p>
    <w:p w14:paraId="0C3F8996" w14:textId="77777777" w:rsidR="00131E41" w:rsidRPr="00E635A2" w:rsidRDefault="00131E41" w:rsidP="00C05A63">
      <w:pPr>
        <w:pStyle w:val="ListParagraph"/>
        <w:numPr>
          <w:ilvl w:val="0"/>
          <w:numId w:val="20"/>
        </w:numPr>
        <w:rPr>
          <w:rFonts w:ascii="Calibri" w:eastAsia="Calibri" w:hAnsi="Calibri" w:cs="Times New Roman"/>
          <w:lang w:eastAsia="en-US"/>
        </w:rPr>
      </w:pPr>
      <w:r w:rsidRPr="00E635A2">
        <w:rPr>
          <w:rFonts w:ascii="Calibri" w:eastAsia="Calibri" w:hAnsi="Calibri" w:cs="Times New Roman"/>
          <w:lang w:eastAsia="en-US"/>
        </w:rPr>
        <w:t>Updates on the loading maps will be made available as the load data is update from all rivers in the GBR.</w:t>
      </w:r>
    </w:p>
    <w:p w14:paraId="0C3F8997" w14:textId="77777777" w:rsidR="00131E41" w:rsidRDefault="00131E41" w:rsidP="00131E41">
      <w:pPr>
        <w:rPr>
          <w:rFonts w:ascii="Cambria" w:hAnsi="Cambria" w:cs="Times New Roman"/>
          <w:bCs/>
          <w:color w:val="365F91"/>
          <w:sz w:val="36"/>
          <w:szCs w:val="36"/>
          <w:lang w:eastAsia="en-US"/>
        </w:rPr>
      </w:pPr>
    </w:p>
    <w:p w14:paraId="0C3F8998" w14:textId="77777777" w:rsidR="00076F4C" w:rsidRDefault="00076F4C" w:rsidP="0098332C">
      <w:pPr>
        <w:pStyle w:val="Heading1"/>
        <w:numPr>
          <w:ilvl w:val="0"/>
          <w:numId w:val="7"/>
        </w:numPr>
      </w:pPr>
      <w:bookmarkStart w:id="287" w:name="_Toc434208019"/>
      <w:bookmarkEnd w:id="145"/>
      <w:r w:rsidRPr="0036394D">
        <w:t>References</w:t>
      </w:r>
      <w:bookmarkEnd w:id="142"/>
      <w:bookmarkEnd w:id="287"/>
      <w:r w:rsidRPr="0036394D">
        <w:t xml:space="preserve"> </w:t>
      </w:r>
    </w:p>
    <w:p w14:paraId="0C3F8999" w14:textId="77777777" w:rsidR="00330E11" w:rsidRDefault="00330E11" w:rsidP="00330E11">
      <w:r>
        <w:t>Álvarez-Romero, J.G., Devlin, M., Teixeira da Silva, E., Petus, C., Ban, N.C., Pressey, R.L., Kool, J., Roberts, J.J., Cerdeira-Estrada, S., Wenger, A.S., Brodie, J., 2013. A novel approach to model exposure of coastal-marine ecosystems to riverine flood plumes based on remote sensing techniques. Journal of environmental management 119, 194-207.</w:t>
      </w:r>
    </w:p>
    <w:p w14:paraId="0C3F899A" w14:textId="77777777" w:rsidR="00330E11" w:rsidRDefault="00330E11" w:rsidP="00330E11">
      <w:r>
        <w:t>Anon, 2013. Reef rescue marine monitoring program quality assurance and quality control manual. 2010/11, in: Authority, G.B.R.M.P. (Ed.), GBRMPA, Townsville.</w:t>
      </w:r>
    </w:p>
    <w:p w14:paraId="0C3F899B" w14:textId="77777777" w:rsidR="00330E11" w:rsidRDefault="00330E11" w:rsidP="00330E11">
      <w:r>
        <w:t>Anon, 2014. Reef rescue marine monitoring program quality assurance and quality control manual. 2013/14, in: Authority, G.B.R.M.P. (Ed.), GBRMPA, Townsville.</w:t>
      </w:r>
    </w:p>
    <w:p w14:paraId="0C3F899C" w14:textId="77777777" w:rsidR="00330E11" w:rsidRDefault="00330E11" w:rsidP="00330E11">
      <w:r>
        <w:t>Bentley, C., Devlin, M., Paxman, C., Chue, K.L., Mueller, J.F., 2012. Pesticide monitoring in inshore waters of the Great Barrier Reef using both time-integrated and event monitoring techniques (2011 - 2012). University of Queensland, Marine Monitoring Program - Pesticides.</w:t>
      </w:r>
    </w:p>
    <w:p w14:paraId="0C3F899D" w14:textId="77777777" w:rsidR="00330E11" w:rsidRDefault="00330E11" w:rsidP="00330E11">
      <w:r>
        <w:t>Brando, V., Schroeder, T., Dekker, A., Park, Y., 2008. Reef rescue marine monitoring program: using remote sensing for GBR wide water quality. Final Report for.</w:t>
      </w:r>
    </w:p>
    <w:p w14:paraId="0C3F899E" w14:textId="77777777" w:rsidR="00330E11" w:rsidRDefault="00330E11" w:rsidP="00330E11">
      <w:r>
        <w:t>Brando, V., Schroeder, T., Dekker, A., Park, Y., 2010a. Reef Rescue Marine Monitoring Program: Using Remote Sensing for GBR Wide Water Quality: Final Report for 2009/10 Activities. CSIRO Land &amp; Water.</w:t>
      </w:r>
    </w:p>
    <w:p w14:paraId="0C3F899F" w14:textId="77777777" w:rsidR="00330E11" w:rsidRDefault="00330E11" w:rsidP="00330E11">
      <w:r>
        <w:t>Brando, V., Steven, A., Schroeder, T., Dekker, A., Park, Y., Daniel, P., Ford, P., 2010b. Remote-sensing of GBR Waters to assist performance monitoring of Water Quality Improvement Plans in Far North Queensland. Final report for Department of the Environment and Water Heritage and the Arts. Canberra, ACT. CSIRO Land &amp; Water, Canberra, ACT, p. 88.</w:t>
      </w:r>
    </w:p>
    <w:p w14:paraId="0C3F89A0" w14:textId="77777777" w:rsidR="00330E11" w:rsidRDefault="00330E11" w:rsidP="00330E11">
      <w:r w:rsidRPr="007E5BBF">
        <w:rPr>
          <w:lang w:val="de-DE"/>
        </w:rPr>
        <w:t xml:space="preserve">Brando, V.E., Anstee, J.M., Wettle, M., Dekker, A.G., Phinn, S.R., Roelfsema, C., 2009. </w:t>
      </w:r>
      <w:r>
        <w:t>A physics based retrieval and quality assessment of bathymetry from suboptimal hyperspectral data. Remote Sensing of Environment 113, 755-770.</w:t>
      </w:r>
    </w:p>
    <w:p w14:paraId="0C3F89A1" w14:textId="77777777" w:rsidR="00330E11" w:rsidRDefault="00330E11" w:rsidP="00330E11">
      <w:r>
        <w:t>Brodie, J., Binney, J., Fabricius, K., Gordon, I., Hoegh-Guldberg, O., Hunter, H., O’Reagain, P., Pearson, R., Quirk, M., Thorburn, P., 2008. Synthesis of evidence to support the scientific consensus statement on water quality in the Great Barrier Reef. The State of Queensland (Department of Premier and Cabinet), Brisbane.</w:t>
      </w:r>
    </w:p>
    <w:p w14:paraId="0C3F89A2" w14:textId="77777777" w:rsidR="00330E11" w:rsidRDefault="00330E11" w:rsidP="00330E11">
      <w:r w:rsidRPr="007E5BBF">
        <w:rPr>
          <w:lang w:val="de-DE"/>
        </w:rPr>
        <w:t xml:space="preserve">Brodie, J., Burford, M., Davis, A., da Silva, E., Devlin, M., Furnas, M., Kroon, F., Lewis, S., Lønborg, C., O’Brien, D., Schaffelke, B., 2014. </w:t>
      </w:r>
      <w:r>
        <w:t>The relative risks to water quality from particulate nitrogen discharged from rivers to the Great Barrier Reef in comparison to other forms of nitrogen. .  TropWATER Report 14/31. October 2014, 81.</w:t>
      </w:r>
    </w:p>
    <w:p w14:paraId="0C3F89A3" w14:textId="77777777" w:rsidR="00330E11" w:rsidRDefault="00330E11" w:rsidP="00330E11">
      <w:r>
        <w:t>Brodie, J., Kroon, F., Schaffelke, B., Wolanski, E., Lewis, S., Devlin, M., Bohnet, I., Bainbridge, Z., Waterhouse, J., Davis, A., 2012. Terrestrial pollutant runoff to the Great Barrier Reef: an update of issues, priorities and management responses. Marine pollution bulletin 65, 81-100.</w:t>
      </w:r>
    </w:p>
    <w:p w14:paraId="0C3F89A4" w14:textId="77777777" w:rsidR="00330E11" w:rsidRDefault="00330E11" w:rsidP="00330E11">
      <w:r>
        <w:t>Brodie, J., Lewis, S., Bainbridge, Z., Mitchell, A., Waterhouse, J., Kroon, F., 2009. Target setting for pollutant discharge management of rivers in the Great Barrier Reef catchment area. Marine and Freshwater Research 60, 1141-1149.</w:t>
      </w:r>
    </w:p>
    <w:p w14:paraId="0C3F89A5" w14:textId="77777777" w:rsidR="00330E11" w:rsidRDefault="00330E11" w:rsidP="00330E11">
      <w:r>
        <w:t>Brodie, J., Waterhouse, J., 2012. A critical review of environmental management of the ‘not so Great’Barrier Reef. Estuarine, Coastal and Shelf Science 104, 1-22.</w:t>
      </w:r>
    </w:p>
    <w:p w14:paraId="0C3F89A6" w14:textId="77777777" w:rsidR="00330E11" w:rsidRDefault="00330E11" w:rsidP="00330E11">
      <w:r>
        <w:t xml:space="preserve">Crawley, M. J. (2012). </w:t>
      </w:r>
      <w:r>
        <w:rPr>
          <w:i/>
          <w:iCs/>
        </w:rPr>
        <w:t>The R book</w:t>
      </w:r>
      <w:r>
        <w:t>. John Wiley &amp; Sons.</w:t>
      </w:r>
    </w:p>
    <w:p w14:paraId="0C3F89A7" w14:textId="77777777" w:rsidR="00330E11" w:rsidRDefault="00330E11" w:rsidP="00330E11">
      <w:r>
        <w:t>Da Silva, E., Devlin, M., Wenger, A., Petus, C., 2013. Burnett-‐Mary Wet Season 2012-‐2013: Water Quality Data Sampling, Analysis and Comparison against Wet Season 2010-‐2011 data, Centre for Tropical Water &amp; Aquatic Ecosystems Research (TropWater) Publications. JCU, James Cook University, Townsville, p. 31.</w:t>
      </w:r>
    </w:p>
    <w:p w14:paraId="0C3F89A8" w14:textId="77777777" w:rsidR="00330E11" w:rsidRDefault="00330E11" w:rsidP="00330E11">
      <w:r>
        <w:t>Devlin, M., Schaffelke, B., 2009. Spatial extent of riverine flood plumes and exposure of marine ecosystems in the Tully coastal region, Great Barrier Reef. Marine and Freshwater Research 60, 1109-1122.</w:t>
      </w:r>
    </w:p>
    <w:p w14:paraId="0C3F89A9" w14:textId="77777777" w:rsidR="00330E11" w:rsidRDefault="00330E11" w:rsidP="00330E11">
      <w:r w:rsidRPr="007E5BBF">
        <w:rPr>
          <w:lang w:val="de-DE"/>
        </w:rPr>
        <w:t xml:space="preserve">Devlin, M., Schroeder, T., McKinna, L., Brodie, J., Brando, V., Dekker, A., 2011. </w:t>
      </w:r>
      <w:r>
        <w:t>Monitoring and mapping of flood plumes in the Great Barrier Reef based on in-situ and remote sensing observations. Advances in Environmental Remote Sensing to Monitor Global Changes, CRC Press, Boca Raton.</w:t>
      </w:r>
    </w:p>
    <w:p w14:paraId="0C3F89AA" w14:textId="77777777" w:rsidR="00330E11" w:rsidRDefault="00330E11" w:rsidP="00330E11">
      <w:r>
        <w:t>Devlin, M., Waterhouse, J., Taylor, J., Brodie, J., 2001. Flood plumes in the Great Barrier Reef: spatial and temporal patterns in composition and distribution. Great Barrier Reef Marine Park Authority.</w:t>
      </w:r>
    </w:p>
    <w:p w14:paraId="0C3F89AB" w14:textId="77777777" w:rsidR="00330E11" w:rsidRDefault="00330E11" w:rsidP="00330E11">
      <w:r>
        <w:t>Devlin, M., Wenger, A., Da Silva, E., Alvarez Romero, J.G., Waterhouse, J., McKenzie, L., 2012. Extreme weather conditions in the Great Barrier Reef: Drivers of change?</w:t>
      </w:r>
    </w:p>
    <w:p w14:paraId="0C3F89AC" w14:textId="77777777" w:rsidR="00330E11" w:rsidRDefault="00330E11" w:rsidP="00330E11">
      <w:r>
        <w:t>Devlin, M.J., Álvarez-Romero, J., da Silva, E.T., DeBose, J., Petus, C., Wenger, A., 2013. Reef Rescue Marine Monitoring Program. Final report of JCU activities 2011/12 – Flood plumes and extreme weather monitoring for the Great Barrier Reef Marine Park Authority. James Cook University, Townsville.</w:t>
      </w:r>
    </w:p>
    <w:p w14:paraId="0C3F89AD" w14:textId="77777777" w:rsidR="00330E11" w:rsidRDefault="00330E11" w:rsidP="00330E11">
      <w:r>
        <w:t>Devlin, M.J., Brodie, J., 2005. Terrestrial discharge into the Great Barrier Reef Lagoon: nutrient behavior in coastal waters. Marine pollution bulletin 51, 9-22.</w:t>
      </w:r>
    </w:p>
    <w:p w14:paraId="0C3F89AE" w14:textId="77777777" w:rsidR="005F5C7F" w:rsidRPr="005F5C7F" w:rsidRDefault="005F5C7F" w:rsidP="005F5C7F">
      <w:r w:rsidRPr="005F5C7F">
        <w:t>Gallen, C., Devlin, M., Paxman, C., Banks, A., Mueller, J. (2013) Pesticide monitoring in inshore waters of the Great Barrier Reef using both time-integrated and event monitoring techniques (2012 - 2013). The University of Queensland, The National Research Centre for Environmental Toxicology (Entox).</w:t>
      </w:r>
    </w:p>
    <w:p w14:paraId="0C3F89AF" w14:textId="77777777" w:rsidR="00330E11" w:rsidRDefault="00330E11" w:rsidP="00330E11">
      <w:r>
        <w:t>Geyer, W., Hill, P., Kineke, G., 2004. The transport, transformation and dispersal of sediment by buoyant coastal flows. Continental Shelf Research 24, 927-949.</w:t>
      </w:r>
    </w:p>
    <w:p w14:paraId="0C3F89B0" w14:textId="77777777" w:rsidR="007E5614" w:rsidRPr="007E5614" w:rsidRDefault="007E5614" w:rsidP="007E5614">
      <w:r w:rsidRPr="00362A9F">
        <w:t>Howley, C., Devlin, M.J. Petus, C., da Silva, E., Tracey, D. 2015. Water Quality in Princess Charoltte Bay Flood plumes: 2012- 2014. Report to the Great Barrier Reef Marine Park Authority Marine Monitoring Programme. TropWater Report.</w:t>
      </w:r>
      <w:r>
        <w:t xml:space="preserve"> </w:t>
      </w:r>
    </w:p>
    <w:p w14:paraId="0C3F89B1" w14:textId="77777777" w:rsidR="00330E11" w:rsidRDefault="00330E11" w:rsidP="00330E11">
      <w:r>
        <w:t>Johnson, J., Brando, V., Devlin, M., McKenzie, L., Morris, S., Schaffelke, B., Thompson, A., Waterhouse, J., Waycott, M., 2011. Reef rescue marine monitoring program: 2009/2010 synthesis report. Reef and Rainforest Research Centre.</w:t>
      </w:r>
    </w:p>
    <w:p w14:paraId="0C3F89B2" w14:textId="77777777" w:rsidR="00330E11" w:rsidRDefault="00330E11" w:rsidP="00330E11">
      <w:r>
        <w:t>Joo, M., Raymond, M.A., McNeil, V.H., Huggins, R., Turner, R.D., Choy, S., 2012. Estimates of sediment and nutrient loads in 10 major catchments draining to the Great Barrier Reef during 2006–2009. Marine pollution bulletin 65, 150-166.</w:t>
      </w:r>
    </w:p>
    <w:p w14:paraId="0C3F89B3" w14:textId="77777777" w:rsidR="00330E11" w:rsidRDefault="00330E11" w:rsidP="00330E11">
      <w:r>
        <w:t>Kennedy, K., Devlin, M., Bentley, C., Lee-Chue, K., Paxman, C., Carter, S., Lewis, S.E., Brodie, J., Guy, E., Vardy, S., 2012. The influence of a season of extreme wet weather events on exposure of the World Heritage Area Great Barrier Reef to pesticides. Marine pollution bulletin 64, 1495-1507.</w:t>
      </w:r>
    </w:p>
    <w:p w14:paraId="0C3F89B4" w14:textId="77777777" w:rsidR="00330E11" w:rsidRDefault="00330E11" w:rsidP="00330E11">
      <w:r>
        <w:t>Kroon, F.J., 2012. Towards ecologically relevant targets for river pollutant loads to the Great Barrier Reef. Marine pollution bulletin 65, 261-266.</w:t>
      </w:r>
    </w:p>
    <w:p w14:paraId="0C3F89B5" w14:textId="77777777" w:rsidR="00330E11" w:rsidRDefault="00330E11" w:rsidP="00330E11">
      <w:r>
        <w:t>Martin, K., McKenzie, L.J., Thompson, A., Muller, J., Bentley, C., Paxman, C., Collier, C., Waycott, M., Brando, V., Devlin, M., Schaffelke, B., 2014. Reef Rescue Marine Monitoring Program synthesis report. 2010-2011, A report to the Great Barrier Reef Marine Park Authority., GBRMPA, Townsville.</w:t>
      </w:r>
    </w:p>
    <w:p w14:paraId="0C3F89B6" w14:textId="77777777" w:rsidR="00330E11" w:rsidRDefault="00330E11" w:rsidP="00330E11">
      <w:r>
        <w:t>Maughan, M., Brodie, J., 2009. Reef exposure to river-borne contaminants: a spatial model. Marine and Freshwater Research 60, 1132-1140.</w:t>
      </w:r>
    </w:p>
    <w:p w14:paraId="0C3F89B7" w14:textId="77777777" w:rsidR="00330E11" w:rsidRDefault="00330E11" w:rsidP="00330E11">
      <w:r>
        <w:t>McKenzie, L., Collier, C., Waycott, M., 2014. Reef Rescue Marine Monitoring Program: Inshore Seagrass, Annual Report for the sampling period 1st July 2011–31st May 2012.</w:t>
      </w:r>
    </w:p>
    <w:p w14:paraId="0C3F89B8" w14:textId="77777777" w:rsidR="00330E11" w:rsidRDefault="00330E11" w:rsidP="00330E11">
      <w:r>
        <w:t>McKenzie, L., Collier, C., Waycott, M., Unsworth, R., Yoshida, R., Smith, N., 2012. Monitoring inshore seagrasses of the GBR and responses to water quality.</w:t>
      </w:r>
    </w:p>
    <w:p w14:paraId="0C3F89B9" w14:textId="77777777" w:rsidR="00330E11" w:rsidRDefault="00330E11" w:rsidP="00330E11">
      <w:r>
        <w:t>Petus, C., Collier, C., Devlin, M., Rasheed, M., McKenna, S., 2014. Using MODIS data for understanding changes in seagrass meadow health: A case study in the Great Barrier Reef (Australia). Marine environmental research 98, 68-85.</w:t>
      </w:r>
    </w:p>
    <w:p w14:paraId="0C3F89BA" w14:textId="77777777" w:rsidR="00DE3562" w:rsidRDefault="00DE3562" w:rsidP="00330E11">
      <w:r>
        <w:t xml:space="preserve">Petus C., Devlin, M., Thompson, A., McKenzie, L., Teixeira da Silva, E., collier, C., Tracey, D., Martin, K., (in review). </w:t>
      </w:r>
      <w:r w:rsidRPr="0034506A">
        <w:t>Estimating the exposure of coral reefs and seagrass meadows to land-sourced contaminants in river flood plumes of the Great Barrier Reef: validating a simple satellite risk framework with Environmental Data</w:t>
      </w:r>
      <w:r>
        <w:t>. Remote Sensing</w:t>
      </w:r>
    </w:p>
    <w:p w14:paraId="0C3F89BB" w14:textId="77777777" w:rsidR="00DE3562" w:rsidRDefault="00DE3562" w:rsidP="00330E11">
      <w:r w:rsidRPr="00362A9F">
        <w:t>Petus, C., Teixeira da Silva,E., Devlin, M., Wenger, A.,Álvarez-Romero, J. G. 2014b. Using MODIS data for mapping of water types within river plumes in the Great Barrier Reef, Australia: towards the production of river plume risk maps for reef and seagrass ecosystems. Journal of Environmental Management 137: 163-177.</w:t>
      </w:r>
    </w:p>
    <w:p w14:paraId="0C3F89BC" w14:textId="77777777" w:rsidR="00330E11" w:rsidRDefault="00330E11" w:rsidP="00330E11">
      <w:r>
        <w:t>R Development Core Team. 2014</w:t>
      </w:r>
      <w:r w:rsidRPr="00330E11">
        <w:t>. R: A Language and Environment for Statistical Computing (Version 3.12) [Software]. Vienna, Austria: R Foundation for S</w:t>
      </w:r>
      <w:r>
        <w:t xml:space="preserve">tatistical Computing. Retrieved </w:t>
      </w:r>
      <w:r w:rsidRPr="00330E11">
        <w:t>from http://www.Rproject.org.</w:t>
      </w:r>
    </w:p>
    <w:p w14:paraId="0C3F89BD" w14:textId="77777777" w:rsidR="00330E11" w:rsidRDefault="00330E11" w:rsidP="00330E11">
      <w:r w:rsidRPr="007E5BBF">
        <w:rPr>
          <w:lang w:val="de-DE"/>
        </w:rPr>
        <w:t xml:space="preserve">Schaffelke, B., Carleton, J., Skuza, M., Zagorskis, I., Furnas, M.J., 2012. </w:t>
      </w:r>
      <w:r>
        <w:t>Water quality in the inshore Great Barrier Reef lagoon: Implications for long-term monitoring and management. Marine pollution bulletin 65, 249-260.</w:t>
      </w:r>
    </w:p>
    <w:p w14:paraId="0C3F89BE" w14:textId="77777777" w:rsidR="00330E11" w:rsidRDefault="00330E11" w:rsidP="00330E11">
      <w:r w:rsidRPr="007E5BBF">
        <w:rPr>
          <w:lang w:val="de-DE"/>
        </w:rPr>
        <w:t xml:space="preserve">Schroeder, T., Behnert, I., Schaale, M., Fischer, J., Doerffer, R., 2007. </w:t>
      </w:r>
      <w:r>
        <w:t xml:space="preserve">Atmospheric correction algorithm for MERIS above case‐2 waters. International Journal of Remote Sensing 28, 1469-1486. </w:t>
      </w:r>
    </w:p>
    <w:p w14:paraId="0C3F89BF" w14:textId="77777777" w:rsidR="00330E11" w:rsidRDefault="00330E11" w:rsidP="00330E11">
      <w:r>
        <w:t>Thompson, A., Schaffelke, B., Logan, M., Costello, P., Davidson, J., Doyle, J., Furnas, M., Gunn, K., Liddy, M., Skuza, M., 2013. Reef Rescue Marine Monitoring Program: Annual Report of AIMS Activities 2012 to 2013, Inshore water quality and coral reef monitoring.</w:t>
      </w:r>
    </w:p>
    <w:p w14:paraId="0C3F89C0" w14:textId="77777777" w:rsidR="00330E11" w:rsidRDefault="00330E11" w:rsidP="00330E11">
      <w:r>
        <w:t>Waterhouse, J., Brodie, J., Lewis, S., Mitchell, A., 2012. Quantifying the sources of pollutants in the Great Barrier Reef catchments and the relative risk to reef ecosystems. Marine pollution bulletin 65, 394-406.</w:t>
      </w:r>
    </w:p>
    <w:p w14:paraId="0C3F89C1" w14:textId="77777777" w:rsidR="00330E11" w:rsidRDefault="00330E11" w:rsidP="00330E11">
      <w:r>
        <w:t>Wolanski, E., Jones, M., 1981. Physical properties of Great Barrier Reef lagoon waters near Townsville. I. Effects of Burdekin River floods. Marine and Freshwater Research 32, 305-319.</w:t>
      </w:r>
    </w:p>
    <w:p w14:paraId="0C3F89C2" w14:textId="77777777" w:rsidR="00330E11" w:rsidRDefault="00330E11" w:rsidP="00330E11">
      <w:r w:rsidRPr="007E5BBF">
        <w:rPr>
          <w:lang w:val="de-DE"/>
        </w:rPr>
        <w:t xml:space="preserve">Wolanski, E., Van Senden, D., 1983. </w:t>
      </w:r>
      <w:r>
        <w:t>Mixing of Burdekin river flood waters in the Great Barrier Reef. Marine and Freshwater Research 34, 49-63.</w:t>
      </w:r>
    </w:p>
    <w:p w14:paraId="0C3F89C3" w14:textId="77777777" w:rsidR="00330E11" w:rsidRDefault="00630695" w:rsidP="00330E11">
      <w:r>
        <w:t xml:space="preserve">Wood, S. N. (2006). Low‐Rank Scale‐Invariant Tensor Product Smooths for Generalized Additive Mixed Models. </w:t>
      </w:r>
      <w:r>
        <w:rPr>
          <w:i/>
          <w:iCs/>
        </w:rPr>
        <w:t>Biometrics</w:t>
      </w:r>
      <w:r>
        <w:t xml:space="preserve">, </w:t>
      </w:r>
      <w:r>
        <w:rPr>
          <w:i/>
          <w:iCs/>
        </w:rPr>
        <w:t>62</w:t>
      </w:r>
      <w:r>
        <w:t>(4), 1025-1036.</w:t>
      </w:r>
    </w:p>
    <w:p w14:paraId="0C3F89C4" w14:textId="77777777" w:rsidR="00B6457B" w:rsidRDefault="00B6457B">
      <w:pPr>
        <w:spacing w:before="0" w:after="0"/>
        <w:jc w:val="left"/>
        <w:rPr>
          <w:sz w:val="18"/>
        </w:rPr>
      </w:pPr>
      <w:r>
        <w:rPr>
          <w:sz w:val="18"/>
        </w:rPr>
        <w:br w:type="page"/>
      </w:r>
    </w:p>
    <w:p w14:paraId="0C3F89C5" w14:textId="77777777" w:rsidR="00B6457B" w:rsidRPr="005A0C55" w:rsidRDefault="00B6457B" w:rsidP="00B6457B">
      <w:pPr>
        <w:pStyle w:val="Heading1"/>
      </w:pPr>
      <w:bookmarkStart w:id="288" w:name="_Toc428350524"/>
      <w:r>
        <w:t>Appendix A: snapshots of River plumes during the 2012-13 wet season</w:t>
      </w:r>
      <w:bookmarkEnd w:id="288"/>
      <w:r w:rsidRPr="005A0C55">
        <w:t xml:space="preserve">  </w:t>
      </w:r>
    </w:p>
    <w:p w14:paraId="0C3F89C6" w14:textId="77777777" w:rsidR="00B6457B" w:rsidRDefault="00B6457B" w:rsidP="00B6457B">
      <w:pPr>
        <w:keepNext/>
        <w:spacing w:after="120"/>
        <w:jc w:val="center"/>
      </w:pPr>
      <w:r>
        <w:rPr>
          <w:noProof/>
        </w:rPr>
        <w:drawing>
          <wp:inline distT="0" distB="0" distL="0" distR="0" wp14:anchorId="0C3F9031" wp14:editId="0C3F9032">
            <wp:extent cx="4140000" cy="7223608"/>
            <wp:effectExtent l="0" t="0" r="0" b="0"/>
            <wp:docPr id="53" name="Picture 53" descr="MODIS-Aqua true colour composite (7 – 2 – 1) of the Burdekin NRM (b) and corresponding river discharge rates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01" cstate="screen">
                      <a:extLst>
                        <a:ext uri="{28A0092B-C50C-407E-A947-70E740481C1C}">
                          <a14:useLocalDpi xmlns:a14="http://schemas.microsoft.com/office/drawing/2010/main"/>
                        </a:ext>
                      </a:extLst>
                    </a:blip>
                    <a:srcRect/>
                    <a:stretch/>
                  </pic:blipFill>
                  <pic:spPr bwMode="auto">
                    <a:xfrm>
                      <a:off x="0" y="0"/>
                      <a:ext cx="4140000" cy="7223608"/>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C7" w14:textId="77777777" w:rsidR="00B6457B" w:rsidRPr="00805B4E" w:rsidRDefault="00B6457B" w:rsidP="00B6457B">
      <w:pPr>
        <w:pStyle w:val="Caption"/>
        <w:keepNext/>
        <w:jc w:val="both"/>
        <w:rPr>
          <w:rFonts w:cstheme="minorHAnsi"/>
          <w:b/>
          <w:bCs/>
          <w:color w:val="auto"/>
          <w:szCs w:val="22"/>
          <w:lang w:eastAsia="en-AU"/>
        </w:rPr>
      </w:pPr>
      <w:r w:rsidRPr="00EA39D4">
        <w:rPr>
          <w:rFonts w:cstheme="minorHAnsi"/>
          <w:color w:val="auto"/>
          <w:szCs w:val="22"/>
          <w:lang w:eastAsia="en-AU"/>
        </w:rPr>
        <w:t xml:space="preserve">Figure A-1: MODIS-Aqua true </w:t>
      </w:r>
      <w:r w:rsidR="00EA39D4" w:rsidRPr="00EA39D4">
        <w:rPr>
          <w:rFonts w:cstheme="minorHAnsi"/>
          <w:color w:val="auto"/>
          <w:szCs w:val="22"/>
          <w:lang w:eastAsia="en-AU"/>
        </w:rPr>
        <w:t>colour</w:t>
      </w:r>
      <w:r w:rsidRPr="00EA39D4">
        <w:rPr>
          <w:rFonts w:cstheme="minorHAnsi"/>
          <w:color w:val="auto"/>
          <w:szCs w:val="22"/>
          <w:lang w:eastAsia="en-AU"/>
        </w:rPr>
        <w:t xml:space="preserve"> composite (7 – 2 – 1) of the Burdekin NRM (b) and corresponding river discharge rates (a)</w:t>
      </w:r>
    </w:p>
    <w:p w14:paraId="0C3F89C8" w14:textId="77777777" w:rsidR="00B6457B" w:rsidRDefault="00B6457B" w:rsidP="00B6457B">
      <w:pPr>
        <w:spacing w:after="120"/>
      </w:pPr>
    </w:p>
    <w:p w14:paraId="0C3F89C9" w14:textId="77777777" w:rsidR="00B6457B" w:rsidRDefault="00B6457B" w:rsidP="00B6457B">
      <w:pPr>
        <w:spacing w:after="120"/>
        <w:sectPr w:rsidR="00B6457B" w:rsidSect="00393ABA">
          <w:footerReference w:type="default" r:id="rId102"/>
          <w:pgSz w:w="11906" w:h="16838"/>
          <w:pgMar w:top="1440" w:right="1440" w:bottom="1440" w:left="1440" w:header="708" w:footer="708" w:gutter="0"/>
          <w:cols w:space="708"/>
          <w:docGrid w:linePitch="360"/>
        </w:sectPr>
      </w:pPr>
    </w:p>
    <w:p w14:paraId="0C3F89CA" w14:textId="77777777" w:rsidR="00B6457B" w:rsidRDefault="00B6457B" w:rsidP="00B6457B">
      <w:pPr>
        <w:keepNext/>
        <w:spacing w:after="120"/>
        <w:jc w:val="center"/>
        <w:rPr>
          <w:rFonts w:ascii="Calibri" w:hAnsi="Calibri" w:cs="Calibri"/>
          <w:b/>
          <w:sz w:val="20"/>
          <w:szCs w:val="20"/>
        </w:rPr>
      </w:pPr>
      <w:r>
        <w:rPr>
          <w:rFonts w:ascii="Calibri" w:hAnsi="Calibri" w:cs="Calibri"/>
          <w:b/>
          <w:noProof/>
          <w:sz w:val="20"/>
          <w:szCs w:val="20"/>
        </w:rPr>
        <w:drawing>
          <wp:inline distT="0" distB="0" distL="0" distR="0" wp14:anchorId="0C3F9033" wp14:editId="0C3F9034">
            <wp:extent cx="6810375" cy="4887139"/>
            <wp:effectExtent l="0" t="0" r="0" b="8890"/>
            <wp:docPr id="5" name="Picture 5" descr="MODIS true color images (b) selected over a flood period of the Normanby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1.tif"/>
                    <pic:cNvPicPr/>
                  </pic:nvPicPr>
                  <pic:blipFill>
                    <a:blip r:embed="rId103" cstate="screen">
                      <a:extLst>
                        <a:ext uri="{28A0092B-C50C-407E-A947-70E740481C1C}">
                          <a14:useLocalDpi xmlns:a14="http://schemas.microsoft.com/office/drawing/2010/main"/>
                        </a:ext>
                      </a:extLst>
                    </a:blip>
                    <a:stretch>
                      <a:fillRect/>
                    </a:stretch>
                  </pic:blipFill>
                  <pic:spPr>
                    <a:xfrm>
                      <a:off x="0" y="0"/>
                      <a:ext cx="6812597" cy="4888733"/>
                    </a:xfrm>
                    <a:prstGeom prst="rect">
                      <a:avLst/>
                    </a:prstGeom>
                    <a:solidFill>
                      <a:schemeClr val="bg1"/>
                    </a:solidFill>
                  </pic:spPr>
                </pic:pic>
              </a:graphicData>
            </a:graphic>
          </wp:inline>
        </w:drawing>
      </w:r>
    </w:p>
    <w:p w14:paraId="0C3F89CB" w14:textId="77777777" w:rsidR="00B6457B" w:rsidRPr="00805B4E" w:rsidRDefault="00B6457B" w:rsidP="00B6457B">
      <w:pPr>
        <w:pStyle w:val="Caption"/>
        <w:keepNext/>
        <w:jc w:val="both"/>
        <w:rPr>
          <w:rFonts w:cstheme="minorHAnsi"/>
          <w:b/>
          <w:bCs/>
          <w:color w:val="auto"/>
          <w:szCs w:val="22"/>
          <w:lang w:eastAsia="en-AU"/>
        </w:rPr>
      </w:pPr>
      <w:r w:rsidRPr="00805B4E">
        <w:rPr>
          <w:rFonts w:cstheme="minorHAnsi"/>
          <w:color w:val="auto"/>
          <w:szCs w:val="22"/>
          <w:lang w:eastAsia="en-AU"/>
        </w:rPr>
        <w:t>Figure A-</w:t>
      </w:r>
      <w:r>
        <w:rPr>
          <w:rFonts w:cstheme="minorHAnsi"/>
          <w:color w:val="auto"/>
          <w:szCs w:val="22"/>
          <w:lang w:eastAsia="en-AU"/>
        </w:rPr>
        <w:t>2</w:t>
      </w:r>
      <w:r w:rsidRPr="00805B4E">
        <w:rPr>
          <w:rFonts w:cstheme="minorHAnsi"/>
          <w:color w:val="auto"/>
          <w:szCs w:val="22"/>
          <w:lang w:eastAsia="en-AU"/>
        </w:rPr>
        <w:t xml:space="preserve">: MODIS true color images (b) selected over a flood period of the Normanby River (a). Dates when the true color images were acquired are identified by red diamonds on discharge plot. </w:t>
      </w:r>
    </w:p>
    <w:p w14:paraId="0C3F89CC" w14:textId="77777777" w:rsidR="00B6457B" w:rsidRPr="00D953FD" w:rsidRDefault="00B6457B" w:rsidP="00B6457B">
      <w:pPr>
        <w:keepNext/>
        <w:spacing w:after="120"/>
        <w:jc w:val="center"/>
        <w:rPr>
          <w:color w:val="4F81BD" w:themeColor="accent1"/>
        </w:rPr>
      </w:pPr>
      <w:r w:rsidRPr="00D953FD">
        <w:rPr>
          <w:noProof/>
          <w:color w:val="4F81BD" w:themeColor="accent1"/>
        </w:rPr>
        <w:drawing>
          <wp:inline distT="0" distB="0" distL="0" distR="0" wp14:anchorId="0C3F9035" wp14:editId="0C3F9036">
            <wp:extent cx="6867525" cy="4932072"/>
            <wp:effectExtent l="0" t="0" r="0" b="1905"/>
            <wp:docPr id="46" name="Picture 46" descr="MODIS true color images (b) selected over a flood period of the Normanby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2.tif"/>
                    <pic:cNvPicPr/>
                  </pic:nvPicPr>
                  <pic:blipFill>
                    <a:blip r:embed="rId104" cstate="screen">
                      <a:extLst>
                        <a:ext uri="{28A0092B-C50C-407E-A947-70E740481C1C}">
                          <a14:useLocalDpi xmlns:a14="http://schemas.microsoft.com/office/drawing/2010/main"/>
                        </a:ext>
                      </a:extLst>
                    </a:blip>
                    <a:stretch>
                      <a:fillRect/>
                    </a:stretch>
                  </pic:blipFill>
                  <pic:spPr>
                    <a:xfrm>
                      <a:off x="0" y="0"/>
                      <a:ext cx="6871706" cy="4935075"/>
                    </a:xfrm>
                    <a:prstGeom prst="rect">
                      <a:avLst/>
                    </a:prstGeom>
                    <a:solidFill>
                      <a:schemeClr val="bg1"/>
                    </a:solidFill>
                  </pic:spPr>
                </pic:pic>
              </a:graphicData>
            </a:graphic>
          </wp:inline>
        </w:drawing>
      </w:r>
    </w:p>
    <w:p w14:paraId="0C3F89CD" w14:textId="77777777" w:rsidR="00B6457B" w:rsidRPr="00805B4E" w:rsidRDefault="00B6457B" w:rsidP="00B6457B">
      <w:pPr>
        <w:pStyle w:val="Caption"/>
        <w:keepNext/>
        <w:jc w:val="both"/>
        <w:rPr>
          <w:rFonts w:cstheme="minorHAnsi"/>
          <w:b/>
          <w:bCs/>
          <w:color w:val="auto"/>
          <w:szCs w:val="22"/>
          <w:lang w:eastAsia="en-AU"/>
        </w:rPr>
      </w:pPr>
      <w:r w:rsidRPr="00805B4E">
        <w:rPr>
          <w:rFonts w:cstheme="minorHAnsi"/>
          <w:color w:val="auto"/>
          <w:szCs w:val="22"/>
          <w:lang w:eastAsia="en-AU"/>
        </w:rPr>
        <w:t>Figure A-</w:t>
      </w:r>
      <w:r>
        <w:rPr>
          <w:rFonts w:cstheme="minorHAnsi"/>
          <w:color w:val="auto"/>
          <w:szCs w:val="22"/>
          <w:lang w:eastAsia="en-AU"/>
        </w:rPr>
        <w:t>3</w:t>
      </w:r>
      <w:r w:rsidRPr="00805B4E">
        <w:rPr>
          <w:rFonts w:cstheme="minorHAnsi"/>
          <w:color w:val="auto"/>
          <w:szCs w:val="22"/>
          <w:lang w:eastAsia="en-AU"/>
        </w:rPr>
        <w:t xml:space="preserve">: MODIS true color images (b) selected over a flood period of the Normanby River (a). Dates when the true color images were acquired are identified by red diamonds on discharge plot. </w:t>
      </w:r>
    </w:p>
    <w:p w14:paraId="0C3F89CE" w14:textId="77777777" w:rsidR="00B6457B" w:rsidRPr="00D953FD" w:rsidRDefault="00B6457B" w:rsidP="00B6457B">
      <w:pPr>
        <w:keepNext/>
        <w:spacing w:after="120"/>
        <w:jc w:val="center"/>
        <w:rPr>
          <w:color w:val="4F81BD" w:themeColor="accent1"/>
        </w:rPr>
      </w:pPr>
      <w:r>
        <w:rPr>
          <w:noProof/>
          <w:color w:val="4F81BD" w:themeColor="accent1"/>
        </w:rPr>
        <w:drawing>
          <wp:inline distT="0" distB="0" distL="0" distR="0" wp14:anchorId="0C3F9037" wp14:editId="0C3F9038">
            <wp:extent cx="6610350" cy="4762154"/>
            <wp:effectExtent l="0" t="0" r="0" b="635"/>
            <wp:docPr id="73" name="Picture 73" descr="MODIS true color images (b) selected over a flood period of the Barron and Johnstone Rivers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1.tif"/>
                    <pic:cNvPicPr/>
                  </pic:nvPicPr>
                  <pic:blipFill>
                    <a:blip r:embed="rId105" cstate="screen">
                      <a:extLst>
                        <a:ext uri="{28A0092B-C50C-407E-A947-70E740481C1C}">
                          <a14:useLocalDpi xmlns:a14="http://schemas.microsoft.com/office/drawing/2010/main"/>
                        </a:ext>
                      </a:extLst>
                    </a:blip>
                    <a:stretch>
                      <a:fillRect/>
                    </a:stretch>
                  </pic:blipFill>
                  <pic:spPr>
                    <a:xfrm>
                      <a:off x="0" y="0"/>
                      <a:ext cx="6613778" cy="4764624"/>
                    </a:xfrm>
                    <a:prstGeom prst="rect">
                      <a:avLst/>
                    </a:prstGeom>
                    <a:solidFill>
                      <a:schemeClr val="bg1"/>
                    </a:solidFill>
                  </pic:spPr>
                </pic:pic>
              </a:graphicData>
            </a:graphic>
          </wp:inline>
        </w:drawing>
      </w:r>
    </w:p>
    <w:p w14:paraId="0C3F89CF" w14:textId="77777777" w:rsidR="00B6457B" w:rsidRPr="005A0C55" w:rsidRDefault="00B6457B" w:rsidP="00B6457B">
      <w:pPr>
        <w:pStyle w:val="Caption"/>
        <w:jc w:val="both"/>
        <w:rPr>
          <w:rFonts w:cs="Calibri"/>
          <w:b/>
          <w:szCs w:val="22"/>
        </w:rPr>
      </w:pPr>
      <w:r w:rsidRPr="00EA39D4">
        <w:rPr>
          <w:rFonts w:cstheme="minorHAnsi"/>
          <w:color w:val="auto"/>
          <w:szCs w:val="22"/>
          <w:lang w:eastAsia="en-AU"/>
        </w:rPr>
        <w:t>Figure A-4: MODIS true color images (b) selected over a flood period of the Barron and Johnstone Rivers (a). Dates when the true color images were acquired are identified by red diamonds on discharge plot.</w:t>
      </w:r>
      <w:r w:rsidRPr="005A0C55">
        <w:rPr>
          <w:szCs w:val="22"/>
        </w:rPr>
        <w:t xml:space="preserve"> </w:t>
      </w:r>
    </w:p>
    <w:p w14:paraId="0C3F89D0" w14:textId="77777777" w:rsidR="00B6457B" w:rsidRPr="00D953FD" w:rsidRDefault="00B6457B" w:rsidP="00B6457B">
      <w:pPr>
        <w:pStyle w:val="Caption"/>
        <w:keepNext/>
        <w:jc w:val="center"/>
      </w:pPr>
      <w:r>
        <w:rPr>
          <w:noProof/>
          <w:lang w:val="en-AU" w:eastAsia="en-AU"/>
        </w:rPr>
        <w:drawing>
          <wp:inline distT="0" distB="0" distL="0" distR="0" wp14:anchorId="0C3F9039" wp14:editId="0C3F903A">
            <wp:extent cx="6648450" cy="4793426"/>
            <wp:effectExtent l="0" t="0" r="0" b="7620"/>
            <wp:docPr id="48" name="Picture 48" descr="MODIS true color images (b) selected over a flood period of the Barron and Johnstone Rivers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3.tif"/>
                    <pic:cNvPicPr/>
                  </pic:nvPicPr>
                  <pic:blipFill>
                    <a:blip r:embed="rId106" cstate="screen">
                      <a:extLst>
                        <a:ext uri="{28A0092B-C50C-407E-A947-70E740481C1C}">
                          <a14:useLocalDpi xmlns:a14="http://schemas.microsoft.com/office/drawing/2010/main"/>
                        </a:ext>
                      </a:extLst>
                    </a:blip>
                    <a:stretch>
                      <a:fillRect/>
                    </a:stretch>
                  </pic:blipFill>
                  <pic:spPr>
                    <a:xfrm>
                      <a:off x="0" y="0"/>
                      <a:ext cx="6653839" cy="4797311"/>
                    </a:xfrm>
                    <a:prstGeom prst="rect">
                      <a:avLst/>
                    </a:prstGeom>
                    <a:solidFill>
                      <a:schemeClr val="bg1"/>
                    </a:solidFill>
                  </pic:spPr>
                </pic:pic>
              </a:graphicData>
            </a:graphic>
          </wp:inline>
        </w:drawing>
      </w:r>
    </w:p>
    <w:p w14:paraId="0C3F89D1" w14:textId="77777777" w:rsidR="00B6457B" w:rsidRPr="005A0C55" w:rsidRDefault="00B6457B" w:rsidP="00B6457B">
      <w:pPr>
        <w:pStyle w:val="Caption"/>
        <w:jc w:val="both"/>
        <w:rPr>
          <w:rFonts w:cs="Calibri"/>
          <w:b/>
          <w:szCs w:val="22"/>
        </w:rPr>
      </w:pPr>
      <w:r w:rsidRPr="00805B4E">
        <w:rPr>
          <w:rFonts w:cstheme="minorHAnsi"/>
          <w:color w:val="auto"/>
          <w:szCs w:val="22"/>
          <w:lang w:eastAsia="en-AU"/>
        </w:rPr>
        <w:t>Figure A-</w:t>
      </w:r>
      <w:r>
        <w:rPr>
          <w:rFonts w:cstheme="minorHAnsi"/>
          <w:color w:val="auto"/>
          <w:szCs w:val="22"/>
          <w:lang w:eastAsia="en-AU"/>
        </w:rPr>
        <w:t xml:space="preserve">5: </w:t>
      </w:r>
      <w:r w:rsidRPr="00805B4E">
        <w:rPr>
          <w:rFonts w:cstheme="minorHAnsi"/>
          <w:color w:val="auto"/>
          <w:szCs w:val="22"/>
          <w:lang w:eastAsia="en-AU"/>
        </w:rPr>
        <w:t>MODIS true color images (b) selected over a flood period of the Barron and Johnstone Rivers (a). Dates when the true color images were acquired are identified by red diamonds on discharge plot.</w:t>
      </w:r>
      <w:r w:rsidRPr="005A0C55">
        <w:rPr>
          <w:szCs w:val="22"/>
        </w:rPr>
        <w:t xml:space="preserve"> </w:t>
      </w:r>
    </w:p>
    <w:p w14:paraId="0C3F89D2" w14:textId="77777777" w:rsidR="00B6457B" w:rsidRPr="00805B4E" w:rsidRDefault="00B6457B" w:rsidP="00B6457B">
      <w:pPr>
        <w:pStyle w:val="Caption"/>
        <w:keepNext/>
        <w:jc w:val="center"/>
        <w:rPr>
          <w:rFonts w:cstheme="minorHAnsi"/>
          <w:b/>
          <w:bCs/>
          <w:color w:val="auto"/>
          <w:szCs w:val="22"/>
          <w:lang w:eastAsia="en-AU"/>
        </w:rPr>
      </w:pPr>
      <w:r w:rsidRPr="00805B4E">
        <w:rPr>
          <w:rFonts w:cstheme="minorHAnsi"/>
          <w:b/>
          <w:bCs/>
          <w:noProof/>
          <w:color w:val="auto"/>
          <w:szCs w:val="22"/>
          <w:lang w:val="en-AU" w:eastAsia="en-AU"/>
        </w:rPr>
        <w:drawing>
          <wp:inline distT="0" distB="0" distL="0" distR="0" wp14:anchorId="0C3F903B" wp14:editId="0C3F903C">
            <wp:extent cx="6773278" cy="4943475"/>
            <wp:effectExtent l="0" t="0" r="8890" b="0"/>
            <wp:docPr id="49" name="Picture 49" descr="MODIS true color images (b) selected over a flood period of the Tully and Herbert Rivers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7" cstate="screen">
                      <a:extLst>
                        <a:ext uri="{28A0092B-C50C-407E-A947-70E740481C1C}">
                          <a14:useLocalDpi xmlns:a14="http://schemas.microsoft.com/office/drawing/2010/main"/>
                        </a:ext>
                      </a:extLst>
                    </a:blip>
                    <a:stretch>
                      <a:fillRect/>
                    </a:stretch>
                  </pic:blipFill>
                  <pic:spPr bwMode="auto">
                    <a:xfrm>
                      <a:off x="0" y="0"/>
                      <a:ext cx="6776647" cy="4945934"/>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D3" w14:textId="77777777" w:rsidR="00B6457B" w:rsidRPr="00805B4E" w:rsidRDefault="00B6457B" w:rsidP="00B6457B">
      <w:pPr>
        <w:pStyle w:val="Caption"/>
        <w:jc w:val="both"/>
        <w:rPr>
          <w:rFonts w:cstheme="minorHAnsi"/>
          <w:b/>
          <w:bCs/>
          <w:color w:val="auto"/>
          <w:szCs w:val="22"/>
          <w:lang w:eastAsia="en-AU"/>
        </w:rPr>
      </w:pPr>
      <w:r w:rsidRPr="00EA39D4">
        <w:rPr>
          <w:rFonts w:cstheme="minorHAnsi"/>
          <w:color w:val="auto"/>
          <w:szCs w:val="22"/>
          <w:lang w:eastAsia="en-AU"/>
        </w:rPr>
        <w:t>Figure A-6: MODIS true color images (b) selected over a flood period of the Tully and Herbert Rivers (a). Dates when the true color images were acquired are identified by red diamonds on discharge plot.</w:t>
      </w:r>
      <w:r w:rsidRPr="00805B4E">
        <w:rPr>
          <w:rFonts w:cstheme="minorHAnsi"/>
          <w:color w:val="auto"/>
          <w:szCs w:val="22"/>
          <w:lang w:eastAsia="en-AU"/>
        </w:rPr>
        <w:t xml:space="preserve"> </w:t>
      </w:r>
    </w:p>
    <w:p w14:paraId="0C3F89D4" w14:textId="77777777" w:rsidR="00B6457B" w:rsidRPr="00D953FD" w:rsidRDefault="00B6457B" w:rsidP="00B6457B">
      <w:pPr>
        <w:spacing w:after="120"/>
        <w:rPr>
          <w:color w:val="4F81BD" w:themeColor="accent1"/>
        </w:rPr>
        <w:sectPr w:rsidR="00B6457B" w:rsidRPr="00D953FD" w:rsidSect="00393ABA">
          <w:pgSz w:w="16838" w:h="11906" w:orient="landscape"/>
          <w:pgMar w:top="1440" w:right="1440" w:bottom="1440" w:left="1440" w:header="709" w:footer="709" w:gutter="0"/>
          <w:cols w:space="708"/>
          <w:docGrid w:linePitch="360"/>
        </w:sectPr>
      </w:pPr>
    </w:p>
    <w:p w14:paraId="0C3F89D5" w14:textId="77777777" w:rsidR="00B6457B" w:rsidRPr="00D953FD" w:rsidRDefault="00B6457B" w:rsidP="00B6457B">
      <w:pPr>
        <w:keepNext/>
        <w:spacing w:after="120"/>
        <w:jc w:val="center"/>
        <w:rPr>
          <w:color w:val="4F81BD" w:themeColor="accent1"/>
        </w:rPr>
      </w:pPr>
      <w:r>
        <w:rPr>
          <w:noProof/>
          <w:color w:val="4F81BD" w:themeColor="accent1"/>
        </w:rPr>
        <w:drawing>
          <wp:inline distT="0" distB="0" distL="0" distR="0" wp14:anchorId="0C3F903D" wp14:editId="0C3F903E">
            <wp:extent cx="6611632" cy="4829175"/>
            <wp:effectExtent l="0" t="0" r="0" b="0"/>
            <wp:docPr id="50" name="Picture 50" descr="MODIS true color images (b) selected over a flood period of the Tully and Herbert Rivers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2.tif"/>
                    <pic:cNvPicPr/>
                  </pic:nvPicPr>
                  <pic:blipFill>
                    <a:blip r:embed="rId108" cstate="screen">
                      <a:extLst>
                        <a:ext uri="{28A0092B-C50C-407E-A947-70E740481C1C}">
                          <a14:useLocalDpi xmlns:a14="http://schemas.microsoft.com/office/drawing/2010/main"/>
                        </a:ext>
                      </a:extLst>
                    </a:blip>
                    <a:stretch>
                      <a:fillRect/>
                    </a:stretch>
                  </pic:blipFill>
                  <pic:spPr>
                    <a:xfrm>
                      <a:off x="0" y="0"/>
                      <a:ext cx="6614694" cy="4831412"/>
                    </a:xfrm>
                    <a:prstGeom prst="rect">
                      <a:avLst/>
                    </a:prstGeom>
                    <a:solidFill>
                      <a:schemeClr val="bg1"/>
                    </a:solidFill>
                  </pic:spPr>
                </pic:pic>
              </a:graphicData>
            </a:graphic>
          </wp:inline>
        </w:drawing>
      </w:r>
    </w:p>
    <w:p w14:paraId="0C3F89D6" w14:textId="77777777" w:rsidR="00B6457B" w:rsidRPr="005A0C55" w:rsidRDefault="00B6457B" w:rsidP="00B6457B">
      <w:pPr>
        <w:pStyle w:val="Caption"/>
        <w:rPr>
          <w:rFonts w:cs="Calibri"/>
          <w:b/>
          <w:szCs w:val="22"/>
        </w:rPr>
      </w:pPr>
      <w:r w:rsidRPr="00805B4E">
        <w:rPr>
          <w:rFonts w:cstheme="minorHAnsi"/>
          <w:color w:val="auto"/>
          <w:szCs w:val="22"/>
          <w:lang w:eastAsia="en-AU"/>
        </w:rPr>
        <w:t>Figure A-</w:t>
      </w:r>
      <w:r>
        <w:rPr>
          <w:rFonts w:cstheme="minorHAnsi"/>
          <w:color w:val="auto"/>
          <w:szCs w:val="22"/>
          <w:lang w:eastAsia="en-AU"/>
        </w:rPr>
        <w:t>7</w:t>
      </w:r>
      <w:r w:rsidRPr="00805B4E">
        <w:rPr>
          <w:rFonts w:cstheme="minorHAnsi"/>
          <w:color w:val="auto"/>
          <w:szCs w:val="22"/>
          <w:lang w:eastAsia="en-AU"/>
        </w:rPr>
        <w:t>: MODIS true color images (b) selected over a flood period of the Tully and Herbert Rivers (a). Dates when the true color images were acquired are identified by red diamonds on discharge plot.</w:t>
      </w:r>
      <w:r w:rsidRPr="005A0C55">
        <w:rPr>
          <w:szCs w:val="22"/>
        </w:rPr>
        <w:t xml:space="preserve"> </w:t>
      </w:r>
    </w:p>
    <w:p w14:paraId="0C3F89D7" w14:textId="77777777" w:rsidR="00B6457B" w:rsidRPr="00D953FD" w:rsidRDefault="00B6457B" w:rsidP="00B6457B">
      <w:pPr>
        <w:keepNext/>
        <w:spacing w:after="120"/>
        <w:jc w:val="center"/>
        <w:rPr>
          <w:color w:val="4F81BD" w:themeColor="accent1"/>
        </w:rPr>
      </w:pPr>
      <w:r w:rsidRPr="00D953FD">
        <w:rPr>
          <w:noProof/>
          <w:color w:val="4F81BD" w:themeColor="accent1"/>
        </w:rPr>
        <w:drawing>
          <wp:inline distT="0" distB="0" distL="0" distR="0" wp14:anchorId="0C3F903F" wp14:editId="0C3F9040">
            <wp:extent cx="5762625" cy="4919621"/>
            <wp:effectExtent l="0" t="0" r="0" b="0"/>
            <wp:docPr id="51" name="Picture 51" descr="MODIS true color images (b) selected over a flood period of the Burdekin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9" cstate="screen">
                      <a:extLst>
                        <a:ext uri="{28A0092B-C50C-407E-A947-70E740481C1C}">
                          <a14:useLocalDpi xmlns:a14="http://schemas.microsoft.com/office/drawing/2010/main"/>
                        </a:ext>
                      </a:extLst>
                    </a:blip>
                    <a:stretch>
                      <a:fillRect/>
                    </a:stretch>
                  </pic:blipFill>
                  <pic:spPr bwMode="auto">
                    <a:xfrm>
                      <a:off x="0" y="0"/>
                      <a:ext cx="5768163" cy="4924349"/>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D8" w14:textId="77777777" w:rsidR="00B6457B" w:rsidRPr="00805B4E" w:rsidRDefault="00B6457B" w:rsidP="00B6457B">
      <w:pPr>
        <w:pStyle w:val="Caption"/>
        <w:jc w:val="both"/>
        <w:rPr>
          <w:rFonts w:cstheme="minorHAnsi"/>
          <w:b/>
          <w:bCs/>
          <w:color w:val="auto"/>
          <w:szCs w:val="22"/>
          <w:lang w:eastAsia="en-AU"/>
        </w:rPr>
      </w:pPr>
      <w:r w:rsidRPr="00B6457B">
        <w:rPr>
          <w:rFonts w:cstheme="minorHAnsi"/>
          <w:color w:val="auto"/>
          <w:szCs w:val="22"/>
          <w:lang w:eastAsia="en-AU"/>
        </w:rPr>
        <w:t>Figure A-8: MODIS true color images (b) selected over a flood period of the Burdekin River (a). Dates when the true color images were acquired are identified by red diamonds on discharge plot.</w:t>
      </w:r>
      <w:r w:rsidRPr="00805B4E">
        <w:rPr>
          <w:rFonts w:cstheme="minorHAnsi"/>
          <w:color w:val="auto"/>
          <w:szCs w:val="22"/>
          <w:lang w:eastAsia="en-AU"/>
        </w:rPr>
        <w:t xml:space="preserve"> </w:t>
      </w:r>
    </w:p>
    <w:p w14:paraId="0C3F89D9" w14:textId="77777777" w:rsidR="00B6457B" w:rsidRPr="00D953FD" w:rsidRDefault="00B6457B" w:rsidP="00B6457B">
      <w:pPr>
        <w:keepNext/>
        <w:spacing w:after="120"/>
        <w:jc w:val="center"/>
        <w:rPr>
          <w:color w:val="4F81BD" w:themeColor="accent1"/>
        </w:rPr>
      </w:pPr>
      <w:r>
        <w:rPr>
          <w:noProof/>
          <w:color w:val="4F81BD" w:themeColor="accent1"/>
        </w:rPr>
        <w:drawing>
          <wp:inline distT="0" distB="0" distL="0" distR="0" wp14:anchorId="0C3F9041" wp14:editId="0C3F9042">
            <wp:extent cx="6815446" cy="5019675"/>
            <wp:effectExtent l="0" t="0" r="5080" b="0"/>
            <wp:docPr id="52" name="Picture 52" descr="MODIS true color images (b) selected over a flood period of the Burdekin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2.tif"/>
                    <pic:cNvPicPr/>
                  </pic:nvPicPr>
                  <pic:blipFill>
                    <a:blip r:embed="rId110" cstate="screen">
                      <a:extLst>
                        <a:ext uri="{28A0092B-C50C-407E-A947-70E740481C1C}">
                          <a14:useLocalDpi xmlns:a14="http://schemas.microsoft.com/office/drawing/2010/main"/>
                        </a:ext>
                      </a:extLst>
                    </a:blip>
                    <a:stretch>
                      <a:fillRect/>
                    </a:stretch>
                  </pic:blipFill>
                  <pic:spPr>
                    <a:xfrm>
                      <a:off x="0" y="0"/>
                      <a:ext cx="6825913" cy="5027384"/>
                    </a:xfrm>
                    <a:prstGeom prst="rect">
                      <a:avLst/>
                    </a:prstGeom>
                    <a:solidFill>
                      <a:schemeClr val="bg1"/>
                    </a:solidFill>
                  </pic:spPr>
                </pic:pic>
              </a:graphicData>
            </a:graphic>
          </wp:inline>
        </w:drawing>
      </w:r>
    </w:p>
    <w:p w14:paraId="0C3F89DA" w14:textId="77777777" w:rsidR="00B6457B" w:rsidRPr="00805B4E" w:rsidRDefault="00B6457B" w:rsidP="00B6457B">
      <w:pPr>
        <w:pStyle w:val="Caption"/>
        <w:rPr>
          <w:rFonts w:cstheme="minorHAnsi"/>
          <w:b/>
          <w:bCs/>
          <w:color w:val="auto"/>
          <w:szCs w:val="22"/>
          <w:lang w:eastAsia="en-AU"/>
        </w:rPr>
      </w:pPr>
      <w:r w:rsidRPr="00B6457B">
        <w:rPr>
          <w:rFonts w:cstheme="minorHAnsi"/>
          <w:color w:val="auto"/>
          <w:szCs w:val="22"/>
          <w:lang w:eastAsia="en-AU"/>
        </w:rPr>
        <w:t>Figure A-9: MODIS true color images (b) selected over a flood period of the Burdekin River (a). Dates when the true color images were acquired are identified by red diamonds on discharge plot.</w:t>
      </w:r>
      <w:r w:rsidRPr="00805B4E">
        <w:rPr>
          <w:rFonts w:cstheme="minorHAnsi"/>
          <w:color w:val="auto"/>
          <w:szCs w:val="22"/>
          <w:lang w:eastAsia="en-AU"/>
        </w:rPr>
        <w:t xml:space="preserve"> </w:t>
      </w:r>
    </w:p>
    <w:p w14:paraId="0C3F89DB" w14:textId="77777777" w:rsidR="00B6457B" w:rsidRPr="00D953FD" w:rsidRDefault="00B6457B" w:rsidP="00B6457B">
      <w:pPr>
        <w:pStyle w:val="Caption"/>
        <w:keepNext/>
        <w:jc w:val="center"/>
      </w:pPr>
      <w:r>
        <w:rPr>
          <w:rFonts w:cs="Calibri"/>
          <w:b/>
          <w:noProof/>
          <w:sz w:val="20"/>
          <w:lang w:val="en-AU" w:eastAsia="en-AU"/>
        </w:rPr>
        <w:drawing>
          <wp:inline distT="0" distB="0" distL="0" distR="0" wp14:anchorId="0C3F9043" wp14:editId="0C3F9044">
            <wp:extent cx="6781800" cy="4994894"/>
            <wp:effectExtent l="0" t="0" r="0" b="0"/>
            <wp:docPr id="54" name="Picture 54" descr="MODIS true color images (b) selected over a flood period of the Burdekin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3.tif"/>
                    <pic:cNvPicPr/>
                  </pic:nvPicPr>
                  <pic:blipFill>
                    <a:blip r:embed="rId111" cstate="screen">
                      <a:extLst>
                        <a:ext uri="{28A0092B-C50C-407E-A947-70E740481C1C}">
                          <a14:useLocalDpi xmlns:a14="http://schemas.microsoft.com/office/drawing/2010/main"/>
                        </a:ext>
                      </a:extLst>
                    </a:blip>
                    <a:stretch>
                      <a:fillRect/>
                    </a:stretch>
                  </pic:blipFill>
                  <pic:spPr>
                    <a:xfrm>
                      <a:off x="0" y="0"/>
                      <a:ext cx="6791318" cy="5001904"/>
                    </a:xfrm>
                    <a:prstGeom prst="rect">
                      <a:avLst/>
                    </a:prstGeom>
                    <a:solidFill>
                      <a:schemeClr val="bg1"/>
                    </a:solidFill>
                  </pic:spPr>
                </pic:pic>
              </a:graphicData>
            </a:graphic>
          </wp:inline>
        </w:drawing>
      </w:r>
    </w:p>
    <w:p w14:paraId="0C3F89DC" w14:textId="77777777" w:rsidR="00B6457B" w:rsidRPr="00805B4E" w:rsidRDefault="00B6457B" w:rsidP="00B6457B">
      <w:pPr>
        <w:pStyle w:val="Caption"/>
        <w:jc w:val="both"/>
        <w:rPr>
          <w:rFonts w:cstheme="minorHAnsi"/>
          <w:b/>
          <w:bCs/>
          <w:color w:val="auto"/>
          <w:szCs w:val="22"/>
          <w:lang w:eastAsia="en-AU"/>
        </w:rPr>
      </w:pPr>
      <w:r w:rsidRPr="00805B4E">
        <w:rPr>
          <w:rFonts w:cstheme="minorHAnsi"/>
          <w:color w:val="auto"/>
          <w:szCs w:val="22"/>
          <w:lang w:eastAsia="en-AU"/>
        </w:rPr>
        <w:t>Figure A-</w:t>
      </w:r>
      <w:r>
        <w:rPr>
          <w:rFonts w:cstheme="minorHAnsi"/>
          <w:color w:val="auto"/>
          <w:szCs w:val="22"/>
          <w:lang w:eastAsia="en-AU"/>
        </w:rPr>
        <w:t>10</w:t>
      </w:r>
      <w:r w:rsidRPr="00805B4E">
        <w:rPr>
          <w:rFonts w:cstheme="minorHAnsi"/>
          <w:color w:val="auto"/>
          <w:szCs w:val="22"/>
          <w:lang w:eastAsia="en-AU"/>
        </w:rPr>
        <w:t xml:space="preserve">: MODIS true color images (b) selected over a flood period of the Burdekin River (a). Dates when the true color images were acquired are identified by red diamonds on discharge plot. </w:t>
      </w:r>
    </w:p>
    <w:p w14:paraId="0C3F89DD" w14:textId="77777777" w:rsidR="00B6457B" w:rsidRPr="00D953FD" w:rsidRDefault="00B6457B" w:rsidP="00B6457B">
      <w:pPr>
        <w:keepNext/>
        <w:spacing w:after="120"/>
        <w:jc w:val="center"/>
        <w:rPr>
          <w:color w:val="4F81BD" w:themeColor="accent1"/>
        </w:rPr>
      </w:pPr>
      <w:r>
        <w:rPr>
          <w:noProof/>
          <w:color w:val="4F81BD" w:themeColor="accent1"/>
        </w:rPr>
        <w:drawing>
          <wp:inline distT="0" distB="0" distL="0" distR="0" wp14:anchorId="0C3F9045" wp14:editId="0C3F9046">
            <wp:extent cx="6838950" cy="5052231"/>
            <wp:effectExtent l="0" t="0" r="0" b="0"/>
            <wp:docPr id="55" name="Picture 55" descr="MODIS true color images (b) selected over a flood period of the Pioneer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1.tif"/>
                    <pic:cNvPicPr/>
                  </pic:nvPicPr>
                  <pic:blipFill>
                    <a:blip r:embed="rId112" cstate="screen">
                      <a:extLst>
                        <a:ext uri="{28A0092B-C50C-407E-A947-70E740481C1C}">
                          <a14:useLocalDpi xmlns:a14="http://schemas.microsoft.com/office/drawing/2010/main"/>
                        </a:ext>
                      </a:extLst>
                    </a:blip>
                    <a:stretch>
                      <a:fillRect/>
                    </a:stretch>
                  </pic:blipFill>
                  <pic:spPr>
                    <a:xfrm>
                      <a:off x="0" y="0"/>
                      <a:ext cx="6842100" cy="5054558"/>
                    </a:xfrm>
                    <a:prstGeom prst="rect">
                      <a:avLst/>
                    </a:prstGeom>
                    <a:solidFill>
                      <a:schemeClr val="bg1"/>
                    </a:solidFill>
                  </pic:spPr>
                </pic:pic>
              </a:graphicData>
            </a:graphic>
          </wp:inline>
        </w:drawing>
      </w:r>
    </w:p>
    <w:p w14:paraId="0C3F89DE" w14:textId="77777777" w:rsidR="00B6457B" w:rsidRPr="005A0C55" w:rsidRDefault="00B6457B" w:rsidP="00B6457B">
      <w:pPr>
        <w:pStyle w:val="Caption"/>
        <w:jc w:val="both"/>
        <w:rPr>
          <w:rFonts w:cs="Calibri"/>
          <w:b/>
          <w:szCs w:val="22"/>
        </w:rPr>
      </w:pPr>
      <w:r w:rsidRPr="00805B4E">
        <w:rPr>
          <w:rFonts w:cstheme="minorHAnsi"/>
          <w:color w:val="auto"/>
          <w:szCs w:val="22"/>
          <w:lang w:eastAsia="en-AU"/>
        </w:rPr>
        <w:t>Figure A-</w:t>
      </w:r>
      <w:r>
        <w:rPr>
          <w:rFonts w:cstheme="minorHAnsi"/>
          <w:color w:val="auto"/>
          <w:szCs w:val="22"/>
          <w:lang w:eastAsia="en-AU"/>
        </w:rPr>
        <w:t>11</w:t>
      </w:r>
      <w:r w:rsidRPr="00805B4E">
        <w:rPr>
          <w:rFonts w:cstheme="minorHAnsi"/>
          <w:color w:val="auto"/>
          <w:szCs w:val="22"/>
          <w:lang w:eastAsia="en-AU"/>
        </w:rPr>
        <w:t>: MODIS true color images (b) selected over a flood period of the Pioneer River (a). Dates when the true color images were acquired are identified by red diamonds on discharge plot.</w:t>
      </w:r>
      <w:r w:rsidRPr="005A0C55">
        <w:rPr>
          <w:szCs w:val="22"/>
        </w:rPr>
        <w:t xml:space="preserve"> </w:t>
      </w:r>
    </w:p>
    <w:p w14:paraId="0C3F89DF" w14:textId="77777777" w:rsidR="00B6457B" w:rsidRPr="00D953FD" w:rsidRDefault="00B6457B" w:rsidP="00B6457B">
      <w:pPr>
        <w:pStyle w:val="Caption"/>
        <w:keepNext/>
        <w:jc w:val="center"/>
      </w:pPr>
      <w:r>
        <w:rPr>
          <w:noProof/>
          <w:lang w:val="en-AU" w:eastAsia="en-AU"/>
        </w:rPr>
        <w:drawing>
          <wp:inline distT="0" distB="0" distL="0" distR="0" wp14:anchorId="0C3F9047" wp14:editId="0C3F9048">
            <wp:extent cx="6810375" cy="5042694"/>
            <wp:effectExtent l="0" t="0" r="0" b="5715"/>
            <wp:docPr id="56" name="Picture 56" descr="MODIS true color images (b) selected over a flood period of the Pioneer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2.tif"/>
                    <pic:cNvPicPr/>
                  </pic:nvPicPr>
                  <pic:blipFill>
                    <a:blip r:embed="rId113" cstate="screen">
                      <a:extLst>
                        <a:ext uri="{28A0092B-C50C-407E-A947-70E740481C1C}">
                          <a14:useLocalDpi xmlns:a14="http://schemas.microsoft.com/office/drawing/2010/main"/>
                        </a:ext>
                      </a:extLst>
                    </a:blip>
                    <a:stretch>
                      <a:fillRect/>
                    </a:stretch>
                  </pic:blipFill>
                  <pic:spPr>
                    <a:xfrm>
                      <a:off x="0" y="0"/>
                      <a:ext cx="6814198" cy="5045524"/>
                    </a:xfrm>
                    <a:prstGeom prst="rect">
                      <a:avLst/>
                    </a:prstGeom>
                    <a:solidFill>
                      <a:schemeClr val="bg1"/>
                    </a:solidFill>
                  </pic:spPr>
                </pic:pic>
              </a:graphicData>
            </a:graphic>
          </wp:inline>
        </w:drawing>
      </w:r>
    </w:p>
    <w:p w14:paraId="0C3F89E0" w14:textId="77777777" w:rsidR="00B6457B" w:rsidRPr="00805B4E" w:rsidRDefault="00B6457B" w:rsidP="00B6457B">
      <w:pPr>
        <w:pStyle w:val="Caption"/>
        <w:rPr>
          <w:rFonts w:cstheme="minorHAnsi"/>
          <w:b/>
          <w:bCs/>
          <w:color w:val="auto"/>
          <w:szCs w:val="22"/>
          <w:lang w:eastAsia="en-AU"/>
        </w:rPr>
      </w:pPr>
      <w:r w:rsidRPr="00B6457B">
        <w:rPr>
          <w:rFonts w:cstheme="minorHAnsi"/>
          <w:color w:val="auto"/>
          <w:szCs w:val="22"/>
          <w:lang w:eastAsia="en-AU"/>
        </w:rPr>
        <w:t>Figure A-12: MODIS true color images (b) selected over a flood period of the Pioneer River (a). Dates when the true color images were acquired are identified by red diamonds on discharge plot.</w:t>
      </w:r>
      <w:r w:rsidRPr="00805B4E">
        <w:rPr>
          <w:rFonts w:cstheme="minorHAnsi"/>
          <w:color w:val="auto"/>
          <w:szCs w:val="22"/>
          <w:lang w:eastAsia="en-AU"/>
        </w:rPr>
        <w:t xml:space="preserve"> </w:t>
      </w:r>
    </w:p>
    <w:p w14:paraId="0C3F89E1" w14:textId="77777777" w:rsidR="00B6457B" w:rsidRPr="00D953FD" w:rsidRDefault="00B6457B" w:rsidP="00B6457B">
      <w:pPr>
        <w:keepNext/>
        <w:spacing w:after="120"/>
        <w:jc w:val="center"/>
        <w:rPr>
          <w:rFonts w:ascii="Calibri" w:hAnsi="Calibri" w:cs="Calibri"/>
          <w:bCs/>
          <w:color w:val="4F81BD" w:themeColor="accent1"/>
          <w:sz w:val="20"/>
          <w:szCs w:val="20"/>
        </w:rPr>
      </w:pPr>
      <w:r w:rsidRPr="00D953FD">
        <w:rPr>
          <w:rFonts w:ascii="Calibri" w:hAnsi="Calibri" w:cs="Calibri"/>
          <w:bCs/>
          <w:noProof/>
          <w:color w:val="4F81BD" w:themeColor="accent1"/>
          <w:sz w:val="20"/>
          <w:szCs w:val="20"/>
        </w:rPr>
        <w:drawing>
          <wp:inline distT="0" distB="0" distL="0" distR="0" wp14:anchorId="0C3F9049" wp14:editId="0C3F904A">
            <wp:extent cx="6772275" cy="5000197"/>
            <wp:effectExtent l="0" t="0" r="0" b="0"/>
            <wp:docPr id="57" name="Picture 57" descr="MODIS true color images (b) selected over a flood period of the Fitzroy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4" cstate="screen">
                      <a:extLst>
                        <a:ext uri="{28A0092B-C50C-407E-A947-70E740481C1C}">
                          <a14:useLocalDpi xmlns:a14="http://schemas.microsoft.com/office/drawing/2010/main"/>
                        </a:ext>
                      </a:extLst>
                    </a:blip>
                    <a:stretch>
                      <a:fillRect/>
                    </a:stretch>
                  </pic:blipFill>
                  <pic:spPr bwMode="auto">
                    <a:xfrm>
                      <a:off x="0" y="0"/>
                      <a:ext cx="6769056" cy="4997820"/>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E2" w14:textId="77777777" w:rsidR="00B6457B" w:rsidRPr="005A0C55" w:rsidRDefault="00B6457B" w:rsidP="00B6457B">
      <w:pPr>
        <w:pStyle w:val="Caption"/>
        <w:rPr>
          <w:rFonts w:cs="Calibri"/>
          <w:b/>
          <w:szCs w:val="22"/>
        </w:rPr>
      </w:pPr>
      <w:r w:rsidRPr="00805B4E">
        <w:rPr>
          <w:rFonts w:cstheme="minorHAnsi"/>
          <w:color w:val="auto"/>
          <w:szCs w:val="22"/>
          <w:lang w:eastAsia="en-AU"/>
        </w:rPr>
        <w:t>Figure A-</w:t>
      </w:r>
      <w:r>
        <w:rPr>
          <w:rFonts w:cstheme="minorHAnsi"/>
          <w:color w:val="auto"/>
          <w:szCs w:val="22"/>
          <w:lang w:eastAsia="en-AU"/>
        </w:rPr>
        <w:t>13</w:t>
      </w:r>
      <w:r w:rsidRPr="00805B4E">
        <w:rPr>
          <w:rFonts w:cstheme="minorHAnsi"/>
          <w:color w:val="auto"/>
          <w:szCs w:val="22"/>
          <w:lang w:eastAsia="en-AU"/>
        </w:rPr>
        <w:t>: MODIS true color images (b) selected over a flood period of the Fitzroy River (a). Dates when the true color images were acquired are identified by red diamonds on discharge plot.</w:t>
      </w:r>
      <w:r w:rsidRPr="005A0C55">
        <w:rPr>
          <w:szCs w:val="22"/>
        </w:rPr>
        <w:t xml:space="preserve"> </w:t>
      </w:r>
    </w:p>
    <w:p w14:paraId="0C3F89E3" w14:textId="77777777" w:rsidR="00B6457B" w:rsidRPr="00D953FD" w:rsidRDefault="00B6457B" w:rsidP="00B6457B">
      <w:pPr>
        <w:pStyle w:val="Caption"/>
        <w:keepNext/>
        <w:jc w:val="center"/>
      </w:pPr>
      <w:r w:rsidRPr="00D953FD">
        <w:rPr>
          <w:noProof/>
          <w:lang w:val="en-AU" w:eastAsia="en-AU"/>
        </w:rPr>
        <w:drawing>
          <wp:inline distT="0" distB="0" distL="0" distR="0" wp14:anchorId="0C3F904B" wp14:editId="0C3F904C">
            <wp:extent cx="6772275" cy="5002976"/>
            <wp:effectExtent l="0" t="0" r="0" b="7620"/>
            <wp:docPr id="58" name="Picture 58" descr="MODIS true color images (b) selected over a flood period of the Fitzroy River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5" cstate="screen">
                      <a:extLst>
                        <a:ext uri="{28A0092B-C50C-407E-A947-70E740481C1C}">
                          <a14:useLocalDpi xmlns:a14="http://schemas.microsoft.com/office/drawing/2010/main"/>
                        </a:ext>
                      </a:extLst>
                    </a:blip>
                    <a:stretch>
                      <a:fillRect/>
                    </a:stretch>
                  </pic:blipFill>
                  <pic:spPr bwMode="auto">
                    <a:xfrm>
                      <a:off x="0" y="0"/>
                      <a:ext cx="6772819" cy="5003378"/>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E4" w14:textId="77777777" w:rsidR="00B6457B" w:rsidRPr="00805B4E" w:rsidRDefault="00B6457B" w:rsidP="00B6457B">
      <w:pPr>
        <w:pStyle w:val="Caption"/>
        <w:rPr>
          <w:rFonts w:cstheme="minorHAnsi"/>
          <w:b/>
          <w:bCs/>
          <w:color w:val="auto"/>
          <w:szCs w:val="22"/>
          <w:lang w:eastAsia="en-AU"/>
        </w:rPr>
      </w:pPr>
      <w:r w:rsidRPr="00805B4E">
        <w:rPr>
          <w:rFonts w:cstheme="minorHAnsi"/>
          <w:color w:val="auto"/>
          <w:szCs w:val="22"/>
          <w:lang w:eastAsia="en-AU"/>
        </w:rPr>
        <w:t>Figure A-</w:t>
      </w:r>
      <w:r>
        <w:rPr>
          <w:rFonts w:cstheme="minorHAnsi"/>
          <w:color w:val="auto"/>
          <w:szCs w:val="22"/>
          <w:lang w:eastAsia="en-AU"/>
        </w:rPr>
        <w:t>14</w:t>
      </w:r>
      <w:r w:rsidRPr="00805B4E">
        <w:rPr>
          <w:rFonts w:cstheme="minorHAnsi"/>
          <w:color w:val="auto"/>
          <w:szCs w:val="22"/>
          <w:lang w:eastAsia="en-AU"/>
        </w:rPr>
        <w:t xml:space="preserve">: MODIS true color images (b) selected over a flood period of the Fitzroy River (a). Dates when the true color images were acquired are identified by red diamonds on discharge plot. </w:t>
      </w:r>
    </w:p>
    <w:p w14:paraId="0C3F89E5" w14:textId="77777777" w:rsidR="00B6457B" w:rsidRPr="00805B4E" w:rsidRDefault="00B6457B" w:rsidP="00B6457B">
      <w:pPr>
        <w:pStyle w:val="Caption"/>
        <w:keepNext/>
        <w:jc w:val="center"/>
        <w:rPr>
          <w:rFonts w:cstheme="minorHAnsi"/>
          <w:b/>
          <w:bCs/>
          <w:color w:val="auto"/>
          <w:szCs w:val="22"/>
          <w:lang w:eastAsia="en-AU"/>
        </w:rPr>
      </w:pPr>
      <w:r w:rsidRPr="00805B4E">
        <w:rPr>
          <w:rFonts w:cstheme="minorHAnsi"/>
          <w:b/>
          <w:bCs/>
          <w:noProof/>
          <w:color w:val="auto"/>
          <w:szCs w:val="22"/>
          <w:lang w:val="en-AU" w:eastAsia="en-AU"/>
        </w:rPr>
        <w:drawing>
          <wp:inline distT="0" distB="0" distL="0" distR="0" wp14:anchorId="0C3F904D" wp14:editId="0C3F904E">
            <wp:extent cx="6896100" cy="5034152"/>
            <wp:effectExtent l="0" t="0" r="0" b="0"/>
            <wp:docPr id="59" name="Picture 59" descr="MODIS true color images (b) selected over a flood period of the Burnett and Mary rivers (a). Dates when the true color images were acquired are identified by red diamonds on discharge pl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6" cstate="screen">
                      <a:extLst>
                        <a:ext uri="{28A0092B-C50C-407E-A947-70E740481C1C}">
                          <a14:useLocalDpi xmlns:a14="http://schemas.microsoft.com/office/drawing/2010/main"/>
                        </a:ext>
                      </a:extLst>
                    </a:blip>
                    <a:stretch>
                      <a:fillRect/>
                    </a:stretch>
                  </pic:blipFill>
                  <pic:spPr bwMode="auto">
                    <a:xfrm>
                      <a:off x="0" y="0"/>
                      <a:ext cx="6895238" cy="5033523"/>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E6" w14:textId="77777777" w:rsidR="00B6457B" w:rsidRPr="00805B4E" w:rsidRDefault="00B6457B" w:rsidP="00B6457B">
      <w:pPr>
        <w:pStyle w:val="Caption"/>
        <w:jc w:val="both"/>
        <w:rPr>
          <w:rFonts w:cstheme="minorHAnsi"/>
          <w:b/>
          <w:bCs/>
          <w:color w:val="auto"/>
          <w:szCs w:val="22"/>
          <w:lang w:eastAsia="en-AU"/>
        </w:rPr>
      </w:pPr>
      <w:r w:rsidRPr="00805B4E">
        <w:rPr>
          <w:rFonts w:cstheme="minorHAnsi"/>
          <w:color w:val="auto"/>
          <w:szCs w:val="22"/>
          <w:lang w:eastAsia="en-AU"/>
        </w:rPr>
        <w:t>Figure A-</w:t>
      </w:r>
      <w:r>
        <w:rPr>
          <w:rFonts w:cstheme="minorHAnsi"/>
          <w:color w:val="auto"/>
          <w:szCs w:val="22"/>
          <w:lang w:eastAsia="en-AU"/>
        </w:rPr>
        <w:t>15</w:t>
      </w:r>
      <w:r w:rsidRPr="00805B4E">
        <w:rPr>
          <w:rFonts w:cstheme="minorHAnsi"/>
          <w:color w:val="auto"/>
          <w:szCs w:val="22"/>
          <w:lang w:eastAsia="en-AU"/>
        </w:rPr>
        <w:t xml:space="preserve">: MODIS true color images (b) selected over a flood period of the Burnett and Mary rivers (a). Dates when the true color images were acquired are identified by red diamonds on discharge plot. </w:t>
      </w:r>
    </w:p>
    <w:p w14:paraId="0C3F89E7" w14:textId="77777777" w:rsidR="00B6457B" w:rsidRDefault="00B6457B" w:rsidP="00B6457B">
      <w:pPr>
        <w:keepNext/>
        <w:spacing w:after="120"/>
        <w:jc w:val="center"/>
      </w:pPr>
      <w:r>
        <w:rPr>
          <w:noProof/>
        </w:rPr>
        <w:drawing>
          <wp:inline distT="0" distB="0" distL="0" distR="0" wp14:anchorId="0C3F904F" wp14:editId="0C3F9050">
            <wp:extent cx="6810375" cy="4967168"/>
            <wp:effectExtent l="0" t="0" r="0" b="5080"/>
            <wp:docPr id="60" name="Picture 60" descr="MODIS true color images (b) selected over a flood period of the Burnett and Mary River (a). Dates when the true color images were acquired are identified by red diamonds on discharge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2.tif"/>
                    <pic:cNvPicPr/>
                  </pic:nvPicPr>
                  <pic:blipFill>
                    <a:blip r:embed="rId117" cstate="screen">
                      <a:extLst>
                        <a:ext uri="{28A0092B-C50C-407E-A947-70E740481C1C}">
                          <a14:useLocalDpi xmlns:a14="http://schemas.microsoft.com/office/drawing/2010/main"/>
                        </a:ext>
                      </a:extLst>
                    </a:blip>
                    <a:stretch>
                      <a:fillRect/>
                    </a:stretch>
                  </pic:blipFill>
                  <pic:spPr>
                    <a:xfrm>
                      <a:off x="0" y="0"/>
                      <a:ext cx="6811516" cy="4968000"/>
                    </a:xfrm>
                    <a:prstGeom prst="rect">
                      <a:avLst/>
                    </a:prstGeom>
                    <a:solidFill>
                      <a:schemeClr val="bg1"/>
                    </a:solidFill>
                  </pic:spPr>
                </pic:pic>
              </a:graphicData>
            </a:graphic>
          </wp:inline>
        </w:drawing>
      </w:r>
    </w:p>
    <w:p w14:paraId="0C3F89E8" w14:textId="77777777" w:rsidR="00B6457B" w:rsidRPr="003C098F" w:rsidRDefault="00B6457B" w:rsidP="00B6457B">
      <w:pPr>
        <w:pStyle w:val="Caption"/>
        <w:rPr>
          <w:szCs w:val="22"/>
        </w:rPr>
        <w:sectPr w:rsidR="00B6457B" w:rsidRPr="003C098F" w:rsidSect="00393ABA">
          <w:pgSz w:w="16838" w:h="11906" w:orient="landscape"/>
          <w:pgMar w:top="1440" w:right="1440" w:bottom="1440" w:left="1440" w:header="709" w:footer="709" w:gutter="0"/>
          <w:cols w:space="708"/>
          <w:docGrid w:linePitch="360"/>
        </w:sectPr>
      </w:pPr>
      <w:r w:rsidRPr="00805B4E">
        <w:rPr>
          <w:rFonts w:cstheme="minorHAnsi"/>
          <w:color w:val="auto"/>
          <w:szCs w:val="22"/>
          <w:lang w:eastAsia="en-AU"/>
        </w:rPr>
        <w:t>Figure A-</w:t>
      </w:r>
      <w:r>
        <w:rPr>
          <w:rFonts w:cstheme="minorHAnsi"/>
          <w:color w:val="auto"/>
          <w:szCs w:val="22"/>
          <w:lang w:eastAsia="en-AU"/>
        </w:rPr>
        <w:t>16</w:t>
      </w:r>
      <w:r w:rsidRPr="00805B4E">
        <w:rPr>
          <w:rFonts w:cstheme="minorHAnsi"/>
          <w:color w:val="auto"/>
          <w:szCs w:val="22"/>
          <w:lang w:eastAsia="en-AU"/>
        </w:rPr>
        <w:t>: MODIS true color images (b) selected over a flood period of the Burnett and Mary River (a). Dates when the true color images were acquired are identified by</w:t>
      </w:r>
      <w:r>
        <w:rPr>
          <w:rFonts w:cstheme="minorHAnsi"/>
          <w:color w:val="auto"/>
          <w:szCs w:val="22"/>
          <w:lang w:eastAsia="en-AU"/>
        </w:rPr>
        <w:t xml:space="preserve"> red diamonds on discharge plot</w:t>
      </w:r>
    </w:p>
    <w:p w14:paraId="0C3F89E9" w14:textId="77777777" w:rsidR="00B6457B" w:rsidRPr="005A0C55" w:rsidRDefault="00B6457B" w:rsidP="00B6457B">
      <w:pPr>
        <w:pStyle w:val="Heading1"/>
        <w:spacing w:before="0"/>
      </w:pPr>
      <w:bookmarkStart w:id="289" w:name="_Toc428350525"/>
      <w:bookmarkStart w:id="290" w:name="_Ref373845372"/>
      <w:r>
        <w:t>Appendix B: RS products and data, wet season 2012-13</w:t>
      </w:r>
      <w:bookmarkEnd w:id="289"/>
    </w:p>
    <w:p w14:paraId="0C3F89EA" w14:textId="77777777" w:rsidR="00B6457B" w:rsidRPr="00D032F8" w:rsidRDefault="00B6457B" w:rsidP="00B6457B">
      <w:pPr>
        <w:pStyle w:val="Heading2"/>
        <w:spacing w:before="0"/>
        <w:rPr>
          <w:bCs/>
        </w:rPr>
      </w:pPr>
      <w:bookmarkStart w:id="291" w:name="_Toc428350526"/>
      <w:r w:rsidRPr="00D032F8">
        <w:t>Weekly productivity maps</w:t>
      </w:r>
      <w:bookmarkEnd w:id="290"/>
      <w:r>
        <w:t>: GBR scale</w:t>
      </w:r>
      <w:bookmarkEnd w:id="291"/>
      <w:r w:rsidRPr="00D032F8">
        <w:t xml:space="preserve"> </w:t>
      </w:r>
    </w:p>
    <w:p w14:paraId="0C3F89EB" w14:textId="77777777" w:rsidR="00B6457B" w:rsidRDefault="00B6457B" w:rsidP="00B6457B">
      <w:pPr>
        <w:keepNext/>
        <w:spacing w:after="120"/>
        <w:jc w:val="center"/>
      </w:pPr>
      <w:r>
        <w:rPr>
          <w:noProof/>
        </w:rPr>
        <w:drawing>
          <wp:inline distT="0" distB="0" distL="0" distR="0" wp14:anchorId="0C3F9051" wp14:editId="0C3F9052">
            <wp:extent cx="4110975" cy="6981825"/>
            <wp:effectExtent l="0" t="0" r="4445" b="0"/>
            <wp:docPr id="61" name="Picture 61" descr="Secondary waters mapped during the 2012-13 wet season: Weekly compo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8" cstate="print">
                      <a:extLst>
                        <a:ext uri="{28A0092B-C50C-407E-A947-70E740481C1C}">
                          <a14:useLocalDpi xmlns:a14="http://schemas.microsoft.com/office/drawing/2010/main" val="0"/>
                        </a:ext>
                      </a:extLst>
                    </a:blip>
                    <a:srcRect b="1231"/>
                    <a:stretch/>
                  </pic:blipFill>
                  <pic:spPr bwMode="auto">
                    <a:xfrm>
                      <a:off x="0" y="0"/>
                      <a:ext cx="4110173" cy="6980463"/>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0C3F89EC" w14:textId="77777777" w:rsidR="00B6457B" w:rsidRDefault="00B6457B" w:rsidP="00B6457B">
      <w:pPr>
        <w:pStyle w:val="Caption"/>
        <w:rPr>
          <w:rFonts w:cstheme="minorHAnsi"/>
          <w:color w:val="auto"/>
          <w:szCs w:val="22"/>
          <w:lang w:eastAsia="en-AU"/>
        </w:rPr>
      </w:pPr>
      <w:r w:rsidRPr="006C226E">
        <w:rPr>
          <w:rFonts w:cstheme="minorHAnsi"/>
          <w:color w:val="auto"/>
          <w:szCs w:val="22"/>
          <w:lang w:eastAsia="en-AU"/>
        </w:rPr>
        <w:t xml:space="preserve">Figure </w:t>
      </w:r>
      <w:r>
        <w:rPr>
          <w:rFonts w:cstheme="minorHAnsi"/>
          <w:color w:val="auto"/>
          <w:szCs w:val="22"/>
          <w:lang w:eastAsia="en-AU"/>
        </w:rPr>
        <w:t>B-1</w:t>
      </w:r>
      <w:r w:rsidRPr="006C226E">
        <w:rPr>
          <w:rFonts w:cstheme="minorHAnsi"/>
          <w:color w:val="auto"/>
          <w:szCs w:val="22"/>
          <w:lang w:eastAsia="en-AU"/>
        </w:rPr>
        <w:t>: Secondary waters mapped during the 2012-13 wet season: Weekly composites</w:t>
      </w:r>
    </w:p>
    <w:p w14:paraId="0C3F89ED" w14:textId="77777777" w:rsidR="00605DDA" w:rsidRDefault="00605DDA" w:rsidP="00605DDA">
      <w:pPr>
        <w:rPr>
          <w:lang w:val="en-GB"/>
        </w:rPr>
      </w:pPr>
    </w:p>
    <w:p w14:paraId="0C3F89EE" w14:textId="77777777" w:rsidR="00605DDA" w:rsidRDefault="00605DDA" w:rsidP="00605DDA">
      <w:pPr>
        <w:rPr>
          <w:lang w:val="en-GB"/>
        </w:rPr>
      </w:pPr>
    </w:p>
    <w:p w14:paraId="0C3F89EF" w14:textId="77777777" w:rsidR="00B6457B" w:rsidRDefault="00B6457B" w:rsidP="00605DDA">
      <w:pPr>
        <w:pStyle w:val="Heading2"/>
        <w:spacing w:before="0" w:after="0" w:line="240" w:lineRule="auto"/>
        <w:rPr>
          <w:b w:val="0"/>
          <w:bCs/>
        </w:rPr>
      </w:pPr>
      <w:r w:rsidRPr="006C226E">
        <w:t xml:space="preserve">Table </w:t>
      </w:r>
      <w:r>
        <w:t>B-1</w:t>
      </w:r>
      <w:r w:rsidRPr="006C226E">
        <w:t xml:space="preserve">: conversion chart between Julian days, dates (regular years) and week numbers. For dates on leap year, check URL: </w:t>
      </w:r>
      <w:hyperlink r:id="rId119" w:tooltip="more information" w:history="1">
        <w:r w:rsidRPr="00821A1B">
          <w:rPr>
            <w:rStyle w:val="Hyperlink"/>
            <w:bCs/>
          </w:rPr>
          <w:t>http://landweb.nascom.nasa.gov/browse/calendar.html</w:t>
        </w:r>
      </w:hyperlink>
    </w:p>
    <w:p w14:paraId="0C3F89F0" w14:textId="77777777" w:rsidR="00B6457B" w:rsidRPr="006C226E" w:rsidRDefault="00B6457B" w:rsidP="00B6457B">
      <w:pPr>
        <w:rPr>
          <w:rFonts w:eastAsia="Calibri"/>
        </w:rPr>
      </w:pPr>
    </w:p>
    <w:tbl>
      <w:tblPr>
        <w:tblW w:w="9229" w:type="dxa"/>
        <w:tblInd w:w="93" w:type="dxa"/>
        <w:tblLook w:val="04A0" w:firstRow="1" w:lastRow="0" w:firstColumn="1" w:lastColumn="0" w:noHBand="0" w:noVBand="1"/>
        <w:tblDescription w:val="conversion chart between Julian days, dates (regular years) and week numbers. For dates on leap year, check URL: http://landweb.nascom.nasa.gov/browse/calendar.html"/>
      </w:tblPr>
      <w:tblGrid>
        <w:gridCol w:w="724"/>
        <w:gridCol w:w="1418"/>
        <w:gridCol w:w="1559"/>
        <w:gridCol w:w="1417"/>
        <w:gridCol w:w="1276"/>
        <w:gridCol w:w="1418"/>
        <w:gridCol w:w="1417"/>
      </w:tblGrid>
      <w:tr w:rsidR="00B6457B" w:rsidRPr="00DF1C49" w14:paraId="0C3F89F8" w14:textId="77777777" w:rsidTr="00393ABA">
        <w:trPr>
          <w:trHeight w:val="300"/>
        </w:trPr>
        <w:tc>
          <w:tcPr>
            <w:tcW w:w="724" w:type="dxa"/>
            <w:tcBorders>
              <w:top w:val="nil"/>
              <w:left w:val="nil"/>
              <w:bottom w:val="nil"/>
              <w:right w:val="nil"/>
            </w:tcBorders>
            <w:shd w:val="clear" w:color="auto" w:fill="auto"/>
            <w:vAlign w:val="center"/>
            <w:hideMark/>
          </w:tcPr>
          <w:p w14:paraId="0C3F89F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 xml:space="preserve">Julian </w:t>
            </w:r>
          </w:p>
        </w:tc>
        <w:tc>
          <w:tcPr>
            <w:tcW w:w="1418" w:type="dxa"/>
            <w:tcBorders>
              <w:top w:val="nil"/>
              <w:left w:val="nil"/>
              <w:bottom w:val="nil"/>
              <w:right w:val="nil"/>
            </w:tcBorders>
            <w:shd w:val="clear" w:color="auto" w:fill="auto"/>
            <w:vAlign w:val="center"/>
            <w:hideMark/>
          </w:tcPr>
          <w:p w14:paraId="0C3F89F2"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335 - 341</w:t>
            </w:r>
          </w:p>
        </w:tc>
        <w:tc>
          <w:tcPr>
            <w:tcW w:w="1559" w:type="dxa"/>
            <w:tcBorders>
              <w:top w:val="nil"/>
              <w:left w:val="nil"/>
              <w:bottom w:val="nil"/>
              <w:right w:val="nil"/>
            </w:tcBorders>
            <w:shd w:val="clear" w:color="auto" w:fill="auto"/>
            <w:vAlign w:val="center"/>
            <w:hideMark/>
          </w:tcPr>
          <w:p w14:paraId="0C3F89F3"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342 - 348</w:t>
            </w:r>
          </w:p>
        </w:tc>
        <w:tc>
          <w:tcPr>
            <w:tcW w:w="1417" w:type="dxa"/>
            <w:tcBorders>
              <w:top w:val="nil"/>
              <w:left w:val="nil"/>
              <w:bottom w:val="nil"/>
              <w:right w:val="nil"/>
            </w:tcBorders>
            <w:shd w:val="clear" w:color="auto" w:fill="auto"/>
            <w:vAlign w:val="center"/>
            <w:hideMark/>
          </w:tcPr>
          <w:p w14:paraId="0C3F89F4"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349 - 355</w:t>
            </w:r>
          </w:p>
        </w:tc>
        <w:tc>
          <w:tcPr>
            <w:tcW w:w="1276" w:type="dxa"/>
            <w:tcBorders>
              <w:top w:val="nil"/>
              <w:left w:val="nil"/>
              <w:bottom w:val="nil"/>
              <w:right w:val="nil"/>
            </w:tcBorders>
            <w:shd w:val="clear" w:color="auto" w:fill="auto"/>
            <w:vAlign w:val="center"/>
            <w:hideMark/>
          </w:tcPr>
          <w:p w14:paraId="0C3F89F5"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356 - 362</w:t>
            </w:r>
          </w:p>
        </w:tc>
        <w:tc>
          <w:tcPr>
            <w:tcW w:w="1418" w:type="dxa"/>
            <w:tcBorders>
              <w:top w:val="nil"/>
              <w:left w:val="nil"/>
              <w:bottom w:val="nil"/>
              <w:right w:val="nil"/>
            </w:tcBorders>
            <w:shd w:val="clear" w:color="auto" w:fill="auto"/>
            <w:vAlign w:val="center"/>
            <w:hideMark/>
          </w:tcPr>
          <w:p w14:paraId="0C3F89F6"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363 - 004</w:t>
            </w:r>
          </w:p>
        </w:tc>
        <w:tc>
          <w:tcPr>
            <w:tcW w:w="1417" w:type="dxa"/>
            <w:tcBorders>
              <w:top w:val="nil"/>
              <w:left w:val="nil"/>
              <w:bottom w:val="nil"/>
              <w:right w:val="nil"/>
            </w:tcBorders>
            <w:shd w:val="clear" w:color="auto" w:fill="auto"/>
            <w:vAlign w:val="center"/>
            <w:hideMark/>
          </w:tcPr>
          <w:p w14:paraId="0C3F89F7"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005 - 011</w:t>
            </w:r>
          </w:p>
        </w:tc>
      </w:tr>
      <w:tr w:rsidR="00B6457B" w:rsidRPr="00DF1C49" w14:paraId="0C3F8A00" w14:textId="77777777" w:rsidTr="00393ABA">
        <w:trPr>
          <w:trHeight w:val="300"/>
        </w:trPr>
        <w:tc>
          <w:tcPr>
            <w:tcW w:w="724" w:type="dxa"/>
            <w:tcBorders>
              <w:top w:val="nil"/>
              <w:left w:val="nil"/>
              <w:bottom w:val="nil"/>
              <w:right w:val="nil"/>
            </w:tcBorders>
            <w:shd w:val="clear" w:color="auto" w:fill="auto"/>
            <w:vAlign w:val="center"/>
            <w:hideMark/>
          </w:tcPr>
          <w:p w14:paraId="0C3F89F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Dates</w:t>
            </w:r>
          </w:p>
        </w:tc>
        <w:tc>
          <w:tcPr>
            <w:tcW w:w="1418" w:type="dxa"/>
            <w:tcBorders>
              <w:top w:val="nil"/>
              <w:left w:val="nil"/>
              <w:bottom w:val="nil"/>
              <w:right w:val="nil"/>
            </w:tcBorders>
            <w:shd w:val="clear" w:color="auto" w:fill="auto"/>
            <w:vAlign w:val="center"/>
            <w:hideMark/>
          </w:tcPr>
          <w:p w14:paraId="0C3F89FA"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1 - 7 Dec</w:t>
            </w:r>
          </w:p>
        </w:tc>
        <w:tc>
          <w:tcPr>
            <w:tcW w:w="1559" w:type="dxa"/>
            <w:tcBorders>
              <w:top w:val="nil"/>
              <w:left w:val="nil"/>
              <w:bottom w:val="nil"/>
              <w:right w:val="nil"/>
            </w:tcBorders>
            <w:shd w:val="clear" w:color="auto" w:fill="auto"/>
            <w:vAlign w:val="center"/>
            <w:hideMark/>
          </w:tcPr>
          <w:p w14:paraId="0C3F89FB"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8 - 14 Dec</w:t>
            </w:r>
          </w:p>
        </w:tc>
        <w:tc>
          <w:tcPr>
            <w:tcW w:w="1417" w:type="dxa"/>
            <w:tcBorders>
              <w:top w:val="nil"/>
              <w:left w:val="nil"/>
              <w:bottom w:val="nil"/>
              <w:right w:val="nil"/>
            </w:tcBorders>
            <w:shd w:val="clear" w:color="auto" w:fill="auto"/>
            <w:vAlign w:val="center"/>
            <w:hideMark/>
          </w:tcPr>
          <w:p w14:paraId="0C3F89FC"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15 - 21 Dec</w:t>
            </w:r>
          </w:p>
        </w:tc>
        <w:tc>
          <w:tcPr>
            <w:tcW w:w="1276" w:type="dxa"/>
            <w:tcBorders>
              <w:top w:val="nil"/>
              <w:left w:val="nil"/>
              <w:bottom w:val="nil"/>
              <w:right w:val="nil"/>
            </w:tcBorders>
            <w:shd w:val="clear" w:color="auto" w:fill="auto"/>
            <w:vAlign w:val="center"/>
            <w:hideMark/>
          </w:tcPr>
          <w:p w14:paraId="0C3F89FD"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22 - 28 Dec</w:t>
            </w:r>
          </w:p>
        </w:tc>
        <w:tc>
          <w:tcPr>
            <w:tcW w:w="1418" w:type="dxa"/>
            <w:tcBorders>
              <w:top w:val="nil"/>
              <w:left w:val="nil"/>
              <w:bottom w:val="nil"/>
              <w:right w:val="nil"/>
            </w:tcBorders>
            <w:shd w:val="clear" w:color="auto" w:fill="auto"/>
            <w:vAlign w:val="center"/>
            <w:hideMark/>
          </w:tcPr>
          <w:p w14:paraId="0C3F89FE"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29 Dec - 4 Jan</w:t>
            </w:r>
          </w:p>
        </w:tc>
        <w:tc>
          <w:tcPr>
            <w:tcW w:w="1417" w:type="dxa"/>
            <w:tcBorders>
              <w:top w:val="nil"/>
              <w:left w:val="nil"/>
              <w:bottom w:val="nil"/>
              <w:right w:val="nil"/>
            </w:tcBorders>
            <w:shd w:val="clear" w:color="auto" w:fill="auto"/>
            <w:vAlign w:val="center"/>
            <w:hideMark/>
          </w:tcPr>
          <w:p w14:paraId="0C3F89FF"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5 - 11 Jan</w:t>
            </w:r>
          </w:p>
        </w:tc>
      </w:tr>
      <w:tr w:rsidR="00B6457B" w:rsidRPr="00DF1C49" w14:paraId="0C3F8A08" w14:textId="77777777" w:rsidTr="00393ABA">
        <w:trPr>
          <w:trHeight w:val="300"/>
        </w:trPr>
        <w:tc>
          <w:tcPr>
            <w:tcW w:w="724" w:type="dxa"/>
            <w:tcBorders>
              <w:top w:val="nil"/>
              <w:left w:val="nil"/>
              <w:bottom w:val="single" w:sz="4" w:space="0" w:color="auto"/>
              <w:right w:val="nil"/>
            </w:tcBorders>
            <w:shd w:val="clear" w:color="auto" w:fill="auto"/>
            <w:vAlign w:val="center"/>
            <w:hideMark/>
          </w:tcPr>
          <w:p w14:paraId="0C3F8A0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Week</w:t>
            </w:r>
          </w:p>
        </w:tc>
        <w:tc>
          <w:tcPr>
            <w:tcW w:w="1418" w:type="dxa"/>
            <w:tcBorders>
              <w:top w:val="nil"/>
              <w:left w:val="nil"/>
              <w:bottom w:val="single" w:sz="4" w:space="0" w:color="auto"/>
              <w:right w:val="nil"/>
            </w:tcBorders>
            <w:shd w:val="clear" w:color="auto" w:fill="auto"/>
            <w:vAlign w:val="center"/>
            <w:hideMark/>
          </w:tcPr>
          <w:p w14:paraId="0C3F8A02"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w:t>
            </w:r>
          </w:p>
        </w:tc>
        <w:tc>
          <w:tcPr>
            <w:tcW w:w="1559" w:type="dxa"/>
            <w:tcBorders>
              <w:top w:val="nil"/>
              <w:left w:val="nil"/>
              <w:bottom w:val="single" w:sz="4" w:space="0" w:color="auto"/>
              <w:right w:val="nil"/>
            </w:tcBorders>
            <w:shd w:val="clear" w:color="auto" w:fill="auto"/>
            <w:vAlign w:val="center"/>
            <w:hideMark/>
          </w:tcPr>
          <w:p w14:paraId="0C3F8A03"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2</w:t>
            </w:r>
          </w:p>
        </w:tc>
        <w:tc>
          <w:tcPr>
            <w:tcW w:w="1417" w:type="dxa"/>
            <w:tcBorders>
              <w:top w:val="nil"/>
              <w:left w:val="nil"/>
              <w:bottom w:val="single" w:sz="4" w:space="0" w:color="auto"/>
              <w:right w:val="nil"/>
            </w:tcBorders>
            <w:shd w:val="clear" w:color="auto" w:fill="auto"/>
            <w:vAlign w:val="center"/>
            <w:hideMark/>
          </w:tcPr>
          <w:p w14:paraId="0C3F8A04"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3</w:t>
            </w:r>
          </w:p>
        </w:tc>
        <w:tc>
          <w:tcPr>
            <w:tcW w:w="1276" w:type="dxa"/>
            <w:tcBorders>
              <w:top w:val="nil"/>
              <w:left w:val="nil"/>
              <w:bottom w:val="single" w:sz="4" w:space="0" w:color="auto"/>
              <w:right w:val="nil"/>
            </w:tcBorders>
            <w:shd w:val="clear" w:color="auto" w:fill="auto"/>
            <w:vAlign w:val="center"/>
            <w:hideMark/>
          </w:tcPr>
          <w:p w14:paraId="0C3F8A05"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4</w:t>
            </w:r>
          </w:p>
        </w:tc>
        <w:tc>
          <w:tcPr>
            <w:tcW w:w="1418" w:type="dxa"/>
            <w:tcBorders>
              <w:top w:val="nil"/>
              <w:left w:val="nil"/>
              <w:bottom w:val="single" w:sz="4" w:space="0" w:color="auto"/>
              <w:right w:val="nil"/>
            </w:tcBorders>
            <w:shd w:val="clear" w:color="auto" w:fill="auto"/>
            <w:vAlign w:val="center"/>
            <w:hideMark/>
          </w:tcPr>
          <w:p w14:paraId="0C3F8A06"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5</w:t>
            </w:r>
          </w:p>
        </w:tc>
        <w:tc>
          <w:tcPr>
            <w:tcW w:w="1417" w:type="dxa"/>
            <w:tcBorders>
              <w:top w:val="nil"/>
              <w:left w:val="nil"/>
              <w:bottom w:val="single" w:sz="4" w:space="0" w:color="auto"/>
              <w:right w:val="nil"/>
            </w:tcBorders>
            <w:shd w:val="clear" w:color="auto" w:fill="auto"/>
            <w:vAlign w:val="center"/>
            <w:hideMark/>
          </w:tcPr>
          <w:p w14:paraId="0C3F8A07"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6</w:t>
            </w:r>
          </w:p>
        </w:tc>
      </w:tr>
      <w:tr w:rsidR="00B6457B" w:rsidRPr="00DF1C49" w14:paraId="0C3F8A10" w14:textId="77777777" w:rsidTr="00393ABA">
        <w:trPr>
          <w:trHeight w:val="300"/>
        </w:trPr>
        <w:tc>
          <w:tcPr>
            <w:tcW w:w="724" w:type="dxa"/>
            <w:tcBorders>
              <w:top w:val="nil"/>
              <w:left w:val="nil"/>
              <w:bottom w:val="nil"/>
              <w:right w:val="nil"/>
            </w:tcBorders>
            <w:shd w:val="clear" w:color="auto" w:fill="auto"/>
            <w:vAlign w:val="center"/>
            <w:hideMark/>
          </w:tcPr>
          <w:p w14:paraId="0C3F8A0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Days</w:t>
            </w:r>
          </w:p>
        </w:tc>
        <w:tc>
          <w:tcPr>
            <w:tcW w:w="1418" w:type="dxa"/>
            <w:tcBorders>
              <w:top w:val="nil"/>
              <w:left w:val="nil"/>
              <w:bottom w:val="nil"/>
              <w:right w:val="nil"/>
            </w:tcBorders>
            <w:shd w:val="clear" w:color="auto" w:fill="auto"/>
            <w:vAlign w:val="center"/>
            <w:hideMark/>
          </w:tcPr>
          <w:p w14:paraId="0C3F8A0A"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012 - 018</w:t>
            </w:r>
          </w:p>
        </w:tc>
        <w:tc>
          <w:tcPr>
            <w:tcW w:w="1559" w:type="dxa"/>
            <w:tcBorders>
              <w:top w:val="nil"/>
              <w:left w:val="nil"/>
              <w:bottom w:val="nil"/>
              <w:right w:val="nil"/>
            </w:tcBorders>
            <w:shd w:val="clear" w:color="auto" w:fill="auto"/>
            <w:vAlign w:val="center"/>
            <w:hideMark/>
          </w:tcPr>
          <w:p w14:paraId="0C3F8A0B"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019 - 025</w:t>
            </w:r>
          </w:p>
        </w:tc>
        <w:tc>
          <w:tcPr>
            <w:tcW w:w="1417" w:type="dxa"/>
            <w:tcBorders>
              <w:top w:val="nil"/>
              <w:left w:val="nil"/>
              <w:bottom w:val="nil"/>
              <w:right w:val="nil"/>
            </w:tcBorders>
            <w:shd w:val="clear" w:color="auto" w:fill="auto"/>
            <w:vAlign w:val="center"/>
            <w:hideMark/>
          </w:tcPr>
          <w:p w14:paraId="0C3F8A0C"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026 - 032</w:t>
            </w:r>
          </w:p>
        </w:tc>
        <w:tc>
          <w:tcPr>
            <w:tcW w:w="1276" w:type="dxa"/>
            <w:tcBorders>
              <w:top w:val="nil"/>
              <w:left w:val="nil"/>
              <w:bottom w:val="nil"/>
              <w:right w:val="nil"/>
            </w:tcBorders>
            <w:shd w:val="clear" w:color="auto" w:fill="auto"/>
            <w:vAlign w:val="center"/>
            <w:hideMark/>
          </w:tcPr>
          <w:p w14:paraId="0C3F8A0D"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033 - 039</w:t>
            </w:r>
          </w:p>
        </w:tc>
        <w:tc>
          <w:tcPr>
            <w:tcW w:w="1418" w:type="dxa"/>
            <w:tcBorders>
              <w:top w:val="nil"/>
              <w:left w:val="nil"/>
              <w:bottom w:val="nil"/>
              <w:right w:val="nil"/>
            </w:tcBorders>
            <w:shd w:val="clear" w:color="auto" w:fill="auto"/>
            <w:vAlign w:val="center"/>
            <w:hideMark/>
          </w:tcPr>
          <w:p w14:paraId="0C3F8A0E"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040 - 046</w:t>
            </w:r>
          </w:p>
        </w:tc>
        <w:tc>
          <w:tcPr>
            <w:tcW w:w="1417" w:type="dxa"/>
            <w:tcBorders>
              <w:top w:val="nil"/>
              <w:left w:val="nil"/>
              <w:bottom w:val="nil"/>
              <w:right w:val="nil"/>
            </w:tcBorders>
            <w:shd w:val="clear" w:color="auto" w:fill="auto"/>
            <w:vAlign w:val="center"/>
            <w:hideMark/>
          </w:tcPr>
          <w:p w14:paraId="0C3F8A0F"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047 - 053</w:t>
            </w:r>
          </w:p>
        </w:tc>
      </w:tr>
      <w:tr w:rsidR="00B6457B" w:rsidRPr="00DF1C49" w14:paraId="0C3F8A18" w14:textId="77777777" w:rsidTr="00393ABA">
        <w:trPr>
          <w:trHeight w:val="300"/>
        </w:trPr>
        <w:tc>
          <w:tcPr>
            <w:tcW w:w="724" w:type="dxa"/>
            <w:tcBorders>
              <w:top w:val="nil"/>
              <w:left w:val="nil"/>
              <w:bottom w:val="nil"/>
              <w:right w:val="nil"/>
            </w:tcBorders>
            <w:shd w:val="clear" w:color="auto" w:fill="auto"/>
            <w:vAlign w:val="center"/>
            <w:hideMark/>
          </w:tcPr>
          <w:p w14:paraId="0C3F8A1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Dates</w:t>
            </w:r>
          </w:p>
        </w:tc>
        <w:tc>
          <w:tcPr>
            <w:tcW w:w="1418" w:type="dxa"/>
            <w:tcBorders>
              <w:top w:val="nil"/>
              <w:left w:val="nil"/>
              <w:bottom w:val="nil"/>
              <w:right w:val="nil"/>
            </w:tcBorders>
            <w:shd w:val="clear" w:color="auto" w:fill="auto"/>
            <w:vAlign w:val="center"/>
            <w:hideMark/>
          </w:tcPr>
          <w:p w14:paraId="0C3F8A12"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12 - 18 Jan</w:t>
            </w:r>
          </w:p>
        </w:tc>
        <w:tc>
          <w:tcPr>
            <w:tcW w:w="1559" w:type="dxa"/>
            <w:tcBorders>
              <w:top w:val="nil"/>
              <w:left w:val="nil"/>
              <w:bottom w:val="nil"/>
              <w:right w:val="nil"/>
            </w:tcBorders>
            <w:shd w:val="clear" w:color="auto" w:fill="auto"/>
            <w:vAlign w:val="center"/>
            <w:hideMark/>
          </w:tcPr>
          <w:p w14:paraId="0C3F8A13"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19 - 25 Jan</w:t>
            </w:r>
          </w:p>
        </w:tc>
        <w:tc>
          <w:tcPr>
            <w:tcW w:w="1417" w:type="dxa"/>
            <w:tcBorders>
              <w:top w:val="nil"/>
              <w:left w:val="nil"/>
              <w:bottom w:val="nil"/>
              <w:right w:val="nil"/>
            </w:tcBorders>
            <w:shd w:val="clear" w:color="auto" w:fill="auto"/>
            <w:vAlign w:val="center"/>
            <w:hideMark/>
          </w:tcPr>
          <w:p w14:paraId="0C3F8A14"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26 Jan - 1 Feb</w:t>
            </w:r>
          </w:p>
        </w:tc>
        <w:tc>
          <w:tcPr>
            <w:tcW w:w="1276" w:type="dxa"/>
            <w:tcBorders>
              <w:top w:val="nil"/>
              <w:left w:val="nil"/>
              <w:bottom w:val="nil"/>
              <w:right w:val="nil"/>
            </w:tcBorders>
            <w:shd w:val="clear" w:color="auto" w:fill="auto"/>
            <w:vAlign w:val="center"/>
            <w:hideMark/>
          </w:tcPr>
          <w:p w14:paraId="0C3F8A15"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2 - 8 Feb</w:t>
            </w:r>
          </w:p>
        </w:tc>
        <w:tc>
          <w:tcPr>
            <w:tcW w:w="1418" w:type="dxa"/>
            <w:tcBorders>
              <w:top w:val="nil"/>
              <w:left w:val="nil"/>
              <w:bottom w:val="nil"/>
              <w:right w:val="nil"/>
            </w:tcBorders>
            <w:shd w:val="clear" w:color="auto" w:fill="auto"/>
            <w:vAlign w:val="center"/>
            <w:hideMark/>
          </w:tcPr>
          <w:p w14:paraId="0C3F8A16"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9 - 15 Feb</w:t>
            </w:r>
          </w:p>
        </w:tc>
        <w:tc>
          <w:tcPr>
            <w:tcW w:w="1417" w:type="dxa"/>
            <w:tcBorders>
              <w:top w:val="nil"/>
              <w:left w:val="nil"/>
              <w:bottom w:val="nil"/>
              <w:right w:val="nil"/>
            </w:tcBorders>
            <w:shd w:val="clear" w:color="auto" w:fill="auto"/>
            <w:vAlign w:val="center"/>
            <w:hideMark/>
          </w:tcPr>
          <w:p w14:paraId="0C3F8A17"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16 - 22 Feb</w:t>
            </w:r>
          </w:p>
        </w:tc>
      </w:tr>
      <w:tr w:rsidR="00B6457B" w:rsidRPr="00DF1C49" w14:paraId="0C3F8A20" w14:textId="77777777" w:rsidTr="00393ABA">
        <w:trPr>
          <w:trHeight w:val="300"/>
        </w:trPr>
        <w:tc>
          <w:tcPr>
            <w:tcW w:w="724" w:type="dxa"/>
            <w:tcBorders>
              <w:top w:val="nil"/>
              <w:left w:val="nil"/>
              <w:bottom w:val="single" w:sz="4" w:space="0" w:color="auto"/>
              <w:right w:val="nil"/>
            </w:tcBorders>
            <w:shd w:val="clear" w:color="auto" w:fill="auto"/>
            <w:vAlign w:val="center"/>
            <w:hideMark/>
          </w:tcPr>
          <w:p w14:paraId="0C3F8A1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Week</w:t>
            </w:r>
          </w:p>
        </w:tc>
        <w:tc>
          <w:tcPr>
            <w:tcW w:w="1418" w:type="dxa"/>
            <w:tcBorders>
              <w:top w:val="nil"/>
              <w:left w:val="nil"/>
              <w:bottom w:val="single" w:sz="4" w:space="0" w:color="auto"/>
              <w:right w:val="nil"/>
            </w:tcBorders>
            <w:shd w:val="clear" w:color="auto" w:fill="auto"/>
            <w:vAlign w:val="center"/>
            <w:hideMark/>
          </w:tcPr>
          <w:p w14:paraId="0C3F8A1A"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7</w:t>
            </w:r>
          </w:p>
        </w:tc>
        <w:tc>
          <w:tcPr>
            <w:tcW w:w="1559" w:type="dxa"/>
            <w:tcBorders>
              <w:top w:val="nil"/>
              <w:left w:val="nil"/>
              <w:bottom w:val="single" w:sz="4" w:space="0" w:color="auto"/>
              <w:right w:val="nil"/>
            </w:tcBorders>
            <w:shd w:val="clear" w:color="auto" w:fill="auto"/>
            <w:vAlign w:val="center"/>
            <w:hideMark/>
          </w:tcPr>
          <w:p w14:paraId="0C3F8A1B"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8</w:t>
            </w:r>
          </w:p>
        </w:tc>
        <w:tc>
          <w:tcPr>
            <w:tcW w:w="1417" w:type="dxa"/>
            <w:tcBorders>
              <w:top w:val="nil"/>
              <w:left w:val="nil"/>
              <w:bottom w:val="single" w:sz="4" w:space="0" w:color="auto"/>
              <w:right w:val="nil"/>
            </w:tcBorders>
            <w:shd w:val="clear" w:color="auto" w:fill="auto"/>
            <w:vAlign w:val="center"/>
            <w:hideMark/>
          </w:tcPr>
          <w:p w14:paraId="0C3F8A1C"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9</w:t>
            </w:r>
          </w:p>
        </w:tc>
        <w:tc>
          <w:tcPr>
            <w:tcW w:w="1276" w:type="dxa"/>
            <w:tcBorders>
              <w:top w:val="nil"/>
              <w:left w:val="nil"/>
              <w:bottom w:val="single" w:sz="4" w:space="0" w:color="auto"/>
              <w:right w:val="nil"/>
            </w:tcBorders>
            <w:shd w:val="clear" w:color="auto" w:fill="auto"/>
            <w:vAlign w:val="center"/>
            <w:hideMark/>
          </w:tcPr>
          <w:p w14:paraId="0C3F8A1D"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10</w:t>
            </w:r>
          </w:p>
        </w:tc>
        <w:tc>
          <w:tcPr>
            <w:tcW w:w="1418" w:type="dxa"/>
            <w:tcBorders>
              <w:top w:val="nil"/>
              <w:left w:val="nil"/>
              <w:bottom w:val="single" w:sz="4" w:space="0" w:color="auto"/>
              <w:right w:val="nil"/>
            </w:tcBorders>
            <w:shd w:val="clear" w:color="auto" w:fill="auto"/>
            <w:vAlign w:val="center"/>
            <w:hideMark/>
          </w:tcPr>
          <w:p w14:paraId="0C3F8A1E"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11</w:t>
            </w:r>
          </w:p>
        </w:tc>
        <w:tc>
          <w:tcPr>
            <w:tcW w:w="1417" w:type="dxa"/>
            <w:tcBorders>
              <w:top w:val="nil"/>
              <w:left w:val="nil"/>
              <w:bottom w:val="single" w:sz="4" w:space="0" w:color="auto"/>
              <w:right w:val="nil"/>
            </w:tcBorders>
            <w:shd w:val="clear" w:color="auto" w:fill="auto"/>
            <w:vAlign w:val="center"/>
            <w:hideMark/>
          </w:tcPr>
          <w:p w14:paraId="0C3F8A1F"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12</w:t>
            </w:r>
          </w:p>
        </w:tc>
      </w:tr>
      <w:tr w:rsidR="00B6457B" w:rsidRPr="00DF1C49" w14:paraId="0C3F8A28" w14:textId="77777777" w:rsidTr="00393ABA">
        <w:trPr>
          <w:trHeight w:val="300"/>
        </w:trPr>
        <w:tc>
          <w:tcPr>
            <w:tcW w:w="724" w:type="dxa"/>
            <w:tcBorders>
              <w:top w:val="nil"/>
              <w:left w:val="nil"/>
              <w:bottom w:val="nil"/>
              <w:right w:val="nil"/>
            </w:tcBorders>
            <w:shd w:val="clear" w:color="auto" w:fill="auto"/>
            <w:vAlign w:val="center"/>
            <w:hideMark/>
          </w:tcPr>
          <w:p w14:paraId="0C3F8A2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 xml:space="preserve">Julian </w:t>
            </w:r>
          </w:p>
        </w:tc>
        <w:tc>
          <w:tcPr>
            <w:tcW w:w="1418" w:type="dxa"/>
            <w:tcBorders>
              <w:top w:val="nil"/>
              <w:left w:val="nil"/>
              <w:bottom w:val="nil"/>
              <w:right w:val="nil"/>
            </w:tcBorders>
            <w:shd w:val="clear" w:color="auto" w:fill="auto"/>
            <w:vAlign w:val="center"/>
            <w:hideMark/>
          </w:tcPr>
          <w:p w14:paraId="0C3F8A22"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054 - 060</w:t>
            </w:r>
          </w:p>
        </w:tc>
        <w:tc>
          <w:tcPr>
            <w:tcW w:w="1559" w:type="dxa"/>
            <w:tcBorders>
              <w:top w:val="nil"/>
              <w:left w:val="nil"/>
              <w:bottom w:val="nil"/>
              <w:right w:val="nil"/>
            </w:tcBorders>
            <w:shd w:val="clear" w:color="auto" w:fill="auto"/>
            <w:vAlign w:val="center"/>
            <w:hideMark/>
          </w:tcPr>
          <w:p w14:paraId="0C3F8A23"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061 - 067</w:t>
            </w:r>
          </w:p>
        </w:tc>
        <w:tc>
          <w:tcPr>
            <w:tcW w:w="1417" w:type="dxa"/>
            <w:tcBorders>
              <w:top w:val="nil"/>
              <w:left w:val="nil"/>
              <w:bottom w:val="nil"/>
              <w:right w:val="nil"/>
            </w:tcBorders>
            <w:shd w:val="clear" w:color="auto" w:fill="auto"/>
            <w:vAlign w:val="center"/>
            <w:hideMark/>
          </w:tcPr>
          <w:p w14:paraId="0C3F8A24"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068 - 074</w:t>
            </w:r>
          </w:p>
        </w:tc>
        <w:tc>
          <w:tcPr>
            <w:tcW w:w="1276" w:type="dxa"/>
            <w:tcBorders>
              <w:top w:val="nil"/>
              <w:left w:val="nil"/>
              <w:bottom w:val="nil"/>
              <w:right w:val="nil"/>
            </w:tcBorders>
            <w:shd w:val="clear" w:color="auto" w:fill="auto"/>
            <w:vAlign w:val="center"/>
            <w:hideMark/>
          </w:tcPr>
          <w:p w14:paraId="0C3F8A25"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075 - 081</w:t>
            </w:r>
          </w:p>
        </w:tc>
        <w:tc>
          <w:tcPr>
            <w:tcW w:w="1418" w:type="dxa"/>
            <w:tcBorders>
              <w:top w:val="nil"/>
              <w:left w:val="nil"/>
              <w:bottom w:val="nil"/>
              <w:right w:val="nil"/>
            </w:tcBorders>
            <w:shd w:val="clear" w:color="auto" w:fill="auto"/>
            <w:vAlign w:val="center"/>
            <w:hideMark/>
          </w:tcPr>
          <w:p w14:paraId="0C3F8A26"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082 - 088</w:t>
            </w:r>
          </w:p>
        </w:tc>
        <w:tc>
          <w:tcPr>
            <w:tcW w:w="1417" w:type="dxa"/>
            <w:tcBorders>
              <w:top w:val="nil"/>
              <w:left w:val="nil"/>
              <w:bottom w:val="nil"/>
              <w:right w:val="nil"/>
            </w:tcBorders>
            <w:shd w:val="clear" w:color="auto" w:fill="auto"/>
            <w:vAlign w:val="center"/>
            <w:hideMark/>
          </w:tcPr>
          <w:p w14:paraId="0C3F8A27"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089 - 095</w:t>
            </w:r>
          </w:p>
        </w:tc>
      </w:tr>
      <w:tr w:rsidR="00B6457B" w:rsidRPr="00DF1C49" w14:paraId="0C3F8A30" w14:textId="77777777" w:rsidTr="00393ABA">
        <w:trPr>
          <w:trHeight w:val="300"/>
        </w:trPr>
        <w:tc>
          <w:tcPr>
            <w:tcW w:w="724" w:type="dxa"/>
            <w:tcBorders>
              <w:top w:val="nil"/>
              <w:left w:val="nil"/>
              <w:bottom w:val="nil"/>
              <w:right w:val="nil"/>
            </w:tcBorders>
            <w:shd w:val="clear" w:color="auto" w:fill="auto"/>
            <w:vAlign w:val="center"/>
            <w:hideMark/>
          </w:tcPr>
          <w:p w14:paraId="0C3F8A2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Dates</w:t>
            </w:r>
          </w:p>
        </w:tc>
        <w:tc>
          <w:tcPr>
            <w:tcW w:w="1418" w:type="dxa"/>
            <w:tcBorders>
              <w:top w:val="nil"/>
              <w:left w:val="nil"/>
              <w:bottom w:val="nil"/>
              <w:right w:val="nil"/>
            </w:tcBorders>
            <w:shd w:val="clear" w:color="auto" w:fill="auto"/>
            <w:vAlign w:val="center"/>
            <w:hideMark/>
          </w:tcPr>
          <w:p w14:paraId="0C3F8A2A"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23 Feb - 1 Mar</w:t>
            </w:r>
          </w:p>
        </w:tc>
        <w:tc>
          <w:tcPr>
            <w:tcW w:w="1559" w:type="dxa"/>
            <w:tcBorders>
              <w:top w:val="nil"/>
              <w:left w:val="nil"/>
              <w:bottom w:val="nil"/>
              <w:right w:val="nil"/>
            </w:tcBorders>
            <w:shd w:val="clear" w:color="auto" w:fill="auto"/>
            <w:vAlign w:val="center"/>
            <w:hideMark/>
          </w:tcPr>
          <w:p w14:paraId="0C3F8A2B"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2 - 8 Mar</w:t>
            </w:r>
          </w:p>
        </w:tc>
        <w:tc>
          <w:tcPr>
            <w:tcW w:w="1417" w:type="dxa"/>
            <w:tcBorders>
              <w:top w:val="nil"/>
              <w:left w:val="nil"/>
              <w:bottom w:val="nil"/>
              <w:right w:val="nil"/>
            </w:tcBorders>
            <w:shd w:val="clear" w:color="auto" w:fill="auto"/>
            <w:vAlign w:val="center"/>
            <w:hideMark/>
          </w:tcPr>
          <w:p w14:paraId="0C3F8A2C"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9 - 15 Mar</w:t>
            </w:r>
          </w:p>
        </w:tc>
        <w:tc>
          <w:tcPr>
            <w:tcW w:w="1276" w:type="dxa"/>
            <w:tcBorders>
              <w:top w:val="nil"/>
              <w:left w:val="nil"/>
              <w:bottom w:val="nil"/>
              <w:right w:val="nil"/>
            </w:tcBorders>
            <w:shd w:val="clear" w:color="auto" w:fill="auto"/>
            <w:vAlign w:val="center"/>
            <w:hideMark/>
          </w:tcPr>
          <w:p w14:paraId="0C3F8A2D"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16 - 22 Mar</w:t>
            </w:r>
          </w:p>
        </w:tc>
        <w:tc>
          <w:tcPr>
            <w:tcW w:w="1418" w:type="dxa"/>
            <w:tcBorders>
              <w:top w:val="nil"/>
              <w:left w:val="nil"/>
              <w:bottom w:val="nil"/>
              <w:right w:val="nil"/>
            </w:tcBorders>
            <w:shd w:val="clear" w:color="auto" w:fill="auto"/>
            <w:vAlign w:val="center"/>
            <w:hideMark/>
          </w:tcPr>
          <w:p w14:paraId="0C3F8A2E"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23 - 29 Mar</w:t>
            </w:r>
          </w:p>
        </w:tc>
        <w:tc>
          <w:tcPr>
            <w:tcW w:w="1417" w:type="dxa"/>
            <w:tcBorders>
              <w:top w:val="nil"/>
              <w:left w:val="nil"/>
              <w:bottom w:val="nil"/>
              <w:right w:val="nil"/>
            </w:tcBorders>
            <w:shd w:val="clear" w:color="auto" w:fill="auto"/>
            <w:vAlign w:val="center"/>
            <w:hideMark/>
          </w:tcPr>
          <w:p w14:paraId="0C3F8A2F"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30 Mar - 5 Apr</w:t>
            </w:r>
          </w:p>
        </w:tc>
      </w:tr>
      <w:tr w:rsidR="00B6457B" w:rsidRPr="00DF1C49" w14:paraId="0C3F8A38" w14:textId="77777777" w:rsidTr="00393ABA">
        <w:trPr>
          <w:trHeight w:val="300"/>
        </w:trPr>
        <w:tc>
          <w:tcPr>
            <w:tcW w:w="724" w:type="dxa"/>
            <w:tcBorders>
              <w:top w:val="nil"/>
              <w:left w:val="nil"/>
              <w:bottom w:val="single" w:sz="4" w:space="0" w:color="auto"/>
              <w:right w:val="nil"/>
            </w:tcBorders>
            <w:shd w:val="clear" w:color="auto" w:fill="auto"/>
            <w:vAlign w:val="center"/>
            <w:hideMark/>
          </w:tcPr>
          <w:p w14:paraId="0C3F8A3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Week</w:t>
            </w:r>
          </w:p>
        </w:tc>
        <w:tc>
          <w:tcPr>
            <w:tcW w:w="1418" w:type="dxa"/>
            <w:tcBorders>
              <w:top w:val="nil"/>
              <w:left w:val="nil"/>
              <w:bottom w:val="single" w:sz="4" w:space="0" w:color="auto"/>
              <w:right w:val="nil"/>
            </w:tcBorders>
            <w:shd w:val="clear" w:color="auto" w:fill="auto"/>
            <w:vAlign w:val="center"/>
            <w:hideMark/>
          </w:tcPr>
          <w:p w14:paraId="0C3F8A32"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13</w:t>
            </w:r>
          </w:p>
        </w:tc>
        <w:tc>
          <w:tcPr>
            <w:tcW w:w="1559" w:type="dxa"/>
            <w:tcBorders>
              <w:top w:val="nil"/>
              <w:left w:val="nil"/>
              <w:bottom w:val="single" w:sz="4" w:space="0" w:color="auto"/>
              <w:right w:val="nil"/>
            </w:tcBorders>
            <w:shd w:val="clear" w:color="auto" w:fill="auto"/>
            <w:vAlign w:val="center"/>
            <w:hideMark/>
          </w:tcPr>
          <w:p w14:paraId="0C3F8A33"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14</w:t>
            </w:r>
          </w:p>
        </w:tc>
        <w:tc>
          <w:tcPr>
            <w:tcW w:w="1417" w:type="dxa"/>
            <w:tcBorders>
              <w:top w:val="nil"/>
              <w:left w:val="nil"/>
              <w:bottom w:val="single" w:sz="4" w:space="0" w:color="auto"/>
              <w:right w:val="nil"/>
            </w:tcBorders>
            <w:shd w:val="clear" w:color="auto" w:fill="auto"/>
            <w:vAlign w:val="center"/>
            <w:hideMark/>
          </w:tcPr>
          <w:p w14:paraId="0C3F8A34"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15</w:t>
            </w:r>
          </w:p>
        </w:tc>
        <w:tc>
          <w:tcPr>
            <w:tcW w:w="1276" w:type="dxa"/>
            <w:tcBorders>
              <w:top w:val="nil"/>
              <w:left w:val="nil"/>
              <w:bottom w:val="single" w:sz="4" w:space="0" w:color="auto"/>
              <w:right w:val="nil"/>
            </w:tcBorders>
            <w:shd w:val="clear" w:color="auto" w:fill="auto"/>
            <w:vAlign w:val="center"/>
            <w:hideMark/>
          </w:tcPr>
          <w:p w14:paraId="0C3F8A35"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16</w:t>
            </w:r>
          </w:p>
        </w:tc>
        <w:tc>
          <w:tcPr>
            <w:tcW w:w="1418" w:type="dxa"/>
            <w:tcBorders>
              <w:top w:val="nil"/>
              <w:left w:val="nil"/>
              <w:bottom w:val="single" w:sz="4" w:space="0" w:color="auto"/>
              <w:right w:val="nil"/>
            </w:tcBorders>
            <w:shd w:val="clear" w:color="auto" w:fill="auto"/>
            <w:vAlign w:val="center"/>
            <w:hideMark/>
          </w:tcPr>
          <w:p w14:paraId="0C3F8A36"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17</w:t>
            </w:r>
          </w:p>
        </w:tc>
        <w:tc>
          <w:tcPr>
            <w:tcW w:w="1417" w:type="dxa"/>
            <w:tcBorders>
              <w:top w:val="nil"/>
              <w:left w:val="nil"/>
              <w:bottom w:val="single" w:sz="4" w:space="0" w:color="auto"/>
              <w:right w:val="nil"/>
            </w:tcBorders>
            <w:shd w:val="clear" w:color="auto" w:fill="auto"/>
            <w:vAlign w:val="center"/>
            <w:hideMark/>
          </w:tcPr>
          <w:p w14:paraId="0C3F8A37"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18</w:t>
            </w:r>
          </w:p>
        </w:tc>
      </w:tr>
      <w:tr w:rsidR="00B6457B" w:rsidRPr="00DF1C49" w14:paraId="0C3F8A40" w14:textId="77777777" w:rsidTr="00393ABA">
        <w:trPr>
          <w:trHeight w:val="300"/>
        </w:trPr>
        <w:tc>
          <w:tcPr>
            <w:tcW w:w="724" w:type="dxa"/>
            <w:tcBorders>
              <w:top w:val="nil"/>
              <w:left w:val="nil"/>
              <w:bottom w:val="nil"/>
              <w:right w:val="nil"/>
            </w:tcBorders>
            <w:shd w:val="clear" w:color="auto" w:fill="auto"/>
            <w:vAlign w:val="center"/>
            <w:hideMark/>
          </w:tcPr>
          <w:p w14:paraId="0C3F8A3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 xml:space="preserve">Julian </w:t>
            </w:r>
          </w:p>
        </w:tc>
        <w:tc>
          <w:tcPr>
            <w:tcW w:w="1418" w:type="dxa"/>
            <w:tcBorders>
              <w:top w:val="nil"/>
              <w:left w:val="nil"/>
              <w:bottom w:val="nil"/>
              <w:right w:val="nil"/>
            </w:tcBorders>
            <w:shd w:val="clear" w:color="auto" w:fill="auto"/>
            <w:vAlign w:val="center"/>
            <w:hideMark/>
          </w:tcPr>
          <w:p w14:paraId="0C3F8A3A"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096 - 102</w:t>
            </w:r>
          </w:p>
        </w:tc>
        <w:tc>
          <w:tcPr>
            <w:tcW w:w="1559" w:type="dxa"/>
            <w:tcBorders>
              <w:top w:val="nil"/>
              <w:left w:val="nil"/>
              <w:bottom w:val="nil"/>
              <w:right w:val="nil"/>
            </w:tcBorders>
            <w:shd w:val="clear" w:color="auto" w:fill="auto"/>
            <w:vAlign w:val="center"/>
            <w:hideMark/>
          </w:tcPr>
          <w:p w14:paraId="0C3F8A3B"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103 - 109</w:t>
            </w:r>
          </w:p>
        </w:tc>
        <w:tc>
          <w:tcPr>
            <w:tcW w:w="1417" w:type="dxa"/>
            <w:tcBorders>
              <w:top w:val="nil"/>
              <w:left w:val="nil"/>
              <w:bottom w:val="nil"/>
              <w:right w:val="nil"/>
            </w:tcBorders>
            <w:shd w:val="clear" w:color="auto" w:fill="auto"/>
            <w:vAlign w:val="center"/>
            <w:hideMark/>
          </w:tcPr>
          <w:p w14:paraId="0C3F8A3C"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110 - 116</w:t>
            </w:r>
          </w:p>
        </w:tc>
        <w:tc>
          <w:tcPr>
            <w:tcW w:w="1276" w:type="dxa"/>
            <w:tcBorders>
              <w:top w:val="nil"/>
              <w:left w:val="nil"/>
              <w:bottom w:val="nil"/>
              <w:right w:val="nil"/>
            </w:tcBorders>
            <w:shd w:val="clear" w:color="auto" w:fill="auto"/>
            <w:vAlign w:val="center"/>
            <w:hideMark/>
          </w:tcPr>
          <w:p w14:paraId="0C3F8A3D"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117 - 120</w:t>
            </w:r>
          </w:p>
        </w:tc>
        <w:tc>
          <w:tcPr>
            <w:tcW w:w="1418" w:type="dxa"/>
            <w:tcBorders>
              <w:top w:val="nil"/>
              <w:left w:val="nil"/>
              <w:bottom w:val="nil"/>
              <w:right w:val="nil"/>
            </w:tcBorders>
            <w:shd w:val="clear" w:color="auto" w:fill="auto"/>
            <w:noWrap/>
            <w:vAlign w:val="center"/>
            <w:hideMark/>
          </w:tcPr>
          <w:p w14:paraId="0C3F8A3E" w14:textId="77777777" w:rsidR="00B6457B" w:rsidRPr="00DF1C49" w:rsidRDefault="00B6457B" w:rsidP="00393ABA">
            <w:pPr>
              <w:spacing w:after="120"/>
              <w:jc w:val="center"/>
              <w:rPr>
                <w:rFonts w:ascii="Calibri" w:hAnsi="Calibri" w:cs="Calibri"/>
                <w:color w:val="000000"/>
                <w:sz w:val="20"/>
                <w:szCs w:val="20"/>
              </w:rPr>
            </w:pPr>
          </w:p>
        </w:tc>
        <w:tc>
          <w:tcPr>
            <w:tcW w:w="1417" w:type="dxa"/>
            <w:tcBorders>
              <w:top w:val="nil"/>
              <w:left w:val="nil"/>
              <w:bottom w:val="nil"/>
              <w:right w:val="nil"/>
            </w:tcBorders>
            <w:shd w:val="clear" w:color="auto" w:fill="auto"/>
            <w:noWrap/>
            <w:vAlign w:val="center"/>
            <w:hideMark/>
          </w:tcPr>
          <w:p w14:paraId="0C3F8A3F" w14:textId="77777777" w:rsidR="00B6457B" w:rsidRPr="00DF1C49" w:rsidRDefault="00B6457B" w:rsidP="00393ABA">
            <w:pPr>
              <w:spacing w:after="120"/>
              <w:jc w:val="center"/>
              <w:rPr>
                <w:rFonts w:ascii="Calibri" w:hAnsi="Calibri" w:cs="Calibri"/>
                <w:color w:val="000000"/>
                <w:sz w:val="20"/>
                <w:szCs w:val="20"/>
              </w:rPr>
            </w:pPr>
          </w:p>
        </w:tc>
      </w:tr>
      <w:tr w:rsidR="00B6457B" w:rsidRPr="00DF1C49" w14:paraId="0C3F8A48" w14:textId="77777777" w:rsidTr="00393ABA">
        <w:trPr>
          <w:trHeight w:val="300"/>
        </w:trPr>
        <w:tc>
          <w:tcPr>
            <w:tcW w:w="724" w:type="dxa"/>
            <w:tcBorders>
              <w:top w:val="nil"/>
              <w:left w:val="nil"/>
              <w:bottom w:val="nil"/>
              <w:right w:val="nil"/>
            </w:tcBorders>
            <w:shd w:val="clear" w:color="auto" w:fill="auto"/>
            <w:vAlign w:val="center"/>
            <w:hideMark/>
          </w:tcPr>
          <w:p w14:paraId="0C3F8A41"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Dates</w:t>
            </w:r>
          </w:p>
        </w:tc>
        <w:tc>
          <w:tcPr>
            <w:tcW w:w="1418" w:type="dxa"/>
            <w:tcBorders>
              <w:top w:val="nil"/>
              <w:left w:val="nil"/>
              <w:bottom w:val="nil"/>
              <w:right w:val="nil"/>
            </w:tcBorders>
            <w:shd w:val="clear" w:color="auto" w:fill="auto"/>
            <w:vAlign w:val="center"/>
            <w:hideMark/>
          </w:tcPr>
          <w:p w14:paraId="0C3F8A42"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6 - 12 Apr</w:t>
            </w:r>
          </w:p>
        </w:tc>
        <w:tc>
          <w:tcPr>
            <w:tcW w:w="1559" w:type="dxa"/>
            <w:tcBorders>
              <w:top w:val="nil"/>
              <w:left w:val="nil"/>
              <w:bottom w:val="nil"/>
              <w:right w:val="nil"/>
            </w:tcBorders>
            <w:shd w:val="clear" w:color="auto" w:fill="auto"/>
            <w:vAlign w:val="center"/>
            <w:hideMark/>
          </w:tcPr>
          <w:p w14:paraId="0C3F8A43"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13 - 19 Apr</w:t>
            </w:r>
          </w:p>
        </w:tc>
        <w:tc>
          <w:tcPr>
            <w:tcW w:w="1417" w:type="dxa"/>
            <w:tcBorders>
              <w:top w:val="nil"/>
              <w:left w:val="nil"/>
              <w:bottom w:val="nil"/>
              <w:right w:val="nil"/>
            </w:tcBorders>
            <w:shd w:val="clear" w:color="auto" w:fill="auto"/>
            <w:vAlign w:val="center"/>
            <w:hideMark/>
          </w:tcPr>
          <w:p w14:paraId="0C3F8A44"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20 - 26 Apr</w:t>
            </w:r>
          </w:p>
        </w:tc>
        <w:tc>
          <w:tcPr>
            <w:tcW w:w="1276" w:type="dxa"/>
            <w:tcBorders>
              <w:top w:val="nil"/>
              <w:left w:val="nil"/>
              <w:bottom w:val="nil"/>
              <w:right w:val="nil"/>
            </w:tcBorders>
            <w:shd w:val="clear" w:color="auto" w:fill="auto"/>
            <w:vAlign w:val="center"/>
            <w:hideMark/>
          </w:tcPr>
          <w:p w14:paraId="0C3F8A45" w14:textId="77777777" w:rsidR="00B6457B" w:rsidRPr="00DF1C49" w:rsidRDefault="00B6457B" w:rsidP="00393ABA">
            <w:pPr>
              <w:spacing w:after="120"/>
              <w:jc w:val="center"/>
              <w:rPr>
                <w:rFonts w:ascii="Calibri" w:hAnsi="Calibri" w:cs="Calibri"/>
                <w:color w:val="000000"/>
                <w:sz w:val="20"/>
                <w:szCs w:val="20"/>
              </w:rPr>
            </w:pPr>
            <w:r w:rsidRPr="00DF1C49">
              <w:rPr>
                <w:rFonts w:ascii="Calibri" w:hAnsi="Calibri" w:cs="Calibri"/>
                <w:color w:val="000000"/>
                <w:sz w:val="20"/>
                <w:szCs w:val="20"/>
              </w:rPr>
              <w:t>27 - 30 Apr</w:t>
            </w:r>
          </w:p>
        </w:tc>
        <w:tc>
          <w:tcPr>
            <w:tcW w:w="1418" w:type="dxa"/>
            <w:tcBorders>
              <w:top w:val="nil"/>
              <w:left w:val="nil"/>
              <w:bottom w:val="nil"/>
              <w:right w:val="nil"/>
            </w:tcBorders>
            <w:shd w:val="clear" w:color="auto" w:fill="auto"/>
            <w:noWrap/>
            <w:vAlign w:val="center"/>
            <w:hideMark/>
          </w:tcPr>
          <w:p w14:paraId="0C3F8A46" w14:textId="77777777" w:rsidR="00B6457B" w:rsidRPr="00DF1C49" w:rsidRDefault="00B6457B" w:rsidP="00393ABA">
            <w:pPr>
              <w:spacing w:after="120"/>
              <w:jc w:val="center"/>
              <w:rPr>
                <w:rFonts w:ascii="Calibri" w:hAnsi="Calibri" w:cs="Calibri"/>
                <w:color w:val="000000"/>
                <w:sz w:val="20"/>
                <w:szCs w:val="20"/>
              </w:rPr>
            </w:pPr>
          </w:p>
        </w:tc>
        <w:tc>
          <w:tcPr>
            <w:tcW w:w="1417" w:type="dxa"/>
            <w:tcBorders>
              <w:top w:val="nil"/>
              <w:left w:val="nil"/>
              <w:bottom w:val="nil"/>
              <w:right w:val="nil"/>
            </w:tcBorders>
            <w:shd w:val="clear" w:color="auto" w:fill="auto"/>
            <w:noWrap/>
            <w:vAlign w:val="center"/>
            <w:hideMark/>
          </w:tcPr>
          <w:p w14:paraId="0C3F8A47" w14:textId="77777777" w:rsidR="00B6457B" w:rsidRPr="00DF1C49" w:rsidRDefault="00B6457B" w:rsidP="00393ABA">
            <w:pPr>
              <w:spacing w:after="120"/>
              <w:jc w:val="center"/>
              <w:rPr>
                <w:rFonts w:ascii="Calibri" w:hAnsi="Calibri" w:cs="Calibri"/>
                <w:color w:val="000000"/>
                <w:sz w:val="20"/>
                <w:szCs w:val="20"/>
              </w:rPr>
            </w:pPr>
          </w:p>
        </w:tc>
      </w:tr>
      <w:tr w:rsidR="00B6457B" w:rsidRPr="00DF1C49" w14:paraId="0C3F8A50" w14:textId="77777777" w:rsidTr="00393ABA">
        <w:trPr>
          <w:trHeight w:val="300"/>
        </w:trPr>
        <w:tc>
          <w:tcPr>
            <w:tcW w:w="724" w:type="dxa"/>
            <w:tcBorders>
              <w:top w:val="nil"/>
              <w:left w:val="nil"/>
              <w:bottom w:val="single" w:sz="4" w:space="0" w:color="auto"/>
              <w:right w:val="nil"/>
            </w:tcBorders>
            <w:shd w:val="clear" w:color="auto" w:fill="auto"/>
            <w:vAlign w:val="center"/>
            <w:hideMark/>
          </w:tcPr>
          <w:p w14:paraId="0C3F8A49" w14:textId="77777777" w:rsidR="00B6457B" w:rsidRPr="00DF1C49" w:rsidRDefault="00B6457B" w:rsidP="00393ABA">
            <w:pPr>
              <w:spacing w:after="120"/>
              <w:jc w:val="center"/>
              <w:rPr>
                <w:rFonts w:ascii="Calibri" w:hAnsi="Calibri" w:cs="Calibri"/>
                <w:b/>
                <w:bCs/>
                <w:color w:val="000000"/>
                <w:sz w:val="20"/>
                <w:szCs w:val="20"/>
              </w:rPr>
            </w:pPr>
            <w:r w:rsidRPr="00DF1C49">
              <w:rPr>
                <w:rFonts w:ascii="Calibri" w:hAnsi="Calibri" w:cs="Calibri"/>
                <w:b/>
                <w:bCs/>
                <w:color w:val="000000"/>
                <w:sz w:val="20"/>
                <w:szCs w:val="20"/>
              </w:rPr>
              <w:t>Week</w:t>
            </w:r>
          </w:p>
        </w:tc>
        <w:tc>
          <w:tcPr>
            <w:tcW w:w="1418" w:type="dxa"/>
            <w:tcBorders>
              <w:top w:val="nil"/>
              <w:left w:val="nil"/>
              <w:bottom w:val="single" w:sz="4" w:space="0" w:color="auto"/>
              <w:right w:val="nil"/>
            </w:tcBorders>
            <w:shd w:val="clear" w:color="auto" w:fill="auto"/>
            <w:vAlign w:val="center"/>
            <w:hideMark/>
          </w:tcPr>
          <w:p w14:paraId="0C3F8A4A"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19</w:t>
            </w:r>
          </w:p>
        </w:tc>
        <w:tc>
          <w:tcPr>
            <w:tcW w:w="1559" w:type="dxa"/>
            <w:tcBorders>
              <w:top w:val="nil"/>
              <w:left w:val="nil"/>
              <w:bottom w:val="single" w:sz="4" w:space="0" w:color="auto"/>
              <w:right w:val="nil"/>
            </w:tcBorders>
            <w:shd w:val="clear" w:color="auto" w:fill="auto"/>
            <w:vAlign w:val="center"/>
            <w:hideMark/>
          </w:tcPr>
          <w:p w14:paraId="0C3F8A4B"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20</w:t>
            </w:r>
          </w:p>
        </w:tc>
        <w:tc>
          <w:tcPr>
            <w:tcW w:w="1417" w:type="dxa"/>
            <w:tcBorders>
              <w:top w:val="nil"/>
              <w:left w:val="nil"/>
              <w:bottom w:val="single" w:sz="4" w:space="0" w:color="auto"/>
              <w:right w:val="nil"/>
            </w:tcBorders>
            <w:shd w:val="clear" w:color="auto" w:fill="auto"/>
            <w:vAlign w:val="center"/>
            <w:hideMark/>
          </w:tcPr>
          <w:p w14:paraId="0C3F8A4C"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21</w:t>
            </w:r>
          </w:p>
        </w:tc>
        <w:tc>
          <w:tcPr>
            <w:tcW w:w="1276" w:type="dxa"/>
            <w:tcBorders>
              <w:top w:val="nil"/>
              <w:left w:val="nil"/>
              <w:bottom w:val="single" w:sz="4" w:space="0" w:color="auto"/>
              <w:right w:val="nil"/>
            </w:tcBorders>
            <w:shd w:val="clear" w:color="auto" w:fill="auto"/>
            <w:vAlign w:val="center"/>
            <w:hideMark/>
          </w:tcPr>
          <w:p w14:paraId="0C3F8A4D" w14:textId="77777777" w:rsidR="00B6457B" w:rsidRPr="00DF1C49" w:rsidRDefault="00B6457B" w:rsidP="00393ABA">
            <w:pPr>
              <w:spacing w:after="120"/>
              <w:jc w:val="center"/>
              <w:rPr>
                <w:rFonts w:ascii="Calibri" w:hAnsi="Calibri" w:cs="Calibri"/>
                <w:b/>
                <w:color w:val="000000"/>
                <w:sz w:val="20"/>
                <w:szCs w:val="20"/>
              </w:rPr>
            </w:pPr>
            <w:r w:rsidRPr="00DF1C49">
              <w:rPr>
                <w:rFonts w:ascii="Calibri" w:hAnsi="Calibri" w:cs="Calibri"/>
                <w:b/>
                <w:color w:val="000000"/>
                <w:sz w:val="20"/>
                <w:szCs w:val="20"/>
              </w:rPr>
              <w:t>22</w:t>
            </w:r>
          </w:p>
        </w:tc>
        <w:tc>
          <w:tcPr>
            <w:tcW w:w="1418" w:type="dxa"/>
            <w:tcBorders>
              <w:top w:val="nil"/>
              <w:left w:val="nil"/>
              <w:bottom w:val="nil"/>
              <w:right w:val="nil"/>
            </w:tcBorders>
            <w:shd w:val="clear" w:color="auto" w:fill="auto"/>
            <w:noWrap/>
            <w:vAlign w:val="center"/>
            <w:hideMark/>
          </w:tcPr>
          <w:p w14:paraId="0C3F8A4E" w14:textId="77777777" w:rsidR="00B6457B" w:rsidRPr="00DF1C49" w:rsidRDefault="00B6457B" w:rsidP="00393ABA">
            <w:pPr>
              <w:spacing w:after="120"/>
              <w:jc w:val="center"/>
              <w:rPr>
                <w:rFonts w:ascii="Calibri" w:hAnsi="Calibri" w:cs="Calibri"/>
                <w:color w:val="000000"/>
                <w:sz w:val="20"/>
                <w:szCs w:val="20"/>
              </w:rPr>
            </w:pPr>
          </w:p>
        </w:tc>
        <w:tc>
          <w:tcPr>
            <w:tcW w:w="1417" w:type="dxa"/>
            <w:tcBorders>
              <w:top w:val="nil"/>
              <w:left w:val="nil"/>
              <w:bottom w:val="nil"/>
              <w:right w:val="nil"/>
            </w:tcBorders>
            <w:shd w:val="clear" w:color="auto" w:fill="auto"/>
            <w:noWrap/>
            <w:vAlign w:val="center"/>
            <w:hideMark/>
          </w:tcPr>
          <w:p w14:paraId="0C3F8A4F" w14:textId="77777777" w:rsidR="00B6457B" w:rsidRPr="00DF1C49" w:rsidRDefault="00B6457B" w:rsidP="00393ABA">
            <w:pPr>
              <w:spacing w:after="120"/>
              <w:jc w:val="center"/>
              <w:rPr>
                <w:rFonts w:ascii="Calibri" w:hAnsi="Calibri" w:cs="Calibri"/>
                <w:color w:val="000000"/>
                <w:sz w:val="20"/>
                <w:szCs w:val="20"/>
              </w:rPr>
            </w:pPr>
          </w:p>
        </w:tc>
      </w:tr>
    </w:tbl>
    <w:p w14:paraId="0C3F8A51" w14:textId="77777777" w:rsidR="00B6457B" w:rsidRDefault="00B6457B" w:rsidP="00B6457B">
      <w:pPr>
        <w:spacing w:after="120" w:line="276" w:lineRule="auto"/>
        <w:rPr>
          <w:rFonts w:ascii="Calibri" w:eastAsia="Calibri" w:hAnsi="Calibri" w:cs="Times New Roman"/>
          <w:lang w:eastAsia="en-US"/>
        </w:rPr>
      </w:pPr>
    </w:p>
    <w:p w14:paraId="0C3F8A52" w14:textId="77777777" w:rsidR="00B6457B" w:rsidRDefault="00B6457B" w:rsidP="00B6457B">
      <w:pPr>
        <w:pStyle w:val="Heading2"/>
        <w:spacing w:before="0"/>
        <w:rPr>
          <w:bCs/>
        </w:rPr>
      </w:pPr>
    </w:p>
    <w:p w14:paraId="0C3F8A53" w14:textId="77777777" w:rsidR="00B6457B" w:rsidRDefault="00B6457B" w:rsidP="00B6457B">
      <w:pPr>
        <w:rPr>
          <w:lang w:eastAsia="en-US"/>
        </w:rPr>
      </w:pPr>
    </w:p>
    <w:p w14:paraId="0C3F8A54" w14:textId="77777777" w:rsidR="00B6457B" w:rsidRDefault="00B6457B" w:rsidP="00B6457B">
      <w:pPr>
        <w:spacing w:after="120" w:line="276" w:lineRule="auto"/>
        <w:rPr>
          <w:rFonts w:ascii="Calibri" w:eastAsia="Calibri" w:hAnsi="Calibri" w:cs="Times New Roman"/>
          <w:lang w:eastAsia="en-US"/>
        </w:rPr>
      </w:pPr>
    </w:p>
    <w:p w14:paraId="0C3F8A55" w14:textId="77777777" w:rsidR="00B6457B" w:rsidRDefault="00B6457B" w:rsidP="00B6457B">
      <w:pPr>
        <w:spacing w:after="120" w:line="276" w:lineRule="auto"/>
        <w:rPr>
          <w:rFonts w:ascii="Calibri" w:eastAsia="Calibri" w:hAnsi="Calibri" w:cs="Times New Roman"/>
          <w:lang w:eastAsia="en-US"/>
        </w:rPr>
      </w:pPr>
    </w:p>
    <w:p w14:paraId="0C3F8A56" w14:textId="77777777" w:rsidR="00B6457B" w:rsidRDefault="00B6457B" w:rsidP="00B6457B">
      <w:pPr>
        <w:spacing w:after="120" w:line="276" w:lineRule="auto"/>
        <w:rPr>
          <w:rFonts w:ascii="Calibri" w:eastAsia="Calibri" w:hAnsi="Calibri" w:cs="Times New Roman"/>
          <w:lang w:eastAsia="en-US"/>
        </w:rPr>
      </w:pPr>
    </w:p>
    <w:p w14:paraId="0C3F8A57" w14:textId="77777777" w:rsidR="00B6457B" w:rsidRDefault="00B6457B" w:rsidP="00B6457B">
      <w:pPr>
        <w:spacing w:after="120" w:line="276" w:lineRule="auto"/>
        <w:rPr>
          <w:rFonts w:ascii="Calibri" w:eastAsia="Calibri" w:hAnsi="Calibri" w:cs="Times New Roman"/>
          <w:lang w:eastAsia="en-US"/>
        </w:rPr>
      </w:pPr>
    </w:p>
    <w:p w14:paraId="0C3F8A58" w14:textId="77777777" w:rsidR="00B6457B" w:rsidRDefault="00B6457B" w:rsidP="00B6457B">
      <w:pPr>
        <w:spacing w:after="120" w:line="276" w:lineRule="auto"/>
        <w:rPr>
          <w:rFonts w:ascii="Calibri" w:eastAsia="Calibri" w:hAnsi="Calibri" w:cs="Times New Roman"/>
          <w:lang w:eastAsia="en-US"/>
        </w:rPr>
      </w:pPr>
    </w:p>
    <w:p w14:paraId="0C3F8A59" w14:textId="77777777" w:rsidR="00B6457B" w:rsidRDefault="00B6457B" w:rsidP="00B6457B">
      <w:pPr>
        <w:spacing w:after="120" w:line="276" w:lineRule="auto"/>
        <w:rPr>
          <w:rFonts w:ascii="Calibri" w:eastAsia="Calibri" w:hAnsi="Calibri" w:cs="Times New Roman"/>
          <w:lang w:eastAsia="en-US"/>
        </w:rPr>
      </w:pPr>
    </w:p>
    <w:p w14:paraId="0C3F8A5A" w14:textId="77777777" w:rsidR="00B6457B" w:rsidRDefault="00B6457B" w:rsidP="00B6457B">
      <w:pPr>
        <w:spacing w:after="120" w:line="276" w:lineRule="auto"/>
        <w:rPr>
          <w:rFonts w:ascii="Calibri" w:eastAsia="Calibri" w:hAnsi="Calibri" w:cs="Times New Roman"/>
          <w:lang w:eastAsia="en-US"/>
        </w:rPr>
      </w:pPr>
    </w:p>
    <w:p w14:paraId="0C3F8A5B" w14:textId="77777777" w:rsidR="00B6457B" w:rsidRDefault="00B6457B" w:rsidP="00B6457B">
      <w:pPr>
        <w:spacing w:after="120" w:line="276" w:lineRule="auto"/>
        <w:rPr>
          <w:rFonts w:ascii="Calibri" w:eastAsia="Calibri" w:hAnsi="Calibri" w:cs="Times New Roman"/>
          <w:lang w:eastAsia="en-US"/>
        </w:rPr>
      </w:pPr>
    </w:p>
    <w:p w14:paraId="0C3F8A5C" w14:textId="77777777" w:rsidR="00B6457B" w:rsidRDefault="00B6457B" w:rsidP="00B6457B">
      <w:pPr>
        <w:spacing w:after="120" w:line="276" w:lineRule="auto"/>
        <w:rPr>
          <w:rFonts w:ascii="Calibri" w:eastAsia="Calibri" w:hAnsi="Calibri" w:cs="Times New Roman"/>
          <w:lang w:eastAsia="en-US"/>
        </w:rPr>
      </w:pPr>
    </w:p>
    <w:p w14:paraId="0C3F8A5D" w14:textId="77777777" w:rsidR="00605DDA" w:rsidRDefault="00605DDA" w:rsidP="00B6457B">
      <w:pPr>
        <w:pStyle w:val="Heading2"/>
        <w:spacing w:before="0"/>
      </w:pPr>
      <w:bookmarkStart w:id="292" w:name="_Toc428350528"/>
    </w:p>
    <w:p w14:paraId="0C3F8A5E" w14:textId="77777777" w:rsidR="00B6457B" w:rsidRPr="00122A3D" w:rsidRDefault="00B6457B" w:rsidP="00B6457B">
      <w:pPr>
        <w:pStyle w:val="Heading2"/>
        <w:spacing w:before="0"/>
        <w:rPr>
          <w:bCs/>
        </w:rPr>
      </w:pPr>
      <w:r w:rsidRPr="00122A3D">
        <w:t>Frequency of occurrence of river plume and plume water types in 2013</w:t>
      </w:r>
      <w:bookmarkEnd w:id="292"/>
    </w:p>
    <w:p w14:paraId="0C3F8A5F" w14:textId="77777777" w:rsidR="00B6457B" w:rsidRPr="00122A3D" w:rsidRDefault="00B6457B" w:rsidP="00B6457B">
      <w:pPr>
        <w:rPr>
          <w:rFonts w:eastAsia="Calibri"/>
          <w:lang w:eastAsia="en-US"/>
        </w:rPr>
      </w:pPr>
      <w:r w:rsidRPr="00122A3D">
        <w:rPr>
          <w:rFonts w:eastAsia="Calibri"/>
          <w:noProof/>
        </w:rPr>
        <w:drawing>
          <wp:inline distT="0" distB="0" distL="0" distR="0" wp14:anchorId="0C3F9053" wp14:editId="0C3F9054">
            <wp:extent cx="5328000" cy="6710400"/>
            <wp:effectExtent l="0" t="0" r="6350" b="0"/>
            <wp:docPr id="62" name="Picture 62" descr=" Frequency of occurrence of river plume recorded in 2013 by a) and b) the TC method and c) and d) the L2 method. Maps a) and c) show all areas that have been classified as least one day over the wet season 2012-13 as river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328000" cy="6710400"/>
                    </a:xfrm>
                    <a:prstGeom prst="rect">
                      <a:avLst/>
                    </a:prstGeom>
                    <a:solidFill>
                      <a:sysClr val="window" lastClr="FFFFFF"/>
                    </a:solidFill>
                  </pic:spPr>
                </pic:pic>
              </a:graphicData>
            </a:graphic>
          </wp:inline>
        </w:drawing>
      </w:r>
    </w:p>
    <w:p w14:paraId="0C3F8A60" w14:textId="77777777" w:rsidR="00B6457B" w:rsidRPr="00122A3D" w:rsidRDefault="00B6457B" w:rsidP="00B6457B">
      <w:pPr>
        <w:rPr>
          <w:rFonts w:eastAsia="Calibri"/>
        </w:rPr>
      </w:pPr>
      <w:r w:rsidRPr="00122A3D">
        <w:rPr>
          <w:rFonts w:eastAsia="Calibri"/>
        </w:rPr>
        <w:t xml:space="preserve">Figure </w:t>
      </w:r>
      <w:r>
        <w:rPr>
          <w:rFonts w:eastAsia="Calibri"/>
        </w:rPr>
        <w:t>B-2</w:t>
      </w:r>
      <w:r w:rsidRPr="00122A3D">
        <w:rPr>
          <w:rFonts w:eastAsia="Calibri"/>
        </w:rPr>
        <w:t xml:space="preserve">: Frequency of occurrence of river plume recorded in 2013 by a) and b) the TC method and c) and d) the L2 method. Maps a) and c) show all areas that have been classified as least one day over the wet season 2012-13 as river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w:t>
      </w:r>
    </w:p>
    <w:p w14:paraId="0C3F8A61" w14:textId="77777777" w:rsidR="00B6457B" w:rsidRPr="00605DDA" w:rsidRDefault="00B6457B" w:rsidP="00605DDA">
      <w:pPr>
        <w:rPr>
          <w:rFonts w:eastAsia="Calibri"/>
          <w:b/>
          <w:sz w:val="24"/>
          <w:szCs w:val="24"/>
        </w:rPr>
      </w:pPr>
      <w:bookmarkStart w:id="293" w:name="_Toc428350530"/>
      <w:r w:rsidRPr="00605DDA">
        <w:rPr>
          <w:rFonts w:eastAsia="Calibri"/>
          <w:b/>
          <w:sz w:val="24"/>
          <w:szCs w:val="24"/>
        </w:rPr>
        <w:t>Primary plume water type</w:t>
      </w:r>
      <w:bookmarkEnd w:id="293"/>
    </w:p>
    <w:p w14:paraId="0C3F8A62" w14:textId="77777777" w:rsidR="00B6457B" w:rsidRPr="006C226E" w:rsidRDefault="00B6457B" w:rsidP="00B6457B">
      <w:pPr>
        <w:keepNext/>
        <w:spacing w:after="120" w:line="276" w:lineRule="auto"/>
        <w:jc w:val="center"/>
        <w:rPr>
          <w:rFonts w:ascii="Calibri" w:eastAsia="Calibri" w:hAnsi="Calibri" w:cs="Times New Roman"/>
          <w:lang w:eastAsia="en-US"/>
        </w:rPr>
      </w:pPr>
      <w:r w:rsidRPr="006C226E">
        <w:rPr>
          <w:rFonts w:ascii="Calibri" w:eastAsia="Calibri" w:hAnsi="Calibri" w:cs="Times New Roman"/>
          <w:noProof/>
        </w:rPr>
        <w:drawing>
          <wp:inline distT="0" distB="0" distL="0" distR="0" wp14:anchorId="0C3F9055" wp14:editId="0C3F9056">
            <wp:extent cx="5508000" cy="6933884"/>
            <wp:effectExtent l="0" t="0" r="0" b="635"/>
            <wp:docPr id="63" name="Picture 63" descr="Frequency of occurrence of Primary plume waters recorded in 2013 by a) and b) the TC method and c) and d) the L2 method. Maps a) and c) show all areas that have been classified as least one day over the wet season 2012-13 as Primary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508000" cy="6933884"/>
                    </a:xfrm>
                    <a:prstGeom prst="rect">
                      <a:avLst/>
                    </a:prstGeom>
                    <a:solidFill>
                      <a:sysClr val="window" lastClr="FFFFFF"/>
                    </a:solidFill>
                  </pic:spPr>
                </pic:pic>
              </a:graphicData>
            </a:graphic>
          </wp:inline>
        </w:drawing>
      </w:r>
    </w:p>
    <w:p w14:paraId="0C3F8A63" w14:textId="77777777" w:rsidR="00B6457B" w:rsidRPr="006C226E" w:rsidRDefault="00B6457B" w:rsidP="00B6457B">
      <w:pPr>
        <w:spacing w:after="120"/>
        <w:rPr>
          <w:rFonts w:ascii="Calibri" w:eastAsia="Calibri" w:hAnsi="Calibri" w:cs="Times New Roman"/>
          <w:bCs/>
          <w:lang w:eastAsia="en-US"/>
        </w:rPr>
      </w:pPr>
      <w:r w:rsidRPr="006C226E">
        <w:rPr>
          <w:rFonts w:ascii="Calibri" w:eastAsia="Calibri" w:hAnsi="Calibri" w:cs="Times New Roman"/>
          <w:bCs/>
          <w:lang w:eastAsia="en-US"/>
        </w:rPr>
        <w:t xml:space="preserve">Figure </w:t>
      </w:r>
      <w:r>
        <w:rPr>
          <w:rFonts w:ascii="Calibri" w:eastAsia="Calibri" w:hAnsi="Calibri" w:cs="Times New Roman"/>
          <w:bCs/>
          <w:lang w:eastAsia="en-US"/>
        </w:rPr>
        <w:t>B-3</w:t>
      </w:r>
      <w:r w:rsidRPr="006C226E">
        <w:rPr>
          <w:rFonts w:ascii="Calibri" w:eastAsia="Calibri" w:hAnsi="Calibri" w:cs="Times New Roman"/>
          <w:bCs/>
          <w:lang w:eastAsia="en-US"/>
        </w:rPr>
        <w:t xml:space="preserve">: Frequency of occurrence of Primary plume waters recorded in 2013 by a) and b) the TC method and c) and d) the L2 method. Maps a) and c) show all areas that have been classified as least one day over the wet season 2012-13 as Primary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w:t>
      </w:r>
    </w:p>
    <w:p w14:paraId="0C3F8A64" w14:textId="77777777" w:rsidR="00B6457B" w:rsidRPr="00605DDA" w:rsidRDefault="00B6457B" w:rsidP="00605DDA">
      <w:pPr>
        <w:rPr>
          <w:rFonts w:eastAsia="Calibri"/>
          <w:b/>
        </w:rPr>
      </w:pPr>
      <w:bookmarkStart w:id="294" w:name="_Toc428350531"/>
      <w:r w:rsidRPr="00605DDA">
        <w:rPr>
          <w:rFonts w:eastAsia="Calibri"/>
          <w:b/>
        </w:rPr>
        <w:t>Secondary plume water type</w:t>
      </w:r>
      <w:bookmarkEnd w:id="294"/>
    </w:p>
    <w:p w14:paraId="0C3F8A65" w14:textId="77777777" w:rsidR="00B6457B" w:rsidRPr="00DF1C49" w:rsidRDefault="00B6457B" w:rsidP="00B6457B">
      <w:pPr>
        <w:spacing w:after="120" w:line="276" w:lineRule="auto"/>
        <w:contextualSpacing/>
        <w:jc w:val="left"/>
        <w:rPr>
          <w:rFonts w:ascii="Calibri" w:eastAsia="Calibri" w:hAnsi="Calibri" w:cs="Times New Roman"/>
          <w:i/>
          <w:sz w:val="24"/>
          <w:szCs w:val="24"/>
          <w:lang w:eastAsia="en-US"/>
        </w:rPr>
      </w:pPr>
      <w:r w:rsidRPr="00DF1C49">
        <w:rPr>
          <w:rFonts w:ascii="Calibri" w:eastAsia="Calibri" w:hAnsi="Calibri" w:cs="Times New Roman"/>
          <w:i/>
          <w:noProof/>
          <w:sz w:val="24"/>
          <w:szCs w:val="24"/>
        </w:rPr>
        <w:drawing>
          <wp:inline distT="0" distB="0" distL="0" distR="0" wp14:anchorId="0C3F9057" wp14:editId="0C3F9058">
            <wp:extent cx="5436000" cy="6843245"/>
            <wp:effectExtent l="0" t="0" r="0" b="0"/>
            <wp:docPr id="64" name="Picture 64" descr="Frequency of occurrence of Secondary plume waters recorded in 2013 by a) and b) the TC method and c) and d) the L2 method. Maps a) and c) show all areas that have been classified as least one day over the wet season 2012-13 as Secondary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436000" cy="6843245"/>
                    </a:xfrm>
                    <a:prstGeom prst="rect">
                      <a:avLst/>
                    </a:prstGeom>
                    <a:solidFill>
                      <a:sysClr val="window" lastClr="FFFFFF"/>
                    </a:solidFill>
                  </pic:spPr>
                </pic:pic>
              </a:graphicData>
            </a:graphic>
          </wp:inline>
        </w:drawing>
      </w:r>
    </w:p>
    <w:p w14:paraId="0C3F8A66" w14:textId="77777777" w:rsidR="00B6457B" w:rsidRPr="006C226E" w:rsidRDefault="00B6457B" w:rsidP="00B6457B">
      <w:pPr>
        <w:spacing w:after="120"/>
        <w:rPr>
          <w:rFonts w:ascii="Calibri" w:eastAsia="Calibri" w:hAnsi="Calibri" w:cs="Times New Roman"/>
          <w:bCs/>
          <w:lang w:eastAsia="en-US"/>
        </w:rPr>
      </w:pPr>
      <w:r w:rsidRPr="006C226E">
        <w:rPr>
          <w:rFonts w:ascii="Calibri" w:eastAsia="Calibri" w:hAnsi="Calibri" w:cs="Times New Roman"/>
          <w:bCs/>
          <w:lang w:eastAsia="en-US"/>
        </w:rPr>
        <w:t xml:space="preserve">Figure </w:t>
      </w:r>
      <w:r>
        <w:rPr>
          <w:rFonts w:ascii="Calibri" w:eastAsia="Calibri" w:hAnsi="Calibri" w:cs="Times New Roman"/>
          <w:bCs/>
          <w:lang w:eastAsia="en-US"/>
        </w:rPr>
        <w:t>B-4</w:t>
      </w:r>
      <w:r w:rsidRPr="006C226E">
        <w:rPr>
          <w:rFonts w:ascii="Calibri" w:eastAsia="Calibri" w:hAnsi="Calibri" w:cs="Times New Roman"/>
          <w:bCs/>
          <w:lang w:eastAsia="en-US"/>
        </w:rPr>
        <w:t xml:space="preserve">: Frequency of occurrence of Secondary plume waters recorded in 2013 by a) and b) the TC method and c) and d) the L2 method. Maps a) and c) show all areas that have been classified as least one day over the wet season 2012-13 as Secondary plume waters.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w:t>
      </w:r>
    </w:p>
    <w:p w14:paraId="0C3F8A67" w14:textId="77777777" w:rsidR="00B6457B" w:rsidRPr="00605DDA" w:rsidRDefault="00B6457B" w:rsidP="00605DDA">
      <w:pPr>
        <w:rPr>
          <w:rFonts w:eastAsia="Calibri"/>
          <w:b/>
        </w:rPr>
      </w:pPr>
      <w:bookmarkStart w:id="295" w:name="_Toc428350532"/>
      <w:r w:rsidRPr="00605DDA">
        <w:rPr>
          <w:rFonts w:eastAsia="Calibri"/>
          <w:b/>
        </w:rPr>
        <w:t>Tertiary plume water type</w:t>
      </w:r>
      <w:bookmarkEnd w:id="295"/>
    </w:p>
    <w:p w14:paraId="0C3F8A68" w14:textId="77777777" w:rsidR="00B6457B" w:rsidRPr="006C226E" w:rsidRDefault="00B6457B" w:rsidP="00B6457B">
      <w:pPr>
        <w:spacing w:after="120" w:line="276" w:lineRule="auto"/>
        <w:jc w:val="center"/>
        <w:rPr>
          <w:rFonts w:ascii="Calibri" w:eastAsia="Calibri" w:hAnsi="Calibri" w:cs="Times New Roman"/>
          <w:b/>
          <w:sz w:val="24"/>
          <w:szCs w:val="24"/>
          <w:highlight w:val="green"/>
          <w:lang w:eastAsia="en-US"/>
        </w:rPr>
      </w:pPr>
      <w:r w:rsidRPr="006C226E">
        <w:rPr>
          <w:rFonts w:ascii="Calibri" w:eastAsia="Calibri" w:hAnsi="Calibri" w:cs="Times New Roman"/>
          <w:b/>
          <w:noProof/>
          <w:sz w:val="24"/>
          <w:szCs w:val="24"/>
        </w:rPr>
        <w:drawing>
          <wp:inline distT="0" distB="0" distL="0" distR="0" wp14:anchorId="0C3F9059" wp14:editId="0C3F905A">
            <wp:extent cx="5508000" cy="6933884"/>
            <wp:effectExtent l="0" t="0" r="0" b="635"/>
            <wp:docPr id="65" name="Picture 65" descr="Frequency of occurrence of Tertiary plume waters recorded in 2013 by a) and b) the TC method and c) and d) the L2 method. Maps a) and c) show all areas that have been classified as least one day over the wet season 2012-13 as Tertiary plume water.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08000" cy="6933884"/>
                    </a:xfrm>
                    <a:prstGeom prst="rect">
                      <a:avLst/>
                    </a:prstGeom>
                    <a:solidFill>
                      <a:sysClr val="window" lastClr="FFFFFF"/>
                    </a:solidFill>
                  </pic:spPr>
                </pic:pic>
              </a:graphicData>
            </a:graphic>
          </wp:inline>
        </w:drawing>
      </w:r>
    </w:p>
    <w:p w14:paraId="0C3F8A69" w14:textId="77777777" w:rsidR="00B6457B" w:rsidRPr="006C226E" w:rsidRDefault="00B6457B" w:rsidP="00B6457B">
      <w:pPr>
        <w:spacing w:after="120"/>
        <w:rPr>
          <w:rFonts w:ascii="Calibri" w:eastAsia="Calibri" w:hAnsi="Calibri" w:cs="Times New Roman"/>
          <w:bCs/>
          <w:lang w:eastAsia="en-US"/>
        </w:rPr>
      </w:pPr>
      <w:r w:rsidRPr="006C226E">
        <w:rPr>
          <w:rFonts w:ascii="Calibri" w:eastAsia="Calibri" w:hAnsi="Calibri" w:cs="Times New Roman"/>
          <w:bCs/>
          <w:lang w:eastAsia="en-US"/>
        </w:rPr>
        <w:t xml:space="preserve">Figure </w:t>
      </w:r>
      <w:r>
        <w:rPr>
          <w:rFonts w:ascii="Calibri" w:eastAsia="Calibri" w:hAnsi="Calibri" w:cs="Times New Roman"/>
          <w:bCs/>
          <w:lang w:eastAsia="en-US"/>
        </w:rPr>
        <w:t>B-5</w:t>
      </w:r>
      <w:r w:rsidRPr="006C226E">
        <w:rPr>
          <w:rFonts w:ascii="Calibri" w:eastAsia="Calibri" w:hAnsi="Calibri" w:cs="Times New Roman"/>
          <w:bCs/>
          <w:lang w:eastAsia="en-US"/>
        </w:rPr>
        <w:t xml:space="preserve">: Frequency of occurrence of Tertiary plume waters recorded in 2013 by a) and b) the TC method and c) and d) the L2 method. Maps a) and c) show all areas that have been classified as least one day over the wet season 2012-13 as Tertiary plume water. Maps b) and d) show same maps reclassified into frequency breaks using the Jenk classification embedded in ArcGIS. Jenks is a statistical procedure that analyses the distribution of values in the data and finds the most evident breaks in it. Note that breaks of the TC method are in weeks while breaks of the L2 method are in days. </w:t>
      </w:r>
    </w:p>
    <w:p w14:paraId="0C3F8A6A" w14:textId="77777777" w:rsidR="00B6457B" w:rsidRDefault="00B6457B" w:rsidP="00B6457B">
      <w:pPr>
        <w:spacing w:after="120"/>
        <w:sectPr w:rsidR="00B6457B">
          <w:footerReference w:type="default" r:id="rId124"/>
          <w:pgSz w:w="11906" w:h="16838"/>
          <w:pgMar w:top="1440" w:right="1440" w:bottom="1440" w:left="1440" w:header="708" w:footer="708" w:gutter="0"/>
          <w:cols w:space="708"/>
          <w:docGrid w:linePitch="360"/>
        </w:sectPr>
      </w:pPr>
    </w:p>
    <w:p w14:paraId="0C3F8A6B" w14:textId="77777777" w:rsidR="00B6457B" w:rsidRPr="00122A3D" w:rsidRDefault="00B6457B" w:rsidP="00B6457B">
      <w:pPr>
        <w:keepNext/>
        <w:spacing w:after="120"/>
        <w:rPr>
          <w:rFonts w:ascii="Calibri" w:eastAsia="Calibri" w:hAnsi="Calibri" w:cs="Times New Roman"/>
          <w:bCs/>
          <w:lang w:eastAsia="en-US"/>
        </w:rPr>
      </w:pPr>
      <w:r w:rsidRPr="00122A3D">
        <w:rPr>
          <w:rFonts w:ascii="Calibri" w:eastAsia="Calibri" w:hAnsi="Calibri" w:cs="Times New Roman"/>
          <w:bCs/>
          <w:lang w:eastAsia="en-US"/>
        </w:rPr>
        <w:t>Table A-</w:t>
      </w:r>
      <w:r>
        <w:rPr>
          <w:rFonts w:ascii="Calibri" w:eastAsia="Calibri" w:hAnsi="Calibri" w:cs="Times New Roman"/>
          <w:bCs/>
          <w:lang w:eastAsia="en-US"/>
        </w:rPr>
        <w:t>2</w:t>
      </w:r>
      <w:r w:rsidRPr="00122A3D">
        <w:rPr>
          <w:rFonts w:ascii="Calibri" w:eastAsia="Calibri" w:hAnsi="Calibri" w:cs="Times New Roman"/>
          <w:bCs/>
          <w:lang w:eastAsia="en-US"/>
        </w:rPr>
        <w:t xml:space="preserve">: Areas (km2) and percentage (%) of the GBR lagoon exposed to different categories of river plume frequency (or likelihood of risk) and </w:t>
      </w:r>
      <w:r>
        <w:rPr>
          <w:rFonts w:ascii="Calibri" w:eastAsia="Calibri" w:hAnsi="Calibri" w:cs="Times New Roman"/>
          <w:bCs/>
          <w:lang w:eastAsia="en-US"/>
        </w:rPr>
        <w:t xml:space="preserve">potential </w:t>
      </w:r>
      <w:r w:rsidRPr="00122A3D">
        <w:rPr>
          <w:rFonts w:ascii="Calibri" w:eastAsia="Calibri" w:hAnsi="Calibri" w:cs="Times New Roman"/>
          <w:bCs/>
          <w:lang w:eastAsia="en-US"/>
        </w:rPr>
        <w:t>river plume</w:t>
      </w:r>
      <w:r>
        <w:rPr>
          <w:rFonts w:ascii="Calibri" w:eastAsia="Calibri" w:hAnsi="Calibri" w:cs="Times New Roman"/>
          <w:bCs/>
          <w:lang w:eastAsia="en-US"/>
        </w:rPr>
        <w:t xml:space="preserve"> risk</w:t>
      </w:r>
      <w:r w:rsidRPr="00122A3D">
        <w:rPr>
          <w:rFonts w:ascii="Calibri" w:eastAsia="Calibri" w:hAnsi="Calibri" w:cs="Times New Roman"/>
          <w:bCs/>
          <w:lang w:eastAsia="en-US"/>
        </w:rPr>
        <w:t xml:space="preserve"> within the GBR and each NRM.</w:t>
      </w:r>
    </w:p>
    <w:tbl>
      <w:tblPr>
        <w:tblW w:w="14081" w:type="dxa"/>
        <w:tblInd w:w="93" w:type="dxa"/>
        <w:tblLook w:val="04A0" w:firstRow="1" w:lastRow="0" w:firstColumn="1" w:lastColumn="0" w:noHBand="0" w:noVBand="1"/>
      </w:tblPr>
      <w:tblGrid>
        <w:gridCol w:w="1405"/>
        <w:gridCol w:w="875"/>
        <w:gridCol w:w="1068"/>
        <w:gridCol w:w="723"/>
        <w:gridCol w:w="780"/>
        <w:gridCol w:w="751"/>
        <w:gridCol w:w="723"/>
        <w:gridCol w:w="761"/>
        <w:gridCol w:w="911"/>
        <w:gridCol w:w="911"/>
        <w:gridCol w:w="723"/>
        <w:gridCol w:w="917"/>
        <w:gridCol w:w="723"/>
        <w:gridCol w:w="988"/>
        <w:gridCol w:w="911"/>
        <w:gridCol w:w="911"/>
      </w:tblGrid>
      <w:tr w:rsidR="00B6457B" w:rsidRPr="00393ABA" w14:paraId="0C3F8A75" w14:textId="77777777" w:rsidTr="00605DDA">
        <w:trPr>
          <w:trHeight w:val="20"/>
        </w:trPr>
        <w:tc>
          <w:tcPr>
            <w:tcW w:w="1406" w:type="dxa"/>
            <w:tcBorders>
              <w:top w:val="nil"/>
              <w:left w:val="nil"/>
              <w:bottom w:val="nil"/>
              <w:right w:val="nil"/>
            </w:tcBorders>
            <w:shd w:val="clear" w:color="auto" w:fill="auto"/>
            <w:noWrap/>
            <w:vAlign w:val="bottom"/>
            <w:hideMark/>
          </w:tcPr>
          <w:p w14:paraId="0C3F8A6C" w14:textId="77777777" w:rsidR="00B6457B" w:rsidRPr="00393ABA" w:rsidRDefault="00B6457B" w:rsidP="00393ABA">
            <w:pPr>
              <w:spacing w:after="120"/>
              <w:jc w:val="center"/>
              <w:rPr>
                <w:rFonts w:ascii="Calibri" w:hAnsi="Calibri" w:cs="Calibri"/>
                <w:color w:val="000000"/>
                <w:sz w:val="20"/>
                <w:szCs w:val="20"/>
              </w:rPr>
            </w:pPr>
          </w:p>
        </w:tc>
        <w:tc>
          <w:tcPr>
            <w:tcW w:w="875" w:type="dxa"/>
            <w:tcBorders>
              <w:top w:val="nil"/>
              <w:left w:val="nil"/>
              <w:bottom w:val="nil"/>
              <w:right w:val="nil"/>
            </w:tcBorders>
            <w:shd w:val="clear" w:color="auto" w:fill="auto"/>
            <w:noWrap/>
            <w:vAlign w:val="bottom"/>
            <w:hideMark/>
          </w:tcPr>
          <w:p w14:paraId="0C3F8A6D" w14:textId="77777777" w:rsidR="00B6457B" w:rsidRPr="00393ABA" w:rsidRDefault="00B6457B" w:rsidP="00393ABA">
            <w:pPr>
              <w:spacing w:after="120"/>
              <w:jc w:val="center"/>
              <w:rPr>
                <w:rFonts w:ascii="Calibri" w:hAnsi="Calibri" w:cs="Calibri"/>
                <w:color w:val="000000"/>
                <w:sz w:val="20"/>
                <w:szCs w:val="20"/>
              </w:rPr>
            </w:pPr>
          </w:p>
        </w:tc>
        <w:tc>
          <w:tcPr>
            <w:tcW w:w="1068" w:type="dxa"/>
            <w:tcBorders>
              <w:top w:val="nil"/>
              <w:left w:val="nil"/>
              <w:bottom w:val="nil"/>
              <w:right w:val="nil"/>
            </w:tcBorders>
            <w:shd w:val="clear" w:color="auto" w:fill="auto"/>
            <w:noWrap/>
            <w:vAlign w:val="bottom"/>
            <w:hideMark/>
          </w:tcPr>
          <w:p w14:paraId="0C3F8A6E" w14:textId="77777777" w:rsidR="00B6457B" w:rsidRPr="00393ABA" w:rsidRDefault="00B6457B" w:rsidP="00393ABA">
            <w:pPr>
              <w:spacing w:after="120"/>
              <w:jc w:val="center"/>
              <w:rPr>
                <w:rFonts w:ascii="Calibri" w:hAnsi="Calibri" w:cs="Calibri"/>
                <w:color w:val="000000"/>
                <w:sz w:val="20"/>
                <w:szCs w:val="20"/>
              </w:rPr>
            </w:pPr>
          </w:p>
        </w:tc>
        <w:tc>
          <w:tcPr>
            <w:tcW w:w="3737" w:type="dxa"/>
            <w:gridSpan w:val="5"/>
            <w:tcBorders>
              <w:top w:val="single" w:sz="4" w:space="0" w:color="auto"/>
              <w:left w:val="single" w:sz="4" w:space="0" w:color="auto"/>
              <w:bottom w:val="single" w:sz="4" w:space="0" w:color="auto"/>
              <w:right w:val="nil"/>
            </w:tcBorders>
            <w:shd w:val="clear" w:color="000000" w:fill="F2F2F2"/>
            <w:noWrap/>
            <w:vAlign w:val="bottom"/>
            <w:hideMark/>
          </w:tcPr>
          <w:p w14:paraId="0C3F8A6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River plume frequency</w:t>
            </w:r>
          </w:p>
        </w:tc>
        <w:tc>
          <w:tcPr>
            <w:tcW w:w="911" w:type="dxa"/>
            <w:vMerge w:val="restart"/>
            <w:tcBorders>
              <w:top w:val="single" w:sz="4" w:space="0" w:color="auto"/>
              <w:left w:val="nil"/>
              <w:bottom w:val="single" w:sz="4" w:space="0" w:color="000000"/>
              <w:right w:val="nil"/>
            </w:tcBorders>
            <w:shd w:val="clear" w:color="000000" w:fill="F2DCDB"/>
            <w:vAlign w:val="bottom"/>
            <w:hideMark/>
          </w:tcPr>
          <w:p w14:paraId="0C3F8A7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1"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A71"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c>
          <w:tcPr>
            <w:tcW w:w="3351" w:type="dxa"/>
            <w:gridSpan w:val="4"/>
            <w:tcBorders>
              <w:top w:val="single" w:sz="4" w:space="0" w:color="auto"/>
              <w:left w:val="nil"/>
              <w:bottom w:val="single" w:sz="4" w:space="0" w:color="auto"/>
              <w:right w:val="nil"/>
            </w:tcBorders>
            <w:shd w:val="clear" w:color="000000" w:fill="F2F2F2"/>
            <w:noWrap/>
            <w:vAlign w:val="bottom"/>
            <w:hideMark/>
          </w:tcPr>
          <w:p w14:paraId="0C3F8A7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Potential risk category</w:t>
            </w:r>
          </w:p>
        </w:tc>
        <w:tc>
          <w:tcPr>
            <w:tcW w:w="911" w:type="dxa"/>
            <w:vMerge w:val="restart"/>
            <w:tcBorders>
              <w:top w:val="single" w:sz="4" w:space="0" w:color="auto"/>
              <w:left w:val="nil"/>
              <w:bottom w:val="single" w:sz="4" w:space="0" w:color="000000"/>
              <w:right w:val="nil"/>
            </w:tcBorders>
            <w:shd w:val="clear" w:color="000000" w:fill="F2DCDB"/>
            <w:vAlign w:val="bottom"/>
            <w:hideMark/>
          </w:tcPr>
          <w:p w14:paraId="0C3F8A7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1"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A7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r>
      <w:tr w:rsidR="00B6457B" w:rsidRPr="00393ABA" w14:paraId="0C3F8A85" w14:textId="77777777" w:rsidTr="00605DDA">
        <w:trPr>
          <w:trHeight w:val="20"/>
        </w:trPr>
        <w:tc>
          <w:tcPr>
            <w:tcW w:w="2281" w:type="dxa"/>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0C3F8A7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NRM</w:t>
            </w:r>
          </w:p>
        </w:tc>
        <w:tc>
          <w:tcPr>
            <w:tcW w:w="1068" w:type="dxa"/>
            <w:tcBorders>
              <w:top w:val="single" w:sz="4" w:space="0" w:color="auto"/>
              <w:left w:val="nil"/>
              <w:bottom w:val="nil"/>
              <w:right w:val="single" w:sz="4" w:space="0" w:color="auto"/>
            </w:tcBorders>
            <w:shd w:val="clear" w:color="000000" w:fill="F2F2F2"/>
            <w:noWrap/>
            <w:vAlign w:val="bottom"/>
            <w:hideMark/>
          </w:tcPr>
          <w:p w14:paraId="0C3F8A7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Tot</w:t>
            </w:r>
          </w:p>
        </w:tc>
        <w:tc>
          <w:tcPr>
            <w:tcW w:w="722" w:type="dxa"/>
            <w:tcBorders>
              <w:top w:val="nil"/>
              <w:left w:val="nil"/>
              <w:bottom w:val="single" w:sz="4" w:space="0" w:color="auto"/>
              <w:right w:val="nil"/>
            </w:tcBorders>
            <w:shd w:val="clear" w:color="000000" w:fill="F2F2F2"/>
            <w:noWrap/>
            <w:vAlign w:val="bottom"/>
            <w:hideMark/>
          </w:tcPr>
          <w:p w14:paraId="0C3F8A78" w14:textId="77777777" w:rsidR="00B6457B" w:rsidRPr="00393ABA" w:rsidRDefault="00B6457B" w:rsidP="00393ABA">
            <w:pPr>
              <w:spacing w:after="120"/>
              <w:jc w:val="center"/>
              <w:rPr>
                <w:rFonts w:ascii="Calibri" w:hAnsi="Calibri" w:cs="Calibri"/>
                <w:b/>
                <w:bCs/>
                <w:color w:val="1F497D"/>
                <w:sz w:val="20"/>
                <w:szCs w:val="20"/>
              </w:rPr>
            </w:pPr>
            <w:r w:rsidRPr="00393ABA">
              <w:rPr>
                <w:rFonts w:ascii="Calibri" w:hAnsi="Calibri" w:cs="Calibri"/>
                <w:b/>
                <w:bCs/>
                <w:color w:val="1F497D"/>
                <w:sz w:val="20"/>
                <w:szCs w:val="20"/>
              </w:rPr>
              <w:t>Rare</w:t>
            </w:r>
          </w:p>
        </w:tc>
        <w:tc>
          <w:tcPr>
            <w:tcW w:w="780" w:type="dxa"/>
            <w:tcBorders>
              <w:top w:val="nil"/>
              <w:left w:val="nil"/>
              <w:bottom w:val="single" w:sz="4" w:space="0" w:color="auto"/>
              <w:right w:val="nil"/>
            </w:tcBorders>
            <w:shd w:val="clear" w:color="000000" w:fill="F2F2F2"/>
            <w:noWrap/>
            <w:vAlign w:val="bottom"/>
            <w:hideMark/>
          </w:tcPr>
          <w:p w14:paraId="0C3F8A79" w14:textId="77777777" w:rsidR="00B6457B" w:rsidRPr="00393ABA" w:rsidRDefault="00B6457B" w:rsidP="00393ABA">
            <w:pPr>
              <w:spacing w:after="120"/>
              <w:jc w:val="center"/>
              <w:rPr>
                <w:rFonts w:ascii="Calibri" w:hAnsi="Calibri" w:cs="Calibri"/>
                <w:b/>
                <w:bCs/>
                <w:color w:val="31869B"/>
                <w:sz w:val="20"/>
                <w:szCs w:val="20"/>
              </w:rPr>
            </w:pPr>
            <w:r w:rsidRPr="00393ABA">
              <w:rPr>
                <w:rFonts w:ascii="Calibri" w:hAnsi="Calibri" w:cs="Calibri"/>
                <w:b/>
                <w:bCs/>
                <w:color w:val="31869B"/>
                <w:sz w:val="20"/>
                <w:szCs w:val="20"/>
              </w:rPr>
              <w:t>Infreq.</w:t>
            </w:r>
          </w:p>
        </w:tc>
        <w:tc>
          <w:tcPr>
            <w:tcW w:w="751" w:type="dxa"/>
            <w:tcBorders>
              <w:top w:val="nil"/>
              <w:left w:val="nil"/>
              <w:bottom w:val="single" w:sz="4" w:space="0" w:color="auto"/>
              <w:right w:val="nil"/>
            </w:tcBorders>
            <w:shd w:val="clear" w:color="000000" w:fill="F2F2F2"/>
            <w:noWrap/>
            <w:vAlign w:val="bottom"/>
            <w:hideMark/>
          </w:tcPr>
          <w:p w14:paraId="0C3F8A7A" w14:textId="77777777" w:rsidR="00B6457B" w:rsidRPr="00393ABA" w:rsidRDefault="00B6457B" w:rsidP="00393ABA">
            <w:pPr>
              <w:spacing w:after="120"/>
              <w:jc w:val="center"/>
              <w:rPr>
                <w:rFonts w:ascii="Calibri" w:hAnsi="Calibri" w:cs="Calibri"/>
                <w:b/>
                <w:bCs/>
                <w:color w:val="FFC000"/>
                <w:sz w:val="20"/>
                <w:szCs w:val="20"/>
              </w:rPr>
            </w:pPr>
            <w:r w:rsidRPr="00393ABA">
              <w:rPr>
                <w:rFonts w:ascii="Calibri" w:hAnsi="Calibri" w:cs="Calibri"/>
                <w:b/>
                <w:bCs/>
                <w:color w:val="FFC000"/>
                <w:sz w:val="20"/>
                <w:szCs w:val="20"/>
              </w:rPr>
              <w:t>Occas.</w:t>
            </w:r>
          </w:p>
        </w:tc>
        <w:tc>
          <w:tcPr>
            <w:tcW w:w="723" w:type="dxa"/>
            <w:tcBorders>
              <w:top w:val="nil"/>
              <w:left w:val="nil"/>
              <w:bottom w:val="single" w:sz="4" w:space="0" w:color="auto"/>
              <w:right w:val="nil"/>
            </w:tcBorders>
            <w:shd w:val="clear" w:color="000000" w:fill="F2F2F2"/>
            <w:noWrap/>
            <w:vAlign w:val="bottom"/>
            <w:hideMark/>
          </w:tcPr>
          <w:p w14:paraId="0C3F8A7B" w14:textId="77777777" w:rsidR="00B6457B" w:rsidRPr="00393ABA" w:rsidRDefault="00B6457B" w:rsidP="00393ABA">
            <w:pPr>
              <w:spacing w:after="120"/>
              <w:jc w:val="center"/>
              <w:rPr>
                <w:rFonts w:ascii="Calibri" w:hAnsi="Calibri" w:cs="Calibri"/>
                <w:b/>
                <w:bCs/>
                <w:color w:val="F79646"/>
                <w:sz w:val="20"/>
                <w:szCs w:val="20"/>
              </w:rPr>
            </w:pPr>
            <w:r w:rsidRPr="00393ABA">
              <w:rPr>
                <w:rFonts w:ascii="Calibri" w:hAnsi="Calibri" w:cs="Calibri"/>
                <w:b/>
                <w:bCs/>
                <w:color w:val="F79646"/>
                <w:sz w:val="20"/>
                <w:szCs w:val="20"/>
              </w:rPr>
              <w:t>Freq.</w:t>
            </w:r>
          </w:p>
        </w:tc>
        <w:tc>
          <w:tcPr>
            <w:tcW w:w="761" w:type="dxa"/>
            <w:tcBorders>
              <w:top w:val="nil"/>
              <w:left w:val="nil"/>
              <w:bottom w:val="single" w:sz="4" w:space="0" w:color="auto"/>
              <w:right w:val="nil"/>
            </w:tcBorders>
            <w:shd w:val="clear" w:color="000000" w:fill="F2F2F2"/>
            <w:noWrap/>
            <w:vAlign w:val="bottom"/>
            <w:hideMark/>
          </w:tcPr>
          <w:p w14:paraId="0C3F8A7C" w14:textId="77777777" w:rsidR="00B6457B" w:rsidRPr="00393ABA" w:rsidRDefault="00B6457B" w:rsidP="00393ABA">
            <w:pPr>
              <w:spacing w:after="120"/>
              <w:jc w:val="center"/>
              <w:rPr>
                <w:rFonts w:ascii="Calibri" w:hAnsi="Calibri" w:cs="Calibri"/>
                <w:b/>
                <w:bCs/>
                <w:color w:val="FF0000"/>
                <w:sz w:val="20"/>
                <w:szCs w:val="20"/>
              </w:rPr>
            </w:pPr>
            <w:r w:rsidRPr="00393ABA">
              <w:rPr>
                <w:rFonts w:ascii="Calibri" w:hAnsi="Calibri" w:cs="Calibri"/>
                <w:b/>
                <w:bCs/>
                <w:color w:val="FF0000"/>
                <w:sz w:val="20"/>
                <w:szCs w:val="20"/>
              </w:rPr>
              <w:t>V.Freq</w:t>
            </w:r>
          </w:p>
        </w:tc>
        <w:tc>
          <w:tcPr>
            <w:tcW w:w="911" w:type="dxa"/>
            <w:vMerge/>
            <w:tcBorders>
              <w:top w:val="single" w:sz="4" w:space="0" w:color="auto"/>
              <w:left w:val="nil"/>
              <w:bottom w:val="single" w:sz="4" w:space="0" w:color="000000"/>
              <w:right w:val="nil"/>
            </w:tcBorders>
            <w:vAlign w:val="center"/>
            <w:hideMark/>
          </w:tcPr>
          <w:p w14:paraId="0C3F8A7D" w14:textId="77777777" w:rsidR="00B6457B" w:rsidRPr="00393ABA" w:rsidRDefault="00B6457B" w:rsidP="00393ABA">
            <w:pPr>
              <w:spacing w:after="120"/>
              <w:jc w:val="left"/>
              <w:rPr>
                <w:rFonts w:ascii="Calibri" w:hAnsi="Calibri" w:cs="Calibri"/>
                <w:b/>
                <w:bCs/>
                <w:sz w:val="20"/>
                <w:szCs w:val="20"/>
              </w:rPr>
            </w:pPr>
          </w:p>
        </w:tc>
        <w:tc>
          <w:tcPr>
            <w:tcW w:w="911" w:type="dxa"/>
            <w:vMerge/>
            <w:tcBorders>
              <w:top w:val="single" w:sz="4" w:space="0" w:color="auto"/>
              <w:left w:val="nil"/>
              <w:bottom w:val="single" w:sz="4" w:space="0" w:color="000000"/>
              <w:right w:val="single" w:sz="4" w:space="0" w:color="auto"/>
            </w:tcBorders>
            <w:vAlign w:val="center"/>
            <w:hideMark/>
          </w:tcPr>
          <w:p w14:paraId="0C3F8A7E" w14:textId="77777777" w:rsidR="00B6457B" w:rsidRPr="00393ABA" w:rsidRDefault="00B6457B" w:rsidP="00393ABA">
            <w:pPr>
              <w:spacing w:after="120"/>
              <w:jc w:val="left"/>
              <w:rPr>
                <w:rFonts w:ascii="Calibri" w:hAnsi="Calibri" w:cs="Calibri"/>
                <w:b/>
                <w:bCs/>
                <w:sz w:val="20"/>
                <w:szCs w:val="20"/>
              </w:rPr>
            </w:pPr>
          </w:p>
        </w:tc>
        <w:tc>
          <w:tcPr>
            <w:tcW w:w="723" w:type="dxa"/>
            <w:tcBorders>
              <w:top w:val="nil"/>
              <w:left w:val="nil"/>
              <w:bottom w:val="nil"/>
              <w:right w:val="nil"/>
            </w:tcBorders>
            <w:shd w:val="clear" w:color="000000" w:fill="0070C0"/>
            <w:noWrap/>
            <w:vAlign w:val="bottom"/>
            <w:hideMark/>
          </w:tcPr>
          <w:p w14:paraId="0C3F8A7F"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w:t>
            </w:r>
          </w:p>
        </w:tc>
        <w:tc>
          <w:tcPr>
            <w:tcW w:w="917" w:type="dxa"/>
            <w:tcBorders>
              <w:top w:val="nil"/>
              <w:left w:val="nil"/>
              <w:bottom w:val="nil"/>
              <w:right w:val="nil"/>
            </w:tcBorders>
            <w:shd w:val="clear" w:color="000000" w:fill="00B050"/>
            <w:noWrap/>
            <w:vAlign w:val="bottom"/>
            <w:hideMark/>
          </w:tcPr>
          <w:p w14:paraId="0C3F8A80"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w:t>
            </w:r>
          </w:p>
        </w:tc>
        <w:tc>
          <w:tcPr>
            <w:tcW w:w="723" w:type="dxa"/>
            <w:tcBorders>
              <w:top w:val="nil"/>
              <w:left w:val="nil"/>
              <w:bottom w:val="nil"/>
              <w:right w:val="nil"/>
            </w:tcBorders>
            <w:shd w:val="clear" w:color="000000" w:fill="FF0000"/>
            <w:noWrap/>
            <w:vAlign w:val="bottom"/>
            <w:hideMark/>
          </w:tcPr>
          <w:p w14:paraId="0C3F8A81"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III</w:t>
            </w:r>
          </w:p>
        </w:tc>
        <w:tc>
          <w:tcPr>
            <w:tcW w:w="988" w:type="dxa"/>
            <w:tcBorders>
              <w:top w:val="nil"/>
              <w:left w:val="nil"/>
              <w:bottom w:val="nil"/>
              <w:right w:val="nil"/>
            </w:tcBorders>
            <w:shd w:val="clear" w:color="000000" w:fill="C00000"/>
            <w:noWrap/>
            <w:vAlign w:val="bottom"/>
            <w:hideMark/>
          </w:tcPr>
          <w:p w14:paraId="0C3F8A82"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IV</w:t>
            </w:r>
          </w:p>
        </w:tc>
        <w:tc>
          <w:tcPr>
            <w:tcW w:w="911" w:type="dxa"/>
            <w:vMerge/>
            <w:tcBorders>
              <w:top w:val="single" w:sz="4" w:space="0" w:color="auto"/>
              <w:left w:val="nil"/>
              <w:bottom w:val="single" w:sz="4" w:space="0" w:color="000000"/>
              <w:right w:val="nil"/>
            </w:tcBorders>
            <w:vAlign w:val="center"/>
            <w:hideMark/>
          </w:tcPr>
          <w:p w14:paraId="0C3F8A83" w14:textId="77777777" w:rsidR="00B6457B" w:rsidRPr="00393ABA" w:rsidRDefault="00B6457B" w:rsidP="00393ABA">
            <w:pPr>
              <w:spacing w:after="120"/>
              <w:jc w:val="left"/>
              <w:rPr>
                <w:rFonts w:ascii="Calibri" w:hAnsi="Calibri" w:cs="Calibri"/>
                <w:b/>
                <w:bCs/>
                <w:sz w:val="20"/>
                <w:szCs w:val="20"/>
              </w:rPr>
            </w:pPr>
          </w:p>
        </w:tc>
        <w:tc>
          <w:tcPr>
            <w:tcW w:w="911" w:type="dxa"/>
            <w:vMerge/>
            <w:tcBorders>
              <w:top w:val="single" w:sz="4" w:space="0" w:color="auto"/>
              <w:left w:val="nil"/>
              <w:bottom w:val="single" w:sz="4" w:space="0" w:color="000000"/>
              <w:right w:val="single" w:sz="4" w:space="0" w:color="auto"/>
            </w:tcBorders>
            <w:vAlign w:val="center"/>
            <w:hideMark/>
          </w:tcPr>
          <w:p w14:paraId="0C3F8A84" w14:textId="77777777" w:rsidR="00B6457B" w:rsidRPr="00393ABA" w:rsidRDefault="00B6457B" w:rsidP="00393ABA">
            <w:pPr>
              <w:spacing w:after="120"/>
              <w:jc w:val="left"/>
              <w:rPr>
                <w:rFonts w:ascii="Calibri" w:hAnsi="Calibri" w:cs="Calibri"/>
                <w:b/>
                <w:bCs/>
                <w:sz w:val="20"/>
                <w:szCs w:val="20"/>
              </w:rPr>
            </w:pPr>
          </w:p>
        </w:tc>
      </w:tr>
      <w:tr w:rsidR="00B6457B" w:rsidRPr="00393ABA" w14:paraId="0C3F8A96" w14:textId="77777777" w:rsidTr="00605DDA">
        <w:trPr>
          <w:trHeight w:val="20"/>
        </w:trPr>
        <w:tc>
          <w:tcPr>
            <w:tcW w:w="1406" w:type="dxa"/>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C3F8A8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GBR</w:t>
            </w:r>
          </w:p>
        </w:tc>
        <w:tc>
          <w:tcPr>
            <w:tcW w:w="875" w:type="dxa"/>
            <w:tcBorders>
              <w:top w:val="single" w:sz="4" w:space="0" w:color="auto"/>
              <w:left w:val="single" w:sz="4" w:space="0" w:color="auto"/>
              <w:bottom w:val="nil"/>
              <w:right w:val="single" w:sz="4" w:space="0" w:color="auto"/>
            </w:tcBorders>
            <w:shd w:val="clear" w:color="000000" w:fill="F2F2F2"/>
            <w:noWrap/>
            <w:vAlign w:val="center"/>
            <w:hideMark/>
          </w:tcPr>
          <w:p w14:paraId="0C3F8A8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 xml:space="preserve">area </w:t>
            </w:r>
          </w:p>
        </w:tc>
        <w:tc>
          <w:tcPr>
            <w:tcW w:w="1068" w:type="dxa"/>
            <w:tcBorders>
              <w:top w:val="single" w:sz="4" w:space="0" w:color="auto"/>
              <w:left w:val="nil"/>
              <w:bottom w:val="nil"/>
              <w:right w:val="single" w:sz="4" w:space="0" w:color="auto"/>
            </w:tcBorders>
            <w:shd w:val="clear" w:color="000000" w:fill="F2F2F2"/>
            <w:noWrap/>
            <w:vAlign w:val="bottom"/>
            <w:hideMark/>
          </w:tcPr>
          <w:p w14:paraId="0C3F8A8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348753</w:t>
            </w:r>
          </w:p>
        </w:tc>
        <w:tc>
          <w:tcPr>
            <w:tcW w:w="722" w:type="dxa"/>
            <w:tcBorders>
              <w:top w:val="nil"/>
              <w:left w:val="nil"/>
              <w:bottom w:val="nil"/>
              <w:right w:val="nil"/>
            </w:tcBorders>
            <w:shd w:val="clear" w:color="auto" w:fill="auto"/>
            <w:noWrap/>
            <w:vAlign w:val="bottom"/>
            <w:hideMark/>
          </w:tcPr>
          <w:p w14:paraId="0C3F8A8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45991</w:t>
            </w:r>
          </w:p>
        </w:tc>
        <w:tc>
          <w:tcPr>
            <w:tcW w:w="780" w:type="dxa"/>
            <w:tcBorders>
              <w:top w:val="nil"/>
              <w:left w:val="nil"/>
              <w:bottom w:val="nil"/>
              <w:right w:val="nil"/>
            </w:tcBorders>
            <w:shd w:val="clear" w:color="auto" w:fill="auto"/>
            <w:noWrap/>
            <w:vAlign w:val="bottom"/>
            <w:hideMark/>
          </w:tcPr>
          <w:p w14:paraId="0C3F8A8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20251</w:t>
            </w:r>
          </w:p>
        </w:tc>
        <w:tc>
          <w:tcPr>
            <w:tcW w:w="751" w:type="dxa"/>
            <w:tcBorders>
              <w:top w:val="nil"/>
              <w:left w:val="nil"/>
              <w:bottom w:val="nil"/>
              <w:right w:val="nil"/>
            </w:tcBorders>
            <w:shd w:val="clear" w:color="auto" w:fill="auto"/>
            <w:noWrap/>
            <w:vAlign w:val="bottom"/>
            <w:hideMark/>
          </w:tcPr>
          <w:p w14:paraId="0C3F8A8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24584</w:t>
            </w:r>
          </w:p>
        </w:tc>
        <w:tc>
          <w:tcPr>
            <w:tcW w:w="723" w:type="dxa"/>
            <w:tcBorders>
              <w:top w:val="nil"/>
              <w:left w:val="nil"/>
              <w:bottom w:val="nil"/>
              <w:right w:val="nil"/>
            </w:tcBorders>
            <w:shd w:val="clear" w:color="auto" w:fill="auto"/>
            <w:noWrap/>
            <w:vAlign w:val="bottom"/>
            <w:hideMark/>
          </w:tcPr>
          <w:p w14:paraId="0C3F8A8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21304</w:t>
            </w:r>
          </w:p>
        </w:tc>
        <w:tc>
          <w:tcPr>
            <w:tcW w:w="761" w:type="dxa"/>
            <w:tcBorders>
              <w:top w:val="nil"/>
              <w:left w:val="nil"/>
              <w:bottom w:val="nil"/>
              <w:right w:val="nil"/>
            </w:tcBorders>
            <w:shd w:val="clear" w:color="auto" w:fill="auto"/>
            <w:noWrap/>
            <w:vAlign w:val="bottom"/>
            <w:hideMark/>
          </w:tcPr>
          <w:p w14:paraId="0C3F8A8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41723</w:t>
            </w:r>
          </w:p>
        </w:tc>
        <w:tc>
          <w:tcPr>
            <w:tcW w:w="911" w:type="dxa"/>
            <w:tcBorders>
              <w:top w:val="nil"/>
              <w:left w:val="nil"/>
              <w:bottom w:val="nil"/>
              <w:right w:val="nil"/>
            </w:tcBorders>
            <w:shd w:val="clear" w:color="000000" w:fill="F2DCDB"/>
            <w:noWrap/>
            <w:vAlign w:val="bottom"/>
            <w:hideMark/>
          </w:tcPr>
          <w:p w14:paraId="0C3F8A8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153852</w:t>
            </w:r>
          </w:p>
        </w:tc>
        <w:tc>
          <w:tcPr>
            <w:tcW w:w="911" w:type="dxa"/>
            <w:tcBorders>
              <w:top w:val="nil"/>
              <w:left w:val="nil"/>
              <w:bottom w:val="nil"/>
              <w:right w:val="single" w:sz="4" w:space="0" w:color="auto"/>
            </w:tcBorders>
            <w:shd w:val="clear" w:color="000000" w:fill="F2DCDB"/>
            <w:noWrap/>
            <w:vAlign w:val="bottom"/>
            <w:hideMark/>
          </w:tcPr>
          <w:p w14:paraId="0C3F8A8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194901</w:t>
            </w:r>
          </w:p>
        </w:tc>
        <w:tc>
          <w:tcPr>
            <w:tcW w:w="723" w:type="dxa"/>
            <w:tcBorders>
              <w:top w:val="single" w:sz="4" w:space="0" w:color="auto"/>
              <w:left w:val="nil"/>
              <w:bottom w:val="nil"/>
              <w:right w:val="nil"/>
            </w:tcBorders>
            <w:shd w:val="clear" w:color="auto" w:fill="auto"/>
            <w:noWrap/>
            <w:vAlign w:val="bottom"/>
            <w:hideMark/>
          </w:tcPr>
          <w:p w14:paraId="0C3F8A9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67194</w:t>
            </w:r>
          </w:p>
        </w:tc>
        <w:tc>
          <w:tcPr>
            <w:tcW w:w="917" w:type="dxa"/>
            <w:tcBorders>
              <w:top w:val="single" w:sz="4" w:space="0" w:color="auto"/>
              <w:left w:val="nil"/>
              <w:bottom w:val="nil"/>
              <w:right w:val="nil"/>
            </w:tcBorders>
            <w:shd w:val="clear" w:color="auto" w:fill="auto"/>
            <w:noWrap/>
            <w:vAlign w:val="bottom"/>
            <w:hideMark/>
          </w:tcPr>
          <w:p w14:paraId="0C3F8A9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64466</w:t>
            </w:r>
          </w:p>
        </w:tc>
        <w:tc>
          <w:tcPr>
            <w:tcW w:w="723" w:type="dxa"/>
            <w:tcBorders>
              <w:top w:val="single" w:sz="4" w:space="0" w:color="auto"/>
              <w:left w:val="nil"/>
              <w:bottom w:val="nil"/>
              <w:right w:val="nil"/>
            </w:tcBorders>
            <w:shd w:val="clear" w:color="auto" w:fill="auto"/>
            <w:noWrap/>
            <w:vAlign w:val="bottom"/>
            <w:hideMark/>
          </w:tcPr>
          <w:p w14:paraId="0C3F8A9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20782</w:t>
            </w:r>
          </w:p>
        </w:tc>
        <w:tc>
          <w:tcPr>
            <w:tcW w:w="988" w:type="dxa"/>
            <w:tcBorders>
              <w:top w:val="single" w:sz="4" w:space="0" w:color="auto"/>
              <w:left w:val="nil"/>
              <w:bottom w:val="nil"/>
              <w:right w:val="nil"/>
            </w:tcBorders>
            <w:shd w:val="clear" w:color="auto" w:fill="auto"/>
            <w:noWrap/>
            <w:vAlign w:val="bottom"/>
            <w:hideMark/>
          </w:tcPr>
          <w:p w14:paraId="0C3F8A9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1168</w:t>
            </w:r>
          </w:p>
        </w:tc>
        <w:tc>
          <w:tcPr>
            <w:tcW w:w="911" w:type="dxa"/>
            <w:tcBorders>
              <w:top w:val="nil"/>
              <w:left w:val="nil"/>
              <w:bottom w:val="nil"/>
              <w:right w:val="nil"/>
            </w:tcBorders>
            <w:shd w:val="clear" w:color="000000" w:fill="F2DCDB"/>
            <w:noWrap/>
            <w:vAlign w:val="bottom"/>
            <w:hideMark/>
          </w:tcPr>
          <w:p w14:paraId="0C3F8A9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153610</w:t>
            </w:r>
          </w:p>
        </w:tc>
        <w:tc>
          <w:tcPr>
            <w:tcW w:w="911" w:type="dxa"/>
            <w:tcBorders>
              <w:top w:val="nil"/>
              <w:left w:val="nil"/>
              <w:bottom w:val="nil"/>
              <w:right w:val="single" w:sz="4" w:space="0" w:color="auto"/>
            </w:tcBorders>
            <w:shd w:val="clear" w:color="000000" w:fill="F2DCDB"/>
            <w:noWrap/>
            <w:vAlign w:val="bottom"/>
            <w:hideMark/>
          </w:tcPr>
          <w:p w14:paraId="0C3F8A9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195143</w:t>
            </w:r>
          </w:p>
        </w:tc>
      </w:tr>
      <w:tr w:rsidR="00B6457B" w:rsidRPr="00393ABA" w14:paraId="0C3F8AA7" w14:textId="77777777" w:rsidTr="00605DDA">
        <w:trPr>
          <w:trHeight w:val="252"/>
        </w:trPr>
        <w:tc>
          <w:tcPr>
            <w:tcW w:w="1406" w:type="dxa"/>
            <w:vMerge/>
            <w:tcBorders>
              <w:top w:val="single" w:sz="4" w:space="0" w:color="auto"/>
              <w:left w:val="single" w:sz="4" w:space="0" w:color="auto"/>
              <w:bottom w:val="double" w:sz="6" w:space="0" w:color="000000"/>
              <w:right w:val="nil"/>
            </w:tcBorders>
            <w:vAlign w:val="center"/>
            <w:hideMark/>
          </w:tcPr>
          <w:p w14:paraId="0C3F8A97"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single" w:sz="4" w:space="0" w:color="auto"/>
              <w:bottom w:val="double" w:sz="6" w:space="0" w:color="auto"/>
              <w:right w:val="single" w:sz="4" w:space="0" w:color="auto"/>
            </w:tcBorders>
            <w:shd w:val="clear" w:color="000000" w:fill="F2F2F2"/>
            <w:noWrap/>
            <w:vAlign w:val="center"/>
            <w:hideMark/>
          </w:tcPr>
          <w:p w14:paraId="0C3F8A98"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w:t>
            </w:r>
          </w:p>
        </w:tc>
        <w:tc>
          <w:tcPr>
            <w:tcW w:w="1068" w:type="dxa"/>
            <w:tcBorders>
              <w:top w:val="nil"/>
              <w:left w:val="nil"/>
              <w:bottom w:val="double" w:sz="6" w:space="0" w:color="auto"/>
              <w:right w:val="single" w:sz="4" w:space="0" w:color="auto"/>
            </w:tcBorders>
            <w:shd w:val="clear" w:color="000000" w:fill="F2F2F2"/>
            <w:noWrap/>
            <w:vAlign w:val="bottom"/>
            <w:hideMark/>
          </w:tcPr>
          <w:p w14:paraId="0C3F8A99"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100%</w:t>
            </w:r>
          </w:p>
        </w:tc>
        <w:tc>
          <w:tcPr>
            <w:tcW w:w="722" w:type="dxa"/>
            <w:tcBorders>
              <w:top w:val="nil"/>
              <w:left w:val="nil"/>
              <w:bottom w:val="double" w:sz="6" w:space="0" w:color="auto"/>
              <w:right w:val="nil"/>
            </w:tcBorders>
            <w:shd w:val="clear" w:color="auto" w:fill="auto"/>
            <w:noWrap/>
            <w:vAlign w:val="bottom"/>
            <w:hideMark/>
          </w:tcPr>
          <w:p w14:paraId="0C3F8A9A"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13%</w:t>
            </w:r>
          </w:p>
        </w:tc>
        <w:tc>
          <w:tcPr>
            <w:tcW w:w="780" w:type="dxa"/>
            <w:tcBorders>
              <w:top w:val="nil"/>
              <w:left w:val="nil"/>
              <w:bottom w:val="double" w:sz="6" w:space="0" w:color="auto"/>
              <w:right w:val="nil"/>
            </w:tcBorders>
            <w:shd w:val="clear" w:color="auto" w:fill="auto"/>
            <w:noWrap/>
            <w:vAlign w:val="bottom"/>
            <w:hideMark/>
          </w:tcPr>
          <w:p w14:paraId="0C3F8A9B"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6%</w:t>
            </w:r>
          </w:p>
        </w:tc>
        <w:tc>
          <w:tcPr>
            <w:tcW w:w="751" w:type="dxa"/>
            <w:tcBorders>
              <w:top w:val="nil"/>
              <w:left w:val="nil"/>
              <w:bottom w:val="double" w:sz="6" w:space="0" w:color="auto"/>
              <w:right w:val="nil"/>
            </w:tcBorders>
            <w:shd w:val="clear" w:color="auto" w:fill="auto"/>
            <w:noWrap/>
            <w:vAlign w:val="bottom"/>
            <w:hideMark/>
          </w:tcPr>
          <w:p w14:paraId="0C3F8A9C"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7%</w:t>
            </w:r>
          </w:p>
        </w:tc>
        <w:tc>
          <w:tcPr>
            <w:tcW w:w="723" w:type="dxa"/>
            <w:tcBorders>
              <w:top w:val="nil"/>
              <w:left w:val="nil"/>
              <w:bottom w:val="double" w:sz="6" w:space="0" w:color="auto"/>
              <w:right w:val="nil"/>
            </w:tcBorders>
            <w:shd w:val="clear" w:color="auto" w:fill="auto"/>
            <w:noWrap/>
            <w:vAlign w:val="bottom"/>
            <w:hideMark/>
          </w:tcPr>
          <w:p w14:paraId="0C3F8A9D"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6%</w:t>
            </w:r>
          </w:p>
        </w:tc>
        <w:tc>
          <w:tcPr>
            <w:tcW w:w="761" w:type="dxa"/>
            <w:tcBorders>
              <w:top w:val="nil"/>
              <w:left w:val="nil"/>
              <w:bottom w:val="double" w:sz="6" w:space="0" w:color="auto"/>
              <w:right w:val="nil"/>
            </w:tcBorders>
            <w:shd w:val="clear" w:color="auto" w:fill="auto"/>
            <w:noWrap/>
            <w:vAlign w:val="bottom"/>
            <w:hideMark/>
          </w:tcPr>
          <w:p w14:paraId="0C3F8A9E"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12%</w:t>
            </w:r>
          </w:p>
        </w:tc>
        <w:tc>
          <w:tcPr>
            <w:tcW w:w="911" w:type="dxa"/>
            <w:tcBorders>
              <w:top w:val="nil"/>
              <w:left w:val="nil"/>
              <w:bottom w:val="double" w:sz="6" w:space="0" w:color="auto"/>
              <w:right w:val="nil"/>
            </w:tcBorders>
            <w:shd w:val="clear" w:color="000000" w:fill="F2DCDB"/>
            <w:noWrap/>
            <w:vAlign w:val="bottom"/>
            <w:hideMark/>
          </w:tcPr>
          <w:p w14:paraId="0C3F8A9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44%</w:t>
            </w:r>
          </w:p>
        </w:tc>
        <w:tc>
          <w:tcPr>
            <w:tcW w:w="911" w:type="dxa"/>
            <w:tcBorders>
              <w:top w:val="nil"/>
              <w:left w:val="nil"/>
              <w:bottom w:val="double" w:sz="6" w:space="0" w:color="auto"/>
              <w:right w:val="single" w:sz="4" w:space="0" w:color="auto"/>
            </w:tcBorders>
            <w:shd w:val="clear" w:color="000000" w:fill="F2DCDB"/>
            <w:noWrap/>
            <w:vAlign w:val="bottom"/>
            <w:hideMark/>
          </w:tcPr>
          <w:p w14:paraId="0C3F8AA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56%</w:t>
            </w:r>
          </w:p>
        </w:tc>
        <w:tc>
          <w:tcPr>
            <w:tcW w:w="723" w:type="dxa"/>
            <w:tcBorders>
              <w:top w:val="nil"/>
              <w:left w:val="nil"/>
              <w:bottom w:val="double" w:sz="6" w:space="0" w:color="auto"/>
              <w:right w:val="nil"/>
            </w:tcBorders>
            <w:shd w:val="clear" w:color="auto" w:fill="auto"/>
            <w:noWrap/>
            <w:vAlign w:val="bottom"/>
            <w:hideMark/>
          </w:tcPr>
          <w:p w14:paraId="0C3F8AA1"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19%</w:t>
            </w:r>
          </w:p>
        </w:tc>
        <w:tc>
          <w:tcPr>
            <w:tcW w:w="917" w:type="dxa"/>
            <w:tcBorders>
              <w:top w:val="nil"/>
              <w:left w:val="nil"/>
              <w:bottom w:val="double" w:sz="6" w:space="0" w:color="auto"/>
              <w:right w:val="nil"/>
            </w:tcBorders>
            <w:shd w:val="clear" w:color="auto" w:fill="auto"/>
            <w:noWrap/>
            <w:vAlign w:val="bottom"/>
            <w:hideMark/>
          </w:tcPr>
          <w:p w14:paraId="0C3F8AA2"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18%</w:t>
            </w:r>
          </w:p>
        </w:tc>
        <w:tc>
          <w:tcPr>
            <w:tcW w:w="723" w:type="dxa"/>
            <w:tcBorders>
              <w:top w:val="nil"/>
              <w:left w:val="nil"/>
              <w:bottom w:val="double" w:sz="6" w:space="0" w:color="auto"/>
              <w:right w:val="nil"/>
            </w:tcBorders>
            <w:shd w:val="clear" w:color="auto" w:fill="auto"/>
            <w:noWrap/>
            <w:vAlign w:val="bottom"/>
            <w:hideMark/>
          </w:tcPr>
          <w:p w14:paraId="0C3F8AA3"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6%</w:t>
            </w:r>
          </w:p>
        </w:tc>
        <w:tc>
          <w:tcPr>
            <w:tcW w:w="988" w:type="dxa"/>
            <w:tcBorders>
              <w:top w:val="nil"/>
              <w:left w:val="nil"/>
              <w:bottom w:val="double" w:sz="6" w:space="0" w:color="auto"/>
              <w:right w:val="nil"/>
            </w:tcBorders>
            <w:shd w:val="clear" w:color="auto" w:fill="auto"/>
            <w:noWrap/>
            <w:vAlign w:val="bottom"/>
            <w:hideMark/>
          </w:tcPr>
          <w:p w14:paraId="0C3F8AA4"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0%</w:t>
            </w:r>
          </w:p>
        </w:tc>
        <w:tc>
          <w:tcPr>
            <w:tcW w:w="911" w:type="dxa"/>
            <w:tcBorders>
              <w:top w:val="nil"/>
              <w:left w:val="nil"/>
              <w:bottom w:val="double" w:sz="6" w:space="0" w:color="auto"/>
              <w:right w:val="nil"/>
            </w:tcBorders>
            <w:shd w:val="clear" w:color="000000" w:fill="F2DCDB"/>
            <w:noWrap/>
            <w:vAlign w:val="bottom"/>
            <w:hideMark/>
          </w:tcPr>
          <w:p w14:paraId="0C3F8AA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44%</w:t>
            </w:r>
          </w:p>
        </w:tc>
        <w:tc>
          <w:tcPr>
            <w:tcW w:w="911" w:type="dxa"/>
            <w:tcBorders>
              <w:top w:val="nil"/>
              <w:left w:val="nil"/>
              <w:bottom w:val="double" w:sz="6" w:space="0" w:color="auto"/>
              <w:right w:val="single" w:sz="4" w:space="0" w:color="auto"/>
            </w:tcBorders>
            <w:shd w:val="clear" w:color="000000" w:fill="F2DCDB"/>
            <w:noWrap/>
            <w:vAlign w:val="bottom"/>
            <w:hideMark/>
          </w:tcPr>
          <w:p w14:paraId="0C3F8AA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56%</w:t>
            </w:r>
          </w:p>
        </w:tc>
      </w:tr>
      <w:tr w:rsidR="00B6457B" w:rsidRPr="00393ABA" w14:paraId="0C3F8AB8" w14:textId="77777777" w:rsidTr="00605DDA">
        <w:trPr>
          <w:trHeight w:val="20"/>
        </w:trPr>
        <w:tc>
          <w:tcPr>
            <w:tcW w:w="1406" w:type="dxa"/>
            <w:vMerge w:val="restart"/>
            <w:tcBorders>
              <w:top w:val="nil"/>
              <w:left w:val="single" w:sz="4" w:space="0" w:color="auto"/>
              <w:bottom w:val="nil"/>
              <w:right w:val="nil"/>
            </w:tcBorders>
            <w:shd w:val="clear" w:color="000000" w:fill="F2F2F2"/>
            <w:noWrap/>
            <w:vAlign w:val="center"/>
            <w:hideMark/>
          </w:tcPr>
          <w:p w14:paraId="0C3F8AA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Cape York</w:t>
            </w:r>
          </w:p>
        </w:tc>
        <w:tc>
          <w:tcPr>
            <w:tcW w:w="875" w:type="dxa"/>
            <w:tcBorders>
              <w:top w:val="nil"/>
              <w:left w:val="single" w:sz="4" w:space="0" w:color="auto"/>
              <w:bottom w:val="nil"/>
              <w:right w:val="single" w:sz="4" w:space="0" w:color="auto"/>
            </w:tcBorders>
            <w:shd w:val="clear" w:color="000000" w:fill="F2F2F2"/>
            <w:noWrap/>
            <w:vAlign w:val="center"/>
            <w:hideMark/>
          </w:tcPr>
          <w:p w14:paraId="0C3F8AA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AA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96316</w:t>
            </w:r>
          </w:p>
        </w:tc>
        <w:tc>
          <w:tcPr>
            <w:tcW w:w="722" w:type="dxa"/>
            <w:tcBorders>
              <w:top w:val="nil"/>
              <w:left w:val="nil"/>
              <w:bottom w:val="nil"/>
              <w:right w:val="nil"/>
            </w:tcBorders>
            <w:shd w:val="clear" w:color="auto" w:fill="auto"/>
            <w:noWrap/>
            <w:vAlign w:val="bottom"/>
            <w:hideMark/>
          </w:tcPr>
          <w:p w14:paraId="0C3F8AA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9413</w:t>
            </w:r>
          </w:p>
        </w:tc>
        <w:tc>
          <w:tcPr>
            <w:tcW w:w="780" w:type="dxa"/>
            <w:tcBorders>
              <w:top w:val="nil"/>
              <w:left w:val="nil"/>
              <w:bottom w:val="nil"/>
              <w:right w:val="nil"/>
            </w:tcBorders>
            <w:shd w:val="clear" w:color="auto" w:fill="auto"/>
            <w:noWrap/>
            <w:vAlign w:val="bottom"/>
            <w:hideMark/>
          </w:tcPr>
          <w:p w14:paraId="0C3F8AA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5469</w:t>
            </w:r>
          </w:p>
        </w:tc>
        <w:tc>
          <w:tcPr>
            <w:tcW w:w="751" w:type="dxa"/>
            <w:tcBorders>
              <w:top w:val="nil"/>
              <w:left w:val="nil"/>
              <w:bottom w:val="nil"/>
              <w:right w:val="nil"/>
            </w:tcBorders>
            <w:shd w:val="clear" w:color="auto" w:fill="auto"/>
            <w:noWrap/>
            <w:vAlign w:val="bottom"/>
            <w:hideMark/>
          </w:tcPr>
          <w:p w14:paraId="0C3F8AA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5814</w:t>
            </w:r>
          </w:p>
        </w:tc>
        <w:tc>
          <w:tcPr>
            <w:tcW w:w="723" w:type="dxa"/>
            <w:tcBorders>
              <w:top w:val="nil"/>
              <w:left w:val="nil"/>
              <w:bottom w:val="nil"/>
              <w:right w:val="nil"/>
            </w:tcBorders>
            <w:shd w:val="clear" w:color="auto" w:fill="auto"/>
            <w:noWrap/>
            <w:vAlign w:val="bottom"/>
            <w:hideMark/>
          </w:tcPr>
          <w:p w14:paraId="0C3F8AA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6863</w:t>
            </w:r>
          </w:p>
        </w:tc>
        <w:tc>
          <w:tcPr>
            <w:tcW w:w="761" w:type="dxa"/>
            <w:tcBorders>
              <w:top w:val="nil"/>
              <w:left w:val="nil"/>
              <w:bottom w:val="nil"/>
              <w:right w:val="nil"/>
            </w:tcBorders>
            <w:shd w:val="clear" w:color="auto" w:fill="auto"/>
            <w:noWrap/>
            <w:vAlign w:val="bottom"/>
            <w:hideMark/>
          </w:tcPr>
          <w:p w14:paraId="0C3F8AA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7767</w:t>
            </w:r>
          </w:p>
        </w:tc>
        <w:tc>
          <w:tcPr>
            <w:tcW w:w="911" w:type="dxa"/>
            <w:tcBorders>
              <w:top w:val="nil"/>
              <w:left w:val="nil"/>
              <w:bottom w:val="nil"/>
              <w:right w:val="nil"/>
            </w:tcBorders>
            <w:shd w:val="clear" w:color="000000" w:fill="F2DCDB"/>
            <w:noWrap/>
            <w:vAlign w:val="bottom"/>
            <w:hideMark/>
          </w:tcPr>
          <w:p w14:paraId="0C3F8AB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35326</w:t>
            </w:r>
          </w:p>
        </w:tc>
        <w:tc>
          <w:tcPr>
            <w:tcW w:w="911" w:type="dxa"/>
            <w:tcBorders>
              <w:top w:val="nil"/>
              <w:left w:val="nil"/>
              <w:bottom w:val="nil"/>
              <w:right w:val="single" w:sz="4" w:space="0" w:color="auto"/>
            </w:tcBorders>
            <w:shd w:val="clear" w:color="000000" w:fill="F2DCDB"/>
            <w:noWrap/>
            <w:vAlign w:val="bottom"/>
            <w:hideMark/>
          </w:tcPr>
          <w:p w14:paraId="0C3F8AB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60990</w:t>
            </w:r>
          </w:p>
        </w:tc>
        <w:tc>
          <w:tcPr>
            <w:tcW w:w="723" w:type="dxa"/>
            <w:tcBorders>
              <w:top w:val="nil"/>
              <w:left w:val="nil"/>
              <w:bottom w:val="nil"/>
              <w:right w:val="nil"/>
            </w:tcBorders>
            <w:shd w:val="clear" w:color="auto" w:fill="auto"/>
            <w:noWrap/>
            <w:vAlign w:val="bottom"/>
            <w:hideMark/>
          </w:tcPr>
          <w:p w14:paraId="0C3F8AB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16034</w:t>
            </w:r>
          </w:p>
        </w:tc>
        <w:tc>
          <w:tcPr>
            <w:tcW w:w="917" w:type="dxa"/>
            <w:tcBorders>
              <w:top w:val="nil"/>
              <w:left w:val="nil"/>
              <w:bottom w:val="nil"/>
              <w:right w:val="nil"/>
            </w:tcBorders>
            <w:shd w:val="clear" w:color="auto" w:fill="auto"/>
            <w:noWrap/>
            <w:vAlign w:val="bottom"/>
            <w:hideMark/>
          </w:tcPr>
          <w:p w14:paraId="0C3F8AB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15800</w:t>
            </w:r>
          </w:p>
        </w:tc>
        <w:tc>
          <w:tcPr>
            <w:tcW w:w="723" w:type="dxa"/>
            <w:tcBorders>
              <w:top w:val="nil"/>
              <w:left w:val="nil"/>
              <w:bottom w:val="nil"/>
              <w:right w:val="nil"/>
            </w:tcBorders>
            <w:shd w:val="clear" w:color="auto" w:fill="auto"/>
            <w:noWrap/>
            <w:vAlign w:val="bottom"/>
            <w:hideMark/>
          </w:tcPr>
          <w:p w14:paraId="0C3F8AB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3285</w:t>
            </w:r>
          </w:p>
        </w:tc>
        <w:tc>
          <w:tcPr>
            <w:tcW w:w="988" w:type="dxa"/>
            <w:tcBorders>
              <w:top w:val="nil"/>
              <w:left w:val="nil"/>
              <w:bottom w:val="nil"/>
              <w:right w:val="nil"/>
            </w:tcBorders>
            <w:shd w:val="clear" w:color="auto" w:fill="auto"/>
            <w:noWrap/>
            <w:vAlign w:val="bottom"/>
            <w:hideMark/>
          </w:tcPr>
          <w:p w14:paraId="0C3F8AB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69</w:t>
            </w:r>
          </w:p>
        </w:tc>
        <w:tc>
          <w:tcPr>
            <w:tcW w:w="911" w:type="dxa"/>
            <w:tcBorders>
              <w:top w:val="nil"/>
              <w:left w:val="nil"/>
              <w:bottom w:val="nil"/>
              <w:right w:val="nil"/>
            </w:tcBorders>
            <w:shd w:val="clear" w:color="000000" w:fill="F2DCDB"/>
            <w:noWrap/>
            <w:vAlign w:val="bottom"/>
            <w:hideMark/>
          </w:tcPr>
          <w:p w14:paraId="0C3F8AB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35188</w:t>
            </w:r>
          </w:p>
        </w:tc>
        <w:tc>
          <w:tcPr>
            <w:tcW w:w="911" w:type="dxa"/>
            <w:tcBorders>
              <w:top w:val="nil"/>
              <w:left w:val="nil"/>
              <w:bottom w:val="nil"/>
              <w:right w:val="single" w:sz="4" w:space="0" w:color="auto"/>
            </w:tcBorders>
            <w:shd w:val="clear" w:color="000000" w:fill="F2DCDB"/>
            <w:noWrap/>
            <w:vAlign w:val="bottom"/>
            <w:hideMark/>
          </w:tcPr>
          <w:p w14:paraId="0C3F8AB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61128</w:t>
            </w:r>
          </w:p>
        </w:tc>
      </w:tr>
      <w:tr w:rsidR="00B6457B" w:rsidRPr="00393ABA" w14:paraId="0C3F8AC9" w14:textId="77777777" w:rsidTr="00605DDA">
        <w:trPr>
          <w:trHeight w:val="20"/>
        </w:trPr>
        <w:tc>
          <w:tcPr>
            <w:tcW w:w="1406" w:type="dxa"/>
            <w:vMerge/>
            <w:tcBorders>
              <w:top w:val="nil"/>
              <w:left w:val="single" w:sz="4" w:space="0" w:color="auto"/>
              <w:bottom w:val="nil"/>
              <w:right w:val="nil"/>
            </w:tcBorders>
            <w:vAlign w:val="center"/>
            <w:hideMark/>
          </w:tcPr>
          <w:p w14:paraId="0C3F8AB9"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single" w:sz="4" w:space="0" w:color="auto"/>
              <w:bottom w:val="nil"/>
              <w:right w:val="single" w:sz="4" w:space="0" w:color="auto"/>
            </w:tcBorders>
            <w:shd w:val="clear" w:color="000000" w:fill="F2F2F2"/>
            <w:noWrap/>
            <w:vAlign w:val="center"/>
            <w:hideMark/>
          </w:tcPr>
          <w:p w14:paraId="0C3F8AB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nil"/>
              <w:right w:val="single" w:sz="4" w:space="0" w:color="auto"/>
            </w:tcBorders>
            <w:shd w:val="clear" w:color="000000" w:fill="F2F2F2"/>
            <w:noWrap/>
            <w:vAlign w:val="bottom"/>
            <w:hideMark/>
          </w:tcPr>
          <w:p w14:paraId="0C3F8AB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nil"/>
              <w:right w:val="nil"/>
            </w:tcBorders>
            <w:shd w:val="clear" w:color="auto" w:fill="auto"/>
            <w:noWrap/>
            <w:vAlign w:val="bottom"/>
            <w:hideMark/>
          </w:tcPr>
          <w:p w14:paraId="0C3F8AB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w:t>
            </w:r>
          </w:p>
        </w:tc>
        <w:tc>
          <w:tcPr>
            <w:tcW w:w="780" w:type="dxa"/>
            <w:tcBorders>
              <w:top w:val="nil"/>
              <w:left w:val="nil"/>
              <w:bottom w:val="nil"/>
              <w:right w:val="nil"/>
            </w:tcBorders>
            <w:shd w:val="clear" w:color="auto" w:fill="auto"/>
            <w:noWrap/>
            <w:vAlign w:val="bottom"/>
            <w:hideMark/>
          </w:tcPr>
          <w:p w14:paraId="0C3F8AB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51" w:type="dxa"/>
            <w:tcBorders>
              <w:top w:val="nil"/>
              <w:left w:val="nil"/>
              <w:bottom w:val="nil"/>
              <w:right w:val="nil"/>
            </w:tcBorders>
            <w:shd w:val="clear" w:color="auto" w:fill="auto"/>
            <w:noWrap/>
            <w:vAlign w:val="bottom"/>
            <w:hideMark/>
          </w:tcPr>
          <w:p w14:paraId="0C3F8AB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23" w:type="dxa"/>
            <w:tcBorders>
              <w:top w:val="nil"/>
              <w:left w:val="nil"/>
              <w:bottom w:val="nil"/>
              <w:right w:val="nil"/>
            </w:tcBorders>
            <w:shd w:val="clear" w:color="auto" w:fill="auto"/>
            <w:noWrap/>
            <w:vAlign w:val="bottom"/>
            <w:hideMark/>
          </w:tcPr>
          <w:p w14:paraId="0C3F8AB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761" w:type="dxa"/>
            <w:tcBorders>
              <w:top w:val="nil"/>
              <w:left w:val="nil"/>
              <w:bottom w:val="nil"/>
              <w:right w:val="nil"/>
            </w:tcBorders>
            <w:shd w:val="clear" w:color="auto" w:fill="auto"/>
            <w:noWrap/>
            <w:vAlign w:val="bottom"/>
            <w:hideMark/>
          </w:tcPr>
          <w:p w14:paraId="0C3F8AC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911" w:type="dxa"/>
            <w:tcBorders>
              <w:top w:val="nil"/>
              <w:left w:val="nil"/>
              <w:bottom w:val="nil"/>
              <w:right w:val="nil"/>
            </w:tcBorders>
            <w:shd w:val="clear" w:color="000000" w:fill="F2DCDB"/>
            <w:noWrap/>
            <w:vAlign w:val="bottom"/>
            <w:hideMark/>
          </w:tcPr>
          <w:p w14:paraId="0C3F8AC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37%</w:t>
            </w:r>
          </w:p>
        </w:tc>
        <w:tc>
          <w:tcPr>
            <w:tcW w:w="911" w:type="dxa"/>
            <w:tcBorders>
              <w:top w:val="nil"/>
              <w:left w:val="nil"/>
              <w:bottom w:val="nil"/>
              <w:right w:val="single" w:sz="4" w:space="0" w:color="auto"/>
            </w:tcBorders>
            <w:shd w:val="clear" w:color="000000" w:fill="F2DCDB"/>
            <w:noWrap/>
            <w:vAlign w:val="bottom"/>
            <w:hideMark/>
          </w:tcPr>
          <w:p w14:paraId="0C3F8AC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63%</w:t>
            </w:r>
          </w:p>
        </w:tc>
        <w:tc>
          <w:tcPr>
            <w:tcW w:w="723" w:type="dxa"/>
            <w:tcBorders>
              <w:top w:val="nil"/>
              <w:left w:val="nil"/>
              <w:bottom w:val="nil"/>
              <w:right w:val="nil"/>
            </w:tcBorders>
            <w:shd w:val="clear" w:color="auto" w:fill="auto"/>
            <w:noWrap/>
            <w:vAlign w:val="bottom"/>
            <w:hideMark/>
          </w:tcPr>
          <w:p w14:paraId="0C3F8AC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917" w:type="dxa"/>
            <w:tcBorders>
              <w:top w:val="nil"/>
              <w:left w:val="nil"/>
              <w:bottom w:val="nil"/>
              <w:right w:val="nil"/>
            </w:tcBorders>
            <w:shd w:val="clear" w:color="auto" w:fill="auto"/>
            <w:noWrap/>
            <w:vAlign w:val="bottom"/>
            <w:hideMark/>
          </w:tcPr>
          <w:p w14:paraId="0C3F8AC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16%</w:t>
            </w:r>
          </w:p>
        </w:tc>
        <w:tc>
          <w:tcPr>
            <w:tcW w:w="723" w:type="dxa"/>
            <w:tcBorders>
              <w:top w:val="nil"/>
              <w:left w:val="nil"/>
              <w:bottom w:val="nil"/>
              <w:right w:val="nil"/>
            </w:tcBorders>
            <w:shd w:val="clear" w:color="auto" w:fill="auto"/>
            <w:noWrap/>
            <w:vAlign w:val="bottom"/>
            <w:hideMark/>
          </w:tcPr>
          <w:p w14:paraId="0C3F8AC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88" w:type="dxa"/>
            <w:tcBorders>
              <w:top w:val="nil"/>
              <w:left w:val="nil"/>
              <w:bottom w:val="nil"/>
              <w:right w:val="nil"/>
            </w:tcBorders>
            <w:shd w:val="clear" w:color="auto" w:fill="auto"/>
            <w:noWrap/>
            <w:vAlign w:val="bottom"/>
            <w:hideMark/>
          </w:tcPr>
          <w:p w14:paraId="0C3F8AC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1" w:type="dxa"/>
            <w:tcBorders>
              <w:top w:val="nil"/>
              <w:left w:val="nil"/>
              <w:bottom w:val="nil"/>
              <w:right w:val="nil"/>
            </w:tcBorders>
            <w:shd w:val="clear" w:color="000000" w:fill="F2DCDB"/>
            <w:noWrap/>
            <w:vAlign w:val="bottom"/>
            <w:hideMark/>
          </w:tcPr>
          <w:p w14:paraId="0C3F8AC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37%</w:t>
            </w:r>
          </w:p>
        </w:tc>
        <w:tc>
          <w:tcPr>
            <w:tcW w:w="911" w:type="dxa"/>
            <w:tcBorders>
              <w:top w:val="nil"/>
              <w:left w:val="nil"/>
              <w:bottom w:val="nil"/>
              <w:right w:val="single" w:sz="4" w:space="0" w:color="auto"/>
            </w:tcBorders>
            <w:shd w:val="clear" w:color="000000" w:fill="F2DCDB"/>
            <w:noWrap/>
            <w:vAlign w:val="bottom"/>
            <w:hideMark/>
          </w:tcPr>
          <w:p w14:paraId="0C3F8AC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63%</w:t>
            </w:r>
          </w:p>
        </w:tc>
      </w:tr>
      <w:tr w:rsidR="00B6457B" w:rsidRPr="00393ABA" w14:paraId="0C3F8ADA" w14:textId="77777777" w:rsidTr="00605DDA">
        <w:trPr>
          <w:trHeight w:val="20"/>
        </w:trPr>
        <w:tc>
          <w:tcPr>
            <w:tcW w:w="1406" w:type="dxa"/>
            <w:vMerge w:val="restart"/>
            <w:tcBorders>
              <w:top w:val="nil"/>
              <w:left w:val="single" w:sz="4" w:space="0" w:color="auto"/>
              <w:bottom w:val="nil"/>
              <w:right w:val="nil"/>
            </w:tcBorders>
            <w:shd w:val="clear" w:color="000000" w:fill="F2F2F2"/>
            <w:noWrap/>
            <w:vAlign w:val="center"/>
            <w:hideMark/>
          </w:tcPr>
          <w:p w14:paraId="0C3F8AC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Wet Tropics</w:t>
            </w:r>
          </w:p>
        </w:tc>
        <w:tc>
          <w:tcPr>
            <w:tcW w:w="875" w:type="dxa"/>
            <w:tcBorders>
              <w:top w:val="nil"/>
              <w:left w:val="single" w:sz="4" w:space="0" w:color="auto"/>
              <w:bottom w:val="nil"/>
              <w:right w:val="single" w:sz="4" w:space="0" w:color="auto"/>
            </w:tcBorders>
            <w:shd w:val="clear" w:color="000000" w:fill="F2F2F2"/>
            <w:noWrap/>
            <w:vAlign w:val="center"/>
            <w:hideMark/>
          </w:tcPr>
          <w:p w14:paraId="0C3F8AC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AC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31949</w:t>
            </w:r>
          </w:p>
        </w:tc>
        <w:tc>
          <w:tcPr>
            <w:tcW w:w="722" w:type="dxa"/>
            <w:tcBorders>
              <w:top w:val="nil"/>
              <w:left w:val="nil"/>
              <w:bottom w:val="nil"/>
              <w:right w:val="nil"/>
            </w:tcBorders>
            <w:shd w:val="clear" w:color="auto" w:fill="auto"/>
            <w:noWrap/>
            <w:vAlign w:val="bottom"/>
            <w:hideMark/>
          </w:tcPr>
          <w:p w14:paraId="0C3F8AC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7225</w:t>
            </w:r>
          </w:p>
        </w:tc>
        <w:tc>
          <w:tcPr>
            <w:tcW w:w="780" w:type="dxa"/>
            <w:tcBorders>
              <w:top w:val="nil"/>
              <w:left w:val="nil"/>
              <w:bottom w:val="nil"/>
              <w:right w:val="nil"/>
            </w:tcBorders>
            <w:shd w:val="clear" w:color="auto" w:fill="auto"/>
            <w:noWrap/>
            <w:vAlign w:val="bottom"/>
            <w:hideMark/>
          </w:tcPr>
          <w:p w14:paraId="0C3F8AC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4441</w:t>
            </w:r>
          </w:p>
        </w:tc>
        <w:tc>
          <w:tcPr>
            <w:tcW w:w="751" w:type="dxa"/>
            <w:tcBorders>
              <w:top w:val="nil"/>
              <w:left w:val="nil"/>
              <w:bottom w:val="nil"/>
              <w:right w:val="nil"/>
            </w:tcBorders>
            <w:shd w:val="clear" w:color="auto" w:fill="auto"/>
            <w:noWrap/>
            <w:vAlign w:val="bottom"/>
            <w:hideMark/>
          </w:tcPr>
          <w:p w14:paraId="0C3F8AC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2209</w:t>
            </w:r>
          </w:p>
        </w:tc>
        <w:tc>
          <w:tcPr>
            <w:tcW w:w="723" w:type="dxa"/>
            <w:tcBorders>
              <w:top w:val="nil"/>
              <w:left w:val="nil"/>
              <w:bottom w:val="nil"/>
              <w:right w:val="nil"/>
            </w:tcBorders>
            <w:shd w:val="clear" w:color="auto" w:fill="auto"/>
            <w:noWrap/>
            <w:vAlign w:val="bottom"/>
            <w:hideMark/>
          </w:tcPr>
          <w:p w14:paraId="0C3F8AD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1992</w:t>
            </w:r>
          </w:p>
        </w:tc>
        <w:tc>
          <w:tcPr>
            <w:tcW w:w="761" w:type="dxa"/>
            <w:tcBorders>
              <w:top w:val="nil"/>
              <w:left w:val="nil"/>
              <w:bottom w:val="nil"/>
              <w:right w:val="nil"/>
            </w:tcBorders>
            <w:shd w:val="clear" w:color="auto" w:fill="auto"/>
            <w:noWrap/>
            <w:vAlign w:val="bottom"/>
            <w:hideMark/>
          </w:tcPr>
          <w:p w14:paraId="0C3F8AD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3980</w:t>
            </w:r>
          </w:p>
        </w:tc>
        <w:tc>
          <w:tcPr>
            <w:tcW w:w="911" w:type="dxa"/>
            <w:tcBorders>
              <w:top w:val="nil"/>
              <w:left w:val="nil"/>
              <w:bottom w:val="nil"/>
              <w:right w:val="nil"/>
            </w:tcBorders>
            <w:shd w:val="clear" w:color="000000" w:fill="F2DCDB"/>
            <w:noWrap/>
            <w:vAlign w:val="bottom"/>
            <w:hideMark/>
          </w:tcPr>
          <w:p w14:paraId="0C3F8AD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19847</w:t>
            </w:r>
          </w:p>
        </w:tc>
        <w:tc>
          <w:tcPr>
            <w:tcW w:w="911" w:type="dxa"/>
            <w:tcBorders>
              <w:top w:val="nil"/>
              <w:left w:val="nil"/>
              <w:bottom w:val="nil"/>
              <w:right w:val="single" w:sz="4" w:space="0" w:color="auto"/>
            </w:tcBorders>
            <w:shd w:val="clear" w:color="000000" w:fill="F2DCDB"/>
            <w:noWrap/>
            <w:vAlign w:val="bottom"/>
            <w:hideMark/>
          </w:tcPr>
          <w:p w14:paraId="0C3F8AD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12102</w:t>
            </w:r>
          </w:p>
        </w:tc>
        <w:tc>
          <w:tcPr>
            <w:tcW w:w="723" w:type="dxa"/>
            <w:tcBorders>
              <w:top w:val="nil"/>
              <w:left w:val="nil"/>
              <w:bottom w:val="nil"/>
              <w:right w:val="nil"/>
            </w:tcBorders>
            <w:shd w:val="clear" w:color="auto" w:fill="auto"/>
            <w:noWrap/>
            <w:vAlign w:val="bottom"/>
            <w:hideMark/>
          </w:tcPr>
          <w:p w14:paraId="0C3F8AD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12022</w:t>
            </w:r>
          </w:p>
        </w:tc>
        <w:tc>
          <w:tcPr>
            <w:tcW w:w="917" w:type="dxa"/>
            <w:tcBorders>
              <w:top w:val="nil"/>
              <w:left w:val="nil"/>
              <w:bottom w:val="nil"/>
              <w:right w:val="nil"/>
            </w:tcBorders>
            <w:shd w:val="clear" w:color="auto" w:fill="auto"/>
            <w:noWrap/>
            <w:vAlign w:val="bottom"/>
            <w:hideMark/>
          </w:tcPr>
          <w:p w14:paraId="0C3F8AD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5332</w:t>
            </w:r>
          </w:p>
        </w:tc>
        <w:tc>
          <w:tcPr>
            <w:tcW w:w="723" w:type="dxa"/>
            <w:tcBorders>
              <w:top w:val="nil"/>
              <w:left w:val="nil"/>
              <w:bottom w:val="nil"/>
              <w:right w:val="nil"/>
            </w:tcBorders>
            <w:shd w:val="clear" w:color="auto" w:fill="auto"/>
            <w:noWrap/>
            <w:vAlign w:val="bottom"/>
            <w:hideMark/>
          </w:tcPr>
          <w:p w14:paraId="0C3F8AD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2458</w:t>
            </w:r>
          </w:p>
        </w:tc>
        <w:tc>
          <w:tcPr>
            <w:tcW w:w="988" w:type="dxa"/>
            <w:tcBorders>
              <w:top w:val="nil"/>
              <w:left w:val="nil"/>
              <w:bottom w:val="nil"/>
              <w:right w:val="nil"/>
            </w:tcBorders>
            <w:shd w:val="clear" w:color="auto" w:fill="auto"/>
            <w:noWrap/>
            <w:vAlign w:val="bottom"/>
            <w:hideMark/>
          </w:tcPr>
          <w:p w14:paraId="0C3F8AD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26</w:t>
            </w:r>
          </w:p>
        </w:tc>
        <w:tc>
          <w:tcPr>
            <w:tcW w:w="911" w:type="dxa"/>
            <w:tcBorders>
              <w:top w:val="nil"/>
              <w:left w:val="nil"/>
              <w:bottom w:val="nil"/>
              <w:right w:val="nil"/>
            </w:tcBorders>
            <w:shd w:val="clear" w:color="000000" w:fill="F2DCDB"/>
            <w:noWrap/>
            <w:vAlign w:val="bottom"/>
            <w:hideMark/>
          </w:tcPr>
          <w:p w14:paraId="0C3F8AD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19838</w:t>
            </w:r>
          </w:p>
        </w:tc>
        <w:tc>
          <w:tcPr>
            <w:tcW w:w="911" w:type="dxa"/>
            <w:tcBorders>
              <w:top w:val="nil"/>
              <w:left w:val="nil"/>
              <w:bottom w:val="nil"/>
              <w:right w:val="single" w:sz="4" w:space="0" w:color="auto"/>
            </w:tcBorders>
            <w:shd w:val="clear" w:color="000000" w:fill="F2DCDB"/>
            <w:noWrap/>
            <w:vAlign w:val="bottom"/>
            <w:hideMark/>
          </w:tcPr>
          <w:p w14:paraId="0C3F8AD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12111</w:t>
            </w:r>
          </w:p>
        </w:tc>
      </w:tr>
      <w:tr w:rsidR="00B6457B" w:rsidRPr="00393ABA" w14:paraId="0C3F8AEB" w14:textId="77777777" w:rsidTr="00605DDA">
        <w:trPr>
          <w:trHeight w:val="20"/>
        </w:trPr>
        <w:tc>
          <w:tcPr>
            <w:tcW w:w="1406" w:type="dxa"/>
            <w:vMerge/>
            <w:tcBorders>
              <w:top w:val="nil"/>
              <w:left w:val="single" w:sz="4" w:space="0" w:color="auto"/>
              <w:bottom w:val="nil"/>
              <w:right w:val="nil"/>
            </w:tcBorders>
            <w:vAlign w:val="center"/>
            <w:hideMark/>
          </w:tcPr>
          <w:p w14:paraId="0C3F8ADB"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single" w:sz="4" w:space="0" w:color="auto"/>
              <w:bottom w:val="nil"/>
              <w:right w:val="single" w:sz="4" w:space="0" w:color="auto"/>
            </w:tcBorders>
            <w:shd w:val="clear" w:color="000000" w:fill="F2F2F2"/>
            <w:noWrap/>
            <w:vAlign w:val="center"/>
            <w:hideMark/>
          </w:tcPr>
          <w:p w14:paraId="0C3F8AD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nil"/>
              <w:right w:val="single" w:sz="4" w:space="0" w:color="auto"/>
            </w:tcBorders>
            <w:shd w:val="clear" w:color="000000" w:fill="F2F2F2"/>
            <w:noWrap/>
            <w:vAlign w:val="bottom"/>
            <w:hideMark/>
          </w:tcPr>
          <w:p w14:paraId="0C3F8AD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nil"/>
              <w:right w:val="nil"/>
            </w:tcBorders>
            <w:shd w:val="clear" w:color="auto" w:fill="auto"/>
            <w:noWrap/>
            <w:vAlign w:val="bottom"/>
            <w:hideMark/>
          </w:tcPr>
          <w:p w14:paraId="0C3F8AD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23%</w:t>
            </w:r>
          </w:p>
        </w:tc>
        <w:tc>
          <w:tcPr>
            <w:tcW w:w="780" w:type="dxa"/>
            <w:tcBorders>
              <w:top w:val="nil"/>
              <w:left w:val="nil"/>
              <w:bottom w:val="nil"/>
              <w:right w:val="nil"/>
            </w:tcBorders>
            <w:shd w:val="clear" w:color="auto" w:fill="auto"/>
            <w:noWrap/>
            <w:vAlign w:val="bottom"/>
            <w:hideMark/>
          </w:tcPr>
          <w:p w14:paraId="0C3F8AD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14%</w:t>
            </w:r>
          </w:p>
        </w:tc>
        <w:tc>
          <w:tcPr>
            <w:tcW w:w="751" w:type="dxa"/>
            <w:tcBorders>
              <w:top w:val="nil"/>
              <w:left w:val="nil"/>
              <w:bottom w:val="nil"/>
              <w:right w:val="nil"/>
            </w:tcBorders>
            <w:shd w:val="clear" w:color="auto" w:fill="auto"/>
            <w:noWrap/>
            <w:vAlign w:val="bottom"/>
            <w:hideMark/>
          </w:tcPr>
          <w:p w14:paraId="0C3F8AE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723" w:type="dxa"/>
            <w:tcBorders>
              <w:top w:val="nil"/>
              <w:left w:val="nil"/>
              <w:bottom w:val="nil"/>
              <w:right w:val="nil"/>
            </w:tcBorders>
            <w:shd w:val="clear" w:color="auto" w:fill="auto"/>
            <w:noWrap/>
            <w:vAlign w:val="bottom"/>
            <w:hideMark/>
          </w:tcPr>
          <w:p w14:paraId="0C3F8AE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61" w:type="dxa"/>
            <w:tcBorders>
              <w:top w:val="nil"/>
              <w:left w:val="nil"/>
              <w:bottom w:val="nil"/>
              <w:right w:val="nil"/>
            </w:tcBorders>
            <w:shd w:val="clear" w:color="auto" w:fill="auto"/>
            <w:noWrap/>
            <w:vAlign w:val="bottom"/>
            <w:hideMark/>
          </w:tcPr>
          <w:p w14:paraId="0C3F8AE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911" w:type="dxa"/>
            <w:tcBorders>
              <w:top w:val="nil"/>
              <w:left w:val="nil"/>
              <w:bottom w:val="nil"/>
              <w:right w:val="nil"/>
            </w:tcBorders>
            <w:shd w:val="clear" w:color="000000" w:fill="F2DCDB"/>
            <w:noWrap/>
            <w:vAlign w:val="bottom"/>
            <w:hideMark/>
          </w:tcPr>
          <w:p w14:paraId="0C3F8AE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62%</w:t>
            </w:r>
          </w:p>
        </w:tc>
        <w:tc>
          <w:tcPr>
            <w:tcW w:w="911" w:type="dxa"/>
            <w:tcBorders>
              <w:top w:val="nil"/>
              <w:left w:val="nil"/>
              <w:bottom w:val="nil"/>
              <w:right w:val="single" w:sz="4" w:space="0" w:color="auto"/>
            </w:tcBorders>
            <w:shd w:val="clear" w:color="000000" w:fill="F2DCDB"/>
            <w:noWrap/>
            <w:vAlign w:val="bottom"/>
            <w:hideMark/>
          </w:tcPr>
          <w:p w14:paraId="0C3F8AE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38%</w:t>
            </w:r>
          </w:p>
        </w:tc>
        <w:tc>
          <w:tcPr>
            <w:tcW w:w="723" w:type="dxa"/>
            <w:tcBorders>
              <w:top w:val="nil"/>
              <w:left w:val="nil"/>
              <w:bottom w:val="nil"/>
              <w:right w:val="nil"/>
            </w:tcBorders>
            <w:shd w:val="clear" w:color="auto" w:fill="auto"/>
            <w:noWrap/>
            <w:vAlign w:val="bottom"/>
            <w:hideMark/>
          </w:tcPr>
          <w:p w14:paraId="0C3F8AE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38%</w:t>
            </w:r>
          </w:p>
        </w:tc>
        <w:tc>
          <w:tcPr>
            <w:tcW w:w="917" w:type="dxa"/>
            <w:tcBorders>
              <w:top w:val="nil"/>
              <w:left w:val="nil"/>
              <w:bottom w:val="nil"/>
              <w:right w:val="nil"/>
            </w:tcBorders>
            <w:shd w:val="clear" w:color="auto" w:fill="auto"/>
            <w:noWrap/>
            <w:vAlign w:val="bottom"/>
            <w:hideMark/>
          </w:tcPr>
          <w:p w14:paraId="0C3F8AE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723" w:type="dxa"/>
            <w:tcBorders>
              <w:top w:val="nil"/>
              <w:left w:val="nil"/>
              <w:bottom w:val="nil"/>
              <w:right w:val="nil"/>
            </w:tcBorders>
            <w:shd w:val="clear" w:color="auto" w:fill="auto"/>
            <w:noWrap/>
            <w:vAlign w:val="bottom"/>
            <w:hideMark/>
          </w:tcPr>
          <w:p w14:paraId="0C3F8AE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988" w:type="dxa"/>
            <w:tcBorders>
              <w:top w:val="nil"/>
              <w:left w:val="nil"/>
              <w:bottom w:val="nil"/>
              <w:right w:val="nil"/>
            </w:tcBorders>
            <w:shd w:val="clear" w:color="auto" w:fill="auto"/>
            <w:noWrap/>
            <w:vAlign w:val="bottom"/>
            <w:hideMark/>
          </w:tcPr>
          <w:p w14:paraId="0C3F8AE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1" w:type="dxa"/>
            <w:tcBorders>
              <w:top w:val="nil"/>
              <w:left w:val="nil"/>
              <w:bottom w:val="nil"/>
              <w:right w:val="nil"/>
            </w:tcBorders>
            <w:shd w:val="clear" w:color="000000" w:fill="F2DCDB"/>
            <w:noWrap/>
            <w:vAlign w:val="bottom"/>
            <w:hideMark/>
          </w:tcPr>
          <w:p w14:paraId="0C3F8AE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62%</w:t>
            </w:r>
          </w:p>
        </w:tc>
        <w:tc>
          <w:tcPr>
            <w:tcW w:w="911" w:type="dxa"/>
            <w:tcBorders>
              <w:top w:val="nil"/>
              <w:left w:val="nil"/>
              <w:bottom w:val="nil"/>
              <w:right w:val="single" w:sz="4" w:space="0" w:color="auto"/>
            </w:tcBorders>
            <w:shd w:val="clear" w:color="000000" w:fill="F2DCDB"/>
            <w:noWrap/>
            <w:vAlign w:val="bottom"/>
            <w:hideMark/>
          </w:tcPr>
          <w:p w14:paraId="0C3F8AE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38%</w:t>
            </w:r>
          </w:p>
        </w:tc>
      </w:tr>
      <w:tr w:rsidR="00B6457B" w:rsidRPr="00393ABA" w14:paraId="0C3F8AFC" w14:textId="77777777" w:rsidTr="00605DDA">
        <w:trPr>
          <w:trHeight w:val="20"/>
        </w:trPr>
        <w:tc>
          <w:tcPr>
            <w:tcW w:w="1406" w:type="dxa"/>
            <w:vMerge w:val="restart"/>
            <w:tcBorders>
              <w:top w:val="nil"/>
              <w:left w:val="single" w:sz="4" w:space="0" w:color="auto"/>
              <w:bottom w:val="nil"/>
              <w:right w:val="nil"/>
            </w:tcBorders>
            <w:shd w:val="clear" w:color="000000" w:fill="F2F2F2"/>
            <w:noWrap/>
            <w:vAlign w:val="center"/>
            <w:hideMark/>
          </w:tcPr>
          <w:p w14:paraId="0C3F8AE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Burdekin</w:t>
            </w:r>
          </w:p>
        </w:tc>
        <w:tc>
          <w:tcPr>
            <w:tcW w:w="875" w:type="dxa"/>
            <w:tcBorders>
              <w:top w:val="nil"/>
              <w:left w:val="single" w:sz="4" w:space="0" w:color="auto"/>
              <w:bottom w:val="nil"/>
              <w:right w:val="single" w:sz="4" w:space="0" w:color="auto"/>
            </w:tcBorders>
            <w:shd w:val="clear" w:color="000000" w:fill="F2F2F2"/>
            <w:noWrap/>
            <w:vAlign w:val="center"/>
            <w:hideMark/>
          </w:tcPr>
          <w:p w14:paraId="0C3F8AE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AE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46967</w:t>
            </w:r>
          </w:p>
        </w:tc>
        <w:tc>
          <w:tcPr>
            <w:tcW w:w="722" w:type="dxa"/>
            <w:tcBorders>
              <w:top w:val="nil"/>
              <w:left w:val="nil"/>
              <w:bottom w:val="nil"/>
              <w:right w:val="nil"/>
            </w:tcBorders>
            <w:shd w:val="clear" w:color="auto" w:fill="auto"/>
            <w:noWrap/>
            <w:vAlign w:val="bottom"/>
            <w:hideMark/>
          </w:tcPr>
          <w:p w14:paraId="0C3F8AE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3498</w:t>
            </w:r>
          </w:p>
        </w:tc>
        <w:tc>
          <w:tcPr>
            <w:tcW w:w="780" w:type="dxa"/>
            <w:tcBorders>
              <w:top w:val="nil"/>
              <w:left w:val="nil"/>
              <w:bottom w:val="nil"/>
              <w:right w:val="nil"/>
            </w:tcBorders>
            <w:shd w:val="clear" w:color="auto" w:fill="auto"/>
            <w:noWrap/>
            <w:vAlign w:val="bottom"/>
            <w:hideMark/>
          </w:tcPr>
          <w:p w14:paraId="0C3F8AF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5418</w:t>
            </w:r>
          </w:p>
        </w:tc>
        <w:tc>
          <w:tcPr>
            <w:tcW w:w="751" w:type="dxa"/>
            <w:tcBorders>
              <w:top w:val="nil"/>
              <w:left w:val="nil"/>
              <w:bottom w:val="nil"/>
              <w:right w:val="nil"/>
            </w:tcBorders>
            <w:shd w:val="clear" w:color="auto" w:fill="auto"/>
            <w:noWrap/>
            <w:vAlign w:val="bottom"/>
            <w:hideMark/>
          </w:tcPr>
          <w:p w14:paraId="0C3F8AF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3642</w:t>
            </w:r>
          </w:p>
        </w:tc>
        <w:tc>
          <w:tcPr>
            <w:tcW w:w="723" w:type="dxa"/>
            <w:tcBorders>
              <w:top w:val="nil"/>
              <w:left w:val="nil"/>
              <w:bottom w:val="nil"/>
              <w:right w:val="nil"/>
            </w:tcBorders>
            <w:shd w:val="clear" w:color="auto" w:fill="auto"/>
            <w:noWrap/>
            <w:vAlign w:val="bottom"/>
            <w:hideMark/>
          </w:tcPr>
          <w:p w14:paraId="0C3F8AF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1295</w:t>
            </w:r>
          </w:p>
        </w:tc>
        <w:tc>
          <w:tcPr>
            <w:tcW w:w="761" w:type="dxa"/>
            <w:tcBorders>
              <w:top w:val="nil"/>
              <w:left w:val="nil"/>
              <w:bottom w:val="nil"/>
              <w:right w:val="nil"/>
            </w:tcBorders>
            <w:shd w:val="clear" w:color="auto" w:fill="auto"/>
            <w:noWrap/>
            <w:vAlign w:val="bottom"/>
            <w:hideMark/>
          </w:tcPr>
          <w:p w14:paraId="0C3F8AF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5694</w:t>
            </w:r>
          </w:p>
        </w:tc>
        <w:tc>
          <w:tcPr>
            <w:tcW w:w="911" w:type="dxa"/>
            <w:tcBorders>
              <w:top w:val="nil"/>
              <w:left w:val="nil"/>
              <w:bottom w:val="nil"/>
              <w:right w:val="nil"/>
            </w:tcBorders>
            <w:shd w:val="clear" w:color="000000" w:fill="F2DCDB"/>
            <w:noWrap/>
            <w:vAlign w:val="bottom"/>
            <w:hideMark/>
          </w:tcPr>
          <w:p w14:paraId="0C3F8AF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19547</w:t>
            </w:r>
          </w:p>
        </w:tc>
        <w:tc>
          <w:tcPr>
            <w:tcW w:w="911" w:type="dxa"/>
            <w:tcBorders>
              <w:top w:val="nil"/>
              <w:left w:val="nil"/>
              <w:bottom w:val="nil"/>
              <w:right w:val="single" w:sz="4" w:space="0" w:color="auto"/>
            </w:tcBorders>
            <w:shd w:val="clear" w:color="000000" w:fill="F2DCDB"/>
            <w:noWrap/>
            <w:vAlign w:val="bottom"/>
            <w:hideMark/>
          </w:tcPr>
          <w:p w14:paraId="0C3F8AF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27420</w:t>
            </w:r>
          </w:p>
        </w:tc>
        <w:tc>
          <w:tcPr>
            <w:tcW w:w="723" w:type="dxa"/>
            <w:tcBorders>
              <w:top w:val="nil"/>
              <w:left w:val="nil"/>
              <w:bottom w:val="nil"/>
              <w:right w:val="nil"/>
            </w:tcBorders>
            <w:shd w:val="clear" w:color="auto" w:fill="auto"/>
            <w:noWrap/>
            <w:vAlign w:val="bottom"/>
            <w:hideMark/>
          </w:tcPr>
          <w:p w14:paraId="0C3F8AF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9734</w:t>
            </w:r>
          </w:p>
        </w:tc>
        <w:tc>
          <w:tcPr>
            <w:tcW w:w="917" w:type="dxa"/>
            <w:tcBorders>
              <w:top w:val="nil"/>
              <w:left w:val="nil"/>
              <w:bottom w:val="nil"/>
              <w:right w:val="nil"/>
            </w:tcBorders>
            <w:shd w:val="clear" w:color="auto" w:fill="auto"/>
            <w:noWrap/>
            <w:vAlign w:val="bottom"/>
            <w:hideMark/>
          </w:tcPr>
          <w:p w14:paraId="0C3F8AF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6464</w:t>
            </w:r>
          </w:p>
        </w:tc>
        <w:tc>
          <w:tcPr>
            <w:tcW w:w="723" w:type="dxa"/>
            <w:tcBorders>
              <w:top w:val="nil"/>
              <w:left w:val="nil"/>
              <w:bottom w:val="nil"/>
              <w:right w:val="nil"/>
            </w:tcBorders>
            <w:shd w:val="clear" w:color="auto" w:fill="auto"/>
            <w:noWrap/>
            <w:vAlign w:val="bottom"/>
            <w:hideMark/>
          </w:tcPr>
          <w:p w14:paraId="0C3F8AF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3022</w:t>
            </w:r>
          </w:p>
        </w:tc>
        <w:tc>
          <w:tcPr>
            <w:tcW w:w="988" w:type="dxa"/>
            <w:tcBorders>
              <w:top w:val="nil"/>
              <w:left w:val="nil"/>
              <w:bottom w:val="nil"/>
              <w:right w:val="nil"/>
            </w:tcBorders>
            <w:shd w:val="clear" w:color="auto" w:fill="auto"/>
            <w:noWrap/>
            <w:vAlign w:val="bottom"/>
            <w:hideMark/>
          </w:tcPr>
          <w:p w14:paraId="0C3F8AF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306</w:t>
            </w:r>
          </w:p>
        </w:tc>
        <w:tc>
          <w:tcPr>
            <w:tcW w:w="911" w:type="dxa"/>
            <w:tcBorders>
              <w:top w:val="nil"/>
              <w:left w:val="nil"/>
              <w:bottom w:val="nil"/>
              <w:right w:val="nil"/>
            </w:tcBorders>
            <w:shd w:val="clear" w:color="000000" w:fill="F2DCDB"/>
            <w:noWrap/>
            <w:vAlign w:val="bottom"/>
            <w:hideMark/>
          </w:tcPr>
          <w:p w14:paraId="0C3F8AF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19526</w:t>
            </w:r>
          </w:p>
        </w:tc>
        <w:tc>
          <w:tcPr>
            <w:tcW w:w="911" w:type="dxa"/>
            <w:tcBorders>
              <w:top w:val="nil"/>
              <w:left w:val="nil"/>
              <w:bottom w:val="nil"/>
              <w:right w:val="single" w:sz="4" w:space="0" w:color="auto"/>
            </w:tcBorders>
            <w:shd w:val="clear" w:color="000000" w:fill="F2DCDB"/>
            <w:noWrap/>
            <w:vAlign w:val="bottom"/>
            <w:hideMark/>
          </w:tcPr>
          <w:p w14:paraId="0C3F8AF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27441</w:t>
            </w:r>
          </w:p>
        </w:tc>
      </w:tr>
      <w:tr w:rsidR="00B6457B" w:rsidRPr="00393ABA" w14:paraId="0C3F8B0D" w14:textId="77777777" w:rsidTr="00605DDA">
        <w:trPr>
          <w:trHeight w:val="20"/>
        </w:trPr>
        <w:tc>
          <w:tcPr>
            <w:tcW w:w="1406" w:type="dxa"/>
            <w:vMerge/>
            <w:tcBorders>
              <w:top w:val="nil"/>
              <w:left w:val="single" w:sz="4" w:space="0" w:color="auto"/>
              <w:bottom w:val="nil"/>
              <w:right w:val="nil"/>
            </w:tcBorders>
            <w:vAlign w:val="center"/>
            <w:hideMark/>
          </w:tcPr>
          <w:p w14:paraId="0C3F8AFD"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single" w:sz="4" w:space="0" w:color="auto"/>
              <w:bottom w:val="nil"/>
              <w:right w:val="single" w:sz="4" w:space="0" w:color="auto"/>
            </w:tcBorders>
            <w:shd w:val="clear" w:color="000000" w:fill="F2F2F2"/>
            <w:noWrap/>
            <w:vAlign w:val="center"/>
            <w:hideMark/>
          </w:tcPr>
          <w:p w14:paraId="0C3F8AF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nil"/>
              <w:right w:val="single" w:sz="4" w:space="0" w:color="auto"/>
            </w:tcBorders>
            <w:shd w:val="clear" w:color="000000" w:fill="F2F2F2"/>
            <w:noWrap/>
            <w:vAlign w:val="bottom"/>
            <w:hideMark/>
          </w:tcPr>
          <w:p w14:paraId="0C3F8AF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nil"/>
              <w:right w:val="nil"/>
            </w:tcBorders>
            <w:shd w:val="clear" w:color="auto" w:fill="auto"/>
            <w:noWrap/>
            <w:vAlign w:val="bottom"/>
            <w:hideMark/>
          </w:tcPr>
          <w:p w14:paraId="0C3F8B0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780" w:type="dxa"/>
            <w:tcBorders>
              <w:top w:val="nil"/>
              <w:left w:val="nil"/>
              <w:bottom w:val="nil"/>
              <w:right w:val="nil"/>
            </w:tcBorders>
            <w:shd w:val="clear" w:color="auto" w:fill="auto"/>
            <w:noWrap/>
            <w:vAlign w:val="bottom"/>
            <w:hideMark/>
          </w:tcPr>
          <w:p w14:paraId="0C3F8B0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751" w:type="dxa"/>
            <w:tcBorders>
              <w:top w:val="nil"/>
              <w:left w:val="nil"/>
              <w:bottom w:val="nil"/>
              <w:right w:val="nil"/>
            </w:tcBorders>
            <w:shd w:val="clear" w:color="auto" w:fill="auto"/>
            <w:noWrap/>
            <w:vAlign w:val="bottom"/>
            <w:hideMark/>
          </w:tcPr>
          <w:p w14:paraId="0C3F8B0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723" w:type="dxa"/>
            <w:tcBorders>
              <w:top w:val="nil"/>
              <w:left w:val="nil"/>
              <w:bottom w:val="nil"/>
              <w:right w:val="nil"/>
            </w:tcBorders>
            <w:shd w:val="clear" w:color="auto" w:fill="auto"/>
            <w:noWrap/>
            <w:vAlign w:val="bottom"/>
            <w:hideMark/>
          </w:tcPr>
          <w:p w14:paraId="0C3F8B0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761" w:type="dxa"/>
            <w:tcBorders>
              <w:top w:val="nil"/>
              <w:left w:val="nil"/>
              <w:bottom w:val="nil"/>
              <w:right w:val="nil"/>
            </w:tcBorders>
            <w:shd w:val="clear" w:color="auto" w:fill="auto"/>
            <w:noWrap/>
            <w:vAlign w:val="bottom"/>
            <w:hideMark/>
          </w:tcPr>
          <w:p w14:paraId="0C3F8B0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911" w:type="dxa"/>
            <w:tcBorders>
              <w:top w:val="nil"/>
              <w:left w:val="nil"/>
              <w:bottom w:val="nil"/>
              <w:right w:val="nil"/>
            </w:tcBorders>
            <w:shd w:val="clear" w:color="000000" w:fill="F2DCDB"/>
            <w:noWrap/>
            <w:vAlign w:val="bottom"/>
            <w:hideMark/>
          </w:tcPr>
          <w:p w14:paraId="0C3F8B0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42%</w:t>
            </w:r>
          </w:p>
        </w:tc>
        <w:tc>
          <w:tcPr>
            <w:tcW w:w="911" w:type="dxa"/>
            <w:tcBorders>
              <w:top w:val="nil"/>
              <w:left w:val="nil"/>
              <w:bottom w:val="nil"/>
              <w:right w:val="single" w:sz="4" w:space="0" w:color="auto"/>
            </w:tcBorders>
            <w:shd w:val="clear" w:color="000000" w:fill="F2DCDB"/>
            <w:noWrap/>
            <w:vAlign w:val="bottom"/>
            <w:hideMark/>
          </w:tcPr>
          <w:p w14:paraId="0C3F8B0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58%</w:t>
            </w:r>
          </w:p>
        </w:tc>
        <w:tc>
          <w:tcPr>
            <w:tcW w:w="723" w:type="dxa"/>
            <w:tcBorders>
              <w:top w:val="nil"/>
              <w:left w:val="nil"/>
              <w:bottom w:val="nil"/>
              <w:right w:val="nil"/>
            </w:tcBorders>
            <w:shd w:val="clear" w:color="auto" w:fill="auto"/>
            <w:noWrap/>
            <w:vAlign w:val="bottom"/>
            <w:hideMark/>
          </w:tcPr>
          <w:p w14:paraId="0C3F8B0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21%</w:t>
            </w:r>
          </w:p>
        </w:tc>
        <w:tc>
          <w:tcPr>
            <w:tcW w:w="917" w:type="dxa"/>
            <w:tcBorders>
              <w:top w:val="nil"/>
              <w:left w:val="nil"/>
              <w:bottom w:val="nil"/>
              <w:right w:val="nil"/>
            </w:tcBorders>
            <w:shd w:val="clear" w:color="auto" w:fill="auto"/>
            <w:noWrap/>
            <w:vAlign w:val="bottom"/>
            <w:hideMark/>
          </w:tcPr>
          <w:p w14:paraId="0C3F8B0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14%</w:t>
            </w:r>
          </w:p>
        </w:tc>
        <w:tc>
          <w:tcPr>
            <w:tcW w:w="723" w:type="dxa"/>
            <w:tcBorders>
              <w:top w:val="nil"/>
              <w:left w:val="nil"/>
              <w:bottom w:val="nil"/>
              <w:right w:val="nil"/>
            </w:tcBorders>
            <w:shd w:val="clear" w:color="auto" w:fill="auto"/>
            <w:noWrap/>
            <w:vAlign w:val="bottom"/>
            <w:hideMark/>
          </w:tcPr>
          <w:p w14:paraId="0C3F8B0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988" w:type="dxa"/>
            <w:tcBorders>
              <w:top w:val="nil"/>
              <w:left w:val="nil"/>
              <w:bottom w:val="nil"/>
              <w:right w:val="nil"/>
            </w:tcBorders>
            <w:shd w:val="clear" w:color="auto" w:fill="auto"/>
            <w:noWrap/>
            <w:vAlign w:val="bottom"/>
            <w:hideMark/>
          </w:tcPr>
          <w:p w14:paraId="0C3F8B0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1" w:type="dxa"/>
            <w:tcBorders>
              <w:top w:val="nil"/>
              <w:left w:val="nil"/>
              <w:bottom w:val="nil"/>
              <w:right w:val="nil"/>
            </w:tcBorders>
            <w:shd w:val="clear" w:color="000000" w:fill="F2DCDB"/>
            <w:noWrap/>
            <w:vAlign w:val="bottom"/>
            <w:hideMark/>
          </w:tcPr>
          <w:p w14:paraId="0C3F8B0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42%</w:t>
            </w:r>
          </w:p>
        </w:tc>
        <w:tc>
          <w:tcPr>
            <w:tcW w:w="911" w:type="dxa"/>
            <w:tcBorders>
              <w:top w:val="nil"/>
              <w:left w:val="nil"/>
              <w:bottom w:val="nil"/>
              <w:right w:val="single" w:sz="4" w:space="0" w:color="auto"/>
            </w:tcBorders>
            <w:shd w:val="clear" w:color="000000" w:fill="F2DCDB"/>
            <w:noWrap/>
            <w:vAlign w:val="bottom"/>
            <w:hideMark/>
          </w:tcPr>
          <w:p w14:paraId="0C3F8B0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58%</w:t>
            </w:r>
          </w:p>
        </w:tc>
      </w:tr>
      <w:tr w:rsidR="00B6457B" w:rsidRPr="00393ABA" w14:paraId="0C3F8B1E" w14:textId="77777777" w:rsidTr="00605DDA">
        <w:trPr>
          <w:trHeight w:val="20"/>
        </w:trPr>
        <w:tc>
          <w:tcPr>
            <w:tcW w:w="1406" w:type="dxa"/>
            <w:vMerge w:val="restart"/>
            <w:tcBorders>
              <w:top w:val="nil"/>
              <w:left w:val="single" w:sz="4" w:space="0" w:color="auto"/>
              <w:bottom w:val="nil"/>
              <w:right w:val="single" w:sz="4" w:space="0" w:color="auto"/>
            </w:tcBorders>
            <w:shd w:val="clear" w:color="000000" w:fill="F2F2F2"/>
            <w:vAlign w:val="center"/>
            <w:hideMark/>
          </w:tcPr>
          <w:p w14:paraId="0C3F8B0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Mackay-Whitsundays</w:t>
            </w:r>
          </w:p>
        </w:tc>
        <w:tc>
          <w:tcPr>
            <w:tcW w:w="875" w:type="dxa"/>
            <w:tcBorders>
              <w:top w:val="nil"/>
              <w:left w:val="nil"/>
              <w:bottom w:val="nil"/>
              <w:right w:val="single" w:sz="4" w:space="0" w:color="auto"/>
            </w:tcBorders>
            <w:shd w:val="clear" w:color="000000" w:fill="F2F2F2"/>
            <w:noWrap/>
            <w:vAlign w:val="center"/>
            <w:hideMark/>
          </w:tcPr>
          <w:p w14:paraId="0C3F8B0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B1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48949</w:t>
            </w:r>
          </w:p>
        </w:tc>
        <w:tc>
          <w:tcPr>
            <w:tcW w:w="722" w:type="dxa"/>
            <w:tcBorders>
              <w:top w:val="nil"/>
              <w:left w:val="nil"/>
              <w:bottom w:val="nil"/>
              <w:right w:val="nil"/>
            </w:tcBorders>
            <w:shd w:val="clear" w:color="auto" w:fill="auto"/>
            <w:noWrap/>
            <w:vAlign w:val="bottom"/>
            <w:hideMark/>
          </w:tcPr>
          <w:p w14:paraId="0C3F8B1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2851</w:t>
            </w:r>
          </w:p>
        </w:tc>
        <w:tc>
          <w:tcPr>
            <w:tcW w:w="780" w:type="dxa"/>
            <w:tcBorders>
              <w:top w:val="nil"/>
              <w:left w:val="nil"/>
              <w:bottom w:val="nil"/>
              <w:right w:val="nil"/>
            </w:tcBorders>
            <w:shd w:val="clear" w:color="auto" w:fill="auto"/>
            <w:noWrap/>
            <w:vAlign w:val="bottom"/>
            <w:hideMark/>
          </w:tcPr>
          <w:p w14:paraId="0C3F8B1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2029</w:t>
            </w:r>
          </w:p>
        </w:tc>
        <w:tc>
          <w:tcPr>
            <w:tcW w:w="751" w:type="dxa"/>
            <w:tcBorders>
              <w:top w:val="nil"/>
              <w:left w:val="nil"/>
              <w:bottom w:val="nil"/>
              <w:right w:val="nil"/>
            </w:tcBorders>
            <w:shd w:val="clear" w:color="auto" w:fill="auto"/>
            <w:noWrap/>
            <w:vAlign w:val="bottom"/>
            <w:hideMark/>
          </w:tcPr>
          <w:p w14:paraId="0C3F8B1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3083</w:t>
            </w:r>
          </w:p>
        </w:tc>
        <w:tc>
          <w:tcPr>
            <w:tcW w:w="723" w:type="dxa"/>
            <w:tcBorders>
              <w:top w:val="nil"/>
              <w:left w:val="nil"/>
              <w:bottom w:val="nil"/>
              <w:right w:val="nil"/>
            </w:tcBorders>
            <w:shd w:val="clear" w:color="auto" w:fill="auto"/>
            <w:noWrap/>
            <w:vAlign w:val="bottom"/>
            <w:hideMark/>
          </w:tcPr>
          <w:p w14:paraId="0C3F8B1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4019</w:t>
            </w:r>
          </w:p>
        </w:tc>
        <w:tc>
          <w:tcPr>
            <w:tcW w:w="761" w:type="dxa"/>
            <w:tcBorders>
              <w:top w:val="nil"/>
              <w:left w:val="nil"/>
              <w:bottom w:val="nil"/>
              <w:right w:val="nil"/>
            </w:tcBorders>
            <w:shd w:val="clear" w:color="auto" w:fill="auto"/>
            <w:noWrap/>
            <w:vAlign w:val="bottom"/>
            <w:hideMark/>
          </w:tcPr>
          <w:p w14:paraId="0C3F8B1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10845</w:t>
            </w:r>
          </w:p>
        </w:tc>
        <w:tc>
          <w:tcPr>
            <w:tcW w:w="911" w:type="dxa"/>
            <w:tcBorders>
              <w:top w:val="nil"/>
              <w:left w:val="nil"/>
              <w:bottom w:val="nil"/>
              <w:right w:val="nil"/>
            </w:tcBorders>
            <w:shd w:val="clear" w:color="000000" w:fill="F2DCDB"/>
            <w:noWrap/>
            <w:vAlign w:val="bottom"/>
            <w:hideMark/>
          </w:tcPr>
          <w:p w14:paraId="0C3F8B1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22826</w:t>
            </w:r>
          </w:p>
        </w:tc>
        <w:tc>
          <w:tcPr>
            <w:tcW w:w="911" w:type="dxa"/>
            <w:tcBorders>
              <w:top w:val="nil"/>
              <w:left w:val="nil"/>
              <w:bottom w:val="nil"/>
              <w:right w:val="single" w:sz="4" w:space="0" w:color="auto"/>
            </w:tcBorders>
            <w:shd w:val="clear" w:color="000000" w:fill="F2DCDB"/>
            <w:noWrap/>
            <w:vAlign w:val="bottom"/>
            <w:hideMark/>
          </w:tcPr>
          <w:p w14:paraId="0C3F8B1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26123</w:t>
            </w:r>
          </w:p>
        </w:tc>
        <w:tc>
          <w:tcPr>
            <w:tcW w:w="723" w:type="dxa"/>
            <w:tcBorders>
              <w:top w:val="nil"/>
              <w:left w:val="nil"/>
              <w:bottom w:val="nil"/>
              <w:right w:val="nil"/>
            </w:tcBorders>
            <w:shd w:val="clear" w:color="auto" w:fill="auto"/>
            <w:noWrap/>
            <w:vAlign w:val="bottom"/>
            <w:hideMark/>
          </w:tcPr>
          <w:p w14:paraId="0C3F8B1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5210</w:t>
            </w:r>
          </w:p>
        </w:tc>
        <w:tc>
          <w:tcPr>
            <w:tcW w:w="917" w:type="dxa"/>
            <w:tcBorders>
              <w:top w:val="nil"/>
              <w:left w:val="nil"/>
              <w:bottom w:val="nil"/>
              <w:right w:val="nil"/>
            </w:tcBorders>
            <w:shd w:val="clear" w:color="auto" w:fill="auto"/>
            <w:noWrap/>
            <w:vAlign w:val="bottom"/>
            <w:hideMark/>
          </w:tcPr>
          <w:p w14:paraId="0C3F8B1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11918</w:t>
            </w:r>
          </w:p>
        </w:tc>
        <w:tc>
          <w:tcPr>
            <w:tcW w:w="723" w:type="dxa"/>
            <w:tcBorders>
              <w:top w:val="nil"/>
              <w:left w:val="nil"/>
              <w:bottom w:val="nil"/>
              <w:right w:val="nil"/>
            </w:tcBorders>
            <w:shd w:val="clear" w:color="auto" w:fill="auto"/>
            <w:noWrap/>
            <w:vAlign w:val="bottom"/>
            <w:hideMark/>
          </w:tcPr>
          <w:p w14:paraId="0C3F8B1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5532</w:t>
            </w:r>
          </w:p>
        </w:tc>
        <w:tc>
          <w:tcPr>
            <w:tcW w:w="988" w:type="dxa"/>
            <w:tcBorders>
              <w:top w:val="nil"/>
              <w:left w:val="nil"/>
              <w:bottom w:val="nil"/>
              <w:right w:val="nil"/>
            </w:tcBorders>
            <w:shd w:val="clear" w:color="auto" w:fill="auto"/>
            <w:noWrap/>
            <w:vAlign w:val="bottom"/>
            <w:hideMark/>
          </w:tcPr>
          <w:p w14:paraId="0C3F8B1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136</w:t>
            </w:r>
          </w:p>
        </w:tc>
        <w:tc>
          <w:tcPr>
            <w:tcW w:w="911" w:type="dxa"/>
            <w:tcBorders>
              <w:top w:val="nil"/>
              <w:left w:val="nil"/>
              <w:bottom w:val="nil"/>
              <w:right w:val="nil"/>
            </w:tcBorders>
            <w:shd w:val="clear" w:color="000000" w:fill="F2DCDB"/>
            <w:noWrap/>
            <w:vAlign w:val="bottom"/>
            <w:hideMark/>
          </w:tcPr>
          <w:p w14:paraId="0C3F8B1C"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22795</w:t>
            </w:r>
          </w:p>
        </w:tc>
        <w:tc>
          <w:tcPr>
            <w:tcW w:w="911" w:type="dxa"/>
            <w:tcBorders>
              <w:top w:val="nil"/>
              <w:left w:val="nil"/>
              <w:bottom w:val="nil"/>
              <w:right w:val="single" w:sz="4" w:space="0" w:color="auto"/>
            </w:tcBorders>
            <w:shd w:val="clear" w:color="000000" w:fill="F2DCDB"/>
            <w:noWrap/>
            <w:vAlign w:val="bottom"/>
            <w:hideMark/>
          </w:tcPr>
          <w:p w14:paraId="0C3F8B1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26154</w:t>
            </w:r>
          </w:p>
        </w:tc>
      </w:tr>
      <w:tr w:rsidR="00B6457B" w:rsidRPr="00393ABA" w14:paraId="0C3F8B2F" w14:textId="77777777" w:rsidTr="00605DDA">
        <w:trPr>
          <w:trHeight w:val="20"/>
        </w:trPr>
        <w:tc>
          <w:tcPr>
            <w:tcW w:w="1406" w:type="dxa"/>
            <w:vMerge/>
            <w:tcBorders>
              <w:top w:val="nil"/>
              <w:left w:val="single" w:sz="4" w:space="0" w:color="auto"/>
              <w:bottom w:val="nil"/>
              <w:right w:val="single" w:sz="4" w:space="0" w:color="auto"/>
            </w:tcBorders>
            <w:vAlign w:val="center"/>
            <w:hideMark/>
          </w:tcPr>
          <w:p w14:paraId="0C3F8B1F"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nil"/>
              <w:bottom w:val="nil"/>
              <w:right w:val="single" w:sz="4" w:space="0" w:color="auto"/>
            </w:tcBorders>
            <w:shd w:val="clear" w:color="000000" w:fill="F2F2F2"/>
            <w:noWrap/>
            <w:vAlign w:val="center"/>
            <w:hideMark/>
          </w:tcPr>
          <w:p w14:paraId="0C3F8B2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nil"/>
              <w:right w:val="single" w:sz="4" w:space="0" w:color="auto"/>
            </w:tcBorders>
            <w:shd w:val="clear" w:color="000000" w:fill="F2F2F2"/>
            <w:noWrap/>
            <w:vAlign w:val="bottom"/>
            <w:hideMark/>
          </w:tcPr>
          <w:p w14:paraId="0C3F8B2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nil"/>
              <w:right w:val="nil"/>
            </w:tcBorders>
            <w:shd w:val="clear" w:color="auto" w:fill="auto"/>
            <w:noWrap/>
            <w:vAlign w:val="bottom"/>
            <w:hideMark/>
          </w:tcPr>
          <w:p w14:paraId="0C3F8B2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80" w:type="dxa"/>
            <w:tcBorders>
              <w:top w:val="nil"/>
              <w:left w:val="nil"/>
              <w:bottom w:val="nil"/>
              <w:right w:val="nil"/>
            </w:tcBorders>
            <w:shd w:val="clear" w:color="auto" w:fill="auto"/>
            <w:noWrap/>
            <w:vAlign w:val="bottom"/>
            <w:hideMark/>
          </w:tcPr>
          <w:p w14:paraId="0C3F8B2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751" w:type="dxa"/>
            <w:tcBorders>
              <w:top w:val="nil"/>
              <w:left w:val="nil"/>
              <w:bottom w:val="nil"/>
              <w:right w:val="nil"/>
            </w:tcBorders>
            <w:shd w:val="clear" w:color="auto" w:fill="auto"/>
            <w:noWrap/>
            <w:vAlign w:val="bottom"/>
            <w:hideMark/>
          </w:tcPr>
          <w:p w14:paraId="0C3F8B2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23" w:type="dxa"/>
            <w:tcBorders>
              <w:top w:val="nil"/>
              <w:left w:val="nil"/>
              <w:bottom w:val="nil"/>
              <w:right w:val="nil"/>
            </w:tcBorders>
            <w:shd w:val="clear" w:color="auto" w:fill="auto"/>
            <w:noWrap/>
            <w:vAlign w:val="bottom"/>
            <w:hideMark/>
          </w:tcPr>
          <w:p w14:paraId="0C3F8B2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761" w:type="dxa"/>
            <w:tcBorders>
              <w:top w:val="nil"/>
              <w:left w:val="nil"/>
              <w:bottom w:val="nil"/>
              <w:right w:val="nil"/>
            </w:tcBorders>
            <w:shd w:val="clear" w:color="auto" w:fill="auto"/>
            <w:noWrap/>
            <w:vAlign w:val="bottom"/>
            <w:hideMark/>
          </w:tcPr>
          <w:p w14:paraId="0C3F8B2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22%</w:t>
            </w:r>
          </w:p>
        </w:tc>
        <w:tc>
          <w:tcPr>
            <w:tcW w:w="911" w:type="dxa"/>
            <w:tcBorders>
              <w:top w:val="nil"/>
              <w:left w:val="nil"/>
              <w:bottom w:val="nil"/>
              <w:right w:val="nil"/>
            </w:tcBorders>
            <w:shd w:val="clear" w:color="000000" w:fill="F2DCDB"/>
            <w:noWrap/>
            <w:vAlign w:val="bottom"/>
            <w:hideMark/>
          </w:tcPr>
          <w:p w14:paraId="0C3F8B2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47%</w:t>
            </w:r>
          </w:p>
        </w:tc>
        <w:tc>
          <w:tcPr>
            <w:tcW w:w="911" w:type="dxa"/>
            <w:tcBorders>
              <w:top w:val="nil"/>
              <w:left w:val="nil"/>
              <w:bottom w:val="nil"/>
              <w:right w:val="single" w:sz="4" w:space="0" w:color="auto"/>
            </w:tcBorders>
            <w:shd w:val="clear" w:color="000000" w:fill="F2DCDB"/>
            <w:noWrap/>
            <w:vAlign w:val="bottom"/>
            <w:hideMark/>
          </w:tcPr>
          <w:p w14:paraId="0C3F8B2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53%</w:t>
            </w:r>
          </w:p>
        </w:tc>
        <w:tc>
          <w:tcPr>
            <w:tcW w:w="723" w:type="dxa"/>
            <w:tcBorders>
              <w:top w:val="nil"/>
              <w:left w:val="nil"/>
              <w:bottom w:val="nil"/>
              <w:right w:val="nil"/>
            </w:tcBorders>
            <w:shd w:val="clear" w:color="auto" w:fill="auto"/>
            <w:noWrap/>
            <w:vAlign w:val="bottom"/>
            <w:hideMark/>
          </w:tcPr>
          <w:p w14:paraId="0C3F8B2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11%</w:t>
            </w:r>
          </w:p>
        </w:tc>
        <w:tc>
          <w:tcPr>
            <w:tcW w:w="917" w:type="dxa"/>
            <w:tcBorders>
              <w:top w:val="nil"/>
              <w:left w:val="nil"/>
              <w:bottom w:val="nil"/>
              <w:right w:val="nil"/>
            </w:tcBorders>
            <w:shd w:val="clear" w:color="auto" w:fill="auto"/>
            <w:noWrap/>
            <w:vAlign w:val="bottom"/>
            <w:hideMark/>
          </w:tcPr>
          <w:p w14:paraId="0C3F8B2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24%</w:t>
            </w:r>
          </w:p>
        </w:tc>
        <w:tc>
          <w:tcPr>
            <w:tcW w:w="723" w:type="dxa"/>
            <w:tcBorders>
              <w:top w:val="nil"/>
              <w:left w:val="nil"/>
              <w:bottom w:val="nil"/>
              <w:right w:val="nil"/>
            </w:tcBorders>
            <w:shd w:val="clear" w:color="auto" w:fill="auto"/>
            <w:noWrap/>
            <w:vAlign w:val="bottom"/>
            <w:hideMark/>
          </w:tcPr>
          <w:p w14:paraId="0C3F8B2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11%</w:t>
            </w:r>
          </w:p>
        </w:tc>
        <w:tc>
          <w:tcPr>
            <w:tcW w:w="988" w:type="dxa"/>
            <w:tcBorders>
              <w:top w:val="nil"/>
              <w:left w:val="nil"/>
              <w:bottom w:val="nil"/>
              <w:right w:val="nil"/>
            </w:tcBorders>
            <w:shd w:val="clear" w:color="auto" w:fill="auto"/>
            <w:noWrap/>
            <w:vAlign w:val="bottom"/>
            <w:hideMark/>
          </w:tcPr>
          <w:p w14:paraId="0C3F8B2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1" w:type="dxa"/>
            <w:tcBorders>
              <w:top w:val="nil"/>
              <w:left w:val="nil"/>
              <w:bottom w:val="nil"/>
              <w:right w:val="nil"/>
            </w:tcBorders>
            <w:shd w:val="clear" w:color="000000" w:fill="F2DCDB"/>
            <w:noWrap/>
            <w:vAlign w:val="bottom"/>
            <w:hideMark/>
          </w:tcPr>
          <w:p w14:paraId="0C3F8B2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47%</w:t>
            </w:r>
          </w:p>
        </w:tc>
        <w:tc>
          <w:tcPr>
            <w:tcW w:w="911" w:type="dxa"/>
            <w:tcBorders>
              <w:top w:val="nil"/>
              <w:left w:val="nil"/>
              <w:bottom w:val="nil"/>
              <w:right w:val="single" w:sz="4" w:space="0" w:color="auto"/>
            </w:tcBorders>
            <w:shd w:val="clear" w:color="000000" w:fill="F2DCDB"/>
            <w:noWrap/>
            <w:vAlign w:val="bottom"/>
            <w:hideMark/>
          </w:tcPr>
          <w:p w14:paraId="0C3F8B2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53%</w:t>
            </w:r>
          </w:p>
        </w:tc>
      </w:tr>
      <w:tr w:rsidR="00B6457B" w:rsidRPr="00393ABA" w14:paraId="0C3F8B40" w14:textId="77777777" w:rsidTr="00605DDA">
        <w:trPr>
          <w:trHeight w:val="20"/>
        </w:trPr>
        <w:tc>
          <w:tcPr>
            <w:tcW w:w="1406" w:type="dxa"/>
            <w:vMerge w:val="restart"/>
            <w:tcBorders>
              <w:top w:val="nil"/>
              <w:left w:val="single" w:sz="4" w:space="0" w:color="auto"/>
              <w:bottom w:val="nil"/>
              <w:right w:val="nil"/>
            </w:tcBorders>
            <w:shd w:val="clear" w:color="000000" w:fill="F2F2F2"/>
            <w:noWrap/>
            <w:vAlign w:val="center"/>
            <w:hideMark/>
          </w:tcPr>
          <w:p w14:paraId="0C3F8B3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Fitzroy</w:t>
            </w:r>
          </w:p>
        </w:tc>
        <w:tc>
          <w:tcPr>
            <w:tcW w:w="875" w:type="dxa"/>
            <w:tcBorders>
              <w:top w:val="nil"/>
              <w:left w:val="single" w:sz="4" w:space="0" w:color="auto"/>
              <w:bottom w:val="nil"/>
              <w:right w:val="single" w:sz="4" w:space="0" w:color="auto"/>
            </w:tcBorders>
            <w:shd w:val="clear" w:color="000000" w:fill="F2F2F2"/>
            <w:noWrap/>
            <w:vAlign w:val="center"/>
            <w:hideMark/>
          </w:tcPr>
          <w:p w14:paraId="0C3F8B3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B3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86860</w:t>
            </w:r>
          </w:p>
        </w:tc>
        <w:tc>
          <w:tcPr>
            <w:tcW w:w="722" w:type="dxa"/>
            <w:tcBorders>
              <w:top w:val="nil"/>
              <w:left w:val="nil"/>
              <w:bottom w:val="nil"/>
              <w:right w:val="nil"/>
            </w:tcBorders>
            <w:shd w:val="clear" w:color="auto" w:fill="auto"/>
            <w:noWrap/>
            <w:vAlign w:val="bottom"/>
            <w:hideMark/>
          </w:tcPr>
          <w:p w14:paraId="0C3F8B3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13259</w:t>
            </w:r>
          </w:p>
        </w:tc>
        <w:tc>
          <w:tcPr>
            <w:tcW w:w="780" w:type="dxa"/>
            <w:tcBorders>
              <w:top w:val="nil"/>
              <w:left w:val="nil"/>
              <w:bottom w:val="nil"/>
              <w:right w:val="nil"/>
            </w:tcBorders>
            <w:shd w:val="clear" w:color="auto" w:fill="auto"/>
            <w:noWrap/>
            <w:vAlign w:val="bottom"/>
            <w:hideMark/>
          </w:tcPr>
          <w:p w14:paraId="0C3F8B3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2089</w:t>
            </w:r>
          </w:p>
        </w:tc>
        <w:tc>
          <w:tcPr>
            <w:tcW w:w="751" w:type="dxa"/>
            <w:tcBorders>
              <w:top w:val="nil"/>
              <w:left w:val="nil"/>
              <w:bottom w:val="nil"/>
              <w:right w:val="nil"/>
            </w:tcBorders>
            <w:shd w:val="clear" w:color="auto" w:fill="auto"/>
            <w:noWrap/>
            <w:vAlign w:val="bottom"/>
            <w:hideMark/>
          </w:tcPr>
          <w:p w14:paraId="0C3F8B3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8797</w:t>
            </w:r>
          </w:p>
        </w:tc>
        <w:tc>
          <w:tcPr>
            <w:tcW w:w="723" w:type="dxa"/>
            <w:tcBorders>
              <w:top w:val="nil"/>
              <w:left w:val="nil"/>
              <w:bottom w:val="nil"/>
              <w:right w:val="nil"/>
            </w:tcBorders>
            <w:shd w:val="clear" w:color="auto" w:fill="auto"/>
            <w:noWrap/>
            <w:vAlign w:val="bottom"/>
            <w:hideMark/>
          </w:tcPr>
          <w:p w14:paraId="0C3F8B3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6368</w:t>
            </w:r>
          </w:p>
        </w:tc>
        <w:tc>
          <w:tcPr>
            <w:tcW w:w="761" w:type="dxa"/>
            <w:tcBorders>
              <w:top w:val="nil"/>
              <w:left w:val="nil"/>
              <w:bottom w:val="nil"/>
              <w:right w:val="nil"/>
            </w:tcBorders>
            <w:shd w:val="clear" w:color="auto" w:fill="auto"/>
            <w:noWrap/>
            <w:vAlign w:val="bottom"/>
            <w:hideMark/>
          </w:tcPr>
          <w:p w14:paraId="0C3F8B3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12154</w:t>
            </w:r>
          </w:p>
        </w:tc>
        <w:tc>
          <w:tcPr>
            <w:tcW w:w="911" w:type="dxa"/>
            <w:tcBorders>
              <w:top w:val="nil"/>
              <w:left w:val="nil"/>
              <w:bottom w:val="nil"/>
              <w:right w:val="nil"/>
            </w:tcBorders>
            <w:shd w:val="clear" w:color="000000" w:fill="F2DCDB"/>
            <w:noWrap/>
            <w:vAlign w:val="bottom"/>
            <w:hideMark/>
          </w:tcPr>
          <w:p w14:paraId="0C3F8B3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42666</w:t>
            </w:r>
          </w:p>
        </w:tc>
        <w:tc>
          <w:tcPr>
            <w:tcW w:w="911" w:type="dxa"/>
            <w:tcBorders>
              <w:top w:val="nil"/>
              <w:left w:val="nil"/>
              <w:bottom w:val="nil"/>
              <w:right w:val="single" w:sz="4" w:space="0" w:color="auto"/>
            </w:tcBorders>
            <w:shd w:val="clear" w:color="000000" w:fill="F2DCDB"/>
            <w:noWrap/>
            <w:vAlign w:val="bottom"/>
            <w:hideMark/>
          </w:tcPr>
          <w:p w14:paraId="0C3F8B3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44194</w:t>
            </w:r>
          </w:p>
        </w:tc>
        <w:tc>
          <w:tcPr>
            <w:tcW w:w="723" w:type="dxa"/>
            <w:tcBorders>
              <w:top w:val="nil"/>
              <w:left w:val="nil"/>
              <w:bottom w:val="nil"/>
              <w:right w:val="nil"/>
            </w:tcBorders>
            <w:shd w:val="clear" w:color="auto" w:fill="auto"/>
            <w:noWrap/>
            <w:vAlign w:val="bottom"/>
            <w:hideMark/>
          </w:tcPr>
          <w:p w14:paraId="0C3F8B3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16944</w:t>
            </w:r>
          </w:p>
        </w:tc>
        <w:tc>
          <w:tcPr>
            <w:tcW w:w="917" w:type="dxa"/>
            <w:tcBorders>
              <w:top w:val="nil"/>
              <w:left w:val="nil"/>
              <w:bottom w:val="nil"/>
              <w:right w:val="nil"/>
            </w:tcBorders>
            <w:shd w:val="clear" w:color="auto" w:fill="auto"/>
            <w:noWrap/>
            <w:vAlign w:val="bottom"/>
            <w:hideMark/>
          </w:tcPr>
          <w:p w14:paraId="0C3F8B3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19022</w:t>
            </w:r>
          </w:p>
        </w:tc>
        <w:tc>
          <w:tcPr>
            <w:tcW w:w="723" w:type="dxa"/>
            <w:tcBorders>
              <w:top w:val="nil"/>
              <w:left w:val="nil"/>
              <w:bottom w:val="nil"/>
              <w:right w:val="nil"/>
            </w:tcBorders>
            <w:shd w:val="clear" w:color="auto" w:fill="auto"/>
            <w:noWrap/>
            <w:vAlign w:val="bottom"/>
            <w:hideMark/>
          </w:tcPr>
          <w:p w14:paraId="0C3F8B3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6127</w:t>
            </w:r>
          </w:p>
        </w:tc>
        <w:tc>
          <w:tcPr>
            <w:tcW w:w="988" w:type="dxa"/>
            <w:tcBorders>
              <w:top w:val="nil"/>
              <w:left w:val="nil"/>
              <w:bottom w:val="nil"/>
              <w:right w:val="nil"/>
            </w:tcBorders>
            <w:shd w:val="clear" w:color="auto" w:fill="auto"/>
            <w:noWrap/>
            <w:vAlign w:val="bottom"/>
            <w:hideMark/>
          </w:tcPr>
          <w:p w14:paraId="0C3F8B3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581</w:t>
            </w:r>
          </w:p>
        </w:tc>
        <w:tc>
          <w:tcPr>
            <w:tcW w:w="911" w:type="dxa"/>
            <w:tcBorders>
              <w:top w:val="nil"/>
              <w:left w:val="nil"/>
              <w:bottom w:val="nil"/>
              <w:right w:val="nil"/>
            </w:tcBorders>
            <w:shd w:val="clear" w:color="000000" w:fill="F2DCDB"/>
            <w:noWrap/>
            <w:vAlign w:val="bottom"/>
            <w:hideMark/>
          </w:tcPr>
          <w:p w14:paraId="0C3F8B3E"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42674</w:t>
            </w:r>
          </w:p>
        </w:tc>
        <w:tc>
          <w:tcPr>
            <w:tcW w:w="911" w:type="dxa"/>
            <w:tcBorders>
              <w:top w:val="nil"/>
              <w:left w:val="nil"/>
              <w:bottom w:val="nil"/>
              <w:right w:val="single" w:sz="4" w:space="0" w:color="auto"/>
            </w:tcBorders>
            <w:shd w:val="clear" w:color="000000" w:fill="F2DCDB"/>
            <w:noWrap/>
            <w:vAlign w:val="bottom"/>
            <w:hideMark/>
          </w:tcPr>
          <w:p w14:paraId="0C3F8B3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44186</w:t>
            </w:r>
          </w:p>
        </w:tc>
      </w:tr>
      <w:tr w:rsidR="00B6457B" w:rsidRPr="00393ABA" w14:paraId="0C3F8B51" w14:textId="77777777" w:rsidTr="00605DDA">
        <w:trPr>
          <w:trHeight w:val="20"/>
        </w:trPr>
        <w:tc>
          <w:tcPr>
            <w:tcW w:w="1406" w:type="dxa"/>
            <w:vMerge/>
            <w:tcBorders>
              <w:top w:val="nil"/>
              <w:left w:val="single" w:sz="4" w:space="0" w:color="auto"/>
              <w:bottom w:val="nil"/>
              <w:right w:val="nil"/>
            </w:tcBorders>
            <w:vAlign w:val="center"/>
            <w:hideMark/>
          </w:tcPr>
          <w:p w14:paraId="0C3F8B41"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single" w:sz="4" w:space="0" w:color="auto"/>
              <w:bottom w:val="nil"/>
              <w:right w:val="single" w:sz="4" w:space="0" w:color="auto"/>
            </w:tcBorders>
            <w:shd w:val="clear" w:color="000000" w:fill="F2F2F2"/>
            <w:noWrap/>
            <w:vAlign w:val="center"/>
            <w:hideMark/>
          </w:tcPr>
          <w:p w14:paraId="0C3F8B4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nil"/>
              <w:right w:val="single" w:sz="4" w:space="0" w:color="auto"/>
            </w:tcBorders>
            <w:shd w:val="clear" w:color="000000" w:fill="F2F2F2"/>
            <w:noWrap/>
            <w:vAlign w:val="bottom"/>
            <w:hideMark/>
          </w:tcPr>
          <w:p w14:paraId="0C3F8B4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nil"/>
              <w:right w:val="nil"/>
            </w:tcBorders>
            <w:shd w:val="clear" w:color="auto" w:fill="auto"/>
            <w:noWrap/>
            <w:vAlign w:val="bottom"/>
            <w:hideMark/>
          </w:tcPr>
          <w:p w14:paraId="0C3F8B4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15%</w:t>
            </w:r>
          </w:p>
        </w:tc>
        <w:tc>
          <w:tcPr>
            <w:tcW w:w="780" w:type="dxa"/>
            <w:tcBorders>
              <w:top w:val="nil"/>
              <w:left w:val="nil"/>
              <w:bottom w:val="nil"/>
              <w:right w:val="nil"/>
            </w:tcBorders>
            <w:shd w:val="clear" w:color="auto" w:fill="auto"/>
            <w:noWrap/>
            <w:vAlign w:val="bottom"/>
            <w:hideMark/>
          </w:tcPr>
          <w:p w14:paraId="0C3F8B4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51" w:type="dxa"/>
            <w:tcBorders>
              <w:top w:val="nil"/>
              <w:left w:val="nil"/>
              <w:bottom w:val="nil"/>
              <w:right w:val="nil"/>
            </w:tcBorders>
            <w:shd w:val="clear" w:color="auto" w:fill="auto"/>
            <w:noWrap/>
            <w:vAlign w:val="bottom"/>
            <w:hideMark/>
          </w:tcPr>
          <w:p w14:paraId="0C3F8B4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w:t>
            </w:r>
          </w:p>
        </w:tc>
        <w:tc>
          <w:tcPr>
            <w:tcW w:w="723" w:type="dxa"/>
            <w:tcBorders>
              <w:top w:val="nil"/>
              <w:left w:val="nil"/>
              <w:bottom w:val="nil"/>
              <w:right w:val="nil"/>
            </w:tcBorders>
            <w:shd w:val="clear" w:color="auto" w:fill="auto"/>
            <w:noWrap/>
            <w:vAlign w:val="bottom"/>
            <w:hideMark/>
          </w:tcPr>
          <w:p w14:paraId="0C3F8B4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761" w:type="dxa"/>
            <w:tcBorders>
              <w:top w:val="nil"/>
              <w:left w:val="nil"/>
              <w:bottom w:val="nil"/>
              <w:right w:val="nil"/>
            </w:tcBorders>
            <w:shd w:val="clear" w:color="auto" w:fill="auto"/>
            <w:noWrap/>
            <w:vAlign w:val="bottom"/>
            <w:hideMark/>
          </w:tcPr>
          <w:p w14:paraId="0C3F8B4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14%</w:t>
            </w:r>
          </w:p>
        </w:tc>
        <w:tc>
          <w:tcPr>
            <w:tcW w:w="911" w:type="dxa"/>
            <w:tcBorders>
              <w:top w:val="nil"/>
              <w:left w:val="nil"/>
              <w:bottom w:val="nil"/>
              <w:right w:val="nil"/>
            </w:tcBorders>
            <w:shd w:val="clear" w:color="000000" w:fill="F2DCDB"/>
            <w:noWrap/>
            <w:vAlign w:val="bottom"/>
            <w:hideMark/>
          </w:tcPr>
          <w:p w14:paraId="0C3F8B4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49%</w:t>
            </w:r>
          </w:p>
        </w:tc>
        <w:tc>
          <w:tcPr>
            <w:tcW w:w="911" w:type="dxa"/>
            <w:tcBorders>
              <w:top w:val="nil"/>
              <w:left w:val="nil"/>
              <w:bottom w:val="nil"/>
              <w:right w:val="single" w:sz="4" w:space="0" w:color="auto"/>
            </w:tcBorders>
            <w:shd w:val="clear" w:color="000000" w:fill="F2DCDB"/>
            <w:noWrap/>
            <w:vAlign w:val="bottom"/>
            <w:hideMark/>
          </w:tcPr>
          <w:p w14:paraId="0C3F8B4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51%</w:t>
            </w:r>
          </w:p>
        </w:tc>
        <w:tc>
          <w:tcPr>
            <w:tcW w:w="723" w:type="dxa"/>
            <w:tcBorders>
              <w:top w:val="nil"/>
              <w:left w:val="nil"/>
              <w:bottom w:val="nil"/>
              <w:right w:val="nil"/>
            </w:tcBorders>
            <w:shd w:val="clear" w:color="auto" w:fill="auto"/>
            <w:noWrap/>
            <w:vAlign w:val="bottom"/>
            <w:hideMark/>
          </w:tcPr>
          <w:p w14:paraId="0C3F8B4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917" w:type="dxa"/>
            <w:tcBorders>
              <w:top w:val="nil"/>
              <w:left w:val="nil"/>
              <w:bottom w:val="nil"/>
              <w:right w:val="nil"/>
            </w:tcBorders>
            <w:shd w:val="clear" w:color="auto" w:fill="auto"/>
            <w:noWrap/>
            <w:vAlign w:val="bottom"/>
            <w:hideMark/>
          </w:tcPr>
          <w:p w14:paraId="0C3F8B4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22%</w:t>
            </w:r>
          </w:p>
        </w:tc>
        <w:tc>
          <w:tcPr>
            <w:tcW w:w="723" w:type="dxa"/>
            <w:tcBorders>
              <w:top w:val="nil"/>
              <w:left w:val="nil"/>
              <w:bottom w:val="nil"/>
              <w:right w:val="nil"/>
            </w:tcBorders>
            <w:shd w:val="clear" w:color="auto" w:fill="auto"/>
            <w:noWrap/>
            <w:vAlign w:val="bottom"/>
            <w:hideMark/>
          </w:tcPr>
          <w:p w14:paraId="0C3F8B4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988" w:type="dxa"/>
            <w:tcBorders>
              <w:top w:val="nil"/>
              <w:left w:val="nil"/>
              <w:bottom w:val="nil"/>
              <w:right w:val="nil"/>
            </w:tcBorders>
            <w:shd w:val="clear" w:color="auto" w:fill="auto"/>
            <w:noWrap/>
            <w:vAlign w:val="bottom"/>
            <w:hideMark/>
          </w:tcPr>
          <w:p w14:paraId="0C3F8B4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1" w:type="dxa"/>
            <w:tcBorders>
              <w:top w:val="nil"/>
              <w:left w:val="nil"/>
              <w:bottom w:val="nil"/>
              <w:right w:val="nil"/>
            </w:tcBorders>
            <w:shd w:val="clear" w:color="000000" w:fill="F2DCDB"/>
            <w:noWrap/>
            <w:vAlign w:val="bottom"/>
            <w:hideMark/>
          </w:tcPr>
          <w:p w14:paraId="0C3F8B4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49%</w:t>
            </w:r>
          </w:p>
        </w:tc>
        <w:tc>
          <w:tcPr>
            <w:tcW w:w="911" w:type="dxa"/>
            <w:tcBorders>
              <w:top w:val="nil"/>
              <w:left w:val="nil"/>
              <w:bottom w:val="nil"/>
              <w:right w:val="single" w:sz="4" w:space="0" w:color="auto"/>
            </w:tcBorders>
            <w:shd w:val="clear" w:color="000000" w:fill="F2DCDB"/>
            <w:noWrap/>
            <w:vAlign w:val="bottom"/>
            <w:hideMark/>
          </w:tcPr>
          <w:p w14:paraId="0C3F8B5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51%</w:t>
            </w:r>
          </w:p>
        </w:tc>
      </w:tr>
      <w:tr w:rsidR="00B6457B" w:rsidRPr="00393ABA" w14:paraId="0C3F8B62" w14:textId="77777777" w:rsidTr="00605DDA">
        <w:trPr>
          <w:trHeight w:val="20"/>
        </w:trPr>
        <w:tc>
          <w:tcPr>
            <w:tcW w:w="1406"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C3F8B5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Burnett-Mary</w:t>
            </w:r>
          </w:p>
        </w:tc>
        <w:tc>
          <w:tcPr>
            <w:tcW w:w="875" w:type="dxa"/>
            <w:tcBorders>
              <w:top w:val="nil"/>
              <w:left w:val="nil"/>
              <w:bottom w:val="nil"/>
              <w:right w:val="single" w:sz="4" w:space="0" w:color="auto"/>
            </w:tcBorders>
            <w:shd w:val="clear" w:color="000000" w:fill="F2F2F2"/>
            <w:noWrap/>
            <w:vAlign w:val="center"/>
            <w:hideMark/>
          </w:tcPr>
          <w:p w14:paraId="0C3F8B5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1068" w:type="dxa"/>
            <w:tcBorders>
              <w:top w:val="nil"/>
              <w:left w:val="nil"/>
              <w:bottom w:val="nil"/>
              <w:right w:val="single" w:sz="4" w:space="0" w:color="auto"/>
            </w:tcBorders>
            <w:shd w:val="clear" w:color="000000" w:fill="F2F2F2"/>
            <w:noWrap/>
            <w:vAlign w:val="bottom"/>
            <w:hideMark/>
          </w:tcPr>
          <w:p w14:paraId="0C3F8B5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37712</w:t>
            </w:r>
          </w:p>
        </w:tc>
        <w:tc>
          <w:tcPr>
            <w:tcW w:w="722" w:type="dxa"/>
            <w:tcBorders>
              <w:top w:val="nil"/>
              <w:left w:val="nil"/>
              <w:bottom w:val="nil"/>
              <w:right w:val="nil"/>
            </w:tcBorders>
            <w:shd w:val="clear" w:color="auto" w:fill="auto"/>
            <w:noWrap/>
            <w:vAlign w:val="bottom"/>
            <w:hideMark/>
          </w:tcPr>
          <w:p w14:paraId="0C3F8B5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9746</w:t>
            </w:r>
          </w:p>
        </w:tc>
        <w:tc>
          <w:tcPr>
            <w:tcW w:w="780" w:type="dxa"/>
            <w:tcBorders>
              <w:top w:val="nil"/>
              <w:left w:val="nil"/>
              <w:bottom w:val="nil"/>
              <w:right w:val="nil"/>
            </w:tcBorders>
            <w:shd w:val="clear" w:color="auto" w:fill="auto"/>
            <w:noWrap/>
            <w:vAlign w:val="bottom"/>
            <w:hideMark/>
          </w:tcPr>
          <w:p w14:paraId="0C3F8B5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806</w:t>
            </w:r>
          </w:p>
        </w:tc>
        <w:tc>
          <w:tcPr>
            <w:tcW w:w="751" w:type="dxa"/>
            <w:tcBorders>
              <w:top w:val="nil"/>
              <w:left w:val="nil"/>
              <w:bottom w:val="nil"/>
              <w:right w:val="nil"/>
            </w:tcBorders>
            <w:shd w:val="clear" w:color="auto" w:fill="auto"/>
            <w:noWrap/>
            <w:vAlign w:val="bottom"/>
            <w:hideMark/>
          </w:tcPr>
          <w:p w14:paraId="0C3F8B5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1039</w:t>
            </w:r>
          </w:p>
        </w:tc>
        <w:tc>
          <w:tcPr>
            <w:tcW w:w="723" w:type="dxa"/>
            <w:tcBorders>
              <w:top w:val="nil"/>
              <w:left w:val="nil"/>
              <w:bottom w:val="nil"/>
              <w:right w:val="nil"/>
            </w:tcBorders>
            <w:shd w:val="clear" w:color="auto" w:fill="auto"/>
            <w:noWrap/>
            <w:vAlign w:val="bottom"/>
            <w:hideMark/>
          </w:tcPr>
          <w:p w14:paraId="0C3F8B5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767</w:t>
            </w:r>
          </w:p>
        </w:tc>
        <w:tc>
          <w:tcPr>
            <w:tcW w:w="761" w:type="dxa"/>
            <w:tcBorders>
              <w:top w:val="nil"/>
              <w:left w:val="nil"/>
              <w:bottom w:val="nil"/>
              <w:right w:val="nil"/>
            </w:tcBorders>
            <w:shd w:val="clear" w:color="auto" w:fill="auto"/>
            <w:noWrap/>
            <w:vAlign w:val="bottom"/>
            <w:hideMark/>
          </w:tcPr>
          <w:p w14:paraId="0C3F8B5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1283</w:t>
            </w:r>
          </w:p>
        </w:tc>
        <w:tc>
          <w:tcPr>
            <w:tcW w:w="911" w:type="dxa"/>
            <w:tcBorders>
              <w:top w:val="nil"/>
              <w:left w:val="nil"/>
              <w:bottom w:val="nil"/>
              <w:right w:val="nil"/>
            </w:tcBorders>
            <w:shd w:val="clear" w:color="000000" w:fill="F2DCDB"/>
            <w:noWrap/>
            <w:vAlign w:val="bottom"/>
            <w:hideMark/>
          </w:tcPr>
          <w:p w14:paraId="0C3F8B5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13641</w:t>
            </w:r>
          </w:p>
        </w:tc>
        <w:tc>
          <w:tcPr>
            <w:tcW w:w="911" w:type="dxa"/>
            <w:tcBorders>
              <w:top w:val="nil"/>
              <w:left w:val="nil"/>
              <w:bottom w:val="nil"/>
              <w:right w:val="single" w:sz="4" w:space="0" w:color="auto"/>
            </w:tcBorders>
            <w:shd w:val="clear" w:color="000000" w:fill="F2DCDB"/>
            <w:noWrap/>
            <w:vAlign w:val="bottom"/>
            <w:hideMark/>
          </w:tcPr>
          <w:p w14:paraId="0C3F8B5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24071</w:t>
            </w:r>
          </w:p>
        </w:tc>
        <w:tc>
          <w:tcPr>
            <w:tcW w:w="723" w:type="dxa"/>
            <w:tcBorders>
              <w:top w:val="nil"/>
              <w:left w:val="nil"/>
              <w:bottom w:val="nil"/>
              <w:right w:val="nil"/>
            </w:tcBorders>
            <w:shd w:val="clear" w:color="auto" w:fill="auto"/>
            <w:noWrap/>
            <w:vAlign w:val="bottom"/>
            <w:hideMark/>
          </w:tcPr>
          <w:p w14:paraId="0C3F8B5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7250</w:t>
            </w:r>
          </w:p>
        </w:tc>
        <w:tc>
          <w:tcPr>
            <w:tcW w:w="917" w:type="dxa"/>
            <w:tcBorders>
              <w:top w:val="nil"/>
              <w:left w:val="nil"/>
              <w:bottom w:val="nil"/>
              <w:right w:val="nil"/>
            </w:tcBorders>
            <w:shd w:val="clear" w:color="auto" w:fill="auto"/>
            <w:noWrap/>
            <w:vAlign w:val="bottom"/>
            <w:hideMark/>
          </w:tcPr>
          <w:p w14:paraId="0C3F8B5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5930</w:t>
            </w:r>
          </w:p>
        </w:tc>
        <w:tc>
          <w:tcPr>
            <w:tcW w:w="723" w:type="dxa"/>
            <w:tcBorders>
              <w:top w:val="nil"/>
              <w:left w:val="nil"/>
              <w:bottom w:val="nil"/>
              <w:right w:val="nil"/>
            </w:tcBorders>
            <w:shd w:val="clear" w:color="auto" w:fill="auto"/>
            <w:noWrap/>
            <w:vAlign w:val="bottom"/>
            <w:hideMark/>
          </w:tcPr>
          <w:p w14:paraId="0C3F8B5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360</w:t>
            </w:r>
          </w:p>
        </w:tc>
        <w:tc>
          <w:tcPr>
            <w:tcW w:w="988" w:type="dxa"/>
            <w:tcBorders>
              <w:top w:val="nil"/>
              <w:left w:val="nil"/>
              <w:bottom w:val="nil"/>
              <w:right w:val="nil"/>
            </w:tcBorders>
            <w:shd w:val="clear" w:color="auto" w:fill="auto"/>
            <w:noWrap/>
            <w:vAlign w:val="bottom"/>
            <w:hideMark/>
          </w:tcPr>
          <w:p w14:paraId="0C3F8B5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50</w:t>
            </w:r>
          </w:p>
        </w:tc>
        <w:tc>
          <w:tcPr>
            <w:tcW w:w="911" w:type="dxa"/>
            <w:tcBorders>
              <w:top w:val="nil"/>
              <w:left w:val="nil"/>
              <w:bottom w:val="nil"/>
              <w:right w:val="nil"/>
            </w:tcBorders>
            <w:shd w:val="clear" w:color="000000" w:fill="F2DCDB"/>
            <w:noWrap/>
            <w:vAlign w:val="bottom"/>
            <w:hideMark/>
          </w:tcPr>
          <w:p w14:paraId="0C3F8B6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13590</w:t>
            </w:r>
          </w:p>
        </w:tc>
        <w:tc>
          <w:tcPr>
            <w:tcW w:w="911" w:type="dxa"/>
            <w:tcBorders>
              <w:top w:val="nil"/>
              <w:left w:val="nil"/>
              <w:bottom w:val="nil"/>
              <w:right w:val="single" w:sz="4" w:space="0" w:color="auto"/>
            </w:tcBorders>
            <w:shd w:val="clear" w:color="000000" w:fill="F2DCDB"/>
            <w:noWrap/>
            <w:vAlign w:val="bottom"/>
            <w:hideMark/>
          </w:tcPr>
          <w:p w14:paraId="0C3F8B6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24122</w:t>
            </w:r>
          </w:p>
        </w:tc>
      </w:tr>
      <w:tr w:rsidR="00B6457B" w:rsidRPr="00393ABA" w14:paraId="0C3F8B73" w14:textId="77777777" w:rsidTr="00605DDA">
        <w:trPr>
          <w:trHeight w:val="20"/>
        </w:trPr>
        <w:tc>
          <w:tcPr>
            <w:tcW w:w="1406" w:type="dxa"/>
            <w:vMerge/>
            <w:tcBorders>
              <w:top w:val="nil"/>
              <w:left w:val="single" w:sz="4" w:space="0" w:color="auto"/>
              <w:bottom w:val="single" w:sz="4" w:space="0" w:color="000000"/>
              <w:right w:val="single" w:sz="4" w:space="0" w:color="auto"/>
            </w:tcBorders>
            <w:vAlign w:val="center"/>
            <w:hideMark/>
          </w:tcPr>
          <w:p w14:paraId="0C3F8B63" w14:textId="77777777" w:rsidR="00B6457B" w:rsidRPr="00393ABA" w:rsidRDefault="00B6457B" w:rsidP="00393ABA">
            <w:pPr>
              <w:spacing w:after="120"/>
              <w:jc w:val="left"/>
              <w:rPr>
                <w:rFonts w:ascii="Calibri" w:hAnsi="Calibri" w:cs="Calibri"/>
                <w:b/>
                <w:bCs/>
                <w:color w:val="000000"/>
                <w:sz w:val="20"/>
                <w:szCs w:val="20"/>
              </w:rPr>
            </w:pPr>
          </w:p>
        </w:tc>
        <w:tc>
          <w:tcPr>
            <w:tcW w:w="875" w:type="dxa"/>
            <w:tcBorders>
              <w:top w:val="nil"/>
              <w:left w:val="nil"/>
              <w:bottom w:val="single" w:sz="4" w:space="0" w:color="auto"/>
              <w:right w:val="single" w:sz="4" w:space="0" w:color="auto"/>
            </w:tcBorders>
            <w:shd w:val="clear" w:color="000000" w:fill="F2F2F2"/>
            <w:noWrap/>
            <w:vAlign w:val="center"/>
            <w:hideMark/>
          </w:tcPr>
          <w:p w14:paraId="0C3F8B6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1068" w:type="dxa"/>
            <w:tcBorders>
              <w:top w:val="nil"/>
              <w:left w:val="nil"/>
              <w:bottom w:val="single" w:sz="4" w:space="0" w:color="auto"/>
              <w:right w:val="single" w:sz="4" w:space="0" w:color="auto"/>
            </w:tcBorders>
            <w:shd w:val="clear" w:color="000000" w:fill="F2F2F2"/>
            <w:noWrap/>
            <w:vAlign w:val="bottom"/>
            <w:hideMark/>
          </w:tcPr>
          <w:p w14:paraId="0C3F8B6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22" w:type="dxa"/>
            <w:tcBorders>
              <w:top w:val="nil"/>
              <w:left w:val="nil"/>
              <w:bottom w:val="single" w:sz="4" w:space="0" w:color="auto"/>
              <w:right w:val="nil"/>
            </w:tcBorders>
            <w:shd w:val="clear" w:color="auto" w:fill="auto"/>
            <w:noWrap/>
            <w:vAlign w:val="bottom"/>
            <w:hideMark/>
          </w:tcPr>
          <w:p w14:paraId="0C3F8B6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26%</w:t>
            </w:r>
          </w:p>
        </w:tc>
        <w:tc>
          <w:tcPr>
            <w:tcW w:w="780" w:type="dxa"/>
            <w:tcBorders>
              <w:top w:val="nil"/>
              <w:left w:val="nil"/>
              <w:bottom w:val="single" w:sz="4" w:space="0" w:color="auto"/>
              <w:right w:val="nil"/>
            </w:tcBorders>
            <w:shd w:val="clear" w:color="auto" w:fill="auto"/>
            <w:noWrap/>
            <w:vAlign w:val="bottom"/>
            <w:hideMark/>
          </w:tcPr>
          <w:p w14:paraId="0C3F8B6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51" w:type="dxa"/>
            <w:tcBorders>
              <w:top w:val="nil"/>
              <w:left w:val="nil"/>
              <w:bottom w:val="single" w:sz="4" w:space="0" w:color="auto"/>
              <w:right w:val="nil"/>
            </w:tcBorders>
            <w:shd w:val="clear" w:color="auto" w:fill="auto"/>
            <w:noWrap/>
            <w:vAlign w:val="bottom"/>
            <w:hideMark/>
          </w:tcPr>
          <w:p w14:paraId="0C3F8B6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723" w:type="dxa"/>
            <w:tcBorders>
              <w:top w:val="nil"/>
              <w:left w:val="nil"/>
              <w:bottom w:val="single" w:sz="4" w:space="0" w:color="auto"/>
              <w:right w:val="nil"/>
            </w:tcBorders>
            <w:shd w:val="clear" w:color="auto" w:fill="auto"/>
            <w:noWrap/>
            <w:vAlign w:val="bottom"/>
            <w:hideMark/>
          </w:tcPr>
          <w:p w14:paraId="0C3F8B6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61" w:type="dxa"/>
            <w:tcBorders>
              <w:top w:val="nil"/>
              <w:left w:val="nil"/>
              <w:bottom w:val="single" w:sz="4" w:space="0" w:color="auto"/>
              <w:right w:val="nil"/>
            </w:tcBorders>
            <w:shd w:val="clear" w:color="auto" w:fill="auto"/>
            <w:noWrap/>
            <w:vAlign w:val="bottom"/>
            <w:hideMark/>
          </w:tcPr>
          <w:p w14:paraId="0C3F8B6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1" w:type="dxa"/>
            <w:tcBorders>
              <w:top w:val="nil"/>
              <w:left w:val="nil"/>
              <w:bottom w:val="single" w:sz="4" w:space="0" w:color="auto"/>
              <w:right w:val="nil"/>
            </w:tcBorders>
            <w:shd w:val="clear" w:color="000000" w:fill="F2DCDB"/>
            <w:noWrap/>
            <w:vAlign w:val="bottom"/>
            <w:hideMark/>
          </w:tcPr>
          <w:p w14:paraId="0C3F8B6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36%</w:t>
            </w:r>
          </w:p>
        </w:tc>
        <w:tc>
          <w:tcPr>
            <w:tcW w:w="911" w:type="dxa"/>
            <w:tcBorders>
              <w:top w:val="nil"/>
              <w:left w:val="nil"/>
              <w:bottom w:val="single" w:sz="4" w:space="0" w:color="auto"/>
              <w:right w:val="single" w:sz="4" w:space="0" w:color="auto"/>
            </w:tcBorders>
            <w:shd w:val="clear" w:color="000000" w:fill="F2DCDB"/>
            <w:noWrap/>
            <w:vAlign w:val="bottom"/>
            <w:hideMark/>
          </w:tcPr>
          <w:p w14:paraId="0C3F8B6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64%</w:t>
            </w:r>
          </w:p>
        </w:tc>
        <w:tc>
          <w:tcPr>
            <w:tcW w:w="723" w:type="dxa"/>
            <w:tcBorders>
              <w:top w:val="nil"/>
              <w:left w:val="nil"/>
              <w:bottom w:val="single" w:sz="4" w:space="0" w:color="auto"/>
              <w:right w:val="nil"/>
            </w:tcBorders>
            <w:shd w:val="clear" w:color="auto" w:fill="auto"/>
            <w:noWrap/>
            <w:vAlign w:val="bottom"/>
            <w:hideMark/>
          </w:tcPr>
          <w:p w14:paraId="0C3F8B6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19%</w:t>
            </w:r>
          </w:p>
        </w:tc>
        <w:tc>
          <w:tcPr>
            <w:tcW w:w="917" w:type="dxa"/>
            <w:tcBorders>
              <w:top w:val="nil"/>
              <w:left w:val="nil"/>
              <w:bottom w:val="single" w:sz="4" w:space="0" w:color="auto"/>
              <w:right w:val="nil"/>
            </w:tcBorders>
            <w:shd w:val="clear" w:color="auto" w:fill="auto"/>
            <w:noWrap/>
            <w:vAlign w:val="bottom"/>
            <w:hideMark/>
          </w:tcPr>
          <w:p w14:paraId="0C3F8B6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16%</w:t>
            </w:r>
          </w:p>
        </w:tc>
        <w:tc>
          <w:tcPr>
            <w:tcW w:w="723" w:type="dxa"/>
            <w:tcBorders>
              <w:top w:val="nil"/>
              <w:left w:val="nil"/>
              <w:bottom w:val="single" w:sz="4" w:space="0" w:color="auto"/>
              <w:right w:val="nil"/>
            </w:tcBorders>
            <w:shd w:val="clear" w:color="auto" w:fill="auto"/>
            <w:noWrap/>
            <w:vAlign w:val="bottom"/>
            <w:hideMark/>
          </w:tcPr>
          <w:p w14:paraId="0C3F8B6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88" w:type="dxa"/>
            <w:tcBorders>
              <w:top w:val="nil"/>
              <w:left w:val="nil"/>
              <w:bottom w:val="single" w:sz="4" w:space="0" w:color="auto"/>
              <w:right w:val="nil"/>
            </w:tcBorders>
            <w:shd w:val="clear" w:color="auto" w:fill="auto"/>
            <w:noWrap/>
            <w:vAlign w:val="bottom"/>
            <w:hideMark/>
          </w:tcPr>
          <w:p w14:paraId="0C3F8B7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1" w:type="dxa"/>
            <w:tcBorders>
              <w:top w:val="nil"/>
              <w:left w:val="nil"/>
              <w:bottom w:val="single" w:sz="4" w:space="0" w:color="auto"/>
              <w:right w:val="nil"/>
            </w:tcBorders>
            <w:shd w:val="clear" w:color="000000" w:fill="F2DCDB"/>
            <w:noWrap/>
            <w:vAlign w:val="bottom"/>
            <w:hideMark/>
          </w:tcPr>
          <w:p w14:paraId="0C3F8B7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36%</w:t>
            </w:r>
          </w:p>
        </w:tc>
        <w:tc>
          <w:tcPr>
            <w:tcW w:w="911" w:type="dxa"/>
            <w:tcBorders>
              <w:top w:val="nil"/>
              <w:left w:val="nil"/>
              <w:bottom w:val="single" w:sz="4" w:space="0" w:color="auto"/>
              <w:right w:val="single" w:sz="4" w:space="0" w:color="auto"/>
            </w:tcBorders>
            <w:shd w:val="clear" w:color="000000" w:fill="F2DCDB"/>
            <w:noWrap/>
            <w:vAlign w:val="bottom"/>
            <w:hideMark/>
          </w:tcPr>
          <w:p w14:paraId="0C3F8B7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64%</w:t>
            </w:r>
          </w:p>
        </w:tc>
      </w:tr>
    </w:tbl>
    <w:p w14:paraId="0C3F8B74" w14:textId="77777777" w:rsidR="00B6457B" w:rsidRPr="00122A3D" w:rsidRDefault="00B6457B" w:rsidP="00B6457B">
      <w:pPr>
        <w:keepNext/>
        <w:spacing w:after="120"/>
        <w:rPr>
          <w:rFonts w:ascii="Calibri" w:eastAsia="Calibri" w:hAnsi="Calibri" w:cs="Times New Roman"/>
          <w:b/>
          <w:bCs/>
          <w:lang w:eastAsia="en-US"/>
        </w:rPr>
      </w:pPr>
      <w:bookmarkStart w:id="296" w:name="_Ref377046220"/>
      <w:r w:rsidRPr="00122A3D">
        <w:rPr>
          <w:rFonts w:ascii="Calibri" w:eastAsia="Calibri" w:hAnsi="Calibri" w:cs="Times New Roman"/>
          <w:bCs/>
          <w:lang w:eastAsia="en-US"/>
        </w:rPr>
        <w:t xml:space="preserve">Table </w:t>
      </w:r>
      <w:bookmarkEnd w:id="296"/>
      <w:r w:rsidRPr="00122A3D">
        <w:rPr>
          <w:rFonts w:ascii="Calibri" w:eastAsia="Calibri" w:hAnsi="Calibri" w:cs="Times New Roman"/>
          <w:bCs/>
          <w:lang w:eastAsia="en-US"/>
        </w:rPr>
        <w:t>A-</w:t>
      </w:r>
      <w:r>
        <w:rPr>
          <w:rFonts w:ascii="Calibri" w:eastAsia="Calibri" w:hAnsi="Calibri" w:cs="Times New Roman"/>
          <w:bCs/>
          <w:lang w:eastAsia="en-US"/>
        </w:rPr>
        <w:t>3</w:t>
      </w:r>
      <w:r w:rsidRPr="00122A3D">
        <w:rPr>
          <w:rFonts w:ascii="Calibri" w:eastAsia="Calibri" w:hAnsi="Calibri" w:cs="Times New Roman"/>
          <w:bCs/>
          <w:lang w:eastAsia="en-US"/>
        </w:rPr>
        <w:t>:</w:t>
      </w:r>
      <w:r w:rsidRPr="00122A3D">
        <w:rPr>
          <w:rFonts w:ascii="Calibri" w:eastAsia="Calibri" w:hAnsi="Calibri" w:cs="Times New Roman"/>
          <w:b/>
          <w:bCs/>
          <w:lang w:eastAsia="en-US"/>
        </w:rPr>
        <w:t xml:space="preserve"> </w:t>
      </w:r>
      <w:r w:rsidRPr="00122A3D">
        <w:rPr>
          <w:rFonts w:ascii="Calibri" w:eastAsia="Calibri" w:hAnsi="Calibri" w:cs="Times New Roman"/>
          <w:bCs/>
          <w:lang w:eastAsia="en-US"/>
        </w:rPr>
        <w:t>Areas (km</w:t>
      </w:r>
      <w:r w:rsidRPr="00122A3D">
        <w:rPr>
          <w:rFonts w:ascii="Calibri" w:eastAsia="Calibri" w:hAnsi="Calibri" w:cs="Times New Roman"/>
          <w:bCs/>
          <w:vertAlign w:val="superscript"/>
          <w:lang w:eastAsia="en-US"/>
        </w:rPr>
        <w:t>2</w:t>
      </w:r>
      <w:r w:rsidRPr="00122A3D">
        <w:rPr>
          <w:rFonts w:ascii="Calibri" w:eastAsia="Calibri" w:hAnsi="Calibri" w:cs="Times New Roman"/>
          <w:bCs/>
          <w:lang w:eastAsia="en-US"/>
        </w:rPr>
        <w:t xml:space="preserve">) and percentage (%) of coral reefs exposed (‘exp.’) to river plumes and </w:t>
      </w:r>
      <w:r>
        <w:rPr>
          <w:rFonts w:ascii="Calibri" w:eastAsia="Calibri" w:hAnsi="Calibri" w:cs="Times New Roman"/>
          <w:bCs/>
          <w:lang w:eastAsia="en-US"/>
        </w:rPr>
        <w:t xml:space="preserve">potential </w:t>
      </w:r>
      <w:r w:rsidRPr="00122A3D">
        <w:rPr>
          <w:rFonts w:ascii="Calibri" w:eastAsia="Calibri" w:hAnsi="Calibri" w:cs="Times New Roman"/>
          <w:bCs/>
          <w:lang w:eastAsia="en-US"/>
        </w:rPr>
        <w:t>river plume</w:t>
      </w:r>
      <w:r>
        <w:rPr>
          <w:rFonts w:ascii="Calibri" w:eastAsia="Calibri" w:hAnsi="Calibri" w:cs="Times New Roman"/>
          <w:bCs/>
          <w:lang w:eastAsia="en-US"/>
        </w:rPr>
        <w:t xml:space="preserve"> risk</w:t>
      </w:r>
      <w:r w:rsidRPr="00122A3D">
        <w:rPr>
          <w:rFonts w:ascii="Calibri" w:eastAsia="Calibri" w:hAnsi="Calibri" w:cs="Times New Roman"/>
          <w:bCs/>
          <w:lang w:eastAsia="en-US"/>
        </w:rPr>
        <w:t xml:space="preserve"> within the GBR and each NRM.</w:t>
      </w:r>
    </w:p>
    <w:tbl>
      <w:tblPr>
        <w:tblW w:w="14073" w:type="dxa"/>
        <w:tblInd w:w="93" w:type="dxa"/>
        <w:tblLook w:val="04A0" w:firstRow="1" w:lastRow="0" w:firstColumn="1" w:lastColumn="0" w:noHBand="0" w:noVBand="1"/>
      </w:tblPr>
      <w:tblGrid>
        <w:gridCol w:w="1407"/>
        <w:gridCol w:w="1120"/>
        <w:gridCol w:w="820"/>
        <w:gridCol w:w="622"/>
        <w:gridCol w:w="835"/>
        <w:gridCol w:w="803"/>
        <w:gridCol w:w="647"/>
        <w:gridCol w:w="815"/>
        <w:gridCol w:w="912"/>
        <w:gridCol w:w="912"/>
        <w:gridCol w:w="813"/>
        <w:gridCol w:w="918"/>
        <w:gridCol w:w="594"/>
        <w:gridCol w:w="1083"/>
        <w:gridCol w:w="886"/>
        <w:gridCol w:w="886"/>
      </w:tblGrid>
      <w:tr w:rsidR="00B6457B" w:rsidRPr="00393ABA" w14:paraId="0C3F8B7E" w14:textId="77777777" w:rsidTr="00393ABA">
        <w:trPr>
          <w:trHeight w:val="20"/>
        </w:trPr>
        <w:tc>
          <w:tcPr>
            <w:tcW w:w="1407" w:type="dxa"/>
            <w:tcBorders>
              <w:top w:val="nil"/>
              <w:left w:val="nil"/>
              <w:bottom w:val="nil"/>
              <w:right w:val="nil"/>
            </w:tcBorders>
            <w:shd w:val="clear" w:color="auto" w:fill="auto"/>
            <w:noWrap/>
            <w:vAlign w:val="bottom"/>
            <w:hideMark/>
          </w:tcPr>
          <w:p w14:paraId="0C3F8B75" w14:textId="77777777" w:rsidR="00B6457B" w:rsidRPr="00393ABA" w:rsidRDefault="00B6457B" w:rsidP="00393ABA">
            <w:pPr>
              <w:spacing w:after="120"/>
              <w:jc w:val="center"/>
              <w:rPr>
                <w:rFonts w:ascii="Calibri" w:hAnsi="Calibri" w:cs="Calibri"/>
                <w:color w:val="000000"/>
                <w:sz w:val="20"/>
                <w:szCs w:val="20"/>
              </w:rPr>
            </w:pPr>
          </w:p>
        </w:tc>
        <w:tc>
          <w:tcPr>
            <w:tcW w:w="1120" w:type="dxa"/>
            <w:tcBorders>
              <w:top w:val="nil"/>
              <w:left w:val="nil"/>
              <w:bottom w:val="nil"/>
              <w:right w:val="nil"/>
            </w:tcBorders>
            <w:shd w:val="clear" w:color="auto" w:fill="auto"/>
            <w:noWrap/>
            <w:vAlign w:val="bottom"/>
            <w:hideMark/>
          </w:tcPr>
          <w:p w14:paraId="0C3F8B76" w14:textId="77777777" w:rsidR="00B6457B" w:rsidRPr="00393ABA" w:rsidRDefault="00B6457B" w:rsidP="00393ABA">
            <w:pPr>
              <w:spacing w:after="120"/>
              <w:jc w:val="center"/>
              <w:rPr>
                <w:rFonts w:ascii="Calibri" w:hAnsi="Calibri" w:cs="Calibri"/>
                <w:color w:val="000000"/>
                <w:sz w:val="20"/>
                <w:szCs w:val="20"/>
              </w:rPr>
            </w:pPr>
          </w:p>
        </w:tc>
        <w:tc>
          <w:tcPr>
            <w:tcW w:w="820" w:type="dxa"/>
            <w:tcBorders>
              <w:top w:val="nil"/>
              <w:left w:val="nil"/>
              <w:bottom w:val="nil"/>
              <w:right w:val="nil"/>
            </w:tcBorders>
            <w:shd w:val="clear" w:color="auto" w:fill="auto"/>
            <w:noWrap/>
            <w:vAlign w:val="bottom"/>
            <w:hideMark/>
          </w:tcPr>
          <w:p w14:paraId="0C3F8B77" w14:textId="77777777" w:rsidR="00B6457B" w:rsidRPr="00393ABA" w:rsidRDefault="00B6457B" w:rsidP="00393ABA">
            <w:pPr>
              <w:spacing w:after="120"/>
              <w:jc w:val="center"/>
              <w:rPr>
                <w:rFonts w:ascii="Calibri" w:hAnsi="Calibri" w:cs="Calibri"/>
                <w:color w:val="000000"/>
                <w:sz w:val="20"/>
                <w:szCs w:val="20"/>
              </w:rPr>
            </w:pPr>
          </w:p>
        </w:tc>
        <w:tc>
          <w:tcPr>
            <w:tcW w:w="3722" w:type="dxa"/>
            <w:gridSpan w:val="5"/>
            <w:tcBorders>
              <w:top w:val="single" w:sz="4" w:space="0" w:color="auto"/>
              <w:left w:val="single" w:sz="4" w:space="0" w:color="auto"/>
              <w:bottom w:val="single" w:sz="4" w:space="0" w:color="auto"/>
              <w:right w:val="nil"/>
            </w:tcBorders>
            <w:shd w:val="clear" w:color="000000" w:fill="F2F2F2"/>
            <w:noWrap/>
            <w:vAlign w:val="bottom"/>
            <w:hideMark/>
          </w:tcPr>
          <w:p w14:paraId="0C3F8B7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River plume frequency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B7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B7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c>
          <w:tcPr>
            <w:tcW w:w="3408" w:type="dxa"/>
            <w:gridSpan w:val="4"/>
            <w:tcBorders>
              <w:top w:val="single" w:sz="4" w:space="0" w:color="auto"/>
              <w:left w:val="nil"/>
              <w:bottom w:val="single" w:sz="4" w:space="0" w:color="auto"/>
              <w:right w:val="nil"/>
            </w:tcBorders>
            <w:shd w:val="clear" w:color="000000" w:fill="F2F2F2"/>
            <w:noWrap/>
            <w:vAlign w:val="bottom"/>
            <w:hideMark/>
          </w:tcPr>
          <w:p w14:paraId="0C3F8B7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Potential risk category</w:t>
            </w:r>
          </w:p>
        </w:tc>
        <w:tc>
          <w:tcPr>
            <w:tcW w:w="886" w:type="dxa"/>
            <w:vMerge w:val="restart"/>
            <w:tcBorders>
              <w:top w:val="single" w:sz="4" w:space="0" w:color="auto"/>
              <w:left w:val="nil"/>
              <w:bottom w:val="single" w:sz="4" w:space="0" w:color="000000"/>
              <w:right w:val="nil"/>
            </w:tcBorders>
            <w:shd w:val="clear" w:color="000000" w:fill="F2DCDB"/>
            <w:vAlign w:val="bottom"/>
            <w:hideMark/>
          </w:tcPr>
          <w:p w14:paraId="0C3F8B7C"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886"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B7D"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r>
      <w:tr w:rsidR="00B6457B" w:rsidRPr="00393ABA" w14:paraId="0C3F8B8E" w14:textId="77777777" w:rsidTr="00393ABA">
        <w:trPr>
          <w:trHeight w:val="20"/>
        </w:trPr>
        <w:tc>
          <w:tcPr>
            <w:tcW w:w="2527" w:type="dxa"/>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0C3F8B7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Coral reefs</w:t>
            </w:r>
          </w:p>
        </w:tc>
        <w:tc>
          <w:tcPr>
            <w:tcW w:w="820" w:type="dxa"/>
            <w:tcBorders>
              <w:top w:val="single" w:sz="4" w:space="0" w:color="auto"/>
              <w:left w:val="nil"/>
              <w:bottom w:val="nil"/>
              <w:right w:val="single" w:sz="4" w:space="0" w:color="auto"/>
            </w:tcBorders>
            <w:shd w:val="clear" w:color="000000" w:fill="F2F2F2"/>
            <w:noWrap/>
            <w:vAlign w:val="bottom"/>
            <w:hideMark/>
          </w:tcPr>
          <w:p w14:paraId="0C3F8B8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Tot</w:t>
            </w:r>
          </w:p>
        </w:tc>
        <w:tc>
          <w:tcPr>
            <w:tcW w:w="622" w:type="dxa"/>
            <w:tcBorders>
              <w:top w:val="nil"/>
              <w:left w:val="nil"/>
              <w:bottom w:val="single" w:sz="4" w:space="0" w:color="auto"/>
              <w:right w:val="nil"/>
            </w:tcBorders>
            <w:shd w:val="clear" w:color="000000" w:fill="F2F2F2"/>
            <w:noWrap/>
            <w:vAlign w:val="bottom"/>
            <w:hideMark/>
          </w:tcPr>
          <w:p w14:paraId="0C3F8B81" w14:textId="77777777" w:rsidR="00B6457B" w:rsidRPr="00393ABA" w:rsidRDefault="00B6457B" w:rsidP="00393ABA">
            <w:pPr>
              <w:spacing w:after="120"/>
              <w:jc w:val="center"/>
              <w:rPr>
                <w:rFonts w:ascii="Calibri" w:hAnsi="Calibri" w:cs="Calibri"/>
                <w:b/>
                <w:bCs/>
                <w:color w:val="1F497D"/>
                <w:sz w:val="20"/>
                <w:szCs w:val="20"/>
              </w:rPr>
            </w:pPr>
            <w:r w:rsidRPr="00393ABA">
              <w:rPr>
                <w:rFonts w:ascii="Calibri" w:hAnsi="Calibri" w:cs="Calibri"/>
                <w:b/>
                <w:bCs/>
                <w:color w:val="1F497D"/>
                <w:sz w:val="20"/>
                <w:szCs w:val="20"/>
              </w:rPr>
              <w:t>Rare</w:t>
            </w:r>
          </w:p>
        </w:tc>
        <w:tc>
          <w:tcPr>
            <w:tcW w:w="835" w:type="dxa"/>
            <w:tcBorders>
              <w:top w:val="nil"/>
              <w:left w:val="nil"/>
              <w:bottom w:val="single" w:sz="4" w:space="0" w:color="auto"/>
              <w:right w:val="nil"/>
            </w:tcBorders>
            <w:shd w:val="clear" w:color="000000" w:fill="F2F2F2"/>
            <w:noWrap/>
            <w:vAlign w:val="bottom"/>
            <w:hideMark/>
          </w:tcPr>
          <w:p w14:paraId="0C3F8B82" w14:textId="77777777" w:rsidR="00B6457B" w:rsidRPr="00393ABA" w:rsidRDefault="00B6457B" w:rsidP="00393ABA">
            <w:pPr>
              <w:spacing w:after="120"/>
              <w:jc w:val="center"/>
              <w:rPr>
                <w:rFonts w:ascii="Calibri" w:hAnsi="Calibri" w:cs="Calibri"/>
                <w:b/>
                <w:bCs/>
                <w:color w:val="31869B"/>
                <w:sz w:val="20"/>
                <w:szCs w:val="20"/>
              </w:rPr>
            </w:pPr>
            <w:r w:rsidRPr="00393ABA">
              <w:rPr>
                <w:rFonts w:ascii="Calibri" w:hAnsi="Calibri" w:cs="Calibri"/>
                <w:b/>
                <w:bCs/>
                <w:color w:val="31869B"/>
                <w:sz w:val="20"/>
                <w:szCs w:val="20"/>
              </w:rPr>
              <w:t>Infreq.</w:t>
            </w:r>
          </w:p>
        </w:tc>
        <w:tc>
          <w:tcPr>
            <w:tcW w:w="803" w:type="dxa"/>
            <w:tcBorders>
              <w:top w:val="nil"/>
              <w:left w:val="nil"/>
              <w:bottom w:val="single" w:sz="4" w:space="0" w:color="auto"/>
              <w:right w:val="nil"/>
            </w:tcBorders>
            <w:shd w:val="clear" w:color="000000" w:fill="F2F2F2"/>
            <w:noWrap/>
            <w:vAlign w:val="bottom"/>
            <w:hideMark/>
          </w:tcPr>
          <w:p w14:paraId="0C3F8B83" w14:textId="77777777" w:rsidR="00B6457B" w:rsidRPr="00393ABA" w:rsidRDefault="00B6457B" w:rsidP="00393ABA">
            <w:pPr>
              <w:spacing w:after="120"/>
              <w:jc w:val="center"/>
              <w:rPr>
                <w:rFonts w:ascii="Calibri" w:hAnsi="Calibri" w:cs="Calibri"/>
                <w:b/>
                <w:bCs/>
                <w:color w:val="FFC000"/>
                <w:sz w:val="20"/>
                <w:szCs w:val="20"/>
              </w:rPr>
            </w:pPr>
            <w:r w:rsidRPr="00393ABA">
              <w:rPr>
                <w:rFonts w:ascii="Calibri" w:hAnsi="Calibri" w:cs="Calibri"/>
                <w:b/>
                <w:bCs/>
                <w:color w:val="FFC000"/>
                <w:sz w:val="20"/>
                <w:szCs w:val="20"/>
              </w:rPr>
              <w:t>Occas.</w:t>
            </w:r>
          </w:p>
        </w:tc>
        <w:tc>
          <w:tcPr>
            <w:tcW w:w="647" w:type="dxa"/>
            <w:tcBorders>
              <w:top w:val="nil"/>
              <w:left w:val="nil"/>
              <w:bottom w:val="single" w:sz="4" w:space="0" w:color="auto"/>
              <w:right w:val="nil"/>
            </w:tcBorders>
            <w:shd w:val="clear" w:color="000000" w:fill="F2F2F2"/>
            <w:noWrap/>
            <w:vAlign w:val="bottom"/>
            <w:hideMark/>
          </w:tcPr>
          <w:p w14:paraId="0C3F8B84" w14:textId="77777777" w:rsidR="00B6457B" w:rsidRPr="00393ABA" w:rsidRDefault="00B6457B" w:rsidP="00393ABA">
            <w:pPr>
              <w:spacing w:after="120"/>
              <w:jc w:val="center"/>
              <w:rPr>
                <w:rFonts w:ascii="Calibri" w:hAnsi="Calibri" w:cs="Calibri"/>
                <w:b/>
                <w:bCs/>
                <w:color w:val="F79646"/>
                <w:sz w:val="20"/>
                <w:szCs w:val="20"/>
              </w:rPr>
            </w:pPr>
            <w:r w:rsidRPr="00393ABA">
              <w:rPr>
                <w:rFonts w:ascii="Calibri" w:hAnsi="Calibri" w:cs="Calibri"/>
                <w:b/>
                <w:bCs/>
                <w:color w:val="F79646"/>
                <w:sz w:val="20"/>
                <w:szCs w:val="20"/>
              </w:rPr>
              <w:t>Freq.</w:t>
            </w:r>
          </w:p>
        </w:tc>
        <w:tc>
          <w:tcPr>
            <w:tcW w:w="815" w:type="dxa"/>
            <w:tcBorders>
              <w:top w:val="nil"/>
              <w:left w:val="nil"/>
              <w:bottom w:val="single" w:sz="4" w:space="0" w:color="auto"/>
              <w:right w:val="nil"/>
            </w:tcBorders>
            <w:shd w:val="clear" w:color="000000" w:fill="F2F2F2"/>
            <w:noWrap/>
            <w:vAlign w:val="bottom"/>
            <w:hideMark/>
          </w:tcPr>
          <w:p w14:paraId="0C3F8B85" w14:textId="77777777" w:rsidR="00B6457B" w:rsidRPr="00393ABA" w:rsidRDefault="00B6457B" w:rsidP="00393ABA">
            <w:pPr>
              <w:spacing w:after="120"/>
              <w:jc w:val="center"/>
              <w:rPr>
                <w:rFonts w:ascii="Calibri" w:hAnsi="Calibri" w:cs="Calibri"/>
                <w:b/>
                <w:bCs/>
                <w:color w:val="FF0000"/>
                <w:sz w:val="20"/>
                <w:szCs w:val="20"/>
              </w:rPr>
            </w:pPr>
            <w:r w:rsidRPr="00393ABA">
              <w:rPr>
                <w:rFonts w:ascii="Calibri" w:hAnsi="Calibri" w:cs="Calibri"/>
                <w:b/>
                <w:bCs/>
                <w:color w:val="FF0000"/>
                <w:sz w:val="20"/>
                <w:szCs w:val="20"/>
              </w:rPr>
              <w:t>V.Freq</w:t>
            </w:r>
          </w:p>
        </w:tc>
        <w:tc>
          <w:tcPr>
            <w:tcW w:w="912" w:type="dxa"/>
            <w:vMerge/>
            <w:tcBorders>
              <w:top w:val="single" w:sz="4" w:space="0" w:color="auto"/>
              <w:left w:val="nil"/>
              <w:bottom w:val="single" w:sz="4" w:space="0" w:color="000000"/>
              <w:right w:val="nil"/>
            </w:tcBorders>
            <w:vAlign w:val="center"/>
            <w:hideMark/>
          </w:tcPr>
          <w:p w14:paraId="0C3F8B86"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B87" w14:textId="77777777" w:rsidR="00B6457B" w:rsidRPr="00393ABA" w:rsidRDefault="00B6457B" w:rsidP="00393ABA">
            <w:pPr>
              <w:spacing w:after="120"/>
              <w:jc w:val="left"/>
              <w:rPr>
                <w:rFonts w:ascii="Calibri" w:hAnsi="Calibri" w:cs="Calibri"/>
                <w:b/>
                <w:bCs/>
                <w:sz w:val="20"/>
                <w:szCs w:val="20"/>
              </w:rPr>
            </w:pPr>
          </w:p>
        </w:tc>
        <w:tc>
          <w:tcPr>
            <w:tcW w:w="813" w:type="dxa"/>
            <w:tcBorders>
              <w:top w:val="nil"/>
              <w:left w:val="nil"/>
              <w:bottom w:val="nil"/>
              <w:right w:val="nil"/>
            </w:tcBorders>
            <w:shd w:val="clear" w:color="000000" w:fill="0070C0"/>
            <w:noWrap/>
            <w:vAlign w:val="bottom"/>
            <w:hideMark/>
          </w:tcPr>
          <w:p w14:paraId="0C3F8B88"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w:t>
            </w:r>
          </w:p>
        </w:tc>
        <w:tc>
          <w:tcPr>
            <w:tcW w:w="918" w:type="dxa"/>
            <w:tcBorders>
              <w:top w:val="nil"/>
              <w:left w:val="nil"/>
              <w:bottom w:val="nil"/>
              <w:right w:val="nil"/>
            </w:tcBorders>
            <w:shd w:val="clear" w:color="000000" w:fill="00B050"/>
            <w:noWrap/>
            <w:vAlign w:val="bottom"/>
            <w:hideMark/>
          </w:tcPr>
          <w:p w14:paraId="0C3F8B89"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w:t>
            </w:r>
          </w:p>
        </w:tc>
        <w:tc>
          <w:tcPr>
            <w:tcW w:w="594" w:type="dxa"/>
            <w:tcBorders>
              <w:top w:val="nil"/>
              <w:left w:val="nil"/>
              <w:bottom w:val="nil"/>
              <w:right w:val="nil"/>
            </w:tcBorders>
            <w:shd w:val="clear" w:color="000000" w:fill="FF0000"/>
            <w:noWrap/>
            <w:vAlign w:val="bottom"/>
            <w:hideMark/>
          </w:tcPr>
          <w:p w14:paraId="0C3F8B8A"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III</w:t>
            </w:r>
          </w:p>
        </w:tc>
        <w:tc>
          <w:tcPr>
            <w:tcW w:w="1083" w:type="dxa"/>
            <w:tcBorders>
              <w:top w:val="nil"/>
              <w:left w:val="nil"/>
              <w:bottom w:val="nil"/>
              <w:right w:val="nil"/>
            </w:tcBorders>
            <w:shd w:val="clear" w:color="000000" w:fill="C00000"/>
            <w:noWrap/>
            <w:vAlign w:val="bottom"/>
            <w:hideMark/>
          </w:tcPr>
          <w:p w14:paraId="0C3F8B8B"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IV</w:t>
            </w:r>
          </w:p>
        </w:tc>
        <w:tc>
          <w:tcPr>
            <w:tcW w:w="886" w:type="dxa"/>
            <w:vMerge/>
            <w:tcBorders>
              <w:top w:val="single" w:sz="4" w:space="0" w:color="auto"/>
              <w:left w:val="nil"/>
              <w:bottom w:val="single" w:sz="4" w:space="0" w:color="000000"/>
              <w:right w:val="nil"/>
            </w:tcBorders>
            <w:vAlign w:val="center"/>
            <w:hideMark/>
          </w:tcPr>
          <w:p w14:paraId="0C3F8B8C" w14:textId="77777777" w:rsidR="00B6457B" w:rsidRPr="00393ABA" w:rsidRDefault="00B6457B" w:rsidP="00393ABA">
            <w:pPr>
              <w:spacing w:after="120"/>
              <w:jc w:val="left"/>
              <w:rPr>
                <w:rFonts w:ascii="Calibri" w:hAnsi="Calibri" w:cs="Calibri"/>
                <w:b/>
                <w:bCs/>
                <w:sz w:val="20"/>
                <w:szCs w:val="20"/>
              </w:rPr>
            </w:pPr>
          </w:p>
        </w:tc>
        <w:tc>
          <w:tcPr>
            <w:tcW w:w="886" w:type="dxa"/>
            <w:vMerge/>
            <w:tcBorders>
              <w:top w:val="single" w:sz="4" w:space="0" w:color="auto"/>
              <w:left w:val="nil"/>
              <w:bottom w:val="single" w:sz="4" w:space="0" w:color="000000"/>
              <w:right w:val="single" w:sz="4" w:space="0" w:color="auto"/>
            </w:tcBorders>
            <w:vAlign w:val="center"/>
            <w:hideMark/>
          </w:tcPr>
          <w:p w14:paraId="0C3F8B8D" w14:textId="77777777" w:rsidR="00B6457B" w:rsidRPr="00393ABA" w:rsidRDefault="00B6457B" w:rsidP="00393ABA">
            <w:pPr>
              <w:spacing w:after="120"/>
              <w:jc w:val="left"/>
              <w:rPr>
                <w:rFonts w:ascii="Calibri" w:hAnsi="Calibri" w:cs="Calibri"/>
                <w:b/>
                <w:bCs/>
                <w:sz w:val="20"/>
                <w:szCs w:val="20"/>
              </w:rPr>
            </w:pPr>
          </w:p>
        </w:tc>
      </w:tr>
      <w:tr w:rsidR="00B6457B" w:rsidRPr="00393ABA" w14:paraId="0C3F8B9F" w14:textId="77777777" w:rsidTr="00393ABA">
        <w:trPr>
          <w:trHeight w:val="20"/>
        </w:trPr>
        <w:tc>
          <w:tcPr>
            <w:tcW w:w="1407" w:type="dxa"/>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C3F8B8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GBR</w:t>
            </w:r>
          </w:p>
        </w:tc>
        <w:tc>
          <w:tcPr>
            <w:tcW w:w="1120" w:type="dxa"/>
            <w:tcBorders>
              <w:top w:val="single" w:sz="4" w:space="0" w:color="auto"/>
              <w:left w:val="single" w:sz="4" w:space="0" w:color="auto"/>
              <w:bottom w:val="nil"/>
              <w:right w:val="single" w:sz="4" w:space="0" w:color="auto"/>
            </w:tcBorders>
            <w:shd w:val="clear" w:color="000000" w:fill="F2F2F2"/>
            <w:noWrap/>
            <w:vAlign w:val="center"/>
            <w:hideMark/>
          </w:tcPr>
          <w:p w14:paraId="0C3F8B9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 xml:space="preserve">area </w:t>
            </w:r>
          </w:p>
        </w:tc>
        <w:tc>
          <w:tcPr>
            <w:tcW w:w="820" w:type="dxa"/>
            <w:tcBorders>
              <w:top w:val="single" w:sz="4" w:space="0" w:color="auto"/>
              <w:left w:val="nil"/>
              <w:bottom w:val="nil"/>
              <w:right w:val="single" w:sz="4" w:space="0" w:color="auto"/>
            </w:tcBorders>
            <w:shd w:val="clear" w:color="000000" w:fill="F2F2F2"/>
            <w:noWrap/>
            <w:vAlign w:val="bottom"/>
            <w:hideMark/>
          </w:tcPr>
          <w:p w14:paraId="0C3F8B9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24075</w:t>
            </w:r>
          </w:p>
        </w:tc>
        <w:tc>
          <w:tcPr>
            <w:tcW w:w="622" w:type="dxa"/>
            <w:tcBorders>
              <w:top w:val="nil"/>
              <w:left w:val="nil"/>
              <w:bottom w:val="nil"/>
              <w:right w:val="nil"/>
            </w:tcBorders>
            <w:shd w:val="clear" w:color="auto" w:fill="auto"/>
            <w:noWrap/>
            <w:vAlign w:val="bottom"/>
            <w:hideMark/>
          </w:tcPr>
          <w:p w14:paraId="0C3F8B9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5163</w:t>
            </w:r>
          </w:p>
        </w:tc>
        <w:tc>
          <w:tcPr>
            <w:tcW w:w="835" w:type="dxa"/>
            <w:tcBorders>
              <w:top w:val="nil"/>
              <w:left w:val="nil"/>
              <w:bottom w:val="nil"/>
              <w:right w:val="nil"/>
            </w:tcBorders>
            <w:shd w:val="clear" w:color="auto" w:fill="auto"/>
            <w:noWrap/>
            <w:vAlign w:val="bottom"/>
            <w:hideMark/>
          </w:tcPr>
          <w:p w14:paraId="0C3F8B9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2992</w:t>
            </w:r>
          </w:p>
        </w:tc>
        <w:tc>
          <w:tcPr>
            <w:tcW w:w="803" w:type="dxa"/>
            <w:tcBorders>
              <w:top w:val="nil"/>
              <w:left w:val="nil"/>
              <w:bottom w:val="nil"/>
              <w:right w:val="nil"/>
            </w:tcBorders>
            <w:shd w:val="clear" w:color="auto" w:fill="auto"/>
            <w:noWrap/>
            <w:vAlign w:val="bottom"/>
            <w:hideMark/>
          </w:tcPr>
          <w:p w14:paraId="0C3F8B9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2130</w:t>
            </w:r>
          </w:p>
        </w:tc>
        <w:tc>
          <w:tcPr>
            <w:tcW w:w="647" w:type="dxa"/>
            <w:tcBorders>
              <w:top w:val="nil"/>
              <w:left w:val="nil"/>
              <w:bottom w:val="nil"/>
              <w:right w:val="nil"/>
            </w:tcBorders>
            <w:shd w:val="clear" w:color="auto" w:fill="auto"/>
            <w:noWrap/>
            <w:vAlign w:val="bottom"/>
            <w:hideMark/>
          </w:tcPr>
          <w:p w14:paraId="0C3F8B9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580</w:t>
            </w:r>
          </w:p>
        </w:tc>
        <w:tc>
          <w:tcPr>
            <w:tcW w:w="815" w:type="dxa"/>
            <w:tcBorders>
              <w:top w:val="nil"/>
              <w:left w:val="nil"/>
              <w:bottom w:val="nil"/>
              <w:right w:val="nil"/>
            </w:tcBorders>
            <w:shd w:val="clear" w:color="auto" w:fill="auto"/>
            <w:noWrap/>
            <w:vAlign w:val="bottom"/>
            <w:hideMark/>
          </w:tcPr>
          <w:p w14:paraId="0C3F8B9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407</w:t>
            </w:r>
          </w:p>
        </w:tc>
        <w:tc>
          <w:tcPr>
            <w:tcW w:w="912" w:type="dxa"/>
            <w:tcBorders>
              <w:top w:val="nil"/>
              <w:left w:val="nil"/>
              <w:bottom w:val="nil"/>
              <w:right w:val="nil"/>
            </w:tcBorders>
            <w:shd w:val="clear" w:color="000000" w:fill="F2DCDB"/>
            <w:noWrap/>
            <w:vAlign w:val="bottom"/>
            <w:hideMark/>
          </w:tcPr>
          <w:p w14:paraId="0C3F8B9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11272</w:t>
            </w:r>
          </w:p>
        </w:tc>
        <w:tc>
          <w:tcPr>
            <w:tcW w:w="912" w:type="dxa"/>
            <w:tcBorders>
              <w:top w:val="nil"/>
              <w:left w:val="nil"/>
              <w:bottom w:val="nil"/>
              <w:right w:val="single" w:sz="4" w:space="0" w:color="auto"/>
            </w:tcBorders>
            <w:shd w:val="clear" w:color="000000" w:fill="F2DCDB"/>
            <w:noWrap/>
            <w:vAlign w:val="bottom"/>
            <w:hideMark/>
          </w:tcPr>
          <w:p w14:paraId="0C3F8B9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12803</w:t>
            </w:r>
          </w:p>
        </w:tc>
        <w:tc>
          <w:tcPr>
            <w:tcW w:w="813" w:type="dxa"/>
            <w:tcBorders>
              <w:top w:val="single" w:sz="4" w:space="0" w:color="auto"/>
              <w:left w:val="nil"/>
              <w:bottom w:val="nil"/>
              <w:right w:val="nil"/>
            </w:tcBorders>
            <w:shd w:val="clear" w:color="auto" w:fill="auto"/>
            <w:noWrap/>
            <w:vAlign w:val="bottom"/>
            <w:hideMark/>
          </w:tcPr>
          <w:p w14:paraId="0C3F8B9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8887</w:t>
            </w:r>
          </w:p>
        </w:tc>
        <w:tc>
          <w:tcPr>
            <w:tcW w:w="918" w:type="dxa"/>
            <w:tcBorders>
              <w:top w:val="single" w:sz="4" w:space="0" w:color="auto"/>
              <w:left w:val="nil"/>
              <w:bottom w:val="nil"/>
              <w:right w:val="nil"/>
            </w:tcBorders>
            <w:shd w:val="clear" w:color="auto" w:fill="auto"/>
            <w:noWrap/>
            <w:vAlign w:val="bottom"/>
            <w:hideMark/>
          </w:tcPr>
          <w:p w14:paraId="0C3F8B9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2015</w:t>
            </w:r>
          </w:p>
        </w:tc>
        <w:tc>
          <w:tcPr>
            <w:tcW w:w="594" w:type="dxa"/>
            <w:tcBorders>
              <w:top w:val="single" w:sz="4" w:space="0" w:color="auto"/>
              <w:left w:val="nil"/>
              <w:bottom w:val="nil"/>
              <w:right w:val="nil"/>
            </w:tcBorders>
            <w:shd w:val="clear" w:color="auto" w:fill="auto"/>
            <w:noWrap/>
            <w:vAlign w:val="bottom"/>
            <w:hideMark/>
          </w:tcPr>
          <w:p w14:paraId="0C3F8B9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381</w:t>
            </w:r>
          </w:p>
        </w:tc>
        <w:tc>
          <w:tcPr>
            <w:tcW w:w="1083" w:type="dxa"/>
            <w:tcBorders>
              <w:top w:val="single" w:sz="4" w:space="0" w:color="auto"/>
              <w:left w:val="nil"/>
              <w:bottom w:val="nil"/>
              <w:right w:val="nil"/>
            </w:tcBorders>
            <w:shd w:val="clear" w:color="auto" w:fill="auto"/>
            <w:noWrap/>
            <w:vAlign w:val="bottom"/>
            <w:hideMark/>
          </w:tcPr>
          <w:p w14:paraId="0C3F8B9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w:t>
            </w:r>
          </w:p>
        </w:tc>
        <w:tc>
          <w:tcPr>
            <w:tcW w:w="886" w:type="dxa"/>
            <w:tcBorders>
              <w:top w:val="nil"/>
              <w:left w:val="nil"/>
              <w:bottom w:val="nil"/>
              <w:right w:val="nil"/>
            </w:tcBorders>
            <w:shd w:val="clear" w:color="000000" w:fill="F2DCDB"/>
            <w:noWrap/>
            <w:vAlign w:val="bottom"/>
            <w:hideMark/>
          </w:tcPr>
          <w:p w14:paraId="0C3F8B9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11287</w:t>
            </w:r>
          </w:p>
        </w:tc>
        <w:tc>
          <w:tcPr>
            <w:tcW w:w="886" w:type="dxa"/>
            <w:tcBorders>
              <w:top w:val="nil"/>
              <w:left w:val="nil"/>
              <w:bottom w:val="nil"/>
              <w:right w:val="single" w:sz="4" w:space="0" w:color="auto"/>
            </w:tcBorders>
            <w:shd w:val="clear" w:color="000000" w:fill="F2DCDB"/>
            <w:noWrap/>
            <w:vAlign w:val="bottom"/>
            <w:hideMark/>
          </w:tcPr>
          <w:p w14:paraId="0C3F8B9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12788</w:t>
            </w:r>
          </w:p>
        </w:tc>
      </w:tr>
      <w:tr w:rsidR="00B6457B" w:rsidRPr="00393ABA" w14:paraId="0C3F8BB0" w14:textId="77777777" w:rsidTr="00393ABA">
        <w:trPr>
          <w:trHeight w:val="20"/>
        </w:trPr>
        <w:tc>
          <w:tcPr>
            <w:tcW w:w="1407" w:type="dxa"/>
            <w:vMerge/>
            <w:tcBorders>
              <w:top w:val="single" w:sz="4" w:space="0" w:color="auto"/>
              <w:left w:val="single" w:sz="4" w:space="0" w:color="auto"/>
              <w:bottom w:val="double" w:sz="6" w:space="0" w:color="000000"/>
              <w:right w:val="nil"/>
            </w:tcBorders>
            <w:vAlign w:val="center"/>
            <w:hideMark/>
          </w:tcPr>
          <w:p w14:paraId="0C3F8BA0"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double" w:sz="6" w:space="0" w:color="auto"/>
              <w:right w:val="single" w:sz="4" w:space="0" w:color="auto"/>
            </w:tcBorders>
            <w:shd w:val="clear" w:color="000000" w:fill="F2F2F2"/>
            <w:noWrap/>
            <w:vAlign w:val="center"/>
            <w:hideMark/>
          </w:tcPr>
          <w:p w14:paraId="0C3F8BA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t>
            </w:r>
          </w:p>
        </w:tc>
        <w:tc>
          <w:tcPr>
            <w:tcW w:w="820" w:type="dxa"/>
            <w:tcBorders>
              <w:top w:val="nil"/>
              <w:left w:val="nil"/>
              <w:bottom w:val="double" w:sz="6" w:space="0" w:color="auto"/>
              <w:right w:val="single" w:sz="4" w:space="0" w:color="auto"/>
            </w:tcBorders>
            <w:shd w:val="clear" w:color="000000" w:fill="F2F2F2"/>
            <w:noWrap/>
            <w:vAlign w:val="bottom"/>
            <w:hideMark/>
          </w:tcPr>
          <w:p w14:paraId="0C3F8BA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100%</w:t>
            </w:r>
          </w:p>
        </w:tc>
        <w:tc>
          <w:tcPr>
            <w:tcW w:w="622" w:type="dxa"/>
            <w:tcBorders>
              <w:top w:val="nil"/>
              <w:left w:val="nil"/>
              <w:bottom w:val="double" w:sz="6" w:space="0" w:color="auto"/>
              <w:right w:val="nil"/>
            </w:tcBorders>
            <w:shd w:val="clear" w:color="auto" w:fill="auto"/>
            <w:noWrap/>
            <w:vAlign w:val="bottom"/>
            <w:hideMark/>
          </w:tcPr>
          <w:p w14:paraId="0C3F8BA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21%</w:t>
            </w:r>
          </w:p>
        </w:tc>
        <w:tc>
          <w:tcPr>
            <w:tcW w:w="835" w:type="dxa"/>
            <w:tcBorders>
              <w:top w:val="nil"/>
              <w:left w:val="nil"/>
              <w:bottom w:val="double" w:sz="6" w:space="0" w:color="auto"/>
              <w:right w:val="nil"/>
            </w:tcBorders>
            <w:shd w:val="clear" w:color="auto" w:fill="auto"/>
            <w:noWrap/>
            <w:vAlign w:val="bottom"/>
            <w:hideMark/>
          </w:tcPr>
          <w:p w14:paraId="0C3F8BA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w:t>
            </w:r>
          </w:p>
        </w:tc>
        <w:tc>
          <w:tcPr>
            <w:tcW w:w="803" w:type="dxa"/>
            <w:tcBorders>
              <w:top w:val="nil"/>
              <w:left w:val="nil"/>
              <w:bottom w:val="double" w:sz="6" w:space="0" w:color="auto"/>
              <w:right w:val="nil"/>
            </w:tcBorders>
            <w:shd w:val="clear" w:color="auto" w:fill="auto"/>
            <w:noWrap/>
            <w:vAlign w:val="bottom"/>
            <w:hideMark/>
          </w:tcPr>
          <w:p w14:paraId="0C3F8BA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9%</w:t>
            </w:r>
          </w:p>
        </w:tc>
        <w:tc>
          <w:tcPr>
            <w:tcW w:w="647" w:type="dxa"/>
            <w:tcBorders>
              <w:top w:val="nil"/>
              <w:left w:val="nil"/>
              <w:bottom w:val="double" w:sz="6" w:space="0" w:color="auto"/>
              <w:right w:val="nil"/>
            </w:tcBorders>
            <w:shd w:val="clear" w:color="auto" w:fill="auto"/>
            <w:noWrap/>
            <w:vAlign w:val="bottom"/>
            <w:hideMark/>
          </w:tcPr>
          <w:p w14:paraId="0C3F8BA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w:t>
            </w:r>
          </w:p>
        </w:tc>
        <w:tc>
          <w:tcPr>
            <w:tcW w:w="815" w:type="dxa"/>
            <w:tcBorders>
              <w:top w:val="nil"/>
              <w:left w:val="nil"/>
              <w:bottom w:val="double" w:sz="6" w:space="0" w:color="auto"/>
              <w:right w:val="nil"/>
            </w:tcBorders>
            <w:shd w:val="clear" w:color="auto" w:fill="auto"/>
            <w:noWrap/>
            <w:vAlign w:val="bottom"/>
            <w:hideMark/>
          </w:tcPr>
          <w:p w14:paraId="0C3F8BA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w:t>
            </w:r>
          </w:p>
        </w:tc>
        <w:tc>
          <w:tcPr>
            <w:tcW w:w="912" w:type="dxa"/>
            <w:tcBorders>
              <w:top w:val="nil"/>
              <w:left w:val="nil"/>
              <w:bottom w:val="double" w:sz="6" w:space="0" w:color="auto"/>
              <w:right w:val="nil"/>
            </w:tcBorders>
            <w:shd w:val="clear" w:color="000000" w:fill="F2DCDB"/>
            <w:noWrap/>
            <w:vAlign w:val="bottom"/>
            <w:hideMark/>
          </w:tcPr>
          <w:p w14:paraId="0C3F8BA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47%</w:t>
            </w:r>
          </w:p>
        </w:tc>
        <w:tc>
          <w:tcPr>
            <w:tcW w:w="912" w:type="dxa"/>
            <w:tcBorders>
              <w:top w:val="nil"/>
              <w:left w:val="nil"/>
              <w:bottom w:val="double" w:sz="6" w:space="0" w:color="auto"/>
              <w:right w:val="nil"/>
            </w:tcBorders>
            <w:shd w:val="clear" w:color="000000" w:fill="F2DCDB"/>
            <w:noWrap/>
            <w:vAlign w:val="bottom"/>
            <w:hideMark/>
          </w:tcPr>
          <w:p w14:paraId="0C3F8BA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53%</w:t>
            </w:r>
          </w:p>
        </w:tc>
        <w:tc>
          <w:tcPr>
            <w:tcW w:w="813" w:type="dxa"/>
            <w:tcBorders>
              <w:top w:val="nil"/>
              <w:left w:val="single" w:sz="4" w:space="0" w:color="auto"/>
              <w:bottom w:val="double" w:sz="6" w:space="0" w:color="auto"/>
              <w:right w:val="nil"/>
            </w:tcBorders>
            <w:shd w:val="clear" w:color="auto" w:fill="auto"/>
            <w:noWrap/>
            <w:vAlign w:val="bottom"/>
            <w:hideMark/>
          </w:tcPr>
          <w:p w14:paraId="0C3F8BA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37%</w:t>
            </w:r>
          </w:p>
        </w:tc>
        <w:tc>
          <w:tcPr>
            <w:tcW w:w="918" w:type="dxa"/>
            <w:tcBorders>
              <w:top w:val="nil"/>
              <w:left w:val="nil"/>
              <w:bottom w:val="double" w:sz="6" w:space="0" w:color="auto"/>
              <w:right w:val="nil"/>
            </w:tcBorders>
            <w:shd w:val="clear" w:color="auto" w:fill="auto"/>
            <w:noWrap/>
            <w:vAlign w:val="bottom"/>
            <w:hideMark/>
          </w:tcPr>
          <w:p w14:paraId="0C3F8BA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8%</w:t>
            </w:r>
          </w:p>
        </w:tc>
        <w:tc>
          <w:tcPr>
            <w:tcW w:w="594" w:type="dxa"/>
            <w:tcBorders>
              <w:top w:val="nil"/>
              <w:left w:val="nil"/>
              <w:bottom w:val="double" w:sz="6" w:space="0" w:color="auto"/>
              <w:right w:val="nil"/>
            </w:tcBorders>
            <w:shd w:val="clear" w:color="auto" w:fill="auto"/>
            <w:noWrap/>
            <w:vAlign w:val="bottom"/>
            <w:hideMark/>
          </w:tcPr>
          <w:p w14:paraId="0C3F8BA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w:t>
            </w:r>
          </w:p>
        </w:tc>
        <w:tc>
          <w:tcPr>
            <w:tcW w:w="1083" w:type="dxa"/>
            <w:tcBorders>
              <w:top w:val="nil"/>
              <w:left w:val="nil"/>
              <w:bottom w:val="double" w:sz="6" w:space="0" w:color="auto"/>
              <w:right w:val="nil"/>
            </w:tcBorders>
            <w:shd w:val="clear" w:color="auto" w:fill="auto"/>
            <w:noWrap/>
            <w:vAlign w:val="bottom"/>
            <w:hideMark/>
          </w:tcPr>
          <w:p w14:paraId="0C3F8BA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886" w:type="dxa"/>
            <w:tcBorders>
              <w:top w:val="nil"/>
              <w:left w:val="nil"/>
              <w:bottom w:val="double" w:sz="6" w:space="0" w:color="auto"/>
              <w:right w:val="nil"/>
            </w:tcBorders>
            <w:shd w:val="clear" w:color="000000" w:fill="F2DCDB"/>
            <w:noWrap/>
            <w:vAlign w:val="bottom"/>
            <w:hideMark/>
          </w:tcPr>
          <w:p w14:paraId="0C3F8BA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47%</w:t>
            </w:r>
          </w:p>
        </w:tc>
        <w:tc>
          <w:tcPr>
            <w:tcW w:w="886" w:type="dxa"/>
            <w:tcBorders>
              <w:top w:val="nil"/>
              <w:left w:val="nil"/>
              <w:bottom w:val="double" w:sz="6" w:space="0" w:color="auto"/>
              <w:right w:val="single" w:sz="4" w:space="0" w:color="auto"/>
            </w:tcBorders>
            <w:shd w:val="clear" w:color="000000" w:fill="F2DCDB"/>
            <w:noWrap/>
            <w:vAlign w:val="bottom"/>
            <w:hideMark/>
          </w:tcPr>
          <w:p w14:paraId="0C3F8BA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53%</w:t>
            </w:r>
          </w:p>
        </w:tc>
      </w:tr>
      <w:tr w:rsidR="00B6457B" w:rsidRPr="00393ABA" w14:paraId="0C3F8BC1" w14:textId="77777777" w:rsidTr="00393ABA">
        <w:trPr>
          <w:trHeight w:val="20"/>
        </w:trPr>
        <w:tc>
          <w:tcPr>
            <w:tcW w:w="1407" w:type="dxa"/>
            <w:vMerge w:val="restart"/>
            <w:tcBorders>
              <w:top w:val="nil"/>
              <w:left w:val="single" w:sz="4" w:space="0" w:color="auto"/>
              <w:bottom w:val="nil"/>
              <w:right w:val="nil"/>
            </w:tcBorders>
            <w:shd w:val="clear" w:color="000000" w:fill="F2F2F2"/>
            <w:noWrap/>
            <w:vAlign w:val="center"/>
            <w:hideMark/>
          </w:tcPr>
          <w:p w14:paraId="0C3F8BB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Cape York</w:t>
            </w:r>
          </w:p>
        </w:tc>
        <w:tc>
          <w:tcPr>
            <w:tcW w:w="1120" w:type="dxa"/>
            <w:tcBorders>
              <w:top w:val="nil"/>
              <w:left w:val="single" w:sz="4" w:space="0" w:color="auto"/>
              <w:bottom w:val="nil"/>
              <w:right w:val="single" w:sz="4" w:space="0" w:color="auto"/>
            </w:tcBorders>
            <w:shd w:val="clear" w:color="000000" w:fill="F2F2F2"/>
            <w:noWrap/>
            <w:vAlign w:val="center"/>
            <w:hideMark/>
          </w:tcPr>
          <w:p w14:paraId="0C3F8BB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BB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10332</w:t>
            </w:r>
          </w:p>
        </w:tc>
        <w:tc>
          <w:tcPr>
            <w:tcW w:w="622" w:type="dxa"/>
            <w:tcBorders>
              <w:top w:val="nil"/>
              <w:left w:val="nil"/>
              <w:bottom w:val="nil"/>
              <w:right w:val="nil"/>
            </w:tcBorders>
            <w:shd w:val="clear" w:color="auto" w:fill="auto"/>
            <w:noWrap/>
            <w:vAlign w:val="bottom"/>
            <w:hideMark/>
          </w:tcPr>
          <w:p w14:paraId="0C3F8BB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1760</w:t>
            </w:r>
          </w:p>
        </w:tc>
        <w:tc>
          <w:tcPr>
            <w:tcW w:w="835" w:type="dxa"/>
            <w:tcBorders>
              <w:top w:val="nil"/>
              <w:left w:val="nil"/>
              <w:bottom w:val="nil"/>
              <w:right w:val="nil"/>
            </w:tcBorders>
            <w:shd w:val="clear" w:color="auto" w:fill="auto"/>
            <w:noWrap/>
            <w:vAlign w:val="bottom"/>
            <w:hideMark/>
          </w:tcPr>
          <w:p w14:paraId="0C3F8BB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2042</w:t>
            </w:r>
          </w:p>
        </w:tc>
        <w:tc>
          <w:tcPr>
            <w:tcW w:w="803" w:type="dxa"/>
            <w:tcBorders>
              <w:top w:val="nil"/>
              <w:left w:val="nil"/>
              <w:bottom w:val="nil"/>
              <w:right w:val="nil"/>
            </w:tcBorders>
            <w:shd w:val="clear" w:color="auto" w:fill="auto"/>
            <w:noWrap/>
            <w:vAlign w:val="bottom"/>
            <w:hideMark/>
          </w:tcPr>
          <w:p w14:paraId="0C3F8BB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1966</w:t>
            </w:r>
          </w:p>
        </w:tc>
        <w:tc>
          <w:tcPr>
            <w:tcW w:w="647" w:type="dxa"/>
            <w:tcBorders>
              <w:top w:val="nil"/>
              <w:left w:val="nil"/>
              <w:bottom w:val="nil"/>
              <w:right w:val="nil"/>
            </w:tcBorders>
            <w:shd w:val="clear" w:color="auto" w:fill="auto"/>
            <w:noWrap/>
            <w:vAlign w:val="bottom"/>
            <w:hideMark/>
          </w:tcPr>
          <w:p w14:paraId="0C3F8BB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458</w:t>
            </w:r>
          </w:p>
        </w:tc>
        <w:tc>
          <w:tcPr>
            <w:tcW w:w="815" w:type="dxa"/>
            <w:tcBorders>
              <w:top w:val="nil"/>
              <w:left w:val="nil"/>
              <w:bottom w:val="nil"/>
              <w:right w:val="nil"/>
            </w:tcBorders>
            <w:shd w:val="clear" w:color="auto" w:fill="auto"/>
            <w:noWrap/>
            <w:vAlign w:val="bottom"/>
            <w:hideMark/>
          </w:tcPr>
          <w:p w14:paraId="0C3F8BB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97</w:t>
            </w:r>
          </w:p>
        </w:tc>
        <w:tc>
          <w:tcPr>
            <w:tcW w:w="912" w:type="dxa"/>
            <w:tcBorders>
              <w:top w:val="nil"/>
              <w:left w:val="nil"/>
              <w:bottom w:val="nil"/>
              <w:right w:val="nil"/>
            </w:tcBorders>
            <w:shd w:val="clear" w:color="000000" w:fill="F2DCDB"/>
            <w:noWrap/>
            <w:vAlign w:val="bottom"/>
            <w:hideMark/>
          </w:tcPr>
          <w:p w14:paraId="0C3F8BB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6323</w:t>
            </w:r>
          </w:p>
        </w:tc>
        <w:tc>
          <w:tcPr>
            <w:tcW w:w="912" w:type="dxa"/>
            <w:tcBorders>
              <w:top w:val="nil"/>
              <w:left w:val="nil"/>
              <w:bottom w:val="nil"/>
              <w:right w:val="single" w:sz="4" w:space="0" w:color="auto"/>
            </w:tcBorders>
            <w:shd w:val="clear" w:color="000000" w:fill="F2DCDB"/>
            <w:noWrap/>
            <w:vAlign w:val="bottom"/>
            <w:hideMark/>
          </w:tcPr>
          <w:p w14:paraId="0C3F8BB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4010</w:t>
            </w:r>
          </w:p>
        </w:tc>
        <w:tc>
          <w:tcPr>
            <w:tcW w:w="813" w:type="dxa"/>
            <w:tcBorders>
              <w:top w:val="nil"/>
              <w:left w:val="nil"/>
              <w:bottom w:val="nil"/>
              <w:right w:val="nil"/>
            </w:tcBorders>
            <w:shd w:val="clear" w:color="auto" w:fill="auto"/>
            <w:noWrap/>
            <w:vAlign w:val="bottom"/>
            <w:hideMark/>
          </w:tcPr>
          <w:p w14:paraId="0C3F8BB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4526</w:t>
            </w:r>
          </w:p>
        </w:tc>
        <w:tc>
          <w:tcPr>
            <w:tcW w:w="918" w:type="dxa"/>
            <w:tcBorders>
              <w:top w:val="nil"/>
              <w:left w:val="nil"/>
              <w:bottom w:val="nil"/>
              <w:right w:val="nil"/>
            </w:tcBorders>
            <w:shd w:val="clear" w:color="auto" w:fill="auto"/>
            <w:noWrap/>
            <w:vAlign w:val="bottom"/>
            <w:hideMark/>
          </w:tcPr>
          <w:p w14:paraId="0C3F8BB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1727</w:t>
            </w:r>
          </w:p>
        </w:tc>
        <w:tc>
          <w:tcPr>
            <w:tcW w:w="594" w:type="dxa"/>
            <w:tcBorders>
              <w:top w:val="nil"/>
              <w:left w:val="nil"/>
              <w:bottom w:val="nil"/>
              <w:right w:val="nil"/>
            </w:tcBorders>
            <w:shd w:val="clear" w:color="auto" w:fill="auto"/>
            <w:noWrap/>
            <w:vAlign w:val="bottom"/>
            <w:hideMark/>
          </w:tcPr>
          <w:p w14:paraId="0C3F8BB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75</w:t>
            </w:r>
          </w:p>
        </w:tc>
        <w:tc>
          <w:tcPr>
            <w:tcW w:w="1083" w:type="dxa"/>
            <w:tcBorders>
              <w:top w:val="nil"/>
              <w:left w:val="nil"/>
              <w:bottom w:val="nil"/>
              <w:right w:val="nil"/>
            </w:tcBorders>
            <w:shd w:val="clear" w:color="auto" w:fill="auto"/>
            <w:noWrap/>
            <w:vAlign w:val="bottom"/>
            <w:hideMark/>
          </w:tcPr>
          <w:p w14:paraId="0C3F8BB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86" w:type="dxa"/>
            <w:tcBorders>
              <w:top w:val="nil"/>
              <w:left w:val="nil"/>
              <w:bottom w:val="nil"/>
              <w:right w:val="nil"/>
            </w:tcBorders>
            <w:shd w:val="clear" w:color="000000" w:fill="F2DCDB"/>
            <w:noWrap/>
            <w:vAlign w:val="bottom"/>
            <w:hideMark/>
          </w:tcPr>
          <w:p w14:paraId="0C3F8BBF"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6329</w:t>
            </w:r>
          </w:p>
        </w:tc>
        <w:tc>
          <w:tcPr>
            <w:tcW w:w="886" w:type="dxa"/>
            <w:tcBorders>
              <w:top w:val="nil"/>
              <w:left w:val="nil"/>
              <w:bottom w:val="nil"/>
              <w:right w:val="single" w:sz="4" w:space="0" w:color="auto"/>
            </w:tcBorders>
            <w:shd w:val="clear" w:color="000000" w:fill="F2DCDB"/>
            <w:noWrap/>
            <w:vAlign w:val="bottom"/>
            <w:hideMark/>
          </w:tcPr>
          <w:p w14:paraId="0C3F8BC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4004</w:t>
            </w:r>
          </w:p>
        </w:tc>
      </w:tr>
      <w:tr w:rsidR="00B6457B" w:rsidRPr="00393ABA" w14:paraId="0C3F8BD2" w14:textId="77777777" w:rsidTr="00393ABA">
        <w:trPr>
          <w:trHeight w:val="20"/>
        </w:trPr>
        <w:tc>
          <w:tcPr>
            <w:tcW w:w="1407" w:type="dxa"/>
            <w:vMerge/>
            <w:tcBorders>
              <w:top w:val="nil"/>
              <w:left w:val="single" w:sz="4" w:space="0" w:color="auto"/>
              <w:bottom w:val="nil"/>
              <w:right w:val="nil"/>
            </w:tcBorders>
            <w:vAlign w:val="center"/>
            <w:hideMark/>
          </w:tcPr>
          <w:p w14:paraId="0C3F8BC2"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BC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BC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622" w:type="dxa"/>
            <w:tcBorders>
              <w:top w:val="nil"/>
              <w:left w:val="nil"/>
              <w:bottom w:val="nil"/>
              <w:right w:val="nil"/>
            </w:tcBorders>
            <w:shd w:val="clear" w:color="auto" w:fill="auto"/>
            <w:noWrap/>
            <w:vAlign w:val="bottom"/>
            <w:hideMark/>
          </w:tcPr>
          <w:p w14:paraId="0C3F8BC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835" w:type="dxa"/>
            <w:tcBorders>
              <w:top w:val="nil"/>
              <w:left w:val="nil"/>
              <w:bottom w:val="nil"/>
              <w:right w:val="nil"/>
            </w:tcBorders>
            <w:shd w:val="clear" w:color="auto" w:fill="auto"/>
            <w:noWrap/>
            <w:vAlign w:val="bottom"/>
            <w:hideMark/>
          </w:tcPr>
          <w:p w14:paraId="0C3F8BC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803" w:type="dxa"/>
            <w:tcBorders>
              <w:top w:val="nil"/>
              <w:left w:val="nil"/>
              <w:bottom w:val="nil"/>
              <w:right w:val="nil"/>
            </w:tcBorders>
            <w:shd w:val="clear" w:color="auto" w:fill="auto"/>
            <w:noWrap/>
            <w:vAlign w:val="bottom"/>
            <w:hideMark/>
          </w:tcPr>
          <w:p w14:paraId="0C3F8BC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19%</w:t>
            </w:r>
          </w:p>
        </w:tc>
        <w:tc>
          <w:tcPr>
            <w:tcW w:w="647" w:type="dxa"/>
            <w:tcBorders>
              <w:top w:val="nil"/>
              <w:left w:val="nil"/>
              <w:bottom w:val="nil"/>
              <w:right w:val="nil"/>
            </w:tcBorders>
            <w:shd w:val="clear" w:color="auto" w:fill="auto"/>
            <w:noWrap/>
            <w:vAlign w:val="bottom"/>
            <w:hideMark/>
          </w:tcPr>
          <w:p w14:paraId="0C3F8BC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815" w:type="dxa"/>
            <w:tcBorders>
              <w:top w:val="nil"/>
              <w:left w:val="nil"/>
              <w:bottom w:val="nil"/>
              <w:right w:val="nil"/>
            </w:tcBorders>
            <w:shd w:val="clear" w:color="auto" w:fill="auto"/>
            <w:noWrap/>
            <w:vAlign w:val="bottom"/>
            <w:hideMark/>
          </w:tcPr>
          <w:p w14:paraId="0C3F8BC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2" w:type="dxa"/>
            <w:tcBorders>
              <w:top w:val="nil"/>
              <w:left w:val="nil"/>
              <w:bottom w:val="nil"/>
              <w:right w:val="nil"/>
            </w:tcBorders>
            <w:shd w:val="clear" w:color="000000" w:fill="F2DCDB"/>
            <w:noWrap/>
            <w:vAlign w:val="bottom"/>
            <w:hideMark/>
          </w:tcPr>
          <w:p w14:paraId="0C3F8BC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61%</w:t>
            </w:r>
          </w:p>
        </w:tc>
        <w:tc>
          <w:tcPr>
            <w:tcW w:w="912" w:type="dxa"/>
            <w:tcBorders>
              <w:top w:val="nil"/>
              <w:left w:val="nil"/>
              <w:bottom w:val="nil"/>
              <w:right w:val="nil"/>
            </w:tcBorders>
            <w:shd w:val="clear" w:color="000000" w:fill="F2DCDB"/>
            <w:noWrap/>
            <w:vAlign w:val="bottom"/>
            <w:hideMark/>
          </w:tcPr>
          <w:p w14:paraId="0C3F8BC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39%</w:t>
            </w:r>
          </w:p>
        </w:tc>
        <w:tc>
          <w:tcPr>
            <w:tcW w:w="813" w:type="dxa"/>
            <w:tcBorders>
              <w:top w:val="nil"/>
              <w:left w:val="single" w:sz="4" w:space="0" w:color="auto"/>
              <w:bottom w:val="nil"/>
              <w:right w:val="nil"/>
            </w:tcBorders>
            <w:shd w:val="clear" w:color="auto" w:fill="auto"/>
            <w:noWrap/>
            <w:vAlign w:val="bottom"/>
            <w:hideMark/>
          </w:tcPr>
          <w:p w14:paraId="0C3F8BC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44%</w:t>
            </w:r>
          </w:p>
        </w:tc>
        <w:tc>
          <w:tcPr>
            <w:tcW w:w="918" w:type="dxa"/>
            <w:tcBorders>
              <w:top w:val="nil"/>
              <w:left w:val="nil"/>
              <w:bottom w:val="nil"/>
              <w:right w:val="nil"/>
            </w:tcBorders>
            <w:shd w:val="clear" w:color="auto" w:fill="auto"/>
            <w:noWrap/>
            <w:vAlign w:val="bottom"/>
            <w:hideMark/>
          </w:tcPr>
          <w:p w14:paraId="0C3F8BC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594" w:type="dxa"/>
            <w:tcBorders>
              <w:top w:val="nil"/>
              <w:left w:val="nil"/>
              <w:bottom w:val="nil"/>
              <w:right w:val="nil"/>
            </w:tcBorders>
            <w:shd w:val="clear" w:color="auto" w:fill="auto"/>
            <w:noWrap/>
            <w:vAlign w:val="bottom"/>
            <w:hideMark/>
          </w:tcPr>
          <w:p w14:paraId="0C3F8BC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1083" w:type="dxa"/>
            <w:tcBorders>
              <w:top w:val="nil"/>
              <w:left w:val="nil"/>
              <w:bottom w:val="nil"/>
              <w:right w:val="nil"/>
            </w:tcBorders>
            <w:shd w:val="clear" w:color="auto" w:fill="auto"/>
            <w:noWrap/>
            <w:vAlign w:val="bottom"/>
            <w:hideMark/>
          </w:tcPr>
          <w:p w14:paraId="0C3F8BC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86" w:type="dxa"/>
            <w:tcBorders>
              <w:top w:val="nil"/>
              <w:left w:val="nil"/>
              <w:bottom w:val="nil"/>
              <w:right w:val="nil"/>
            </w:tcBorders>
            <w:shd w:val="clear" w:color="000000" w:fill="F2DCDB"/>
            <w:noWrap/>
            <w:vAlign w:val="bottom"/>
            <w:hideMark/>
          </w:tcPr>
          <w:p w14:paraId="0C3F8BD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61%</w:t>
            </w:r>
          </w:p>
        </w:tc>
        <w:tc>
          <w:tcPr>
            <w:tcW w:w="886" w:type="dxa"/>
            <w:tcBorders>
              <w:top w:val="nil"/>
              <w:left w:val="nil"/>
              <w:bottom w:val="nil"/>
              <w:right w:val="single" w:sz="4" w:space="0" w:color="auto"/>
            </w:tcBorders>
            <w:shd w:val="clear" w:color="000000" w:fill="F2DCDB"/>
            <w:noWrap/>
            <w:vAlign w:val="bottom"/>
            <w:hideMark/>
          </w:tcPr>
          <w:p w14:paraId="0C3F8BD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39%</w:t>
            </w:r>
          </w:p>
        </w:tc>
      </w:tr>
      <w:tr w:rsidR="00B6457B" w:rsidRPr="00393ABA" w14:paraId="0C3F8BE3" w14:textId="77777777" w:rsidTr="00393ABA">
        <w:trPr>
          <w:trHeight w:val="20"/>
        </w:trPr>
        <w:tc>
          <w:tcPr>
            <w:tcW w:w="1407" w:type="dxa"/>
            <w:vMerge w:val="restart"/>
            <w:tcBorders>
              <w:top w:val="nil"/>
              <w:left w:val="single" w:sz="4" w:space="0" w:color="auto"/>
              <w:bottom w:val="nil"/>
              <w:right w:val="nil"/>
            </w:tcBorders>
            <w:shd w:val="clear" w:color="000000" w:fill="F2F2F2"/>
            <w:noWrap/>
            <w:vAlign w:val="center"/>
            <w:hideMark/>
          </w:tcPr>
          <w:p w14:paraId="0C3F8BD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Wet Tropics</w:t>
            </w:r>
          </w:p>
        </w:tc>
        <w:tc>
          <w:tcPr>
            <w:tcW w:w="1120" w:type="dxa"/>
            <w:tcBorders>
              <w:top w:val="nil"/>
              <w:left w:val="single" w:sz="4" w:space="0" w:color="auto"/>
              <w:bottom w:val="nil"/>
              <w:right w:val="single" w:sz="4" w:space="0" w:color="auto"/>
            </w:tcBorders>
            <w:shd w:val="clear" w:color="000000" w:fill="F2F2F2"/>
            <w:noWrap/>
            <w:vAlign w:val="center"/>
            <w:hideMark/>
          </w:tcPr>
          <w:p w14:paraId="0C3F8BD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BD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2418</w:t>
            </w:r>
          </w:p>
        </w:tc>
        <w:tc>
          <w:tcPr>
            <w:tcW w:w="622" w:type="dxa"/>
            <w:tcBorders>
              <w:top w:val="nil"/>
              <w:left w:val="nil"/>
              <w:bottom w:val="nil"/>
              <w:right w:val="nil"/>
            </w:tcBorders>
            <w:shd w:val="clear" w:color="auto" w:fill="auto"/>
            <w:noWrap/>
            <w:vAlign w:val="bottom"/>
            <w:hideMark/>
          </w:tcPr>
          <w:p w14:paraId="0C3F8BD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1829</w:t>
            </w:r>
          </w:p>
        </w:tc>
        <w:tc>
          <w:tcPr>
            <w:tcW w:w="835" w:type="dxa"/>
            <w:tcBorders>
              <w:top w:val="nil"/>
              <w:left w:val="nil"/>
              <w:bottom w:val="nil"/>
              <w:right w:val="nil"/>
            </w:tcBorders>
            <w:shd w:val="clear" w:color="auto" w:fill="auto"/>
            <w:noWrap/>
            <w:vAlign w:val="bottom"/>
            <w:hideMark/>
          </w:tcPr>
          <w:p w14:paraId="0C3F8BD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482</w:t>
            </w:r>
          </w:p>
        </w:tc>
        <w:tc>
          <w:tcPr>
            <w:tcW w:w="803" w:type="dxa"/>
            <w:tcBorders>
              <w:top w:val="nil"/>
              <w:left w:val="nil"/>
              <w:bottom w:val="nil"/>
              <w:right w:val="nil"/>
            </w:tcBorders>
            <w:shd w:val="clear" w:color="auto" w:fill="auto"/>
            <w:noWrap/>
            <w:vAlign w:val="bottom"/>
            <w:hideMark/>
          </w:tcPr>
          <w:p w14:paraId="0C3F8BD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21</w:t>
            </w:r>
          </w:p>
        </w:tc>
        <w:tc>
          <w:tcPr>
            <w:tcW w:w="647" w:type="dxa"/>
            <w:tcBorders>
              <w:top w:val="nil"/>
              <w:left w:val="nil"/>
              <w:bottom w:val="nil"/>
              <w:right w:val="nil"/>
            </w:tcBorders>
            <w:shd w:val="clear" w:color="auto" w:fill="auto"/>
            <w:noWrap/>
            <w:vAlign w:val="bottom"/>
            <w:hideMark/>
          </w:tcPr>
          <w:p w14:paraId="0C3F8BD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w:t>
            </w:r>
          </w:p>
        </w:tc>
        <w:tc>
          <w:tcPr>
            <w:tcW w:w="815" w:type="dxa"/>
            <w:tcBorders>
              <w:top w:val="nil"/>
              <w:left w:val="nil"/>
              <w:bottom w:val="nil"/>
              <w:right w:val="nil"/>
            </w:tcBorders>
            <w:shd w:val="clear" w:color="auto" w:fill="auto"/>
            <w:noWrap/>
            <w:vAlign w:val="bottom"/>
            <w:hideMark/>
          </w:tcPr>
          <w:p w14:paraId="0C3F8BD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38</w:t>
            </w:r>
          </w:p>
        </w:tc>
        <w:tc>
          <w:tcPr>
            <w:tcW w:w="912" w:type="dxa"/>
            <w:tcBorders>
              <w:top w:val="nil"/>
              <w:left w:val="nil"/>
              <w:bottom w:val="nil"/>
              <w:right w:val="nil"/>
            </w:tcBorders>
            <w:shd w:val="clear" w:color="000000" w:fill="F2DCDB"/>
            <w:noWrap/>
            <w:vAlign w:val="bottom"/>
            <w:hideMark/>
          </w:tcPr>
          <w:p w14:paraId="0C3F8BDB"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2379</w:t>
            </w:r>
          </w:p>
        </w:tc>
        <w:tc>
          <w:tcPr>
            <w:tcW w:w="912" w:type="dxa"/>
            <w:tcBorders>
              <w:top w:val="nil"/>
              <w:left w:val="nil"/>
              <w:bottom w:val="nil"/>
              <w:right w:val="single" w:sz="4" w:space="0" w:color="auto"/>
            </w:tcBorders>
            <w:shd w:val="clear" w:color="000000" w:fill="F2DCDB"/>
            <w:noWrap/>
            <w:vAlign w:val="bottom"/>
            <w:hideMark/>
          </w:tcPr>
          <w:p w14:paraId="0C3F8BD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38</w:t>
            </w:r>
          </w:p>
        </w:tc>
        <w:tc>
          <w:tcPr>
            <w:tcW w:w="813" w:type="dxa"/>
            <w:tcBorders>
              <w:top w:val="nil"/>
              <w:left w:val="nil"/>
              <w:bottom w:val="nil"/>
              <w:right w:val="nil"/>
            </w:tcBorders>
            <w:shd w:val="clear" w:color="auto" w:fill="auto"/>
            <w:noWrap/>
            <w:vAlign w:val="bottom"/>
            <w:hideMark/>
          </w:tcPr>
          <w:p w14:paraId="0C3F8BD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2309</w:t>
            </w:r>
          </w:p>
        </w:tc>
        <w:tc>
          <w:tcPr>
            <w:tcW w:w="918" w:type="dxa"/>
            <w:tcBorders>
              <w:top w:val="nil"/>
              <w:left w:val="nil"/>
              <w:bottom w:val="nil"/>
              <w:right w:val="nil"/>
            </w:tcBorders>
            <w:shd w:val="clear" w:color="auto" w:fill="auto"/>
            <w:noWrap/>
            <w:vAlign w:val="bottom"/>
            <w:hideMark/>
          </w:tcPr>
          <w:p w14:paraId="0C3F8BD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w:t>
            </w:r>
          </w:p>
        </w:tc>
        <w:tc>
          <w:tcPr>
            <w:tcW w:w="594" w:type="dxa"/>
            <w:tcBorders>
              <w:top w:val="nil"/>
              <w:left w:val="nil"/>
              <w:bottom w:val="nil"/>
              <w:right w:val="nil"/>
            </w:tcBorders>
            <w:shd w:val="clear" w:color="auto" w:fill="auto"/>
            <w:noWrap/>
            <w:vAlign w:val="bottom"/>
            <w:hideMark/>
          </w:tcPr>
          <w:p w14:paraId="0C3F8BD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31</w:t>
            </w:r>
          </w:p>
        </w:tc>
        <w:tc>
          <w:tcPr>
            <w:tcW w:w="1083" w:type="dxa"/>
            <w:tcBorders>
              <w:top w:val="nil"/>
              <w:left w:val="nil"/>
              <w:bottom w:val="nil"/>
              <w:right w:val="nil"/>
            </w:tcBorders>
            <w:shd w:val="clear" w:color="auto" w:fill="auto"/>
            <w:noWrap/>
            <w:vAlign w:val="bottom"/>
            <w:hideMark/>
          </w:tcPr>
          <w:p w14:paraId="0C3F8BE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886" w:type="dxa"/>
            <w:tcBorders>
              <w:top w:val="nil"/>
              <w:left w:val="nil"/>
              <w:bottom w:val="nil"/>
              <w:right w:val="nil"/>
            </w:tcBorders>
            <w:shd w:val="clear" w:color="000000" w:fill="F2DCDB"/>
            <w:noWrap/>
            <w:vAlign w:val="bottom"/>
            <w:hideMark/>
          </w:tcPr>
          <w:p w14:paraId="0C3F8BE1"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2369</w:t>
            </w:r>
          </w:p>
        </w:tc>
        <w:tc>
          <w:tcPr>
            <w:tcW w:w="886" w:type="dxa"/>
            <w:tcBorders>
              <w:top w:val="nil"/>
              <w:left w:val="nil"/>
              <w:bottom w:val="nil"/>
              <w:right w:val="single" w:sz="4" w:space="0" w:color="auto"/>
            </w:tcBorders>
            <w:shd w:val="clear" w:color="000000" w:fill="F2DCDB"/>
            <w:noWrap/>
            <w:vAlign w:val="bottom"/>
            <w:hideMark/>
          </w:tcPr>
          <w:p w14:paraId="0C3F8BE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49</w:t>
            </w:r>
          </w:p>
        </w:tc>
      </w:tr>
      <w:tr w:rsidR="00B6457B" w:rsidRPr="00393ABA" w14:paraId="0C3F8BF4" w14:textId="77777777" w:rsidTr="00393ABA">
        <w:trPr>
          <w:trHeight w:val="20"/>
        </w:trPr>
        <w:tc>
          <w:tcPr>
            <w:tcW w:w="1407" w:type="dxa"/>
            <w:vMerge/>
            <w:tcBorders>
              <w:top w:val="nil"/>
              <w:left w:val="single" w:sz="4" w:space="0" w:color="auto"/>
              <w:bottom w:val="nil"/>
              <w:right w:val="nil"/>
            </w:tcBorders>
            <w:vAlign w:val="center"/>
            <w:hideMark/>
          </w:tcPr>
          <w:p w14:paraId="0C3F8BE4"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BE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BE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622" w:type="dxa"/>
            <w:tcBorders>
              <w:top w:val="nil"/>
              <w:left w:val="nil"/>
              <w:bottom w:val="nil"/>
              <w:right w:val="nil"/>
            </w:tcBorders>
            <w:shd w:val="clear" w:color="auto" w:fill="auto"/>
            <w:noWrap/>
            <w:vAlign w:val="bottom"/>
            <w:hideMark/>
          </w:tcPr>
          <w:p w14:paraId="0C3F8BE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76%</w:t>
            </w:r>
          </w:p>
        </w:tc>
        <w:tc>
          <w:tcPr>
            <w:tcW w:w="835" w:type="dxa"/>
            <w:tcBorders>
              <w:top w:val="nil"/>
              <w:left w:val="nil"/>
              <w:bottom w:val="nil"/>
              <w:right w:val="nil"/>
            </w:tcBorders>
            <w:shd w:val="clear" w:color="auto" w:fill="auto"/>
            <w:noWrap/>
            <w:vAlign w:val="bottom"/>
            <w:hideMark/>
          </w:tcPr>
          <w:p w14:paraId="0C3F8BE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803" w:type="dxa"/>
            <w:tcBorders>
              <w:top w:val="nil"/>
              <w:left w:val="nil"/>
              <w:bottom w:val="nil"/>
              <w:right w:val="nil"/>
            </w:tcBorders>
            <w:shd w:val="clear" w:color="auto" w:fill="auto"/>
            <w:noWrap/>
            <w:vAlign w:val="bottom"/>
            <w:hideMark/>
          </w:tcPr>
          <w:p w14:paraId="0C3F8BE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647" w:type="dxa"/>
            <w:tcBorders>
              <w:top w:val="nil"/>
              <w:left w:val="nil"/>
              <w:bottom w:val="nil"/>
              <w:right w:val="nil"/>
            </w:tcBorders>
            <w:shd w:val="clear" w:color="auto" w:fill="auto"/>
            <w:noWrap/>
            <w:vAlign w:val="bottom"/>
            <w:hideMark/>
          </w:tcPr>
          <w:p w14:paraId="0C3F8BE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15" w:type="dxa"/>
            <w:tcBorders>
              <w:top w:val="nil"/>
              <w:left w:val="nil"/>
              <w:bottom w:val="nil"/>
              <w:right w:val="nil"/>
            </w:tcBorders>
            <w:shd w:val="clear" w:color="auto" w:fill="auto"/>
            <w:noWrap/>
            <w:vAlign w:val="bottom"/>
            <w:hideMark/>
          </w:tcPr>
          <w:p w14:paraId="0C3F8BE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912" w:type="dxa"/>
            <w:tcBorders>
              <w:top w:val="nil"/>
              <w:left w:val="nil"/>
              <w:bottom w:val="nil"/>
              <w:right w:val="nil"/>
            </w:tcBorders>
            <w:shd w:val="clear" w:color="000000" w:fill="F2DCDB"/>
            <w:noWrap/>
            <w:vAlign w:val="bottom"/>
            <w:hideMark/>
          </w:tcPr>
          <w:p w14:paraId="0C3F8BE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98%</w:t>
            </w:r>
          </w:p>
        </w:tc>
        <w:tc>
          <w:tcPr>
            <w:tcW w:w="912" w:type="dxa"/>
            <w:tcBorders>
              <w:top w:val="nil"/>
              <w:left w:val="nil"/>
              <w:bottom w:val="nil"/>
              <w:right w:val="nil"/>
            </w:tcBorders>
            <w:shd w:val="clear" w:color="000000" w:fill="F2DCDB"/>
            <w:noWrap/>
            <w:vAlign w:val="bottom"/>
            <w:hideMark/>
          </w:tcPr>
          <w:p w14:paraId="0C3F8BE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w:t>
            </w:r>
          </w:p>
        </w:tc>
        <w:tc>
          <w:tcPr>
            <w:tcW w:w="813" w:type="dxa"/>
            <w:tcBorders>
              <w:top w:val="nil"/>
              <w:left w:val="single" w:sz="4" w:space="0" w:color="auto"/>
              <w:bottom w:val="nil"/>
              <w:right w:val="nil"/>
            </w:tcBorders>
            <w:shd w:val="clear" w:color="auto" w:fill="auto"/>
            <w:noWrap/>
            <w:vAlign w:val="bottom"/>
            <w:hideMark/>
          </w:tcPr>
          <w:p w14:paraId="0C3F8BE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96%</w:t>
            </w:r>
          </w:p>
        </w:tc>
        <w:tc>
          <w:tcPr>
            <w:tcW w:w="918" w:type="dxa"/>
            <w:tcBorders>
              <w:top w:val="nil"/>
              <w:left w:val="nil"/>
              <w:bottom w:val="nil"/>
              <w:right w:val="nil"/>
            </w:tcBorders>
            <w:shd w:val="clear" w:color="auto" w:fill="auto"/>
            <w:noWrap/>
            <w:vAlign w:val="bottom"/>
            <w:hideMark/>
          </w:tcPr>
          <w:p w14:paraId="0C3F8BE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594" w:type="dxa"/>
            <w:tcBorders>
              <w:top w:val="nil"/>
              <w:left w:val="nil"/>
              <w:bottom w:val="nil"/>
              <w:right w:val="nil"/>
            </w:tcBorders>
            <w:shd w:val="clear" w:color="auto" w:fill="auto"/>
            <w:noWrap/>
            <w:vAlign w:val="bottom"/>
            <w:hideMark/>
          </w:tcPr>
          <w:p w14:paraId="0C3F8BF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1083" w:type="dxa"/>
            <w:tcBorders>
              <w:top w:val="nil"/>
              <w:left w:val="nil"/>
              <w:bottom w:val="nil"/>
              <w:right w:val="nil"/>
            </w:tcBorders>
            <w:shd w:val="clear" w:color="auto" w:fill="auto"/>
            <w:noWrap/>
            <w:vAlign w:val="bottom"/>
            <w:hideMark/>
          </w:tcPr>
          <w:p w14:paraId="0C3F8BF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86" w:type="dxa"/>
            <w:tcBorders>
              <w:top w:val="nil"/>
              <w:left w:val="nil"/>
              <w:bottom w:val="nil"/>
              <w:right w:val="nil"/>
            </w:tcBorders>
            <w:shd w:val="clear" w:color="000000" w:fill="F2DCDB"/>
            <w:noWrap/>
            <w:vAlign w:val="bottom"/>
            <w:hideMark/>
          </w:tcPr>
          <w:p w14:paraId="0C3F8BF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98%</w:t>
            </w:r>
          </w:p>
        </w:tc>
        <w:tc>
          <w:tcPr>
            <w:tcW w:w="886" w:type="dxa"/>
            <w:tcBorders>
              <w:top w:val="nil"/>
              <w:left w:val="nil"/>
              <w:bottom w:val="nil"/>
              <w:right w:val="single" w:sz="4" w:space="0" w:color="auto"/>
            </w:tcBorders>
            <w:shd w:val="clear" w:color="000000" w:fill="F2DCDB"/>
            <w:noWrap/>
            <w:vAlign w:val="bottom"/>
            <w:hideMark/>
          </w:tcPr>
          <w:p w14:paraId="0C3F8BF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w:t>
            </w:r>
          </w:p>
        </w:tc>
      </w:tr>
      <w:tr w:rsidR="00B6457B" w:rsidRPr="00393ABA" w14:paraId="0C3F8C05" w14:textId="77777777" w:rsidTr="00393ABA">
        <w:trPr>
          <w:trHeight w:val="20"/>
        </w:trPr>
        <w:tc>
          <w:tcPr>
            <w:tcW w:w="1407" w:type="dxa"/>
            <w:vMerge w:val="restart"/>
            <w:tcBorders>
              <w:top w:val="nil"/>
              <w:left w:val="single" w:sz="4" w:space="0" w:color="auto"/>
              <w:bottom w:val="nil"/>
              <w:right w:val="nil"/>
            </w:tcBorders>
            <w:shd w:val="clear" w:color="000000" w:fill="F2F2F2"/>
            <w:noWrap/>
            <w:vAlign w:val="center"/>
            <w:hideMark/>
          </w:tcPr>
          <w:p w14:paraId="0C3F8BF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Burdekin</w:t>
            </w:r>
          </w:p>
        </w:tc>
        <w:tc>
          <w:tcPr>
            <w:tcW w:w="1120" w:type="dxa"/>
            <w:tcBorders>
              <w:top w:val="nil"/>
              <w:left w:val="single" w:sz="4" w:space="0" w:color="auto"/>
              <w:bottom w:val="nil"/>
              <w:right w:val="single" w:sz="4" w:space="0" w:color="auto"/>
            </w:tcBorders>
            <w:shd w:val="clear" w:color="000000" w:fill="F2F2F2"/>
            <w:noWrap/>
            <w:vAlign w:val="center"/>
            <w:hideMark/>
          </w:tcPr>
          <w:p w14:paraId="0C3F8BF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BF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2966</w:t>
            </w:r>
          </w:p>
        </w:tc>
        <w:tc>
          <w:tcPr>
            <w:tcW w:w="622" w:type="dxa"/>
            <w:tcBorders>
              <w:top w:val="nil"/>
              <w:left w:val="nil"/>
              <w:bottom w:val="nil"/>
              <w:right w:val="nil"/>
            </w:tcBorders>
            <w:shd w:val="clear" w:color="auto" w:fill="auto"/>
            <w:noWrap/>
            <w:vAlign w:val="bottom"/>
            <w:hideMark/>
          </w:tcPr>
          <w:p w14:paraId="0C3F8BF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589</w:t>
            </w:r>
          </w:p>
        </w:tc>
        <w:tc>
          <w:tcPr>
            <w:tcW w:w="835" w:type="dxa"/>
            <w:tcBorders>
              <w:top w:val="nil"/>
              <w:left w:val="nil"/>
              <w:bottom w:val="nil"/>
              <w:right w:val="nil"/>
            </w:tcBorders>
            <w:shd w:val="clear" w:color="auto" w:fill="auto"/>
            <w:noWrap/>
            <w:vAlign w:val="bottom"/>
            <w:hideMark/>
          </w:tcPr>
          <w:p w14:paraId="0C3F8BF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185</w:t>
            </w:r>
          </w:p>
        </w:tc>
        <w:tc>
          <w:tcPr>
            <w:tcW w:w="803" w:type="dxa"/>
            <w:tcBorders>
              <w:top w:val="nil"/>
              <w:left w:val="nil"/>
              <w:bottom w:val="nil"/>
              <w:right w:val="nil"/>
            </w:tcBorders>
            <w:shd w:val="clear" w:color="auto" w:fill="auto"/>
            <w:noWrap/>
            <w:vAlign w:val="bottom"/>
            <w:hideMark/>
          </w:tcPr>
          <w:p w14:paraId="0C3F8BF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w:t>
            </w:r>
          </w:p>
        </w:tc>
        <w:tc>
          <w:tcPr>
            <w:tcW w:w="647" w:type="dxa"/>
            <w:tcBorders>
              <w:top w:val="nil"/>
              <w:left w:val="nil"/>
              <w:bottom w:val="nil"/>
              <w:right w:val="nil"/>
            </w:tcBorders>
            <w:shd w:val="clear" w:color="auto" w:fill="auto"/>
            <w:noWrap/>
            <w:vAlign w:val="bottom"/>
            <w:hideMark/>
          </w:tcPr>
          <w:p w14:paraId="0C3F8BF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w:t>
            </w:r>
          </w:p>
        </w:tc>
        <w:tc>
          <w:tcPr>
            <w:tcW w:w="815" w:type="dxa"/>
            <w:tcBorders>
              <w:top w:val="nil"/>
              <w:left w:val="nil"/>
              <w:bottom w:val="nil"/>
              <w:right w:val="nil"/>
            </w:tcBorders>
            <w:shd w:val="clear" w:color="auto" w:fill="auto"/>
            <w:noWrap/>
            <w:vAlign w:val="bottom"/>
            <w:hideMark/>
          </w:tcPr>
          <w:p w14:paraId="0C3F8BF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w:t>
            </w:r>
          </w:p>
        </w:tc>
        <w:tc>
          <w:tcPr>
            <w:tcW w:w="912" w:type="dxa"/>
            <w:tcBorders>
              <w:top w:val="nil"/>
              <w:left w:val="nil"/>
              <w:bottom w:val="nil"/>
              <w:right w:val="nil"/>
            </w:tcBorders>
            <w:shd w:val="clear" w:color="000000" w:fill="F2DCDB"/>
            <w:noWrap/>
            <w:vAlign w:val="bottom"/>
            <w:hideMark/>
          </w:tcPr>
          <w:p w14:paraId="0C3F8BFD"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826</w:t>
            </w:r>
          </w:p>
        </w:tc>
        <w:tc>
          <w:tcPr>
            <w:tcW w:w="912" w:type="dxa"/>
            <w:tcBorders>
              <w:top w:val="nil"/>
              <w:left w:val="nil"/>
              <w:bottom w:val="nil"/>
              <w:right w:val="single" w:sz="4" w:space="0" w:color="auto"/>
            </w:tcBorders>
            <w:shd w:val="clear" w:color="000000" w:fill="F2DCDB"/>
            <w:noWrap/>
            <w:vAlign w:val="bottom"/>
            <w:hideMark/>
          </w:tcPr>
          <w:p w14:paraId="0C3F8BF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2140</w:t>
            </w:r>
          </w:p>
        </w:tc>
        <w:tc>
          <w:tcPr>
            <w:tcW w:w="813" w:type="dxa"/>
            <w:tcBorders>
              <w:top w:val="nil"/>
              <w:left w:val="nil"/>
              <w:bottom w:val="nil"/>
              <w:right w:val="nil"/>
            </w:tcBorders>
            <w:shd w:val="clear" w:color="auto" w:fill="auto"/>
            <w:noWrap/>
            <w:vAlign w:val="bottom"/>
            <w:hideMark/>
          </w:tcPr>
          <w:p w14:paraId="0C3F8BF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777</w:t>
            </w:r>
          </w:p>
        </w:tc>
        <w:tc>
          <w:tcPr>
            <w:tcW w:w="918" w:type="dxa"/>
            <w:tcBorders>
              <w:top w:val="nil"/>
              <w:left w:val="nil"/>
              <w:bottom w:val="nil"/>
              <w:right w:val="nil"/>
            </w:tcBorders>
            <w:shd w:val="clear" w:color="auto" w:fill="auto"/>
            <w:noWrap/>
            <w:vAlign w:val="bottom"/>
            <w:hideMark/>
          </w:tcPr>
          <w:p w14:paraId="0C3F8C0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35</w:t>
            </w:r>
          </w:p>
        </w:tc>
        <w:tc>
          <w:tcPr>
            <w:tcW w:w="594" w:type="dxa"/>
            <w:tcBorders>
              <w:top w:val="nil"/>
              <w:left w:val="nil"/>
              <w:bottom w:val="nil"/>
              <w:right w:val="nil"/>
            </w:tcBorders>
            <w:shd w:val="clear" w:color="auto" w:fill="auto"/>
            <w:noWrap/>
            <w:vAlign w:val="bottom"/>
            <w:hideMark/>
          </w:tcPr>
          <w:p w14:paraId="0C3F8C0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w:t>
            </w:r>
          </w:p>
        </w:tc>
        <w:tc>
          <w:tcPr>
            <w:tcW w:w="1083" w:type="dxa"/>
            <w:tcBorders>
              <w:top w:val="nil"/>
              <w:left w:val="nil"/>
              <w:bottom w:val="nil"/>
              <w:right w:val="nil"/>
            </w:tcBorders>
            <w:shd w:val="clear" w:color="auto" w:fill="auto"/>
            <w:noWrap/>
            <w:vAlign w:val="bottom"/>
            <w:hideMark/>
          </w:tcPr>
          <w:p w14:paraId="0C3F8C0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886" w:type="dxa"/>
            <w:tcBorders>
              <w:top w:val="nil"/>
              <w:left w:val="nil"/>
              <w:bottom w:val="nil"/>
              <w:right w:val="nil"/>
            </w:tcBorders>
            <w:shd w:val="clear" w:color="000000" w:fill="F2DCDB"/>
            <w:noWrap/>
            <w:vAlign w:val="bottom"/>
            <w:hideMark/>
          </w:tcPr>
          <w:p w14:paraId="0C3F8C0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832</w:t>
            </w:r>
          </w:p>
        </w:tc>
        <w:tc>
          <w:tcPr>
            <w:tcW w:w="886" w:type="dxa"/>
            <w:tcBorders>
              <w:top w:val="nil"/>
              <w:left w:val="nil"/>
              <w:bottom w:val="nil"/>
              <w:right w:val="single" w:sz="4" w:space="0" w:color="auto"/>
            </w:tcBorders>
            <w:shd w:val="clear" w:color="000000" w:fill="F2DCDB"/>
            <w:noWrap/>
            <w:vAlign w:val="bottom"/>
            <w:hideMark/>
          </w:tcPr>
          <w:p w14:paraId="0C3F8C0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2134</w:t>
            </w:r>
          </w:p>
        </w:tc>
      </w:tr>
      <w:tr w:rsidR="00B6457B" w:rsidRPr="00393ABA" w14:paraId="0C3F8C16" w14:textId="77777777" w:rsidTr="00393ABA">
        <w:trPr>
          <w:trHeight w:val="20"/>
        </w:trPr>
        <w:tc>
          <w:tcPr>
            <w:tcW w:w="1407" w:type="dxa"/>
            <w:vMerge/>
            <w:tcBorders>
              <w:top w:val="nil"/>
              <w:left w:val="single" w:sz="4" w:space="0" w:color="auto"/>
              <w:bottom w:val="nil"/>
              <w:right w:val="nil"/>
            </w:tcBorders>
            <w:vAlign w:val="center"/>
            <w:hideMark/>
          </w:tcPr>
          <w:p w14:paraId="0C3F8C06"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C0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C0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622" w:type="dxa"/>
            <w:tcBorders>
              <w:top w:val="nil"/>
              <w:left w:val="nil"/>
              <w:bottom w:val="nil"/>
              <w:right w:val="nil"/>
            </w:tcBorders>
            <w:shd w:val="clear" w:color="auto" w:fill="auto"/>
            <w:noWrap/>
            <w:vAlign w:val="bottom"/>
            <w:hideMark/>
          </w:tcPr>
          <w:p w14:paraId="0C3F8C0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835" w:type="dxa"/>
            <w:tcBorders>
              <w:top w:val="nil"/>
              <w:left w:val="nil"/>
              <w:bottom w:val="nil"/>
              <w:right w:val="nil"/>
            </w:tcBorders>
            <w:shd w:val="clear" w:color="auto" w:fill="auto"/>
            <w:noWrap/>
            <w:vAlign w:val="bottom"/>
            <w:hideMark/>
          </w:tcPr>
          <w:p w14:paraId="0C3F8C0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803" w:type="dxa"/>
            <w:tcBorders>
              <w:top w:val="nil"/>
              <w:left w:val="nil"/>
              <w:bottom w:val="nil"/>
              <w:right w:val="nil"/>
            </w:tcBorders>
            <w:shd w:val="clear" w:color="auto" w:fill="auto"/>
            <w:noWrap/>
            <w:vAlign w:val="bottom"/>
            <w:hideMark/>
          </w:tcPr>
          <w:p w14:paraId="0C3F8C0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647" w:type="dxa"/>
            <w:tcBorders>
              <w:top w:val="nil"/>
              <w:left w:val="nil"/>
              <w:bottom w:val="nil"/>
              <w:right w:val="nil"/>
            </w:tcBorders>
            <w:shd w:val="clear" w:color="auto" w:fill="auto"/>
            <w:noWrap/>
            <w:vAlign w:val="bottom"/>
            <w:hideMark/>
          </w:tcPr>
          <w:p w14:paraId="0C3F8C0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15" w:type="dxa"/>
            <w:tcBorders>
              <w:top w:val="nil"/>
              <w:left w:val="nil"/>
              <w:bottom w:val="nil"/>
              <w:right w:val="nil"/>
            </w:tcBorders>
            <w:shd w:val="clear" w:color="auto" w:fill="auto"/>
            <w:noWrap/>
            <w:vAlign w:val="bottom"/>
            <w:hideMark/>
          </w:tcPr>
          <w:p w14:paraId="0C3F8C0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2" w:type="dxa"/>
            <w:tcBorders>
              <w:top w:val="nil"/>
              <w:left w:val="nil"/>
              <w:bottom w:val="nil"/>
              <w:right w:val="nil"/>
            </w:tcBorders>
            <w:shd w:val="clear" w:color="000000" w:fill="F2DCDB"/>
            <w:noWrap/>
            <w:vAlign w:val="bottom"/>
            <w:hideMark/>
          </w:tcPr>
          <w:p w14:paraId="0C3F8C0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28%</w:t>
            </w:r>
          </w:p>
        </w:tc>
        <w:tc>
          <w:tcPr>
            <w:tcW w:w="912" w:type="dxa"/>
            <w:tcBorders>
              <w:top w:val="nil"/>
              <w:left w:val="nil"/>
              <w:bottom w:val="nil"/>
              <w:right w:val="nil"/>
            </w:tcBorders>
            <w:shd w:val="clear" w:color="000000" w:fill="F2DCDB"/>
            <w:noWrap/>
            <w:vAlign w:val="bottom"/>
            <w:hideMark/>
          </w:tcPr>
          <w:p w14:paraId="0C3F8C0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72%</w:t>
            </w:r>
          </w:p>
        </w:tc>
        <w:tc>
          <w:tcPr>
            <w:tcW w:w="813" w:type="dxa"/>
            <w:tcBorders>
              <w:top w:val="nil"/>
              <w:left w:val="single" w:sz="4" w:space="0" w:color="auto"/>
              <w:bottom w:val="nil"/>
              <w:right w:val="nil"/>
            </w:tcBorders>
            <w:shd w:val="clear" w:color="auto" w:fill="auto"/>
            <w:noWrap/>
            <w:vAlign w:val="bottom"/>
            <w:hideMark/>
          </w:tcPr>
          <w:p w14:paraId="0C3F8C1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26%</w:t>
            </w:r>
          </w:p>
        </w:tc>
        <w:tc>
          <w:tcPr>
            <w:tcW w:w="918" w:type="dxa"/>
            <w:tcBorders>
              <w:top w:val="nil"/>
              <w:left w:val="nil"/>
              <w:bottom w:val="nil"/>
              <w:right w:val="nil"/>
            </w:tcBorders>
            <w:shd w:val="clear" w:color="auto" w:fill="auto"/>
            <w:noWrap/>
            <w:vAlign w:val="bottom"/>
            <w:hideMark/>
          </w:tcPr>
          <w:p w14:paraId="0C3F8C1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594" w:type="dxa"/>
            <w:tcBorders>
              <w:top w:val="nil"/>
              <w:left w:val="nil"/>
              <w:bottom w:val="nil"/>
              <w:right w:val="nil"/>
            </w:tcBorders>
            <w:shd w:val="clear" w:color="auto" w:fill="auto"/>
            <w:noWrap/>
            <w:vAlign w:val="bottom"/>
            <w:hideMark/>
          </w:tcPr>
          <w:p w14:paraId="0C3F8C1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1083" w:type="dxa"/>
            <w:tcBorders>
              <w:top w:val="nil"/>
              <w:left w:val="nil"/>
              <w:bottom w:val="nil"/>
              <w:right w:val="nil"/>
            </w:tcBorders>
            <w:shd w:val="clear" w:color="auto" w:fill="auto"/>
            <w:noWrap/>
            <w:vAlign w:val="bottom"/>
            <w:hideMark/>
          </w:tcPr>
          <w:p w14:paraId="0C3F8C1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86" w:type="dxa"/>
            <w:tcBorders>
              <w:top w:val="nil"/>
              <w:left w:val="nil"/>
              <w:bottom w:val="nil"/>
              <w:right w:val="nil"/>
            </w:tcBorders>
            <w:shd w:val="clear" w:color="000000" w:fill="F2DCDB"/>
            <w:noWrap/>
            <w:vAlign w:val="bottom"/>
            <w:hideMark/>
          </w:tcPr>
          <w:p w14:paraId="0C3F8C1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28%</w:t>
            </w:r>
          </w:p>
        </w:tc>
        <w:tc>
          <w:tcPr>
            <w:tcW w:w="886" w:type="dxa"/>
            <w:tcBorders>
              <w:top w:val="nil"/>
              <w:left w:val="nil"/>
              <w:bottom w:val="nil"/>
              <w:right w:val="single" w:sz="4" w:space="0" w:color="auto"/>
            </w:tcBorders>
            <w:shd w:val="clear" w:color="000000" w:fill="F2DCDB"/>
            <w:noWrap/>
            <w:vAlign w:val="bottom"/>
            <w:hideMark/>
          </w:tcPr>
          <w:p w14:paraId="0C3F8C1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72%</w:t>
            </w:r>
          </w:p>
        </w:tc>
      </w:tr>
      <w:tr w:rsidR="00B6457B" w:rsidRPr="00393ABA" w14:paraId="0C3F8C27" w14:textId="77777777" w:rsidTr="00393ABA">
        <w:trPr>
          <w:trHeight w:val="20"/>
        </w:trPr>
        <w:tc>
          <w:tcPr>
            <w:tcW w:w="1407" w:type="dxa"/>
            <w:vMerge w:val="restart"/>
            <w:tcBorders>
              <w:top w:val="nil"/>
              <w:left w:val="single" w:sz="4" w:space="0" w:color="auto"/>
              <w:bottom w:val="nil"/>
              <w:right w:val="single" w:sz="4" w:space="0" w:color="auto"/>
            </w:tcBorders>
            <w:shd w:val="clear" w:color="000000" w:fill="F2F2F2"/>
            <w:vAlign w:val="center"/>
            <w:hideMark/>
          </w:tcPr>
          <w:p w14:paraId="0C3F8C17" w14:textId="77777777" w:rsidR="00B6457B" w:rsidRPr="00393ABA" w:rsidRDefault="00393ABA"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MWS</w:t>
            </w:r>
          </w:p>
        </w:tc>
        <w:tc>
          <w:tcPr>
            <w:tcW w:w="1120" w:type="dxa"/>
            <w:tcBorders>
              <w:top w:val="nil"/>
              <w:left w:val="nil"/>
              <w:bottom w:val="nil"/>
              <w:right w:val="single" w:sz="4" w:space="0" w:color="auto"/>
            </w:tcBorders>
            <w:shd w:val="clear" w:color="000000" w:fill="F2F2F2"/>
            <w:noWrap/>
            <w:vAlign w:val="center"/>
            <w:hideMark/>
          </w:tcPr>
          <w:p w14:paraId="0C3F8C1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C1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3196</w:t>
            </w:r>
          </w:p>
        </w:tc>
        <w:tc>
          <w:tcPr>
            <w:tcW w:w="622" w:type="dxa"/>
            <w:tcBorders>
              <w:top w:val="nil"/>
              <w:left w:val="nil"/>
              <w:bottom w:val="nil"/>
              <w:right w:val="nil"/>
            </w:tcBorders>
            <w:shd w:val="clear" w:color="auto" w:fill="auto"/>
            <w:noWrap/>
            <w:vAlign w:val="bottom"/>
            <w:hideMark/>
          </w:tcPr>
          <w:p w14:paraId="0C3F8C1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107</w:t>
            </w:r>
          </w:p>
        </w:tc>
        <w:tc>
          <w:tcPr>
            <w:tcW w:w="835" w:type="dxa"/>
            <w:tcBorders>
              <w:top w:val="nil"/>
              <w:left w:val="nil"/>
              <w:bottom w:val="nil"/>
              <w:right w:val="nil"/>
            </w:tcBorders>
            <w:shd w:val="clear" w:color="auto" w:fill="auto"/>
            <w:noWrap/>
            <w:vAlign w:val="bottom"/>
            <w:hideMark/>
          </w:tcPr>
          <w:p w14:paraId="0C3F8C1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w:t>
            </w:r>
          </w:p>
        </w:tc>
        <w:tc>
          <w:tcPr>
            <w:tcW w:w="803" w:type="dxa"/>
            <w:tcBorders>
              <w:top w:val="nil"/>
              <w:left w:val="nil"/>
              <w:bottom w:val="nil"/>
              <w:right w:val="nil"/>
            </w:tcBorders>
            <w:shd w:val="clear" w:color="auto" w:fill="auto"/>
            <w:noWrap/>
            <w:vAlign w:val="bottom"/>
            <w:hideMark/>
          </w:tcPr>
          <w:p w14:paraId="0C3F8C1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69</w:t>
            </w:r>
          </w:p>
        </w:tc>
        <w:tc>
          <w:tcPr>
            <w:tcW w:w="647" w:type="dxa"/>
            <w:tcBorders>
              <w:top w:val="nil"/>
              <w:left w:val="nil"/>
              <w:bottom w:val="nil"/>
              <w:right w:val="nil"/>
            </w:tcBorders>
            <w:shd w:val="clear" w:color="auto" w:fill="auto"/>
            <w:noWrap/>
            <w:vAlign w:val="bottom"/>
            <w:hideMark/>
          </w:tcPr>
          <w:p w14:paraId="0C3F8C1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65</w:t>
            </w:r>
          </w:p>
        </w:tc>
        <w:tc>
          <w:tcPr>
            <w:tcW w:w="815" w:type="dxa"/>
            <w:tcBorders>
              <w:top w:val="nil"/>
              <w:left w:val="nil"/>
              <w:bottom w:val="nil"/>
              <w:right w:val="nil"/>
            </w:tcBorders>
            <w:shd w:val="clear" w:color="auto" w:fill="auto"/>
            <w:noWrap/>
            <w:vAlign w:val="bottom"/>
            <w:hideMark/>
          </w:tcPr>
          <w:p w14:paraId="0C3F8C1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128</w:t>
            </w:r>
          </w:p>
        </w:tc>
        <w:tc>
          <w:tcPr>
            <w:tcW w:w="912" w:type="dxa"/>
            <w:tcBorders>
              <w:top w:val="nil"/>
              <w:left w:val="nil"/>
              <w:bottom w:val="nil"/>
              <w:right w:val="nil"/>
            </w:tcBorders>
            <w:shd w:val="clear" w:color="000000" w:fill="F2DCDB"/>
            <w:noWrap/>
            <w:vAlign w:val="bottom"/>
            <w:hideMark/>
          </w:tcPr>
          <w:p w14:paraId="0C3F8C1F"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373</w:t>
            </w:r>
          </w:p>
        </w:tc>
        <w:tc>
          <w:tcPr>
            <w:tcW w:w="912" w:type="dxa"/>
            <w:tcBorders>
              <w:top w:val="nil"/>
              <w:left w:val="nil"/>
              <w:bottom w:val="nil"/>
              <w:right w:val="single" w:sz="4" w:space="0" w:color="auto"/>
            </w:tcBorders>
            <w:shd w:val="clear" w:color="000000" w:fill="F2DCDB"/>
            <w:noWrap/>
            <w:vAlign w:val="bottom"/>
            <w:hideMark/>
          </w:tcPr>
          <w:p w14:paraId="0C3F8C2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2822</w:t>
            </w:r>
          </w:p>
        </w:tc>
        <w:tc>
          <w:tcPr>
            <w:tcW w:w="813" w:type="dxa"/>
            <w:tcBorders>
              <w:top w:val="nil"/>
              <w:left w:val="nil"/>
              <w:bottom w:val="nil"/>
              <w:right w:val="nil"/>
            </w:tcBorders>
            <w:shd w:val="clear" w:color="auto" w:fill="auto"/>
            <w:noWrap/>
            <w:vAlign w:val="bottom"/>
            <w:hideMark/>
          </w:tcPr>
          <w:p w14:paraId="0C3F8C2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107</w:t>
            </w:r>
          </w:p>
        </w:tc>
        <w:tc>
          <w:tcPr>
            <w:tcW w:w="918" w:type="dxa"/>
            <w:tcBorders>
              <w:top w:val="nil"/>
              <w:left w:val="nil"/>
              <w:bottom w:val="nil"/>
              <w:right w:val="nil"/>
            </w:tcBorders>
            <w:shd w:val="clear" w:color="auto" w:fill="auto"/>
            <w:noWrap/>
            <w:vAlign w:val="bottom"/>
            <w:hideMark/>
          </w:tcPr>
          <w:p w14:paraId="0C3F8C2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164</w:t>
            </w:r>
          </w:p>
        </w:tc>
        <w:tc>
          <w:tcPr>
            <w:tcW w:w="594" w:type="dxa"/>
            <w:tcBorders>
              <w:top w:val="nil"/>
              <w:left w:val="nil"/>
              <w:bottom w:val="nil"/>
              <w:right w:val="nil"/>
            </w:tcBorders>
            <w:shd w:val="clear" w:color="auto" w:fill="auto"/>
            <w:noWrap/>
            <w:vAlign w:val="bottom"/>
            <w:hideMark/>
          </w:tcPr>
          <w:p w14:paraId="0C3F8C2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104</w:t>
            </w:r>
          </w:p>
        </w:tc>
        <w:tc>
          <w:tcPr>
            <w:tcW w:w="1083" w:type="dxa"/>
            <w:tcBorders>
              <w:top w:val="nil"/>
              <w:left w:val="nil"/>
              <w:bottom w:val="nil"/>
              <w:right w:val="nil"/>
            </w:tcBorders>
            <w:shd w:val="clear" w:color="auto" w:fill="auto"/>
            <w:noWrap/>
            <w:vAlign w:val="bottom"/>
            <w:hideMark/>
          </w:tcPr>
          <w:p w14:paraId="0C3F8C2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86" w:type="dxa"/>
            <w:tcBorders>
              <w:top w:val="nil"/>
              <w:left w:val="nil"/>
              <w:bottom w:val="nil"/>
              <w:right w:val="nil"/>
            </w:tcBorders>
            <w:shd w:val="clear" w:color="000000" w:fill="F2DCDB"/>
            <w:noWrap/>
            <w:vAlign w:val="bottom"/>
            <w:hideMark/>
          </w:tcPr>
          <w:p w14:paraId="0C3F8C25"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375</w:t>
            </w:r>
          </w:p>
        </w:tc>
        <w:tc>
          <w:tcPr>
            <w:tcW w:w="886" w:type="dxa"/>
            <w:tcBorders>
              <w:top w:val="nil"/>
              <w:left w:val="nil"/>
              <w:bottom w:val="nil"/>
              <w:right w:val="single" w:sz="4" w:space="0" w:color="auto"/>
            </w:tcBorders>
            <w:shd w:val="clear" w:color="000000" w:fill="F2DCDB"/>
            <w:noWrap/>
            <w:vAlign w:val="bottom"/>
            <w:hideMark/>
          </w:tcPr>
          <w:p w14:paraId="0C3F8C2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2820</w:t>
            </w:r>
          </w:p>
        </w:tc>
      </w:tr>
      <w:tr w:rsidR="00B6457B" w:rsidRPr="00393ABA" w14:paraId="0C3F8C38" w14:textId="77777777" w:rsidTr="00393ABA">
        <w:trPr>
          <w:trHeight w:val="20"/>
        </w:trPr>
        <w:tc>
          <w:tcPr>
            <w:tcW w:w="1407" w:type="dxa"/>
            <w:vMerge/>
            <w:tcBorders>
              <w:top w:val="nil"/>
              <w:left w:val="single" w:sz="4" w:space="0" w:color="auto"/>
              <w:bottom w:val="nil"/>
              <w:right w:val="single" w:sz="4" w:space="0" w:color="auto"/>
            </w:tcBorders>
            <w:vAlign w:val="center"/>
            <w:hideMark/>
          </w:tcPr>
          <w:p w14:paraId="0C3F8C28"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nil"/>
              <w:right w:val="single" w:sz="4" w:space="0" w:color="auto"/>
            </w:tcBorders>
            <w:shd w:val="clear" w:color="000000" w:fill="F2F2F2"/>
            <w:noWrap/>
            <w:vAlign w:val="center"/>
            <w:hideMark/>
          </w:tcPr>
          <w:p w14:paraId="0C3F8C2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C2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622" w:type="dxa"/>
            <w:tcBorders>
              <w:top w:val="nil"/>
              <w:left w:val="nil"/>
              <w:bottom w:val="nil"/>
              <w:right w:val="nil"/>
            </w:tcBorders>
            <w:shd w:val="clear" w:color="auto" w:fill="auto"/>
            <w:noWrap/>
            <w:vAlign w:val="bottom"/>
            <w:hideMark/>
          </w:tcPr>
          <w:p w14:paraId="0C3F8C2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835" w:type="dxa"/>
            <w:tcBorders>
              <w:top w:val="nil"/>
              <w:left w:val="nil"/>
              <w:bottom w:val="nil"/>
              <w:right w:val="nil"/>
            </w:tcBorders>
            <w:shd w:val="clear" w:color="auto" w:fill="auto"/>
            <w:noWrap/>
            <w:vAlign w:val="bottom"/>
            <w:hideMark/>
          </w:tcPr>
          <w:p w14:paraId="0C3F8C2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3" w:type="dxa"/>
            <w:tcBorders>
              <w:top w:val="nil"/>
              <w:left w:val="nil"/>
              <w:bottom w:val="nil"/>
              <w:right w:val="nil"/>
            </w:tcBorders>
            <w:shd w:val="clear" w:color="auto" w:fill="auto"/>
            <w:noWrap/>
            <w:vAlign w:val="bottom"/>
            <w:hideMark/>
          </w:tcPr>
          <w:p w14:paraId="0C3F8C2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647" w:type="dxa"/>
            <w:tcBorders>
              <w:top w:val="nil"/>
              <w:left w:val="nil"/>
              <w:bottom w:val="nil"/>
              <w:right w:val="nil"/>
            </w:tcBorders>
            <w:shd w:val="clear" w:color="auto" w:fill="auto"/>
            <w:noWrap/>
            <w:vAlign w:val="bottom"/>
            <w:hideMark/>
          </w:tcPr>
          <w:p w14:paraId="0C3F8C2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815" w:type="dxa"/>
            <w:tcBorders>
              <w:top w:val="nil"/>
              <w:left w:val="nil"/>
              <w:bottom w:val="nil"/>
              <w:right w:val="nil"/>
            </w:tcBorders>
            <w:shd w:val="clear" w:color="auto" w:fill="auto"/>
            <w:noWrap/>
            <w:vAlign w:val="bottom"/>
            <w:hideMark/>
          </w:tcPr>
          <w:p w14:paraId="0C3F8C2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912" w:type="dxa"/>
            <w:tcBorders>
              <w:top w:val="nil"/>
              <w:left w:val="nil"/>
              <w:bottom w:val="nil"/>
              <w:right w:val="nil"/>
            </w:tcBorders>
            <w:shd w:val="clear" w:color="000000" w:fill="F2DCDB"/>
            <w:noWrap/>
            <w:vAlign w:val="bottom"/>
            <w:hideMark/>
          </w:tcPr>
          <w:p w14:paraId="0C3F8C3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12%</w:t>
            </w:r>
          </w:p>
        </w:tc>
        <w:tc>
          <w:tcPr>
            <w:tcW w:w="912" w:type="dxa"/>
            <w:tcBorders>
              <w:top w:val="nil"/>
              <w:left w:val="nil"/>
              <w:bottom w:val="nil"/>
              <w:right w:val="nil"/>
            </w:tcBorders>
            <w:shd w:val="clear" w:color="000000" w:fill="F2DCDB"/>
            <w:noWrap/>
            <w:vAlign w:val="bottom"/>
            <w:hideMark/>
          </w:tcPr>
          <w:p w14:paraId="0C3F8C3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88%</w:t>
            </w:r>
          </w:p>
        </w:tc>
        <w:tc>
          <w:tcPr>
            <w:tcW w:w="813" w:type="dxa"/>
            <w:tcBorders>
              <w:top w:val="nil"/>
              <w:left w:val="single" w:sz="4" w:space="0" w:color="auto"/>
              <w:bottom w:val="nil"/>
              <w:right w:val="nil"/>
            </w:tcBorders>
            <w:shd w:val="clear" w:color="auto" w:fill="auto"/>
            <w:noWrap/>
            <w:vAlign w:val="bottom"/>
            <w:hideMark/>
          </w:tcPr>
          <w:p w14:paraId="0C3F8C3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8" w:type="dxa"/>
            <w:tcBorders>
              <w:top w:val="nil"/>
              <w:left w:val="nil"/>
              <w:bottom w:val="nil"/>
              <w:right w:val="nil"/>
            </w:tcBorders>
            <w:shd w:val="clear" w:color="auto" w:fill="auto"/>
            <w:noWrap/>
            <w:vAlign w:val="bottom"/>
            <w:hideMark/>
          </w:tcPr>
          <w:p w14:paraId="0C3F8C3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594" w:type="dxa"/>
            <w:tcBorders>
              <w:top w:val="nil"/>
              <w:left w:val="nil"/>
              <w:bottom w:val="nil"/>
              <w:right w:val="nil"/>
            </w:tcBorders>
            <w:shd w:val="clear" w:color="auto" w:fill="auto"/>
            <w:noWrap/>
            <w:vAlign w:val="bottom"/>
            <w:hideMark/>
          </w:tcPr>
          <w:p w14:paraId="0C3F8C3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1083" w:type="dxa"/>
            <w:tcBorders>
              <w:top w:val="nil"/>
              <w:left w:val="nil"/>
              <w:bottom w:val="nil"/>
              <w:right w:val="nil"/>
            </w:tcBorders>
            <w:shd w:val="clear" w:color="auto" w:fill="auto"/>
            <w:noWrap/>
            <w:vAlign w:val="bottom"/>
            <w:hideMark/>
          </w:tcPr>
          <w:p w14:paraId="0C3F8C3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86" w:type="dxa"/>
            <w:tcBorders>
              <w:top w:val="nil"/>
              <w:left w:val="nil"/>
              <w:bottom w:val="nil"/>
              <w:right w:val="nil"/>
            </w:tcBorders>
            <w:shd w:val="clear" w:color="000000" w:fill="F2DCDB"/>
            <w:noWrap/>
            <w:vAlign w:val="bottom"/>
            <w:hideMark/>
          </w:tcPr>
          <w:p w14:paraId="0C3F8C3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12%</w:t>
            </w:r>
          </w:p>
        </w:tc>
        <w:tc>
          <w:tcPr>
            <w:tcW w:w="886" w:type="dxa"/>
            <w:tcBorders>
              <w:top w:val="nil"/>
              <w:left w:val="nil"/>
              <w:bottom w:val="nil"/>
              <w:right w:val="single" w:sz="4" w:space="0" w:color="auto"/>
            </w:tcBorders>
            <w:shd w:val="clear" w:color="000000" w:fill="F2DCDB"/>
            <w:noWrap/>
            <w:vAlign w:val="bottom"/>
            <w:hideMark/>
          </w:tcPr>
          <w:p w14:paraId="0C3F8C3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88%</w:t>
            </w:r>
          </w:p>
        </w:tc>
      </w:tr>
      <w:tr w:rsidR="00B6457B" w:rsidRPr="00393ABA" w14:paraId="0C3F8C49" w14:textId="77777777" w:rsidTr="00393ABA">
        <w:trPr>
          <w:trHeight w:val="20"/>
        </w:trPr>
        <w:tc>
          <w:tcPr>
            <w:tcW w:w="1407" w:type="dxa"/>
            <w:vMerge w:val="restart"/>
            <w:tcBorders>
              <w:top w:val="nil"/>
              <w:left w:val="single" w:sz="4" w:space="0" w:color="auto"/>
              <w:bottom w:val="nil"/>
              <w:right w:val="nil"/>
            </w:tcBorders>
            <w:shd w:val="clear" w:color="000000" w:fill="F2F2F2"/>
            <w:noWrap/>
            <w:vAlign w:val="center"/>
            <w:hideMark/>
          </w:tcPr>
          <w:p w14:paraId="0C3F8C3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Fitzroy</w:t>
            </w:r>
          </w:p>
        </w:tc>
        <w:tc>
          <w:tcPr>
            <w:tcW w:w="1120" w:type="dxa"/>
            <w:tcBorders>
              <w:top w:val="nil"/>
              <w:left w:val="single" w:sz="4" w:space="0" w:color="auto"/>
              <w:bottom w:val="nil"/>
              <w:right w:val="single" w:sz="4" w:space="0" w:color="auto"/>
            </w:tcBorders>
            <w:shd w:val="clear" w:color="000000" w:fill="F2F2F2"/>
            <w:noWrap/>
            <w:vAlign w:val="center"/>
            <w:hideMark/>
          </w:tcPr>
          <w:p w14:paraId="0C3F8C3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C3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4880</w:t>
            </w:r>
          </w:p>
        </w:tc>
        <w:tc>
          <w:tcPr>
            <w:tcW w:w="622" w:type="dxa"/>
            <w:tcBorders>
              <w:top w:val="nil"/>
              <w:left w:val="nil"/>
              <w:bottom w:val="nil"/>
              <w:right w:val="nil"/>
            </w:tcBorders>
            <w:shd w:val="clear" w:color="auto" w:fill="auto"/>
            <w:noWrap/>
            <w:vAlign w:val="bottom"/>
            <w:hideMark/>
          </w:tcPr>
          <w:p w14:paraId="0C3F8C3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602</w:t>
            </w:r>
          </w:p>
        </w:tc>
        <w:tc>
          <w:tcPr>
            <w:tcW w:w="835" w:type="dxa"/>
            <w:tcBorders>
              <w:top w:val="nil"/>
              <w:left w:val="nil"/>
              <w:bottom w:val="nil"/>
              <w:right w:val="nil"/>
            </w:tcBorders>
            <w:shd w:val="clear" w:color="auto" w:fill="auto"/>
            <w:noWrap/>
            <w:vAlign w:val="bottom"/>
            <w:hideMark/>
          </w:tcPr>
          <w:p w14:paraId="0C3F8C3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276</w:t>
            </w:r>
          </w:p>
        </w:tc>
        <w:tc>
          <w:tcPr>
            <w:tcW w:w="803" w:type="dxa"/>
            <w:tcBorders>
              <w:top w:val="nil"/>
              <w:left w:val="nil"/>
              <w:bottom w:val="nil"/>
              <w:right w:val="nil"/>
            </w:tcBorders>
            <w:shd w:val="clear" w:color="auto" w:fill="auto"/>
            <w:noWrap/>
            <w:vAlign w:val="bottom"/>
            <w:hideMark/>
          </w:tcPr>
          <w:p w14:paraId="0C3F8C3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42</w:t>
            </w:r>
          </w:p>
        </w:tc>
        <w:tc>
          <w:tcPr>
            <w:tcW w:w="647" w:type="dxa"/>
            <w:tcBorders>
              <w:top w:val="nil"/>
              <w:left w:val="nil"/>
              <w:bottom w:val="nil"/>
              <w:right w:val="nil"/>
            </w:tcBorders>
            <w:shd w:val="clear" w:color="auto" w:fill="auto"/>
            <w:noWrap/>
            <w:vAlign w:val="bottom"/>
            <w:hideMark/>
          </w:tcPr>
          <w:p w14:paraId="0C3F8C3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42</w:t>
            </w:r>
          </w:p>
        </w:tc>
        <w:tc>
          <w:tcPr>
            <w:tcW w:w="815" w:type="dxa"/>
            <w:tcBorders>
              <w:top w:val="nil"/>
              <w:left w:val="nil"/>
              <w:bottom w:val="nil"/>
              <w:right w:val="nil"/>
            </w:tcBorders>
            <w:shd w:val="clear" w:color="auto" w:fill="auto"/>
            <w:noWrap/>
            <w:vAlign w:val="bottom"/>
            <w:hideMark/>
          </w:tcPr>
          <w:p w14:paraId="0C3F8C4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125</w:t>
            </w:r>
          </w:p>
        </w:tc>
        <w:tc>
          <w:tcPr>
            <w:tcW w:w="912" w:type="dxa"/>
            <w:tcBorders>
              <w:top w:val="nil"/>
              <w:left w:val="nil"/>
              <w:bottom w:val="nil"/>
              <w:right w:val="nil"/>
            </w:tcBorders>
            <w:shd w:val="clear" w:color="000000" w:fill="F2DCDB"/>
            <w:noWrap/>
            <w:vAlign w:val="bottom"/>
            <w:hideMark/>
          </w:tcPr>
          <w:p w14:paraId="0C3F8C41"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1088</w:t>
            </w:r>
          </w:p>
        </w:tc>
        <w:tc>
          <w:tcPr>
            <w:tcW w:w="912" w:type="dxa"/>
            <w:tcBorders>
              <w:top w:val="nil"/>
              <w:left w:val="nil"/>
              <w:bottom w:val="nil"/>
              <w:right w:val="single" w:sz="4" w:space="0" w:color="auto"/>
            </w:tcBorders>
            <w:shd w:val="clear" w:color="000000" w:fill="F2DCDB"/>
            <w:noWrap/>
            <w:vAlign w:val="bottom"/>
            <w:hideMark/>
          </w:tcPr>
          <w:p w14:paraId="0C3F8C4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3792</w:t>
            </w:r>
          </w:p>
        </w:tc>
        <w:tc>
          <w:tcPr>
            <w:tcW w:w="813" w:type="dxa"/>
            <w:tcBorders>
              <w:top w:val="nil"/>
              <w:left w:val="nil"/>
              <w:bottom w:val="nil"/>
              <w:right w:val="nil"/>
            </w:tcBorders>
            <w:shd w:val="clear" w:color="auto" w:fill="auto"/>
            <w:noWrap/>
            <w:vAlign w:val="bottom"/>
            <w:hideMark/>
          </w:tcPr>
          <w:p w14:paraId="0C3F8C4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890</w:t>
            </w:r>
          </w:p>
        </w:tc>
        <w:tc>
          <w:tcPr>
            <w:tcW w:w="918" w:type="dxa"/>
            <w:tcBorders>
              <w:top w:val="nil"/>
              <w:left w:val="nil"/>
              <w:bottom w:val="nil"/>
              <w:right w:val="nil"/>
            </w:tcBorders>
            <w:shd w:val="clear" w:color="auto" w:fill="auto"/>
            <w:noWrap/>
            <w:vAlign w:val="bottom"/>
            <w:hideMark/>
          </w:tcPr>
          <w:p w14:paraId="0C3F8C4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55</w:t>
            </w:r>
          </w:p>
        </w:tc>
        <w:tc>
          <w:tcPr>
            <w:tcW w:w="594" w:type="dxa"/>
            <w:tcBorders>
              <w:top w:val="nil"/>
              <w:left w:val="nil"/>
              <w:bottom w:val="nil"/>
              <w:right w:val="nil"/>
            </w:tcBorders>
            <w:shd w:val="clear" w:color="auto" w:fill="auto"/>
            <w:noWrap/>
            <w:vAlign w:val="bottom"/>
            <w:hideMark/>
          </w:tcPr>
          <w:p w14:paraId="0C3F8C4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151</w:t>
            </w:r>
          </w:p>
        </w:tc>
        <w:tc>
          <w:tcPr>
            <w:tcW w:w="1083" w:type="dxa"/>
            <w:tcBorders>
              <w:top w:val="nil"/>
              <w:left w:val="nil"/>
              <w:bottom w:val="nil"/>
              <w:right w:val="nil"/>
            </w:tcBorders>
            <w:shd w:val="clear" w:color="auto" w:fill="auto"/>
            <w:noWrap/>
            <w:vAlign w:val="bottom"/>
            <w:hideMark/>
          </w:tcPr>
          <w:p w14:paraId="0C3F8C4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w:t>
            </w:r>
          </w:p>
        </w:tc>
        <w:tc>
          <w:tcPr>
            <w:tcW w:w="886" w:type="dxa"/>
            <w:tcBorders>
              <w:top w:val="nil"/>
              <w:left w:val="nil"/>
              <w:bottom w:val="nil"/>
              <w:right w:val="nil"/>
            </w:tcBorders>
            <w:shd w:val="clear" w:color="000000" w:fill="F2DCDB"/>
            <w:noWrap/>
            <w:vAlign w:val="bottom"/>
            <w:hideMark/>
          </w:tcPr>
          <w:p w14:paraId="0C3F8C47"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1098</w:t>
            </w:r>
          </w:p>
        </w:tc>
        <w:tc>
          <w:tcPr>
            <w:tcW w:w="886" w:type="dxa"/>
            <w:tcBorders>
              <w:top w:val="nil"/>
              <w:left w:val="nil"/>
              <w:bottom w:val="nil"/>
              <w:right w:val="single" w:sz="4" w:space="0" w:color="auto"/>
            </w:tcBorders>
            <w:shd w:val="clear" w:color="000000" w:fill="F2DCDB"/>
            <w:noWrap/>
            <w:vAlign w:val="bottom"/>
            <w:hideMark/>
          </w:tcPr>
          <w:p w14:paraId="0C3F8C4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3782</w:t>
            </w:r>
          </w:p>
        </w:tc>
      </w:tr>
      <w:tr w:rsidR="00B6457B" w:rsidRPr="00393ABA" w14:paraId="0C3F8C5A" w14:textId="77777777" w:rsidTr="00393ABA">
        <w:trPr>
          <w:trHeight w:val="20"/>
        </w:trPr>
        <w:tc>
          <w:tcPr>
            <w:tcW w:w="1407" w:type="dxa"/>
            <w:vMerge/>
            <w:tcBorders>
              <w:top w:val="nil"/>
              <w:left w:val="single" w:sz="4" w:space="0" w:color="auto"/>
              <w:bottom w:val="nil"/>
              <w:right w:val="nil"/>
            </w:tcBorders>
            <w:vAlign w:val="center"/>
            <w:hideMark/>
          </w:tcPr>
          <w:p w14:paraId="0C3F8C4A"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C4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C4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622" w:type="dxa"/>
            <w:tcBorders>
              <w:top w:val="nil"/>
              <w:left w:val="nil"/>
              <w:bottom w:val="nil"/>
              <w:right w:val="nil"/>
            </w:tcBorders>
            <w:shd w:val="clear" w:color="auto" w:fill="auto"/>
            <w:noWrap/>
            <w:vAlign w:val="bottom"/>
            <w:hideMark/>
          </w:tcPr>
          <w:p w14:paraId="0C3F8C4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835" w:type="dxa"/>
            <w:tcBorders>
              <w:top w:val="nil"/>
              <w:left w:val="nil"/>
              <w:bottom w:val="nil"/>
              <w:right w:val="nil"/>
            </w:tcBorders>
            <w:shd w:val="clear" w:color="auto" w:fill="auto"/>
            <w:noWrap/>
            <w:vAlign w:val="bottom"/>
            <w:hideMark/>
          </w:tcPr>
          <w:p w14:paraId="0C3F8C4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803" w:type="dxa"/>
            <w:tcBorders>
              <w:top w:val="nil"/>
              <w:left w:val="nil"/>
              <w:bottom w:val="nil"/>
              <w:right w:val="nil"/>
            </w:tcBorders>
            <w:shd w:val="clear" w:color="auto" w:fill="auto"/>
            <w:noWrap/>
            <w:vAlign w:val="bottom"/>
            <w:hideMark/>
          </w:tcPr>
          <w:p w14:paraId="0C3F8C4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647" w:type="dxa"/>
            <w:tcBorders>
              <w:top w:val="nil"/>
              <w:left w:val="nil"/>
              <w:bottom w:val="nil"/>
              <w:right w:val="nil"/>
            </w:tcBorders>
            <w:shd w:val="clear" w:color="auto" w:fill="auto"/>
            <w:noWrap/>
            <w:vAlign w:val="bottom"/>
            <w:hideMark/>
          </w:tcPr>
          <w:p w14:paraId="0C3F8C5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815" w:type="dxa"/>
            <w:tcBorders>
              <w:top w:val="nil"/>
              <w:left w:val="nil"/>
              <w:bottom w:val="nil"/>
              <w:right w:val="nil"/>
            </w:tcBorders>
            <w:shd w:val="clear" w:color="auto" w:fill="auto"/>
            <w:noWrap/>
            <w:vAlign w:val="bottom"/>
            <w:hideMark/>
          </w:tcPr>
          <w:p w14:paraId="0C3F8C5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2" w:type="dxa"/>
            <w:tcBorders>
              <w:top w:val="nil"/>
              <w:left w:val="nil"/>
              <w:bottom w:val="nil"/>
              <w:right w:val="nil"/>
            </w:tcBorders>
            <w:shd w:val="clear" w:color="000000" w:fill="F2DCDB"/>
            <w:noWrap/>
            <w:vAlign w:val="bottom"/>
            <w:hideMark/>
          </w:tcPr>
          <w:p w14:paraId="0C3F8C5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22%</w:t>
            </w:r>
          </w:p>
        </w:tc>
        <w:tc>
          <w:tcPr>
            <w:tcW w:w="912" w:type="dxa"/>
            <w:tcBorders>
              <w:top w:val="nil"/>
              <w:left w:val="nil"/>
              <w:bottom w:val="nil"/>
              <w:right w:val="nil"/>
            </w:tcBorders>
            <w:shd w:val="clear" w:color="000000" w:fill="F2DCDB"/>
            <w:noWrap/>
            <w:vAlign w:val="bottom"/>
            <w:hideMark/>
          </w:tcPr>
          <w:p w14:paraId="0C3F8C5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78%</w:t>
            </w:r>
          </w:p>
        </w:tc>
        <w:tc>
          <w:tcPr>
            <w:tcW w:w="813" w:type="dxa"/>
            <w:tcBorders>
              <w:top w:val="nil"/>
              <w:left w:val="single" w:sz="4" w:space="0" w:color="auto"/>
              <w:bottom w:val="nil"/>
              <w:right w:val="nil"/>
            </w:tcBorders>
            <w:shd w:val="clear" w:color="auto" w:fill="auto"/>
            <w:noWrap/>
            <w:vAlign w:val="bottom"/>
            <w:hideMark/>
          </w:tcPr>
          <w:p w14:paraId="0C3F8C5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18%</w:t>
            </w:r>
          </w:p>
        </w:tc>
        <w:tc>
          <w:tcPr>
            <w:tcW w:w="918" w:type="dxa"/>
            <w:tcBorders>
              <w:top w:val="nil"/>
              <w:left w:val="nil"/>
              <w:bottom w:val="nil"/>
              <w:right w:val="nil"/>
            </w:tcBorders>
            <w:shd w:val="clear" w:color="auto" w:fill="auto"/>
            <w:noWrap/>
            <w:vAlign w:val="bottom"/>
            <w:hideMark/>
          </w:tcPr>
          <w:p w14:paraId="0C3F8C5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594" w:type="dxa"/>
            <w:tcBorders>
              <w:top w:val="nil"/>
              <w:left w:val="nil"/>
              <w:bottom w:val="nil"/>
              <w:right w:val="nil"/>
            </w:tcBorders>
            <w:shd w:val="clear" w:color="auto" w:fill="auto"/>
            <w:noWrap/>
            <w:vAlign w:val="bottom"/>
            <w:hideMark/>
          </w:tcPr>
          <w:p w14:paraId="0C3F8C5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1083" w:type="dxa"/>
            <w:tcBorders>
              <w:top w:val="nil"/>
              <w:left w:val="nil"/>
              <w:bottom w:val="nil"/>
              <w:right w:val="nil"/>
            </w:tcBorders>
            <w:shd w:val="clear" w:color="auto" w:fill="auto"/>
            <w:noWrap/>
            <w:vAlign w:val="bottom"/>
            <w:hideMark/>
          </w:tcPr>
          <w:p w14:paraId="0C3F8C5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86" w:type="dxa"/>
            <w:tcBorders>
              <w:top w:val="nil"/>
              <w:left w:val="nil"/>
              <w:bottom w:val="nil"/>
              <w:right w:val="nil"/>
            </w:tcBorders>
            <w:shd w:val="clear" w:color="000000" w:fill="F2DCDB"/>
            <w:noWrap/>
            <w:vAlign w:val="bottom"/>
            <w:hideMark/>
          </w:tcPr>
          <w:p w14:paraId="0C3F8C5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23%</w:t>
            </w:r>
          </w:p>
        </w:tc>
        <w:tc>
          <w:tcPr>
            <w:tcW w:w="886" w:type="dxa"/>
            <w:tcBorders>
              <w:top w:val="nil"/>
              <w:left w:val="nil"/>
              <w:bottom w:val="nil"/>
              <w:right w:val="single" w:sz="4" w:space="0" w:color="auto"/>
            </w:tcBorders>
            <w:shd w:val="clear" w:color="000000" w:fill="F2DCDB"/>
            <w:noWrap/>
            <w:vAlign w:val="bottom"/>
            <w:hideMark/>
          </w:tcPr>
          <w:p w14:paraId="0C3F8C5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77%</w:t>
            </w:r>
          </w:p>
        </w:tc>
      </w:tr>
      <w:tr w:rsidR="00B6457B" w:rsidRPr="00393ABA" w14:paraId="0C3F8C6B" w14:textId="77777777" w:rsidTr="00393ABA">
        <w:trPr>
          <w:trHeight w:val="20"/>
        </w:trPr>
        <w:tc>
          <w:tcPr>
            <w:tcW w:w="140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C3F8C5B"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Burnett-Mary</w:t>
            </w:r>
          </w:p>
        </w:tc>
        <w:tc>
          <w:tcPr>
            <w:tcW w:w="1120" w:type="dxa"/>
            <w:tcBorders>
              <w:top w:val="nil"/>
              <w:left w:val="nil"/>
              <w:bottom w:val="nil"/>
              <w:right w:val="single" w:sz="4" w:space="0" w:color="auto"/>
            </w:tcBorders>
            <w:shd w:val="clear" w:color="000000" w:fill="F2F2F2"/>
            <w:noWrap/>
            <w:vAlign w:val="center"/>
            <w:hideMark/>
          </w:tcPr>
          <w:p w14:paraId="0C3F8C5C"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C5D"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284</w:t>
            </w:r>
          </w:p>
        </w:tc>
        <w:tc>
          <w:tcPr>
            <w:tcW w:w="622" w:type="dxa"/>
            <w:tcBorders>
              <w:top w:val="nil"/>
              <w:left w:val="nil"/>
              <w:bottom w:val="nil"/>
              <w:right w:val="nil"/>
            </w:tcBorders>
            <w:shd w:val="clear" w:color="auto" w:fill="auto"/>
            <w:noWrap/>
            <w:vAlign w:val="bottom"/>
            <w:hideMark/>
          </w:tcPr>
          <w:p w14:paraId="0C3F8C5E"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276</w:t>
            </w:r>
          </w:p>
        </w:tc>
        <w:tc>
          <w:tcPr>
            <w:tcW w:w="835" w:type="dxa"/>
            <w:tcBorders>
              <w:top w:val="nil"/>
              <w:left w:val="nil"/>
              <w:bottom w:val="nil"/>
              <w:right w:val="nil"/>
            </w:tcBorders>
            <w:shd w:val="clear" w:color="auto" w:fill="auto"/>
            <w:noWrap/>
            <w:vAlign w:val="bottom"/>
            <w:hideMark/>
          </w:tcPr>
          <w:p w14:paraId="0C3F8C5F"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3</w:t>
            </w:r>
          </w:p>
        </w:tc>
        <w:tc>
          <w:tcPr>
            <w:tcW w:w="803" w:type="dxa"/>
            <w:tcBorders>
              <w:top w:val="nil"/>
              <w:left w:val="nil"/>
              <w:bottom w:val="nil"/>
              <w:right w:val="nil"/>
            </w:tcBorders>
            <w:shd w:val="clear" w:color="auto" w:fill="auto"/>
            <w:noWrap/>
            <w:vAlign w:val="bottom"/>
            <w:hideMark/>
          </w:tcPr>
          <w:p w14:paraId="0C3F8C60"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0</w:t>
            </w:r>
          </w:p>
        </w:tc>
        <w:tc>
          <w:tcPr>
            <w:tcW w:w="647" w:type="dxa"/>
            <w:tcBorders>
              <w:top w:val="nil"/>
              <w:left w:val="nil"/>
              <w:bottom w:val="nil"/>
              <w:right w:val="nil"/>
            </w:tcBorders>
            <w:shd w:val="clear" w:color="auto" w:fill="auto"/>
            <w:noWrap/>
            <w:vAlign w:val="bottom"/>
            <w:hideMark/>
          </w:tcPr>
          <w:p w14:paraId="0C3F8C61"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0</w:t>
            </w:r>
          </w:p>
        </w:tc>
        <w:tc>
          <w:tcPr>
            <w:tcW w:w="815" w:type="dxa"/>
            <w:tcBorders>
              <w:top w:val="nil"/>
              <w:left w:val="nil"/>
              <w:bottom w:val="nil"/>
              <w:right w:val="nil"/>
            </w:tcBorders>
            <w:shd w:val="clear" w:color="auto" w:fill="auto"/>
            <w:noWrap/>
            <w:vAlign w:val="bottom"/>
            <w:hideMark/>
          </w:tcPr>
          <w:p w14:paraId="0C3F8C62"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4</w:t>
            </w:r>
          </w:p>
        </w:tc>
        <w:tc>
          <w:tcPr>
            <w:tcW w:w="912" w:type="dxa"/>
            <w:tcBorders>
              <w:top w:val="nil"/>
              <w:left w:val="nil"/>
              <w:bottom w:val="nil"/>
              <w:right w:val="nil"/>
            </w:tcBorders>
            <w:shd w:val="clear" w:color="000000" w:fill="F2DCDB"/>
            <w:noWrap/>
            <w:vAlign w:val="bottom"/>
            <w:hideMark/>
          </w:tcPr>
          <w:p w14:paraId="0C3F8C6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283</w:t>
            </w:r>
          </w:p>
        </w:tc>
        <w:tc>
          <w:tcPr>
            <w:tcW w:w="912" w:type="dxa"/>
            <w:tcBorders>
              <w:top w:val="nil"/>
              <w:left w:val="nil"/>
              <w:bottom w:val="nil"/>
              <w:right w:val="single" w:sz="4" w:space="0" w:color="auto"/>
            </w:tcBorders>
            <w:shd w:val="clear" w:color="000000" w:fill="F2DCDB"/>
            <w:noWrap/>
            <w:vAlign w:val="bottom"/>
            <w:hideMark/>
          </w:tcPr>
          <w:p w14:paraId="0C3F8C6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0.3</w:t>
            </w:r>
          </w:p>
        </w:tc>
        <w:tc>
          <w:tcPr>
            <w:tcW w:w="813" w:type="dxa"/>
            <w:tcBorders>
              <w:top w:val="nil"/>
              <w:left w:val="nil"/>
              <w:bottom w:val="nil"/>
              <w:right w:val="nil"/>
            </w:tcBorders>
            <w:shd w:val="clear" w:color="auto" w:fill="auto"/>
            <w:noWrap/>
            <w:vAlign w:val="bottom"/>
            <w:hideMark/>
          </w:tcPr>
          <w:p w14:paraId="0C3F8C65"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278</w:t>
            </w:r>
          </w:p>
        </w:tc>
        <w:tc>
          <w:tcPr>
            <w:tcW w:w="918" w:type="dxa"/>
            <w:tcBorders>
              <w:top w:val="nil"/>
              <w:left w:val="nil"/>
              <w:bottom w:val="nil"/>
              <w:right w:val="nil"/>
            </w:tcBorders>
            <w:shd w:val="clear" w:color="auto" w:fill="auto"/>
            <w:noWrap/>
            <w:vAlign w:val="bottom"/>
            <w:hideMark/>
          </w:tcPr>
          <w:p w14:paraId="0C3F8C66"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5</w:t>
            </w:r>
          </w:p>
        </w:tc>
        <w:tc>
          <w:tcPr>
            <w:tcW w:w="594" w:type="dxa"/>
            <w:tcBorders>
              <w:top w:val="nil"/>
              <w:left w:val="nil"/>
              <w:bottom w:val="nil"/>
              <w:right w:val="nil"/>
            </w:tcBorders>
            <w:shd w:val="clear" w:color="auto" w:fill="auto"/>
            <w:noWrap/>
            <w:vAlign w:val="bottom"/>
            <w:hideMark/>
          </w:tcPr>
          <w:p w14:paraId="0C3F8C67"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1</w:t>
            </w:r>
          </w:p>
        </w:tc>
        <w:tc>
          <w:tcPr>
            <w:tcW w:w="1083" w:type="dxa"/>
            <w:tcBorders>
              <w:top w:val="nil"/>
              <w:left w:val="nil"/>
              <w:bottom w:val="nil"/>
              <w:right w:val="nil"/>
            </w:tcBorders>
            <w:shd w:val="clear" w:color="auto" w:fill="auto"/>
            <w:noWrap/>
            <w:vAlign w:val="bottom"/>
            <w:hideMark/>
          </w:tcPr>
          <w:p w14:paraId="0C3F8C68" w14:textId="77777777" w:rsidR="00B6457B" w:rsidRPr="00393ABA" w:rsidRDefault="00B6457B" w:rsidP="00393ABA">
            <w:pPr>
              <w:spacing w:after="120"/>
              <w:jc w:val="center"/>
              <w:rPr>
                <w:rFonts w:ascii="Calibri" w:hAnsi="Calibri" w:cs="Calibri"/>
                <w:sz w:val="20"/>
                <w:szCs w:val="20"/>
              </w:rPr>
            </w:pPr>
            <w:r w:rsidRPr="00393ABA">
              <w:rPr>
                <w:rFonts w:ascii="Calibri" w:hAnsi="Calibri" w:cs="Calibri"/>
                <w:sz w:val="20"/>
                <w:szCs w:val="20"/>
              </w:rPr>
              <w:t>0</w:t>
            </w:r>
          </w:p>
        </w:tc>
        <w:tc>
          <w:tcPr>
            <w:tcW w:w="886" w:type="dxa"/>
            <w:tcBorders>
              <w:top w:val="nil"/>
              <w:left w:val="nil"/>
              <w:bottom w:val="nil"/>
              <w:right w:val="nil"/>
            </w:tcBorders>
            <w:shd w:val="clear" w:color="000000" w:fill="F2DCDB"/>
            <w:noWrap/>
            <w:vAlign w:val="bottom"/>
            <w:hideMark/>
          </w:tcPr>
          <w:p w14:paraId="0C3F8C6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283</w:t>
            </w:r>
          </w:p>
        </w:tc>
        <w:tc>
          <w:tcPr>
            <w:tcW w:w="886" w:type="dxa"/>
            <w:tcBorders>
              <w:top w:val="nil"/>
              <w:left w:val="nil"/>
              <w:bottom w:val="nil"/>
              <w:right w:val="single" w:sz="4" w:space="0" w:color="auto"/>
            </w:tcBorders>
            <w:shd w:val="clear" w:color="000000" w:fill="F2DCDB"/>
            <w:noWrap/>
            <w:vAlign w:val="bottom"/>
            <w:hideMark/>
          </w:tcPr>
          <w:p w14:paraId="0C3F8C6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0.3</w:t>
            </w:r>
          </w:p>
        </w:tc>
      </w:tr>
      <w:tr w:rsidR="00B6457B" w:rsidRPr="00393ABA" w14:paraId="0C3F8C7C" w14:textId="77777777" w:rsidTr="00393ABA">
        <w:trPr>
          <w:trHeight w:val="20"/>
        </w:trPr>
        <w:tc>
          <w:tcPr>
            <w:tcW w:w="1407" w:type="dxa"/>
            <w:vMerge/>
            <w:tcBorders>
              <w:top w:val="nil"/>
              <w:left w:val="single" w:sz="4" w:space="0" w:color="auto"/>
              <w:bottom w:val="single" w:sz="4" w:space="0" w:color="000000"/>
              <w:right w:val="single" w:sz="4" w:space="0" w:color="auto"/>
            </w:tcBorders>
            <w:vAlign w:val="center"/>
            <w:hideMark/>
          </w:tcPr>
          <w:p w14:paraId="0C3F8C6C" w14:textId="77777777" w:rsidR="00B6457B" w:rsidRPr="00393ABA" w:rsidRDefault="00B6457B" w:rsidP="00393ABA">
            <w:pPr>
              <w:spacing w:after="120"/>
              <w:jc w:val="left"/>
              <w:rPr>
                <w:rFonts w:ascii="Calibri" w:hAnsi="Calibri" w:cs="Calibri"/>
                <w:b/>
                <w:bCs/>
                <w:sz w:val="20"/>
                <w:szCs w:val="20"/>
              </w:rPr>
            </w:pPr>
          </w:p>
        </w:tc>
        <w:tc>
          <w:tcPr>
            <w:tcW w:w="1120" w:type="dxa"/>
            <w:tcBorders>
              <w:top w:val="nil"/>
              <w:left w:val="nil"/>
              <w:bottom w:val="single" w:sz="4" w:space="0" w:color="auto"/>
              <w:right w:val="single" w:sz="4" w:space="0" w:color="auto"/>
            </w:tcBorders>
            <w:shd w:val="clear" w:color="000000" w:fill="F2F2F2"/>
            <w:noWrap/>
            <w:vAlign w:val="center"/>
            <w:hideMark/>
          </w:tcPr>
          <w:p w14:paraId="0C3F8C6D"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w:t>
            </w:r>
          </w:p>
        </w:tc>
        <w:tc>
          <w:tcPr>
            <w:tcW w:w="820" w:type="dxa"/>
            <w:tcBorders>
              <w:top w:val="nil"/>
              <w:left w:val="nil"/>
              <w:bottom w:val="single" w:sz="4" w:space="0" w:color="auto"/>
              <w:right w:val="single" w:sz="4" w:space="0" w:color="auto"/>
            </w:tcBorders>
            <w:shd w:val="clear" w:color="000000" w:fill="F2F2F2"/>
            <w:noWrap/>
            <w:vAlign w:val="bottom"/>
            <w:hideMark/>
          </w:tcPr>
          <w:p w14:paraId="0C3F8C6E"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100%</w:t>
            </w:r>
          </w:p>
        </w:tc>
        <w:tc>
          <w:tcPr>
            <w:tcW w:w="622" w:type="dxa"/>
            <w:tcBorders>
              <w:top w:val="nil"/>
              <w:left w:val="nil"/>
              <w:bottom w:val="single" w:sz="4" w:space="0" w:color="auto"/>
              <w:right w:val="nil"/>
            </w:tcBorders>
            <w:shd w:val="clear" w:color="auto" w:fill="auto"/>
            <w:noWrap/>
            <w:vAlign w:val="bottom"/>
            <w:hideMark/>
          </w:tcPr>
          <w:p w14:paraId="0C3F8C6F"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97%</w:t>
            </w:r>
          </w:p>
        </w:tc>
        <w:tc>
          <w:tcPr>
            <w:tcW w:w="835" w:type="dxa"/>
            <w:tcBorders>
              <w:top w:val="nil"/>
              <w:left w:val="nil"/>
              <w:bottom w:val="single" w:sz="4" w:space="0" w:color="auto"/>
              <w:right w:val="nil"/>
            </w:tcBorders>
            <w:shd w:val="clear" w:color="auto" w:fill="auto"/>
            <w:noWrap/>
            <w:vAlign w:val="bottom"/>
            <w:hideMark/>
          </w:tcPr>
          <w:p w14:paraId="0C3F8C70"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1%</w:t>
            </w:r>
          </w:p>
        </w:tc>
        <w:tc>
          <w:tcPr>
            <w:tcW w:w="803" w:type="dxa"/>
            <w:tcBorders>
              <w:top w:val="nil"/>
              <w:left w:val="nil"/>
              <w:bottom w:val="single" w:sz="4" w:space="0" w:color="auto"/>
              <w:right w:val="nil"/>
            </w:tcBorders>
            <w:shd w:val="clear" w:color="auto" w:fill="auto"/>
            <w:noWrap/>
            <w:vAlign w:val="bottom"/>
            <w:hideMark/>
          </w:tcPr>
          <w:p w14:paraId="0C3F8C71"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0%</w:t>
            </w:r>
          </w:p>
        </w:tc>
        <w:tc>
          <w:tcPr>
            <w:tcW w:w="647" w:type="dxa"/>
            <w:tcBorders>
              <w:top w:val="nil"/>
              <w:left w:val="nil"/>
              <w:bottom w:val="single" w:sz="4" w:space="0" w:color="auto"/>
              <w:right w:val="nil"/>
            </w:tcBorders>
            <w:shd w:val="clear" w:color="auto" w:fill="auto"/>
            <w:noWrap/>
            <w:vAlign w:val="bottom"/>
            <w:hideMark/>
          </w:tcPr>
          <w:p w14:paraId="0C3F8C72"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0%</w:t>
            </w:r>
          </w:p>
        </w:tc>
        <w:tc>
          <w:tcPr>
            <w:tcW w:w="815" w:type="dxa"/>
            <w:tcBorders>
              <w:top w:val="nil"/>
              <w:left w:val="nil"/>
              <w:bottom w:val="single" w:sz="4" w:space="0" w:color="auto"/>
              <w:right w:val="nil"/>
            </w:tcBorders>
            <w:shd w:val="clear" w:color="auto" w:fill="auto"/>
            <w:noWrap/>
            <w:vAlign w:val="bottom"/>
            <w:hideMark/>
          </w:tcPr>
          <w:p w14:paraId="0C3F8C73"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2%</w:t>
            </w:r>
          </w:p>
        </w:tc>
        <w:tc>
          <w:tcPr>
            <w:tcW w:w="912" w:type="dxa"/>
            <w:tcBorders>
              <w:top w:val="nil"/>
              <w:left w:val="nil"/>
              <w:bottom w:val="single" w:sz="4" w:space="0" w:color="auto"/>
              <w:right w:val="nil"/>
            </w:tcBorders>
            <w:shd w:val="clear" w:color="000000" w:fill="F2DCDB"/>
            <w:noWrap/>
            <w:vAlign w:val="bottom"/>
            <w:hideMark/>
          </w:tcPr>
          <w:p w14:paraId="0C3F8C7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99.9%</w:t>
            </w:r>
          </w:p>
        </w:tc>
        <w:tc>
          <w:tcPr>
            <w:tcW w:w="912" w:type="dxa"/>
            <w:tcBorders>
              <w:top w:val="nil"/>
              <w:left w:val="nil"/>
              <w:bottom w:val="single" w:sz="4" w:space="0" w:color="auto"/>
              <w:right w:val="nil"/>
            </w:tcBorders>
            <w:shd w:val="clear" w:color="000000" w:fill="F2DCDB"/>
            <w:noWrap/>
            <w:vAlign w:val="bottom"/>
            <w:hideMark/>
          </w:tcPr>
          <w:p w14:paraId="0C3F8C7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0.1%</w:t>
            </w:r>
          </w:p>
        </w:tc>
        <w:tc>
          <w:tcPr>
            <w:tcW w:w="813" w:type="dxa"/>
            <w:tcBorders>
              <w:top w:val="nil"/>
              <w:left w:val="single" w:sz="4" w:space="0" w:color="auto"/>
              <w:bottom w:val="single" w:sz="4" w:space="0" w:color="auto"/>
              <w:right w:val="nil"/>
            </w:tcBorders>
            <w:shd w:val="clear" w:color="auto" w:fill="auto"/>
            <w:noWrap/>
            <w:vAlign w:val="bottom"/>
            <w:hideMark/>
          </w:tcPr>
          <w:p w14:paraId="0C3F8C76"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98%</w:t>
            </w:r>
          </w:p>
        </w:tc>
        <w:tc>
          <w:tcPr>
            <w:tcW w:w="918" w:type="dxa"/>
            <w:tcBorders>
              <w:top w:val="nil"/>
              <w:left w:val="nil"/>
              <w:bottom w:val="single" w:sz="4" w:space="0" w:color="auto"/>
              <w:right w:val="nil"/>
            </w:tcBorders>
            <w:shd w:val="clear" w:color="auto" w:fill="auto"/>
            <w:noWrap/>
            <w:vAlign w:val="bottom"/>
            <w:hideMark/>
          </w:tcPr>
          <w:p w14:paraId="0C3F8C77"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2%</w:t>
            </w:r>
          </w:p>
        </w:tc>
        <w:tc>
          <w:tcPr>
            <w:tcW w:w="594" w:type="dxa"/>
            <w:tcBorders>
              <w:top w:val="nil"/>
              <w:left w:val="nil"/>
              <w:bottom w:val="single" w:sz="4" w:space="0" w:color="auto"/>
              <w:right w:val="nil"/>
            </w:tcBorders>
            <w:shd w:val="clear" w:color="auto" w:fill="auto"/>
            <w:noWrap/>
            <w:vAlign w:val="bottom"/>
            <w:hideMark/>
          </w:tcPr>
          <w:p w14:paraId="0C3F8C78"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0%</w:t>
            </w:r>
          </w:p>
        </w:tc>
        <w:tc>
          <w:tcPr>
            <w:tcW w:w="1083" w:type="dxa"/>
            <w:tcBorders>
              <w:top w:val="nil"/>
              <w:left w:val="nil"/>
              <w:bottom w:val="single" w:sz="4" w:space="0" w:color="auto"/>
              <w:right w:val="nil"/>
            </w:tcBorders>
            <w:shd w:val="clear" w:color="auto" w:fill="auto"/>
            <w:noWrap/>
            <w:vAlign w:val="bottom"/>
            <w:hideMark/>
          </w:tcPr>
          <w:p w14:paraId="0C3F8C79" w14:textId="77777777" w:rsidR="00B6457B" w:rsidRPr="00393ABA" w:rsidRDefault="00B6457B" w:rsidP="00393ABA">
            <w:pPr>
              <w:spacing w:after="120"/>
              <w:jc w:val="center"/>
              <w:rPr>
                <w:rFonts w:ascii="Calibri" w:hAnsi="Calibri" w:cs="Calibri"/>
                <w:i/>
                <w:iCs/>
                <w:sz w:val="20"/>
                <w:szCs w:val="20"/>
              </w:rPr>
            </w:pPr>
            <w:r w:rsidRPr="00393ABA">
              <w:rPr>
                <w:rFonts w:ascii="Calibri" w:hAnsi="Calibri" w:cs="Calibri"/>
                <w:i/>
                <w:iCs/>
                <w:sz w:val="20"/>
                <w:szCs w:val="20"/>
              </w:rPr>
              <w:t>0%</w:t>
            </w:r>
          </w:p>
        </w:tc>
        <w:tc>
          <w:tcPr>
            <w:tcW w:w="886" w:type="dxa"/>
            <w:tcBorders>
              <w:top w:val="nil"/>
              <w:left w:val="nil"/>
              <w:bottom w:val="single" w:sz="4" w:space="0" w:color="auto"/>
              <w:right w:val="nil"/>
            </w:tcBorders>
            <w:shd w:val="clear" w:color="000000" w:fill="F2DCDB"/>
            <w:noWrap/>
            <w:vAlign w:val="bottom"/>
            <w:hideMark/>
          </w:tcPr>
          <w:p w14:paraId="0C3F8C7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99.9%</w:t>
            </w:r>
          </w:p>
        </w:tc>
        <w:tc>
          <w:tcPr>
            <w:tcW w:w="886" w:type="dxa"/>
            <w:tcBorders>
              <w:top w:val="nil"/>
              <w:left w:val="nil"/>
              <w:bottom w:val="single" w:sz="4" w:space="0" w:color="auto"/>
              <w:right w:val="single" w:sz="4" w:space="0" w:color="auto"/>
            </w:tcBorders>
            <w:shd w:val="clear" w:color="000000" w:fill="F2DCDB"/>
            <w:noWrap/>
            <w:vAlign w:val="bottom"/>
            <w:hideMark/>
          </w:tcPr>
          <w:p w14:paraId="0C3F8C7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0.1%</w:t>
            </w:r>
          </w:p>
        </w:tc>
      </w:tr>
    </w:tbl>
    <w:p w14:paraId="0C3F8C7D" w14:textId="77777777" w:rsidR="00B6457B" w:rsidRPr="00122A3D" w:rsidRDefault="00B6457B" w:rsidP="00B6457B">
      <w:pPr>
        <w:keepNext/>
        <w:spacing w:after="120"/>
        <w:jc w:val="left"/>
        <w:rPr>
          <w:rFonts w:ascii="Calibri" w:eastAsia="Calibri" w:hAnsi="Calibri" w:cs="Times New Roman"/>
          <w:bCs/>
          <w:lang w:eastAsia="en-US"/>
        </w:rPr>
      </w:pPr>
      <w:r w:rsidRPr="00122A3D">
        <w:rPr>
          <w:rFonts w:ascii="Calibri" w:eastAsia="Calibri" w:hAnsi="Calibri" w:cs="Times New Roman"/>
          <w:bCs/>
          <w:lang w:eastAsia="en-US"/>
        </w:rPr>
        <w:t>Table A-</w:t>
      </w:r>
      <w:r>
        <w:rPr>
          <w:rFonts w:ascii="Calibri" w:eastAsia="Calibri" w:hAnsi="Calibri" w:cs="Times New Roman"/>
          <w:bCs/>
          <w:lang w:eastAsia="en-US"/>
        </w:rPr>
        <w:t>4</w:t>
      </w:r>
      <w:r w:rsidRPr="00122A3D">
        <w:rPr>
          <w:rFonts w:ascii="Calibri" w:eastAsia="Calibri" w:hAnsi="Calibri" w:cs="Times New Roman"/>
          <w:bCs/>
          <w:lang w:eastAsia="en-US"/>
        </w:rPr>
        <w:t>: Areas (km</w:t>
      </w:r>
      <w:r w:rsidRPr="00122A3D">
        <w:rPr>
          <w:rFonts w:ascii="Calibri" w:eastAsia="Calibri" w:hAnsi="Calibri" w:cs="Times New Roman"/>
          <w:bCs/>
          <w:vertAlign w:val="superscript"/>
          <w:lang w:eastAsia="en-US"/>
        </w:rPr>
        <w:t>2</w:t>
      </w:r>
      <w:r w:rsidRPr="00122A3D">
        <w:rPr>
          <w:rFonts w:ascii="Calibri" w:eastAsia="Calibri" w:hAnsi="Calibri" w:cs="Times New Roman"/>
          <w:bCs/>
          <w:lang w:eastAsia="en-US"/>
        </w:rPr>
        <w:t xml:space="preserve">) and percentage (%) of seagrass beds exposed (‘exp.’) to river plumes and </w:t>
      </w:r>
      <w:r>
        <w:rPr>
          <w:rFonts w:ascii="Calibri" w:eastAsia="Calibri" w:hAnsi="Calibri" w:cs="Times New Roman"/>
          <w:bCs/>
          <w:lang w:eastAsia="en-US"/>
        </w:rPr>
        <w:t xml:space="preserve">potential </w:t>
      </w:r>
      <w:r w:rsidRPr="00122A3D">
        <w:rPr>
          <w:rFonts w:ascii="Calibri" w:eastAsia="Calibri" w:hAnsi="Calibri" w:cs="Times New Roman"/>
          <w:bCs/>
          <w:lang w:eastAsia="en-US"/>
        </w:rPr>
        <w:t>river plume</w:t>
      </w:r>
      <w:r>
        <w:rPr>
          <w:rFonts w:ascii="Calibri" w:eastAsia="Calibri" w:hAnsi="Calibri" w:cs="Times New Roman"/>
          <w:bCs/>
          <w:lang w:eastAsia="en-US"/>
        </w:rPr>
        <w:t xml:space="preserve"> risk</w:t>
      </w:r>
      <w:r w:rsidRPr="00122A3D">
        <w:rPr>
          <w:rFonts w:ascii="Calibri" w:eastAsia="Calibri" w:hAnsi="Calibri" w:cs="Times New Roman"/>
          <w:bCs/>
          <w:lang w:eastAsia="en-US"/>
        </w:rPr>
        <w:t xml:space="preserve"> within the GBR and each NRM: a) surveyed seagrass beds, b) deep seagrass beds and c) total (surveyed + deep) seagrass beds</w:t>
      </w:r>
    </w:p>
    <w:tbl>
      <w:tblPr>
        <w:tblW w:w="14025" w:type="dxa"/>
        <w:tblInd w:w="93" w:type="dxa"/>
        <w:tblLook w:val="04A0" w:firstRow="1" w:lastRow="0" w:firstColumn="1" w:lastColumn="0" w:noHBand="0" w:noVBand="1"/>
      </w:tblPr>
      <w:tblGrid>
        <w:gridCol w:w="1407"/>
        <w:gridCol w:w="1120"/>
        <w:gridCol w:w="820"/>
        <w:gridCol w:w="735"/>
        <w:gridCol w:w="804"/>
        <w:gridCol w:w="774"/>
        <w:gridCol w:w="641"/>
        <w:gridCol w:w="785"/>
        <w:gridCol w:w="912"/>
        <w:gridCol w:w="912"/>
        <w:gridCol w:w="723"/>
        <w:gridCol w:w="918"/>
        <w:gridCol w:w="622"/>
        <w:gridCol w:w="1028"/>
        <w:gridCol w:w="912"/>
        <w:gridCol w:w="912"/>
      </w:tblGrid>
      <w:tr w:rsidR="00B6457B" w:rsidRPr="00393ABA" w14:paraId="0C3F8C87" w14:textId="77777777" w:rsidTr="00393ABA">
        <w:trPr>
          <w:trHeight w:val="300"/>
        </w:trPr>
        <w:tc>
          <w:tcPr>
            <w:tcW w:w="1407" w:type="dxa"/>
            <w:tcBorders>
              <w:top w:val="nil"/>
              <w:left w:val="nil"/>
              <w:bottom w:val="nil"/>
              <w:right w:val="nil"/>
            </w:tcBorders>
            <w:shd w:val="clear" w:color="auto" w:fill="auto"/>
            <w:noWrap/>
            <w:vAlign w:val="bottom"/>
            <w:hideMark/>
          </w:tcPr>
          <w:p w14:paraId="0C3F8C7E" w14:textId="77777777" w:rsidR="00B6457B" w:rsidRPr="00393ABA" w:rsidRDefault="00B6457B" w:rsidP="00393ABA">
            <w:pPr>
              <w:spacing w:after="120"/>
              <w:jc w:val="center"/>
              <w:rPr>
                <w:rFonts w:ascii="Calibri" w:hAnsi="Calibri" w:cs="Calibri"/>
                <w:color w:val="000000"/>
                <w:sz w:val="20"/>
                <w:szCs w:val="20"/>
              </w:rPr>
            </w:pPr>
          </w:p>
        </w:tc>
        <w:tc>
          <w:tcPr>
            <w:tcW w:w="1120" w:type="dxa"/>
            <w:tcBorders>
              <w:top w:val="nil"/>
              <w:left w:val="nil"/>
              <w:bottom w:val="nil"/>
              <w:right w:val="nil"/>
            </w:tcBorders>
            <w:shd w:val="clear" w:color="auto" w:fill="auto"/>
            <w:noWrap/>
            <w:vAlign w:val="bottom"/>
            <w:hideMark/>
          </w:tcPr>
          <w:p w14:paraId="0C3F8C7F" w14:textId="77777777" w:rsidR="00B6457B" w:rsidRPr="00393ABA" w:rsidRDefault="00B6457B" w:rsidP="00393ABA">
            <w:pPr>
              <w:spacing w:after="120"/>
              <w:jc w:val="center"/>
              <w:rPr>
                <w:rFonts w:ascii="Calibri" w:hAnsi="Calibri" w:cs="Calibri"/>
                <w:color w:val="000000"/>
                <w:sz w:val="20"/>
                <w:szCs w:val="20"/>
              </w:rPr>
            </w:pPr>
          </w:p>
        </w:tc>
        <w:tc>
          <w:tcPr>
            <w:tcW w:w="820" w:type="dxa"/>
            <w:tcBorders>
              <w:top w:val="nil"/>
              <w:left w:val="nil"/>
              <w:bottom w:val="nil"/>
              <w:right w:val="nil"/>
            </w:tcBorders>
            <w:shd w:val="clear" w:color="auto" w:fill="auto"/>
            <w:noWrap/>
            <w:vAlign w:val="bottom"/>
            <w:hideMark/>
          </w:tcPr>
          <w:p w14:paraId="0C3F8C80" w14:textId="77777777" w:rsidR="00B6457B" w:rsidRPr="00393ABA" w:rsidRDefault="00B6457B" w:rsidP="00393ABA">
            <w:pPr>
              <w:spacing w:after="120"/>
              <w:jc w:val="center"/>
              <w:rPr>
                <w:rFonts w:ascii="Calibri" w:hAnsi="Calibri" w:cs="Calibri"/>
                <w:color w:val="000000"/>
                <w:sz w:val="20"/>
                <w:szCs w:val="20"/>
              </w:rPr>
            </w:pPr>
          </w:p>
        </w:tc>
        <w:tc>
          <w:tcPr>
            <w:tcW w:w="3739" w:type="dxa"/>
            <w:gridSpan w:val="5"/>
            <w:tcBorders>
              <w:top w:val="single" w:sz="4" w:space="0" w:color="auto"/>
              <w:left w:val="single" w:sz="4" w:space="0" w:color="auto"/>
              <w:bottom w:val="single" w:sz="4" w:space="0" w:color="auto"/>
              <w:right w:val="nil"/>
            </w:tcBorders>
            <w:shd w:val="clear" w:color="000000" w:fill="F2F2F2"/>
            <w:noWrap/>
            <w:vAlign w:val="bottom"/>
            <w:hideMark/>
          </w:tcPr>
          <w:p w14:paraId="0C3F8C8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River plume frequency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C8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C8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c>
          <w:tcPr>
            <w:tcW w:w="3291" w:type="dxa"/>
            <w:gridSpan w:val="4"/>
            <w:tcBorders>
              <w:top w:val="single" w:sz="4" w:space="0" w:color="auto"/>
              <w:left w:val="nil"/>
              <w:bottom w:val="single" w:sz="4" w:space="0" w:color="auto"/>
              <w:right w:val="nil"/>
            </w:tcBorders>
            <w:shd w:val="clear" w:color="000000" w:fill="F2F2F2"/>
            <w:noWrap/>
            <w:vAlign w:val="bottom"/>
            <w:hideMark/>
          </w:tcPr>
          <w:p w14:paraId="0C3F8C8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Potential risk category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C85"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C8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r>
      <w:tr w:rsidR="00B6457B" w:rsidRPr="00393ABA" w14:paraId="0C3F8C97" w14:textId="77777777" w:rsidTr="00393ABA">
        <w:trPr>
          <w:trHeight w:val="300"/>
        </w:trPr>
        <w:tc>
          <w:tcPr>
            <w:tcW w:w="2527" w:type="dxa"/>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0C3F8C88" w14:textId="77777777" w:rsidR="00B6457B" w:rsidRPr="00393ABA" w:rsidRDefault="00B6457B" w:rsidP="00C05A63">
            <w:pPr>
              <w:pStyle w:val="ListParagraph"/>
              <w:numPr>
                <w:ilvl w:val="0"/>
                <w:numId w:val="26"/>
              </w:numPr>
              <w:spacing w:before="0" w:after="120" w:line="276" w:lineRule="auto"/>
              <w:jc w:val="center"/>
              <w:rPr>
                <w:rFonts w:ascii="Calibri" w:hAnsi="Calibri" w:cs="Calibri"/>
                <w:b/>
                <w:bCs/>
                <w:color w:val="000000"/>
                <w:sz w:val="20"/>
                <w:szCs w:val="20"/>
              </w:rPr>
            </w:pPr>
            <w:r w:rsidRPr="00393ABA">
              <w:rPr>
                <w:rFonts w:ascii="Calibri" w:hAnsi="Calibri" w:cs="Calibri"/>
                <w:b/>
                <w:bCs/>
                <w:color w:val="000000"/>
                <w:sz w:val="20"/>
                <w:szCs w:val="20"/>
              </w:rPr>
              <w:t>Seagrass survey</w:t>
            </w:r>
          </w:p>
        </w:tc>
        <w:tc>
          <w:tcPr>
            <w:tcW w:w="820" w:type="dxa"/>
            <w:tcBorders>
              <w:top w:val="single" w:sz="4" w:space="0" w:color="auto"/>
              <w:left w:val="nil"/>
              <w:bottom w:val="nil"/>
              <w:right w:val="single" w:sz="4" w:space="0" w:color="auto"/>
            </w:tcBorders>
            <w:shd w:val="clear" w:color="000000" w:fill="F2F2F2"/>
            <w:noWrap/>
            <w:vAlign w:val="bottom"/>
            <w:hideMark/>
          </w:tcPr>
          <w:p w14:paraId="0C3F8C8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Tot</w:t>
            </w:r>
          </w:p>
        </w:tc>
        <w:tc>
          <w:tcPr>
            <w:tcW w:w="735" w:type="dxa"/>
            <w:tcBorders>
              <w:top w:val="nil"/>
              <w:left w:val="nil"/>
              <w:bottom w:val="single" w:sz="4" w:space="0" w:color="auto"/>
              <w:right w:val="nil"/>
            </w:tcBorders>
            <w:shd w:val="clear" w:color="000000" w:fill="F2F2F2"/>
            <w:noWrap/>
            <w:vAlign w:val="bottom"/>
            <w:hideMark/>
          </w:tcPr>
          <w:p w14:paraId="0C3F8C8A" w14:textId="77777777" w:rsidR="00B6457B" w:rsidRPr="00393ABA" w:rsidRDefault="00B6457B" w:rsidP="00393ABA">
            <w:pPr>
              <w:spacing w:after="120"/>
              <w:jc w:val="center"/>
              <w:rPr>
                <w:rFonts w:ascii="Calibri" w:hAnsi="Calibri" w:cs="Calibri"/>
                <w:b/>
                <w:bCs/>
                <w:color w:val="1F497D"/>
                <w:sz w:val="20"/>
                <w:szCs w:val="20"/>
              </w:rPr>
            </w:pPr>
            <w:r w:rsidRPr="00393ABA">
              <w:rPr>
                <w:rFonts w:ascii="Calibri" w:hAnsi="Calibri" w:cs="Calibri"/>
                <w:b/>
                <w:bCs/>
                <w:color w:val="1F497D"/>
                <w:sz w:val="20"/>
                <w:szCs w:val="20"/>
              </w:rPr>
              <w:t>Rare</w:t>
            </w:r>
          </w:p>
        </w:tc>
        <w:tc>
          <w:tcPr>
            <w:tcW w:w="804" w:type="dxa"/>
            <w:tcBorders>
              <w:top w:val="nil"/>
              <w:left w:val="nil"/>
              <w:bottom w:val="single" w:sz="4" w:space="0" w:color="auto"/>
              <w:right w:val="nil"/>
            </w:tcBorders>
            <w:shd w:val="clear" w:color="000000" w:fill="F2F2F2"/>
            <w:noWrap/>
            <w:vAlign w:val="bottom"/>
            <w:hideMark/>
          </w:tcPr>
          <w:p w14:paraId="0C3F8C8B" w14:textId="77777777" w:rsidR="00B6457B" w:rsidRPr="00393ABA" w:rsidRDefault="00B6457B" w:rsidP="00393ABA">
            <w:pPr>
              <w:spacing w:after="120"/>
              <w:jc w:val="center"/>
              <w:rPr>
                <w:rFonts w:ascii="Calibri" w:hAnsi="Calibri" w:cs="Calibri"/>
                <w:b/>
                <w:bCs/>
                <w:color w:val="31869B"/>
                <w:sz w:val="20"/>
                <w:szCs w:val="20"/>
              </w:rPr>
            </w:pPr>
            <w:r w:rsidRPr="00393ABA">
              <w:rPr>
                <w:rFonts w:ascii="Calibri" w:hAnsi="Calibri" w:cs="Calibri"/>
                <w:b/>
                <w:bCs/>
                <w:color w:val="31869B"/>
                <w:sz w:val="20"/>
                <w:szCs w:val="20"/>
              </w:rPr>
              <w:t>Infreq.</w:t>
            </w:r>
          </w:p>
        </w:tc>
        <w:tc>
          <w:tcPr>
            <w:tcW w:w="774" w:type="dxa"/>
            <w:tcBorders>
              <w:top w:val="nil"/>
              <w:left w:val="nil"/>
              <w:bottom w:val="single" w:sz="4" w:space="0" w:color="auto"/>
              <w:right w:val="nil"/>
            </w:tcBorders>
            <w:shd w:val="clear" w:color="000000" w:fill="F2F2F2"/>
            <w:noWrap/>
            <w:vAlign w:val="bottom"/>
            <w:hideMark/>
          </w:tcPr>
          <w:p w14:paraId="0C3F8C8C" w14:textId="77777777" w:rsidR="00B6457B" w:rsidRPr="00393ABA" w:rsidRDefault="00B6457B" w:rsidP="00393ABA">
            <w:pPr>
              <w:spacing w:after="120"/>
              <w:jc w:val="center"/>
              <w:rPr>
                <w:rFonts w:ascii="Calibri" w:hAnsi="Calibri" w:cs="Calibri"/>
                <w:b/>
                <w:bCs/>
                <w:color w:val="FFC000"/>
                <w:sz w:val="20"/>
                <w:szCs w:val="20"/>
              </w:rPr>
            </w:pPr>
            <w:r w:rsidRPr="00393ABA">
              <w:rPr>
                <w:rFonts w:ascii="Calibri" w:hAnsi="Calibri" w:cs="Calibri"/>
                <w:b/>
                <w:bCs/>
                <w:color w:val="FFC000"/>
                <w:sz w:val="20"/>
                <w:szCs w:val="20"/>
              </w:rPr>
              <w:t>Occas.</w:t>
            </w:r>
          </w:p>
        </w:tc>
        <w:tc>
          <w:tcPr>
            <w:tcW w:w="641" w:type="dxa"/>
            <w:tcBorders>
              <w:top w:val="nil"/>
              <w:left w:val="nil"/>
              <w:bottom w:val="single" w:sz="4" w:space="0" w:color="auto"/>
              <w:right w:val="nil"/>
            </w:tcBorders>
            <w:shd w:val="clear" w:color="000000" w:fill="F2F2F2"/>
            <w:noWrap/>
            <w:vAlign w:val="bottom"/>
            <w:hideMark/>
          </w:tcPr>
          <w:p w14:paraId="0C3F8C8D" w14:textId="77777777" w:rsidR="00B6457B" w:rsidRPr="00393ABA" w:rsidRDefault="00B6457B" w:rsidP="00393ABA">
            <w:pPr>
              <w:spacing w:after="120"/>
              <w:jc w:val="center"/>
              <w:rPr>
                <w:rFonts w:ascii="Calibri" w:hAnsi="Calibri" w:cs="Calibri"/>
                <w:b/>
                <w:bCs/>
                <w:color w:val="F79646"/>
                <w:sz w:val="20"/>
                <w:szCs w:val="20"/>
              </w:rPr>
            </w:pPr>
            <w:r w:rsidRPr="00393ABA">
              <w:rPr>
                <w:rFonts w:ascii="Calibri" w:hAnsi="Calibri" w:cs="Calibri"/>
                <w:b/>
                <w:bCs/>
                <w:color w:val="F79646"/>
                <w:sz w:val="20"/>
                <w:szCs w:val="20"/>
              </w:rPr>
              <w:t>Freq.</w:t>
            </w:r>
          </w:p>
        </w:tc>
        <w:tc>
          <w:tcPr>
            <w:tcW w:w="785" w:type="dxa"/>
            <w:tcBorders>
              <w:top w:val="nil"/>
              <w:left w:val="nil"/>
              <w:bottom w:val="single" w:sz="4" w:space="0" w:color="auto"/>
              <w:right w:val="nil"/>
            </w:tcBorders>
            <w:shd w:val="clear" w:color="000000" w:fill="F2F2F2"/>
            <w:noWrap/>
            <w:vAlign w:val="bottom"/>
            <w:hideMark/>
          </w:tcPr>
          <w:p w14:paraId="0C3F8C8E" w14:textId="77777777" w:rsidR="00B6457B" w:rsidRPr="00393ABA" w:rsidRDefault="00B6457B" w:rsidP="00393ABA">
            <w:pPr>
              <w:spacing w:after="120"/>
              <w:jc w:val="center"/>
              <w:rPr>
                <w:rFonts w:ascii="Calibri" w:hAnsi="Calibri" w:cs="Calibri"/>
                <w:b/>
                <w:bCs/>
                <w:color w:val="FF0000"/>
                <w:sz w:val="20"/>
                <w:szCs w:val="20"/>
              </w:rPr>
            </w:pPr>
            <w:r w:rsidRPr="00393ABA">
              <w:rPr>
                <w:rFonts w:ascii="Calibri" w:hAnsi="Calibri" w:cs="Calibri"/>
                <w:b/>
                <w:bCs/>
                <w:color w:val="FF0000"/>
                <w:sz w:val="20"/>
                <w:szCs w:val="20"/>
              </w:rPr>
              <w:t>V.Freq</w:t>
            </w:r>
          </w:p>
        </w:tc>
        <w:tc>
          <w:tcPr>
            <w:tcW w:w="912" w:type="dxa"/>
            <w:vMerge/>
            <w:tcBorders>
              <w:top w:val="single" w:sz="4" w:space="0" w:color="auto"/>
              <w:left w:val="nil"/>
              <w:bottom w:val="single" w:sz="4" w:space="0" w:color="000000"/>
              <w:right w:val="nil"/>
            </w:tcBorders>
            <w:vAlign w:val="center"/>
            <w:hideMark/>
          </w:tcPr>
          <w:p w14:paraId="0C3F8C8F"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C90" w14:textId="77777777" w:rsidR="00B6457B" w:rsidRPr="00393ABA" w:rsidRDefault="00B6457B" w:rsidP="00393ABA">
            <w:pPr>
              <w:spacing w:after="120"/>
              <w:jc w:val="left"/>
              <w:rPr>
                <w:rFonts w:ascii="Calibri" w:hAnsi="Calibri" w:cs="Calibri"/>
                <w:b/>
                <w:bCs/>
                <w:sz w:val="20"/>
                <w:szCs w:val="20"/>
              </w:rPr>
            </w:pPr>
          </w:p>
        </w:tc>
        <w:tc>
          <w:tcPr>
            <w:tcW w:w="723" w:type="dxa"/>
            <w:tcBorders>
              <w:top w:val="nil"/>
              <w:left w:val="nil"/>
              <w:bottom w:val="nil"/>
              <w:right w:val="nil"/>
            </w:tcBorders>
            <w:shd w:val="clear" w:color="000000" w:fill="0070C0"/>
            <w:noWrap/>
            <w:vAlign w:val="bottom"/>
            <w:hideMark/>
          </w:tcPr>
          <w:p w14:paraId="0C3F8C91"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w:t>
            </w:r>
          </w:p>
        </w:tc>
        <w:tc>
          <w:tcPr>
            <w:tcW w:w="918" w:type="dxa"/>
            <w:tcBorders>
              <w:top w:val="nil"/>
              <w:left w:val="nil"/>
              <w:bottom w:val="nil"/>
              <w:right w:val="nil"/>
            </w:tcBorders>
            <w:shd w:val="clear" w:color="000000" w:fill="00B050"/>
            <w:noWrap/>
            <w:vAlign w:val="bottom"/>
            <w:hideMark/>
          </w:tcPr>
          <w:p w14:paraId="0C3F8C92"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w:t>
            </w:r>
          </w:p>
        </w:tc>
        <w:tc>
          <w:tcPr>
            <w:tcW w:w="622" w:type="dxa"/>
            <w:tcBorders>
              <w:top w:val="nil"/>
              <w:left w:val="nil"/>
              <w:bottom w:val="nil"/>
              <w:right w:val="nil"/>
            </w:tcBorders>
            <w:shd w:val="clear" w:color="000000" w:fill="FF0000"/>
            <w:noWrap/>
            <w:vAlign w:val="bottom"/>
            <w:hideMark/>
          </w:tcPr>
          <w:p w14:paraId="0C3F8C93"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III</w:t>
            </w:r>
          </w:p>
        </w:tc>
        <w:tc>
          <w:tcPr>
            <w:tcW w:w="1028" w:type="dxa"/>
            <w:tcBorders>
              <w:top w:val="nil"/>
              <w:left w:val="nil"/>
              <w:bottom w:val="nil"/>
              <w:right w:val="nil"/>
            </w:tcBorders>
            <w:shd w:val="clear" w:color="000000" w:fill="C00000"/>
            <w:noWrap/>
            <w:vAlign w:val="bottom"/>
            <w:hideMark/>
          </w:tcPr>
          <w:p w14:paraId="0C3F8C94"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IV</w:t>
            </w:r>
          </w:p>
        </w:tc>
        <w:tc>
          <w:tcPr>
            <w:tcW w:w="912" w:type="dxa"/>
            <w:vMerge/>
            <w:tcBorders>
              <w:top w:val="single" w:sz="4" w:space="0" w:color="auto"/>
              <w:left w:val="nil"/>
              <w:bottom w:val="single" w:sz="4" w:space="0" w:color="000000"/>
              <w:right w:val="nil"/>
            </w:tcBorders>
            <w:vAlign w:val="center"/>
            <w:hideMark/>
          </w:tcPr>
          <w:p w14:paraId="0C3F8C95"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C96" w14:textId="77777777" w:rsidR="00B6457B" w:rsidRPr="00393ABA" w:rsidRDefault="00B6457B" w:rsidP="00393ABA">
            <w:pPr>
              <w:spacing w:after="120"/>
              <w:jc w:val="left"/>
              <w:rPr>
                <w:rFonts w:ascii="Calibri" w:hAnsi="Calibri" w:cs="Calibri"/>
                <w:b/>
                <w:bCs/>
                <w:sz w:val="20"/>
                <w:szCs w:val="20"/>
              </w:rPr>
            </w:pPr>
          </w:p>
        </w:tc>
      </w:tr>
      <w:tr w:rsidR="00B6457B" w:rsidRPr="00393ABA" w14:paraId="0C3F8CA8" w14:textId="77777777" w:rsidTr="00393ABA">
        <w:trPr>
          <w:trHeight w:val="300"/>
        </w:trPr>
        <w:tc>
          <w:tcPr>
            <w:tcW w:w="1407" w:type="dxa"/>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C3F8C9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GBR</w:t>
            </w:r>
          </w:p>
        </w:tc>
        <w:tc>
          <w:tcPr>
            <w:tcW w:w="1120" w:type="dxa"/>
            <w:tcBorders>
              <w:top w:val="single" w:sz="4" w:space="0" w:color="auto"/>
              <w:left w:val="single" w:sz="4" w:space="0" w:color="auto"/>
              <w:bottom w:val="nil"/>
              <w:right w:val="single" w:sz="4" w:space="0" w:color="auto"/>
            </w:tcBorders>
            <w:shd w:val="clear" w:color="000000" w:fill="F2F2F2"/>
            <w:noWrap/>
            <w:vAlign w:val="center"/>
            <w:hideMark/>
          </w:tcPr>
          <w:p w14:paraId="0C3F8C9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 xml:space="preserve">area </w:t>
            </w:r>
          </w:p>
        </w:tc>
        <w:tc>
          <w:tcPr>
            <w:tcW w:w="820" w:type="dxa"/>
            <w:tcBorders>
              <w:top w:val="single" w:sz="4" w:space="0" w:color="auto"/>
              <w:left w:val="nil"/>
              <w:bottom w:val="nil"/>
              <w:right w:val="single" w:sz="4" w:space="0" w:color="auto"/>
            </w:tcBorders>
            <w:shd w:val="clear" w:color="000000" w:fill="F2F2F2"/>
            <w:noWrap/>
            <w:vAlign w:val="bottom"/>
            <w:hideMark/>
          </w:tcPr>
          <w:p w14:paraId="0C3F8C9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3814</w:t>
            </w:r>
          </w:p>
        </w:tc>
        <w:tc>
          <w:tcPr>
            <w:tcW w:w="735" w:type="dxa"/>
            <w:tcBorders>
              <w:top w:val="nil"/>
              <w:left w:val="nil"/>
              <w:bottom w:val="nil"/>
              <w:right w:val="nil"/>
            </w:tcBorders>
            <w:shd w:val="clear" w:color="auto" w:fill="auto"/>
            <w:noWrap/>
            <w:vAlign w:val="bottom"/>
            <w:hideMark/>
          </w:tcPr>
          <w:p w14:paraId="0C3F8C9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w:t>
            </w:r>
          </w:p>
        </w:tc>
        <w:tc>
          <w:tcPr>
            <w:tcW w:w="804" w:type="dxa"/>
            <w:tcBorders>
              <w:top w:val="nil"/>
              <w:left w:val="nil"/>
              <w:bottom w:val="nil"/>
              <w:right w:val="nil"/>
            </w:tcBorders>
            <w:shd w:val="clear" w:color="auto" w:fill="auto"/>
            <w:noWrap/>
            <w:vAlign w:val="bottom"/>
            <w:hideMark/>
          </w:tcPr>
          <w:p w14:paraId="0C3F8C9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24</w:t>
            </w:r>
          </w:p>
        </w:tc>
        <w:tc>
          <w:tcPr>
            <w:tcW w:w="774" w:type="dxa"/>
            <w:tcBorders>
              <w:top w:val="nil"/>
              <w:left w:val="nil"/>
              <w:bottom w:val="nil"/>
              <w:right w:val="nil"/>
            </w:tcBorders>
            <w:shd w:val="clear" w:color="auto" w:fill="auto"/>
            <w:noWrap/>
            <w:vAlign w:val="bottom"/>
            <w:hideMark/>
          </w:tcPr>
          <w:p w14:paraId="0C3F8C9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140</w:t>
            </w:r>
          </w:p>
        </w:tc>
        <w:tc>
          <w:tcPr>
            <w:tcW w:w="641" w:type="dxa"/>
            <w:tcBorders>
              <w:top w:val="nil"/>
              <w:left w:val="nil"/>
              <w:bottom w:val="nil"/>
              <w:right w:val="nil"/>
            </w:tcBorders>
            <w:shd w:val="clear" w:color="auto" w:fill="auto"/>
            <w:noWrap/>
            <w:vAlign w:val="bottom"/>
            <w:hideMark/>
          </w:tcPr>
          <w:p w14:paraId="0C3F8C9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481</w:t>
            </w:r>
          </w:p>
        </w:tc>
        <w:tc>
          <w:tcPr>
            <w:tcW w:w="785" w:type="dxa"/>
            <w:tcBorders>
              <w:top w:val="nil"/>
              <w:left w:val="nil"/>
              <w:bottom w:val="nil"/>
              <w:right w:val="nil"/>
            </w:tcBorders>
            <w:shd w:val="clear" w:color="auto" w:fill="auto"/>
            <w:noWrap/>
            <w:vAlign w:val="bottom"/>
            <w:hideMark/>
          </w:tcPr>
          <w:p w14:paraId="0C3F8C9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3004</w:t>
            </w:r>
          </w:p>
        </w:tc>
        <w:tc>
          <w:tcPr>
            <w:tcW w:w="912" w:type="dxa"/>
            <w:tcBorders>
              <w:top w:val="nil"/>
              <w:left w:val="nil"/>
              <w:bottom w:val="nil"/>
              <w:right w:val="nil"/>
            </w:tcBorders>
            <w:shd w:val="clear" w:color="000000" w:fill="F2DCDB"/>
            <w:noWrap/>
            <w:vAlign w:val="bottom"/>
            <w:hideMark/>
          </w:tcPr>
          <w:p w14:paraId="0C3F8CA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3655</w:t>
            </w:r>
          </w:p>
        </w:tc>
        <w:tc>
          <w:tcPr>
            <w:tcW w:w="912" w:type="dxa"/>
            <w:tcBorders>
              <w:top w:val="nil"/>
              <w:left w:val="nil"/>
              <w:bottom w:val="nil"/>
              <w:right w:val="single" w:sz="4" w:space="0" w:color="auto"/>
            </w:tcBorders>
            <w:shd w:val="clear" w:color="000000" w:fill="F2DCDB"/>
            <w:noWrap/>
            <w:vAlign w:val="bottom"/>
            <w:hideMark/>
          </w:tcPr>
          <w:p w14:paraId="0C3F8CA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159</w:t>
            </w:r>
          </w:p>
        </w:tc>
        <w:tc>
          <w:tcPr>
            <w:tcW w:w="723" w:type="dxa"/>
            <w:tcBorders>
              <w:top w:val="single" w:sz="4" w:space="0" w:color="auto"/>
              <w:left w:val="nil"/>
              <w:bottom w:val="nil"/>
              <w:right w:val="nil"/>
            </w:tcBorders>
            <w:shd w:val="clear" w:color="auto" w:fill="auto"/>
            <w:noWrap/>
            <w:vAlign w:val="bottom"/>
            <w:hideMark/>
          </w:tcPr>
          <w:p w14:paraId="0C3F8CA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34</w:t>
            </w:r>
          </w:p>
        </w:tc>
        <w:tc>
          <w:tcPr>
            <w:tcW w:w="918" w:type="dxa"/>
            <w:tcBorders>
              <w:top w:val="single" w:sz="4" w:space="0" w:color="auto"/>
              <w:left w:val="nil"/>
              <w:bottom w:val="nil"/>
              <w:right w:val="nil"/>
            </w:tcBorders>
            <w:shd w:val="clear" w:color="auto" w:fill="auto"/>
            <w:noWrap/>
            <w:vAlign w:val="bottom"/>
            <w:hideMark/>
          </w:tcPr>
          <w:p w14:paraId="0C3F8CA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1315</w:t>
            </w:r>
          </w:p>
        </w:tc>
        <w:tc>
          <w:tcPr>
            <w:tcW w:w="622" w:type="dxa"/>
            <w:tcBorders>
              <w:top w:val="single" w:sz="4" w:space="0" w:color="auto"/>
              <w:left w:val="nil"/>
              <w:bottom w:val="nil"/>
              <w:right w:val="nil"/>
            </w:tcBorders>
            <w:shd w:val="clear" w:color="auto" w:fill="auto"/>
            <w:noWrap/>
            <w:vAlign w:val="bottom"/>
            <w:hideMark/>
          </w:tcPr>
          <w:p w14:paraId="0C3F8CA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2097</w:t>
            </w:r>
          </w:p>
        </w:tc>
        <w:tc>
          <w:tcPr>
            <w:tcW w:w="1028" w:type="dxa"/>
            <w:tcBorders>
              <w:top w:val="single" w:sz="4" w:space="0" w:color="auto"/>
              <w:left w:val="nil"/>
              <w:bottom w:val="nil"/>
              <w:right w:val="nil"/>
            </w:tcBorders>
            <w:shd w:val="clear" w:color="auto" w:fill="auto"/>
            <w:noWrap/>
            <w:vAlign w:val="bottom"/>
            <w:hideMark/>
          </w:tcPr>
          <w:p w14:paraId="0C3F8CA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201</w:t>
            </w:r>
          </w:p>
        </w:tc>
        <w:tc>
          <w:tcPr>
            <w:tcW w:w="912" w:type="dxa"/>
            <w:tcBorders>
              <w:top w:val="nil"/>
              <w:left w:val="nil"/>
              <w:bottom w:val="nil"/>
              <w:right w:val="nil"/>
            </w:tcBorders>
            <w:shd w:val="clear" w:color="000000" w:fill="F2DCDB"/>
            <w:noWrap/>
            <w:vAlign w:val="bottom"/>
            <w:hideMark/>
          </w:tcPr>
          <w:p w14:paraId="0C3F8CA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3647</w:t>
            </w:r>
          </w:p>
        </w:tc>
        <w:tc>
          <w:tcPr>
            <w:tcW w:w="912" w:type="dxa"/>
            <w:tcBorders>
              <w:top w:val="nil"/>
              <w:left w:val="nil"/>
              <w:bottom w:val="nil"/>
              <w:right w:val="single" w:sz="4" w:space="0" w:color="auto"/>
            </w:tcBorders>
            <w:shd w:val="clear" w:color="000000" w:fill="F2DCDB"/>
            <w:noWrap/>
            <w:vAlign w:val="bottom"/>
            <w:hideMark/>
          </w:tcPr>
          <w:p w14:paraId="0C3F8CA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167</w:t>
            </w:r>
          </w:p>
        </w:tc>
      </w:tr>
      <w:tr w:rsidR="00B6457B" w:rsidRPr="00393ABA" w14:paraId="0C3F8CB9" w14:textId="77777777" w:rsidTr="00393ABA">
        <w:trPr>
          <w:trHeight w:val="315"/>
        </w:trPr>
        <w:tc>
          <w:tcPr>
            <w:tcW w:w="1407" w:type="dxa"/>
            <w:vMerge/>
            <w:tcBorders>
              <w:top w:val="single" w:sz="4" w:space="0" w:color="auto"/>
              <w:left w:val="single" w:sz="4" w:space="0" w:color="auto"/>
              <w:bottom w:val="double" w:sz="6" w:space="0" w:color="000000"/>
              <w:right w:val="nil"/>
            </w:tcBorders>
            <w:vAlign w:val="center"/>
            <w:hideMark/>
          </w:tcPr>
          <w:p w14:paraId="0C3F8CA9"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double" w:sz="6" w:space="0" w:color="auto"/>
              <w:right w:val="single" w:sz="4" w:space="0" w:color="auto"/>
            </w:tcBorders>
            <w:shd w:val="clear" w:color="000000" w:fill="F2F2F2"/>
            <w:noWrap/>
            <w:vAlign w:val="center"/>
            <w:hideMark/>
          </w:tcPr>
          <w:p w14:paraId="0C3F8CAA"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w:t>
            </w:r>
          </w:p>
        </w:tc>
        <w:tc>
          <w:tcPr>
            <w:tcW w:w="820" w:type="dxa"/>
            <w:tcBorders>
              <w:top w:val="nil"/>
              <w:left w:val="nil"/>
              <w:bottom w:val="double" w:sz="6" w:space="0" w:color="auto"/>
              <w:right w:val="single" w:sz="4" w:space="0" w:color="auto"/>
            </w:tcBorders>
            <w:shd w:val="clear" w:color="000000" w:fill="F2F2F2"/>
            <w:noWrap/>
            <w:vAlign w:val="bottom"/>
            <w:hideMark/>
          </w:tcPr>
          <w:p w14:paraId="0C3F8CAB"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100%</w:t>
            </w:r>
          </w:p>
        </w:tc>
        <w:tc>
          <w:tcPr>
            <w:tcW w:w="735" w:type="dxa"/>
            <w:tcBorders>
              <w:top w:val="nil"/>
              <w:left w:val="nil"/>
              <w:bottom w:val="double" w:sz="6" w:space="0" w:color="auto"/>
              <w:right w:val="nil"/>
            </w:tcBorders>
            <w:shd w:val="clear" w:color="auto" w:fill="auto"/>
            <w:noWrap/>
            <w:vAlign w:val="bottom"/>
            <w:hideMark/>
          </w:tcPr>
          <w:p w14:paraId="0C3F8CAC"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0%</w:t>
            </w:r>
          </w:p>
        </w:tc>
        <w:tc>
          <w:tcPr>
            <w:tcW w:w="804" w:type="dxa"/>
            <w:tcBorders>
              <w:top w:val="nil"/>
              <w:left w:val="nil"/>
              <w:bottom w:val="double" w:sz="6" w:space="0" w:color="auto"/>
              <w:right w:val="nil"/>
            </w:tcBorders>
            <w:shd w:val="clear" w:color="auto" w:fill="auto"/>
            <w:noWrap/>
            <w:vAlign w:val="bottom"/>
            <w:hideMark/>
          </w:tcPr>
          <w:p w14:paraId="0C3F8CAD"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w:t>
            </w:r>
          </w:p>
        </w:tc>
        <w:tc>
          <w:tcPr>
            <w:tcW w:w="774" w:type="dxa"/>
            <w:tcBorders>
              <w:top w:val="nil"/>
              <w:left w:val="nil"/>
              <w:bottom w:val="double" w:sz="6" w:space="0" w:color="auto"/>
              <w:right w:val="nil"/>
            </w:tcBorders>
            <w:shd w:val="clear" w:color="auto" w:fill="auto"/>
            <w:noWrap/>
            <w:vAlign w:val="bottom"/>
            <w:hideMark/>
          </w:tcPr>
          <w:p w14:paraId="0C3F8CAE"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4%</w:t>
            </w:r>
          </w:p>
        </w:tc>
        <w:tc>
          <w:tcPr>
            <w:tcW w:w="641" w:type="dxa"/>
            <w:tcBorders>
              <w:top w:val="nil"/>
              <w:left w:val="nil"/>
              <w:bottom w:val="double" w:sz="6" w:space="0" w:color="auto"/>
              <w:right w:val="nil"/>
            </w:tcBorders>
            <w:shd w:val="clear" w:color="auto" w:fill="auto"/>
            <w:noWrap/>
            <w:vAlign w:val="bottom"/>
            <w:hideMark/>
          </w:tcPr>
          <w:p w14:paraId="0C3F8CAF"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13%</w:t>
            </w:r>
          </w:p>
        </w:tc>
        <w:tc>
          <w:tcPr>
            <w:tcW w:w="785" w:type="dxa"/>
            <w:tcBorders>
              <w:top w:val="nil"/>
              <w:left w:val="nil"/>
              <w:bottom w:val="double" w:sz="6" w:space="0" w:color="auto"/>
              <w:right w:val="nil"/>
            </w:tcBorders>
            <w:shd w:val="clear" w:color="auto" w:fill="auto"/>
            <w:noWrap/>
            <w:vAlign w:val="bottom"/>
            <w:hideMark/>
          </w:tcPr>
          <w:p w14:paraId="0C3F8CB0"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79%</w:t>
            </w:r>
          </w:p>
        </w:tc>
        <w:tc>
          <w:tcPr>
            <w:tcW w:w="912" w:type="dxa"/>
            <w:tcBorders>
              <w:top w:val="nil"/>
              <w:left w:val="nil"/>
              <w:bottom w:val="double" w:sz="6" w:space="0" w:color="auto"/>
              <w:right w:val="nil"/>
            </w:tcBorders>
            <w:shd w:val="clear" w:color="000000" w:fill="F2DCDB"/>
            <w:noWrap/>
            <w:vAlign w:val="bottom"/>
            <w:hideMark/>
          </w:tcPr>
          <w:p w14:paraId="0C3F8CB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96%</w:t>
            </w:r>
          </w:p>
        </w:tc>
        <w:tc>
          <w:tcPr>
            <w:tcW w:w="912" w:type="dxa"/>
            <w:tcBorders>
              <w:top w:val="nil"/>
              <w:left w:val="nil"/>
              <w:bottom w:val="double" w:sz="6" w:space="0" w:color="auto"/>
              <w:right w:val="nil"/>
            </w:tcBorders>
            <w:shd w:val="clear" w:color="000000" w:fill="F2DCDB"/>
            <w:noWrap/>
            <w:vAlign w:val="bottom"/>
            <w:hideMark/>
          </w:tcPr>
          <w:p w14:paraId="0C3F8CB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w:t>
            </w:r>
          </w:p>
        </w:tc>
        <w:tc>
          <w:tcPr>
            <w:tcW w:w="723" w:type="dxa"/>
            <w:tcBorders>
              <w:top w:val="nil"/>
              <w:left w:val="single" w:sz="4" w:space="0" w:color="auto"/>
              <w:bottom w:val="double" w:sz="6" w:space="0" w:color="auto"/>
              <w:right w:val="nil"/>
            </w:tcBorders>
            <w:shd w:val="clear" w:color="auto" w:fill="auto"/>
            <w:noWrap/>
            <w:vAlign w:val="bottom"/>
            <w:hideMark/>
          </w:tcPr>
          <w:p w14:paraId="0C3F8CB3"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w:t>
            </w:r>
          </w:p>
        </w:tc>
        <w:tc>
          <w:tcPr>
            <w:tcW w:w="918" w:type="dxa"/>
            <w:tcBorders>
              <w:top w:val="nil"/>
              <w:left w:val="nil"/>
              <w:bottom w:val="double" w:sz="6" w:space="0" w:color="auto"/>
              <w:right w:val="nil"/>
            </w:tcBorders>
            <w:shd w:val="clear" w:color="auto" w:fill="auto"/>
            <w:noWrap/>
            <w:vAlign w:val="bottom"/>
            <w:hideMark/>
          </w:tcPr>
          <w:p w14:paraId="0C3F8CB4"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34%</w:t>
            </w:r>
          </w:p>
        </w:tc>
        <w:tc>
          <w:tcPr>
            <w:tcW w:w="622" w:type="dxa"/>
            <w:tcBorders>
              <w:top w:val="nil"/>
              <w:left w:val="nil"/>
              <w:bottom w:val="double" w:sz="6" w:space="0" w:color="auto"/>
              <w:right w:val="nil"/>
            </w:tcBorders>
            <w:shd w:val="clear" w:color="auto" w:fill="auto"/>
            <w:noWrap/>
            <w:vAlign w:val="bottom"/>
            <w:hideMark/>
          </w:tcPr>
          <w:p w14:paraId="0C3F8CB5"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55%</w:t>
            </w:r>
          </w:p>
        </w:tc>
        <w:tc>
          <w:tcPr>
            <w:tcW w:w="1028" w:type="dxa"/>
            <w:tcBorders>
              <w:top w:val="nil"/>
              <w:left w:val="nil"/>
              <w:bottom w:val="double" w:sz="6" w:space="0" w:color="auto"/>
              <w:right w:val="nil"/>
            </w:tcBorders>
            <w:shd w:val="clear" w:color="auto" w:fill="auto"/>
            <w:noWrap/>
            <w:vAlign w:val="bottom"/>
            <w:hideMark/>
          </w:tcPr>
          <w:p w14:paraId="0C3F8CB6"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5%</w:t>
            </w:r>
          </w:p>
        </w:tc>
        <w:tc>
          <w:tcPr>
            <w:tcW w:w="912" w:type="dxa"/>
            <w:tcBorders>
              <w:top w:val="nil"/>
              <w:left w:val="nil"/>
              <w:bottom w:val="double" w:sz="6" w:space="0" w:color="auto"/>
              <w:right w:val="nil"/>
            </w:tcBorders>
            <w:shd w:val="clear" w:color="000000" w:fill="F2DCDB"/>
            <w:noWrap/>
            <w:vAlign w:val="bottom"/>
            <w:hideMark/>
          </w:tcPr>
          <w:p w14:paraId="0C3F8CB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96%</w:t>
            </w:r>
          </w:p>
        </w:tc>
        <w:tc>
          <w:tcPr>
            <w:tcW w:w="912" w:type="dxa"/>
            <w:tcBorders>
              <w:top w:val="nil"/>
              <w:left w:val="nil"/>
              <w:bottom w:val="double" w:sz="6" w:space="0" w:color="auto"/>
              <w:right w:val="single" w:sz="4" w:space="0" w:color="auto"/>
            </w:tcBorders>
            <w:shd w:val="clear" w:color="000000" w:fill="F2DCDB"/>
            <w:noWrap/>
            <w:vAlign w:val="bottom"/>
            <w:hideMark/>
          </w:tcPr>
          <w:p w14:paraId="0C3F8CB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4%</w:t>
            </w:r>
          </w:p>
        </w:tc>
      </w:tr>
      <w:tr w:rsidR="00B6457B" w:rsidRPr="00393ABA" w14:paraId="0C3F8CCA" w14:textId="77777777" w:rsidTr="00393ABA">
        <w:trPr>
          <w:trHeight w:val="315"/>
        </w:trPr>
        <w:tc>
          <w:tcPr>
            <w:tcW w:w="1407" w:type="dxa"/>
            <w:vMerge w:val="restart"/>
            <w:tcBorders>
              <w:top w:val="nil"/>
              <w:left w:val="single" w:sz="4" w:space="0" w:color="auto"/>
              <w:bottom w:val="nil"/>
              <w:right w:val="nil"/>
            </w:tcBorders>
            <w:shd w:val="clear" w:color="000000" w:fill="F2F2F2"/>
            <w:noWrap/>
            <w:vAlign w:val="center"/>
            <w:hideMark/>
          </w:tcPr>
          <w:p w14:paraId="0C3F8CB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Cape York</w:t>
            </w:r>
          </w:p>
        </w:tc>
        <w:tc>
          <w:tcPr>
            <w:tcW w:w="1120" w:type="dxa"/>
            <w:tcBorders>
              <w:top w:val="nil"/>
              <w:left w:val="single" w:sz="4" w:space="0" w:color="auto"/>
              <w:bottom w:val="nil"/>
              <w:right w:val="single" w:sz="4" w:space="0" w:color="auto"/>
            </w:tcBorders>
            <w:shd w:val="clear" w:color="000000" w:fill="F2F2F2"/>
            <w:noWrap/>
            <w:vAlign w:val="center"/>
            <w:hideMark/>
          </w:tcPr>
          <w:p w14:paraId="0C3F8CB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CB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2438</w:t>
            </w:r>
          </w:p>
        </w:tc>
        <w:tc>
          <w:tcPr>
            <w:tcW w:w="735" w:type="dxa"/>
            <w:tcBorders>
              <w:top w:val="nil"/>
              <w:left w:val="nil"/>
              <w:bottom w:val="nil"/>
              <w:right w:val="nil"/>
            </w:tcBorders>
            <w:shd w:val="clear" w:color="auto" w:fill="auto"/>
            <w:noWrap/>
            <w:vAlign w:val="bottom"/>
            <w:hideMark/>
          </w:tcPr>
          <w:p w14:paraId="0C3F8CB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04" w:type="dxa"/>
            <w:tcBorders>
              <w:top w:val="nil"/>
              <w:left w:val="nil"/>
              <w:bottom w:val="nil"/>
              <w:right w:val="nil"/>
            </w:tcBorders>
            <w:shd w:val="clear" w:color="auto" w:fill="auto"/>
            <w:noWrap/>
            <w:vAlign w:val="bottom"/>
            <w:hideMark/>
          </w:tcPr>
          <w:p w14:paraId="0C3F8CB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13</w:t>
            </w:r>
          </w:p>
        </w:tc>
        <w:tc>
          <w:tcPr>
            <w:tcW w:w="774" w:type="dxa"/>
            <w:tcBorders>
              <w:top w:val="nil"/>
              <w:left w:val="nil"/>
              <w:bottom w:val="nil"/>
              <w:right w:val="nil"/>
            </w:tcBorders>
            <w:shd w:val="clear" w:color="auto" w:fill="auto"/>
            <w:noWrap/>
            <w:vAlign w:val="bottom"/>
            <w:hideMark/>
          </w:tcPr>
          <w:p w14:paraId="0C3F8CB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81</w:t>
            </w:r>
          </w:p>
        </w:tc>
        <w:tc>
          <w:tcPr>
            <w:tcW w:w="641" w:type="dxa"/>
            <w:tcBorders>
              <w:top w:val="nil"/>
              <w:left w:val="nil"/>
              <w:bottom w:val="nil"/>
              <w:right w:val="nil"/>
            </w:tcBorders>
            <w:shd w:val="clear" w:color="auto" w:fill="auto"/>
            <w:noWrap/>
            <w:vAlign w:val="bottom"/>
            <w:hideMark/>
          </w:tcPr>
          <w:p w14:paraId="0C3F8CC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416</w:t>
            </w:r>
          </w:p>
        </w:tc>
        <w:tc>
          <w:tcPr>
            <w:tcW w:w="785" w:type="dxa"/>
            <w:tcBorders>
              <w:top w:val="nil"/>
              <w:left w:val="nil"/>
              <w:bottom w:val="nil"/>
              <w:right w:val="nil"/>
            </w:tcBorders>
            <w:shd w:val="clear" w:color="auto" w:fill="auto"/>
            <w:noWrap/>
            <w:vAlign w:val="bottom"/>
            <w:hideMark/>
          </w:tcPr>
          <w:p w14:paraId="0C3F8CC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1774</w:t>
            </w:r>
          </w:p>
        </w:tc>
        <w:tc>
          <w:tcPr>
            <w:tcW w:w="912" w:type="dxa"/>
            <w:tcBorders>
              <w:top w:val="nil"/>
              <w:left w:val="nil"/>
              <w:bottom w:val="nil"/>
              <w:right w:val="nil"/>
            </w:tcBorders>
            <w:shd w:val="clear" w:color="000000" w:fill="F2DCDB"/>
            <w:noWrap/>
            <w:vAlign w:val="bottom"/>
            <w:hideMark/>
          </w:tcPr>
          <w:p w14:paraId="0C3F8CC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2285</w:t>
            </w:r>
          </w:p>
        </w:tc>
        <w:tc>
          <w:tcPr>
            <w:tcW w:w="912" w:type="dxa"/>
            <w:tcBorders>
              <w:top w:val="nil"/>
              <w:left w:val="nil"/>
              <w:bottom w:val="nil"/>
              <w:right w:val="single" w:sz="4" w:space="0" w:color="auto"/>
            </w:tcBorders>
            <w:shd w:val="clear" w:color="000000" w:fill="F2DCDB"/>
            <w:noWrap/>
            <w:vAlign w:val="bottom"/>
            <w:hideMark/>
          </w:tcPr>
          <w:p w14:paraId="0C3F8CC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152</w:t>
            </w:r>
          </w:p>
        </w:tc>
        <w:tc>
          <w:tcPr>
            <w:tcW w:w="723" w:type="dxa"/>
            <w:tcBorders>
              <w:top w:val="nil"/>
              <w:left w:val="nil"/>
              <w:bottom w:val="nil"/>
              <w:right w:val="nil"/>
            </w:tcBorders>
            <w:shd w:val="clear" w:color="auto" w:fill="auto"/>
            <w:noWrap/>
            <w:vAlign w:val="bottom"/>
            <w:hideMark/>
          </w:tcPr>
          <w:p w14:paraId="0C3F8CC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31</w:t>
            </w:r>
          </w:p>
        </w:tc>
        <w:tc>
          <w:tcPr>
            <w:tcW w:w="918" w:type="dxa"/>
            <w:tcBorders>
              <w:top w:val="nil"/>
              <w:left w:val="nil"/>
              <w:bottom w:val="nil"/>
              <w:right w:val="nil"/>
            </w:tcBorders>
            <w:shd w:val="clear" w:color="auto" w:fill="auto"/>
            <w:noWrap/>
            <w:vAlign w:val="bottom"/>
            <w:hideMark/>
          </w:tcPr>
          <w:p w14:paraId="0C3F8CC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1068</w:t>
            </w:r>
          </w:p>
        </w:tc>
        <w:tc>
          <w:tcPr>
            <w:tcW w:w="622" w:type="dxa"/>
            <w:tcBorders>
              <w:top w:val="nil"/>
              <w:left w:val="nil"/>
              <w:bottom w:val="nil"/>
              <w:right w:val="nil"/>
            </w:tcBorders>
            <w:shd w:val="clear" w:color="auto" w:fill="auto"/>
            <w:noWrap/>
            <w:vAlign w:val="bottom"/>
            <w:hideMark/>
          </w:tcPr>
          <w:p w14:paraId="0C3F8CC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1154</w:t>
            </w:r>
          </w:p>
        </w:tc>
        <w:tc>
          <w:tcPr>
            <w:tcW w:w="1028" w:type="dxa"/>
            <w:tcBorders>
              <w:top w:val="nil"/>
              <w:left w:val="nil"/>
              <w:bottom w:val="nil"/>
              <w:right w:val="nil"/>
            </w:tcBorders>
            <w:shd w:val="clear" w:color="auto" w:fill="auto"/>
            <w:noWrap/>
            <w:vAlign w:val="bottom"/>
            <w:hideMark/>
          </w:tcPr>
          <w:p w14:paraId="0C3F8CC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w:t>
            </w:r>
          </w:p>
        </w:tc>
        <w:tc>
          <w:tcPr>
            <w:tcW w:w="912" w:type="dxa"/>
            <w:tcBorders>
              <w:top w:val="nil"/>
              <w:left w:val="nil"/>
              <w:bottom w:val="nil"/>
              <w:right w:val="nil"/>
            </w:tcBorders>
            <w:shd w:val="clear" w:color="000000" w:fill="F2DCDB"/>
            <w:noWrap/>
            <w:vAlign w:val="bottom"/>
            <w:hideMark/>
          </w:tcPr>
          <w:p w14:paraId="0C3F8CC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2285</w:t>
            </w:r>
          </w:p>
        </w:tc>
        <w:tc>
          <w:tcPr>
            <w:tcW w:w="912" w:type="dxa"/>
            <w:tcBorders>
              <w:top w:val="nil"/>
              <w:left w:val="nil"/>
              <w:bottom w:val="nil"/>
              <w:right w:val="single" w:sz="4" w:space="0" w:color="auto"/>
            </w:tcBorders>
            <w:shd w:val="clear" w:color="000000" w:fill="F2DCDB"/>
            <w:noWrap/>
            <w:vAlign w:val="bottom"/>
            <w:hideMark/>
          </w:tcPr>
          <w:p w14:paraId="0C3F8CC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153</w:t>
            </w:r>
          </w:p>
        </w:tc>
      </w:tr>
      <w:tr w:rsidR="00B6457B" w:rsidRPr="00393ABA" w14:paraId="0C3F8CDB" w14:textId="77777777" w:rsidTr="00393ABA">
        <w:trPr>
          <w:trHeight w:val="300"/>
        </w:trPr>
        <w:tc>
          <w:tcPr>
            <w:tcW w:w="1407" w:type="dxa"/>
            <w:vMerge/>
            <w:tcBorders>
              <w:top w:val="nil"/>
              <w:left w:val="single" w:sz="4" w:space="0" w:color="auto"/>
              <w:bottom w:val="nil"/>
              <w:right w:val="nil"/>
            </w:tcBorders>
            <w:vAlign w:val="center"/>
            <w:hideMark/>
          </w:tcPr>
          <w:p w14:paraId="0C3F8CCB"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CC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CC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CC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CC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774" w:type="dxa"/>
            <w:tcBorders>
              <w:top w:val="nil"/>
              <w:left w:val="nil"/>
              <w:bottom w:val="nil"/>
              <w:right w:val="nil"/>
            </w:tcBorders>
            <w:shd w:val="clear" w:color="auto" w:fill="auto"/>
            <w:noWrap/>
            <w:vAlign w:val="bottom"/>
            <w:hideMark/>
          </w:tcPr>
          <w:p w14:paraId="0C3F8CD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641" w:type="dxa"/>
            <w:tcBorders>
              <w:top w:val="nil"/>
              <w:left w:val="nil"/>
              <w:bottom w:val="nil"/>
              <w:right w:val="nil"/>
            </w:tcBorders>
            <w:shd w:val="clear" w:color="auto" w:fill="auto"/>
            <w:noWrap/>
            <w:vAlign w:val="bottom"/>
            <w:hideMark/>
          </w:tcPr>
          <w:p w14:paraId="0C3F8CD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785" w:type="dxa"/>
            <w:tcBorders>
              <w:top w:val="nil"/>
              <w:left w:val="nil"/>
              <w:bottom w:val="nil"/>
              <w:right w:val="nil"/>
            </w:tcBorders>
            <w:shd w:val="clear" w:color="auto" w:fill="auto"/>
            <w:noWrap/>
            <w:vAlign w:val="bottom"/>
            <w:hideMark/>
          </w:tcPr>
          <w:p w14:paraId="0C3F8CD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73%</w:t>
            </w:r>
          </w:p>
        </w:tc>
        <w:tc>
          <w:tcPr>
            <w:tcW w:w="912" w:type="dxa"/>
            <w:tcBorders>
              <w:top w:val="nil"/>
              <w:left w:val="nil"/>
              <w:bottom w:val="nil"/>
              <w:right w:val="nil"/>
            </w:tcBorders>
            <w:shd w:val="clear" w:color="000000" w:fill="F2DCDB"/>
            <w:noWrap/>
            <w:vAlign w:val="bottom"/>
            <w:hideMark/>
          </w:tcPr>
          <w:p w14:paraId="0C3F8CD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94%</w:t>
            </w:r>
          </w:p>
        </w:tc>
        <w:tc>
          <w:tcPr>
            <w:tcW w:w="912" w:type="dxa"/>
            <w:tcBorders>
              <w:top w:val="nil"/>
              <w:left w:val="nil"/>
              <w:bottom w:val="nil"/>
              <w:right w:val="nil"/>
            </w:tcBorders>
            <w:shd w:val="clear" w:color="000000" w:fill="F2DCDB"/>
            <w:noWrap/>
            <w:vAlign w:val="bottom"/>
            <w:hideMark/>
          </w:tcPr>
          <w:p w14:paraId="0C3F8CD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w:t>
            </w:r>
          </w:p>
        </w:tc>
        <w:tc>
          <w:tcPr>
            <w:tcW w:w="723" w:type="dxa"/>
            <w:tcBorders>
              <w:top w:val="nil"/>
              <w:left w:val="single" w:sz="4" w:space="0" w:color="auto"/>
              <w:bottom w:val="nil"/>
              <w:right w:val="nil"/>
            </w:tcBorders>
            <w:shd w:val="clear" w:color="auto" w:fill="auto"/>
            <w:noWrap/>
            <w:vAlign w:val="bottom"/>
            <w:hideMark/>
          </w:tcPr>
          <w:p w14:paraId="0C3F8CD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8" w:type="dxa"/>
            <w:tcBorders>
              <w:top w:val="nil"/>
              <w:left w:val="nil"/>
              <w:bottom w:val="nil"/>
              <w:right w:val="nil"/>
            </w:tcBorders>
            <w:shd w:val="clear" w:color="auto" w:fill="auto"/>
            <w:noWrap/>
            <w:vAlign w:val="bottom"/>
            <w:hideMark/>
          </w:tcPr>
          <w:p w14:paraId="0C3F8CD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44%</w:t>
            </w:r>
          </w:p>
        </w:tc>
        <w:tc>
          <w:tcPr>
            <w:tcW w:w="622" w:type="dxa"/>
            <w:tcBorders>
              <w:top w:val="nil"/>
              <w:left w:val="nil"/>
              <w:bottom w:val="nil"/>
              <w:right w:val="nil"/>
            </w:tcBorders>
            <w:shd w:val="clear" w:color="auto" w:fill="auto"/>
            <w:noWrap/>
            <w:vAlign w:val="bottom"/>
            <w:hideMark/>
          </w:tcPr>
          <w:p w14:paraId="0C3F8CD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47%</w:t>
            </w:r>
          </w:p>
        </w:tc>
        <w:tc>
          <w:tcPr>
            <w:tcW w:w="1028" w:type="dxa"/>
            <w:tcBorders>
              <w:top w:val="nil"/>
              <w:left w:val="nil"/>
              <w:bottom w:val="nil"/>
              <w:right w:val="nil"/>
            </w:tcBorders>
            <w:shd w:val="clear" w:color="auto" w:fill="auto"/>
            <w:noWrap/>
            <w:vAlign w:val="bottom"/>
            <w:hideMark/>
          </w:tcPr>
          <w:p w14:paraId="0C3F8CD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2" w:type="dxa"/>
            <w:tcBorders>
              <w:top w:val="nil"/>
              <w:left w:val="nil"/>
              <w:bottom w:val="nil"/>
              <w:right w:val="nil"/>
            </w:tcBorders>
            <w:shd w:val="clear" w:color="000000" w:fill="F2DCDB"/>
            <w:noWrap/>
            <w:vAlign w:val="bottom"/>
            <w:hideMark/>
          </w:tcPr>
          <w:p w14:paraId="0C3F8CD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94%</w:t>
            </w:r>
          </w:p>
        </w:tc>
        <w:tc>
          <w:tcPr>
            <w:tcW w:w="912" w:type="dxa"/>
            <w:tcBorders>
              <w:top w:val="nil"/>
              <w:left w:val="nil"/>
              <w:bottom w:val="nil"/>
              <w:right w:val="single" w:sz="4" w:space="0" w:color="auto"/>
            </w:tcBorders>
            <w:shd w:val="clear" w:color="000000" w:fill="F2DCDB"/>
            <w:noWrap/>
            <w:vAlign w:val="bottom"/>
            <w:hideMark/>
          </w:tcPr>
          <w:p w14:paraId="0C3F8CD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w:t>
            </w:r>
          </w:p>
        </w:tc>
      </w:tr>
      <w:tr w:rsidR="00B6457B" w:rsidRPr="00393ABA" w14:paraId="0C3F8CEC"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CD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Wet Tropics</w:t>
            </w:r>
          </w:p>
        </w:tc>
        <w:tc>
          <w:tcPr>
            <w:tcW w:w="1120" w:type="dxa"/>
            <w:tcBorders>
              <w:top w:val="nil"/>
              <w:left w:val="single" w:sz="4" w:space="0" w:color="auto"/>
              <w:bottom w:val="nil"/>
              <w:right w:val="single" w:sz="4" w:space="0" w:color="auto"/>
            </w:tcBorders>
            <w:shd w:val="clear" w:color="000000" w:fill="F2F2F2"/>
            <w:noWrap/>
            <w:vAlign w:val="center"/>
            <w:hideMark/>
          </w:tcPr>
          <w:p w14:paraId="0C3F8CD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CD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204</w:t>
            </w:r>
          </w:p>
        </w:tc>
        <w:tc>
          <w:tcPr>
            <w:tcW w:w="735" w:type="dxa"/>
            <w:tcBorders>
              <w:top w:val="nil"/>
              <w:left w:val="nil"/>
              <w:bottom w:val="nil"/>
              <w:right w:val="nil"/>
            </w:tcBorders>
            <w:shd w:val="clear" w:color="auto" w:fill="auto"/>
            <w:noWrap/>
            <w:vAlign w:val="bottom"/>
            <w:hideMark/>
          </w:tcPr>
          <w:p w14:paraId="0C3F8CD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w:t>
            </w:r>
          </w:p>
        </w:tc>
        <w:tc>
          <w:tcPr>
            <w:tcW w:w="804" w:type="dxa"/>
            <w:tcBorders>
              <w:top w:val="nil"/>
              <w:left w:val="nil"/>
              <w:bottom w:val="nil"/>
              <w:right w:val="nil"/>
            </w:tcBorders>
            <w:shd w:val="clear" w:color="auto" w:fill="auto"/>
            <w:noWrap/>
            <w:vAlign w:val="bottom"/>
            <w:hideMark/>
          </w:tcPr>
          <w:p w14:paraId="0C3F8CE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774" w:type="dxa"/>
            <w:tcBorders>
              <w:top w:val="nil"/>
              <w:left w:val="nil"/>
              <w:bottom w:val="nil"/>
              <w:right w:val="nil"/>
            </w:tcBorders>
            <w:shd w:val="clear" w:color="auto" w:fill="auto"/>
            <w:noWrap/>
            <w:vAlign w:val="bottom"/>
            <w:hideMark/>
          </w:tcPr>
          <w:p w14:paraId="0C3F8CE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w:t>
            </w:r>
          </w:p>
        </w:tc>
        <w:tc>
          <w:tcPr>
            <w:tcW w:w="641" w:type="dxa"/>
            <w:tcBorders>
              <w:top w:val="nil"/>
              <w:left w:val="nil"/>
              <w:bottom w:val="nil"/>
              <w:right w:val="nil"/>
            </w:tcBorders>
            <w:shd w:val="clear" w:color="auto" w:fill="auto"/>
            <w:noWrap/>
            <w:vAlign w:val="bottom"/>
            <w:hideMark/>
          </w:tcPr>
          <w:p w14:paraId="0C3F8CE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w:t>
            </w:r>
          </w:p>
        </w:tc>
        <w:tc>
          <w:tcPr>
            <w:tcW w:w="785" w:type="dxa"/>
            <w:tcBorders>
              <w:top w:val="nil"/>
              <w:left w:val="nil"/>
              <w:bottom w:val="nil"/>
              <w:right w:val="nil"/>
            </w:tcBorders>
            <w:shd w:val="clear" w:color="auto" w:fill="auto"/>
            <w:noWrap/>
            <w:vAlign w:val="bottom"/>
            <w:hideMark/>
          </w:tcPr>
          <w:p w14:paraId="0C3F8CE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176</w:t>
            </w:r>
          </w:p>
        </w:tc>
        <w:tc>
          <w:tcPr>
            <w:tcW w:w="912" w:type="dxa"/>
            <w:tcBorders>
              <w:top w:val="nil"/>
              <w:left w:val="nil"/>
              <w:bottom w:val="nil"/>
              <w:right w:val="nil"/>
            </w:tcBorders>
            <w:shd w:val="clear" w:color="000000" w:fill="F2DCDB"/>
            <w:noWrap/>
            <w:vAlign w:val="bottom"/>
            <w:hideMark/>
          </w:tcPr>
          <w:p w14:paraId="0C3F8CE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199</w:t>
            </w:r>
          </w:p>
        </w:tc>
        <w:tc>
          <w:tcPr>
            <w:tcW w:w="912" w:type="dxa"/>
            <w:tcBorders>
              <w:top w:val="nil"/>
              <w:left w:val="nil"/>
              <w:bottom w:val="nil"/>
              <w:right w:val="single" w:sz="4" w:space="0" w:color="auto"/>
            </w:tcBorders>
            <w:shd w:val="clear" w:color="000000" w:fill="F2DCDB"/>
            <w:noWrap/>
            <w:vAlign w:val="bottom"/>
            <w:hideMark/>
          </w:tcPr>
          <w:p w14:paraId="0C3F8CE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w:t>
            </w:r>
          </w:p>
        </w:tc>
        <w:tc>
          <w:tcPr>
            <w:tcW w:w="723" w:type="dxa"/>
            <w:tcBorders>
              <w:top w:val="nil"/>
              <w:left w:val="nil"/>
              <w:bottom w:val="nil"/>
              <w:right w:val="nil"/>
            </w:tcBorders>
            <w:shd w:val="clear" w:color="auto" w:fill="auto"/>
            <w:noWrap/>
            <w:vAlign w:val="bottom"/>
            <w:hideMark/>
          </w:tcPr>
          <w:p w14:paraId="0C3F8CE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w:t>
            </w:r>
          </w:p>
        </w:tc>
        <w:tc>
          <w:tcPr>
            <w:tcW w:w="918" w:type="dxa"/>
            <w:tcBorders>
              <w:top w:val="nil"/>
              <w:left w:val="nil"/>
              <w:bottom w:val="nil"/>
              <w:right w:val="nil"/>
            </w:tcBorders>
            <w:shd w:val="clear" w:color="auto" w:fill="auto"/>
            <w:noWrap/>
            <w:vAlign w:val="bottom"/>
            <w:hideMark/>
          </w:tcPr>
          <w:p w14:paraId="0C3F8CE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33</w:t>
            </w:r>
          </w:p>
        </w:tc>
        <w:tc>
          <w:tcPr>
            <w:tcW w:w="622" w:type="dxa"/>
            <w:tcBorders>
              <w:top w:val="nil"/>
              <w:left w:val="nil"/>
              <w:bottom w:val="nil"/>
              <w:right w:val="nil"/>
            </w:tcBorders>
            <w:shd w:val="clear" w:color="auto" w:fill="auto"/>
            <w:noWrap/>
            <w:vAlign w:val="bottom"/>
            <w:hideMark/>
          </w:tcPr>
          <w:p w14:paraId="0C3F8CE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153</w:t>
            </w:r>
          </w:p>
        </w:tc>
        <w:tc>
          <w:tcPr>
            <w:tcW w:w="1028" w:type="dxa"/>
            <w:tcBorders>
              <w:top w:val="nil"/>
              <w:left w:val="nil"/>
              <w:bottom w:val="nil"/>
              <w:right w:val="nil"/>
            </w:tcBorders>
            <w:shd w:val="clear" w:color="auto" w:fill="auto"/>
            <w:noWrap/>
            <w:vAlign w:val="bottom"/>
            <w:hideMark/>
          </w:tcPr>
          <w:p w14:paraId="0C3F8CE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w:t>
            </w:r>
          </w:p>
        </w:tc>
        <w:tc>
          <w:tcPr>
            <w:tcW w:w="912" w:type="dxa"/>
            <w:tcBorders>
              <w:top w:val="nil"/>
              <w:left w:val="nil"/>
              <w:bottom w:val="nil"/>
              <w:right w:val="nil"/>
            </w:tcBorders>
            <w:shd w:val="clear" w:color="000000" w:fill="F2DCDB"/>
            <w:noWrap/>
            <w:vAlign w:val="bottom"/>
            <w:hideMark/>
          </w:tcPr>
          <w:p w14:paraId="0C3F8CE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199</w:t>
            </w:r>
          </w:p>
        </w:tc>
        <w:tc>
          <w:tcPr>
            <w:tcW w:w="912" w:type="dxa"/>
            <w:tcBorders>
              <w:top w:val="nil"/>
              <w:left w:val="nil"/>
              <w:bottom w:val="nil"/>
              <w:right w:val="single" w:sz="4" w:space="0" w:color="auto"/>
            </w:tcBorders>
            <w:shd w:val="clear" w:color="000000" w:fill="F2DCDB"/>
            <w:noWrap/>
            <w:vAlign w:val="bottom"/>
            <w:hideMark/>
          </w:tcPr>
          <w:p w14:paraId="0C3F8CE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w:t>
            </w:r>
          </w:p>
        </w:tc>
      </w:tr>
      <w:tr w:rsidR="00B6457B" w:rsidRPr="00393ABA" w14:paraId="0C3F8CFD" w14:textId="77777777" w:rsidTr="00393ABA">
        <w:trPr>
          <w:trHeight w:val="300"/>
        </w:trPr>
        <w:tc>
          <w:tcPr>
            <w:tcW w:w="1407" w:type="dxa"/>
            <w:vMerge/>
            <w:tcBorders>
              <w:top w:val="nil"/>
              <w:left w:val="single" w:sz="4" w:space="0" w:color="auto"/>
              <w:bottom w:val="nil"/>
              <w:right w:val="nil"/>
            </w:tcBorders>
            <w:vAlign w:val="center"/>
            <w:hideMark/>
          </w:tcPr>
          <w:p w14:paraId="0C3F8CED"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CE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CE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CF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804" w:type="dxa"/>
            <w:tcBorders>
              <w:top w:val="nil"/>
              <w:left w:val="nil"/>
              <w:bottom w:val="nil"/>
              <w:right w:val="nil"/>
            </w:tcBorders>
            <w:shd w:val="clear" w:color="auto" w:fill="auto"/>
            <w:noWrap/>
            <w:vAlign w:val="bottom"/>
            <w:hideMark/>
          </w:tcPr>
          <w:p w14:paraId="0C3F8CF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774" w:type="dxa"/>
            <w:tcBorders>
              <w:top w:val="nil"/>
              <w:left w:val="nil"/>
              <w:bottom w:val="nil"/>
              <w:right w:val="nil"/>
            </w:tcBorders>
            <w:shd w:val="clear" w:color="auto" w:fill="auto"/>
            <w:noWrap/>
            <w:vAlign w:val="bottom"/>
            <w:hideMark/>
          </w:tcPr>
          <w:p w14:paraId="0C3F8CF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641" w:type="dxa"/>
            <w:tcBorders>
              <w:top w:val="nil"/>
              <w:left w:val="nil"/>
              <w:bottom w:val="nil"/>
              <w:right w:val="nil"/>
            </w:tcBorders>
            <w:shd w:val="clear" w:color="auto" w:fill="auto"/>
            <w:noWrap/>
            <w:vAlign w:val="bottom"/>
            <w:hideMark/>
          </w:tcPr>
          <w:p w14:paraId="0C3F8CF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85" w:type="dxa"/>
            <w:tcBorders>
              <w:top w:val="nil"/>
              <w:left w:val="nil"/>
              <w:bottom w:val="nil"/>
              <w:right w:val="nil"/>
            </w:tcBorders>
            <w:shd w:val="clear" w:color="auto" w:fill="auto"/>
            <w:noWrap/>
            <w:vAlign w:val="bottom"/>
            <w:hideMark/>
          </w:tcPr>
          <w:p w14:paraId="0C3F8CF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86%</w:t>
            </w:r>
          </w:p>
        </w:tc>
        <w:tc>
          <w:tcPr>
            <w:tcW w:w="912" w:type="dxa"/>
            <w:tcBorders>
              <w:top w:val="nil"/>
              <w:left w:val="nil"/>
              <w:bottom w:val="nil"/>
              <w:right w:val="nil"/>
            </w:tcBorders>
            <w:shd w:val="clear" w:color="000000" w:fill="F2DCDB"/>
            <w:noWrap/>
            <w:vAlign w:val="bottom"/>
            <w:hideMark/>
          </w:tcPr>
          <w:p w14:paraId="0C3F8CF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97%</w:t>
            </w:r>
          </w:p>
        </w:tc>
        <w:tc>
          <w:tcPr>
            <w:tcW w:w="912" w:type="dxa"/>
            <w:tcBorders>
              <w:top w:val="nil"/>
              <w:left w:val="nil"/>
              <w:bottom w:val="nil"/>
              <w:right w:val="nil"/>
            </w:tcBorders>
            <w:shd w:val="clear" w:color="000000" w:fill="F2DCDB"/>
            <w:noWrap/>
            <w:vAlign w:val="bottom"/>
            <w:hideMark/>
          </w:tcPr>
          <w:p w14:paraId="0C3F8CF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w:t>
            </w:r>
          </w:p>
        </w:tc>
        <w:tc>
          <w:tcPr>
            <w:tcW w:w="723" w:type="dxa"/>
            <w:tcBorders>
              <w:top w:val="nil"/>
              <w:left w:val="single" w:sz="4" w:space="0" w:color="auto"/>
              <w:bottom w:val="nil"/>
              <w:right w:val="nil"/>
            </w:tcBorders>
            <w:shd w:val="clear" w:color="auto" w:fill="auto"/>
            <w:noWrap/>
            <w:vAlign w:val="bottom"/>
            <w:hideMark/>
          </w:tcPr>
          <w:p w14:paraId="0C3F8CF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8" w:type="dxa"/>
            <w:tcBorders>
              <w:top w:val="nil"/>
              <w:left w:val="nil"/>
              <w:bottom w:val="nil"/>
              <w:right w:val="nil"/>
            </w:tcBorders>
            <w:shd w:val="clear" w:color="auto" w:fill="auto"/>
            <w:noWrap/>
            <w:vAlign w:val="bottom"/>
            <w:hideMark/>
          </w:tcPr>
          <w:p w14:paraId="0C3F8CF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16%</w:t>
            </w:r>
          </w:p>
        </w:tc>
        <w:tc>
          <w:tcPr>
            <w:tcW w:w="622" w:type="dxa"/>
            <w:tcBorders>
              <w:top w:val="nil"/>
              <w:left w:val="nil"/>
              <w:bottom w:val="nil"/>
              <w:right w:val="nil"/>
            </w:tcBorders>
            <w:shd w:val="clear" w:color="auto" w:fill="auto"/>
            <w:noWrap/>
            <w:vAlign w:val="bottom"/>
            <w:hideMark/>
          </w:tcPr>
          <w:p w14:paraId="0C3F8CF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75%</w:t>
            </w:r>
          </w:p>
        </w:tc>
        <w:tc>
          <w:tcPr>
            <w:tcW w:w="1028" w:type="dxa"/>
            <w:tcBorders>
              <w:top w:val="nil"/>
              <w:left w:val="nil"/>
              <w:bottom w:val="nil"/>
              <w:right w:val="nil"/>
            </w:tcBorders>
            <w:shd w:val="clear" w:color="auto" w:fill="auto"/>
            <w:noWrap/>
            <w:vAlign w:val="bottom"/>
            <w:hideMark/>
          </w:tcPr>
          <w:p w14:paraId="0C3F8CF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912" w:type="dxa"/>
            <w:tcBorders>
              <w:top w:val="nil"/>
              <w:left w:val="nil"/>
              <w:bottom w:val="nil"/>
              <w:right w:val="nil"/>
            </w:tcBorders>
            <w:shd w:val="clear" w:color="000000" w:fill="F2DCDB"/>
            <w:noWrap/>
            <w:vAlign w:val="bottom"/>
            <w:hideMark/>
          </w:tcPr>
          <w:p w14:paraId="0C3F8CF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98%</w:t>
            </w:r>
          </w:p>
        </w:tc>
        <w:tc>
          <w:tcPr>
            <w:tcW w:w="912" w:type="dxa"/>
            <w:tcBorders>
              <w:top w:val="nil"/>
              <w:left w:val="nil"/>
              <w:bottom w:val="nil"/>
              <w:right w:val="single" w:sz="4" w:space="0" w:color="auto"/>
            </w:tcBorders>
            <w:shd w:val="clear" w:color="000000" w:fill="F2DCDB"/>
            <w:noWrap/>
            <w:vAlign w:val="bottom"/>
            <w:hideMark/>
          </w:tcPr>
          <w:p w14:paraId="0C3F8CF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w:t>
            </w:r>
          </w:p>
        </w:tc>
      </w:tr>
      <w:tr w:rsidR="00B6457B" w:rsidRPr="00393ABA" w14:paraId="0C3F8D0E"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CF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Burdekin</w:t>
            </w:r>
          </w:p>
        </w:tc>
        <w:tc>
          <w:tcPr>
            <w:tcW w:w="1120" w:type="dxa"/>
            <w:tcBorders>
              <w:top w:val="nil"/>
              <w:left w:val="single" w:sz="4" w:space="0" w:color="auto"/>
              <w:bottom w:val="nil"/>
              <w:right w:val="single" w:sz="4" w:space="0" w:color="auto"/>
            </w:tcBorders>
            <w:shd w:val="clear" w:color="000000" w:fill="F2F2F2"/>
            <w:noWrap/>
            <w:vAlign w:val="center"/>
            <w:hideMark/>
          </w:tcPr>
          <w:p w14:paraId="0C3F8CF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0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621</w:t>
            </w:r>
          </w:p>
        </w:tc>
        <w:tc>
          <w:tcPr>
            <w:tcW w:w="735" w:type="dxa"/>
            <w:tcBorders>
              <w:top w:val="nil"/>
              <w:left w:val="nil"/>
              <w:bottom w:val="nil"/>
              <w:right w:val="nil"/>
            </w:tcBorders>
            <w:shd w:val="clear" w:color="auto" w:fill="auto"/>
            <w:noWrap/>
            <w:vAlign w:val="bottom"/>
            <w:hideMark/>
          </w:tcPr>
          <w:p w14:paraId="0C3F8D0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804" w:type="dxa"/>
            <w:tcBorders>
              <w:top w:val="nil"/>
              <w:left w:val="nil"/>
              <w:bottom w:val="nil"/>
              <w:right w:val="nil"/>
            </w:tcBorders>
            <w:shd w:val="clear" w:color="auto" w:fill="auto"/>
            <w:noWrap/>
            <w:vAlign w:val="bottom"/>
            <w:hideMark/>
          </w:tcPr>
          <w:p w14:paraId="0C3F8D0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774" w:type="dxa"/>
            <w:tcBorders>
              <w:top w:val="nil"/>
              <w:left w:val="nil"/>
              <w:bottom w:val="nil"/>
              <w:right w:val="nil"/>
            </w:tcBorders>
            <w:shd w:val="clear" w:color="auto" w:fill="auto"/>
            <w:noWrap/>
            <w:vAlign w:val="bottom"/>
            <w:hideMark/>
          </w:tcPr>
          <w:p w14:paraId="0C3F8D0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641" w:type="dxa"/>
            <w:tcBorders>
              <w:top w:val="nil"/>
              <w:left w:val="nil"/>
              <w:bottom w:val="nil"/>
              <w:right w:val="nil"/>
            </w:tcBorders>
            <w:shd w:val="clear" w:color="auto" w:fill="auto"/>
            <w:noWrap/>
            <w:vAlign w:val="bottom"/>
            <w:hideMark/>
          </w:tcPr>
          <w:p w14:paraId="0C3F8D0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785" w:type="dxa"/>
            <w:tcBorders>
              <w:top w:val="nil"/>
              <w:left w:val="nil"/>
              <w:bottom w:val="nil"/>
              <w:right w:val="nil"/>
            </w:tcBorders>
            <w:shd w:val="clear" w:color="auto" w:fill="auto"/>
            <w:noWrap/>
            <w:vAlign w:val="bottom"/>
            <w:hideMark/>
          </w:tcPr>
          <w:p w14:paraId="0C3F8D0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600</w:t>
            </w:r>
          </w:p>
        </w:tc>
        <w:tc>
          <w:tcPr>
            <w:tcW w:w="912" w:type="dxa"/>
            <w:tcBorders>
              <w:top w:val="nil"/>
              <w:left w:val="nil"/>
              <w:bottom w:val="nil"/>
              <w:right w:val="nil"/>
            </w:tcBorders>
            <w:shd w:val="clear" w:color="000000" w:fill="F2DCDB"/>
            <w:noWrap/>
            <w:vAlign w:val="bottom"/>
            <w:hideMark/>
          </w:tcPr>
          <w:p w14:paraId="0C3F8D0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619</w:t>
            </w:r>
          </w:p>
        </w:tc>
        <w:tc>
          <w:tcPr>
            <w:tcW w:w="912" w:type="dxa"/>
            <w:tcBorders>
              <w:top w:val="nil"/>
              <w:left w:val="nil"/>
              <w:bottom w:val="nil"/>
              <w:right w:val="single" w:sz="4" w:space="0" w:color="auto"/>
            </w:tcBorders>
            <w:shd w:val="clear" w:color="000000" w:fill="F2DCDB"/>
            <w:noWrap/>
            <w:vAlign w:val="bottom"/>
            <w:hideMark/>
          </w:tcPr>
          <w:p w14:paraId="0C3F8D0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w:t>
            </w:r>
          </w:p>
        </w:tc>
        <w:tc>
          <w:tcPr>
            <w:tcW w:w="723" w:type="dxa"/>
            <w:tcBorders>
              <w:top w:val="nil"/>
              <w:left w:val="nil"/>
              <w:bottom w:val="nil"/>
              <w:right w:val="nil"/>
            </w:tcBorders>
            <w:shd w:val="clear" w:color="auto" w:fill="auto"/>
            <w:noWrap/>
            <w:vAlign w:val="bottom"/>
            <w:hideMark/>
          </w:tcPr>
          <w:p w14:paraId="0C3F8D0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D0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117</w:t>
            </w:r>
          </w:p>
        </w:tc>
        <w:tc>
          <w:tcPr>
            <w:tcW w:w="622" w:type="dxa"/>
            <w:tcBorders>
              <w:top w:val="nil"/>
              <w:left w:val="nil"/>
              <w:bottom w:val="nil"/>
              <w:right w:val="nil"/>
            </w:tcBorders>
            <w:shd w:val="clear" w:color="auto" w:fill="auto"/>
            <w:noWrap/>
            <w:vAlign w:val="bottom"/>
            <w:hideMark/>
          </w:tcPr>
          <w:p w14:paraId="0C3F8D0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433</w:t>
            </w:r>
          </w:p>
        </w:tc>
        <w:tc>
          <w:tcPr>
            <w:tcW w:w="1028" w:type="dxa"/>
            <w:tcBorders>
              <w:top w:val="nil"/>
              <w:left w:val="nil"/>
              <w:bottom w:val="nil"/>
              <w:right w:val="nil"/>
            </w:tcBorders>
            <w:shd w:val="clear" w:color="auto" w:fill="auto"/>
            <w:noWrap/>
            <w:vAlign w:val="bottom"/>
            <w:hideMark/>
          </w:tcPr>
          <w:p w14:paraId="0C3F8D0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68</w:t>
            </w:r>
          </w:p>
        </w:tc>
        <w:tc>
          <w:tcPr>
            <w:tcW w:w="912" w:type="dxa"/>
            <w:tcBorders>
              <w:top w:val="nil"/>
              <w:left w:val="nil"/>
              <w:bottom w:val="nil"/>
              <w:right w:val="nil"/>
            </w:tcBorders>
            <w:shd w:val="clear" w:color="000000" w:fill="F2DCDB"/>
            <w:noWrap/>
            <w:vAlign w:val="bottom"/>
            <w:hideMark/>
          </w:tcPr>
          <w:p w14:paraId="0C3F8D0C"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619</w:t>
            </w:r>
          </w:p>
        </w:tc>
        <w:tc>
          <w:tcPr>
            <w:tcW w:w="912" w:type="dxa"/>
            <w:tcBorders>
              <w:top w:val="nil"/>
              <w:left w:val="nil"/>
              <w:bottom w:val="nil"/>
              <w:right w:val="single" w:sz="4" w:space="0" w:color="auto"/>
            </w:tcBorders>
            <w:shd w:val="clear" w:color="000000" w:fill="F2DCDB"/>
            <w:noWrap/>
            <w:vAlign w:val="bottom"/>
            <w:hideMark/>
          </w:tcPr>
          <w:p w14:paraId="0C3F8D0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w:t>
            </w:r>
          </w:p>
        </w:tc>
      </w:tr>
      <w:tr w:rsidR="00B6457B" w:rsidRPr="00393ABA" w14:paraId="0C3F8D1F" w14:textId="77777777" w:rsidTr="00393ABA">
        <w:trPr>
          <w:trHeight w:val="300"/>
        </w:trPr>
        <w:tc>
          <w:tcPr>
            <w:tcW w:w="1407" w:type="dxa"/>
            <w:vMerge/>
            <w:tcBorders>
              <w:top w:val="nil"/>
              <w:left w:val="single" w:sz="4" w:space="0" w:color="auto"/>
              <w:bottom w:val="nil"/>
              <w:right w:val="nil"/>
            </w:tcBorders>
            <w:vAlign w:val="center"/>
            <w:hideMark/>
          </w:tcPr>
          <w:p w14:paraId="0C3F8D0F"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D1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D1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D1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D1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774" w:type="dxa"/>
            <w:tcBorders>
              <w:top w:val="nil"/>
              <w:left w:val="nil"/>
              <w:bottom w:val="nil"/>
              <w:right w:val="nil"/>
            </w:tcBorders>
            <w:shd w:val="clear" w:color="auto" w:fill="auto"/>
            <w:noWrap/>
            <w:vAlign w:val="bottom"/>
            <w:hideMark/>
          </w:tcPr>
          <w:p w14:paraId="0C3F8D1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641" w:type="dxa"/>
            <w:tcBorders>
              <w:top w:val="nil"/>
              <w:left w:val="nil"/>
              <w:bottom w:val="nil"/>
              <w:right w:val="nil"/>
            </w:tcBorders>
            <w:shd w:val="clear" w:color="auto" w:fill="auto"/>
            <w:noWrap/>
            <w:vAlign w:val="bottom"/>
            <w:hideMark/>
          </w:tcPr>
          <w:p w14:paraId="0C3F8D1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785" w:type="dxa"/>
            <w:tcBorders>
              <w:top w:val="nil"/>
              <w:left w:val="nil"/>
              <w:bottom w:val="nil"/>
              <w:right w:val="nil"/>
            </w:tcBorders>
            <w:shd w:val="clear" w:color="auto" w:fill="auto"/>
            <w:noWrap/>
            <w:vAlign w:val="bottom"/>
            <w:hideMark/>
          </w:tcPr>
          <w:p w14:paraId="0C3F8D1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97%</w:t>
            </w:r>
          </w:p>
        </w:tc>
        <w:tc>
          <w:tcPr>
            <w:tcW w:w="912" w:type="dxa"/>
            <w:tcBorders>
              <w:top w:val="nil"/>
              <w:left w:val="nil"/>
              <w:bottom w:val="nil"/>
              <w:right w:val="nil"/>
            </w:tcBorders>
            <w:shd w:val="clear" w:color="000000" w:fill="F2DCDB"/>
            <w:noWrap/>
            <w:vAlign w:val="bottom"/>
            <w:hideMark/>
          </w:tcPr>
          <w:p w14:paraId="0C3F8D1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D1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D1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nil"/>
              <w:right w:val="nil"/>
            </w:tcBorders>
            <w:shd w:val="clear" w:color="auto" w:fill="auto"/>
            <w:noWrap/>
            <w:vAlign w:val="bottom"/>
            <w:hideMark/>
          </w:tcPr>
          <w:p w14:paraId="0C3F8D1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19%</w:t>
            </w:r>
          </w:p>
        </w:tc>
        <w:tc>
          <w:tcPr>
            <w:tcW w:w="622" w:type="dxa"/>
            <w:tcBorders>
              <w:top w:val="nil"/>
              <w:left w:val="nil"/>
              <w:bottom w:val="nil"/>
              <w:right w:val="nil"/>
            </w:tcBorders>
            <w:shd w:val="clear" w:color="auto" w:fill="auto"/>
            <w:noWrap/>
            <w:vAlign w:val="bottom"/>
            <w:hideMark/>
          </w:tcPr>
          <w:p w14:paraId="0C3F8D1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70%</w:t>
            </w:r>
          </w:p>
        </w:tc>
        <w:tc>
          <w:tcPr>
            <w:tcW w:w="1028" w:type="dxa"/>
            <w:tcBorders>
              <w:top w:val="nil"/>
              <w:left w:val="nil"/>
              <w:bottom w:val="nil"/>
              <w:right w:val="nil"/>
            </w:tcBorders>
            <w:shd w:val="clear" w:color="auto" w:fill="auto"/>
            <w:noWrap/>
            <w:vAlign w:val="bottom"/>
            <w:hideMark/>
          </w:tcPr>
          <w:p w14:paraId="0C3F8D1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11%</w:t>
            </w:r>
          </w:p>
        </w:tc>
        <w:tc>
          <w:tcPr>
            <w:tcW w:w="912" w:type="dxa"/>
            <w:tcBorders>
              <w:top w:val="nil"/>
              <w:left w:val="nil"/>
              <w:bottom w:val="nil"/>
              <w:right w:val="nil"/>
            </w:tcBorders>
            <w:shd w:val="clear" w:color="000000" w:fill="F2DCDB"/>
            <w:noWrap/>
            <w:vAlign w:val="bottom"/>
            <w:hideMark/>
          </w:tcPr>
          <w:p w14:paraId="0C3F8D1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D1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D30" w14:textId="77777777" w:rsidTr="00393ABA">
        <w:trPr>
          <w:trHeight w:val="300"/>
        </w:trPr>
        <w:tc>
          <w:tcPr>
            <w:tcW w:w="1407" w:type="dxa"/>
            <w:vMerge w:val="restart"/>
            <w:tcBorders>
              <w:top w:val="nil"/>
              <w:left w:val="single" w:sz="4" w:space="0" w:color="auto"/>
              <w:bottom w:val="nil"/>
              <w:right w:val="single" w:sz="4" w:space="0" w:color="auto"/>
            </w:tcBorders>
            <w:shd w:val="clear" w:color="000000" w:fill="F2F2F2"/>
            <w:vAlign w:val="center"/>
            <w:hideMark/>
          </w:tcPr>
          <w:p w14:paraId="0C3F8D2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Mackay-Whitsundays</w:t>
            </w:r>
          </w:p>
        </w:tc>
        <w:tc>
          <w:tcPr>
            <w:tcW w:w="1120" w:type="dxa"/>
            <w:tcBorders>
              <w:top w:val="nil"/>
              <w:left w:val="nil"/>
              <w:bottom w:val="nil"/>
              <w:right w:val="single" w:sz="4" w:space="0" w:color="auto"/>
            </w:tcBorders>
            <w:shd w:val="clear" w:color="000000" w:fill="F2F2F2"/>
            <w:noWrap/>
            <w:vAlign w:val="center"/>
            <w:hideMark/>
          </w:tcPr>
          <w:p w14:paraId="0C3F8D2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2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231</w:t>
            </w:r>
          </w:p>
        </w:tc>
        <w:tc>
          <w:tcPr>
            <w:tcW w:w="735" w:type="dxa"/>
            <w:tcBorders>
              <w:top w:val="nil"/>
              <w:left w:val="nil"/>
              <w:bottom w:val="nil"/>
              <w:right w:val="nil"/>
            </w:tcBorders>
            <w:shd w:val="clear" w:color="auto" w:fill="auto"/>
            <w:noWrap/>
            <w:vAlign w:val="bottom"/>
            <w:hideMark/>
          </w:tcPr>
          <w:p w14:paraId="0C3F8D2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04" w:type="dxa"/>
            <w:tcBorders>
              <w:top w:val="nil"/>
              <w:left w:val="nil"/>
              <w:bottom w:val="nil"/>
              <w:right w:val="nil"/>
            </w:tcBorders>
            <w:shd w:val="clear" w:color="auto" w:fill="auto"/>
            <w:noWrap/>
            <w:vAlign w:val="bottom"/>
            <w:hideMark/>
          </w:tcPr>
          <w:p w14:paraId="0C3F8D2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774" w:type="dxa"/>
            <w:tcBorders>
              <w:top w:val="nil"/>
              <w:left w:val="nil"/>
              <w:bottom w:val="nil"/>
              <w:right w:val="nil"/>
            </w:tcBorders>
            <w:shd w:val="clear" w:color="auto" w:fill="auto"/>
            <w:noWrap/>
            <w:vAlign w:val="bottom"/>
            <w:hideMark/>
          </w:tcPr>
          <w:p w14:paraId="0C3F8D2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w:t>
            </w:r>
          </w:p>
        </w:tc>
        <w:tc>
          <w:tcPr>
            <w:tcW w:w="641" w:type="dxa"/>
            <w:tcBorders>
              <w:top w:val="nil"/>
              <w:left w:val="nil"/>
              <w:bottom w:val="nil"/>
              <w:right w:val="nil"/>
            </w:tcBorders>
            <w:shd w:val="clear" w:color="auto" w:fill="auto"/>
            <w:noWrap/>
            <w:vAlign w:val="bottom"/>
            <w:hideMark/>
          </w:tcPr>
          <w:p w14:paraId="0C3F8D2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w:t>
            </w:r>
          </w:p>
        </w:tc>
        <w:tc>
          <w:tcPr>
            <w:tcW w:w="785" w:type="dxa"/>
            <w:tcBorders>
              <w:top w:val="nil"/>
              <w:left w:val="nil"/>
              <w:bottom w:val="nil"/>
              <w:right w:val="nil"/>
            </w:tcBorders>
            <w:shd w:val="clear" w:color="auto" w:fill="auto"/>
            <w:noWrap/>
            <w:vAlign w:val="bottom"/>
            <w:hideMark/>
          </w:tcPr>
          <w:p w14:paraId="0C3F8D2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161</w:t>
            </w:r>
          </w:p>
        </w:tc>
        <w:tc>
          <w:tcPr>
            <w:tcW w:w="912" w:type="dxa"/>
            <w:tcBorders>
              <w:top w:val="nil"/>
              <w:left w:val="nil"/>
              <w:bottom w:val="nil"/>
              <w:right w:val="nil"/>
            </w:tcBorders>
            <w:shd w:val="clear" w:color="000000" w:fill="F2DCDB"/>
            <w:noWrap/>
            <w:vAlign w:val="bottom"/>
            <w:hideMark/>
          </w:tcPr>
          <w:p w14:paraId="0C3F8D2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225</w:t>
            </w:r>
          </w:p>
        </w:tc>
        <w:tc>
          <w:tcPr>
            <w:tcW w:w="912" w:type="dxa"/>
            <w:tcBorders>
              <w:top w:val="nil"/>
              <w:left w:val="nil"/>
              <w:bottom w:val="nil"/>
              <w:right w:val="single" w:sz="4" w:space="0" w:color="auto"/>
            </w:tcBorders>
            <w:shd w:val="clear" w:color="000000" w:fill="F2DCDB"/>
            <w:noWrap/>
            <w:vAlign w:val="bottom"/>
            <w:hideMark/>
          </w:tcPr>
          <w:p w14:paraId="0C3F8D2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6</w:t>
            </w:r>
          </w:p>
        </w:tc>
        <w:tc>
          <w:tcPr>
            <w:tcW w:w="723" w:type="dxa"/>
            <w:tcBorders>
              <w:top w:val="nil"/>
              <w:left w:val="nil"/>
              <w:bottom w:val="nil"/>
              <w:right w:val="nil"/>
            </w:tcBorders>
            <w:shd w:val="clear" w:color="auto" w:fill="auto"/>
            <w:noWrap/>
            <w:vAlign w:val="bottom"/>
            <w:hideMark/>
          </w:tcPr>
          <w:p w14:paraId="0C3F8D2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D2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57</w:t>
            </w:r>
          </w:p>
        </w:tc>
        <w:tc>
          <w:tcPr>
            <w:tcW w:w="622" w:type="dxa"/>
            <w:tcBorders>
              <w:top w:val="nil"/>
              <w:left w:val="nil"/>
              <w:bottom w:val="nil"/>
              <w:right w:val="nil"/>
            </w:tcBorders>
            <w:shd w:val="clear" w:color="auto" w:fill="auto"/>
            <w:noWrap/>
            <w:vAlign w:val="bottom"/>
            <w:hideMark/>
          </w:tcPr>
          <w:p w14:paraId="0C3F8D2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151</w:t>
            </w:r>
          </w:p>
        </w:tc>
        <w:tc>
          <w:tcPr>
            <w:tcW w:w="1028" w:type="dxa"/>
            <w:tcBorders>
              <w:top w:val="nil"/>
              <w:left w:val="nil"/>
              <w:bottom w:val="nil"/>
              <w:right w:val="nil"/>
            </w:tcBorders>
            <w:shd w:val="clear" w:color="auto" w:fill="auto"/>
            <w:noWrap/>
            <w:vAlign w:val="bottom"/>
            <w:hideMark/>
          </w:tcPr>
          <w:p w14:paraId="0C3F8D2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912" w:type="dxa"/>
            <w:tcBorders>
              <w:top w:val="nil"/>
              <w:left w:val="nil"/>
              <w:bottom w:val="nil"/>
              <w:right w:val="nil"/>
            </w:tcBorders>
            <w:shd w:val="clear" w:color="000000" w:fill="F2DCDB"/>
            <w:noWrap/>
            <w:vAlign w:val="bottom"/>
            <w:hideMark/>
          </w:tcPr>
          <w:p w14:paraId="0C3F8D2E"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223</w:t>
            </w:r>
          </w:p>
        </w:tc>
        <w:tc>
          <w:tcPr>
            <w:tcW w:w="912" w:type="dxa"/>
            <w:tcBorders>
              <w:top w:val="nil"/>
              <w:left w:val="nil"/>
              <w:bottom w:val="nil"/>
              <w:right w:val="single" w:sz="4" w:space="0" w:color="auto"/>
            </w:tcBorders>
            <w:shd w:val="clear" w:color="000000" w:fill="F2DCDB"/>
            <w:noWrap/>
            <w:vAlign w:val="bottom"/>
            <w:hideMark/>
          </w:tcPr>
          <w:p w14:paraId="0C3F8D2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8</w:t>
            </w:r>
          </w:p>
        </w:tc>
      </w:tr>
      <w:tr w:rsidR="00B6457B" w:rsidRPr="00393ABA" w14:paraId="0C3F8D41" w14:textId="77777777" w:rsidTr="00393ABA">
        <w:trPr>
          <w:trHeight w:val="300"/>
        </w:trPr>
        <w:tc>
          <w:tcPr>
            <w:tcW w:w="1407" w:type="dxa"/>
            <w:vMerge/>
            <w:tcBorders>
              <w:top w:val="nil"/>
              <w:left w:val="single" w:sz="4" w:space="0" w:color="auto"/>
              <w:bottom w:val="nil"/>
              <w:right w:val="single" w:sz="4" w:space="0" w:color="auto"/>
            </w:tcBorders>
            <w:vAlign w:val="center"/>
            <w:hideMark/>
          </w:tcPr>
          <w:p w14:paraId="0C3F8D31"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nil"/>
              <w:right w:val="single" w:sz="4" w:space="0" w:color="auto"/>
            </w:tcBorders>
            <w:shd w:val="clear" w:color="000000" w:fill="F2F2F2"/>
            <w:noWrap/>
            <w:vAlign w:val="center"/>
            <w:hideMark/>
          </w:tcPr>
          <w:p w14:paraId="0C3F8D3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D3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D3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D3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774" w:type="dxa"/>
            <w:tcBorders>
              <w:top w:val="nil"/>
              <w:left w:val="nil"/>
              <w:bottom w:val="nil"/>
              <w:right w:val="nil"/>
            </w:tcBorders>
            <w:shd w:val="clear" w:color="auto" w:fill="auto"/>
            <w:noWrap/>
            <w:vAlign w:val="bottom"/>
            <w:hideMark/>
          </w:tcPr>
          <w:p w14:paraId="0C3F8D3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13%</w:t>
            </w:r>
          </w:p>
        </w:tc>
        <w:tc>
          <w:tcPr>
            <w:tcW w:w="641" w:type="dxa"/>
            <w:tcBorders>
              <w:top w:val="nil"/>
              <w:left w:val="nil"/>
              <w:bottom w:val="nil"/>
              <w:right w:val="nil"/>
            </w:tcBorders>
            <w:shd w:val="clear" w:color="auto" w:fill="auto"/>
            <w:noWrap/>
            <w:vAlign w:val="bottom"/>
            <w:hideMark/>
          </w:tcPr>
          <w:p w14:paraId="0C3F8D3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13%</w:t>
            </w:r>
          </w:p>
        </w:tc>
        <w:tc>
          <w:tcPr>
            <w:tcW w:w="785" w:type="dxa"/>
            <w:tcBorders>
              <w:top w:val="nil"/>
              <w:left w:val="nil"/>
              <w:bottom w:val="nil"/>
              <w:right w:val="nil"/>
            </w:tcBorders>
            <w:shd w:val="clear" w:color="auto" w:fill="auto"/>
            <w:noWrap/>
            <w:vAlign w:val="bottom"/>
            <w:hideMark/>
          </w:tcPr>
          <w:p w14:paraId="0C3F8D3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70%</w:t>
            </w:r>
          </w:p>
        </w:tc>
        <w:tc>
          <w:tcPr>
            <w:tcW w:w="912" w:type="dxa"/>
            <w:tcBorders>
              <w:top w:val="nil"/>
              <w:left w:val="nil"/>
              <w:bottom w:val="nil"/>
              <w:right w:val="nil"/>
            </w:tcBorders>
            <w:shd w:val="clear" w:color="000000" w:fill="F2DCDB"/>
            <w:noWrap/>
            <w:vAlign w:val="bottom"/>
            <w:hideMark/>
          </w:tcPr>
          <w:p w14:paraId="0C3F8D3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97%</w:t>
            </w:r>
          </w:p>
        </w:tc>
        <w:tc>
          <w:tcPr>
            <w:tcW w:w="912" w:type="dxa"/>
            <w:tcBorders>
              <w:top w:val="nil"/>
              <w:left w:val="nil"/>
              <w:bottom w:val="nil"/>
              <w:right w:val="nil"/>
            </w:tcBorders>
            <w:shd w:val="clear" w:color="000000" w:fill="F2DCDB"/>
            <w:noWrap/>
            <w:vAlign w:val="bottom"/>
            <w:hideMark/>
          </w:tcPr>
          <w:p w14:paraId="0C3F8D3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w:t>
            </w:r>
          </w:p>
        </w:tc>
        <w:tc>
          <w:tcPr>
            <w:tcW w:w="723" w:type="dxa"/>
            <w:tcBorders>
              <w:top w:val="nil"/>
              <w:left w:val="single" w:sz="4" w:space="0" w:color="auto"/>
              <w:bottom w:val="nil"/>
              <w:right w:val="nil"/>
            </w:tcBorders>
            <w:shd w:val="clear" w:color="auto" w:fill="auto"/>
            <w:noWrap/>
            <w:vAlign w:val="bottom"/>
            <w:hideMark/>
          </w:tcPr>
          <w:p w14:paraId="0C3F8D3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nil"/>
              <w:right w:val="nil"/>
            </w:tcBorders>
            <w:shd w:val="clear" w:color="auto" w:fill="auto"/>
            <w:noWrap/>
            <w:vAlign w:val="bottom"/>
            <w:hideMark/>
          </w:tcPr>
          <w:p w14:paraId="0C3F8D3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25%</w:t>
            </w:r>
          </w:p>
        </w:tc>
        <w:tc>
          <w:tcPr>
            <w:tcW w:w="622" w:type="dxa"/>
            <w:tcBorders>
              <w:top w:val="nil"/>
              <w:left w:val="nil"/>
              <w:bottom w:val="nil"/>
              <w:right w:val="nil"/>
            </w:tcBorders>
            <w:shd w:val="clear" w:color="auto" w:fill="auto"/>
            <w:noWrap/>
            <w:vAlign w:val="bottom"/>
            <w:hideMark/>
          </w:tcPr>
          <w:p w14:paraId="0C3F8D3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65%</w:t>
            </w:r>
          </w:p>
        </w:tc>
        <w:tc>
          <w:tcPr>
            <w:tcW w:w="1028" w:type="dxa"/>
            <w:tcBorders>
              <w:top w:val="nil"/>
              <w:left w:val="nil"/>
              <w:bottom w:val="nil"/>
              <w:right w:val="nil"/>
            </w:tcBorders>
            <w:shd w:val="clear" w:color="auto" w:fill="auto"/>
            <w:noWrap/>
            <w:vAlign w:val="bottom"/>
            <w:hideMark/>
          </w:tcPr>
          <w:p w14:paraId="0C3F8D3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912" w:type="dxa"/>
            <w:tcBorders>
              <w:top w:val="nil"/>
              <w:left w:val="nil"/>
              <w:bottom w:val="nil"/>
              <w:right w:val="nil"/>
            </w:tcBorders>
            <w:shd w:val="clear" w:color="000000" w:fill="F2DCDB"/>
            <w:noWrap/>
            <w:vAlign w:val="bottom"/>
            <w:hideMark/>
          </w:tcPr>
          <w:p w14:paraId="0C3F8D3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97%</w:t>
            </w:r>
          </w:p>
        </w:tc>
        <w:tc>
          <w:tcPr>
            <w:tcW w:w="912" w:type="dxa"/>
            <w:tcBorders>
              <w:top w:val="nil"/>
              <w:left w:val="nil"/>
              <w:bottom w:val="nil"/>
              <w:right w:val="single" w:sz="4" w:space="0" w:color="auto"/>
            </w:tcBorders>
            <w:shd w:val="clear" w:color="000000" w:fill="F2DCDB"/>
            <w:noWrap/>
            <w:vAlign w:val="bottom"/>
            <w:hideMark/>
          </w:tcPr>
          <w:p w14:paraId="0C3F8D4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w:t>
            </w:r>
          </w:p>
        </w:tc>
      </w:tr>
      <w:tr w:rsidR="00B6457B" w:rsidRPr="00393ABA" w14:paraId="0C3F8D52"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D4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Fitzroy</w:t>
            </w:r>
          </w:p>
        </w:tc>
        <w:tc>
          <w:tcPr>
            <w:tcW w:w="1120" w:type="dxa"/>
            <w:tcBorders>
              <w:top w:val="nil"/>
              <w:left w:val="single" w:sz="4" w:space="0" w:color="auto"/>
              <w:bottom w:val="nil"/>
              <w:right w:val="single" w:sz="4" w:space="0" w:color="auto"/>
            </w:tcBorders>
            <w:shd w:val="clear" w:color="000000" w:fill="F2F2F2"/>
            <w:noWrap/>
            <w:vAlign w:val="center"/>
            <w:hideMark/>
          </w:tcPr>
          <w:p w14:paraId="0C3F8D4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4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247</w:t>
            </w:r>
          </w:p>
        </w:tc>
        <w:tc>
          <w:tcPr>
            <w:tcW w:w="735" w:type="dxa"/>
            <w:tcBorders>
              <w:top w:val="nil"/>
              <w:left w:val="nil"/>
              <w:bottom w:val="nil"/>
              <w:right w:val="nil"/>
            </w:tcBorders>
            <w:shd w:val="clear" w:color="auto" w:fill="auto"/>
            <w:noWrap/>
            <w:vAlign w:val="bottom"/>
            <w:hideMark/>
          </w:tcPr>
          <w:p w14:paraId="0C3F8D4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04" w:type="dxa"/>
            <w:tcBorders>
              <w:top w:val="nil"/>
              <w:left w:val="nil"/>
              <w:bottom w:val="nil"/>
              <w:right w:val="nil"/>
            </w:tcBorders>
            <w:shd w:val="clear" w:color="auto" w:fill="auto"/>
            <w:noWrap/>
            <w:vAlign w:val="bottom"/>
            <w:hideMark/>
          </w:tcPr>
          <w:p w14:paraId="0C3F8D4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774" w:type="dxa"/>
            <w:tcBorders>
              <w:top w:val="nil"/>
              <w:left w:val="nil"/>
              <w:bottom w:val="nil"/>
              <w:right w:val="nil"/>
            </w:tcBorders>
            <w:shd w:val="clear" w:color="auto" w:fill="auto"/>
            <w:noWrap/>
            <w:vAlign w:val="bottom"/>
            <w:hideMark/>
          </w:tcPr>
          <w:p w14:paraId="0C3F8D4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w:t>
            </w:r>
          </w:p>
        </w:tc>
        <w:tc>
          <w:tcPr>
            <w:tcW w:w="641" w:type="dxa"/>
            <w:tcBorders>
              <w:top w:val="nil"/>
              <w:left w:val="nil"/>
              <w:bottom w:val="nil"/>
              <w:right w:val="nil"/>
            </w:tcBorders>
            <w:shd w:val="clear" w:color="auto" w:fill="auto"/>
            <w:noWrap/>
            <w:vAlign w:val="bottom"/>
            <w:hideMark/>
          </w:tcPr>
          <w:p w14:paraId="0C3F8D4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w:t>
            </w:r>
          </w:p>
        </w:tc>
        <w:tc>
          <w:tcPr>
            <w:tcW w:w="785" w:type="dxa"/>
            <w:tcBorders>
              <w:top w:val="nil"/>
              <w:left w:val="nil"/>
              <w:bottom w:val="nil"/>
              <w:right w:val="nil"/>
            </w:tcBorders>
            <w:shd w:val="clear" w:color="auto" w:fill="auto"/>
            <w:noWrap/>
            <w:vAlign w:val="bottom"/>
            <w:hideMark/>
          </w:tcPr>
          <w:p w14:paraId="0C3F8D4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225</w:t>
            </w:r>
          </w:p>
        </w:tc>
        <w:tc>
          <w:tcPr>
            <w:tcW w:w="912" w:type="dxa"/>
            <w:tcBorders>
              <w:top w:val="nil"/>
              <w:left w:val="nil"/>
              <w:bottom w:val="nil"/>
              <w:right w:val="nil"/>
            </w:tcBorders>
            <w:shd w:val="clear" w:color="000000" w:fill="F2DCDB"/>
            <w:noWrap/>
            <w:vAlign w:val="bottom"/>
            <w:hideMark/>
          </w:tcPr>
          <w:p w14:paraId="0C3F8D4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253</w:t>
            </w:r>
          </w:p>
        </w:tc>
        <w:tc>
          <w:tcPr>
            <w:tcW w:w="912" w:type="dxa"/>
            <w:tcBorders>
              <w:top w:val="nil"/>
              <w:left w:val="nil"/>
              <w:bottom w:val="nil"/>
              <w:right w:val="single" w:sz="4" w:space="0" w:color="auto"/>
            </w:tcBorders>
            <w:shd w:val="clear" w:color="000000" w:fill="F2DCDB"/>
            <w:noWrap/>
            <w:vAlign w:val="bottom"/>
            <w:hideMark/>
          </w:tcPr>
          <w:p w14:paraId="0C3F8D4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723" w:type="dxa"/>
            <w:tcBorders>
              <w:top w:val="nil"/>
              <w:left w:val="nil"/>
              <w:bottom w:val="nil"/>
              <w:right w:val="nil"/>
            </w:tcBorders>
            <w:shd w:val="clear" w:color="auto" w:fill="auto"/>
            <w:noWrap/>
            <w:vAlign w:val="bottom"/>
            <w:hideMark/>
          </w:tcPr>
          <w:p w14:paraId="0C3F8D4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D4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23</w:t>
            </w:r>
          </w:p>
        </w:tc>
        <w:tc>
          <w:tcPr>
            <w:tcW w:w="622" w:type="dxa"/>
            <w:tcBorders>
              <w:top w:val="nil"/>
              <w:left w:val="nil"/>
              <w:bottom w:val="nil"/>
              <w:right w:val="nil"/>
            </w:tcBorders>
            <w:shd w:val="clear" w:color="auto" w:fill="auto"/>
            <w:noWrap/>
            <w:vAlign w:val="bottom"/>
            <w:hideMark/>
          </w:tcPr>
          <w:p w14:paraId="0C3F8D4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164</w:t>
            </w:r>
          </w:p>
        </w:tc>
        <w:tc>
          <w:tcPr>
            <w:tcW w:w="1028" w:type="dxa"/>
            <w:tcBorders>
              <w:top w:val="nil"/>
              <w:left w:val="nil"/>
              <w:bottom w:val="nil"/>
              <w:right w:val="nil"/>
            </w:tcBorders>
            <w:shd w:val="clear" w:color="auto" w:fill="auto"/>
            <w:noWrap/>
            <w:vAlign w:val="bottom"/>
            <w:hideMark/>
          </w:tcPr>
          <w:p w14:paraId="0C3F8D4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w:t>
            </w:r>
          </w:p>
        </w:tc>
        <w:tc>
          <w:tcPr>
            <w:tcW w:w="912" w:type="dxa"/>
            <w:tcBorders>
              <w:top w:val="nil"/>
              <w:left w:val="nil"/>
              <w:bottom w:val="nil"/>
              <w:right w:val="nil"/>
            </w:tcBorders>
            <w:shd w:val="clear" w:color="000000" w:fill="F2DCDB"/>
            <w:noWrap/>
            <w:vAlign w:val="bottom"/>
            <w:hideMark/>
          </w:tcPr>
          <w:p w14:paraId="0C3F8D5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247</w:t>
            </w:r>
          </w:p>
        </w:tc>
        <w:tc>
          <w:tcPr>
            <w:tcW w:w="912" w:type="dxa"/>
            <w:tcBorders>
              <w:top w:val="nil"/>
              <w:left w:val="nil"/>
              <w:bottom w:val="nil"/>
              <w:right w:val="single" w:sz="4" w:space="0" w:color="auto"/>
            </w:tcBorders>
            <w:shd w:val="clear" w:color="000000" w:fill="F2DCDB"/>
            <w:noWrap/>
            <w:vAlign w:val="bottom"/>
            <w:hideMark/>
          </w:tcPr>
          <w:p w14:paraId="0C3F8D5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r>
      <w:tr w:rsidR="00B6457B" w:rsidRPr="00393ABA" w14:paraId="0C3F8D63" w14:textId="77777777" w:rsidTr="00393ABA">
        <w:trPr>
          <w:trHeight w:val="300"/>
        </w:trPr>
        <w:tc>
          <w:tcPr>
            <w:tcW w:w="1407" w:type="dxa"/>
            <w:vMerge/>
            <w:tcBorders>
              <w:top w:val="nil"/>
              <w:left w:val="single" w:sz="4" w:space="0" w:color="auto"/>
              <w:bottom w:val="nil"/>
              <w:right w:val="nil"/>
            </w:tcBorders>
            <w:vAlign w:val="center"/>
            <w:hideMark/>
          </w:tcPr>
          <w:p w14:paraId="0C3F8D53"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D5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D5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D5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D5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774" w:type="dxa"/>
            <w:tcBorders>
              <w:top w:val="nil"/>
              <w:left w:val="nil"/>
              <w:bottom w:val="nil"/>
              <w:right w:val="nil"/>
            </w:tcBorders>
            <w:shd w:val="clear" w:color="auto" w:fill="auto"/>
            <w:noWrap/>
            <w:vAlign w:val="bottom"/>
            <w:hideMark/>
          </w:tcPr>
          <w:p w14:paraId="0C3F8D5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641" w:type="dxa"/>
            <w:tcBorders>
              <w:top w:val="nil"/>
              <w:left w:val="nil"/>
              <w:bottom w:val="nil"/>
              <w:right w:val="nil"/>
            </w:tcBorders>
            <w:shd w:val="clear" w:color="auto" w:fill="auto"/>
            <w:noWrap/>
            <w:vAlign w:val="bottom"/>
            <w:hideMark/>
          </w:tcPr>
          <w:p w14:paraId="0C3F8D5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785" w:type="dxa"/>
            <w:tcBorders>
              <w:top w:val="nil"/>
              <w:left w:val="nil"/>
              <w:bottom w:val="nil"/>
              <w:right w:val="nil"/>
            </w:tcBorders>
            <w:shd w:val="clear" w:color="auto" w:fill="auto"/>
            <w:noWrap/>
            <w:vAlign w:val="bottom"/>
            <w:hideMark/>
          </w:tcPr>
          <w:p w14:paraId="0C3F8D5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91%</w:t>
            </w:r>
          </w:p>
        </w:tc>
        <w:tc>
          <w:tcPr>
            <w:tcW w:w="912" w:type="dxa"/>
            <w:tcBorders>
              <w:top w:val="nil"/>
              <w:left w:val="nil"/>
              <w:bottom w:val="nil"/>
              <w:right w:val="nil"/>
            </w:tcBorders>
            <w:shd w:val="clear" w:color="000000" w:fill="F2DCDB"/>
            <w:noWrap/>
            <w:vAlign w:val="bottom"/>
            <w:hideMark/>
          </w:tcPr>
          <w:p w14:paraId="0C3F8D5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D5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D5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nil"/>
              <w:right w:val="nil"/>
            </w:tcBorders>
            <w:shd w:val="clear" w:color="auto" w:fill="auto"/>
            <w:noWrap/>
            <w:vAlign w:val="bottom"/>
            <w:hideMark/>
          </w:tcPr>
          <w:p w14:paraId="0C3F8D5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w:t>
            </w:r>
          </w:p>
        </w:tc>
        <w:tc>
          <w:tcPr>
            <w:tcW w:w="622" w:type="dxa"/>
            <w:tcBorders>
              <w:top w:val="nil"/>
              <w:left w:val="nil"/>
              <w:bottom w:val="nil"/>
              <w:right w:val="nil"/>
            </w:tcBorders>
            <w:shd w:val="clear" w:color="auto" w:fill="auto"/>
            <w:noWrap/>
            <w:vAlign w:val="bottom"/>
            <w:hideMark/>
          </w:tcPr>
          <w:p w14:paraId="0C3F8D5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66%</w:t>
            </w:r>
          </w:p>
        </w:tc>
        <w:tc>
          <w:tcPr>
            <w:tcW w:w="1028" w:type="dxa"/>
            <w:tcBorders>
              <w:top w:val="nil"/>
              <w:left w:val="nil"/>
              <w:bottom w:val="nil"/>
              <w:right w:val="nil"/>
            </w:tcBorders>
            <w:shd w:val="clear" w:color="auto" w:fill="auto"/>
            <w:noWrap/>
            <w:vAlign w:val="bottom"/>
            <w:hideMark/>
          </w:tcPr>
          <w:p w14:paraId="0C3F8D6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24%</w:t>
            </w:r>
          </w:p>
        </w:tc>
        <w:tc>
          <w:tcPr>
            <w:tcW w:w="912" w:type="dxa"/>
            <w:tcBorders>
              <w:top w:val="nil"/>
              <w:left w:val="nil"/>
              <w:bottom w:val="nil"/>
              <w:right w:val="nil"/>
            </w:tcBorders>
            <w:shd w:val="clear" w:color="000000" w:fill="F2DCDB"/>
            <w:noWrap/>
            <w:vAlign w:val="bottom"/>
            <w:hideMark/>
          </w:tcPr>
          <w:p w14:paraId="0C3F8D6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D6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D74" w14:textId="77777777" w:rsidTr="00393ABA">
        <w:trPr>
          <w:trHeight w:val="300"/>
        </w:trPr>
        <w:tc>
          <w:tcPr>
            <w:tcW w:w="140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C3F8D6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Burnett-Mary</w:t>
            </w:r>
          </w:p>
        </w:tc>
        <w:tc>
          <w:tcPr>
            <w:tcW w:w="1120" w:type="dxa"/>
            <w:tcBorders>
              <w:top w:val="nil"/>
              <w:left w:val="nil"/>
              <w:bottom w:val="nil"/>
              <w:right w:val="single" w:sz="4" w:space="0" w:color="auto"/>
            </w:tcBorders>
            <w:shd w:val="clear" w:color="000000" w:fill="F2F2F2"/>
            <w:noWrap/>
            <w:vAlign w:val="center"/>
            <w:hideMark/>
          </w:tcPr>
          <w:p w14:paraId="0C3F8D6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6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74</w:t>
            </w:r>
          </w:p>
        </w:tc>
        <w:tc>
          <w:tcPr>
            <w:tcW w:w="735" w:type="dxa"/>
            <w:tcBorders>
              <w:top w:val="nil"/>
              <w:left w:val="nil"/>
              <w:bottom w:val="nil"/>
              <w:right w:val="nil"/>
            </w:tcBorders>
            <w:shd w:val="clear" w:color="auto" w:fill="auto"/>
            <w:noWrap/>
            <w:vAlign w:val="bottom"/>
            <w:hideMark/>
          </w:tcPr>
          <w:p w14:paraId="0C3F8D6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04" w:type="dxa"/>
            <w:tcBorders>
              <w:top w:val="nil"/>
              <w:left w:val="nil"/>
              <w:bottom w:val="nil"/>
              <w:right w:val="nil"/>
            </w:tcBorders>
            <w:shd w:val="clear" w:color="auto" w:fill="auto"/>
            <w:noWrap/>
            <w:vAlign w:val="bottom"/>
            <w:hideMark/>
          </w:tcPr>
          <w:p w14:paraId="0C3F8D6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774" w:type="dxa"/>
            <w:tcBorders>
              <w:top w:val="nil"/>
              <w:left w:val="nil"/>
              <w:bottom w:val="nil"/>
              <w:right w:val="nil"/>
            </w:tcBorders>
            <w:shd w:val="clear" w:color="auto" w:fill="auto"/>
            <w:noWrap/>
            <w:vAlign w:val="bottom"/>
            <w:hideMark/>
          </w:tcPr>
          <w:p w14:paraId="0C3F8D6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641" w:type="dxa"/>
            <w:tcBorders>
              <w:top w:val="nil"/>
              <w:left w:val="nil"/>
              <w:bottom w:val="nil"/>
              <w:right w:val="nil"/>
            </w:tcBorders>
            <w:shd w:val="clear" w:color="auto" w:fill="auto"/>
            <w:noWrap/>
            <w:vAlign w:val="bottom"/>
            <w:hideMark/>
          </w:tcPr>
          <w:p w14:paraId="0C3F8D6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785" w:type="dxa"/>
            <w:tcBorders>
              <w:top w:val="nil"/>
              <w:left w:val="nil"/>
              <w:bottom w:val="nil"/>
              <w:right w:val="nil"/>
            </w:tcBorders>
            <w:shd w:val="clear" w:color="auto" w:fill="auto"/>
            <w:noWrap/>
            <w:vAlign w:val="bottom"/>
            <w:hideMark/>
          </w:tcPr>
          <w:p w14:paraId="0C3F8D6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68</w:t>
            </w:r>
          </w:p>
        </w:tc>
        <w:tc>
          <w:tcPr>
            <w:tcW w:w="912" w:type="dxa"/>
            <w:tcBorders>
              <w:top w:val="nil"/>
              <w:left w:val="nil"/>
              <w:bottom w:val="nil"/>
              <w:right w:val="nil"/>
            </w:tcBorders>
            <w:shd w:val="clear" w:color="000000" w:fill="F2DCDB"/>
            <w:noWrap/>
            <w:vAlign w:val="bottom"/>
            <w:hideMark/>
          </w:tcPr>
          <w:p w14:paraId="0C3F8D6C"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75</w:t>
            </w:r>
          </w:p>
        </w:tc>
        <w:tc>
          <w:tcPr>
            <w:tcW w:w="912" w:type="dxa"/>
            <w:tcBorders>
              <w:top w:val="nil"/>
              <w:left w:val="nil"/>
              <w:bottom w:val="nil"/>
              <w:right w:val="single" w:sz="4" w:space="0" w:color="auto"/>
            </w:tcBorders>
            <w:shd w:val="clear" w:color="000000" w:fill="F2DCDB"/>
            <w:noWrap/>
            <w:vAlign w:val="bottom"/>
            <w:hideMark/>
          </w:tcPr>
          <w:p w14:paraId="0C3F8D6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723" w:type="dxa"/>
            <w:tcBorders>
              <w:top w:val="nil"/>
              <w:left w:val="nil"/>
              <w:bottom w:val="nil"/>
              <w:right w:val="nil"/>
            </w:tcBorders>
            <w:shd w:val="clear" w:color="auto" w:fill="auto"/>
            <w:noWrap/>
            <w:vAlign w:val="bottom"/>
            <w:hideMark/>
          </w:tcPr>
          <w:p w14:paraId="0C3F8D6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D6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w:t>
            </w:r>
          </w:p>
        </w:tc>
        <w:tc>
          <w:tcPr>
            <w:tcW w:w="622" w:type="dxa"/>
            <w:tcBorders>
              <w:top w:val="nil"/>
              <w:left w:val="nil"/>
              <w:bottom w:val="nil"/>
              <w:right w:val="nil"/>
            </w:tcBorders>
            <w:shd w:val="clear" w:color="auto" w:fill="auto"/>
            <w:noWrap/>
            <w:vAlign w:val="bottom"/>
            <w:hideMark/>
          </w:tcPr>
          <w:p w14:paraId="0C3F8D7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42</w:t>
            </w:r>
          </w:p>
        </w:tc>
        <w:tc>
          <w:tcPr>
            <w:tcW w:w="1028" w:type="dxa"/>
            <w:tcBorders>
              <w:top w:val="nil"/>
              <w:left w:val="nil"/>
              <w:bottom w:val="nil"/>
              <w:right w:val="nil"/>
            </w:tcBorders>
            <w:shd w:val="clear" w:color="auto" w:fill="auto"/>
            <w:noWrap/>
            <w:vAlign w:val="bottom"/>
            <w:hideMark/>
          </w:tcPr>
          <w:p w14:paraId="0C3F8D7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912" w:type="dxa"/>
            <w:tcBorders>
              <w:top w:val="nil"/>
              <w:left w:val="nil"/>
              <w:bottom w:val="nil"/>
              <w:right w:val="nil"/>
            </w:tcBorders>
            <w:shd w:val="clear" w:color="000000" w:fill="F2DCDB"/>
            <w:noWrap/>
            <w:vAlign w:val="bottom"/>
            <w:hideMark/>
          </w:tcPr>
          <w:p w14:paraId="0C3F8D7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74</w:t>
            </w:r>
          </w:p>
        </w:tc>
        <w:tc>
          <w:tcPr>
            <w:tcW w:w="912" w:type="dxa"/>
            <w:tcBorders>
              <w:top w:val="nil"/>
              <w:left w:val="nil"/>
              <w:bottom w:val="nil"/>
              <w:right w:val="single" w:sz="4" w:space="0" w:color="auto"/>
            </w:tcBorders>
            <w:shd w:val="clear" w:color="000000" w:fill="F2DCDB"/>
            <w:noWrap/>
            <w:vAlign w:val="bottom"/>
            <w:hideMark/>
          </w:tcPr>
          <w:p w14:paraId="0C3F8D7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r>
      <w:tr w:rsidR="00B6457B" w:rsidRPr="00393ABA" w14:paraId="0C3F8D85" w14:textId="77777777" w:rsidTr="00393ABA">
        <w:trPr>
          <w:trHeight w:val="300"/>
        </w:trPr>
        <w:tc>
          <w:tcPr>
            <w:tcW w:w="1407" w:type="dxa"/>
            <w:vMerge/>
            <w:tcBorders>
              <w:top w:val="nil"/>
              <w:left w:val="single" w:sz="4" w:space="0" w:color="auto"/>
              <w:bottom w:val="single" w:sz="4" w:space="0" w:color="000000"/>
              <w:right w:val="single" w:sz="4" w:space="0" w:color="auto"/>
            </w:tcBorders>
            <w:vAlign w:val="center"/>
            <w:hideMark/>
          </w:tcPr>
          <w:p w14:paraId="0C3F8D75"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single" w:sz="4" w:space="0" w:color="auto"/>
              <w:right w:val="single" w:sz="4" w:space="0" w:color="auto"/>
            </w:tcBorders>
            <w:shd w:val="clear" w:color="000000" w:fill="F2F2F2"/>
            <w:noWrap/>
            <w:vAlign w:val="center"/>
            <w:hideMark/>
          </w:tcPr>
          <w:p w14:paraId="0C3F8D7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single" w:sz="4" w:space="0" w:color="auto"/>
              <w:right w:val="single" w:sz="4" w:space="0" w:color="auto"/>
            </w:tcBorders>
            <w:shd w:val="clear" w:color="000000" w:fill="F2F2F2"/>
            <w:noWrap/>
            <w:vAlign w:val="bottom"/>
            <w:hideMark/>
          </w:tcPr>
          <w:p w14:paraId="0C3F8D7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single" w:sz="4" w:space="0" w:color="auto"/>
              <w:right w:val="nil"/>
            </w:tcBorders>
            <w:shd w:val="clear" w:color="auto" w:fill="auto"/>
            <w:noWrap/>
            <w:vAlign w:val="bottom"/>
            <w:hideMark/>
          </w:tcPr>
          <w:p w14:paraId="0C3F8D7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804" w:type="dxa"/>
            <w:tcBorders>
              <w:top w:val="nil"/>
              <w:left w:val="nil"/>
              <w:bottom w:val="single" w:sz="4" w:space="0" w:color="auto"/>
              <w:right w:val="nil"/>
            </w:tcBorders>
            <w:shd w:val="clear" w:color="auto" w:fill="auto"/>
            <w:noWrap/>
            <w:vAlign w:val="bottom"/>
            <w:hideMark/>
          </w:tcPr>
          <w:p w14:paraId="0C3F8D7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74" w:type="dxa"/>
            <w:tcBorders>
              <w:top w:val="nil"/>
              <w:left w:val="nil"/>
              <w:bottom w:val="single" w:sz="4" w:space="0" w:color="auto"/>
              <w:right w:val="nil"/>
            </w:tcBorders>
            <w:shd w:val="clear" w:color="auto" w:fill="auto"/>
            <w:noWrap/>
            <w:vAlign w:val="bottom"/>
            <w:hideMark/>
          </w:tcPr>
          <w:p w14:paraId="0C3F8D7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641" w:type="dxa"/>
            <w:tcBorders>
              <w:top w:val="nil"/>
              <w:left w:val="nil"/>
              <w:bottom w:val="single" w:sz="4" w:space="0" w:color="auto"/>
              <w:right w:val="nil"/>
            </w:tcBorders>
            <w:shd w:val="clear" w:color="auto" w:fill="auto"/>
            <w:noWrap/>
            <w:vAlign w:val="bottom"/>
            <w:hideMark/>
          </w:tcPr>
          <w:p w14:paraId="0C3F8D7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85" w:type="dxa"/>
            <w:tcBorders>
              <w:top w:val="nil"/>
              <w:left w:val="nil"/>
              <w:bottom w:val="single" w:sz="4" w:space="0" w:color="auto"/>
              <w:right w:val="nil"/>
            </w:tcBorders>
            <w:shd w:val="clear" w:color="auto" w:fill="auto"/>
            <w:noWrap/>
            <w:vAlign w:val="bottom"/>
            <w:hideMark/>
          </w:tcPr>
          <w:p w14:paraId="0C3F8D7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93%</w:t>
            </w:r>
          </w:p>
        </w:tc>
        <w:tc>
          <w:tcPr>
            <w:tcW w:w="912" w:type="dxa"/>
            <w:tcBorders>
              <w:top w:val="nil"/>
              <w:left w:val="nil"/>
              <w:bottom w:val="single" w:sz="4" w:space="0" w:color="auto"/>
              <w:right w:val="nil"/>
            </w:tcBorders>
            <w:shd w:val="clear" w:color="000000" w:fill="F2DCDB"/>
            <w:noWrap/>
            <w:vAlign w:val="bottom"/>
            <w:hideMark/>
          </w:tcPr>
          <w:p w14:paraId="0C3F8D7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single" w:sz="4" w:space="0" w:color="auto"/>
              <w:right w:val="nil"/>
            </w:tcBorders>
            <w:shd w:val="clear" w:color="000000" w:fill="F2DCDB"/>
            <w:noWrap/>
            <w:vAlign w:val="bottom"/>
            <w:hideMark/>
          </w:tcPr>
          <w:p w14:paraId="0C3F8D7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single" w:sz="4" w:space="0" w:color="auto"/>
              <w:right w:val="nil"/>
            </w:tcBorders>
            <w:shd w:val="clear" w:color="auto" w:fill="auto"/>
            <w:noWrap/>
            <w:vAlign w:val="bottom"/>
            <w:hideMark/>
          </w:tcPr>
          <w:p w14:paraId="0C3F8D7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single" w:sz="4" w:space="0" w:color="auto"/>
              <w:right w:val="nil"/>
            </w:tcBorders>
            <w:shd w:val="clear" w:color="auto" w:fill="auto"/>
            <w:noWrap/>
            <w:vAlign w:val="bottom"/>
            <w:hideMark/>
          </w:tcPr>
          <w:p w14:paraId="0C3F8D8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23%</w:t>
            </w:r>
          </w:p>
        </w:tc>
        <w:tc>
          <w:tcPr>
            <w:tcW w:w="622" w:type="dxa"/>
            <w:tcBorders>
              <w:top w:val="nil"/>
              <w:left w:val="nil"/>
              <w:bottom w:val="single" w:sz="4" w:space="0" w:color="auto"/>
              <w:right w:val="nil"/>
            </w:tcBorders>
            <w:shd w:val="clear" w:color="auto" w:fill="auto"/>
            <w:noWrap/>
            <w:vAlign w:val="bottom"/>
            <w:hideMark/>
          </w:tcPr>
          <w:p w14:paraId="0C3F8D8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57%</w:t>
            </w:r>
          </w:p>
        </w:tc>
        <w:tc>
          <w:tcPr>
            <w:tcW w:w="1028" w:type="dxa"/>
            <w:tcBorders>
              <w:top w:val="nil"/>
              <w:left w:val="nil"/>
              <w:bottom w:val="single" w:sz="4" w:space="0" w:color="auto"/>
              <w:right w:val="nil"/>
            </w:tcBorders>
            <w:shd w:val="clear" w:color="auto" w:fill="auto"/>
            <w:noWrap/>
            <w:vAlign w:val="bottom"/>
            <w:hideMark/>
          </w:tcPr>
          <w:p w14:paraId="0C3F8D8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912" w:type="dxa"/>
            <w:tcBorders>
              <w:top w:val="nil"/>
              <w:left w:val="nil"/>
              <w:bottom w:val="single" w:sz="4" w:space="0" w:color="auto"/>
              <w:right w:val="nil"/>
            </w:tcBorders>
            <w:shd w:val="clear" w:color="000000" w:fill="F2DCDB"/>
            <w:noWrap/>
            <w:vAlign w:val="bottom"/>
            <w:hideMark/>
          </w:tcPr>
          <w:p w14:paraId="0C3F8D8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single" w:sz="4" w:space="0" w:color="auto"/>
              <w:right w:val="single" w:sz="4" w:space="0" w:color="auto"/>
            </w:tcBorders>
            <w:shd w:val="clear" w:color="000000" w:fill="F2DCDB"/>
            <w:noWrap/>
            <w:vAlign w:val="bottom"/>
            <w:hideMark/>
          </w:tcPr>
          <w:p w14:paraId="0C3F8D8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D8F" w14:textId="77777777" w:rsidTr="00393ABA">
        <w:trPr>
          <w:trHeight w:val="300"/>
        </w:trPr>
        <w:tc>
          <w:tcPr>
            <w:tcW w:w="1407" w:type="dxa"/>
            <w:tcBorders>
              <w:top w:val="nil"/>
              <w:left w:val="nil"/>
              <w:bottom w:val="nil"/>
              <w:right w:val="nil"/>
            </w:tcBorders>
            <w:shd w:val="clear" w:color="auto" w:fill="auto"/>
            <w:noWrap/>
            <w:vAlign w:val="bottom"/>
          </w:tcPr>
          <w:p w14:paraId="0C3F8D86" w14:textId="77777777" w:rsidR="00B6457B" w:rsidRPr="00393ABA" w:rsidRDefault="00B6457B" w:rsidP="00393ABA">
            <w:pPr>
              <w:spacing w:after="120"/>
              <w:jc w:val="center"/>
              <w:rPr>
                <w:rFonts w:ascii="Calibri" w:hAnsi="Calibri" w:cs="Calibri"/>
                <w:color w:val="000000"/>
                <w:sz w:val="20"/>
                <w:szCs w:val="20"/>
              </w:rPr>
            </w:pPr>
          </w:p>
        </w:tc>
        <w:tc>
          <w:tcPr>
            <w:tcW w:w="1120" w:type="dxa"/>
            <w:tcBorders>
              <w:top w:val="nil"/>
              <w:left w:val="nil"/>
              <w:bottom w:val="nil"/>
              <w:right w:val="nil"/>
            </w:tcBorders>
            <w:shd w:val="clear" w:color="auto" w:fill="auto"/>
            <w:noWrap/>
            <w:vAlign w:val="bottom"/>
          </w:tcPr>
          <w:p w14:paraId="0C3F8D87" w14:textId="77777777" w:rsidR="00B6457B" w:rsidRPr="00393ABA" w:rsidRDefault="00B6457B" w:rsidP="00393ABA">
            <w:pPr>
              <w:spacing w:after="120"/>
              <w:jc w:val="center"/>
              <w:rPr>
                <w:rFonts w:ascii="Calibri" w:hAnsi="Calibri" w:cs="Calibri"/>
                <w:color w:val="000000"/>
                <w:sz w:val="20"/>
                <w:szCs w:val="20"/>
              </w:rPr>
            </w:pPr>
          </w:p>
        </w:tc>
        <w:tc>
          <w:tcPr>
            <w:tcW w:w="820" w:type="dxa"/>
            <w:tcBorders>
              <w:top w:val="nil"/>
              <w:left w:val="nil"/>
              <w:bottom w:val="nil"/>
              <w:right w:val="nil"/>
            </w:tcBorders>
            <w:shd w:val="clear" w:color="auto" w:fill="auto"/>
            <w:noWrap/>
            <w:vAlign w:val="bottom"/>
          </w:tcPr>
          <w:p w14:paraId="0C3F8D88" w14:textId="77777777" w:rsidR="00B6457B" w:rsidRPr="00393ABA" w:rsidRDefault="00B6457B" w:rsidP="00393ABA">
            <w:pPr>
              <w:spacing w:after="120"/>
              <w:jc w:val="center"/>
              <w:rPr>
                <w:rFonts w:ascii="Calibri" w:hAnsi="Calibri" w:cs="Calibri"/>
                <w:color w:val="000000"/>
                <w:sz w:val="20"/>
                <w:szCs w:val="20"/>
              </w:rPr>
            </w:pPr>
          </w:p>
        </w:tc>
        <w:tc>
          <w:tcPr>
            <w:tcW w:w="3739" w:type="dxa"/>
            <w:gridSpan w:val="5"/>
            <w:tcBorders>
              <w:top w:val="single" w:sz="4" w:space="0" w:color="auto"/>
              <w:left w:val="single" w:sz="4" w:space="0" w:color="auto"/>
              <w:bottom w:val="single" w:sz="4" w:space="0" w:color="auto"/>
              <w:right w:val="nil"/>
            </w:tcBorders>
            <w:shd w:val="clear" w:color="000000" w:fill="F2F2F2"/>
            <w:noWrap/>
            <w:vAlign w:val="bottom"/>
            <w:hideMark/>
          </w:tcPr>
          <w:p w14:paraId="0C3F8D8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River plume frequency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D8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D8B"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c>
          <w:tcPr>
            <w:tcW w:w="3291" w:type="dxa"/>
            <w:gridSpan w:val="4"/>
            <w:tcBorders>
              <w:top w:val="single" w:sz="4" w:space="0" w:color="auto"/>
              <w:left w:val="nil"/>
              <w:bottom w:val="single" w:sz="4" w:space="0" w:color="auto"/>
              <w:right w:val="nil"/>
            </w:tcBorders>
            <w:shd w:val="clear" w:color="000000" w:fill="F2F2F2"/>
            <w:noWrap/>
            <w:vAlign w:val="bottom"/>
            <w:hideMark/>
          </w:tcPr>
          <w:p w14:paraId="0C3F8D8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Potential risk category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D8D"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D8E"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r>
      <w:tr w:rsidR="00B6457B" w:rsidRPr="00393ABA" w14:paraId="0C3F8D9F" w14:textId="77777777" w:rsidTr="00393ABA">
        <w:trPr>
          <w:trHeight w:val="300"/>
        </w:trPr>
        <w:tc>
          <w:tcPr>
            <w:tcW w:w="2527" w:type="dxa"/>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0C3F8D90" w14:textId="77777777" w:rsidR="00B6457B" w:rsidRPr="00393ABA" w:rsidRDefault="00B6457B" w:rsidP="00C05A63">
            <w:pPr>
              <w:pStyle w:val="ListParagraph"/>
              <w:numPr>
                <w:ilvl w:val="0"/>
                <w:numId w:val="26"/>
              </w:numPr>
              <w:spacing w:before="0" w:after="120" w:line="276" w:lineRule="auto"/>
              <w:jc w:val="center"/>
              <w:rPr>
                <w:rFonts w:ascii="Calibri" w:hAnsi="Calibri" w:cs="Calibri"/>
                <w:b/>
                <w:bCs/>
                <w:color w:val="000000"/>
                <w:sz w:val="20"/>
                <w:szCs w:val="20"/>
              </w:rPr>
            </w:pPr>
            <w:r w:rsidRPr="00393ABA">
              <w:rPr>
                <w:rFonts w:ascii="Calibri" w:hAnsi="Calibri" w:cs="Calibri"/>
                <w:b/>
                <w:bCs/>
                <w:color w:val="000000"/>
                <w:sz w:val="20"/>
                <w:szCs w:val="20"/>
              </w:rPr>
              <w:t>Seagrass deep</w:t>
            </w:r>
          </w:p>
        </w:tc>
        <w:tc>
          <w:tcPr>
            <w:tcW w:w="820" w:type="dxa"/>
            <w:tcBorders>
              <w:top w:val="single" w:sz="4" w:space="0" w:color="auto"/>
              <w:left w:val="nil"/>
              <w:bottom w:val="nil"/>
              <w:right w:val="single" w:sz="4" w:space="0" w:color="auto"/>
            </w:tcBorders>
            <w:shd w:val="clear" w:color="000000" w:fill="F2F2F2"/>
            <w:noWrap/>
            <w:vAlign w:val="bottom"/>
            <w:hideMark/>
          </w:tcPr>
          <w:p w14:paraId="0C3F8D9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Tot</w:t>
            </w:r>
          </w:p>
        </w:tc>
        <w:tc>
          <w:tcPr>
            <w:tcW w:w="735" w:type="dxa"/>
            <w:tcBorders>
              <w:top w:val="nil"/>
              <w:left w:val="nil"/>
              <w:bottom w:val="single" w:sz="4" w:space="0" w:color="auto"/>
              <w:right w:val="nil"/>
            </w:tcBorders>
            <w:shd w:val="clear" w:color="000000" w:fill="F2F2F2"/>
            <w:noWrap/>
            <w:vAlign w:val="bottom"/>
            <w:hideMark/>
          </w:tcPr>
          <w:p w14:paraId="0C3F8D92" w14:textId="77777777" w:rsidR="00B6457B" w:rsidRPr="00393ABA" w:rsidRDefault="00B6457B" w:rsidP="00393ABA">
            <w:pPr>
              <w:spacing w:after="120"/>
              <w:jc w:val="center"/>
              <w:rPr>
                <w:rFonts w:ascii="Calibri" w:hAnsi="Calibri" w:cs="Calibri"/>
                <w:b/>
                <w:bCs/>
                <w:color w:val="1F497D"/>
                <w:sz w:val="20"/>
                <w:szCs w:val="20"/>
              </w:rPr>
            </w:pPr>
            <w:r w:rsidRPr="00393ABA">
              <w:rPr>
                <w:rFonts w:ascii="Calibri" w:hAnsi="Calibri" w:cs="Calibri"/>
                <w:b/>
                <w:bCs/>
                <w:color w:val="1F497D"/>
                <w:sz w:val="20"/>
                <w:szCs w:val="20"/>
              </w:rPr>
              <w:t>Rare</w:t>
            </w:r>
          </w:p>
        </w:tc>
        <w:tc>
          <w:tcPr>
            <w:tcW w:w="804" w:type="dxa"/>
            <w:tcBorders>
              <w:top w:val="nil"/>
              <w:left w:val="nil"/>
              <w:bottom w:val="single" w:sz="4" w:space="0" w:color="auto"/>
              <w:right w:val="nil"/>
            </w:tcBorders>
            <w:shd w:val="clear" w:color="000000" w:fill="F2F2F2"/>
            <w:noWrap/>
            <w:vAlign w:val="bottom"/>
            <w:hideMark/>
          </w:tcPr>
          <w:p w14:paraId="0C3F8D93" w14:textId="77777777" w:rsidR="00B6457B" w:rsidRPr="00393ABA" w:rsidRDefault="00B6457B" w:rsidP="00393ABA">
            <w:pPr>
              <w:spacing w:after="120"/>
              <w:jc w:val="center"/>
              <w:rPr>
                <w:rFonts w:ascii="Calibri" w:hAnsi="Calibri" w:cs="Calibri"/>
                <w:b/>
                <w:bCs/>
                <w:color w:val="31869B"/>
                <w:sz w:val="20"/>
                <w:szCs w:val="20"/>
              </w:rPr>
            </w:pPr>
            <w:r w:rsidRPr="00393ABA">
              <w:rPr>
                <w:rFonts w:ascii="Calibri" w:hAnsi="Calibri" w:cs="Calibri"/>
                <w:b/>
                <w:bCs/>
                <w:color w:val="31869B"/>
                <w:sz w:val="20"/>
                <w:szCs w:val="20"/>
              </w:rPr>
              <w:t>Infreq.</w:t>
            </w:r>
          </w:p>
        </w:tc>
        <w:tc>
          <w:tcPr>
            <w:tcW w:w="774" w:type="dxa"/>
            <w:tcBorders>
              <w:top w:val="nil"/>
              <w:left w:val="nil"/>
              <w:bottom w:val="single" w:sz="4" w:space="0" w:color="auto"/>
              <w:right w:val="nil"/>
            </w:tcBorders>
            <w:shd w:val="clear" w:color="000000" w:fill="F2F2F2"/>
            <w:noWrap/>
            <w:vAlign w:val="bottom"/>
            <w:hideMark/>
          </w:tcPr>
          <w:p w14:paraId="0C3F8D94" w14:textId="77777777" w:rsidR="00B6457B" w:rsidRPr="00393ABA" w:rsidRDefault="00B6457B" w:rsidP="00393ABA">
            <w:pPr>
              <w:spacing w:after="120"/>
              <w:jc w:val="center"/>
              <w:rPr>
                <w:rFonts w:ascii="Calibri" w:hAnsi="Calibri" w:cs="Calibri"/>
                <w:b/>
                <w:bCs/>
                <w:color w:val="FFC000"/>
                <w:sz w:val="20"/>
                <w:szCs w:val="20"/>
              </w:rPr>
            </w:pPr>
            <w:r w:rsidRPr="00393ABA">
              <w:rPr>
                <w:rFonts w:ascii="Calibri" w:hAnsi="Calibri" w:cs="Calibri"/>
                <w:b/>
                <w:bCs/>
                <w:color w:val="FFC000"/>
                <w:sz w:val="20"/>
                <w:szCs w:val="20"/>
              </w:rPr>
              <w:t>Occas.</w:t>
            </w:r>
          </w:p>
        </w:tc>
        <w:tc>
          <w:tcPr>
            <w:tcW w:w="641" w:type="dxa"/>
            <w:tcBorders>
              <w:top w:val="nil"/>
              <w:left w:val="nil"/>
              <w:bottom w:val="single" w:sz="4" w:space="0" w:color="auto"/>
              <w:right w:val="nil"/>
            </w:tcBorders>
            <w:shd w:val="clear" w:color="000000" w:fill="F2F2F2"/>
            <w:noWrap/>
            <w:vAlign w:val="bottom"/>
            <w:hideMark/>
          </w:tcPr>
          <w:p w14:paraId="0C3F8D95" w14:textId="77777777" w:rsidR="00B6457B" w:rsidRPr="00393ABA" w:rsidRDefault="00B6457B" w:rsidP="00393ABA">
            <w:pPr>
              <w:spacing w:after="120"/>
              <w:jc w:val="center"/>
              <w:rPr>
                <w:rFonts w:ascii="Calibri" w:hAnsi="Calibri" w:cs="Calibri"/>
                <w:b/>
                <w:bCs/>
                <w:color w:val="F79646"/>
                <w:sz w:val="20"/>
                <w:szCs w:val="20"/>
              </w:rPr>
            </w:pPr>
            <w:r w:rsidRPr="00393ABA">
              <w:rPr>
                <w:rFonts w:ascii="Calibri" w:hAnsi="Calibri" w:cs="Calibri"/>
                <w:b/>
                <w:bCs/>
                <w:color w:val="F79646"/>
                <w:sz w:val="20"/>
                <w:szCs w:val="20"/>
              </w:rPr>
              <w:t>Freq.</w:t>
            </w:r>
          </w:p>
        </w:tc>
        <w:tc>
          <w:tcPr>
            <w:tcW w:w="785" w:type="dxa"/>
            <w:tcBorders>
              <w:top w:val="nil"/>
              <w:left w:val="nil"/>
              <w:bottom w:val="single" w:sz="4" w:space="0" w:color="auto"/>
              <w:right w:val="nil"/>
            </w:tcBorders>
            <w:shd w:val="clear" w:color="000000" w:fill="F2F2F2"/>
            <w:noWrap/>
            <w:vAlign w:val="bottom"/>
            <w:hideMark/>
          </w:tcPr>
          <w:p w14:paraId="0C3F8D96" w14:textId="77777777" w:rsidR="00B6457B" w:rsidRPr="00393ABA" w:rsidRDefault="00B6457B" w:rsidP="00393ABA">
            <w:pPr>
              <w:spacing w:after="120"/>
              <w:jc w:val="center"/>
              <w:rPr>
                <w:rFonts w:ascii="Calibri" w:hAnsi="Calibri" w:cs="Calibri"/>
                <w:b/>
                <w:bCs/>
                <w:color w:val="FF0000"/>
                <w:sz w:val="20"/>
                <w:szCs w:val="20"/>
              </w:rPr>
            </w:pPr>
            <w:r w:rsidRPr="00393ABA">
              <w:rPr>
                <w:rFonts w:ascii="Calibri" w:hAnsi="Calibri" w:cs="Calibri"/>
                <w:b/>
                <w:bCs/>
                <w:color w:val="FF0000"/>
                <w:sz w:val="20"/>
                <w:szCs w:val="20"/>
              </w:rPr>
              <w:t>V.Freq</w:t>
            </w:r>
          </w:p>
        </w:tc>
        <w:tc>
          <w:tcPr>
            <w:tcW w:w="912" w:type="dxa"/>
            <w:vMerge/>
            <w:tcBorders>
              <w:top w:val="single" w:sz="4" w:space="0" w:color="auto"/>
              <w:left w:val="nil"/>
              <w:bottom w:val="single" w:sz="4" w:space="0" w:color="000000"/>
              <w:right w:val="nil"/>
            </w:tcBorders>
            <w:vAlign w:val="center"/>
            <w:hideMark/>
          </w:tcPr>
          <w:p w14:paraId="0C3F8D97"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D98" w14:textId="77777777" w:rsidR="00B6457B" w:rsidRPr="00393ABA" w:rsidRDefault="00B6457B" w:rsidP="00393ABA">
            <w:pPr>
              <w:spacing w:after="120"/>
              <w:jc w:val="left"/>
              <w:rPr>
                <w:rFonts w:ascii="Calibri" w:hAnsi="Calibri" w:cs="Calibri"/>
                <w:b/>
                <w:bCs/>
                <w:sz w:val="20"/>
                <w:szCs w:val="20"/>
              </w:rPr>
            </w:pPr>
          </w:p>
        </w:tc>
        <w:tc>
          <w:tcPr>
            <w:tcW w:w="723" w:type="dxa"/>
            <w:tcBorders>
              <w:top w:val="nil"/>
              <w:left w:val="nil"/>
              <w:bottom w:val="nil"/>
              <w:right w:val="nil"/>
            </w:tcBorders>
            <w:shd w:val="clear" w:color="000000" w:fill="0070C0"/>
            <w:noWrap/>
            <w:vAlign w:val="bottom"/>
            <w:hideMark/>
          </w:tcPr>
          <w:p w14:paraId="0C3F8D99"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w:t>
            </w:r>
          </w:p>
        </w:tc>
        <w:tc>
          <w:tcPr>
            <w:tcW w:w="918" w:type="dxa"/>
            <w:tcBorders>
              <w:top w:val="nil"/>
              <w:left w:val="nil"/>
              <w:bottom w:val="nil"/>
              <w:right w:val="nil"/>
            </w:tcBorders>
            <w:shd w:val="clear" w:color="000000" w:fill="00B050"/>
            <w:noWrap/>
            <w:vAlign w:val="bottom"/>
            <w:hideMark/>
          </w:tcPr>
          <w:p w14:paraId="0C3F8D9A"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w:t>
            </w:r>
          </w:p>
        </w:tc>
        <w:tc>
          <w:tcPr>
            <w:tcW w:w="622" w:type="dxa"/>
            <w:tcBorders>
              <w:top w:val="nil"/>
              <w:left w:val="nil"/>
              <w:bottom w:val="nil"/>
              <w:right w:val="nil"/>
            </w:tcBorders>
            <w:shd w:val="clear" w:color="000000" w:fill="FF0000"/>
            <w:noWrap/>
            <w:vAlign w:val="bottom"/>
            <w:hideMark/>
          </w:tcPr>
          <w:p w14:paraId="0C3F8D9B"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III</w:t>
            </w:r>
          </w:p>
        </w:tc>
        <w:tc>
          <w:tcPr>
            <w:tcW w:w="1028" w:type="dxa"/>
            <w:tcBorders>
              <w:top w:val="nil"/>
              <w:left w:val="nil"/>
              <w:bottom w:val="nil"/>
              <w:right w:val="nil"/>
            </w:tcBorders>
            <w:shd w:val="clear" w:color="000000" w:fill="C00000"/>
            <w:noWrap/>
            <w:vAlign w:val="bottom"/>
            <w:hideMark/>
          </w:tcPr>
          <w:p w14:paraId="0C3F8D9C"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IV</w:t>
            </w:r>
          </w:p>
        </w:tc>
        <w:tc>
          <w:tcPr>
            <w:tcW w:w="912" w:type="dxa"/>
            <w:vMerge/>
            <w:tcBorders>
              <w:top w:val="single" w:sz="4" w:space="0" w:color="auto"/>
              <w:left w:val="nil"/>
              <w:bottom w:val="single" w:sz="4" w:space="0" w:color="000000"/>
              <w:right w:val="nil"/>
            </w:tcBorders>
            <w:vAlign w:val="center"/>
            <w:hideMark/>
          </w:tcPr>
          <w:p w14:paraId="0C3F8D9D"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D9E" w14:textId="77777777" w:rsidR="00B6457B" w:rsidRPr="00393ABA" w:rsidRDefault="00B6457B" w:rsidP="00393ABA">
            <w:pPr>
              <w:spacing w:after="120"/>
              <w:jc w:val="left"/>
              <w:rPr>
                <w:rFonts w:ascii="Calibri" w:hAnsi="Calibri" w:cs="Calibri"/>
                <w:b/>
                <w:bCs/>
                <w:sz w:val="20"/>
                <w:szCs w:val="20"/>
              </w:rPr>
            </w:pPr>
          </w:p>
        </w:tc>
      </w:tr>
      <w:tr w:rsidR="00B6457B" w:rsidRPr="00393ABA" w14:paraId="0C3F8DB0" w14:textId="77777777" w:rsidTr="00393ABA">
        <w:trPr>
          <w:trHeight w:val="70"/>
        </w:trPr>
        <w:tc>
          <w:tcPr>
            <w:tcW w:w="1407" w:type="dxa"/>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C3F8DA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GBR</w:t>
            </w:r>
          </w:p>
        </w:tc>
        <w:tc>
          <w:tcPr>
            <w:tcW w:w="1120" w:type="dxa"/>
            <w:tcBorders>
              <w:top w:val="single" w:sz="4" w:space="0" w:color="auto"/>
              <w:left w:val="single" w:sz="4" w:space="0" w:color="auto"/>
              <w:bottom w:val="nil"/>
              <w:right w:val="single" w:sz="4" w:space="0" w:color="auto"/>
            </w:tcBorders>
            <w:shd w:val="clear" w:color="000000" w:fill="F2F2F2"/>
            <w:noWrap/>
            <w:vAlign w:val="center"/>
            <w:hideMark/>
          </w:tcPr>
          <w:p w14:paraId="0C3F8DA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 xml:space="preserve">area </w:t>
            </w:r>
          </w:p>
        </w:tc>
        <w:tc>
          <w:tcPr>
            <w:tcW w:w="820" w:type="dxa"/>
            <w:tcBorders>
              <w:top w:val="single" w:sz="4" w:space="0" w:color="auto"/>
              <w:left w:val="nil"/>
              <w:bottom w:val="nil"/>
              <w:right w:val="single" w:sz="4" w:space="0" w:color="auto"/>
            </w:tcBorders>
            <w:shd w:val="clear" w:color="000000" w:fill="F2F2F2"/>
            <w:noWrap/>
            <w:vAlign w:val="bottom"/>
            <w:hideMark/>
          </w:tcPr>
          <w:p w14:paraId="0C3F8DA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31632</w:t>
            </w:r>
          </w:p>
        </w:tc>
        <w:tc>
          <w:tcPr>
            <w:tcW w:w="735" w:type="dxa"/>
            <w:tcBorders>
              <w:top w:val="nil"/>
              <w:left w:val="nil"/>
              <w:bottom w:val="nil"/>
              <w:right w:val="nil"/>
            </w:tcBorders>
            <w:shd w:val="clear" w:color="auto" w:fill="auto"/>
            <w:noWrap/>
            <w:vAlign w:val="bottom"/>
            <w:hideMark/>
          </w:tcPr>
          <w:p w14:paraId="0C3F8DA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10058</w:t>
            </w:r>
          </w:p>
        </w:tc>
        <w:tc>
          <w:tcPr>
            <w:tcW w:w="804" w:type="dxa"/>
            <w:tcBorders>
              <w:top w:val="nil"/>
              <w:left w:val="nil"/>
              <w:bottom w:val="nil"/>
              <w:right w:val="nil"/>
            </w:tcBorders>
            <w:shd w:val="clear" w:color="auto" w:fill="auto"/>
            <w:noWrap/>
            <w:vAlign w:val="bottom"/>
            <w:hideMark/>
          </w:tcPr>
          <w:p w14:paraId="0C3F8DA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5800</w:t>
            </w:r>
          </w:p>
        </w:tc>
        <w:tc>
          <w:tcPr>
            <w:tcW w:w="774" w:type="dxa"/>
            <w:tcBorders>
              <w:top w:val="nil"/>
              <w:left w:val="nil"/>
              <w:bottom w:val="nil"/>
              <w:right w:val="nil"/>
            </w:tcBorders>
            <w:shd w:val="clear" w:color="auto" w:fill="auto"/>
            <w:noWrap/>
            <w:vAlign w:val="bottom"/>
            <w:hideMark/>
          </w:tcPr>
          <w:p w14:paraId="0C3F8DA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5783</w:t>
            </w:r>
          </w:p>
        </w:tc>
        <w:tc>
          <w:tcPr>
            <w:tcW w:w="641" w:type="dxa"/>
            <w:tcBorders>
              <w:top w:val="nil"/>
              <w:left w:val="nil"/>
              <w:bottom w:val="nil"/>
              <w:right w:val="nil"/>
            </w:tcBorders>
            <w:shd w:val="clear" w:color="auto" w:fill="auto"/>
            <w:noWrap/>
            <w:vAlign w:val="bottom"/>
            <w:hideMark/>
          </w:tcPr>
          <w:p w14:paraId="0C3F8DA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3881</w:t>
            </w:r>
          </w:p>
        </w:tc>
        <w:tc>
          <w:tcPr>
            <w:tcW w:w="785" w:type="dxa"/>
            <w:tcBorders>
              <w:top w:val="nil"/>
              <w:left w:val="nil"/>
              <w:bottom w:val="nil"/>
              <w:right w:val="nil"/>
            </w:tcBorders>
            <w:shd w:val="clear" w:color="auto" w:fill="auto"/>
            <w:noWrap/>
            <w:vAlign w:val="bottom"/>
            <w:hideMark/>
          </w:tcPr>
          <w:p w14:paraId="0C3F8DA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2618</w:t>
            </w:r>
          </w:p>
        </w:tc>
        <w:tc>
          <w:tcPr>
            <w:tcW w:w="912" w:type="dxa"/>
            <w:tcBorders>
              <w:top w:val="nil"/>
              <w:left w:val="nil"/>
              <w:bottom w:val="nil"/>
              <w:right w:val="nil"/>
            </w:tcBorders>
            <w:shd w:val="clear" w:color="000000" w:fill="F2DCDB"/>
            <w:noWrap/>
            <w:vAlign w:val="bottom"/>
            <w:hideMark/>
          </w:tcPr>
          <w:p w14:paraId="0C3F8DA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28141</w:t>
            </w:r>
          </w:p>
        </w:tc>
        <w:tc>
          <w:tcPr>
            <w:tcW w:w="912" w:type="dxa"/>
            <w:tcBorders>
              <w:top w:val="nil"/>
              <w:left w:val="nil"/>
              <w:bottom w:val="nil"/>
              <w:right w:val="single" w:sz="4" w:space="0" w:color="auto"/>
            </w:tcBorders>
            <w:shd w:val="clear" w:color="000000" w:fill="F2DCDB"/>
            <w:noWrap/>
            <w:vAlign w:val="bottom"/>
            <w:hideMark/>
          </w:tcPr>
          <w:p w14:paraId="0C3F8DA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3491</w:t>
            </w:r>
          </w:p>
        </w:tc>
        <w:tc>
          <w:tcPr>
            <w:tcW w:w="723" w:type="dxa"/>
            <w:tcBorders>
              <w:top w:val="single" w:sz="4" w:space="0" w:color="auto"/>
              <w:left w:val="nil"/>
              <w:bottom w:val="nil"/>
              <w:right w:val="nil"/>
            </w:tcBorders>
            <w:shd w:val="clear" w:color="auto" w:fill="auto"/>
            <w:noWrap/>
            <w:vAlign w:val="bottom"/>
            <w:hideMark/>
          </w:tcPr>
          <w:p w14:paraId="0C3F8DA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15001</w:t>
            </w:r>
          </w:p>
        </w:tc>
        <w:tc>
          <w:tcPr>
            <w:tcW w:w="918" w:type="dxa"/>
            <w:tcBorders>
              <w:top w:val="single" w:sz="4" w:space="0" w:color="auto"/>
              <w:left w:val="nil"/>
              <w:bottom w:val="nil"/>
              <w:right w:val="nil"/>
            </w:tcBorders>
            <w:shd w:val="clear" w:color="auto" w:fill="auto"/>
            <w:noWrap/>
            <w:vAlign w:val="bottom"/>
            <w:hideMark/>
          </w:tcPr>
          <w:p w14:paraId="0C3F8DA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12596</w:t>
            </w:r>
          </w:p>
        </w:tc>
        <w:tc>
          <w:tcPr>
            <w:tcW w:w="622" w:type="dxa"/>
            <w:tcBorders>
              <w:top w:val="single" w:sz="4" w:space="0" w:color="auto"/>
              <w:left w:val="nil"/>
              <w:bottom w:val="nil"/>
              <w:right w:val="nil"/>
            </w:tcBorders>
            <w:shd w:val="clear" w:color="auto" w:fill="auto"/>
            <w:noWrap/>
            <w:vAlign w:val="bottom"/>
            <w:hideMark/>
          </w:tcPr>
          <w:p w14:paraId="0C3F8DA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548</w:t>
            </w:r>
          </w:p>
        </w:tc>
        <w:tc>
          <w:tcPr>
            <w:tcW w:w="1028" w:type="dxa"/>
            <w:tcBorders>
              <w:top w:val="single" w:sz="4" w:space="0" w:color="auto"/>
              <w:left w:val="nil"/>
              <w:bottom w:val="nil"/>
              <w:right w:val="nil"/>
            </w:tcBorders>
            <w:shd w:val="clear" w:color="auto" w:fill="auto"/>
            <w:noWrap/>
            <w:vAlign w:val="bottom"/>
            <w:hideMark/>
          </w:tcPr>
          <w:p w14:paraId="0C3F8DA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912" w:type="dxa"/>
            <w:tcBorders>
              <w:top w:val="nil"/>
              <w:left w:val="nil"/>
              <w:bottom w:val="nil"/>
              <w:right w:val="nil"/>
            </w:tcBorders>
            <w:shd w:val="clear" w:color="000000" w:fill="F2DCDB"/>
            <w:noWrap/>
            <w:vAlign w:val="bottom"/>
            <w:hideMark/>
          </w:tcPr>
          <w:p w14:paraId="0C3F8DA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28145</w:t>
            </w:r>
          </w:p>
        </w:tc>
        <w:tc>
          <w:tcPr>
            <w:tcW w:w="912" w:type="dxa"/>
            <w:tcBorders>
              <w:top w:val="nil"/>
              <w:left w:val="nil"/>
              <w:bottom w:val="nil"/>
              <w:right w:val="single" w:sz="4" w:space="0" w:color="auto"/>
            </w:tcBorders>
            <w:shd w:val="clear" w:color="000000" w:fill="F2DCDB"/>
            <w:noWrap/>
            <w:vAlign w:val="bottom"/>
            <w:hideMark/>
          </w:tcPr>
          <w:p w14:paraId="0C3F8DA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3487</w:t>
            </w:r>
          </w:p>
        </w:tc>
      </w:tr>
      <w:tr w:rsidR="00B6457B" w:rsidRPr="00393ABA" w14:paraId="0C3F8DC1" w14:textId="77777777" w:rsidTr="00393ABA">
        <w:trPr>
          <w:trHeight w:val="315"/>
        </w:trPr>
        <w:tc>
          <w:tcPr>
            <w:tcW w:w="1407" w:type="dxa"/>
            <w:vMerge/>
            <w:tcBorders>
              <w:top w:val="single" w:sz="4" w:space="0" w:color="auto"/>
              <w:left w:val="single" w:sz="4" w:space="0" w:color="auto"/>
              <w:bottom w:val="double" w:sz="6" w:space="0" w:color="000000"/>
              <w:right w:val="nil"/>
            </w:tcBorders>
            <w:vAlign w:val="center"/>
            <w:hideMark/>
          </w:tcPr>
          <w:p w14:paraId="0C3F8DB1"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double" w:sz="6" w:space="0" w:color="auto"/>
              <w:right w:val="single" w:sz="4" w:space="0" w:color="auto"/>
            </w:tcBorders>
            <w:shd w:val="clear" w:color="000000" w:fill="F2F2F2"/>
            <w:noWrap/>
            <w:vAlign w:val="center"/>
            <w:hideMark/>
          </w:tcPr>
          <w:p w14:paraId="0C3F8DB2"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w:t>
            </w:r>
          </w:p>
        </w:tc>
        <w:tc>
          <w:tcPr>
            <w:tcW w:w="820" w:type="dxa"/>
            <w:tcBorders>
              <w:top w:val="nil"/>
              <w:left w:val="nil"/>
              <w:bottom w:val="double" w:sz="6" w:space="0" w:color="auto"/>
              <w:right w:val="single" w:sz="4" w:space="0" w:color="auto"/>
            </w:tcBorders>
            <w:shd w:val="clear" w:color="000000" w:fill="F2F2F2"/>
            <w:noWrap/>
            <w:vAlign w:val="bottom"/>
            <w:hideMark/>
          </w:tcPr>
          <w:p w14:paraId="0C3F8DB3"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100%</w:t>
            </w:r>
          </w:p>
        </w:tc>
        <w:tc>
          <w:tcPr>
            <w:tcW w:w="735" w:type="dxa"/>
            <w:tcBorders>
              <w:top w:val="nil"/>
              <w:left w:val="nil"/>
              <w:bottom w:val="double" w:sz="6" w:space="0" w:color="auto"/>
              <w:right w:val="nil"/>
            </w:tcBorders>
            <w:shd w:val="clear" w:color="auto" w:fill="auto"/>
            <w:noWrap/>
            <w:vAlign w:val="bottom"/>
            <w:hideMark/>
          </w:tcPr>
          <w:p w14:paraId="0C3F8DB4"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32%</w:t>
            </w:r>
          </w:p>
        </w:tc>
        <w:tc>
          <w:tcPr>
            <w:tcW w:w="804" w:type="dxa"/>
            <w:tcBorders>
              <w:top w:val="nil"/>
              <w:left w:val="nil"/>
              <w:bottom w:val="double" w:sz="6" w:space="0" w:color="auto"/>
              <w:right w:val="nil"/>
            </w:tcBorders>
            <w:shd w:val="clear" w:color="auto" w:fill="auto"/>
            <w:noWrap/>
            <w:vAlign w:val="bottom"/>
            <w:hideMark/>
          </w:tcPr>
          <w:p w14:paraId="0C3F8DB5"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18%</w:t>
            </w:r>
          </w:p>
        </w:tc>
        <w:tc>
          <w:tcPr>
            <w:tcW w:w="774" w:type="dxa"/>
            <w:tcBorders>
              <w:top w:val="nil"/>
              <w:left w:val="nil"/>
              <w:bottom w:val="double" w:sz="6" w:space="0" w:color="auto"/>
              <w:right w:val="nil"/>
            </w:tcBorders>
            <w:shd w:val="clear" w:color="auto" w:fill="auto"/>
            <w:noWrap/>
            <w:vAlign w:val="bottom"/>
            <w:hideMark/>
          </w:tcPr>
          <w:p w14:paraId="0C3F8DB6"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18%</w:t>
            </w:r>
          </w:p>
        </w:tc>
        <w:tc>
          <w:tcPr>
            <w:tcW w:w="641" w:type="dxa"/>
            <w:tcBorders>
              <w:top w:val="nil"/>
              <w:left w:val="nil"/>
              <w:bottom w:val="double" w:sz="6" w:space="0" w:color="auto"/>
              <w:right w:val="nil"/>
            </w:tcBorders>
            <w:shd w:val="clear" w:color="auto" w:fill="auto"/>
            <w:noWrap/>
            <w:vAlign w:val="bottom"/>
            <w:hideMark/>
          </w:tcPr>
          <w:p w14:paraId="0C3F8DB7"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12%</w:t>
            </w:r>
          </w:p>
        </w:tc>
        <w:tc>
          <w:tcPr>
            <w:tcW w:w="785" w:type="dxa"/>
            <w:tcBorders>
              <w:top w:val="nil"/>
              <w:left w:val="nil"/>
              <w:bottom w:val="double" w:sz="6" w:space="0" w:color="auto"/>
              <w:right w:val="nil"/>
            </w:tcBorders>
            <w:shd w:val="clear" w:color="auto" w:fill="auto"/>
            <w:noWrap/>
            <w:vAlign w:val="bottom"/>
            <w:hideMark/>
          </w:tcPr>
          <w:p w14:paraId="0C3F8DB8"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8%</w:t>
            </w:r>
          </w:p>
        </w:tc>
        <w:tc>
          <w:tcPr>
            <w:tcW w:w="912" w:type="dxa"/>
            <w:tcBorders>
              <w:top w:val="nil"/>
              <w:left w:val="nil"/>
              <w:bottom w:val="double" w:sz="6" w:space="0" w:color="auto"/>
              <w:right w:val="nil"/>
            </w:tcBorders>
            <w:shd w:val="clear" w:color="000000" w:fill="F2DCDB"/>
            <w:noWrap/>
            <w:vAlign w:val="bottom"/>
            <w:hideMark/>
          </w:tcPr>
          <w:p w14:paraId="0C3F8DB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89%</w:t>
            </w:r>
          </w:p>
        </w:tc>
        <w:tc>
          <w:tcPr>
            <w:tcW w:w="912" w:type="dxa"/>
            <w:tcBorders>
              <w:top w:val="nil"/>
              <w:left w:val="nil"/>
              <w:bottom w:val="double" w:sz="6" w:space="0" w:color="auto"/>
              <w:right w:val="nil"/>
            </w:tcBorders>
            <w:shd w:val="clear" w:color="000000" w:fill="F2DCDB"/>
            <w:noWrap/>
            <w:vAlign w:val="bottom"/>
            <w:hideMark/>
          </w:tcPr>
          <w:p w14:paraId="0C3F8DB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11%</w:t>
            </w:r>
          </w:p>
        </w:tc>
        <w:tc>
          <w:tcPr>
            <w:tcW w:w="723" w:type="dxa"/>
            <w:tcBorders>
              <w:top w:val="nil"/>
              <w:left w:val="single" w:sz="4" w:space="0" w:color="auto"/>
              <w:bottom w:val="double" w:sz="6" w:space="0" w:color="auto"/>
              <w:right w:val="nil"/>
            </w:tcBorders>
            <w:shd w:val="clear" w:color="auto" w:fill="auto"/>
            <w:noWrap/>
            <w:vAlign w:val="bottom"/>
            <w:hideMark/>
          </w:tcPr>
          <w:p w14:paraId="0C3F8DBB"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47%</w:t>
            </w:r>
          </w:p>
        </w:tc>
        <w:tc>
          <w:tcPr>
            <w:tcW w:w="918" w:type="dxa"/>
            <w:tcBorders>
              <w:top w:val="nil"/>
              <w:left w:val="nil"/>
              <w:bottom w:val="double" w:sz="6" w:space="0" w:color="auto"/>
              <w:right w:val="nil"/>
            </w:tcBorders>
            <w:shd w:val="clear" w:color="auto" w:fill="auto"/>
            <w:noWrap/>
            <w:vAlign w:val="bottom"/>
            <w:hideMark/>
          </w:tcPr>
          <w:p w14:paraId="0C3F8DBC"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40%</w:t>
            </w:r>
          </w:p>
        </w:tc>
        <w:tc>
          <w:tcPr>
            <w:tcW w:w="622" w:type="dxa"/>
            <w:tcBorders>
              <w:top w:val="nil"/>
              <w:left w:val="nil"/>
              <w:bottom w:val="double" w:sz="6" w:space="0" w:color="auto"/>
              <w:right w:val="nil"/>
            </w:tcBorders>
            <w:shd w:val="clear" w:color="auto" w:fill="auto"/>
            <w:noWrap/>
            <w:vAlign w:val="bottom"/>
            <w:hideMark/>
          </w:tcPr>
          <w:p w14:paraId="0C3F8DBD"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2%</w:t>
            </w:r>
          </w:p>
        </w:tc>
        <w:tc>
          <w:tcPr>
            <w:tcW w:w="1028" w:type="dxa"/>
            <w:tcBorders>
              <w:top w:val="nil"/>
              <w:left w:val="nil"/>
              <w:bottom w:val="double" w:sz="6" w:space="0" w:color="auto"/>
              <w:right w:val="nil"/>
            </w:tcBorders>
            <w:shd w:val="clear" w:color="auto" w:fill="auto"/>
            <w:noWrap/>
            <w:vAlign w:val="bottom"/>
            <w:hideMark/>
          </w:tcPr>
          <w:p w14:paraId="0C3F8DBE"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0%</w:t>
            </w:r>
          </w:p>
        </w:tc>
        <w:tc>
          <w:tcPr>
            <w:tcW w:w="912" w:type="dxa"/>
            <w:tcBorders>
              <w:top w:val="nil"/>
              <w:left w:val="nil"/>
              <w:bottom w:val="double" w:sz="6" w:space="0" w:color="auto"/>
              <w:right w:val="nil"/>
            </w:tcBorders>
            <w:shd w:val="clear" w:color="000000" w:fill="F2DCDB"/>
            <w:noWrap/>
            <w:vAlign w:val="bottom"/>
            <w:hideMark/>
          </w:tcPr>
          <w:p w14:paraId="0C3F8DB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89%</w:t>
            </w:r>
          </w:p>
        </w:tc>
        <w:tc>
          <w:tcPr>
            <w:tcW w:w="912" w:type="dxa"/>
            <w:tcBorders>
              <w:top w:val="nil"/>
              <w:left w:val="nil"/>
              <w:bottom w:val="double" w:sz="6" w:space="0" w:color="auto"/>
              <w:right w:val="single" w:sz="4" w:space="0" w:color="auto"/>
            </w:tcBorders>
            <w:shd w:val="clear" w:color="000000" w:fill="F2DCDB"/>
            <w:noWrap/>
            <w:vAlign w:val="bottom"/>
            <w:hideMark/>
          </w:tcPr>
          <w:p w14:paraId="0C3F8DC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11%</w:t>
            </w:r>
          </w:p>
        </w:tc>
      </w:tr>
      <w:tr w:rsidR="00B6457B" w:rsidRPr="00393ABA" w14:paraId="0C3F8DD2" w14:textId="77777777" w:rsidTr="00393ABA">
        <w:trPr>
          <w:trHeight w:val="315"/>
        </w:trPr>
        <w:tc>
          <w:tcPr>
            <w:tcW w:w="1407" w:type="dxa"/>
            <w:vMerge w:val="restart"/>
            <w:tcBorders>
              <w:top w:val="nil"/>
              <w:left w:val="single" w:sz="4" w:space="0" w:color="auto"/>
              <w:bottom w:val="nil"/>
              <w:right w:val="single" w:sz="4" w:space="0" w:color="auto"/>
            </w:tcBorders>
            <w:shd w:val="clear" w:color="000000" w:fill="F2F2F2"/>
            <w:vAlign w:val="center"/>
            <w:hideMark/>
          </w:tcPr>
          <w:p w14:paraId="0C3F8DC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Cape York</w:t>
            </w:r>
          </w:p>
        </w:tc>
        <w:tc>
          <w:tcPr>
            <w:tcW w:w="1120" w:type="dxa"/>
            <w:tcBorders>
              <w:top w:val="nil"/>
              <w:left w:val="nil"/>
              <w:bottom w:val="nil"/>
              <w:right w:val="single" w:sz="4" w:space="0" w:color="auto"/>
            </w:tcBorders>
            <w:shd w:val="clear" w:color="000000" w:fill="F2F2F2"/>
            <w:noWrap/>
            <w:vAlign w:val="center"/>
            <w:hideMark/>
          </w:tcPr>
          <w:p w14:paraId="0C3F8DC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C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9459</w:t>
            </w:r>
          </w:p>
        </w:tc>
        <w:tc>
          <w:tcPr>
            <w:tcW w:w="735" w:type="dxa"/>
            <w:tcBorders>
              <w:top w:val="nil"/>
              <w:left w:val="nil"/>
              <w:bottom w:val="nil"/>
              <w:right w:val="nil"/>
            </w:tcBorders>
            <w:shd w:val="clear" w:color="auto" w:fill="auto"/>
            <w:noWrap/>
            <w:vAlign w:val="bottom"/>
            <w:hideMark/>
          </w:tcPr>
          <w:p w14:paraId="0C3F8DC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229</w:t>
            </w:r>
          </w:p>
        </w:tc>
        <w:tc>
          <w:tcPr>
            <w:tcW w:w="804" w:type="dxa"/>
            <w:tcBorders>
              <w:top w:val="nil"/>
              <w:left w:val="nil"/>
              <w:bottom w:val="nil"/>
              <w:right w:val="nil"/>
            </w:tcBorders>
            <w:shd w:val="clear" w:color="auto" w:fill="auto"/>
            <w:noWrap/>
            <w:vAlign w:val="bottom"/>
            <w:hideMark/>
          </w:tcPr>
          <w:p w14:paraId="0C3F8DC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1100</w:t>
            </w:r>
          </w:p>
        </w:tc>
        <w:tc>
          <w:tcPr>
            <w:tcW w:w="774" w:type="dxa"/>
            <w:tcBorders>
              <w:top w:val="nil"/>
              <w:left w:val="nil"/>
              <w:bottom w:val="nil"/>
              <w:right w:val="nil"/>
            </w:tcBorders>
            <w:shd w:val="clear" w:color="auto" w:fill="auto"/>
            <w:noWrap/>
            <w:vAlign w:val="bottom"/>
            <w:hideMark/>
          </w:tcPr>
          <w:p w14:paraId="0C3F8DC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1631</w:t>
            </w:r>
          </w:p>
        </w:tc>
        <w:tc>
          <w:tcPr>
            <w:tcW w:w="641" w:type="dxa"/>
            <w:tcBorders>
              <w:top w:val="nil"/>
              <w:left w:val="nil"/>
              <w:bottom w:val="nil"/>
              <w:right w:val="nil"/>
            </w:tcBorders>
            <w:shd w:val="clear" w:color="auto" w:fill="auto"/>
            <w:noWrap/>
            <w:vAlign w:val="bottom"/>
            <w:hideMark/>
          </w:tcPr>
          <w:p w14:paraId="0C3F8DC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3200</w:t>
            </w:r>
          </w:p>
        </w:tc>
        <w:tc>
          <w:tcPr>
            <w:tcW w:w="785" w:type="dxa"/>
            <w:tcBorders>
              <w:top w:val="nil"/>
              <w:left w:val="nil"/>
              <w:bottom w:val="nil"/>
              <w:right w:val="nil"/>
            </w:tcBorders>
            <w:shd w:val="clear" w:color="auto" w:fill="auto"/>
            <w:noWrap/>
            <w:vAlign w:val="bottom"/>
            <w:hideMark/>
          </w:tcPr>
          <w:p w14:paraId="0C3F8DC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1870</w:t>
            </w:r>
          </w:p>
        </w:tc>
        <w:tc>
          <w:tcPr>
            <w:tcW w:w="912" w:type="dxa"/>
            <w:tcBorders>
              <w:top w:val="nil"/>
              <w:left w:val="nil"/>
              <w:bottom w:val="nil"/>
              <w:right w:val="nil"/>
            </w:tcBorders>
            <w:shd w:val="clear" w:color="000000" w:fill="F2DCDB"/>
            <w:noWrap/>
            <w:vAlign w:val="bottom"/>
            <w:hideMark/>
          </w:tcPr>
          <w:p w14:paraId="0C3F8DC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8031</w:t>
            </w:r>
          </w:p>
        </w:tc>
        <w:tc>
          <w:tcPr>
            <w:tcW w:w="912" w:type="dxa"/>
            <w:tcBorders>
              <w:top w:val="nil"/>
              <w:left w:val="nil"/>
              <w:bottom w:val="nil"/>
              <w:right w:val="single" w:sz="4" w:space="0" w:color="auto"/>
            </w:tcBorders>
            <w:shd w:val="clear" w:color="000000" w:fill="F2DCDB"/>
            <w:noWrap/>
            <w:vAlign w:val="bottom"/>
            <w:hideMark/>
          </w:tcPr>
          <w:p w14:paraId="0C3F8DC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1428</w:t>
            </w:r>
          </w:p>
        </w:tc>
        <w:tc>
          <w:tcPr>
            <w:tcW w:w="723" w:type="dxa"/>
            <w:tcBorders>
              <w:top w:val="nil"/>
              <w:left w:val="nil"/>
              <w:bottom w:val="nil"/>
              <w:right w:val="nil"/>
            </w:tcBorders>
            <w:shd w:val="clear" w:color="auto" w:fill="auto"/>
            <w:noWrap/>
            <w:vAlign w:val="bottom"/>
            <w:hideMark/>
          </w:tcPr>
          <w:p w14:paraId="0C3F8DC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1397</w:t>
            </w:r>
          </w:p>
        </w:tc>
        <w:tc>
          <w:tcPr>
            <w:tcW w:w="918" w:type="dxa"/>
            <w:tcBorders>
              <w:top w:val="nil"/>
              <w:left w:val="nil"/>
              <w:bottom w:val="nil"/>
              <w:right w:val="nil"/>
            </w:tcBorders>
            <w:shd w:val="clear" w:color="auto" w:fill="auto"/>
            <w:noWrap/>
            <w:vAlign w:val="bottom"/>
            <w:hideMark/>
          </w:tcPr>
          <w:p w14:paraId="0C3F8DC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6458</w:t>
            </w:r>
          </w:p>
        </w:tc>
        <w:tc>
          <w:tcPr>
            <w:tcW w:w="622" w:type="dxa"/>
            <w:tcBorders>
              <w:top w:val="nil"/>
              <w:left w:val="nil"/>
              <w:bottom w:val="nil"/>
              <w:right w:val="nil"/>
            </w:tcBorders>
            <w:shd w:val="clear" w:color="auto" w:fill="auto"/>
            <w:noWrap/>
            <w:vAlign w:val="bottom"/>
            <w:hideMark/>
          </w:tcPr>
          <w:p w14:paraId="0C3F8DC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176</w:t>
            </w:r>
          </w:p>
        </w:tc>
        <w:tc>
          <w:tcPr>
            <w:tcW w:w="1028" w:type="dxa"/>
            <w:tcBorders>
              <w:top w:val="nil"/>
              <w:left w:val="nil"/>
              <w:bottom w:val="nil"/>
              <w:right w:val="nil"/>
            </w:tcBorders>
            <w:shd w:val="clear" w:color="auto" w:fill="auto"/>
            <w:noWrap/>
            <w:vAlign w:val="bottom"/>
            <w:hideMark/>
          </w:tcPr>
          <w:p w14:paraId="0C3F8DC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DD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8031</w:t>
            </w:r>
          </w:p>
        </w:tc>
        <w:tc>
          <w:tcPr>
            <w:tcW w:w="912" w:type="dxa"/>
            <w:tcBorders>
              <w:top w:val="nil"/>
              <w:left w:val="nil"/>
              <w:bottom w:val="nil"/>
              <w:right w:val="single" w:sz="4" w:space="0" w:color="auto"/>
            </w:tcBorders>
            <w:shd w:val="clear" w:color="000000" w:fill="F2DCDB"/>
            <w:noWrap/>
            <w:vAlign w:val="bottom"/>
            <w:hideMark/>
          </w:tcPr>
          <w:p w14:paraId="0C3F8DD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1428</w:t>
            </w:r>
          </w:p>
        </w:tc>
      </w:tr>
      <w:tr w:rsidR="00B6457B" w:rsidRPr="00393ABA" w14:paraId="0C3F8DE3" w14:textId="77777777" w:rsidTr="00393ABA">
        <w:trPr>
          <w:trHeight w:val="300"/>
        </w:trPr>
        <w:tc>
          <w:tcPr>
            <w:tcW w:w="1407" w:type="dxa"/>
            <w:vMerge/>
            <w:tcBorders>
              <w:top w:val="nil"/>
              <w:left w:val="single" w:sz="4" w:space="0" w:color="auto"/>
              <w:bottom w:val="nil"/>
              <w:right w:val="single" w:sz="4" w:space="0" w:color="auto"/>
            </w:tcBorders>
            <w:vAlign w:val="center"/>
            <w:hideMark/>
          </w:tcPr>
          <w:p w14:paraId="0C3F8DD3"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nil"/>
              <w:right w:val="single" w:sz="4" w:space="0" w:color="auto"/>
            </w:tcBorders>
            <w:shd w:val="clear" w:color="000000" w:fill="F2F2F2"/>
            <w:noWrap/>
            <w:vAlign w:val="center"/>
            <w:hideMark/>
          </w:tcPr>
          <w:p w14:paraId="0C3F8DD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DD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DD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804" w:type="dxa"/>
            <w:tcBorders>
              <w:top w:val="nil"/>
              <w:left w:val="nil"/>
              <w:bottom w:val="nil"/>
              <w:right w:val="nil"/>
            </w:tcBorders>
            <w:shd w:val="clear" w:color="auto" w:fill="auto"/>
            <w:noWrap/>
            <w:vAlign w:val="bottom"/>
            <w:hideMark/>
          </w:tcPr>
          <w:p w14:paraId="0C3F8DD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774" w:type="dxa"/>
            <w:tcBorders>
              <w:top w:val="nil"/>
              <w:left w:val="nil"/>
              <w:bottom w:val="nil"/>
              <w:right w:val="nil"/>
            </w:tcBorders>
            <w:shd w:val="clear" w:color="auto" w:fill="auto"/>
            <w:noWrap/>
            <w:vAlign w:val="bottom"/>
            <w:hideMark/>
          </w:tcPr>
          <w:p w14:paraId="0C3F8DD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17%</w:t>
            </w:r>
          </w:p>
        </w:tc>
        <w:tc>
          <w:tcPr>
            <w:tcW w:w="641" w:type="dxa"/>
            <w:tcBorders>
              <w:top w:val="nil"/>
              <w:left w:val="nil"/>
              <w:bottom w:val="nil"/>
              <w:right w:val="nil"/>
            </w:tcBorders>
            <w:shd w:val="clear" w:color="auto" w:fill="auto"/>
            <w:noWrap/>
            <w:vAlign w:val="bottom"/>
            <w:hideMark/>
          </w:tcPr>
          <w:p w14:paraId="0C3F8DD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34%</w:t>
            </w:r>
          </w:p>
        </w:tc>
        <w:tc>
          <w:tcPr>
            <w:tcW w:w="785" w:type="dxa"/>
            <w:tcBorders>
              <w:top w:val="nil"/>
              <w:left w:val="nil"/>
              <w:bottom w:val="nil"/>
              <w:right w:val="nil"/>
            </w:tcBorders>
            <w:shd w:val="clear" w:color="auto" w:fill="auto"/>
            <w:noWrap/>
            <w:vAlign w:val="bottom"/>
            <w:hideMark/>
          </w:tcPr>
          <w:p w14:paraId="0C3F8DD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912" w:type="dxa"/>
            <w:tcBorders>
              <w:top w:val="nil"/>
              <w:left w:val="nil"/>
              <w:bottom w:val="nil"/>
              <w:right w:val="nil"/>
            </w:tcBorders>
            <w:shd w:val="clear" w:color="000000" w:fill="F2DCDB"/>
            <w:noWrap/>
            <w:vAlign w:val="bottom"/>
            <w:hideMark/>
          </w:tcPr>
          <w:p w14:paraId="0C3F8DD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85%</w:t>
            </w:r>
          </w:p>
        </w:tc>
        <w:tc>
          <w:tcPr>
            <w:tcW w:w="912" w:type="dxa"/>
            <w:tcBorders>
              <w:top w:val="nil"/>
              <w:left w:val="nil"/>
              <w:bottom w:val="nil"/>
              <w:right w:val="nil"/>
            </w:tcBorders>
            <w:shd w:val="clear" w:color="000000" w:fill="F2DCDB"/>
            <w:noWrap/>
            <w:vAlign w:val="bottom"/>
            <w:hideMark/>
          </w:tcPr>
          <w:p w14:paraId="0C3F8DD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15%</w:t>
            </w:r>
          </w:p>
        </w:tc>
        <w:tc>
          <w:tcPr>
            <w:tcW w:w="723" w:type="dxa"/>
            <w:tcBorders>
              <w:top w:val="nil"/>
              <w:left w:val="single" w:sz="4" w:space="0" w:color="auto"/>
              <w:bottom w:val="nil"/>
              <w:right w:val="nil"/>
            </w:tcBorders>
            <w:shd w:val="clear" w:color="auto" w:fill="auto"/>
            <w:noWrap/>
            <w:vAlign w:val="bottom"/>
            <w:hideMark/>
          </w:tcPr>
          <w:p w14:paraId="0C3F8DD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15%</w:t>
            </w:r>
          </w:p>
        </w:tc>
        <w:tc>
          <w:tcPr>
            <w:tcW w:w="918" w:type="dxa"/>
            <w:tcBorders>
              <w:top w:val="nil"/>
              <w:left w:val="nil"/>
              <w:bottom w:val="nil"/>
              <w:right w:val="nil"/>
            </w:tcBorders>
            <w:shd w:val="clear" w:color="auto" w:fill="auto"/>
            <w:noWrap/>
            <w:vAlign w:val="bottom"/>
            <w:hideMark/>
          </w:tcPr>
          <w:p w14:paraId="0C3F8DD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68%</w:t>
            </w:r>
          </w:p>
        </w:tc>
        <w:tc>
          <w:tcPr>
            <w:tcW w:w="622" w:type="dxa"/>
            <w:tcBorders>
              <w:top w:val="nil"/>
              <w:left w:val="nil"/>
              <w:bottom w:val="nil"/>
              <w:right w:val="nil"/>
            </w:tcBorders>
            <w:shd w:val="clear" w:color="auto" w:fill="auto"/>
            <w:noWrap/>
            <w:vAlign w:val="bottom"/>
            <w:hideMark/>
          </w:tcPr>
          <w:p w14:paraId="0C3F8DD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1028" w:type="dxa"/>
            <w:tcBorders>
              <w:top w:val="nil"/>
              <w:left w:val="nil"/>
              <w:bottom w:val="nil"/>
              <w:right w:val="nil"/>
            </w:tcBorders>
            <w:shd w:val="clear" w:color="auto" w:fill="auto"/>
            <w:noWrap/>
            <w:vAlign w:val="bottom"/>
            <w:hideMark/>
          </w:tcPr>
          <w:p w14:paraId="0C3F8DE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DE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85%</w:t>
            </w:r>
          </w:p>
        </w:tc>
        <w:tc>
          <w:tcPr>
            <w:tcW w:w="912" w:type="dxa"/>
            <w:tcBorders>
              <w:top w:val="nil"/>
              <w:left w:val="nil"/>
              <w:bottom w:val="nil"/>
              <w:right w:val="single" w:sz="4" w:space="0" w:color="auto"/>
            </w:tcBorders>
            <w:shd w:val="clear" w:color="000000" w:fill="F2DCDB"/>
            <w:noWrap/>
            <w:vAlign w:val="bottom"/>
            <w:hideMark/>
          </w:tcPr>
          <w:p w14:paraId="0C3F8DE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15%</w:t>
            </w:r>
          </w:p>
        </w:tc>
      </w:tr>
      <w:tr w:rsidR="00B6457B" w:rsidRPr="00393ABA" w14:paraId="0C3F8DF4"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DE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Wet Tropics</w:t>
            </w:r>
          </w:p>
        </w:tc>
        <w:tc>
          <w:tcPr>
            <w:tcW w:w="1120" w:type="dxa"/>
            <w:tcBorders>
              <w:top w:val="nil"/>
              <w:left w:val="single" w:sz="4" w:space="0" w:color="auto"/>
              <w:bottom w:val="nil"/>
              <w:right w:val="single" w:sz="4" w:space="0" w:color="auto"/>
            </w:tcBorders>
            <w:shd w:val="clear" w:color="000000" w:fill="F2F2F2"/>
            <w:noWrap/>
            <w:vAlign w:val="center"/>
            <w:hideMark/>
          </w:tcPr>
          <w:p w14:paraId="0C3F8DE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DE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4661</w:t>
            </w:r>
          </w:p>
        </w:tc>
        <w:tc>
          <w:tcPr>
            <w:tcW w:w="735" w:type="dxa"/>
            <w:tcBorders>
              <w:top w:val="nil"/>
              <w:left w:val="nil"/>
              <w:bottom w:val="nil"/>
              <w:right w:val="nil"/>
            </w:tcBorders>
            <w:shd w:val="clear" w:color="auto" w:fill="auto"/>
            <w:noWrap/>
            <w:vAlign w:val="bottom"/>
            <w:hideMark/>
          </w:tcPr>
          <w:p w14:paraId="0C3F8DE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1562</w:t>
            </w:r>
          </w:p>
        </w:tc>
        <w:tc>
          <w:tcPr>
            <w:tcW w:w="804" w:type="dxa"/>
            <w:tcBorders>
              <w:top w:val="nil"/>
              <w:left w:val="nil"/>
              <w:bottom w:val="nil"/>
              <w:right w:val="nil"/>
            </w:tcBorders>
            <w:shd w:val="clear" w:color="auto" w:fill="auto"/>
            <w:noWrap/>
            <w:vAlign w:val="bottom"/>
            <w:hideMark/>
          </w:tcPr>
          <w:p w14:paraId="0C3F8DE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1763</w:t>
            </w:r>
          </w:p>
        </w:tc>
        <w:tc>
          <w:tcPr>
            <w:tcW w:w="774" w:type="dxa"/>
            <w:tcBorders>
              <w:top w:val="nil"/>
              <w:left w:val="nil"/>
              <w:bottom w:val="nil"/>
              <w:right w:val="nil"/>
            </w:tcBorders>
            <w:shd w:val="clear" w:color="auto" w:fill="auto"/>
            <w:noWrap/>
            <w:vAlign w:val="bottom"/>
            <w:hideMark/>
          </w:tcPr>
          <w:p w14:paraId="0C3F8DE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943</w:t>
            </w:r>
          </w:p>
        </w:tc>
        <w:tc>
          <w:tcPr>
            <w:tcW w:w="641" w:type="dxa"/>
            <w:tcBorders>
              <w:top w:val="nil"/>
              <w:left w:val="nil"/>
              <w:bottom w:val="nil"/>
              <w:right w:val="nil"/>
            </w:tcBorders>
            <w:shd w:val="clear" w:color="auto" w:fill="auto"/>
            <w:noWrap/>
            <w:vAlign w:val="bottom"/>
            <w:hideMark/>
          </w:tcPr>
          <w:p w14:paraId="0C3F8DE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241</w:t>
            </w:r>
          </w:p>
        </w:tc>
        <w:tc>
          <w:tcPr>
            <w:tcW w:w="785" w:type="dxa"/>
            <w:tcBorders>
              <w:top w:val="nil"/>
              <w:left w:val="nil"/>
              <w:bottom w:val="nil"/>
              <w:right w:val="nil"/>
            </w:tcBorders>
            <w:shd w:val="clear" w:color="auto" w:fill="auto"/>
            <w:noWrap/>
            <w:vAlign w:val="bottom"/>
            <w:hideMark/>
          </w:tcPr>
          <w:p w14:paraId="0C3F8DE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152</w:t>
            </w:r>
          </w:p>
        </w:tc>
        <w:tc>
          <w:tcPr>
            <w:tcW w:w="912" w:type="dxa"/>
            <w:tcBorders>
              <w:top w:val="nil"/>
              <w:left w:val="nil"/>
              <w:bottom w:val="nil"/>
              <w:right w:val="nil"/>
            </w:tcBorders>
            <w:shd w:val="clear" w:color="000000" w:fill="F2DCDB"/>
            <w:noWrap/>
            <w:vAlign w:val="bottom"/>
            <w:hideMark/>
          </w:tcPr>
          <w:p w14:paraId="0C3F8DEC"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4661</w:t>
            </w:r>
          </w:p>
        </w:tc>
        <w:tc>
          <w:tcPr>
            <w:tcW w:w="912" w:type="dxa"/>
            <w:tcBorders>
              <w:top w:val="nil"/>
              <w:left w:val="nil"/>
              <w:bottom w:val="nil"/>
              <w:right w:val="single" w:sz="4" w:space="0" w:color="auto"/>
            </w:tcBorders>
            <w:shd w:val="clear" w:color="000000" w:fill="F2DCDB"/>
            <w:noWrap/>
            <w:vAlign w:val="bottom"/>
            <w:hideMark/>
          </w:tcPr>
          <w:p w14:paraId="0C3F8DE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723" w:type="dxa"/>
            <w:tcBorders>
              <w:top w:val="nil"/>
              <w:left w:val="nil"/>
              <w:bottom w:val="nil"/>
              <w:right w:val="nil"/>
            </w:tcBorders>
            <w:shd w:val="clear" w:color="auto" w:fill="auto"/>
            <w:noWrap/>
            <w:vAlign w:val="bottom"/>
            <w:hideMark/>
          </w:tcPr>
          <w:p w14:paraId="0C3F8DE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3547</w:t>
            </w:r>
          </w:p>
        </w:tc>
        <w:tc>
          <w:tcPr>
            <w:tcW w:w="918" w:type="dxa"/>
            <w:tcBorders>
              <w:top w:val="nil"/>
              <w:left w:val="nil"/>
              <w:bottom w:val="nil"/>
              <w:right w:val="nil"/>
            </w:tcBorders>
            <w:shd w:val="clear" w:color="auto" w:fill="auto"/>
            <w:noWrap/>
            <w:vAlign w:val="bottom"/>
            <w:hideMark/>
          </w:tcPr>
          <w:p w14:paraId="0C3F8DE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1099</w:t>
            </w:r>
          </w:p>
        </w:tc>
        <w:tc>
          <w:tcPr>
            <w:tcW w:w="622" w:type="dxa"/>
            <w:tcBorders>
              <w:top w:val="nil"/>
              <w:left w:val="nil"/>
              <w:bottom w:val="nil"/>
              <w:right w:val="nil"/>
            </w:tcBorders>
            <w:shd w:val="clear" w:color="auto" w:fill="auto"/>
            <w:noWrap/>
            <w:vAlign w:val="bottom"/>
            <w:hideMark/>
          </w:tcPr>
          <w:p w14:paraId="0C3F8DF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1028" w:type="dxa"/>
            <w:tcBorders>
              <w:top w:val="nil"/>
              <w:left w:val="nil"/>
              <w:bottom w:val="nil"/>
              <w:right w:val="nil"/>
            </w:tcBorders>
            <w:shd w:val="clear" w:color="auto" w:fill="auto"/>
            <w:noWrap/>
            <w:vAlign w:val="bottom"/>
            <w:hideMark/>
          </w:tcPr>
          <w:p w14:paraId="0C3F8DF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DF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4661</w:t>
            </w:r>
          </w:p>
        </w:tc>
        <w:tc>
          <w:tcPr>
            <w:tcW w:w="912" w:type="dxa"/>
            <w:tcBorders>
              <w:top w:val="nil"/>
              <w:left w:val="nil"/>
              <w:bottom w:val="nil"/>
              <w:right w:val="single" w:sz="4" w:space="0" w:color="auto"/>
            </w:tcBorders>
            <w:shd w:val="clear" w:color="000000" w:fill="F2DCDB"/>
            <w:noWrap/>
            <w:vAlign w:val="bottom"/>
            <w:hideMark/>
          </w:tcPr>
          <w:p w14:paraId="0C3F8DF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r>
      <w:tr w:rsidR="00B6457B" w:rsidRPr="00393ABA" w14:paraId="0C3F8E05" w14:textId="77777777" w:rsidTr="00393ABA">
        <w:trPr>
          <w:trHeight w:val="300"/>
        </w:trPr>
        <w:tc>
          <w:tcPr>
            <w:tcW w:w="1407" w:type="dxa"/>
            <w:vMerge/>
            <w:tcBorders>
              <w:top w:val="nil"/>
              <w:left w:val="single" w:sz="4" w:space="0" w:color="auto"/>
              <w:bottom w:val="nil"/>
              <w:right w:val="nil"/>
            </w:tcBorders>
            <w:vAlign w:val="center"/>
            <w:hideMark/>
          </w:tcPr>
          <w:p w14:paraId="0C3F8DF5"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DF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DF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DF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34%</w:t>
            </w:r>
          </w:p>
        </w:tc>
        <w:tc>
          <w:tcPr>
            <w:tcW w:w="804" w:type="dxa"/>
            <w:tcBorders>
              <w:top w:val="nil"/>
              <w:left w:val="nil"/>
              <w:bottom w:val="nil"/>
              <w:right w:val="nil"/>
            </w:tcBorders>
            <w:shd w:val="clear" w:color="auto" w:fill="auto"/>
            <w:noWrap/>
            <w:vAlign w:val="bottom"/>
            <w:hideMark/>
          </w:tcPr>
          <w:p w14:paraId="0C3F8DF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38%</w:t>
            </w:r>
          </w:p>
        </w:tc>
        <w:tc>
          <w:tcPr>
            <w:tcW w:w="774" w:type="dxa"/>
            <w:tcBorders>
              <w:top w:val="nil"/>
              <w:left w:val="nil"/>
              <w:bottom w:val="nil"/>
              <w:right w:val="nil"/>
            </w:tcBorders>
            <w:shd w:val="clear" w:color="auto" w:fill="auto"/>
            <w:noWrap/>
            <w:vAlign w:val="bottom"/>
            <w:hideMark/>
          </w:tcPr>
          <w:p w14:paraId="0C3F8DF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641" w:type="dxa"/>
            <w:tcBorders>
              <w:top w:val="nil"/>
              <w:left w:val="nil"/>
              <w:bottom w:val="nil"/>
              <w:right w:val="nil"/>
            </w:tcBorders>
            <w:shd w:val="clear" w:color="auto" w:fill="auto"/>
            <w:noWrap/>
            <w:vAlign w:val="bottom"/>
            <w:hideMark/>
          </w:tcPr>
          <w:p w14:paraId="0C3F8DF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785" w:type="dxa"/>
            <w:tcBorders>
              <w:top w:val="nil"/>
              <w:left w:val="nil"/>
              <w:bottom w:val="nil"/>
              <w:right w:val="nil"/>
            </w:tcBorders>
            <w:shd w:val="clear" w:color="auto" w:fill="auto"/>
            <w:noWrap/>
            <w:vAlign w:val="bottom"/>
            <w:hideMark/>
          </w:tcPr>
          <w:p w14:paraId="0C3F8DF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2" w:type="dxa"/>
            <w:tcBorders>
              <w:top w:val="nil"/>
              <w:left w:val="nil"/>
              <w:bottom w:val="nil"/>
              <w:right w:val="nil"/>
            </w:tcBorders>
            <w:shd w:val="clear" w:color="000000" w:fill="F2DCDB"/>
            <w:noWrap/>
            <w:vAlign w:val="bottom"/>
            <w:hideMark/>
          </w:tcPr>
          <w:p w14:paraId="0C3F8DF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DF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DF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76%</w:t>
            </w:r>
          </w:p>
        </w:tc>
        <w:tc>
          <w:tcPr>
            <w:tcW w:w="918" w:type="dxa"/>
            <w:tcBorders>
              <w:top w:val="nil"/>
              <w:left w:val="nil"/>
              <w:bottom w:val="nil"/>
              <w:right w:val="nil"/>
            </w:tcBorders>
            <w:shd w:val="clear" w:color="auto" w:fill="auto"/>
            <w:noWrap/>
            <w:vAlign w:val="bottom"/>
            <w:hideMark/>
          </w:tcPr>
          <w:p w14:paraId="0C3F8E0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24%</w:t>
            </w:r>
          </w:p>
        </w:tc>
        <w:tc>
          <w:tcPr>
            <w:tcW w:w="622" w:type="dxa"/>
            <w:tcBorders>
              <w:top w:val="nil"/>
              <w:left w:val="nil"/>
              <w:bottom w:val="nil"/>
              <w:right w:val="nil"/>
            </w:tcBorders>
            <w:shd w:val="clear" w:color="auto" w:fill="auto"/>
            <w:noWrap/>
            <w:vAlign w:val="bottom"/>
            <w:hideMark/>
          </w:tcPr>
          <w:p w14:paraId="0C3F8E0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1028" w:type="dxa"/>
            <w:tcBorders>
              <w:top w:val="nil"/>
              <w:left w:val="nil"/>
              <w:bottom w:val="nil"/>
              <w:right w:val="nil"/>
            </w:tcBorders>
            <w:shd w:val="clear" w:color="auto" w:fill="auto"/>
            <w:noWrap/>
            <w:vAlign w:val="bottom"/>
            <w:hideMark/>
          </w:tcPr>
          <w:p w14:paraId="0C3F8E0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0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E0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E16"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E0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Burdekin</w:t>
            </w:r>
          </w:p>
        </w:tc>
        <w:tc>
          <w:tcPr>
            <w:tcW w:w="1120" w:type="dxa"/>
            <w:tcBorders>
              <w:top w:val="nil"/>
              <w:left w:val="single" w:sz="4" w:space="0" w:color="auto"/>
              <w:bottom w:val="nil"/>
              <w:right w:val="single" w:sz="4" w:space="0" w:color="auto"/>
            </w:tcBorders>
            <w:shd w:val="clear" w:color="000000" w:fill="F2F2F2"/>
            <w:noWrap/>
            <w:vAlign w:val="center"/>
            <w:hideMark/>
          </w:tcPr>
          <w:p w14:paraId="0C3F8E0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0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5437</w:t>
            </w:r>
          </w:p>
        </w:tc>
        <w:tc>
          <w:tcPr>
            <w:tcW w:w="735" w:type="dxa"/>
            <w:tcBorders>
              <w:top w:val="nil"/>
              <w:left w:val="nil"/>
              <w:bottom w:val="nil"/>
              <w:right w:val="nil"/>
            </w:tcBorders>
            <w:shd w:val="clear" w:color="auto" w:fill="auto"/>
            <w:noWrap/>
            <w:vAlign w:val="bottom"/>
            <w:hideMark/>
          </w:tcPr>
          <w:p w14:paraId="0C3F8E0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1623</w:t>
            </w:r>
          </w:p>
        </w:tc>
        <w:tc>
          <w:tcPr>
            <w:tcW w:w="804" w:type="dxa"/>
            <w:tcBorders>
              <w:top w:val="nil"/>
              <w:left w:val="nil"/>
              <w:bottom w:val="nil"/>
              <w:right w:val="nil"/>
            </w:tcBorders>
            <w:shd w:val="clear" w:color="auto" w:fill="auto"/>
            <w:noWrap/>
            <w:vAlign w:val="bottom"/>
            <w:hideMark/>
          </w:tcPr>
          <w:p w14:paraId="0C3F8E0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1658</w:t>
            </w:r>
          </w:p>
        </w:tc>
        <w:tc>
          <w:tcPr>
            <w:tcW w:w="774" w:type="dxa"/>
            <w:tcBorders>
              <w:top w:val="nil"/>
              <w:left w:val="nil"/>
              <w:bottom w:val="nil"/>
              <w:right w:val="nil"/>
            </w:tcBorders>
            <w:shd w:val="clear" w:color="auto" w:fill="auto"/>
            <w:noWrap/>
            <w:vAlign w:val="bottom"/>
            <w:hideMark/>
          </w:tcPr>
          <w:p w14:paraId="0C3F8E0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154</w:t>
            </w:r>
          </w:p>
        </w:tc>
        <w:tc>
          <w:tcPr>
            <w:tcW w:w="641" w:type="dxa"/>
            <w:tcBorders>
              <w:top w:val="nil"/>
              <w:left w:val="nil"/>
              <w:bottom w:val="nil"/>
              <w:right w:val="nil"/>
            </w:tcBorders>
            <w:shd w:val="clear" w:color="auto" w:fill="auto"/>
            <w:noWrap/>
            <w:vAlign w:val="bottom"/>
            <w:hideMark/>
          </w:tcPr>
          <w:p w14:paraId="0C3F8E0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18</w:t>
            </w:r>
          </w:p>
        </w:tc>
        <w:tc>
          <w:tcPr>
            <w:tcW w:w="785" w:type="dxa"/>
            <w:tcBorders>
              <w:top w:val="nil"/>
              <w:left w:val="nil"/>
              <w:bottom w:val="nil"/>
              <w:right w:val="nil"/>
            </w:tcBorders>
            <w:shd w:val="clear" w:color="auto" w:fill="auto"/>
            <w:noWrap/>
            <w:vAlign w:val="bottom"/>
            <w:hideMark/>
          </w:tcPr>
          <w:p w14:paraId="0C3F8E0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E0E"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3454</w:t>
            </w:r>
          </w:p>
        </w:tc>
        <w:tc>
          <w:tcPr>
            <w:tcW w:w="912" w:type="dxa"/>
            <w:tcBorders>
              <w:top w:val="nil"/>
              <w:left w:val="nil"/>
              <w:bottom w:val="nil"/>
              <w:right w:val="single" w:sz="4" w:space="0" w:color="auto"/>
            </w:tcBorders>
            <w:shd w:val="clear" w:color="000000" w:fill="F2DCDB"/>
            <w:noWrap/>
            <w:vAlign w:val="bottom"/>
            <w:hideMark/>
          </w:tcPr>
          <w:p w14:paraId="0C3F8E0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1983</w:t>
            </w:r>
          </w:p>
        </w:tc>
        <w:tc>
          <w:tcPr>
            <w:tcW w:w="723" w:type="dxa"/>
            <w:tcBorders>
              <w:top w:val="nil"/>
              <w:left w:val="nil"/>
              <w:bottom w:val="nil"/>
              <w:right w:val="nil"/>
            </w:tcBorders>
            <w:shd w:val="clear" w:color="auto" w:fill="auto"/>
            <w:noWrap/>
            <w:vAlign w:val="bottom"/>
            <w:hideMark/>
          </w:tcPr>
          <w:p w14:paraId="0C3F8E1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3293</w:t>
            </w:r>
          </w:p>
        </w:tc>
        <w:tc>
          <w:tcPr>
            <w:tcW w:w="918" w:type="dxa"/>
            <w:tcBorders>
              <w:top w:val="nil"/>
              <w:left w:val="nil"/>
              <w:bottom w:val="nil"/>
              <w:right w:val="nil"/>
            </w:tcBorders>
            <w:shd w:val="clear" w:color="auto" w:fill="auto"/>
            <w:noWrap/>
            <w:vAlign w:val="bottom"/>
            <w:hideMark/>
          </w:tcPr>
          <w:p w14:paraId="0C3F8E1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165</w:t>
            </w:r>
          </w:p>
        </w:tc>
        <w:tc>
          <w:tcPr>
            <w:tcW w:w="622" w:type="dxa"/>
            <w:tcBorders>
              <w:top w:val="nil"/>
              <w:left w:val="nil"/>
              <w:bottom w:val="nil"/>
              <w:right w:val="nil"/>
            </w:tcBorders>
            <w:shd w:val="clear" w:color="auto" w:fill="auto"/>
            <w:noWrap/>
            <w:vAlign w:val="bottom"/>
            <w:hideMark/>
          </w:tcPr>
          <w:p w14:paraId="0C3F8E1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1028" w:type="dxa"/>
            <w:tcBorders>
              <w:top w:val="nil"/>
              <w:left w:val="nil"/>
              <w:bottom w:val="nil"/>
              <w:right w:val="nil"/>
            </w:tcBorders>
            <w:shd w:val="clear" w:color="auto" w:fill="auto"/>
            <w:noWrap/>
            <w:vAlign w:val="bottom"/>
            <w:hideMark/>
          </w:tcPr>
          <w:p w14:paraId="0C3F8E1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E1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3459</w:t>
            </w:r>
          </w:p>
        </w:tc>
        <w:tc>
          <w:tcPr>
            <w:tcW w:w="912" w:type="dxa"/>
            <w:tcBorders>
              <w:top w:val="nil"/>
              <w:left w:val="nil"/>
              <w:bottom w:val="nil"/>
              <w:right w:val="single" w:sz="4" w:space="0" w:color="auto"/>
            </w:tcBorders>
            <w:shd w:val="clear" w:color="000000" w:fill="F2DCDB"/>
            <w:noWrap/>
            <w:vAlign w:val="bottom"/>
            <w:hideMark/>
          </w:tcPr>
          <w:p w14:paraId="0C3F8E1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1978</w:t>
            </w:r>
          </w:p>
        </w:tc>
      </w:tr>
      <w:tr w:rsidR="00B6457B" w:rsidRPr="00393ABA" w14:paraId="0C3F8E27" w14:textId="77777777" w:rsidTr="00393ABA">
        <w:trPr>
          <w:trHeight w:val="300"/>
        </w:trPr>
        <w:tc>
          <w:tcPr>
            <w:tcW w:w="1407" w:type="dxa"/>
            <w:vMerge/>
            <w:tcBorders>
              <w:top w:val="nil"/>
              <w:left w:val="single" w:sz="4" w:space="0" w:color="auto"/>
              <w:bottom w:val="nil"/>
              <w:right w:val="nil"/>
            </w:tcBorders>
            <w:vAlign w:val="center"/>
            <w:hideMark/>
          </w:tcPr>
          <w:p w14:paraId="0C3F8E17"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E1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E1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E1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30%</w:t>
            </w:r>
          </w:p>
        </w:tc>
        <w:tc>
          <w:tcPr>
            <w:tcW w:w="804" w:type="dxa"/>
            <w:tcBorders>
              <w:top w:val="nil"/>
              <w:left w:val="nil"/>
              <w:bottom w:val="nil"/>
              <w:right w:val="nil"/>
            </w:tcBorders>
            <w:shd w:val="clear" w:color="auto" w:fill="auto"/>
            <w:noWrap/>
            <w:vAlign w:val="bottom"/>
            <w:hideMark/>
          </w:tcPr>
          <w:p w14:paraId="0C3F8E1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31%</w:t>
            </w:r>
          </w:p>
        </w:tc>
        <w:tc>
          <w:tcPr>
            <w:tcW w:w="774" w:type="dxa"/>
            <w:tcBorders>
              <w:top w:val="nil"/>
              <w:left w:val="nil"/>
              <w:bottom w:val="nil"/>
              <w:right w:val="nil"/>
            </w:tcBorders>
            <w:shd w:val="clear" w:color="auto" w:fill="auto"/>
            <w:noWrap/>
            <w:vAlign w:val="bottom"/>
            <w:hideMark/>
          </w:tcPr>
          <w:p w14:paraId="0C3F8E1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641" w:type="dxa"/>
            <w:tcBorders>
              <w:top w:val="nil"/>
              <w:left w:val="nil"/>
              <w:bottom w:val="nil"/>
              <w:right w:val="nil"/>
            </w:tcBorders>
            <w:shd w:val="clear" w:color="auto" w:fill="auto"/>
            <w:noWrap/>
            <w:vAlign w:val="bottom"/>
            <w:hideMark/>
          </w:tcPr>
          <w:p w14:paraId="0C3F8E1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785" w:type="dxa"/>
            <w:tcBorders>
              <w:top w:val="nil"/>
              <w:left w:val="nil"/>
              <w:bottom w:val="nil"/>
              <w:right w:val="nil"/>
            </w:tcBorders>
            <w:shd w:val="clear" w:color="auto" w:fill="auto"/>
            <w:noWrap/>
            <w:vAlign w:val="bottom"/>
            <w:hideMark/>
          </w:tcPr>
          <w:p w14:paraId="0C3F8E1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1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64%</w:t>
            </w:r>
          </w:p>
        </w:tc>
        <w:tc>
          <w:tcPr>
            <w:tcW w:w="912" w:type="dxa"/>
            <w:tcBorders>
              <w:top w:val="nil"/>
              <w:left w:val="nil"/>
              <w:bottom w:val="nil"/>
              <w:right w:val="nil"/>
            </w:tcBorders>
            <w:shd w:val="clear" w:color="000000" w:fill="F2DCDB"/>
            <w:noWrap/>
            <w:vAlign w:val="bottom"/>
            <w:hideMark/>
          </w:tcPr>
          <w:p w14:paraId="0C3F8E2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36%</w:t>
            </w:r>
          </w:p>
        </w:tc>
        <w:tc>
          <w:tcPr>
            <w:tcW w:w="723" w:type="dxa"/>
            <w:tcBorders>
              <w:top w:val="nil"/>
              <w:left w:val="single" w:sz="4" w:space="0" w:color="auto"/>
              <w:bottom w:val="nil"/>
              <w:right w:val="nil"/>
            </w:tcBorders>
            <w:shd w:val="clear" w:color="auto" w:fill="auto"/>
            <w:noWrap/>
            <w:vAlign w:val="bottom"/>
            <w:hideMark/>
          </w:tcPr>
          <w:p w14:paraId="0C3F8E2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61%</w:t>
            </w:r>
          </w:p>
        </w:tc>
        <w:tc>
          <w:tcPr>
            <w:tcW w:w="918" w:type="dxa"/>
            <w:tcBorders>
              <w:top w:val="nil"/>
              <w:left w:val="nil"/>
              <w:bottom w:val="nil"/>
              <w:right w:val="nil"/>
            </w:tcBorders>
            <w:shd w:val="clear" w:color="auto" w:fill="auto"/>
            <w:noWrap/>
            <w:vAlign w:val="bottom"/>
            <w:hideMark/>
          </w:tcPr>
          <w:p w14:paraId="0C3F8E2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622" w:type="dxa"/>
            <w:tcBorders>
              <w:top w:val="nil"/>
              <w:left w:val="nil"/>
              <w:bottom w:val="nil"/>
              <w:right w:val="nil"/>
            </w:tcBorders>
            <w:shd w:val="clear" w:color="auto" w:fill="auto"/>
            <w:noWrap/>
            <w:vAlign w:val="bottom"/>
            <w:hideMark/>
          </w:tcPr>
          <w:p w14:paraId="0C3F8E2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1028" w:type="dxa"/>
            <w:tcBorders>
              <w:top w:val="nil"/>
              <w:left w:val="nil"/>
              <w:bottom w:val="nil"/>
              <w:right w:val="nil"/>
            </w:tcBorders>
            <w:shd w:val="clear" w:color="auto" w:fill="auto"/>
            <w:noWrap/>
            <w:vAlign w:val="bottom"/>
            <w:hideMark/>
          </w:tcPr>
          <w:p w14:paraId="0C3F8E2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2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64%</w:t>
            </w:r>
          </w:p>
        </w:tc>
        <w:tc>
          <w:tcPr>
            <w:tcW w:w="912" w:type="dxa"/>
            <w:tcBorders>
              <w:top w:val="nil"/>
              <w:left w:val="nil"/>
              <w:bottom w:val="nil"/>
              <w:right w:val="single" w:sz="4" w:space="0" w:color="auto"/>
            </w:tcBorders>
            <w:shd w:val="clear" w:color="000000" w:fill="F2DCDB"/>
            <w:noWrap/>
            <w:vAlign w:val="bottom"/>
            <w:hideMark/>
          </w:tcPr>
          <w:p w14:paraId="0C3F8E2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36%</w:t>
            </w:r>
          </w:p>
        </w:tc>
      </w:tr>
      <w:tr w:rsidR="00B6457B" w:rsidRPr="00393ABA" w14:paraId="0C3F8E38" w14:textId="77777777" w:rsidTr="00393ABA">
        <w:trPr>
          <w:trHeight w:val="300"/>
        </w:trPr>
        <w:tc>
          <w:tcPr>
            <w:tcW w:w="1407" w:type="dxa"/>
            <w:vMerge w:val="restart"/>
            <w:tcBorders>
              <w:top w:val="nil"/>
              <w:left w:val="single" w:sz="4" w:space="0" w:color="auto"/>
              <w:bottom w:val="nil"/>
              <w:right w:val="single" w:sz="4" w:space="0" w:color="auto"/>
            </w:tcBorders>
            <w:shd w:val="clear" w:color="000000" w:fill="F2F2F2"/>
            <w:vAlign w:val="center"/>
            <w:hideMark/>
          </w:tcPr>
          <w:p w14:paraId="0C3F8E2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Mackay-Whitsundays</w:t>
            </w:r>
          </w:p>
        </w:tc>
        <w:tc>
          <w:tcPr>
            <w:tcW w:w="1120" w:type="dxa"/>
            <w:tcBorders>
              <w:top w:val="nil"/>
              <w:left w:val="nil"/>
              <w:bottom w:val="nil"/>
              <w:right w:val="single" w:sz="4" w:space="0" w:color="auto"/>
            </w:tcBorders>
            <w:shd w:val="clear" w:color="000000" w:fill="F2F2F2"/>
            <w:noWrap/>
            <w:vAlign w:val="center"/>
            <w:hideMark/>
          </w:tcPr>
          <w:p w14:paraId="0C3F8E2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2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220</w:t>
            </w:r>
          </w:p>
        </w:tc>
        <w:tc>
          <w:tcPr>
            <w:tcW w:w="735" w:type="dxa"/>
            <w:tcBorders>
              <w:top w:val="nil"/>
              <w:left w:val="nil"/>
              <w:bottom w:val="nil"/>
              <w:right w:val="nil"/>
            </w:tcBorders>
            <w:shd w:val="clear" w:color="auto" w:fill="auto"/>
            <w:noWrap/>
            <w:vAlign w:val="bottom"/>
            <w:hideMark/>
          </w:tcPr>
          <w:p w14:paraId="0C3F8E2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804" w:type="dxa"/>
            <w:tcBorders>
              <w:top w:val="nil"/>
              <w:left w:val="nil"/>
              <w:bottom w:val="nil"/>
              <w:right w:val="nil"/>
            </w:tcBorders>
            <w:shd w:val="clear" w:color="auto" w:fill="auto"/>
            <w:noWrap/>
            <w:vAlign w:val="bottom"/>
            <w:hideMark/>
          </w:tcPr>
          <w:p w14:paraId="0C3F8E2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774" w:type="dxa"/>
            <w:tcBorders>
              <w:top w:val="nil"/>
              <w:left w:val="nil"/>
              <w:bottom w:val="nil"/>
              <w:right w:val="nil"/>
            </w:tcBorders>
            <w:shd w:val="clear" w:color="auto" w:fill="auto"/>
            <w:noWrap/>
            <w:vAlign w:val="bottom"/>
            <w:hideMark/>
          </w:tcPr>
          <w:p w14:paraId="0C3F8E2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w:t>
            </w:r>
          </w:p>
        </w:tc>
        <w:tc>
          <w:tcPr>
            <w:tcW w:w="641" w:type="dxa"/>
            <w:tcBorders>
              <w:top w:val="nil"/>
              <w:left w:val="nil"/>
              <w:bottom w:val="nil"/>
              <w:right w:val="nil"/>
            </w:tcBorders>
            <w:shd w:val="clear" w:color="auto" w:fill="auto"/>
            <w:noWrap/>
            <w:vAlign w:val="bottom"/>
            <w:hideMark/>
          </w:tcPr>
          <w:p w14:paraId="0C3F8E2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43</w:t>
            </w:r>
          </w:p>
        </w:tc>
        <w:tc>
          <w:tcPr>
            <w:tcW w:w="785" w:type="dxa"/>
            <w:tcBorders>
              <w:top w:val="nil"/>
              <w:left w:val="nil"/>
              <w:bottom w:val="nil"/>
              <w:right w:val="nil"/>
            </w:tcBorders>
            <w:shd w:val="clear" w:color="auto" w:fill="auto"/>
            <w:noWrap/>
            <w:vAlign w:val="bottom"/>
            <w:hideMark/>
          </w:tcPr>
          <w:p w14:paraId="0C3F8E2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157</w:t>
            </w:r>
          </w:p>
        </w:tc>
        <w:tc>
          <w:tcPr>
            <w:tcW w:w="912" w:type="dxa"/>
            <w:tcBorders>
              <w:top w:val="nil"/>
              <w:left w:val="nil"/>
              <w:bottom w:val="nil"/>
              <w:right w:val="nil"/>
            </w:tcBorders>
            <w:shd w:val="clear" w:color="000000" w:fill="F2DCDB"/>
            <w:noWrap/>
            <w:vAlign w:val="bottom"/>
            <w:hideMark/>
          </w:tcPr>
          <w:p w14:paraId="0C3F8E30"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220</w:t>
            </w:r>
          </w:p>
        </w:tc>
        <w:tc>
          <w:tcPr>
            <w:tcW w:w="912" w:type="dxa"/>
            <w:tcBorders>
              <w:top w:val="nil"/>
              <w:left w:val="nil"/>
              <w:bottom w:val="nil"/>
              <w:right w:val="single" w:sz="4" w:space="0" w:color="auto"/>
            </w:tcBorders>
            <w:shd w:val="clear" w:color="000000" w:fill="F2DCDB"/>
            <w:noWrap/>
            <w:vAlign w:val="bottom"/>
            <w:hideMark/>
          </w:tcPr>
          <w:p w14:paraId="0C3F8E3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w:t>
            </w:r>
          </w:p>
        </w:tc>
        <w:tc>
          <w:tcPr>
            <w:tcW w:w="723" w:type="dxa"/>
            <w:tcBorders>
              <w:top w:val="nil"/>
              <w:left w:val="nil"/>
              <w:bottom w:val="nil"/>
              <w:right w:val="nil"/>
            </w:tcBorders>
            <w:shd w:val="clear" w:color="auto" w:fill="auto"/>
            <w:noWrap/>
            <w:vAlign w:val="bottom"/>
            <w:hideMark/>
          </w:tcPr>
          <w:p w14:paraId="0C3F8E3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E3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146</w:t>
            </w:r>
          </w:p>
        </w:tc>
        <w:tc>
          <w:tcPr>
            <w:tcW w:w="622" w:type="dxa"/>
            <w:tcBorders>
              <w:top w:val="nil"/>
              <w:left w:val="nil"/>
              <w:bottom w:val="nil"/>
              <w:right w:val="nil"/>
            </w:tcBorders>
            <w:shd w:val="clear" w:color="auto" w:fill="auto"/>
            <w:noWrap/>
            <w:vAlign w:val="bottom"/>
            <w:hideMark/>
          </w:tcPr>
          <w:p w14:paraId="0C3F8E3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74</w:t>
            </w:r>
          </w:p>
        </w:tc>
        <w:tc>
          <w:tcPr>
            <w:tcW w:w="1028" w:type="dxa"/>
            <w:tcBorders>
              <w:top w:val="nil"/>
              <w:left w:val="nil"/>
              <w:bottom w:val="nil"/>
              <w:right w:val="nil"/>
            </w:tcBorders>
            <w:shd w:val="clear" w:color="auto" w:fill="auto"/>
            <w:noWrap/>
            <w:vAlign w:val="bottom"/>
            <w:hideMark/>
          </w:tcPr>
          <w:p w14:paraId="0C3F8E3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E3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220</w:t>
            </w:r>
          </w:p>
        </w:tc>
        <w:tc>
          <w:tcPr>
            <w:tcW w:w="912" w:type="dxa"/>
            <w:tcBorders>
              <w:top w:val="nil"/>
              <w:left w:val="nil"/>
              <w:bottom w:val="nil"/>
              <w:right w:val="single" w:sz="4" w:space="0" w:color="auto"/>
            </w:tcBorders>
            <w:shd w:val="clear" w:color="000000" w:fill="F2DCDB"/>
            <w:noWrap/>
            <w:vAlign w:val="bottom"/>
            <w:hideMark/>
          </w:tcPr>
          <w:p w14:paraId="0C3F8E3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w:t>
            </w:r>
          </w:p>
        </w:tc>
      </w:tr>
      <w:tr w:rsidR="00B6457B" w:rsidRPr="00393ABA" w14:paraId="0C3F8E49" w14:textId="77777777" w:rsidTr="00393ABA">
        <w:trPr>
          <w:trHeight w:val="300"/>
        </w:trPr>
        <w:tc>
          <w:tcPr>
            <w:tcW w:w="1407" w:type="dxa"/>
            <w:vMerge/>
            <w:tcBorders>
              <w:top w:val="nil"/>
              <w:left w:val="single" w:sz="4" w:space="0" w:color="auto"/>
              <w:bottom w:val="nil"/>
              <w:right w:val="single" w:sz="4" w:space="0" w:color="auto"/>
            </w:tcBorders>
            <w:vAlign w:val="center"/>
            <w:hideMark/>
          </w:tcPr>
          <w:p w14:paraId="0C3F8E39"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nil"/>
              <w:right w:val="single" w:sz="4" w:space="0" w:color="auto"/>
            </w:tcBorders>
            <w:shd w:val="clear" w:color="000000" w:fill="F2F2F2"/>
            <w:noWrap/>
            <w:vAlign w:val="center"/>
            <w:hideMark/>
          </w:tcPr>
          <w:p w14:paraId="0C3F8E3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E3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E3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E3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774" w:type="dxa"/>
            <w:tcBorders>
              <w:top w:val="nil"/>
              <w:left w:val="nil"/>
              <w:bottom w:val="nil"/>
              <w:right w:val="nil"/>
            </w:tcBorders>
            <w:shd w:val="clear" w:color="auto" w:fill="auto"/>
            <w:noWrap/>
            <w:vAlign w:val="bottom"/>
            <w:hideMark/>
          </w:tcPr>
          <w:p w14:paraId="0C3F8E3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w:t>
            </w:r>
          </w:p>
        </w:tc>
        <w:tc>
          <w:tcPr>
            <w:tcW w:w="641" w:type="dxa"/>
            <w:tcBorders>
              <w:top w:val="nil"/>
              <w:left w:val="nil"/>
              <w:bottom w:val="nil"/>
              <w:right w:val="nil"/>
            </w:tcBorders>
            <w:shd w:val="clear" w:color="auto" w:fill="auto"/>
            <w:noWrap/>
            <w:vAlign w:val="bottom"/>
            <w:hideMark/>
          </w:tcPr>
          <w:p w14:paraId="0C3F8E3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19%</w:t>
            </w:r>
          </w:p>
        </w:tc>
        <w:tc>
          <w:tcPr>
            <w:tcW w:w="785" w:type="dxa"/>
            <w:tcBorders>
              <w:top w:val="nil"/>
              <w:left w:val="nil"/>
              <w:bottom w:val="nil"/>
              <w:right w:val="nil"/>
            </w:tcBorders>
            <w:shd w:val="clear" w:color="auto" w:fill="auto"/>
            <w:noWrap/>
            <w:vAlign w:val="bottom"/>
            <w:hideMark/>
          </w:tcPr>
          <w:p w14:paraId="0C3F8E4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71%</w:t>
            </w:r>
          </w:p>
        </w:tc>
        <w:tc>
          <w:tcPr>
            <w:tcW w:w="912" w:type="dxa"/>
            <w:tcBorders>
              <w:top w:val="nil"/>
              <w:left w:val="nil"/>
              <w:bottom w:val="nil"/>
              <w:right w:val="nil"/>
            </w:tcBorders>
            <w:shd w:val="clear" w:color="000000" w:fill="F2DCDB"/>
            <w:noWrap/>
            <w:vAlign w:val="bottom"/>
            <w:hideMark/>
          </w:tcPr>
          <w:p w14:paraId="0C3F8E4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E4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E4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nil"/>
              <w:right w:val="nil"/>
            </w:tcBorders>
            <w:shd w:val="clear" w:color="auto" w:fill="auto"/>
            <w:noWrap/>
            <w:vAlign w:val="bottom"/>
            <w:hideMark/>
          </w:tcPr>
          <w:p w14:paraId="0C3F8E4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66%</w:t>
            </w:r>
          </w:p>
        </w:tc>
        <w:tc>
          <w:tcPr>
            <w:tcW w:w="622" w:type="dxa"/>
            <w:tcBorders>
              <w:top w:val="nil"/>
              <w:left w:val="nil"/>
              <w:bottom w:val="nil"/>
              <w:right w:val="nil"/>
            </w:tcBorders>
            <w:shd w:val="clear" w:color="auto" w:fill="auto"/>
            <w:noWrap/>
            <w:vAlign w:val="bottom"/>
            <w:hideMark/>
          </w:tcPr>
          <w:p w14:paraId="0C3F8E4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34%</w:t>
            </w:r>
          </w:p>
        </w:tc>
        <w:tc>
          <w:tcPr>
            <w:tcW w:w="1028" w:type="dxa"/>
            <w:tcBorders>
              <w:top w:val="nil"/>
              <w:left w:val="nil"/>
              <w:bottom w:val="nil"/>
              <w:right w:val="nil"/>
            </w:tcBorders>
            <w:shd w:val="clear" w:color="auto" w:fill="auto"/>
            <w:noWrap/>
            <w:vAlign w:val="bottom"/>
            <w:hideMark/>
          </w:tcPr>
          <w:p w14:paraId="0C3F8E4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4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E4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E5A"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E4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Fitzroy</w:t>
            </w:r>
          </w:p>
        </w:tc>
        <w:tc>
          <w:tcPr>
            <w:tcW w:w="1120" w:type="dxa"/>
            <w:tcBorders>
              <w:top w:val="nil"/>
              <w:left w:val="single" w:sz="4" w:space="0" w:color="auto"/>
              <w:bottom w:val="nil"/>
              <w:right w:val="single" w:sz="4" w:space="0" w:color="auto"/>
            </w:tcBorders>
            <w:shd w:val="clear" w:color="000000" w:fill="F2F2F2"/>
            <w:noWrap/>
            <w:vAlign w:val="center"/>
            <w:hideMark/>
          </w:tcPr>
          <w:p w14:paraId="0C3F8E4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4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5554</w:t>
            </w:r>
          </w:p>
        </w:tc>
        <w:tc>
          <w:tcPr>
            <w:tcW w:w="735" w:type="dxa"/>
            <w:tcBorders>
              <w:top w:val="nil"/>
              <w:left w:val="nil"/>
              <w:bottom w:val="nil"/>
              <w:right w:val="nil"/>
            </w:tcBorders>
            <w:shd w:val="clear" w:color="auto" w:fill="auto"/>
            <w:noWrap/>
            <w:vAlign w:val="bottom"/>
            <w:hideMark/>
          </w:tcPr>
          <w:p w14:paraId="0C3F8E4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1431</w:t>
            </w:r>
          </w:p>
        </w:tc>
        <w:tc>
          <w:tcPr>
            <w:tcW w:w="804" w:type="dxa"/>
            <w:tcBorders>
              <w:top w:val="nil"/>
              <w:left w:val="nil"/>
              <w:bottom w:val="nil"/>
              <w:right w:val="nil"/>
            </w:tcBorders>
            <w:shd w:val="clear" w:color="auto" w:fill="auto"/>
            <w:noWrap/>
            <w:vAlign w:val="bottom"/>
            <w:hideMark/>
          </w:tcPr>
          <w:p w14:paraId="0C3F8E4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875</w:t>
            </w:r>
          </w:p>
        </w:tc>
        <w:tc>
          <w:tcPr>
            <w:tcW w:w="774" w:type="dxa"/>
            <w:tcBorders>
              <w:top w:val="nil"/>
              <w:left w:val="nil"/>
              <w:bottom w:val="nil"/>
              <w:right w:val="nil"/>
            </w:tcBorders>
            <w:shd w:val="clear" w:color="auto" w:fill="auto"/>
            <w:noWrap/>
            <w:vAlign w:val="bottom"/>
            <w:hideMark/>
          </w:tcPr>
          <w:p w14:paraId="0C3F8E4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2733</w:t>
            </w:r>
          </w:p>
        </w:tc>
        <w:tc>
          <w:tcPr>
            <w:tcW w:w="641" w:type="dxa"/>
            <w:tcBorders>
              <w:top w:val="nil"/>
              <w:left w:val="nil"/>
              <w:bottom w:val="nil"/>
              <w:right w:val="nil"/>
            </w:tcBorders>
            <w:shd w:val="clear" w:color="auto" w:fill="auto"/>
            <w:noWrap/>
            <w:vAlign w:val="bottom"/>
            <w:hideMark/>
          </w:tcPr>
          <w:p w14:paraId="0C3F8E5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234</w:t>
            </w:r>
          </w:p>
        </w:tc>
        <w:tc>
          <w:tcPr>
            <w:tcW w:w="785" w:type="dxa"/>
            <w:tcBorders>
              <w:top w:val="nil"/>
              <w:left w:val="nil"/>
              <w:bottom w:val="nil"/>
              <w:right w:val="nil"/>
            </w:tcBorders>
            <w:shd w:val="clear" w:color="auto" w:fill="auto"/>
            <w:noWrap/>
            <w:vAlign w:val="bottom"/>
            <w:hideMark/>
          </w:tcPr>
          <w:p w14:paraId="0C3F8E5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280</w:t>
            </w:r>
          </w:p>
        </w:tc>
        <w:tc>
          <w:tcPr>
            <w:tcW w:w="912" w:type="dxa"/>
            <w:tcBorders>
              <w:top w:val="nil"/>
              <w:left w:val="nil"/>
              <w:bottom w:val="nil"/>
              <w:right w:val="nil"/>
            </w:tcBorders>
            <w:shd w:val="clear" w:color="000000" w:fill="F2DCDB"/>
            <w:noWrap/>
            <w:vAlign w:val="bottom"/>
            <w:hideMark/>
          </w:tcPr>
          <w:p w14:paraId="0C3F8E52"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5554</w:t>
            </w:r>
          </w:p>
        </w:tc>
        <w:tc>
          <w:tcPr>
            <w:tcW w:w="912" w:type="dxa"/>
            <w:tcBorders>
              <w:top w:val="nil"/>
              <w:left w:val="nil"/>
              <w:bottom w:val="nil"/>
              <w:right w:val="single" w:sz="4" w:space="0" w:color="auto"/>
            </w:tcBorders>
            <w:shd w:val="clear" w:color="000000" w:fill="F2DCDB"/>
            <w:noWrap/>
            <w:vAlign w:val="bottom"/>
            <w:hideMark/>
          </w:tcPr>
          <w:p w14:paraId="0C3F8E5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723" w:type="dxa"/>
            <w:tcBorders>
              <w:top w:val="nil"/>
              <w:left w:val="nil"/>
              <w:bottom w:val="nil"/>
              <w:right w:val="nil"/>
            </w:tcBorders>
            <w:shd w:val="clear" w:color="auto" w:fill="auto"/>
            <w:noWrap/>
            <w:vAlign w:val="bottom"/>
            <w:hideMark/>
          </w:tcPr>
          <w:p w14:paraId="0C3F8E5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3372</w:t>
            </w:r>
          </w:p>
        </w:tc>
        <w:tc>
          <w:tcPr>
            <w:tcW w:w="918" w:type="dxa"/>
            <w:tcBorders>
              <w:top w:val="nil"/>
              <w:left w:val="nil"/>
              <w:bottom w:val="nil"/>
              <w:right w:val="nil"/>
            </w:tcBorders>
            <w:shd w:val="clear" w:color="auto" w:fill="auto"/>
            <w:noWrap/>
            <w:vAlign w:val="bottom"/>
            <w:hideMark/>
          </w:tcPr>
          <w:p w14:paraId="0C3F8E5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1905</w:t>
            </w:r>
          </w:p>
        </w:tc>
        <w:tc>
          <w:tcPr>
            <w:tcW w:w="622" w:type="dxa"/>
            <w:tcBorders>
              <w:top w:val="nil"/>
              <w:left w:val="nil"/>
              <w:bottom w:val="nil"/>
              <w:right w:val="nil"/>
            </w:tcBorders>
            <w:shd w:val="clear" w:color="auto" w:fill="auto"/>
            <w:noWrap/>
            <w:vAlign w:val="bottom"/>
            <w:hideMark/>
          </w:tcPr>
          <w:p w14:paraId="0C3F8E5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276</w:t>
            </w:r>
          </w:p>
        </w:tc>
        <w:tc>
          <w:tcPr>
            <w:tcW w:w="1028" w:type="dxa"/>
            <w:tcBorders>
              <w:top w:val="nil"/>
              <w:left w:val="nil"/>
              <w:bottom w:val="nil"/>
              <w:right w:val="nil"/>
            </w:tcBorders>
            <w:shd w:val="clear" w:color="auto" w:fill="auto"/>
            <w:noWrap/>
            <w:vAlign w:val="bottom"/>
            <w:hideMark/>
          </w:tcPr>
          <w:p w14:paraId="0C3F8E5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E58"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5554</w:t>
            </w:r>
          </w:p>
        </w:tc>
        <w:tc>
          <w:tcPr>
            <w:tcW w:w="912" w:type="dxa"/>
            <w:tcBorders>
              <w:top w:val="nil"/>
              <w:left w:val="nil"/>
              <w:bottom w:val="nil"/>
              <w:right w:val="single" w:sz="4" w:space="0" w:color="auto"/>
            </w:tcBorders>
            <w:shd w:val="clear" w:color="000000" w:fill="F2DCDB"/>
            <w:noWrap/>
            <w:vAlign w:val="bottom"/>
            <w:hideMark/>
          </w:tcPr>
          <w:p w14:paraId="0C3F8E5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r>
      <w:tr w:rsidR="00B6457B" w:rsidRPr="00393ABA" w14:paraId="0C3F8E6B" w14:textId="77777777" w:rsidTr="00393ABA">
        <w:trPr>
          <w:trHeight w:val="300"/>
        </w:trPr>
        <w:tc>
          <w:tcPr>
            <w:tcW w:w="1407" w:type="dxa"/>
            <w:vMerge/>
            <w:tcBorders>
              <w:top w:val="nil"/>
              <w:left w:val="single" w:sz="4" w:space="0" w:color="auto"/>
              <w:bottom w:val="nil"/>
              <w:right w:val="nil"/>
            </w:tcBorders>
            <w:vAlign w:val="center"/>
            <w:hideMark/>
          </w:tcPr>
          <w:p w14:paraId="0C3F8E5B"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E5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E5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E5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26%</w:t>
            </w:r>
          </w:p>
        </w:tc>
        <w:tc>
          <w:tcPr>
            <w:tcW w:w="804" w:type="dxa"/>
            <w:tcBorders>
              <w:top w:val="nil"/>
              <w:left w:val="nil"/>
              <w:bottom w:val="nil"/>
              <w:right w:val="nil"/>
            </w:tcBorders>
            <w:shd w:val="clear" w:color="auto" w:fill="auto"/>
            <w:noWrap/>
            <w:vAlign w:val="bottom"/>
            <w:hideMark/>
          </w:tcPr>
          <w:p w14:paraId="0C3F8E5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16%</w:t>
            </w:r>
          </w:p>
        </w:tc>
        <w:tc>
          <w:tcPr>
            <w:tcW w:w="774" w:type="dxa"/>
            <w:tcBorders>
              <w:top w:val="nil"/>
              <w:left w:val="nil"/>
              <w:bottom w:val="nil"/>
              <w:right w:val="nil"/>
            </w:tcBorders>
            <w:shd w:val="clear" w:color="auto" w:fill="auto"/>
            <w:noWrap/>
            <w:vAlign w:val="bottom"/>
            <w:hideMark/>
          </w:tcPr>
          <w:p w14:paraId="0C3F8E6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49%</w:t>
            </w:r>
          </w:p>
        </w:tc>
        <w:tc>
          <w:tcPr>
            <w:tcW w:w="641" w:type="dxa"/>
            <w:tcBorders>
              <w:top w:val="nil"/>
              <w:left w:val="nil"/>
              <w:bottom w:val="nil"/>
              <w:right w:val="nil"/>
            </w:tcBorders>
            <w:shd w:val="clear" w:color="auto" w:fill="auto"/>
            <w:noWrap/>
            <w:vAlign w:val="bottom"/>
            <w:hideMark/>
          </w:tcPr>
          <w:p w14:paraId="0C3F8E6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785" w:type="dxa"/>
            <w:tcBorders>
              <w:top w:val="nil"/>
              <w:left w:val="nil"/>
              <w:bottom w:val="nil"/>
              <w:right w:val="nil"/>
            </w:tcBorders>
            <w:shd w:val="clear" w:color="auto" w:fill="auto"/>
            <w:noWrap/>
            <w:vAlign w:val="bottom"/>
            <w:hideMark/>
          </w:tcPr>
          <w:p w14:paraId="0C3F8E6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912" w:type="dxa"/>
            <w:tcBorders>
              <w:top w:val="nil"/>
              <w:left w:val="nil"/>
              <w:bottom w:val="nil"/>
              <w:right w:val="nil"/>
            </w:tcBorders>
            <w:shd w:val="clear" w:color="000000" w:fill="F2DCDB"/>
            <w:noWrap/>
            <w:vAlign w:val="bottom"/>
            <w:hideMark/>
          </w:tcPr>
          <w:p w14:paraId="0C3F8E6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E6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E6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61%</w:t>
            </w:r>
          </w:p>
        </w:tc>
        <w:tc>
          <w:tcPr>
            <w:tcW w:w="918" w:type="dxa"/>
            <w:tcBorders>
              <w:top w:val="nil"/>
              <w:left w:val="nil"/>
              <w:bottom w:val="nil"/>
              <w:right w:val="nil"/>
            </w:tcBorders>
            <w:shd w:val="clear" w:color="auto" w:fill="auto"/>
            <w:noWrap/>
            <w:vAlign w:val="bottom"/>
            <w:hideMark/>
          </w:tcPr>
          <w:p w14:paraId="0C3F8E6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34%</w:t>
            </w:r>
          </w:p>
        </w:tc>
        <w:tc>
          <w:tcPr>
            <w:tcW w:w="622" w:type="dxa"/>
            <w:tcBorders>
              <w:top w:val="nil"/>
              <w:left w:val="nil"/>
              <w:bottom w:val="nil"/>
              <w:right w:val="nil"/>
            </w:tcBorders>
            <w:shd w:val="clear" w:color="auto" w:fill="auto"/>
            <w:noWrap/>
            <w:vAlign w:val="bottom"/>
            <w:hideMark/>
          </w:tcPr>
          <w:p w14:paraId="0C3F8E6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1028" w:type="dxa"/>
            <w:tcBorders>
              <w:top w:val="nil"/>
              <w:left w:val="nil"/>
              <w:bottom w:val="nil"/>
              <w:right w:val="nil"/>
            </w:tcBorders>
            <w:shd w:val="clear" w:color="auto" w:fill="auto"/>
            <w:noWrap/>
            <w:vAlign w:val="bottom"/>
            <w:hideMark/>
          </w:tcPr>
          <w:p w14:paraId="0C3F8E6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6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E6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E7C" w14:textId="77777777" w:rsidTr="00393ABA">
        <w:trPr>
          <w:trHeight w:val="300"/>
        </w:trPr>
        <w:tc>
          <w:tcPr>
            <w:tcW w:w="140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C3F8E6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Burnett-Mary</w:t>
            </w:r>
          </w:p>
        </w:tc>
        <w:tc>
          <w:tcPr>
            <w:tcW w:w="1120" w:type="dxa"/>
            <w:tcBorders>
              <w:top w:val="nil"/>
              <w:left w:val="nil"/>
              <w:bottom w:val="nil"/>
              <w:right w:val="single" w:sz="4" w:space="0" w:color="auto"/>
            </w:tcBorders>
            <w:shd w:val="clear" w:color="000000" w:fill="F2F2F2"/>
            <w:noWrap/>
            <w:vAlign w:val="center"/>
            <w:hideMark/>
          </w:tcPr>
          <w:p w14:paraId="0C3F8E6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6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6301</w:t>
            </w:r>
          </w:p>
        </w:tc>
        <w:tc>
          <w:tcPr>
            <w:tcW w:w="735" w:type="dxa"/>
            <w:tcBorders>
              <w:top w:val="nil"/>
              <w:left w:val="nil"/>
              <w:bottom w:val="nil"/>
              <w:right w:val="nil"/>
            </w:tcBorders>
            <w:shd w:val="clear" w:color="auto" w:fill="auto"/>
            <w:noWrap/>
            <w:vAlign w:val="bottom"/>
            <w:hideMark/>
          </w:tcPr>
          <w:p w14:paraId="0C3F8E6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5214</w:t>
            </w:r>
          </w:p>
        </w:tc>
        <w:tc>
          <w:tcPr>
            <w:tcW w:w="804" w:type="dxa"/>
            <w:tcBorders>
              <w:top w:val="nil"/>
              <w:left w:val="nil"/>
              <w:bottom w:val="nil"/>
              <w:right w:val="nil"/>
            </w:tcBorders>
            <w:shd w:val="clear" w:color="auto" w:fill="auto"/>
            <w:noWrap/>
            <w:vAlign w:val="bottom"/>
            <w:hideMark/>
          </w:tcPr>
          <w:p w14:paraId="0C3F8E7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403</w:t>
            </w:r>
          </w:p>
        </w:tc>
        <w:tc>
          <w:tcPr>
            <w:tcW w:w="774" w:type="dxa"/>
            <w:tcBorders>
              <w:top w:val="nil"/>
              <w:left w:val="nil"/>
              <w:bottom w:val="nil"/>
              <w:right w:val="nil"/>
            </w:tcBorders>
            <w:shd w:val="clear" w:color="auto" w:fill="auto"/>
            <w:noWrap/>
            <w:vAlign w:val="bottom"/>
            <w:hideMark/>
          </w:tcPr>
          <w:p w14:paraId="0C3F8E7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302</w:t>
            </w:r>
          </w:p>
        </w:tc>
        <w:tc>
          <w:tcPr>
            <w:tcW w:w="641" w:type="dxa"/>
            <w:tcBorders>
              <w:top w:val="nil"/>
              <w:left w:val="nil"/>
              <w:bottom w:val="nil"/>
              <w:right w:val="nil"/>
            </w:tcBorders>
            <w:shd w:val="clear" w:color="auto" w:fill="auto"/>
            <w:noWrap/>
            <w:vAlign w:val="bottom"/>
            <w:hideMark/>
          </w:tcPr>
          <w:p w14:paraId="0C3F8E7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145</w:t>
            </w:r>
          </w:p>
        </w:tc>
        <w:tc>
          <w:tcPr>
            <w:tcW w:w="785" w:type="dxa"/>
            <w:tcBorders>
              <w:top w:val="nil"/>
              <w:left w:val="nil"/>
              <w:bottom w:val="nil"/>
              <w:right w:val="nil"/>
            </w:tcBorders>
            <w:shd w:val="clear" w:color="auto" w:fill="auto"/>
            <w:noWrap/>
            <w:vAlign w:val="bottom"/>
            <w:hideMark/>
          </w:tcPr>
          <w:p w14:paraId="0C3F8E7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158</w:t>
            </w:r>
          </w:p>
        </w:tc>
        <w:tc>
          <w:tcPr>
            <w:tcW w:w="912" w:type="dxa"/>
            <w:tcBorders>
              <w:top w:val="nil"/>
              <w:left w:val="nil"/>
              <w:bottom w:val="nil"/>
              <w:right w:val="nil"/>
            </w:tcBorders>
            <w:shd w:val="clear" w:color="000000" w:fill="F2DCDB"/>
            <w:noWrap/>
            <w:vAlign w:val="bottom"/>
            <w:hideMark/>
          </w:tcPr>
          <w:p w14:paraId="0C3F8E7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6221</w:t>
            </w:r>
          </w:p>
        </w:tc>
        <w:tc>
          <w:tcPr>
            <w:tcW w:w="912" w:type="dxa"/>
            <w:tcBorders>
              <w:top w:val="nil"/>
              <w:left w:val="nil"/>
              <w:bottom w:val="nil"/>
              <w:right w:val="single" w:sz="4" w:space="0" w:color="auto"/>
            </w:tcBorders>
            <w:shd w:val="clear" w:color="000000" w:fill="F2DCDB"/>
            <w:noWrap/>
            <w:vAlign w:val="bottom"/>
            <w:hideMark/>
          </w:tcPr>
          <w:p w14:paraId="0C3F8E7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79</w:t>
            </w:r>
          </w:p>
        </w:tc>
        <w:tc>
          <w:tcPr>
            <w:tcW w:w="723" w:type="dxa"/>
            <w:tcBorders>
              <w:top w:val="nil"/>
              <w:left w:val="nil"/>
              <w:bottom w:val="nil"/>
              <w:right w:val="nil"/>
            </w:tcBorders>
            <w:shd w:val="clear" w:color="auto" w:fill="auto"/>
            <w:noWrap/>
            <w:vAlign w:val="bottom"/>
            <w:hideMark/>
          </w:tcPr>
          <w:p w14:paraId="0C3F8E7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3391</w:t>
            </w:r>
          </w:p>
        </w:tc>
        <w:tc>
          <w:tcPr>
            <w:tcW w:w="918" w:type="dxa"/>
            <w:tcBorders>
              <w:top w:val="nil"/>
              <w:left w:val="nil"/>
              <w:bottom w:val="nil"/>
              <w:right w:val="nil"/>
            </w:tcBorders>
            <w:shd w:val="clear" w:color="auto" w:fill="auto"/>
            <w:noWrap/>
            <w:vAlign w:val="bottom"/>
            <w:hideMark/>
          </w:tcPr>
          <w:p w14:paraId="0C3F8E7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2822</w:t>
            </w:r>
          </w:p>
        </w:tc>
        <w:tc>
          <w:tcPr>
            <w:tcW w:w="622" w:type="dxa"/>
            <w:tcBorders>
              <w:top w:val="nil"/>
              <w:left w:val="nil"/>
              <w:bottom w:val="nil"/>
              <w:right w:val="nil"/>
            </w:tcBorders>
            <w:shd w:val="clear" w:color="auto" w:fill="auto"/>
            <w:noWrap/>
            <w:vAlign w:val="bottom"/>
            <w:hideMark/>
          </w:tcPr>
          <w:p w14:paraId="0C3F8E7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w:t>
            </w:r>
          </w:p>
        </w:tc>
        <w:tc>
          <w:tcPr>
            <w:tcW w:w="1028" w:type="dxa"/>
            <w:tcBorders>
              <w:top w:val="nil"/>
              <w:left w:val="nil"/>
              <w:bottom w:val="nil"/>
              <w:right w:val="nil"/>
            </w:tcBorders>
            <w:shd w:val="clear" w:color="auto" w:fill="auto"/>
            <w:noWrap/>
            <w:vAlign w:val="bottom"/>
            <w:hideMark/>
          </w:tcPr>
          <w:p w14:paraId="0C3F8E7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2" w:type="dxa"/>
            <w:tcBorders>
              <w:top w:val="nil"/>
              <w:left w:val="nil"/>
              <w:bottom w:val="nil"/>
              <w:right w:val="nil"/>
            </w:tcBorders>
            <w:shd w:val="clear" w:color="000000" w:fill="F2DCDB"/>
            <w:noWrap/>
            <w:vAlign w:val="bottom"/>
            <w:hideMark/>
          </w:tcPr>
          <w:p w14:paraId="0C3F8E7A"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6221</w:t>
            </w:r>
          </w:p>
        </w:tc>
        <w:tc>
          <w:tcPr>
            <w:tcW w:w="912" w:type="dxa"/>
            <w:tcBorders>
              <w:top w:val="nil"/>
              <w:left w:val="nil"/>
              <w:bottom w:val="nil"/>
              <w:right w:val="single" w:sz="4" w:space="0" w:color="auto"/>
            </w:tcBorders>
            <w:shd w:val="clear" w:color="000000" w:fill="F2DCDB"/>
            <w:noWrap/>
            <w:vAlign w:val="bottom"/>
            <w:hideMark/>
          </w:tcPr>
          <w:p w14:paraId="0C3F8E7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80</w:t>
            </w:r>
          </w:p>
        </w:tc>
      </w:tr>
      <w:tr w:rsidR="00B6457B" w:rsidRPr="00393ABA" w14:paraId="0C3F8E8D" w14:textId="77777777" w:rsidTr="00393ABA">
        <w:trPr>
          <w:trHeight w:val="300"/>
        </w:trPr>
        <w:tc>
          <w:tcPr>
            <w:tcW w:w="1407" w:type="dxa"/>
            <w:vMerge/>
            <w:tcBorders>
              <w:top w:val="nil"/>
              <w:left w:val="single" w:sz="4" w:space="0" w:color="auto"/>
              <w:bottom w:val="single" w:sz="4" w:space="0" w:color="000000"/>
              <w:right w:val="single" w:sz="4" w:space="0" w:color="auto"/>
            </w:tcBorders>
            <w:vAlign w:val="center"/>
            <w:hideMark/>
          </w:tcPr>
          <w:p w14:paraId="0C3F8E7D"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single" w:sz="4" w:space="0" w:color="auto"/>
              <w:right w:val="single" w:sz="4" w:space="0" w:color="auto"/>
            </w:tcBorders>
            <w:shd w:val="clear" w:color="000000" w:fill="F2F2F2"/>
            <w:noWrap/>
            <w:vAlign w:val="center"/>
            <w:hideMark/>
          </w:tcPr>
          <w:p w14:paraId="0C3F8E7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single" w:sz="4" w:space="0" w:color="auto"/>
              <w:right w:val="single" w:sz="4" w:space="0" w:color="auto"/>
            </w:tcBorders>
            <w:shd w:val="clear" w:color="000000" w:fill="F2F2F2"/>
            <w:noWrap/>
            <w:vAlign w:val="bottom"/>
            <w:hideMark/>
          </w:tcPr>
          <w:p w14:paraId="0C3F8E7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single" w:sz="4" w:space="0" w:color="auto"/>
              <w:right w:val="nil"/>
            </w:tcBorders>
            <w:shd w:val="clear" w:color="auto" w:fill="auto"/>
            <w:noWrap/>
            <w:vAlign w:val="bottom"/>
            <w:hideMark/>
          </w:tcPr>
          <w:p w14:paraId="0C3F8E8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83%</w:t>
            </w:r>
          </w:p>
        </w:tc>
        <w:tc>
          <w:tcPr>
            <w:tcW w:w="804" w:type="dxa"/>
            <w:tcBorders>
              <w:top w:val="nil"/>
              <w:left w:val="nil"/>
              <w:bottom w:val="single" w:sz="4" w:space="0" w:color="auto"/>
              <w:right w:val="nil"/>
            </w:tcBorders>
            <w:shd w:val="clear" w:color="auto" w:fill="auto"/>
            <w:noWrap/>
            <w:vAlign w:val="bottom"/>
            <w:hideMark/>
          </w:tcPr>
          <w:p w14:paraId="0C3F8E8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74" w:type="dxa"/>
            <w:tcBorders>
              <w:top w:val="nil"/>
              <w:left w:val="nil"/>
              <w:bottom w:val="single" w:sz="4" w:space="0" w:color="auto"/>
              <w:right w:val="nil"/>
            </w:tcBorders>
            <w:shd w:val="clear" w:color="auto" w:fill="auto"/>
            <w:noWrap/>
            <w:vAlign w:val="bottom"/>
            <w:hideMark/>
          </w:tcPr>
          <w:p w14:paraId="0C3F8E8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641" w:type="dxa"/>
            <w:tcBorders>
              <w:top w:val="nil"/>
              <w:left w:val="nil"/>
              <w:bottom w:val="single" w:sz="4" w:space="0" w:color="auto"/>
              <w:right w:val="nil"/>
            </w:tcBorders>
            <w:shd w:val="clear" w:color="auto" w:fill="auto"/>
            <w:noWrap/>
            <w:vAlign w:val="bottom"/>
            <w:hideMark/>
          </w:tcPr>
          <w:p w14:paraId="0C3F8E8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85" w:type="dxa"/>
            <w:tcBorders>
              <w:top w:val="nil"/>
              <w:left w:val="nil"/>
              <w:bottom w:val="single" w:sz="4" w:space="0" w:color="auto"/>
              <w:right w:val="nil"/>
            </w:tcBorders>
            <w:shd w:val="clear" w:color="auto" w:fill="auto"/>
            <w:noWrap/>
            <w:vAlign w:val="bottom"/>
            <w:hideMark/>
          </w:tcPr>
          <w:p w14:paraId="0C3F8E8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2" w:type="dxa"/>
            <w:tcBorders>
              <w:top w:val="nil"/>
              <w:left w:val="nil"/>
              <w:bottom w:val="single" w:sz="4" w:space="0" w:color="auto"/>
              <w:right w:val="nil"/>
            </w:tcBorders>
            <w:shd w:val="clear" w:color="000000" w:fill="F2DCDB"/>
            <w:noWrap/>
            <w:vAlign w:val="bottom"/>
            <w:hideMark/>
          </w:tcPr>
          <w:p w14:paraId="0C3F8E8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w:t>
            </w:r>
          </w:p>
        </w:tc>
        <w:tc>
          <w:tcPr>
            <w:tcW w:w="912" w:type="dxa"/>
            <w:tcBorders>
              <w:top w:val="nil"/>
              <w:left w:val="nil"/>
              <w:bottom w:val="single" w:sz="4" w:space="0" w:color="auto"/>
              <w:right w:val="nil"/>
            </w:tcBorders>
            <w:shd w:val="clear" w:color="000000" w:fill="F2DCDB"/>
            <w:noWrap/>
            <w:vAlign w:val="bottom"/>
            <w:hideMark/>
          </w:tcPr>
          <w:p w14:paraId="0C3F8E8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w:t>
            </w:r>
          </w:p>
        </w:tc>
        <w:tc>
          <w:tcPr>
            <w:tcW w:w="723" w:type="dxa"/>
            <w:tcBorders>
              <w:top w:val="nil"/>
              <w:left w:val="single" w:sz="4" w:space="0" w:color="auto"/>
              <w:bottom w:val="single" w:sz="4" w:space="0" w:color="auto"/>
              <w:right w:val="nil"/>
            </w:tcBorders>
            <w:shd w:val="clear" w:color="auto" w:fill="auto"/>
            <w:noWrap/>
            <w:vAlign w:val="bottom"/>
            <w:hideMark/>
          </w:tcPr>
          <w:p w14:paraId="0C3F8E8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54%</w:t>
            </w:r>
          </w:p>
        </w:tc>
        <w:tc>
          <w:tcPr>
            <w:tcW w:w="918" w:type="dxa"/>
            <w:tcBorders>
              <w:top w:val="nil"/>
              <w:left w:val="nil"/>
              <w:bottom w:val="single" w:sz="4" w:space="0" w:color="auto"/>
              <w:right w:val="nil"/>
            </w:tcBorders>
            <w:shd w:val="clear" w:color="auto" w:fill="auto"/>
            <w:noWrap/>
            <w:vAlign w:val="bottom"/>
            <w:hideMark/>
          </w:tcPr>
          <w:p w14:paraId="0C3F8E8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45%</w:t>
            </w:r>
          </w:p>
        </w:tc>
        <w:tc>
          <w:tcPr>
            <w:tcW w:w="622" w:type="dxa"/>
            <w:tcBorders>
              <w:top w:val="nil"/>
              <w:left w:val="nil"/>
              <w:bottom w:val="single" w:sz="4" w:space="0" w:color="auto"/>
              <w:right w:val="nil"/>
            </w:tcBorders>
            <w:shd w:val="clear" w:color="auto" w:fill="auto"/>
            <w:noWrap/>
            <w:vAlign w:val="bottom"/>
            <w:hideMark/>
          </w:tcPr>
          <w:p w14:paraId="0C3F8E8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1028" w:type="dxa"/>
            <w:tcBorders>
              <w:top w:val="nil"/>
              <w:left w:val="nil"/>
              <w:bottom w:val="single" w:sz="4" w:space="0" w:color="auto"/>
              <w:right w:val="nil"/>
            </w:tcBorders>
            <w:shd w:val="clear" w:color="auto" w:fill="auto"/>
            <w:noWrap/>
            <w:vAlign w:val="bottom"/>
            <w:hideMark/>
          </w:tcPr>
          <w:p w14:paraId="0C3F8E8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single" w:sz="4" w:space="0" w:color="auto"/>
              <w:right w:val="nil"/>
            </w:tcBorders>
            <w:shd w:val="clear" w:color="000000" w:fill="F2DCDB"/>
            <w:noWrap/>
            <w:vAlign w:val="bottom"/>
            <w:hideMark/>
          </w:tcPr>
          <w:p w14:paraId="0C3F8E8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w:t>
            </w:r>
          </w:p>
        </w:tc>
        <w:tc>
          <w:tcPr>
            <w:tcW w:w="912" w:type="dxa"/>
            <w:tcBorders>
              <w:top w:val="nil"/>
              <w:left w:val="nil"/>
              <w:bottom w:val="single" w:sz="4" w:space="0" w:color="auto"/>
              <w:right w:val="single" w:sz="4" w:space="0" w:color="auto"/>
            </w:tcBorders>
            <w:shd w:val="clear" w:color="000000" w:fill="F2DCDB"/>
            <w:noWrap/>
            <w:vAlign w:val="bottom"/>
            <w:hideMark/>
          </w:tcPr>
          <w:p w14:paraId="0C3F8E8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w:t>
            </w:r>
          </w:p>
        </w:tc>
      </w:tr>
      <w:tr w:rsidR="00B6457B" w:rsidRPr="00393ABA" w14:paraId="0C3F8E9E" w14:textId="77777777" w:rsidTr="00393ABA">
        <w:trPr>
          <w:trHeight w:val="90"/>
        </w:trPr>
        <w:tc>
          <w:tcPr>
            <w:tcW w:w="1407" w:type="dxa"/>
            <w:tcBorders>
              <w:top w:val="nil"/>
              <w:left w:val="nil"/>
              <w:bottom w:val="nil"/>
              <w:right w:val="nil"/>
            </w:tcBorders>
            <w:shd w:val="clear" w:color="auto" w:fill="auto"/>
            <w:noWrap/>
            <w:vAlign w:val="center"/>
            <w:hideMark/>
          </w:tcPr>
          <w:p w14:paraId="0C3F8E8E" w14:textId="77777777" w:rsidR="00B6457B" w:rsidRPr="00393ABA" w:rsidRDefault="00B6457B" w:rsidP="00393ABA">
            <w:pPr>
              <w:spacing w:after="120"/>
              <w:jc w:val="center"/>
              <w:rPr>
                <w:rFonts w:ascii="Calibri" w:hAnsi="Calibri" w:cs="Calibri"/>
                <w:b/>
                <w:bCs/>
                <w:color w:val="000000"/>
                <w:sz w:val="20"/>
                <w:szCs w:val="20"/>
              </w:rPr>
            </w:pPr>
          </w:p>
        </w:tc>
        <w:tc>
          <w:tcPr>
            <w:tcW w:w="1120" w:type="dxa"/>
            <w:tcBorders>
              <w:top w:val="nil"/>
              <w:left w:val="nil"/>
              <w:bottom w:val="nil"/>
              <w:right w:val="nil"/>
            </w:tcBorders>
            <w:shd w:val="clear" w:color="auto" w:fill="auto"/>
            <w:noWrap/>
            <w:vAlign w:val="center"/>
            <w:hideMark/>
          </w:tcPr>
          <w:p w14:paraId="0C3F8E8F" w14:textId="77777777" w:rsidR="00B6457B" w:rsidRPr="00393ABA" w:rsidRDefault="00B6457B" w:rsidP="00393ABA">
            <w:pPr>
              <w:spacing w:after="120"/>
              <w:jc w:val="center"/>
              <w:rPr>
                <w:rFonts w:ascii="Calibri" w:hAnsi="Calibri" w:cs="Calibri"/>
                <w:color w:val="000000"/>
                <w:sz w:val="20"/>
                <w:szCs w:val="20"/>
              </w:rPr>
            </w:pPr>
          </w:p>
        </w:tc>
        <w:tc>
          <w:tcPr>
            <w:tcW w:w="820" w:type="dxa"/>
            <w:tcBorders>
              <w:top w:val="nil"/>
              <w:left w:val="nil"/>
              <w:bottom w:val="nil"/>
              <w:right w:val="nil"/>
            </w:tcBorders>
            <w:shd w:val="clear" w:color="auto" w:fill="auto"/>
            <w:noWrap/>
            <w:vAlign w:val="bottom"/>
            <w:hideMark/>
          </w:tcPr>
          <w:p w14:paraId="0C3F8E90" w14:textId="77777777" w:rsidR="00B6457B" w:rsidRPr="00393ABA" w:rsidRDefault="00B6457B" w:rsidP="00393ABA">
            <w:pPr>
              <w:spacing w:after="120"/>
              <w:jc w:val="center"/>
              <w:rPr>
                <w:rFonts w:ascii="Calibri" w:hAnsi="Calibri" w:cs="Calibri"/>
                <w:color w:val="000000"/>
                <w:sz w:val="20"/>
                <w:szCs w:val="20"/>
              </w:rPr>
            </w:pPr>
          </w:p>
        </w:tc>
        <w:tc>
          <w:tcPr>
            <w:tcW w:w="735" w:type="dxa"/>
            <w:tcBorders>
              <w:top w:val="nil"/>
              <w:left w:val="nil"/>
              <w:bottom w:val="nil"/>
              <w:right w:val="nil"/>
            </w:tcBorders>
            <w:shd w:val="clear" w:color="auto" w:fill="auto"/>
            <w:noWrap/>
            <w:vAlign w:val="bottom"/>
            <w:hideMark/>
          </w:tcPr>
          <w:p w14:paraId="0C3F8E91" w14:textId="77777777" w:rsidR="00B6457B" w:rsidRPr="00393ABA" w:rsidRDefault="00B6457B" w:rsidP="00393ABA">
            <w:pPr>
              <w:spacing w:after="120"/>
              <w:jc w:val="center"/>
              <w:rPr>
                <w:rFonts w:ascii="Calibri" w:hAnsi="Calibri" w:cs="Calibri"/>
                <w:color w:val="000000"/>
                <w:sz w:val="20"/>
                <w:szCs w:val="20"/>
              </w:rPr>
            </w:pPr>
          </w:p>
        </w:tc>
        <w:tc>
          <w:tcPr>
            <w:tcW w:w="804" w:type="dxa"/>
            <w:tcBorders>
              <w:top w:val="nil"/>
              <w:left w:val="nil"/>
              <w:bottom w:val="nil"/>
              <w:right w:val="nil"/>
            </w:tcBorders>
            <w:shd w:val="clear" w:color="auto" w:fill="auto"/>
            <w:noWrap/>
            <w:vAlign w:val="bottom"/>
            <w:hideMark/>
          </w:tcPr>
          <w:p w14:paraId="0C3F8E92" w14:textId="77777777" w:rsidR="00B6457B" w:rsidRPr="00393ABA" w:rsidRDefault="00B6457B" w:rsidP="00393ABA">
            <w:pPr>
              <w:spacing w:after="120"/>
              <w:jc w:val="center"/>
              <w:rPr>
                <w:rFonts w:ascii="Calibri" w:hAnsi="Calibri" w:cs="Calibri"/>
                <w:color w:val="000000"/>
                <w:sz w:val="20"/>
                <w:szCs w:val="20"/>
              </w:rPr>
            </w:pPr>
          </w:p>
        </w:tc>
        <w:tc>
          <w:tcPr>
            <w:tcW w:w="774" w:type="dxa"/>
            <w:tcBorders>
              <w:top w:val="nil"/>
              <w:left w:val="nil"/>
              <w:bottom w:val="nil"/>
              <w:right w:val="nil"/>
            </w:tcBorders>
            <w:shd w:val="clear" w:color="auto" w:fill="auto"/>
            <w:noWrap/>
            <w:vAlign w:val="bottom"/>
            <w:hideMark/>
          </w:tcPr>
          <w:p w14:paraId="0C3F8E93" w14:textId="77777777" w:rsidR="00B6457B" w:rsidRPr="00393ABA" w:rsidRDefault="00B6457B" w:rsidP="00393ABA">
            <w:pPr>
              <w:spacing w:after="120"/>
              <w:jc w:val="center"/>
              <w:rPr>
                <w:rFonts w:ascii="Calibri" w:hAnsi="Calibri" w:cs="Calibri"/>
                <w:color w:val="000000"/>
                <w:sz w:val="20"/>
                <w:szCs w:val="20"/>
              </w:rPr>
            </w:pPr>
          </w:p>
        </w:tc>
        <w:tc>
          <w:tcPr>
            <w:tcW w:w="641" w:type="dxa"/>
            <w:tcBorders>
              <w:top w:val="nil"/>
              <w:left w:val="nil"/>
              <w:bottom w:val="nil"/>
              <w:right w:val="nil"/>
            </w:tcBorders>
            <w:shd w:val="clear" w:color="auto" w:fill="auto"/>
            <w:noWrap/>
            <w:vAlign w:val="bottom"/>
            <w:hideMark/>
          </w:tcPr>
          <w:p w14:paraId="0C3F8E94" w14:textId="77777777" w:rsidR="00B6457B" w:rsidRPr="00393ABA" w:rsidRDefault="00B6457B" w:rsidP="00393ABA">
            <w:pPr>
              <w:spacing w:after="120"/>
              <w:jc w:val="center"/>
              <w:rPr>
                <w:rFonts w:ascii="Calibri" w:hAnsi="Calibri" w:cs="Calibri"/>
                <w:color w:val="000000"/>
                <w:sz w:val="20"/>
                <w:szCs w:val="20"/>
              </w:rPr>
            </w:pPr>
          </w:p>
        </w:tc>
        <w:tc>
          <w:tcPr>
            <w:tcW w:w="785" w:type="dxa"/>
            <w:tcBorders>
              <w:top w:val="nil"/>
              <w:left w:val="nil"/>
              <w:bottom w:val="nil"/>
              <w:right w:val="nil"/>
            </w:tcBorders>
            <w:shd w:val="clear" w:color="auto" w:fill="auto"/>
            <w:noWrap/>
            <w:vAlign w:val="bottom"/>
            <w:hideMark/>
          </w:tcPr>
          <w:p w14:paraId="0C3F8E95" w14:textId="77777777" w:rsidR="00B6457B" w:rsidRPr="00393ABA" w:rsidRDefault="00B6457B" w:rsidP="00393ABA">
            <w:pPr>
              <w:spacing w:after="120"/>
              <w:jc w:val="center"/>
              <w:rPr>
                <w:rFonts w:ascii="Calibri" w:hAnsi="Calibri" w:cs="Calibri"/>
                <w:color w:val="000000"/>
                <w:sz w:val="20"/>
                <w:szCs w:val="20"/>
              </w:rPr>
            </w:pPr>
          </w:p>
        </w:tc>
        <w:tc>
          <w:tcPr>
            <w:tcW w:w="912" w:type="dxa"/>
            <w:tcBorders>
              <w:top w:val="nil"/>
              <w:left w:val="nil"/>
              <w:bottom w:val="nil"/>
              <w:right w:val="nil"/>
            </w:tcBorders>
            <w:shd w:val="clear" w:color="auto" w:fill="auto"/>
            <w:noWrap/>
            <w:vAlign w:val="bottom"/>
            <w:hideMark/>
          </w:tcPr>
          <w:p w14:paraId="0C3F8E96" w14:textId="77777777" w:rsidR="00B6457B" w:rsidRPr="00393ABA" w:rsidRDefault="00B6457B" w:rsidP="00393ABA">
            <w:pPr>
              <w:spacing w:after="120"/>
              <w:jc w:val="center"/>
              <w:rPr>
                <w:rFonts w:ascii="Calibri" w:hAnsi="Calibri" w:cs="Calibri"/>
                <w:color w:val="000000"/>
                <w:sz w:val="20"/>
                <w:szCs w:val="20"/>
              </w:rPr>
            </w:pPr>
          </w:p>
        </w:tc>
        <w:tc>
          <w:tcPr>
            <w:tcW w:w="912" w:type="dxa"/>
            <w:tcBorders>
              <w:top w:val="nil"/>
              <w:left w:val="nil"/>
              <w:bottom w:val="nil"/>
              <w:right w:val="nil"/>
            </w:tcBorders>
            <w:shd w:val="clear" w:color="auto" w:fill="auto"/>
            <w:noWrap/>
            <w:vAlign w:val="bottom"/>
            <w:hideMark/>
          </w:tcPr>
          <w:p w14:paraId="0C3F8E97" w14:textId="77777777" w:rsidR="00B6457B" w:rsidRPr="00393ABA" w:rsidRDefault="00B6457B" w:rsidP="00393ABA">
            <w:pPr>
              <w:spacing w:after="120"/>
              <w:jc w:val="center"/>
              <w:rPr>
                <w:rFonts w:ascii="Calibri" w:hAnsi="Calibri" w:cs="Calibri"/>
                <w:color w:val="000000"/>
                <w:sz w:val="20"/>
                <w:szCs w:val="20"/>
              </w:rPr>
            </w:pPr>
          </w:p>
        </w:tc>
        <w:tc>
          <w:tcPr>
            <w:tcW w:w="723" w:type="dxa"/>
            <w:tcBorders>
              <w:top w:val="nil"/>
              <w:left w:val="nil"/>
              <w:bottom w:val="nil"/>
              <w:right w:val="nil"/>
            </w:tcBorders>
            <w:shd w:val="clear" w:color="auto" w:fill="auto"/>
            <w:noWrap/>
            <w:vAlign w:val="bottom"/>
            <w:hideMark/>
          </w:tcPr>
          <w:p w14:paraId="0C3F8E98" w14:textId="77777777" w:rsidR="00B6457B" w:rsidRPr="00393ABA" w:rsidRDefault="00B6457B" w:rsidP="00393ABA">
            <w:pPr>
              <w:spacing w:after="120"/>
              <w:jc w:val="center"/>
              <w:rPr>
                <w:rFonts w:ascii="Calibri" w:hAnsi="Calibri" w:cs="Calibri"/>
                <w:color w:val="000000"/>
                <w:sz w:val="20"/>
                <w:szCs w:val="20"/>
              </w:rPr>
            </w:pPr>
          </w:p>
        </w:tc>
        <w:tc>
          <w:tcPr>
            <w:tcW w:w="918" w:type="dxa"/>
            <w:tcBorders>
              <w:top w:val="nil"/>
              <w:left w:val="nil"/>
              <w:bottom w:val="nil"/>
              <w:right w:val="nil"/>
            </w:tcBorders>
            <w:shd w:val="clear" w:color="auto" w:fill="auto"/>
            <w:noWrap/>
            <w:vAlign w:val="bottom"/>
            <w:hideMark/>
          </w:tcPr>
          <w:p w14:paraId="0C3F8E99" w14:textId="77777777" w:rsidR="00B6457B" w:rsidRPr="00393ABA" w:rsidRDefault="00B6457B" w:rsidP="00393ABA">
            <w:pPr>
              <w:spacing w:after="120"/>
              <w:jc w:val="center"/>
              <w:rPr>
                <w:rFonts w:ascii="Calibri" w:hAnsi="Calibri" w:cs="Calibri"/>
                <w:color w:val="000000"/>
                <w:sz w:val="20"/>
                <w:szCs w:val="20"/>
              </w:rPr>
            </w:pPr>
          </w:p>
        </w:tc>
        <w:tc>
          <w:tcPr>
            <w:tcW w:w="622" w:type="dxa"/>
            <w:tcBorders>
              <w:top w:val="nil"/>
              <w:left w:val="nil"/>
              <w:bottom w:val="nil"/>
              <w:right w:val="nil"/>
            </w:tcBorders>
            <w:shd w:val="clear" w:color="auto" w:fill="auto"/>
            <w:noWrap/>
            <w:vAlign w:val="bottom"/>
            <w:hideMark/>
          </w:tcPr>
          <w:p w14:paraId="0C3F8E9A" w14:textId="77777777" w:rsidR="00B6457B" w:rsidRPr="00393ABA" w:rsidRDefault="00B6457B" w:rsidP="00393ABA">
            <w:pPr>
              <w:spacing w:after="120"/>
              <w:jc w:val="center"/>
              <w:rPr>
                <w:rFonts w:ascii="Calibri" w:hAnsi="Calibri" w:cs="Calibri"/>
                <w:color w:val="000000"/>
                <w:sz w:val="20"/>
                <w:szCs w:val="20"/>
              </w:rPr>
            </w:pPr>
          </w:p>
        </w:tc>
        <w:tc>
          <w:tcPr>
            <w:tcW w:w="1028" w:type="dxa"/>
            <w:tcBorders>
              <w:top w:val="nil"/>
              <w:left w:val="nil"/>
              <w:bottom w:val="nil"/>
              <w:right w:val="nil"/>
            </w:tcBorders>
            <w:shd w:val="clear" w:color="auto" w:fill="auto"/>
            <w:noWrap/>
            <w:vAlign w:val="bottom"/>
            <w:hideMark/>
          </w:tcPr>
          <w:p w14:paraId="0C3F8E9B" w14:textId="77777777" w:rsidR="00B6457B" w:rsidRPr="00393ABA" w:rsidRDefault="00B6457B" w:rsidP="00393ABA">
            <w:pPr>
              <w:spacing w:after="120"/>
              <w:jc w:val="center"/>
              <w:rPr>
                <w:rFonts w:ascii="Calibri" w:hAnsi="Calibri" w:cs="Calibri"/>
                <w:color w:val="000000"/>
                <w:sz w:val="20"/>
                <w:szCs w:val="20"/>
              </w:rPr>
            </w:pPr>
          </w:p>
        </w:tc>
        <w:tc>
          <w:tcPr>
            <w:tcW w:w="912" w:type="dxa"/>
            <w:tcBorders>
              <w:top w:val="nil"/>
              <w:left w:val="nil"/>
              <w:bottom w:val="nil"/>
              <w:right w:val="nil"/>
            </w:tcBorders>
            <w:shd w:val="clear" w:color="auto" w:fill="auto"/>
            <w:noWrap/>
            <w:vAlign w:val="bottom"/>
            <w:hideMark/>
          </w:tcPr>
          <w:p w14:paraId="0C3F8E9C" w14:textId="77777777" w:rsidR="00B6457B" w:rsidRPr="00393ABA" w:rsidRDefault="00B6457B" w:rsidP="00393ABA">
            <w:pPr>
              <w:spacing w:after="120"/>
              <w:jc w:val="center"/>
              <w:rPr>
                <w:rFonts w:ascii="Calibri" w:hAnsi="Calibri" w:cs="Calibri"/>
                <w:color w:val="000000"/>
                <w:sz w:val="20"/>
                <w:szCs w:val="20"/>
              </w:rPr>
            </w:pPr>
          </w:p>
        </w:tc>
        <w:tc>
          <w:tcPr>
            <w:tcW w:w="912" w:type="dxa"/>
            <w:tcBorders>
              <w:top w:val="nil"/>
              <w:left w:val="nil"/>
              <w:bottom w:val="nil"/>
              <w:right w:val="nil"/>
            </w:tcBorders>
            <w:shd w:val="clear" w:color="auto" w:fill="auto"/>
            <w:noWrap/>
            <w:vAlign w:val="bottom"/>
            <w:hideMark/>
          </w:tcPr>
          <w:p w14:paraId="0C3F8E9D" w14:textId="77777777" w:rsidR="00B6457B" w:rsidRPr="00393ABA" w:rsidRDefault="00B6457B" w:rsidP="00393ABA">
            <w:pPr>
              <w:spacing w:after="120"/>
              <w:jc w:val="center"/>
              <w:rPr>
                <w:rFonts w:ascii="Calibri" w:hAnsi="Calibri" w:cs="Calibri"/>
                <w:color w:val="000000"/>
                <w:sz w:val="20"/>
                <w:szCs w:val="20"/>
              </w:rPr>
            </w:pPr>
          </w:p>
        </w:tc>
      </w:tr>
      <w:tr w:rsidR="00B6457B" w:rsidRPr="00393ABA" w14:paraId="0C3F8EA8" w14:textId="77777777" w:rsidTr="00393ABA">
        <w:trPr>
          <w:trHeight w:val="300"/>
        </w:trPr>
        <w:tc>
          <w:tcPr>
            <w:tcW w:w="1407" w:type="dxa"/>
            <w:tcBorders>
              <w:top w:val="nil"/>
              <w:left w:val="nil"/>
              <w:bottom w:val="nil"/>
              <w:right w:val="nil"/>
            </w:tcBorders>
            <w:shd w:val="clear" w:color="auto" w:fill="auto"/>
            <w:noWrap/>
            <w:vAlign w:val="bottom"/>
            <w:hideMark/>
          </w:tcPr>
          <w:p w14:paraId="0C3F8E9F" w14:textId="77777777" w:rsidR="00B6457B" w:rsidRPr="00393ABA" w:rsidRDefault="00B6457B" w:rsidP="00393ABA">
            <w:pPr>
              <w:spacing w:after="120"/>
              <w:jc w:val="center"/>
              <w:rPr>
                <w:rFonts w:ascii="Calibri" w:hAnsi="Calibri" w:cs="Calibri"/>
                <w:color w:val="000000"/>
                <w:sz w:val="20"/>
                <w:szCs w:val="20"/>
              </w:rPr>
            </w:pPr>
          </w:p>
        </w:tc>
        <w:tc>
          <w:tcPr>
            <w:tcW w:w="1120" w:type="dxa"/>
            <w:tcBorders>
              <w:top w:val="nil"/>
              <w:left w:val="nil"/>
              <w:bottom w:val="nil"/>
              <w:right w:val="nil"/>
            </w:tcBorders>
            <w:shd w:val="clear" w:color="auto" w:fill="auto"/>
            <w:noWrap/>
            <w:vAlign w:val="bottom"/>
            <w:hideMark/>
          </w:tcPr>
          <w:p w14:paraId="0C3F8EA0" w14:textId="77777777" w:rsidR="00B6457B" w:rsidRPr="00393ABA" w:rsidRDefault="00B6457B" w:rsidP="00393ABA">
            <w:pPr>
              <w:spacing w:after="120"/>
              <w:jc w:val="center"/>
              <w:rPr>
                <w:rFonts w:ascii="Calibri" w:hAnsi="Calibri" w:cs="Calibri"/>
                <w:color w:val="000000"/>
                <w:sz w:val="20"/>
                <w:szCs w:val="20"/>
              </w:rPr>
            </w:pPr>
          </w:p>
        </w:tc>
        <w:tc>
          <w:tcPr>
            <w:tcW w:w="820" w:type="dxa"/>
            <w:tcBorders>
              <w:top w:val="nil"/>
              <w:left w:val="nil"/>
              <w:bottom w:val="nil"/>
              <w:right w:val="nil"/>
            </w:tcBorders>
            <w:shd w:val="clear" w:color="auto" w:fill="auto"/>
            <w:noWrap/>
            <w:vAlign w:val="bottom"/>
            <w:hideMark/>
          </w:tcPr>
          <w:p w14:paraId="0C3F8EA1" w14:textId="77777777" w:rsidR="00B6457B" w:rsidRPr="00393ABA" w:rsidRDefault="00B6457B" w:rsidP="00393ABA">
            <w:pPr>
              <w:spacing w:after="120"/>
              <w:jc w:val="center"/>
              <w:rPr>
                <w:rFonts w:ascii="Calibri" w:hAnsi="Calibri" w:cs="Calibri"/>
                <w:color w:val="000000"/>
                <w:sz w:val="20"/>
                <w:szCs w:val="20"/>
              </w:rPr>
            </w:pPr>
          </w:p>
        </w:tc>
        <w:tc>
          <w:tcPr>
            <w:tcW w:w="3739" w:type="dxa"/>
            <w:gridSpan w:val="5"/>
            <w:tcBorders>
              <w:top w:val="single" w:sz="4" w:space="0" w:color="auto"/>
              <w:left w:val="single" w:sz="4" w:space="0" w:color="auto"/>
              <w:bottom w:val="single" w:sz="4" w:space="0" w:color="auto"/>
              <w:right w:val="nil"/>
            </w:tcBorders>
            <w:shd w:val="clear" w:color="000000" w:fill="F2F2F2"/>
            <w:noWrap/>
            <w:vAlign w:val="bottom"/>
            <w:hideMark/>
          </w:tcPr>
          <w:p w14:paraId="0C3F8EA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River plume frequency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EA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EA4"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c>
          <w:tcPr>
            <w:tcW w:w="3291" w:type="dxa"/>
            <w:gridSpan w:val="4"/>
            <w:tcBorders>
              <w:top w:val="single" w:sz="4" w:space="0" w:color="auto"/>
              <w:left w:val="nil"/>
              <w:bottom w:val="single" w:sz="4" w:space="0" w:color="auto"/>
              <w:right w:val="nil"/>
            </w:tcBorders>
            <w:shd w:val="clear" w:color="000000" w:fill="F2F2F2"/>
            <w:noWrap/>
            <w:vAlign w:val="bottom"/>
            <w:hideMark/>
          </w:tcPr>
          <w:p w14:paraId="0C3F8EA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Potential risk category</w:t>
            </w:r>
          </w:p>
        </w:tc>
        <w:tc>
          <w:tcPr>
            <w:tcW w:w="912" w:type="dxa"/>
            <w:vMerge w:val="restart"/>
            <w:tcBorders>
              <w:top w:val="single" w:sz="4" w:space="0" w:color="auto"/>
              <w:left w:val="nil"/>
              <w:bottom w:val="single" w:sz="4" w:space="0" w:color="000000"/>
              <w:right w:val="nil"/>
            </w:tcBorders>
            <w:shd w:val="clear" w:color="000000" w:fill="F2DCDB"/>
            <w:vAlign w:val="bottom"/>
            <w:hideMark/>
          </w:tcPr>
          <w:p w14:paraId="0C3F8EA6"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exp.</w:t>
            </w:r>
          </w:p>
        </w:tc>
        <w:tc>
          <w:tcPr>
            <w:tcW w:w="912" w:type="dxa"/>
            <w:vMerge w:val="restart"/>
            <w:tcBorders>
              <w:top w:val="single" w:sz="4" w:space="0" w:color="auto"/>
              <w:left w:val="nil"/>
              <w:bottom w:val="single" w:sz="4" w:space="0" w:color="000000"/>
              <w:right w:val="single" w:sz="4" w:space="0" w:color="auto"/>
            </w:tcBorders>
            <w:shd w:val="clear" w:color="000000" w:fill="F2DCDB"/>
            <w:vAlign w:val="bottom"/>
            <w:hideMark/>
          </w:tcPr>
          <w:p w14:paraId="0C3F8EA7"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TOT non exp.</w:t>
            </w:r>
          </w:p>
        </w:tc>
      </w:tr>
      <w:tr w:rsidR="00B6457B" w:rsidRPr="00393ABA" w14:paraId="0C3F8EB8" w14:textId="77777777" w:rsidTr="00393ABA">
        <w:trPr>
          <w:trHeight w:val="300"/>
        </w:trPr>
        <w:tc>
          <w:tcPr>
            <w:tcW w:w="2527" w:type="dxa"/>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0C3F8EA9" w14:textId="77777777" w:rsidR="00B6457B" w:rsidRPr="00393ABA" w:rsidRDefault="00B6457B" w:rsidP="00C05A63">
            <w:pPr>
              <w:pStyle w:val="ListParagraph"/>
              <w:numPr>
                <w:ilvl w:val="0"/>
                <w:numId w:val="26"/>
              </w:numPr>
              <w:spacing w:before="0" w:after="120" w:line="276" w:lineRule="auto"/>
              <w:jc w:val="center"/>
              <w:rPr>
                <w:rFonts w:ascii="Calibri" w:hAnsi="Calibri" w:cs="Calibri"/>
                <w:b/>
                <w:bCs/>
                <w:color w:val="000000"/>
                <w:sz w:val="20"/>
                <w:szCs w:val="20"/>
              </w:rPr>
            </w:pPr>
            <w:r w:rsidRPr="00393ABA">
              <w:rPr>
                <w:rFonts w:ascii="Calibri" w:hAnsi="Calibri" w:cs="Calibri"/>
                <w:b/>
                <w:bCs/>
                <w:color w:val="000000"/>
                <w:sz w:val="20"/>
                <w:szCs w:val="20"/>
              </w:rPr>
              <w:t>Seagrass tot</w:t>
            </w:r>
          </w:p>
        </w:tc>
        <w:tc>
          <w:tcPr>
            <w:tcW w:w="820" w:type="dxa"/>
            <w:tcBorders>
              <w:top w:val="single" w:sz="4" w:space="0" w:color="auto"/>
              <w:left w:val="nil"/>
              <w:bottom w:val="nil"/>
              <w:right w:val="single" w:sz="4" w:space="0" w:color="auto"/>
            </w:tcBorders>
            <w:shd w:val="clear" w:color="000000" w:fill="F2F2F2"/>
            <w:noWrap/>
            <w:vAlign w:val="bottom"/>
            <w:hideMark/>
          </w:tcPr>
          <w:p w14:paraId="0C3F8EA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Tot</w:t>
            </w:r>
          </w:p>
        </w:tc>
        <w:tc>
          <w:tcPr>
            <w:tcW w:w="735" w:type="dxa"/>
            <w:tcBorders>
              <w:top w:val="nil"/>
              <w:left w:val="nil"/>
              <w:bottom w:val="single" w:sz="4" w:space="0" w:color="auto"/>
              <w:right w:val="nil"/>
            </w:tcBorders>
            <w:shd w:val="clear" w:color="000000" w:fill="F2F2F2"/>
            <w:noWrap/>
            <w:vAlign w:val="bottom"/>
            <w:hideMark/>
          </w:tcPr>
          <w:p w14:paraId="0C3F8EAB" w14:textId="77777777" w:rsidR="00B6457B" w:rsidRPr="00393ABA" w:rsidRDefault="00B6457B" w:rsidP="00393ABA">
            <w:pPr>
              <w:spacing w:after="120"/>
              <w:jc w:val="center"/>
              <w:rPr>
                <w:rFonts w:ascii="Calibri" w:hAnsi="Calibri" w:cs="Calibri"/>
                <w:b/>
                <w:bCs/>
                <w:color w:val="1F497D"/>
                <w:sz w:val="20"/>
                <w:szCs w:val="20"/>
              </w:rPr>
            </w:pPr>
            <w:r w:rsidRPr="00393ABA">
              <w:rPr>
                <w:rFonts w:ascii="Calibri" w:hAnsi="Calibri" w:cs="Calibri"/>
                <w:b/>
                <w:bCs/>
                <w:color w:val="1F497D"/>
                <w:sz w:val="20"/>
                <w:szCs w:val="20"/>
              </w:rPr>
              <w:t>Rare</w:t>
            </w:r>
          </w:p>
        </w:tc>
        <w:tc>
          <w:tcPr>
            <w:tcW w:w="804" w:type="dxa"/>
            <w:tcBorders>
              <w:top w:val="nil"/>
              <w:left w:val="nil"/>
              <w:bottom w:val="single" w:sz="4" w:space="0" w:color="auto"/>
              <w:right w:val="nil"/>
            </w:tcBorders>
            <w:shd w:val="clear" w:color="000000" w:fill="F2F2F2"/>
            <w:noWrap/>
            <w:vAlign w:val="bottom"/>
            <w:hideMark/>
          </w:tcPr>
          <w:p w14:paraId="0C3F8EAC" w14:textId="77777777" w:rsidR="00B6457B" w:rsidRPr="00393ABA" w:rsidRDefault="00B6457B" w:rsidP="00393ABA">
            <w:pPr>
              <w:spacing w:after="120"/>
              <w:jc w:val="center"/>
              <w:rPr>
                <w:rFonts w:ascii="Calibri" w:hAnsi="Calibri" w:cs="Calibri"/>
                <w:b/>
                <w:bCs/>
                <w:color w:val="31869B"/>
                <w:sz w:val="20"/>
                <w:szCs w:val="20"/>
              </w:rPr>
            </w:pPr>
            <w:r w:rsidRPr="00393ABA">
              <w:rPr>
                <w:rFonts w:ascii="Calibri" w:hAnsi="Calibri" w:cs="Calibri"/>
                <w:b/>
                <w:bCs/>
                <w:color w:val="31869B"/>
                <w:sz w:val="20"/>
                <w:szCs w:val="20"/>
              </w:rPr>
              <w:t>Infreq.</w:t>
            </w:r>
          </w:p>
        </w:tc>
        <w:tc>
          <w:tcPr>
            <w:tcW w:w="774" w:type="dxa"/>
            <w:tcBorders>
              <w:top w:val="nil"/>
              <w:left w:val="nil"/>
              <w:bottom w:val="single" w:sz="4" w:space="0" w:color="auto"/>
              <w:right w:val="nil"/>
            </w:tcBorders>
            <w:shd w:val="clear" w:color="000000" w:fill="F2F2F2"/>
            <w:noWrap/>
            <w:vAlign w:val="bottom"/>
            <w:hideMark/>
          </w:tcPr>
          <w:p w14:paraId="0C3F8EAD" w14:textId="77777777" w:rsidR="00B6457B" w:rsidRPr="00393ABA" w:rsidRDefault="00B6457B" w:rsidP="00393ABA">
            <w:pPr>
              <w:spacing w:after="120"/>
              <w:jc w:val="center"/>
              <w:rPr>
                <w:rFonts w:ascii="Calibri" w:hAnsi="Calibri" w:cs="Calibri"/>
                <w:b/>
                <w:bCs/>
                <w:color w:val="FFC000"/>
                <w:sz w:val="20"/>
                <w:szCs w:val="20"/>
              </w:rPr>
            </w:pPr>
            <w:r w:rsidRPr="00393ABA">
              <w:rPr>
                <w:rFonts w:ascii="Calibri" w:hAnsi="Calibri" w:cs="Calibri"/>
                <w:b/>
                <w:bCs/>
                <w:color w:val="FFC000"/>
                <w:sz w:val="20"/>
                <w:szCs w:val="20"/>
              </w:rPr>
              <w:t>Occas.</w:t>
            </w:r>
          </w:p>
        </w:tc>
        <w:tc>
          <w:tcPr>
            <w:tcW w:w="641" w:type="dxa"/>
            <w:tcBorders>
              <w:top w:val="nil"/>
              <w:left w:val="nil"/>
              <w:bottom w:val="single" w:sz="4" w:space="0" w:color="auto"/>
              <w:right w:val="nil"/>
            </w:tcBorders>
            <w:shd w:val="clear" w:color="000000" w:fill="F2F2F2"/>
            <w:noWrap/>
            <w:vAlign w:val="bottom"/>
            <w:hideMark/>
          </w:tcPr>
          <w:p w14:paraId="0C3F8EAE" w14:textId="77777777" w:rsidR="00B6457B" w:rsidRPr="00393ABA" w:rsidRDefault="00B6457B" w:rsidP="00393ABA">
            <w:pPr>
              <w:spacing w:after="120"/>
              <w:jc w:val="center"/>
              <w:rPr>
                <w:rFonts w:ascii="Calibri" w:hAnsi="Calibri" w:cs="Calibri"/>
                <w:b/>
                <w:bCs/>
                <w:color w:val="F79646"/>
                <w:sz w:val="20"/>
                <w:szCs w:val="20"/>
              </w:rPr>
            </w:pPr>
            <w:r w:rsidRPr="00393ABA">
              <w:rPr>
                <w:rFonts w:ascii="Calibri" w:hAnsi="Calibri" w:cs="Calibri"/>
                <w:b/>
                <w:bCs/>
                <w:color w:val="F79646"/>
                <w:sz w:val="20"/>
                <w:szCs w:val="20"/>
              </w:rPr>
              <w:t>Freq.</w:t>
            </w:r>
          </w:p>
        </w:tc>
        <w:tc>
          <w:tcPr>
            <w:tcW w:w="785" w:type="dxa"/>
            <w:tcBorders>
              <w:top w:val="nil"/>
              <w:left w:val="nil"/>
              <w:bottom w:val="single" w:sz="4" w:space="0" w:color="auto"/>
              <w:right w:val="nil"/>
            </w:tcBorders>
            <w:shd w:val="clear" w:color="000000" w:fill="F2F2F2"/>
            <w:noWrap/>
            <w:vAlign w:val="bottom"/>
            <w:hideMark/>
          </w:tcPr>
          <w:p w14:paraId="0C3F8EAF" w14:textId="77777777" w:rsidR="00B6457B" w:rsidRPr="00393ABA" w:rsidRDefault="00B6457B" w:rsidP="00393ABA">
            <w:pPr>
              <w:spacing w:after="120"/>
              <w:jc w:val="center"/>
              <w:rPr>
                <w:rFonts w:ascii="Calibri" w:hAnsi="Calibri" w:cs="Calibri"/>
                <w:b/>
                <w:bCs/>
                <w:color w:val="FF0000"/>
                <w:sz w:val="20"/>
                <w:szCs w:val="20"/>
              </w:rPr>
            </w:pPr>
            <w:r w:rsidRPr="00393ABA">
              <w:rPr>
                <w:rFonts w:ascii="Calibri" w:hAnsi="Calibri" w:cs="Calibri"/>
                <w:b/>
                <w:bCs/>
                <w:color w:val="FF0000"/>
                <w:sz w:val="20"/>
                <w:szCs w:val="20"/>
              </w:rPr>
              <w:t>V.Freq</w:t>
            </w:r>
          </w:p>
        </w:tc>
        <w:tc>
          <w:tcPr>
            <w:tcW w:w="912" w:type="dxa"/>
            <w:vMerge/>
            <w:tcBorders>
              <w:top w:val="single" w:sz="4" w:space="0" w:color="auto"/>
              <w:left w:val="nil"/>
              <w:bottom w:val="single" w:sz="4" w:space="0" w:color="000000"/>
              <w:right w:val="nil"/>
            </w:tcBorders>
            <w:vAlign w:val="center"/>
            <w:hideMark/>
          </w:tcPr>
          <w:p w14:paraId="0C3F8EB0"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EB1" w14:textId="77777777" w:rsidR="00B6457B" w:rsidRPr="00393ABA" w:rsidRDefault="00B6457B" w:rsidP="00393ABA">
            <w:pPr>
              <w:spacing w:after="120"/>
              <w:jc w:val="left"/>
              <w:rPr>
                <w:rFonts w:ascii="Calibri" w:hAnsi="Calibri" w:cs="Calibri"/>
                <w:b/>
                <w:bCs/>
                <w:sz w:val="20"/>
                <w:szCs w:val="20"/>
              </w:rPr>
            </w:pPr>
          </w:p>
        </w:tc>
        <w:tc>
          <w:tcPr>
            <w:tcW w:w="723" w:type="dxa"/>
            <w:tcBorders>
              <w:top w:val="nil"/>
              <w:left w:val="nil"/>
              <w:bottom w:val="nil"/>
              <w:right w:val="nil"/>
            </w:tcBorders>
            <w:shd w:val="clear" w:color="000000" w:fill="0070C0"/>
            <w:noWrap/>
            <w:vAlign w:val="bottom"/>
            <w:hideMark/>
          </w:tcPr>
          <w:p w14:paraId="0C3F8EB2"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w:t>
            </w:r>
          </w:p>
        </w:tc>
        <w:tc>
          <w:tcPr>
            <w:tcW w:w="918" w:type="dxa"/>
            <w:tcBorders>
              <w:top w:val="nil"/>
              <w:left w:val="nil"/>
              <w:bottom w:val="nil"/>
              <w:right w:val="nil"/>
            </w:tcBorders>
            <w:shd w:val="clear" w:color="000000" w:fill="00B050"/>
            <w:noWrap/>
            <w:vAlign w:val="bottom"/>
            <w:hideMark/>
          </w:tcPr>
          <w:p w14:paraId="0C3F8EB3"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w:t>
            </w:r>
          </w:p>
        </w:tc>
        <w:tc>
          <w:tcPr>
            <w:tcW w:w="622" w:type="dxa"/>
            <w:tcBorders>
              <w:top w:val="nil"/>
              <w:left w:val="nil"/>
              <w:bottom w:val="nil"/>
              <w:right w:val="nil"/>
            </w:tcBorders>
            <w:shd w:val="clear" w:color="000000" w:fill="FF0000"/>
            <w:noWrap/>
            <w:vAlign w:val="bottom"/>
            <w:hideMark/>
          </w:tcPr>
          <w:p w14:paraId="0C3F8EB4"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III</w:t>
            </w:r>
          </w:p>
        </w:tc>
        <w:tc>
          <w:tcPr>
            <w:tcW w:w="1028" w:type="dxa"/>
            <w:tcBorders>
              <w:top w:val="nil"/>
              <w:left w:val="nil"/>
              <w:bottom w:val="nil"/>
              <w:right w:val="nil"/>
            </w:tcBorders>
            <w:shd w:val="clear" w:color="000000" w:fill="C00000"/>
            <w:noWrap/>
            <w:vAlign w:val="bottom"/>
            <w:hideMark/>
          </w:tcPr>
          <w:p w14:paraId="0C3F8EB5" w14:textId="77777777" w:rsidR="00B6457B" w:rsidRPr="00393ABA" w:rsidRDefault="00B6457B" w:rsidP="00393ABA">
            <w:pPr>
              <w:spacing w:after="120"/>
              <w:jc w:val="center"/>
              <w:rPr>
                <w:rFonts w:ascii="Calibri" w:hAnsi="Calibri" w:cs="Calibri"/>
                <w:b/>
                <w:bCs/>
                <w:color w:val="FFFFFF"/>
                <w:sz w:val="20"/>
                <w:szCs w:val="20"/>
              </w:rPr>
            </w:pPr>
            <w:r w:rsidRPr="00393ABA">
              <w:rPr>
                <w:rFonts w:ascii="Calibri" w:hAnsi="Calibri" w:cs="Calibri"/>
                <w:b/>
                <w:bCs/>
                <w:color w:val="FFFFFF"/>
                <w:sz w:val="20"/>
                <w:szCs w:val="20"/>
              </w:rPr>
              <w:t>IV</w:t>
            </w:r>
          </w:p>
        </w:tc>
        <w:tc>
          <w:tcPr>
            <w:tcW w:w="912" w:type="dxa"/>
            <w:vMerge/>
            <w:tcBorders>
              <w:top w:val="single" w:sz="4" w:space="0" w:color="auto"/>
              <w:left w:val="nil"/>
              <w:bottom w:val="single" w:sz="4" w:space="0" w:color="000000"/>
              <w:right w:val="nil"/>
            </w:tcBorders>
            <w:vAlign w:val="center"/>
            <w:hideMark/>
          </w:tcPr>
          <w:p w14:paraId="0C3F8EB6" w14:textId="77777777" w:rsidR="00B6457B" w:rsidRPr="00393ABA" w:rsidRDefault="00B6457B" w:rsidP="00393ABA">
            <w:pPr>
              <w:spacing w:after="120"/>
              <w:jc w:val="left"/>
              <w:rPr>
                <w:rFonts w:ascii="Calibri" w:hAnsi="Calibri" w:cs="Calibri"/>
                <w:b/>
                <w:bCs/>
                <w:sz w:val="20"/>
                <w:szCs w:val="20"/>
              </w:rPr>
            </w:pPr>
          </w:p>
        </w:tc>
        <w:tc>
          <w:tcPr>
            <w:tcW w:w="912" w:type="dxa"/>
            <w:vMerge/>
            <w:tcBorders>
              <w:top w:val="single" w:sz="4" w:space="0" w:color="auto"/>
              <w:left w:val="nil"/>
              <w:bottom w:val="single" w:sz="4" w:space="0" w:color="000000"/>
              <w:right w:val="single" w:sz="4" w:space="0" w:color="auto"/>
            </w:tcBorders>
            <w:vAlign w:val="center"/>
            <w:hideMark/>
          </w:tcPr>
          <w:p w14:paraId="0C3F8EB7" w14:textId="77777777" w:rsidR="00B6457B" w:rsidRPr="00393ABA" w:rsidRDefault="00B6457B" w:rsidP="00393ABA">
            <w:pPr>
              <w:spacing w:after="120"/>
              <w:jc w:val="left"/>
              <w:rPr>
                <w:rFonts w:ascii="Calibri" w:hAnsi="Calibri" w:cs="Calibri"/>
                <w:b/>
                <w:bCs/>
                <w:sz w:val="20"/>
                <w:szCs w:val="20"/>
              </w:rPr>
            </w:pPr>
          </w:p>
        </w:tc>
      </w:tr>
      <w:tr w:rsidR="00B6457B" w:rsidRPr="00393ABA" w14:paraId="0C3F8EC9" w14:textId="77777777" w:rsidTr="00393ABA">
        <w:trPr>
          <w:trHeight w:val="300"/>
        </w:trPr>
        <w:tc>
          <w:tcPr>
            <w:tcW w:w="1407" w:type="dxa"/>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C3F8EB9"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GBR</w:t>
            </w:r>
          </w:p>
        </w:tc>
        <w:tc>
          <w:tcPr>
            <w:tcW w:w="1120" w:type="dxa"/>
            <w:tcBorders>
              <w:top w:val="single" w:sz="4" w:space="0" w:color="auto"/>
              <w:left w:val="single" w:sz="4" w:space="0" w:color="auto"/>
              <w:bottom w:val="nil"/>
              <w:right w:val="single" w:sz="4" w:space="0" w:color="auto"/>
            </w:tcBorders>
            <w:shd w:val="clear" w:color="000000" w:fill="F2F2F2"/>
            <w:noWrap/>
            <w:vAlign w:val="center"/>
            <w:hideMark/>
          </w:tcPr>
          <w:p w14:paraId="0C3F8EB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 xml:space="preserve">area </w:t>
            </w:r>
          </w:p>
        </w:tc>
        <w:tc>
          <w:tcPr>
            <w:tcW w:w="820" w:type="dxa"/>
            <w:tcBorders>
              <w:top w:val="single" w:sz="4" w:space="0" w:color="auto"/>
              <w:left w:val="nil"/>
              <w:bottom w:val="nil"/>
              <w:right w:val="single" w:sz="4" w:space="0" w:color="auto"/>
            </w:tcBorders>
            <w:shd w:val="clear" w:color="000000" w:fill="F2F2F2"/>
            <w:noWrap/>
            <w:vAlign w:val="bottom"/>
            <w:hideMark/>
          </w:tcPr>
          <w:p w14:paraId="0C3F8EB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35447</w:t>
            </w:r>
          </w:p>
        </w:tc>
        <w:tc>
          <w:tcPr>
            <w:tcW w:w="735" w:type="dxa"/>
            <w:tcBorders>
              <w:top w:val="nil"/>
              <w:left w:val="nil"/>
              <w:bottom w:val="nil"/>
              <w:right w:val="nil"/>
            </w:tcBorders>
            <w:shd w:val="clear" w:color="auto" w:fill="auto"/>
            <w:noWrap/>
            <w:vAlign w:val="bottom"/>
            <w:hideMark/>
          </w:tcPr>
          <w:p w14:paraId="0C3F8EB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10065</w:t>
            </w:r>
          </w:p>
        </w:tc>
        <w:tc>
          <w:tcPr>
            <w:tcW w:w="804" w:type="dxa"/>
            <w:tcBorders>
              <w:top w:val="nil"/>
              <w:left w:val="nil"/>
              <w:bottom w:val="nil"/>
              <w:right w:val="nil"/>
            </w:tcBorders>
            <w:shd w:val="clear" w:color="auto" w:fill="auto"/>
            <w:noWrap/>
            <w:vAlign w:val="bottom"/>
            <w:hideMark/>
          </w:tcPr>
          <w:p w14:paraId="0C3F8EB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5825</w:t>
            </w:r>
          </w:p>
        </w:tc>
        <w:tc>
          <w:tcPr>
            <w:tcW w:w="774" w:type="dxa"/>
            <w:tcBorders>
              <w:top w:val="nil"/>
              <w:left w:val="nil"/>
              <w:bottom w:val="nil"/>
              <w:right w:val="nil"/>
            </w:tcBorders>
            <w:shd w:val="clear" w:color="auto" w:fill="auto"/>
            <w:noWrap/>
            <w:vAlign w:val="bottom"/>
            <w:hideMark/>
          </w:tcPr>
          <w:p w14:paraId="0C3F8EB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5923</w:t>
            </w:r>
          </w:p>
        </w:tc>
        <w:tc>
          <w:tcPr>
            <w:tcW w:w="641" w:type="dxa"/>
            <w:tcBorders>
              <w:top w:val="nil"/>
              <w:left w:val="nil"/>
              <w:bottom w:val="nil"/>
              <w:right w:val="nil"/>
            </w:tcBorders>
            <w:shd w:val="clear" w:color="auto" w:fill="auto"/>
            <w:noWrap/>
            <w:vAlign w:val="bottom"/>
            <w:hideMark/>
          </w:tcPr>
          <w:p w14:paraId="0C3F8EB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4362</w:t>
            </w:r>
          </w:p>
        </w:tc>
        <w:tc>
          <w:tcPr>
            <w:tcW w:w="785" w:type="dxa"/>
            <w:tcBorders>
              <w:top w:val="nil"/>
              <w:left w:val="nil"/>
              <w:bottom w:val="nil"/>
              <w:right w:val="nil"/>
            </w:tcBorders>
            <w:shd w:val="clear" w:color="auto" w:fill="auto"/>
            <w:noWrap/>
            <w:vAlign w:val="bottom"/>
            <w:hideMark/>
          </w:tcPr>
          <w:p w14:paraId="0C3F8EC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5622</w:t>
            </w:r>
          </w:p>
        </w:tc>
        <w:tc>
          <w:tcPr>
            <w:tcW w:w="912" w:type="dxa"/>
            <w:tcBorders>
              <w:top w:val="nil"/>
              <w:left w:val="nil"/>
              <w:bottom w:val="nil"/>
              <w:right w:val="nil"/>
            </w:tcBorders>
            <w:shd w:val="clear" w:color="000000" w:fill="F2DCDB"/>
            <w:noWrap/>
            <w:vAlign w:val="bottom"/>
            <w:hideMark/>
          </w:tcPr>
          <w:p w14:paraId="0C3F8EC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31796</w:t>
            </w:r>
          </w:p>
        </w:tc>
        <w:tc>
          <w:tcPr>
            <w:tcW w:w="912" w:type="dxa"/>
            <w:tcBorders>
              <w:top w:val="nil"/>
              <w:left w:val="nil"/>
              <w:bottom w:val="nil"/>
              <w:right w:val="single" w:sz="4" w:space="0" w:color="auto"/>
            </w:tcBorders>
            <w:shd w:val="clear" w:color="000000" w:fill="F2DCDB"/>
            <w:noWrap/>
            <w:vAlign w:val="bottom"/>
            <w:hideMark/>
          </w:tcPr>
          <w:p w14:paraId="0C3F8EC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3651</w:t>
            </w:r>
          </w:p>
        </w:tc>
        <w:tc>
          <w:tcPr>
            <w:tcW w:w="723" w:type="dxa"/>
            <w:tcBorders>
              <w:top w:val="single" w:sz="4" w:space="0" w:color="auto"/>
              <w:left w:val="nil"/>
              <w:bottom w:val="nil"/>
              <w:right w:val="nil"/>
            </w:tcBorders>
            <w:shd w:val="clear" w:color="auto" w:fill="auto"/>
            <w:noWrap/>
            <w:vAlign w:val="bottom"/>
            <w:hideMark/>
          </w:tcPr>
          <w:p w14:paraId="0C3F8EC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15035</w:t>
            </w:r>
          </w:p>
        </w:tc>
        <w:tc>
          <w:tcPr>
            <w:tcW w:w="918" w:type="dxa"/>
            <w:tcBorders>
              <w:top w:val="single" w:sz="4" w:space="0" w:color="auto"/>
              <w:left w:val="nil"/>
              <w:bottom w:val="nil"/>
              <w:right w:val="nil"/>
            </w:tcBorders>
            <w:shd w:val="clear" w:color="auto" w:fill="auto"/>
            <w:noWrap/>
            <w:vAlign w:val="bottom"/>
            <w:hideMark/>
          </w:tcPr>
          <w:p w14:paraId="0C3F8EC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13911</w:t>
            </w:r>
          </w:p>
        </w:tc>
        <w:tc>
          <w:tcPr>
            <w:tcW w:w="622" w:type="dxa"/>
            <w:tcBorders>
              <w:top w:val="single" w:sz="4" w:space="0" w:color="auto"/>
              <w:left w:val="nil"/>
              <w:bottom w:val="nil"/>
              <w:right w:val="nil"/>
            </w:tcBorders>
            <w:shd w:val="clear" w:color="auto" w:fill="auto"/>
            <w:noWrap/>
            <w:vAlign w:val="bottom"/>
            <w:hideMark/>
          </w:tcPr>
          <w:p w14:paraId="0C3F8EC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2645</w:t>
            </w:r>
          </w:p>
        </w:tc>
        <w:tc>
          <w:tcPr>
            <w:tcW w:w="1028" w:type="dxa"/>
            <w:tcBorders>
              <w:top w:val="single" w:sz="4" w:space="0" w:color="auto"/>
              <w:left w:val="nil"/>
              <w:bottom w:val="nil"/>
              <w:right w:val="nil"/>
            </w:tcBorders>
            <w:shd w:val="clear" w:color="auto" w:fill="auto"/>
            <w:noWrap/>
            <w:vAlign w:val="bottom"/>
            <w:hideMark/>
          </w:tcPr>
          <w:p w14:paraId="0C3F8EC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201</w:t>
            </w:r>
          </w:p>
        </w:tc>
        <w:tc>
          <w:tcPr>
            <w:tcW w:w="912" w:type="dxa"/>
            <w:tcBorders>
              <w:top w:val="nil"/>
              <w:left w:val="nil"/>
              <w:bottom w:val="nil"/>
              <w:right w:val="nil"/>
            </w:tcBorders>
            <w:shd w:val="clear" w:color="000000" w:fill="F2DCDB"/>
            <w:noWrap/>
            <w:vAlign w:val="bottom"/>
            <w:hideMark/>
          </w:tcPr>
          <w:p w14:paraId="0C3F8EC7"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31792</w:t>
            </w:r>
          </w:p>
        </w:tc>
        <w:tc>
          <w:tcPr>
            <w:tcW w:w="912" w:type="dxa"/>
            <w:tcBorders>
              <w:top w:val="nil"/>
              <w:left w:val="nil"/>
              <w:bottom w:val="nil"/>
              <w:right w:val="single" w:sz="4" w:space="0" w:color="auto"/>
            </w:tcBorders>
            <w:shd w:val="clear" w:color="000000" w:fill="F2DCDB"/>
            <w:noWrap/>
            <w:vAlign w:val="bottom"/>
            <w:hideMark/>
          </w:tcPr>
          <w:p w14:paraId="0C3F8EC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3655</w:t>
            </w:r>
          </w:p>
        </w:tc>
      </w:tr>
      <w:tr w:rsidR="00B6457B" w:rsidRPr="00393ABA" w14:paraId="0C3F8EDA" w14:textId="77777777" w:rsidTr="00393ABA">
        <w:trPr>
          <w:trHeight w:val="315"/>
        </w:trPr>
        <w:tc>
          <w:tcPr>
            <w:tcW w:w="1407" w:type="dxa"/>
            <w:vMerge/>
            <w:tcBorders>
              <w:top w:val="single" w:sz="4" w:space="0" w:color="auto"/>
              <w:left w:val="single" w:sz="4" w:space="0" w:color="auto"/>
              <w:bottom w:val="double" w:sz="6" w:space="0" w:color="000000"/>
              <w:right w:val="nil"/>
            </w:tcBorders>
            <w:vAlign w:val="center"/>
            <w:hideMark/>
          </w:tcPr>
          <w:p w14:paraId="0C3F8ECA"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double" w:sz="6" w:space="0" w:color="auto"/>
              <w:right w:val="single" w:sz="4" w:space="0" w:color="auto"/>
            </w:tcBorders>
            <w:shd w:val="clear" w:color="000000" w:fill="F2F2F2"/>
            <w:noWrap/>
            <w:vAlign w:val="center"/>
            <w:hideMark/>
          </w:tcPr>
          <w:p w14:paraId="0C3F8EC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t>
            </w:r>
          </w:p>
        </w:tc>
        <w:tc>
          <w:tcPr>
            <w:tcW w:w="820" w:type="dxa"/>
            <w:tcBorders>
              <w:top w:val="nil"/>
              <w:left w:val="nil"/>
              <w:bottom w:val="double" w:sz="6" w:space="0" w:color="auto"/>
              <w:right w:val="single" w:sz="4" w:space="0" w:color="auto"/>
            </w:tcBorders>
            <w:shd w:val="clear" w:color="000000" w:fill="F2F2F2"/>
            <w:noWrap/>
            <w:vAlign w:val="bottom"/>
            <w:hideMark/>
          </w:tcPr>
          <w:p w14:paraId="0C3F8ECC"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100%</w:t>
            </w:r>
          </w:p>
        </w:tc>
        <w:tc>
          <w:tcPr>
            <w:tcW w:w="735" w:type="dxa"/>
            <w:tcBorders>
              <w:top w:val="nil"/>
              <w:left w:val="nil"/>
              <w:bottom w:val="double" w:sz="6" w:space="0" w:color="auto"/>
              <w:right w:val="nil"/>
            </w:tcBorders>
            <w:shd w:val="clear" w:color="auto" w:fill="auto"/>
            <w:noWrap/>
            <w:vAlign w:val="bottom"/>
            <w:hideMark/>
          </w:tcPr>
          <w:p w14:paraId="0C3F8ECD"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28%</w:t>
            </w:r>
          </w:p>
        </w:tc>
        <w:tc>
          <w:tcPr>
            <w:tcW w:w="804" w:type="dxa"/>
            <w:tcBorders>
              <w:top w:val="nil"/>
              <w:left w:val="nil"/>
              <w:bottom w:val="double" w:sz="6" w:space="0" w:color="auto"/>
              <w:right w:val="nil"/>
            </w:tcBorders>
            <w:shd w:val="clear" w:color="auto" w:fill="auto"/>
            <w:noWrap/>
            <w:vAlign w:val="bottom"/>
            <w:hideMark/>
          </w:tcPr>
          <w:p w14:paraId="0C3F8ECE"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16%</w:t>
            </w:r>
          </w:p>
        </w:tc>
        <w:tc>
          <w:tcPr>
            <w:tcW w:w="774" w:type="dxa"/>
            <w:tcBorders>
              <w:top w:val="nil"/>
              <w:left w:val="nil"/>
              <w:bottom w:val="double" w:sz="6" w:space="0" w:color="auto"/>
              <w:right w:val="nil"/>
            </w:tcBorders>
            <w:shd w:val="clear" w:color="auto" w:fill="auto"/>
            <w:noWrap/>
            <w:vAlign w:val="bottom"/>
            <w:hideMark/>
          </w:tcPr>
          <w:p w14:paraId="0C3F8ECF"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17%</w:t>
            </w:r>
          </w:p>
        </w:tc>
        <w:tc>
          <w:tcPr>
            <w:tcW w:w="641" w:type="dxa"/>
            <w:tcBorders>
              <w:top w:val="nil"/>
              <w:left w:val="nil"/>
              <w:bottom w:val="double" w:sz="6" w:space="0" w:color="auto"/>
              <w:right w:val="nil"/>
            </w:tcBorders>
            <w:shd w:val="clear" w:color="auto" w:fill="auto"/>
            <w:noWrap/>
            <w:vAlign w:val="bottom"/>
            <w:hideMark/>
          </w:tcPr>
          <w:p w14:paraId="0C3F8ED0"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12%</w:t>
            </w:r>
          </w:p>
        </w:tc>
        <w:tc>
          <w:tcPr>
            <w:tcW w:w="785" w:type="dxa"/>
            <w:tcBorders>
              <w:top w:val="nil"/>
              <w:left w:val="nil"/>
              <w:bottom w:val="double" w:sz="6" w:space="0" w:color="auto"/>
              <w:right w:val="nil"/>
            </w:tcBorders>
            <w:shd w:val="clear" w:color="auto" w:fill="auto"/>
            <w:noWrap/>
            <w:vAlign w:val="bottom"/>
            <w:hideMark/>
          </w:tcPr>
          <w:p w14:paraId="0C3F8ED1"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16%</w:t>
            </w:r>
          </w:p>
        </w:tc>
        <w:tc>
          <w:tcPr>
            <w:tcW w:w="912" w:type="dxa"/>
            <w:tcBorders>
              <w:top w:val="nil"/>
              <w:left w:val="nil"/>
              <w:bottom w:val="double" w:sz="6" w:space="0" w:color="auto"/>
              <w:right w:val="nil"/>
            </w:tcBorders>
            <w:shd w:val="clear" w:color="000000" w:fill="F2DCDB"/>
            <w:noWrap/>
            <w:vAlign w:val="bottom"/>
            <w:hideMark/>
          </w:tcPr>
          <w:p w14:paraId="0C3F8ED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90%</w:t>
            </w:r>
          </w:p>
        </w:tc>
        <w:tc>
          <w:tcPr>
            <w:tcW w:w="912" w:type="dxa"/>
            <w:tcBorders>
              <w:top w:val="nil"/>
              <w:left w:val="nil"/>
              <w:bottom w:val="double" w:sz="6" w:space="0" w:color="auto"/>
              <w:right w:val="nil"/>
            </w:tcBorders>
            <w:shd w:val="clear" w:color="000000" w:fill="F2DCDB"/>
            <w:noWrap/>
            <w:vAlign w:val="bottom"/>
            <w:hideMark/>
          </w:tcPr>
          <w:p w14:paraId="0C3F8ED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w:t>
            </w:r>
          </w:p>
        </w:tc>
        <w:tc>
          <w:tcPr>
            <w:tcW w:w="723" w:type="dxa"/>
            <w:tcBorders>
              <w:top w:val="nil"/>
              <w:left w:val="single" w:sz="4" w:space="0" w:color="auto"/>
              <w:bottom w:val="double" w:sz="6" w:space="0" w:color="auto"/>
              <w:right w:val="nil"/>
            </w:tcBorders>
            <w:shd w:val="clear" w:color="auto" w:fill="auto"/>
            <w:noWrap/>
            <w:vAlign w:val="bottom"/>
            <w:hideMark/>
          </w:tcPr>
          <w:p w14:paraId="0C3F8ED4"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42%</w:t>
            </w:r>
          </w:p>
        </w:tc>
        <w:tc>
          <w:tcPr>
            <w:tcW w:w="918" w:type="dxa"/>
            <w:tcBorders>
              <w:top w:val="nil"/>
              <w:left w:val="nil"/>
              <w:bottom w:val="double" w:sz="6" w:space="0" w:color="auto"/>
              <w:right w:val="nil"/>
            </w:tcBorders>
            <w:shd w:val="clear" w:color="auto" w:fill="auto"/>
            <w:noWrap/>
            <w:vAlign w:val="bottom"/>
            <w:hideMark/>
          </w:tcPr>
          <w:p w14:paraId="0C3F8ED5"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39%</w:t>
            </w:r>
          </w:p>
        </w:tc>
        <w:tc>
          <w:tcPr>
            <w:tcW w:w="622" w:type="dxa"/>
            <w:tcBorders>
              <w:top w:val="nil"/>
              <w:left w:val="nil"/>
              <w:bottom w:val="double" w:sz="6" w:space="0" w:color="auto"/>
              <w:right w:val="nil"/>
            </w:tcBorders>
            <w:shd w:val="clear" w:color="auto" w:fill="auto"/>
            <w:noWrap/>
            <w:vAlign w:val="bottom"/>
            <w:hideMark/>
          </w:tcPr>
          <w:p w14:paraId="0C3F8ED6"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7%</w:t>
            </w:r>
          </w:p>
        </w:tc>
        <w:tc>
          <w:tcPr>
            <w:tcW w:w="1028" w:type="dxa"/>
            <w:tcBorders>
              <w:top w:val="nil"/>
              <w:left w:val="nil"/>
              <w:bottom w:val="double" w:sz="6" w:space="0" w:color="auto"/>
              <w:right w:val="nil"/>
            </w:tcBorders>
            <w:shd w:val="clear" w:color="auto" w:fill="auto"/>
            <w:noWrap/>
            <w:vAlign w:val="bottom"/>
            <w:hideMark/>
          </w:tcPr>
          <w:p w14:paraId="0C3F8ED7" w14:textId="77777777" w:rsidR="00B6457B" w:rsidRPr="00393ABA" w:rsidRDefault="00B6457B" w:rsidP="00393ABA">
            <w:pPr>
              <w:spacing w:after="120"/>
              <w:jc w:val="center"/>
              <w:rPr>
                <w:rFonts w:ascii="Calibri" w:hAnsi="Calibri" w:cs="Calibri"/>
                <w:b/>
                <w:bCs/>
                <w:i/>
                <w:iCs/>
                <w:color w:val="000000"/>
                <w:sz w:val="20"/>
                <w:szCs w:val="20"/>
              </w:rPr>
            </w:pPr>
            <w:r w:rsidRPr="00393ABA">
              <w:rPr>
                <w:rFonts w:ascii="Calibri" w:hAnsi="Calibri" w:cs="Calibri"/>
                <w:b/>
                <w:bCs/>
                <w:i/>
                <w:iCs/>
                <w:color w:val="000000"/>
                <w:sz w:val="20"/>
                <w:szCs w:val="20"/>
              </w:rPr>
              <w:t>1%</w:t>
            </w:r>
          </w:p>
        </w:tc>
        <w:tc>
          <w:tcPr>
            <w:tcW w:w="912" w:type="dxa"/>
            <w:tcBorders>
              <w:top w:val="nil"/>
              <w:left w:val="nil"/>
              <w:bottom w:val="double" w:sz="6" w:space="0" w:color="auto"/>
              <w:right w:val="nil"/>
            </w:tcBorders>
            <w:shd w:val="clear" w:color="000000" w:fill="F2DCDB"/>
            <w:noWrap/>
            <w:vAlign w:val="bottom"/>
            <w:hideMark/>
          </w:tcPr>
          <w:p w14:paraId="0C3F8ED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90%</w:t>
            </w:r>
          </w:p>
        </w:tc>
        <w:tc>
          <w:tcPr>
            <w:tcW w:w="912" w:type="dxa"/>
            <w:tcBorders>
              <w:top w:val="nil"/>
              <w:left w:val="nil"/>
              <w:bottom w:val="double" w:sz="6" w:space="0" w:color="auto"/>
              <w:right w:val="single" w:sz="4" w:space="0" w:color="auto"/>
            </w:tcBorders>
            <w:shd w:val="clear" w:color="000000" w:fill="F2DCDB"/>
            <w:noWrap/>
            <w:vAlign w:val="bottom"/>
            <w:hideMark/>
          </w:tcPr>
          <w:p w14:paraId="0C3F8ED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w:t>
            </w:r>
          </w:p>
        </w:tc>
      </w:tr>
      <w:tr w:rsidR="00B6457B" w:rsidRPr="00393ABA" w14:paraId="0C3F8EEB" w14:textId="77777777" w:rsidTr="00393ABA">
        <w:trPr>
          <w:trHeight w:val="315"/>
        </w:trPr>
        <w:tc>
          <w:tcPr>
            <w:tcW w:w="1407" w:type="dxa"/>
            <w:vMerge w:val="restart"/>
            <w:tcBorders>
              <w:top w:val="nil"/>
              <w:left w:val="single" w:sz="4" w:space="0" w:color="auto"/>
              <w:bottom w:val="nil"/>
              <w:right w:val="nil"/>
            </w:tcBorders>
            <w:shd w:val="clear" w:color="000000" w:fill="F2F2F2"/>
            <w:noWrap/>
            <w:vAlign w:val="center"/>
            <w:hideMark/>
          </w:tcPr>
          <w:p w14:paraId="0C3F8EDB"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Cape York</w:t>
            </w:r>
          </w:p>
        </w:tc>
        <w:tc>
          <w:tcPr>
            <w:tcW w:w="1120" w:type="dxa"/>
            <w:tcBorders>
              <w:top w:val="nil"/>
              <w:left w:val="single" w:sz="4" w:space="0" w:color="auto"/>
              <w:bottom w:val="nil"/>
              <w:right w:val="single" w:sz="4" w:space="0" w:color="auto"/>
            </w:tcBorders>
            <w:shd w:val="clear" w:color="000000" w:fill="F2F2F2"/>
            <w:noWrap/>
            <w:vAlign w:val="center"/>
            <w:hideMark/>
          </w:tcPr>
          <w:p w14:paraId="0C3F8ED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D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11896</w:t>
            </w:r>
          </w:p>
        </w:tc>
        <w:tc>
          <w:tcPr>
            <w:tcW w:w="735" w:type="dxa"/>
            <w:tcBorders>
              <w:top w:val="nil"/>
              <w:left w:val="nil"/>
              <w:bottom w:val="nil"/>
              <w:right w:val="nil"/>
            </w:tcBorders>
            <w:shd w:val="clear" w:color="auto" w:fill="auto"/>
            <w:noWrap/>
            <w:vAlign w:val="bottom"/>
            <w:hideMark/>
          </w:tcPr>
          <w:p w14:paraId="0C3F8ED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229</w:t>
            </w:r>
          </w:p>
        </w:tc>
        <w:tc>
          <w:tcPr>
            <w:tcW w:w="804" w:type="dxa"/>
            <w:tcBorders>
              <w:top w:val="nil"/>
              <w:left w:val="nil"/>
              <w:bottom w:val="nil"/>
              <w:right w:val="nil"/>
            </w:tcBorders>
            <w:shd w:val="clear" w:color="auto" w:fill="auto"/>
            <w:noWrap/>
            <w:vAlign w:val="bottom"/>
            <w:hideMark/>
          </w:tcPr>
          <w:p w14:paraId="0C3F8ED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1113</w:t>
            </w:r>
          </w:p>
        </w:tc>
        <w:tc>
          <w:tcPr>
            <w:tcW w:w="774" w:type="dxa"/>
            <w:tcBorders>
              <w:top w:val="nil"/>
              <w:left w:val="nil"/>
              <w:bottom w:val="nil"/>
              <w:right w:val="nil"/>
            </w:tcBorders>
            <w:shd w:val="clear" w:color="auto" w:fill="auto"/>
            <w:noWrap/>
            <w:vAlign w:val="bottom"/>
            <w:hideMark/>
          </w:tcPr>
          <w:p w14:paraId="0C3F8EE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1713</w:t>
            </w:r>
          </w:p>
        </w:tc>
        <w:tc>
          <w:tcPr>
            <w:tcW w:w="641" w:type="dxa"/>
            <w:tcBorders>
              <w:top w:val="nil"/>
              <w:left w:val="nil"/>
              <w:bottom w:val="nil"/>
              <w:right w:val="nil"/>
            </w:tcBorders>
            <w:shd w:val="clear" w:color="auto" w:fill="auto"/>
            <w:noWrap/>
            <w:vAlign w:val="bottom"/>
            <w:hideMark/>
          </w:tcPr>
          <w:p w14:paraId="0C3F8EE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3616</w:t>
            </w:r>
          </w:p>
        </w:tc>
        <w:tc>
          <w:tcPr>
            <w:tcW w:w="785" w:type="dxa"/>
            <w:tcBorders>
              <w:top w:val="nil"/>
              <w:left w:val="nil"/>
              <w:bottom w:val="nil"/>
              <w:right w:val="nil"/>
            </w:tcBorders>
            <w:shd w:val="clear" w:color="auto" w:fill="auto"/>
            <w:noWrap/>
            <w:vAlign w:val="bottom"/>
            <w:hideMark/>
          </w:tcPr>
          <w:p w14:paraId="0C3F8EE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3644</w:t>
            </w:r>
          </w:p>
        </w:tc>
        <w:tc>
          <w:tcPr>
            <w:tcW w:w="912" w:type="dxa"/>
            <w:tcBorders>
              <w:top w:val="nil"/>
              <w:left w:val="nil"/>
              <w:bottom w:val="nil"/>
              <w:right w:val="nil"/>
            </w:tcBorders>
            <w:shd w:val="clear" w:color="000000" w:fill="F2DCDB"/>
            <w:noWrap/>
            <w:vAlign w:val="bottom"/>
            <w:hideMark/>
          </w:tcPr>
          <w:p w14:paraId="0C3F8EE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10316</w:t>
            </w:r>
          </w:p>
        </w:tc>
        <w:tc>
          <w:tcPr>
            <w:tcW w:w="912" w:type="dxa"/>
            <w:tcBorders>
              <w:top w:val="nil"/>
              <w:left w:val="nil"/>
              <w:bottom w:val="nil"/>
              <w:right w:val="single" w:sz="4" w:space="0" w:color="auto"/>
            </w:tcBorders>
            <w:shd w:val="clear" w:color="000000" w:fill="F2DCDB"/>
            <w:noWrap/>
            <w:vAlign w:val="bottom"/>
            <w:hideMark/>
          </w:tcPr>
          <w:p w14:paraId="0C3F8EE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1580</w:t>
            </w:r>
          </w:p>
        </w:tc>
        <w:tc>
          <w:tcPr>
            <w:tcW w:w="723" w:type="dxa"/>
            <w:tcBorders>
              <w:top w:val="nil"/>
              <w:left w:val="nil"/>
              <w:bottom w:val="nil"/>
              <w:right w:val="nil"/>
            </w:tcBorders>
            <w:shd w:val="clear" w:color="auto" w:fill="auto"/>
            <w:noWrap/>
            <w:vAlign w:val="bottom"/>
            <w:hideMark/>
          </w:tcPr>
          <w:p w14:paraId="0C3F8EE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1428</w:t>
            </w:r>
          </w:p>
        </w:tc>
        <w:tc>
          <w:tcPr>
            <w:tcW w:w="918" w:type="dxa"/>
            <w:tcBorders>
              <w:top w:val="nil"/>
              <w:left w:val="nil"/>
              <w:bottom w:val="nil"/>
              <w:right w:val="nil"/>
            </w:tcBorders>
            <w:shd w:val="clear" w:color="auto" w:fill="auto"/>
            <w:noWrap/>
            <w:vAlign w:val="bottom"/>
            <w:hideMark/>
          </w:tcPr>
          <w:p w14:paraId="0C3F8EE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7526</w:t>
            </w:r>
          </w:p>
        </w:tc>
        <w:tc>
          <w:tcPr>
            <w:tcW w:w="622" w:type="dxa"/>
            <w:tcBorders>
              <w:top w:val="nil"/>
              <w:left w:val="nil"/>
              <w:bottom w:val="nil"/>
              <w:right w:val="nil"/>
            </w:tcBorders>
            <w:shd w:val="clear" w:color="auto" w:fill="auto"/>
            <w:noWrap/>
            <w:vAlign w:val="bottom"/>
            <w:hideMark/>
          </w:tcPr>
          <w:p w14:paraId="0C3F8EE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1330</w:t>
            </w:r>
          </w:p>
        </w:tc>
        <w:tc>
          <w:tcPr>
            <w:tcW w:w="1028" w:type="dxa"/>
            <w:tcBorders>
              <w:top w:val="nil"/>
              <w:left w:val="nil"/>
              <w:bottom w:val="nil"/>
              <w:right w:val="nil"/>
            </w:tcBorders>
            <w:shd w:val="clear" w:color="auto" w:fill="auto"/>
            <w:noWrap/>
            <w:vAlign w:val="bottom"/>
            <w:hideMark/>
          </w:tcPr>
          <w:p w14:paraId="0C3F8EE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w:t>
            </w:r>
          </w:p>
        </w:tc>
        <w:tc>
          <w:tcPr>
            <w:tcW w:w="912" w:type="dxa"/>
            <w:tcBorders>
              <w:top w:val="nil"/>
              <w:left w:val="nil"/>
              <w:bottom w:val="nil"/>
              <w:right w:val="nil"/>
            </w:tcBorders>
            <w:shd w:val="clear" w:color="000000" w:fill="F2DCDB"/>
            <w:noWrap/>
            <w:vAlign w:val="bottom"/>
            <w:hideMark/>
          </w:tcPr>
          <w:p w14:paraId="0C3F8EE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10316</w:t>
            </w:r>
          </w:p>
        </w:tc>
        <w:tc>
          <w:tcPr>
            <w:tcW w:w="912" w:type="dxa"/>
            <w:tcBorders>
              <w:top w:val="nil"/>
              <w:left w:val="nil"/>
              <w:bottom w:val="nil"/>
              <w:right w:val="single" w:sz="4" w:space="0" w:color="auto"/>
            </w:tcBorders>
            <w:shd w:val="clear" w:color="000000" w:fill="F2DCDB"/>
            <w:noWrap/>
            <w:vAlign w:val="bottom"/>
            <w:hideMark/>
          </w:tcPr>
          <w:p w14:paraId="0C3F8EE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1581</w:t>
            </w:r>
          </w:p>
        </w:tc>
      </w:tr>
      <w:tr w:rsidR="00B6457B" w:rsidRPr="00393ABA" w14:paraId="0C3F8EFC" w14:textId="77777777" w:rsidTr="00393ABA">
        <w:trPr>
          <w:trHeight w:val="300"/>
        </w:trPr>
        <w:tc>
          <w:tcPr>
            <w:tcW w:w="1407" w:type="dxa"/>
            <w:vMerge/>
            <w:tcBorders>
              <w:top w:val="nil"/>
              <w:left w:val="single" w:sz="4" w:space="0" w:color="auto"/>
              <w:bottom w:val="nil"/>
              <w:right w:val="nil"/>
            </w:tcBorders>
            <w:vAlign w:val="center"/>
            <w:hideMark/>
          </w:tcPr>
          <w:p w14:paraId="0C3F8EEC"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EE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EE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EE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804" w:type="dxa"/>
            <w:tcBorders>
              <w:top w:val="nil"/>
              <w:left w:val="nil"/>
              <w:bottom w:val="nil"/>
              <w:right w:val="nil"/>
            </w:tcBorders>
            <w:shd w:val="clear" w:color="auto" w:fill="auto"/>
            <w:noWrap/>
            <w:vAlign w:val="bottom"/>
            <w:hideMark/>
          </w:tcPr>
          <w:p w14:paraId="0C3F8EF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w:t>
            </w:r>
          </w:p>
        </w:tc>
        <w:tc>
          <w:tcPr>
            <w:tcW w:w="774" w:type="dxa"/>
            <w:tcBorders>
              <w:top w:val="nil"/>
              <w:left w:val="nil"/>
              <w:bottom w:val="nil"/>
              <w:right w:val="nil"/>
            </w:tcBorders>
            <w:shd w:val="clear" w:color="auto" w:fill="auto"/>
            <w:noWrap/>
            <w:vAlign w:val="bottom"/>
            <w:hideMark/>
          </w:tcPr>
          <w:p w14:paraId="0C3F8EF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14%</w:t>
            </w:r>
          </w:p>
        </w:tc>
        <w:tc>
          <w:tcPr>
            <w:tcW w:w="641" w:type="dxa"/>
            <w:tcBorders>
              <w:top w:val="nil"/>
              <w:left w:val="nil"/>
              <w:bottom w:val="nil"/>
              <w:right w:val="nil"/>
            </w:tcBorders>
            <w:shd w:val="clear" w:color="auto" w:fill="auto"/>
            <w:noWrap/>
            <w:vAlign w:val="bottom"/>
            <w:hideMark/>
          </w:tcPr>
          <w:p w14:paraId="0C3F8EF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30%</w:t>
            </w:r>
          </w:p>
        </w:tc>
        <w:tc>
          <w:tcPr>
            <w:tcW w:w="785" w:type="dxa"/>
            <w:tcBorders>
              <w:top w:val="nil"/>
              <w:left w:val="nil"/>
              <w:bottom w:val="nil"/>
              <w:right w:val="nil"/>
            </w:tcBorders>
            <w:shd w:val="clear" w:color="auto" w:fill="auto"/>
            <w:noWrap/>
            <w:vAlign w:val="bottom"/>
            <w:hideMark/>
          </w:tcPr>
          <w:p w14:paraId="0C3F8EF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31%</w:t>
            </w:r>
          </w:p>
        </w:tc>
        <w:tc>
          <w:tcPr>
            <w:tcW w:w="912" w:type="dxa"/>
            <w:tcBorders>
              <w:top w:val="nil"/>
              <w:left w:val="nil"/>
              <w:bottom w:val="nil"/>
              <w:right w:val="nil"/>
            </w:tcBorders>
            <w:shd w:val="clear" w:color="000000" w:fill="F2DCDB"/>
            <w:noWrap/>
            <w:vAlign w:val="bottom"/>
            <w:hideMark/>
          </w:tcPr>
          <w:p w14:paraId="0C3F8EF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87%</w:t>
            </w:r>
          </w:p>
        </w:tc>
        <w:tc>
          <w:tcPr>
            <w:tcW w:w="912" w:type="dxa"/>
            <w:tcBorders>
              <w:top w:val="nil"/>
              <w:left w:val="nil"/>
              <w:bottom w:val="nil"/>
              <w:right w:val="nil"/>
            </w:tcBorders>
            <w:shd w:val="clear" w:color="000000" w:fill="F2DCDB"/>
            <w:noWrap/>
            <w:vAlign w:val="bottom"/>
            <w:hideMark/>
          </w:tcPr>
          <w:p w14:paraId="0C3F8EF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13%</w:t>
            </w:r>
          </w:p>
        </w:tc>
        <w:tc>
          <w:tcPr>
            <w:tcW w:w="723" w:type="dxa"/>
            <w:tcBorders>
              <w:top w:val="nil"/>
              <w:left w:val="single" w:sz="4" w:space="0" w:color="auto"/>
              <w:bottom w:val="nil"/>
              <w:right w:val="nil"/>
            </w:tcBorders>
            <w:shd w:val="clear" w:color="auto" w:fill="auto"/>
            <w:noWrap/>
            <w:vAlign w:val="bottom"/>
            <w:hideMark/>
          </w:tcPr>
          <w:p w14:paraId="0C3F8EF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12%</w:t>
            </w:r>
          </w:p>
        </w:tc>
        <w:tc>
          <w:tcPr>
            <w:tcW w:w="918" w:type="dxa"/>
            <w:tcBorders>
              <w:top w:val="nil"/>
              <w:left w:val="nil"/>
              <w:bottom w:val="nil"/>
              <w:right w:val="nil"/>
            </w:tcBorders>
            <w:shd w:val="clear" w:color="auto" w:fill="auto"/>
            <w:noWrap/>
            <w:vAlign w:val="bottom"/>
            <w:hideMark/>
          </w:tcPr>
          <w:p w14:paraId="0C3F8EF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63%</w:t>
            </w:r>
          </w:p>
        </w:tc>
        <w:tc>
          <w:tcPr>
            <w:tcW w:w="622" w:type="dxa"/>
            <w:tcBorders>
              <w:top w:val="nil"/>
              <w:left w:val="nil"/>
              <w:bottom w:val="nil"/>
              <w:right w:val="nil"/>
            </w:tcBorders>
            <w:shd w:val="clear" w:color="auto" w:fill="auto"/>
            <w:noWrap/>
            <w:vAlign w:val="bottom"/>
            <w:hideMark/>
          </w:tcPr>
          <w:p w14:paraId="0C3F8EF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11%</w:t>
            </w:r>
          </w:p>
        </w:tc>
        <w:tc>
          <w:tcPr>
            <w:tcW w:w="1028" w:type="dxa"/>
            <w:tcBorders>
              <w:top w:val="nil"/>
              <w:left w:val="nil"/>
              <w:bottom w:val="nil"/>
              <w:right w:val="nil"/>
            </w:tcBorders>
            <w:shd w:val="clear" w:color="auto" w:fill="auto"/>
            <w:noWrap/>
            <w:vAlign w:val="bottom"/>
            <w:hideMark/>
          </w:tcPr>
          <w:p w14:paraId="0C3F8EF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EF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87%</w:t>
            </w:r>
          </w:p>
        </w:tc>
        <w:tc>
          <w:tcPr>
            <w:tcW w:w="912" w:type="dxa"/>
            <w:tcBorders>
              <w:top w:val="nil"/>
              <w:left w:val="nil"/>
              <w:bottom w:val="nil"/>
              <w:right w:val="single" w:sz="4" w:space="0" w:color="auto"/>
            </w:tcBorders>
            <w:shd w:val="clear" w:color="000000" w:fill="F2DCDB"/>
            <w:noWrap/>
            <w:vAlign w:val="bottom"/>
            <w:hideMark/>
          </w:tcPr>
          <w:p w14:paraId="0C3F8EF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13%</w:t>
            </w:r>
          </w:p>
        </w:tc>
      </w:tr>
      <w:tr w:rsidR="00B6457B" w:rsidRPr="00393ABA" w14:paraId="0C3F8F0D"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EFD"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Wet Tropics</w:t>
            </w:r>
          </w:p>
        </w:tc>
        <w:tc>
          <w:tcPr>
            <w:tcW w:w="1120" w:type="dxa"/>
            <w:tcBorders>
              <w:top w:val="nil"/>
              <w:left w:val="single" w:sz="4" w:space="0" w:color="auto"/>
              <w:bottom w:val="nil"/>
              <w:right w:val="single" w:sz="4" w:space="0" w:color="auto"/>
            </w:tcBorders>
            <w:shd w:val="clear" w:color="000000" w:fill="F2F2F2"/>
            <w:noWrap/>
            <w:vAlign w:val="center"/>
            <w:hideMark/>
          </w:tcPr>
          <w:p w14:paraId="0C3F8EF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EF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4865</w:t>
            </w:r>
          </w:p>
        </w:tc>
        <w:tc>
          <w:tcPr>
            <w:tcW w:w="735" w:type="dxa"/>
            <w:tcBorders>
              <w:top w:val="nil"/>
              <w:left w:val="nil"/>
              <w:bottom w:val="nil"/>
              <w:right w:val="nil"/>
            </w:tcBorders>
            <w:shd w:val="clear" w:color="auto" w:fill="auto"/>
            <w:noWrap/>
            <w:vAlign w:val="bottom"/>
            <w:hideMark/>
          </w:tcPr>
          <w:p w14:paraId="0C3F8F0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1564</w:t>
            </w:r>
          </w:p>
        </w:tc>
        <w:tc>
          <w:tcPr>
            <w:tcW w:w="804" w:type="dxa"/>
            <w:tcBorders>
              <w:top w:val="nil"/>
              <w:left w:val="nil"/>
              <w:bottom w:val="nil"/>
              <w:right w:val="nil"/>
            </w:tcBorders>
            <w:shd w:val="clear" w:color="auto" w:fill="auto"/>
            <w:noWrap/>
            <w:vAlign w:val="bottom"/>
            <w:hideMark/>
          </w:tcPr>
          <w:p w14:paraId="0C3F8F0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1766</w:t>
            </w:r>
          </w:p>
        </w:tc>
        <w:tc>
          <w:tcPr>
            <w:tcW w:w="774" w:type="dxa"/>
            <w:tcBorders>
              <w:top w:val="nil"/>
              <w:left w:val="nil"/>
              <w:bottom w:val="nil"/>
              <w:right w:val="nil"/>
            </w:tcBorders>
            <w:shd w:val="clear" w:color="auto" w:fill="auto"/>
            <w:noWrap/>
            <w:vAlign w:val="bottom"/>
            <w:hideMark/>
          </w:tcPr>
          <w:p w14:paraId="0C3F8F0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949</w:t>
            </w:r>
          </w:p>
        </w:tc>
        <w:tc>
          <w:tcPr>
            <w:tcW w:w="641" w:type="dxa"/>
            <w:tcBorders>
              <w:top w:val="nil"/>
              <w:left w:val="nil"/>
              <w:bottom w:val="nil"/>
              <w:right w:val="nil"/>
            </w:tcBorders>
            <w:shd w:val="clear" w:color="auto" w:fill="auto"/>
            <w:noWrap/>
            <w:vAlign w:val="bottom"/>
            <w:hideMark/>
          </w:tcPr>
          <w:p w14:paraId="0C3F8F0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252</w:t>
            </w:r>
          </w:p>
        </w:tc>
        <w:tc>
          <w:tcPr>
            <w:tcW w:w="785" w:type="dxa"/>
            <w:tcBorders>
              <w:top w:val="nil"/>
              <w:left w:val="nil"/>
              <w:bottom w:val="nil"/>
              <w:right w:val="nil"/>
            </w:tcBorders>
            <w:shd w:val="clear" w:color="auto" w:fill="auto"/>
            <w:noWrap/>
            <w:vAlign w:val="bottom"/>
            <w:hideMark/>
          </w:tcPr>
          <w:p w14:paraId="0C3F8F0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328</w:t>
            </w:r>
          </w:p>
        </w:tc>
        <w:tc>
          <w:tcPr>
            <w:tcW w:w="912" w:type="dxa"/>
            <w:tcBorders>
              <w:top w:val="nil"/>
              <w:left w:val="nil"/>
              <w:bottom w:val="nil"/>
              <w:right w:val="nil"/>
            </w:tcBorders>
            <w:shd w:val="clear" w:color="000000" w:fill="F2DCDB"/>
            <w:noWrap/>
            <w:vAlign w:val="bottom"/>
            <w:hideMark/>
          </w:tcPr>
          <w:p w14:paraId="0C3F8F05"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4860</w:t>
            </w:r>
          </w:p>
        </w:tc>
        <w:tc>
          <w:tcPr>
            <w:tcW w:w="912" w:type="dxa"/>
            <w:tcBorders>
              <w:top w:val="nil"/>
              <w:left w:val="nil"/>
              <w:bottom w:val="nil"/>
              <w:right w:val="single" w:sz="4" w:space="0" w:color="auto"/>
            </w:tcBorders>
            <w:shd w:val="clear" w:color="000000" w:fill="F2DCDB"/>
            <w:noWrap/>
            <w:vAlign w:val="bottom"/>
            <w:hideMark/>
          </w:tcPr>
          <w:p w14:paraId="0C3F8F06"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w:t>
            </w:r>
          </w:p>
        </w:tc>
        <w:tc>
          <w:tcPr>
            <w:tcW w:w="723" w:type="dxa"/>
            <w:tcBorders>
              <w:top w:val="nil"/>
              <w:left w:val="nil"/>
              <w:bottom w:val="nil"/>
              <w:right w:val="nil"/>
            </w:tcBorders>
            <w:shd w:val="clear" w:color="auto" w:fill="auto"/>
            <w:noWrap/>
            <w:vAlign w:val="bottom"/>
            <w:hideMark/>
          </w:tcPr>
          <w:p w14:paraId="0C3F8F0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3549</w:t>
            </w:r>
          </w:p>
        </w:tc>
        <w:tc>
          <w:tcPr>
            <w:tcW w:w="918" w:type="dxa"/>
            <w:tcBorders>
              <w:top w:val="nil"/>
              <w:left w:val="nil"/>
              <w:bottom w:val="nil"/>
              <w:right w:val="nil"/>
            </w:tcBorders>
            <w:shd w:val="clear" w:color="auto" w:fill="auto"/>
            <w:noWrap/>
            <w:vAlign w:val="bottom"/>
            <w:hideMark/>
          </w:tcPr>
          <w:p w14:paraId="0C3F8F0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1132</w:t>
            </w:r>
          </w:p>
        </w:tc>
        <w:tc>
          <w:tcPr>
            <w:tcW w:w="622" w:type="dxa"/>
            <w:tcBorders>
              <w:top w:val="nil"/>
              <w:left w:val="nil"/>
              <w:bottom w:val="nil"/>
              <w:right w:val="nil"/>
            </w:tcBorders>
            <w:shd w:val="clear" w:color="auto" w:fill="auto"/>
            <w:noWrap/>
            <w:vAlign w:val="bottom"/>
            <w:hideMark/>
          </w:tcPr>
          <w:p w14:paraId="0C3F8F0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168</w:t>
            </w:r>
          </w:p>
        </w:tc>
        <w:tc>
          <w:tcPr>
            <w:tcW w:w="1028" w:type="dxa"/>
            <w:tcBorders>
              <w:top w:val="nil"/>
              <w:left w:val="nil"/>
              <w:bottom w:val="nil"/>
              <w:right w:val="nil"/>
            </w:tcBorders>
            <w:shd w:val="clear" w:color="auto" w:fill="auto"/>
            <w:noWrap/>
            <w:vAlign w:val="bottom"/>
            <w:hideMark/>
          </w:tcPr>
          <w:p w14:paraId="0C3F8F0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11</w:t>
            </w:r>
          </w:p>
        </w:tc>
        <w:tc>
          <w:tcPr>
            <w:tcW w:w="912" w:type="dxa"/>
            <w:tcBorders>
              <w:top w:val="nil"/>
              <w:left w:val="nil"/>
              <w:bottom w:val="nil"/>
              <w:right w:val="nil"/>
            </w:tcBorders>
            <w:shd w:val="clear" w:color="000000" w:fill="F2DCDB"/>
            <w:noWrap/>
            <w:vAlign w:val="bottom"/>
            <w:hideMark/>
          </w:tcPr>
          <w:p w14:paraId="0C3F8F0B"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4861</w:t>
            </w:r>
          </w:p>
        </w:tc>
        <w:tc>
          <w:tcPr>
            <w:tcW w:w="912" w:type="dxa"/>
            <w:tcBorders>
              <w:top w:val="nil"/>
              <w:left w:val="nil"/>
              <w:bottom w:val="nil"/>
              <w:right w:val="single" w:sz="4" w:space="0" w:color="auto"/>
            </w:tcBorders>
            <w:shd w:val="clear" w:color="000000" w:fill="F2DCDB"/>
            <w:noWrap/>
            <w:vAlign w:val="bottom"/>
            <w:hideMark/>
          </w:tcPr>
          <w:p w14:paraId="0C3F8F0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5</w:t>
            </w:r>
          </w:p>
        </w:tc>
      </w:tr>
      <w:tr w:rsidR="00B6457B" w:rsidRPr="00393ABA" w14:paraId="0C3F8F1E" w14:textId="77777777" w:rsidTr="00393ABA">
        <w:trPr>
          <w:trHeight w:val="300"/>
        </w:trPr>
        <w:tc>
          <w:tcPr>
            <w:tcW w:w="1407" w:type="dxa"/>
            <w:vMerge/>
            <w:tcBorders>
              <w:top w:val="nil"/>
              <w:left w:val="single" w:sz="4" w:space="0" w:color="auto"/>
              <w:bottom w:val="nil"/>
              <w:right w:val="nil"/>
            </w:tcBorders>
            <w:vAlign w:val="center"/>
            <w:hideMark/>
          </w:tcPr>
          <w:p w14:paraId="0C3F8F0E"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F0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F1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F1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32%</w:t>
            </w:r>
          </w:p>
        </w:tc>
        <w:tc>
          <w:tcPr>
            <w:tcW w:w="804" w:type="dxa"/>
            <w:tcBorders>
              <w:top w:val="nil"/>
              <w:left w:val="nil"/>
              <w:bottom w:val="nil"/>
              <w:right w:val="nil"/>
            </w:tcBorders>
            <w:shd w:val="clear" w:color="auto" w:fill="auto"/>
            <w:noWrap/>
            <w:vAlign w:val="bottom"/>
            <w:hideMark/>
          </w:tcPr>
          <w:p w14:paraId="0C3F8F1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36%</w:t>
            </w:r>
          </w:p>
        </w:tc>
        <w:tc>
          <w:tcPr>
            <w:tcW w:w="774" w:type="dxa"/>
            <w:tcBorders>
              <w:top w:val="nil"/>
              <w:left w:val="nil"/>
              <w:bottom w:val="nil"/>
              <w:right w:val="nil"/>
            </w:tcBorders>
            <w:shd w:val="clear" w:color="auto" w:fill="auto"/>
            <w:noWrap/>
            <w:vAlign w:val="bottom"/>
            <w:hideMark/>
          </w:tcPr>
          <w:p w14:paraId="0C3F8F1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20%</w:t>
            </w:r>
          </w:p>
        </w:tc>
        <w:tc>
          <w:tcPr>
            <w:tcW w:w="641" w:type="dxa"/>
            <w:tcBorders>
              <w:top w:val="nil"/>
              <w:left w:val="nil"/>
              <w:bottom w:val="nil"/>
              <w:right w:val="nil"/>
            </w:tcBorders>
            <w:shd w:val="clear" w:color="auto" w:fill="auto"/>
            <w:noWrap/>
            <w:vAlign w:val="bottom"/>
            <w:hideMark/>
          </w:tcPr>
          <w:p w14:paraId="0C3F8F1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785" w:type="dxa"/>
            <w:tcBorders>
              <w:top w:val="nil"/>
              <w:left w:val="nil"/>
              <w:bottom w:val="nil"/>
              <w:right w:val="nil"/>
            </w:tcBorders>
            <w:shd w:val="clear" w:color="auto" w:fill="auto"/>
            <w:noWrap/>
            <w:vAlign w:val="bottom"/>
            <w:hideMark/>
          </w:tcPr>
          <w:p w14:paraId="0C3F8F1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912" w:type="dxa"/>
            <w:tcBorders>
              <w:top w:val="nil"/>
              <w:left w:val="nil"/>
              <w:bottom w:val="nil"/>
              <w:right w:val="nil"/>
            </w:tcBorders>
            <w:shd w:val="clear" w:color="000000" w:fill="F2DCDB"/>
            <w:noWrap/>
            <w:vAlign w:val="bottom"/>
            <w:hideMark/>
          </w:tcPr>
          <w:p w14:paraId="0C3F8F16"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F17"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F1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73%</w:t>
            </w:r>
          </w:p>
        </w:tc>
        <w:tc>
          <w:tcPr>
            <w:tcW w:w="918" w:type="dxa"/>
            <w:tcBorders>
              <w:top w:val="nil"/>
              <w:left w:val="nil"/>
              <w:bottom w:val="nil"/>
              <w:right w:val="nil"/>
            </w:tcBorders>
            <w:shd w:val="clear" w:color="auto" w:fill="auto"/>
            <w:noWrap/>
            <w:vAlign w:val="bottom"/>
            <w:hideMark/>
          </w:tcPr>
          <w:p w14:paraId="0C3F8F1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23%</w:t>
            </w:r>
          </w:p>
        </w:tc>
        <w:tc>
          <w:tcPr>
            <w:tcW w:w="622" w:type="dxa"/>
            <w:tcBorders>
              <w:top w:val="nil"/>
              <w:left w:val="nil"/>
              <w:bottom w:val="nil"/>
              <w:right w:val="nil"/>
            </w:tcBorders>
            <w:shd w:val="clear" w:color="auto" w:fill="auto"/>
            <w:noWrap/>
            <w:vAlign w:val="bottom"/>
            <w:hideMark/>
          </w:tcPr>
          <w:p w14:paraId="0C3F8F1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1028" w:type="dxa"/>
            <w:tcBorders>
              <w:top w:val="nil"/>
              <w:left w:val="nil"/>
              <w:bottom w:val="nil"/>
              <w:right w:val="nil"/>
            </w:tcBorders>
            <w:shd w:val="clear" w:color="auto" w:fill="auto"/>
            <w:noWrap/>
            <w:vAlign w:val="bottom"/>
            <w:hideMark/>
          </w:tcPr>
          <w:p w14:paraId="0C3F8F1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nil"/>
              <w:right w:val="nil"/>
            </w:tcBorders>
            <w:shd w:val="clear" w:color="000000" w:fill="F2DCDB"/>
            <w:noWrap/>
            <w:vAlign w:val="bottom"/>
            <w:hideMark/>
          </w:tcPr>
          <w:p w14:paraId="0C3F8F1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F1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F2F"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F1F"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Burdekin</w:t>
            </w:r>
          </w:p>
        </w:tc>
        <w:tc>
          <w:tcPr>
            <w:tcW w:w="1120" w:type="dxa"/>
            <w:tcBorders>
              <w:top w:val="nil"/>
              <w:left w:val="single" w:sz="4" w:space="0" w:color="auto"/>
              <w:bottom w:val="nil"/>
              <w:right w:val="single" w:sz="4" w:space="0" w:color="auto"/>
            </w:tcBorders>
            <w:shd w:val="clear" w:color="000000" w:fill="F2F2F2"/>
            <w:noWrap/>
            <w:vAlign w:val="center"/>
            <w:hideMark/>
          </w:tcPr>
          <w:p w14:paraId="0C3F8F2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F2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6058</w:t>
            </w:r>
          </w:p>
        </w:tc>
        <w:tc>
          <w:tcPr>
            <w:tcW w:w="735" w:type="dxa"/>
            <w:tcBorders>
              <w:top w:val="nil"/>
              <w:left w:val="nil"/>
              <w:bottom w:val="nil"/>
              <w:right w:val="nil"/>
            </w:tcBorders>
            <w:shd w:val="clear" w:color="auto" w:fill="auto"/>
            <w:noWrap/>
            <w:vAlign w:val="bottom"/>
            <w:hideMark/>
          </w:tcPr>
          <w:p w14:paraId="0C3F8F2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1623</w:t>
            </w:r>
          </w:p>
        </w:tc>
        <w:tc>
          <w:tcPr>
            <w:tcW w:w="804" w:type="dxa"/>
            <w:tcBorders>
              <w:top w:val="nil"/>
              <w:left w:val="nil"/>
              <w:bottom w:val="nil"/>
              <w:right w:val="nil"/>
            </w:tcBorders>
            <w:shd w:val="clear" w:color="auto" w:fill="auto"/>
            <w:noWrap/>
            <w:vAlign w:val="bottom"/>
            <w:hideMark/>
          </w:tcPr>
          <w:p w14:paraId="0C3F8F2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1659</w:t>
            </w:r>
          </w:p>
        </w:tc>
        <w:tc>
          <w:tcPr>
            <w:tcW w:w="774" w:type="dxa"/>
            <w:tcBorders>
              <w:top w:val="nil"/>
              <w:left w:val="nil"/>
              <w:bottom w:val="nil"/>
              <w:right w:val="nil"/>
            </w:tcBorders>
            <w:shd w:val="clear" w:color="auto" w:fill="auto"/>
            <w:noWrap/>
            <w:vAlign w:val="bottom"/>
            <w:hideMark/>
          </w:tcPr>
          <w:p w14:paraId="0C3F8F2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169</w:t>
            </w:r>
          </w:p>
        </w:tc>
        <w:tc>
          <w:tcPr>
            <w:tcW w:w="641" w:type="dxa"/>
            <w:tcBorders>
              <w:top w:val="nil"/>
              <w:left w:val="nil"/>
              <w:bottom w:val="nil"/>
              <w:right w:val="nil"/>
            </w:tcBorders>
            <w:shd w:val="clear" w:color="auto" w:fill="auto"/>
            <w:noWrap/>
            <w:vAlign w:val="bottom"/>
            <w:hideMark/>
          </w:tcPr>
          <w:p w14:paraId="0C3F8F2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21</w:t>
            </w:r>
          </w:p>
        </w:tc>
        <w:tc>
          <w:tcPr>
            <w:tcW w:w="785" w:type="dxa"/>
            <w:tcBorders>
              <w:top w:val="nil"/>
              <w:left w:val="nil"/>
              <w:bottom w:val="nil"/>
              <w:right w:val="nil"/>
            </w:tcBorders>
            <w:shd w:val="clear" w:color="auto" w:fill="auto"/>
            <w:noWrap/>
            <w:vAlign w:val="bottom"/>
            <w:hideMark/>
          </w:tcPr>
          <w:p w14:paraId="0C3F8F2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600</w:t>
            </w:r>
          </w:p>
        </w:tc>
        <w:tc>
          <w:tcPr>
            <w:tcW w:w="912" w:type="dxa"/>
            <w:tcBorders>
              <w:top w:val="nil"/>
              <w:left w:val="nil"/>
              <w:bottom w:val="nil"/>
              <w:right w:val="nil"/>
            </w:tcBorders>
            <w:shd w:val="clear" w:color="000000" w:fill="F2DCDB"/>
            <w:noWrap/>
            <w:vAlign w:val="bottom"/>
            <w:hideMark/>
          </w:tcPr>
          <w:p w14:paraId="0C3F8F27"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4073</w:t>
            </w:r>
          </w:p>
        </w:tc>
        <w:tc>
          <w:tcPr>
            <w:tcW w:w="912" w:type="dxa"/>
            <w:tcBorders>
              <w:top w:val="nil"/>
              <w:left w:val="nil"/>
              <w:bottom w:val="nil"/>
              <w:right w:val="single" w:sz="4" w:space="0" w:color="auto"/>
            </w:tcBorders>
            <w:shd w:val="clear" w:color="000000" w:fill="F2DCDB"/>
            <w:noWrap/>
            <w:vAlign w:val="bottom"/>
            <w:hideMark/>
          </w:tcPr>
          <w:p w14:paraId="0C3F8F28"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1985</w:t>
            </w:r>
          </w:p>
        </w:tc>
        <w:tc>
          <w:tcPr>
            <w:tcW w:w="723" w:type="dxa"/>
            <w:tcBorders>
              <w:top w:val="nil"/>
              <w:left w:val="nil"/>
              <w:bottom w:val="nil"/>
              <w:right w:val="nil"/>
            </w:tcBorders>
            <w:shd w:val="clear" w:color="auto" w:fill="auto"/>
            <w:noWrap/>
            <w:vAlign w:val="bottom"/>
            <w:hideMark/>
          </w:tcPr>
          <w:p w14:paraId="0C3F8F2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3294</w:t>
            </w:r>
          </w:p>
        </w:tc>
        <w:tc>
          <w:tcPr>
            <w:tcW w:w="918" w:type="dxa"/>
            <w:tcBorders>
              <w:top w:val="nil"/>
              <w:left w:val="nil"/>
              <w:bottom w:val="nil"/>
              <w:right w:val="nil"/>
            </w:tcBorders>
            <w:shd w:val="clear" w:color="auto" w:fill="auto"/>
            <w:noWrap/>
            <w:vAlign w:val="bottom"/>
            <w:hideMark/>
          </w:tcPr>
          <w:p w14:paraId="0C3F8F2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283</w:t>
            </w:r>
          </w:p>
        </w:tc>
        <w:tc>
          <w:tcPr>
            <w:tcW w:w="622" w:type="dxa"/>
            <w:tcBorders>
              <w:top w:val="nil"/>
              <w:left w:val="nil"/>
              <w:bottom w:val="nil"/>
              <w:right w:val="nil"/>
            </w:tcBorders>
            <w:shd w:val="clear" w:color="auto" w:fill="auto"/>
            <w:noWrap/>
            <w:vAlign w:val="bottom"/>
            <w:hideMark/>
          </w:tcPr>
          <w:p w14:paraId="0C3F8F2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433</w:t>
            </w:r>
          </w:p>
        </w:tc>
        <w:tc>
          <w:tcPr>
            <w:tcW w:w="1028" w:type="dxa"/>
            <w:tcBorders>
              <w:top w:val="nil"/>
              <w:left w:val="nil"/>
              <w:bottom w:val="nil"/>
              <w:right w:val="nil"/>
            </w:tcBorders>
            <w:shd w:val="clear" w:color="auto" w:fill="auto"/>
            <w:noWrap/>
            <w:vAlign w:val="bottom"/>
            <w:hideMark/>
          </w:tcPr>
          <w:p w14:paraId="0C3F8F2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68</w:t>
            </w:r>
          </w:p>
        </w:tc>
        <w:tc>
          <w:tcPr>
            <w:tcW w:w="912" w:type="dxa"/>
            <w:tcBorders>
              <w:top w:val="nil"/>
              <w:left w:val="nil"/>
              <w:bottom w:val="nil"/>
              <w:right w:val="nil"/>
            </w:tcBorders>
            <w:shd w:val="clear" w:color="000000" w:fill="F2DCDB"/>
            <w:noWrap/>
            <w:vAlign w:val="bottom"/>
            <w:hideMark/>
          </w:tcPr>
          <w:p w14:paraId="0C3F8F2D"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4078</w:t>
            </w:r>
          </w:p>
        </w:tc>
        <w:tc>
          <w:tcPr>
            <w:tcW w:w="912" w:type="dxa"/>
            <w:tcBorders>
              <w:top w:val="nil"/>
              <w:left w:val="nil"/>
              <w:bottom w:val="nil"/>
              <w:right w:val="single" w:sz="4" w:space="0" w:color="auto"/>
            </w:tcBorders>
            <w:shd w:val="clear" w:color="000000" w:fill="F2DCDB"/>
            <w:noWrap/>
            <w:vAlign w:val="bottom"/>
            <w:hideMark/>
          </w:tcPr>
          <w:p w14:paraId="0C3F8F2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1981</w:t>
            </w:r>
          </w:p>
        </w:tc>
      </w:tr>
      <w:tr w:rsidR="00B6457B" w:rsidRPr="00393ABA" w14:paraId="0C3F8F40" w14:textId="77777777" w:rsidTr="00393ABA">
        <w:trPr>
          <w:trHeight w:val="300"/>
        </w:trPr>
        <w:tc>
          <w:tcPr>
            <w:tcW w:w="1407" w:type="dxa"/>
            <w:vMerge/>
            <w:tcBorders>
              <w:top w:val="nil"/>
              <w:left w:val="single" w:sz="4" w:space="0" w:color="auto"/>
              <w:bottom w:val="nil"/>
              <w:right w:val="nil"/>
            </w:tcBorders>
            <w:vAlign w:val="center"/>
            <w:hideMark/>
          </w:tcPr>
          <w:p w14:paraId="0C3F8F30"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F3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F3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F3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27%</w:t>
            </w:r>
          </w:p>
        </w:tc>
        <w:tc>
          <w:tcPr>
            <w:tcW w:w="804" w:type="dxa"/>
            <w:tcBorders>
              <w:top w:val="nil"/>
              <w:left w:val="nil"/>
              <w:bottom w:val="nil"/>
              <w:right w:val="nil"/>
            </w:tcBorders>
            <w:shd w:val="clear" w:color="auto" w:fill="auto"/>
            <w:noWrap/>
            <w:vAlign w:val="bottom"/>
            <w:hideMark/>
          </w:tcPr>
          <w:p w14:paraId="0C3F8F3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27%</w:t>
            </w:r>
          </w:p>
        </w:tc>
        <w:tc>
          <w:tcPr>
            <w:tcW w:w="774" w:type="dxa"/>
            <w:tcBorders>
              <w:top w:val="nil"/>
              <w:left w:val="nil"/>
              <w:bottom w:val="nil"/>
              <w:right w:val="nil"/>
            </w:tcBorders>
            <w:shd w:val="clear" w:color="auto" w:fill="auto"/>
            <w:noWrap/>
            <w:vAlign w:val="bottom"/>
            <w:hideMark/>
          </w:tcPr>
          <w:p w14:paraId="0C3F8F3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641" w:type="dxa"/>
            <w:tcBorders>
              <w:top w:val="nil"/>
              <w:left w:val="nil"/>
              <w:bottom w:val="nil"/>
              <w:right w:val="nil"/>
            </w:tcBorders>
            <w:shd w:val="clear" w:color="auto" w:fill="auto"/>
            <w:noWrap/>
            <w:vAlign w:val="bottom"/>
            <w:hideMark/>
          </w:tcPr>
          <w:p w14:paraId="0C3F8F3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785" w:type="dxa"/>
            <w:tcBorders>
              <w:top w:val="nil"/>
              <w:left w:val="nil"/>
              <w:bottom w:val="nil"/>
              <w:right w:val="nil"/>
            </w:tcBorders>
            <w:shd w:val="clear" w:color="auto" w:fill="auto"/>
            <w:noWrap/>
            <w:vAlign w:val="bottom"/>
            <w:hideMark/>
          </w:tcPr>
          <w:p w14:paraId="0C3F8F3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w:t>
            </w:r>
          </w:p>
        </w:tc>
        <w:tc>
          <w:tcPr>
            <w:tcW w:w="912" w:type="dxa"/>
            <w:tcBorders>
              <w:top w:val="nil"/>
              <w:left w:val="nil"/>
              <w:bottom w:val="nil"/>
              <w:right w:val="nil"/>
            </w:tcBorders>
            <w:shd w:val="clear" w:color="000000" w:fill="F2DCDB"/>
            <w:noWrap/>
            <w:vAlign w:val="bottom"/>
            <w:hideMark/>
          </w:tcPr>
          <w:p w14:paraId="0C3F8F38"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67%</w:t>
            </w:r>
          </w:p>
        </w:tc>
        <w:tc>
          <w:tcPr>
            <w:tcW w:w="912" w:type="dxa"/>
            <w:tcBorders>
              <w:top w:val="nil"/>
              <w:left w:val="nil"/>
              <w:bottom w:val="nil"/>
              <w:right w:val="nil"/>
            </w:tcBorders>
            <w:shd w:val="clear" w:color="000000" w:fill="F2DCDB"/>
            <w:noWrap/>
            <w:vAlign w:val="bottom"/>
            <w:hideMark/>
          </w:tcPr>
          <w:p w14:paraId="0C3F8F39"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33%</w:t>
            </w:r>
          </w:p>
        </w:tc>
        <w:tc>
          <w:tcPr>
            <w:tcW w:w="723" w:type="dxa"/>
            <w:tcBorders>
              <w:top w:val="nil"/>
              <w:left w:val="single" w:sz="4" w:space="0" w:color="auto"/>
              <w:bottom w:val="nil"/>
              <w:right w:val="nil"/>
            </w:tcBorders>
            <w:shd w:val="clear" w:color="auto" w:fill="auto"/>
            <w:noWrap/>
            <w:vAlign w:val="bottom"/>
            <w:hideMark/>
          </w:tcPr>
          <w:p w14:paraId="0C3F8F3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54%</w:t>
            </w:r>
          </w:p>
        </w:tc>
        <w:tc>
          <w:tcPr>
            <w:tcW w:w="918" w:type="dxa"/>
            <w:tcBorders>
              <w:top w:val="nil"/>
              <w:left w:val="nil"/>
              <w:bottom w:val="nil"/>
              <w:right w:val="nil"/>
            </w:tcBorders>
            <w:shd w:val="clear" w:color="auto" w:fill="auto"/>
            <w:noWrap/>
            <w:vAlign w:val="bottom"/>
            <w:hideMark/>
          </w:tcPr>
          <w:p w14:paraId="0C3F8F3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622" w:type="dxa"/>
            <w:tcBorders>
              <w:top w:val="nil"/>
              <w:left w:val="nil"/>
              <w:bottom w:val="nil"/>
              <w:right w:val="nil"/>
            </w:tcBorders>
            <w:shd w:val="clear" w:color="auto" w:fill="auto"/>
            <w:noWrap/>
            <w:vAlign w:val="bottom"/>
            <w:hideMark/>
          </w:tcPr>
          <w:p w14:paraId="0C3F8F3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w:t>
            </w:r>
          </w:p>
        </w:tc>
        <w:tc>
          <w:tcPr>
            <w:tcW w:w="1028" w:type="dxa"/>
            <w:tcBorders>
              <w:top w:val="nil"/>
              <w:left w:val="nil"/>
              <w:bottom w:val="nil"/>
              <w:right w:val="nil"/>
            </w:tcBorders>
            <w:shd w:val="clear" w:color="auto" w:fill="auto"/>
            <w:noWrap/>
            <w:vAlign w:val="bottom"/>
            <w:hideMark/>
          </w:tcPr>
          <w:p w14:paraId="0C3F8F3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2" w:type="dxa"/>
            <w:tcBorders>
              <w:top w:val="nil"/>
              <w:left w:val="nil"/>
              <w:bottom w:val="nil"/>
              <w:right w:val="nil"/>
            </w:tcBorders>
            <w:shd w:val="clear" w:color="000000" w:fill="F2DCDB"/>
            <w:noWrap/>
            <w:vAlign w:val="bottom"/>
            <w:hideMark/>
          </w:tcPr>
          <w:p w14:paraId="0C3F8F3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67%</w:t>
            </w:r>
          </w:p>
        </w:tc>
        <w:tc>
          <w:tcPr>
            <w:tcW w:w="912" w:type="dxa"/>
            <w:tcBorders>
              <w:top w:val="nil"/>
              <w:left w:val="nil"/>
              <w:bottom w:val="nil"/>
              <w:right w:val="single" w:sz="4" w:space="0" w:color="auto"/>
            </w:tcBorders>
            <w:shd w:val="clear" w:color="000000" w:fill="F2DCDB"/>
            <w:noWrap/>
            <w:vAlign w:val="bottom"/>
            <w:hideMark/>
          </w:tcPr>
          <w:p w14:paraId="0C3F8F3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33%</w:t>
            </w:r>
          </w:p>
        </w:tc>
      </w:tr>
      <w:tr w:rsidR="00B6457B" w:rsidRPr="00393ABA" w14:paraId="0C3F8F51" w14:textId="77777777" w:rsidTr="00393ABA">
        <w:trPr>
          <w:trHeight w:val="300"/>
        </w:trPr>
        <w:tc>
          <w:tcPr>
            <w:tcW w:w="1407" w:type="dxa"/>
            <w:vMerge w:val="restart"/>
            <w:tcBorders>
              <w:top w:val="nil"/>
              <w:left w:val="single" w:sz="4" w:space="0" w:color="auto"/>
              <w:bottom w:val="nil"/>
              <w:right w:val="single" w:sz="4" w:space="0" w:color="auto"/>
            </w:tcBorders>
            <w:shd w:val="clear" w:color="000000" w:fill="F2F2F2"/>
            <w:vAlign w:val="center"/>
            <w:hideMark/>
          </w:tcPr>
          <w:p w14:paraId="0C3F8F41"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Mackay-Whitsundays</w:t>
            </w:r>
          </w:p>
        </w:tc>
        <w:tc>
          <w:tcPr>
            <w:tcW w:w="1120" w:type="dxa"/>
            <w:tcBorders>
              <w:top w:val="nil"/>
              <w:left w:val="nil"/>
              <w:bottom w:val="nil"/>
              <w:right w:val="single" w:sz="4" w:space="0" w:color="auto"/>
            </w:tcBorders>
            <w:shd w:val="clear" w:color="000000" w:fill="F2F2F2"/>
            <w:noWrap/>
            <w:vAlign w:val="center"/>
            <w:hideMark/>
          </w:tcPr>
          <w:p w14:paraId="0C3F8F4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F43"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451</w:t>
            </w:r>
          </w:p>
        </w:tc>
        <w:tc>
          <w:tcPr>
            <w:tcW w:w="735" w:type="dxa"/>
            <w:tcBorders>
              <w:top w:val="nil"/>
              <w:left w:val="nil"/>
              <w:bottom w:val="nil"/>
              <w:right w:val="nil"/>
            </w:tcBorders>
            <w:shd w:val="clear" w:color="auto" w:fill="auto"/>
            <w:noWrap/>
            <w:vAlign w:val="bottom"/>
            <w:hideMark/>
          </w:tcPr>
          <w:p w14:paraId="0C3F8F4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w:t>
            </w:r>
          </w:p>
        </w:tc>
        <w:tc>
          <w:tcPr>
            <w:tcW w:w="804" w:type="dxa"/>
            <w:tcBorders>
              <w:top w:val="nil"/>
              <w:left w:val="nil"/>
              <w:bottom w:val="nil"/>
              <w:right w:val="nil"/>
            </w:tcBorders>
            <w:shd w:val="clear" w:color="auto" w:fill="auto"/>
            <w:noWrap/>
            <w:vAlign w:val="bottom"/>
            <w:hideMark/>
          </w:tcPr>
          <w:p w14:paraId="0C3F8F4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w:t>
            </w:r>
          </w:p>
        </w:tc>
        <w:tc>
          <w:tcPr>
            <w:tcW w:w="774" w:type="dxa"/>
            <w:tcBorders>
              <w:top w:val="nil"/>
              <w:left w:val="nil"/>
              <w:bottom w:val="nil"/>
              <w:right w:val="nil"/>
            </w:tcBorders>
            <w:shd w:val="clear" w:color="auto" w:fill="auto"/>
            <w:noWrap/>
            <w:vAlign w:val="bottom"/>
            <w:hideMark/>
          </w:tcPr>
          <w:p w14:paraId="0C3F8F4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50</w:t>
            </w:r>
          </w:p>
        </w:tc>
        <w:tc>
          <w:tcPr>
            <w:tcW w:w="641" w:type="dxa"/>
            <w:tcBorders>
              <w:top w:val="nil"/>
              <w:left w:val="nil"/>
              <w:bottom w:val="nil"/>
              <w:right w:val="nil"/>
            </w:tcBorders>
            <w:shd w:val="clear" w:color="auto" w:fill="auto"/>
            <w:noWrap/>
            <w:vAlign w:val="bottom"/>
            <w:hideMark/>
          </w:tcPr>
          <w:p w14:paraId="0C3F8F4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73</w:t>
            </w:r>
          </w:p>
        </w:tc>
        <w:tc>
          <w:tcPr>
            <w:tcW w:w="785" w:type="dxa"/>
            <w:tcBorders>
              <w:top w:val="nil"/>
              <w:left w:val="nil"/>
              <w:bottom w:val="nil"/>
              <w:right w:val="nil"/>
            </w:tcBorders>
            <w:shd w:val="clear" w:color="auto" w:fill="auto"/>
            <w:noWrap/>
            <w:vAlign w:val="bottom"/>
            <w:hideMark/>
          </w:tcPr>
          <w:p w14:paraId="0C3F8F4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318</w:t>
            </w:r>
          </w:p>
        </w:tc>
        <w:tc>
          <w:tcPr>
            <w:tcW w:w="912" w:type="dxa"/>
            <w:tcBorders>
              <w:top w:val="nil"/>
              <w:left w:val="nil"/>
              <w:bottom w:val="nil"/>
              <w:right w:val="nil"/>
            </w:tcBorders>
            <w:shd w:val="clear" w:color="000000" w:fill="F2DCDB"/>
            <w:noWrap/>
            <w:vAlign w:val="bottom"/>
            <w:hideMark/>
          </w:tcPr>
          <w:p w14:paraId="0C3F8F49"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444</w:t>
            </w:r>
          </w:p>
        </w:tc>
        <w:tc>
          <w:tcPr>
            <w:tcW w:w="912" w:type="dxa"/>
            <w:tcBorders>
              <w:top w:val="nil"/>
              <w:left w:val="nil"/>
              <w:bottom w:val="nil"/>
              <w:right w:val="single" w:sz="4" w:space="0" w:color="auto"/>
            </w:tcBorders>
            <w:shd w:val="clear" w:color="000000" w:fill="F2DCDB"/>
            <w:noWrap/>
            <w:vAlign w:val="bottom"/>
            <w:hideMark/>
          </w:tcPr>
          <w:p w14:paraId="0C3F8F4A"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7</w:t>
            </w:r>
          </w:p>
        </w:tc>
        <w:tc>
          <w:tcPr>
            <w:tcW w:w="723" w:type="dxa"/>
            <w:tcBorders>
              <w:top w:val="nil"/>
              <w:left w:val="nil"/>
              <w:bottom w:val="nil"/>
              <w:right w:val="nil"/>
            </w:tcBorders>
            <w:shd w:val="clear" w:color="auto" w:fill="auto"/>
            <w:noWrap/>
            <w:vAlign w:val="bottom"/>
            <w:hideMark/>
          </w:tcPr>
          <w:p w14:paraId="0C3F8F4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0</w:t>
            </w:r>
          </w:p>
        </w:tc>
        <w:tc>
          <w:tcPr>
            <w:tcW w:w="918" w:type="dxa"/>
            <w:tcBorders>
              <w:top w:val="nil"/>
              <w:left w:val="nil"/>
              <w:bottom w:val="nil"/>
              <w:right w:val="nil"/>
            </w:tcBorders>
            <w:shd w:val="clear" w:color="auto" w:fill="auto"/>
            <w:noWrap/>
            <w:vAlign w:val="bottom"/>
            <w:hideMark/>
          </w:tcPr>
          <w:p w14:paraId="0C3F8F4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203</w:t>
            </w:r>
          </w:p>
        </w:tc>
        <w:tc>
          <w:tcPr>
            <w:tcW w:w="622" w:type="dxa"/>
            <w:tcBorders>
              <w:top w:val="nil"/>
              <w:left w:val="nil"/>
              <w:bottom w:val="nil"/>
              <w:right w:val="nil"/>
            </w:tcBorders>
            <w:shd w:val="clear" w:color="auto" w:fill="auto"/>
            <w:noWrap/>
            <w:vAlign w:val="bottom"/>
            <w:hideMark/>
          </w:tcPr>
          <w:p w14:paraId="0C3F8F4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225</w:t>
            </w:r>
          </w:p>
        </w:tc>
        <w:tc>
          <w:tcPr>
            <w:tcW w:w="1028" w:type="dxa"/>
            <w:tcBorders>
              <w:top w:val="nil"/>
              <w:left w:val="nil"/>
              <w:bottom w:val="nil"/>
              <w:right w:val="nil"/>
            </w:tcBorders>
            <w:shd w:val="clear" w:color="auto" w:fill="auto"/>
            <w:noWrap/>
            <w:vAlign w:val="bottom"/>
            <w:hideMark/>
          </w:tcPr>
          <w:p w14:paraId="0C3F8F4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912" w:type="dxa"/>
            <w:tcBorders>
              <w:top w:val="nil"/>
              <w:left w:val="nil"/>
              <w:bottom w:val="nil"/>
              <w:right w:val="nil"/>
            </w:tcBorders>
            <w:shd w:val="clear" w:color="000000" w:fill="F2DCDB"/>
            <w:noWrap/>
            <w:vAlign w:val="bottom"/>
            <w:hideMark/>
          </w:tcPr>
          <w:p w14:paraId="0C3F8F4F"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443</w:t>
            </w:r>
          </w:p>
        </w:tc>
        <w:tc>
          <w:tcPr>
            <w:tcW w:w="912" w:type="dxa"/>
            <w:tcBorders>
              <w:top w:val="nil"/>
              <w:left w:val="nil"/>
              <w:bottom w:val="nil"/>
              <w:right w:val="single" w:sz="4" w:space="0" w:color="auto"/>
            </w:tcBorders>
            <w:shd w:val="clear" w:color="000000" w:fill="F2DCDB"/>
            <w:noWrap/>
            <w:vAlign w:val="bottom"/>
            <w:hideMark/>
          </w:tcPr>
          <w:p w14:paraId="0C3F8F50"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9</w:t>
            </w:r>
          </w:p>
        </w:tc>
      </w:tr>
      <w:tr w:rsidR="00B6457B" w:rsidRPr="00393ABA" w14:paraId="0C3F8F62" w14:textId="77777777" w:rsidTr="00393ABA">
        <w:trPr>
          <w:trHeight w:val="300"/>
        </w:trPr>
        <w:tc>
          <w:tcPr>
            <w:tcW w:w="1407" w:type="dxa"/>
            <w:vMerge/>
            <w:tcBorders>
              <w:top w:val="nil"/>
              <w:left w:val="single" w:sz="4" w:space="0" w:color="auto"/>
              <w:bottom w:val="nil"/>
              <w:right w:val="single" w:sz="4" w:space="0" w:color="auto"/>
            </w:tcBorders>
            <w:vAlign w:val="center"/>
            <w:hideMark/>
          </w:tcPr>
          <w:p w14:paraId="0C3F8F52"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nil"/>
              <w:right w:val="single" w:sz="4" w:space="0" w:color="auto"/>
            </w:tcBorders>
            <w:shd w:val="clear" w:color="000000" w:fill="F2F2F2"/>
            <w:noWrap/>
            <w:vAlign w:val="center"/>
            <w:hideMark/>
          </w:tcPr>
          <w:p w14:paraId="0C3F8F5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F54"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F5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804" w:type="dxa"/>
            <w:tcBorders>
              <w:top w:val="nil"/>
              <w:left w:val="nil"/>
              <w:bottom w:val="nil"/>
              <w:right w:val="nil"/>
            </w:tcBorders>
            <w:shd w:val="clear" w:color="auto" w:fill="auto"/>
            <w:noWrap/>
            <w:vAlign w:val="bottom"/>
            <w:hideMark/>
          </w:tcPr>
          <w:p w14:paraId="0C3F8F5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774" w:type="dxa"/>
            <w:tcBorders>
              <w:top w:val="nil"/>
              <w:left w:val="nil"/>
              <w:bottom w:val="nil"/>
              <w:right w:val="nil"/>
            </w:tcBorders>
            <w:shd w:val="clear" w:color="auto" w:fill="auto"/>
            <w:noWrap/>
            <w:vAlign w:val="bottom"/>
            <w:hideMark/>
          </w:tcPr>
          <w:p w14:paraId="0C3F8F5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11%</w:t>
            </w:r>
          </w:p>
        </w:tc>
        <w:tc>
          <w:tcPr>
            <w:tcW w:w="641" w:type="dxa"/>
            <w:tcBorders>
              <w:top w:val="nil"/>
              <w:left w:val="nil"/>
              <w:bottom w:val="nil"/>
              <w:right w:val="nil"/>
            </w:tcBorders>
            <w:shd w:val="clear" w:color="auto" w:fill="auto"/>
            <w:noWrap/>
            <w:vAlign w:val="bottom"/>
            <w:hideMark/>
          </w:tcPr>
          <w:p w14:paraId="0C3F8F5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16%</w:t>
            </w:r>
          </w:p>
        </w:tc>
        <w:tc>
          <w:tcPr>
            <w:tcW w:w="785" w:type="dxa"/>
            <w:tcBorders>
              <w:top w:val="nil"/>
              <w:left w:val="nil"/>
              <w:bottom w:val="nil"/>
              <w:right w:val="nil"/>
            </w:tcBorders>
            <w:shd w:val="clear" w:color="auto" w:fill="auto"/>
            <w:noWrap/>
            <w:vAlign w:val="bottom"/>
            <w:hideMark/>
          </w:tcPr>
          <w:p w14:paraId="0C3F8F5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70%</w:t>
            </w:r>
          </w:p>
        </w:tc>
        <w:tc>
          <w:tcPr>
            <w:tcW w:w="912" w:type="dxa"/>
            <w:tcBorders>
              <w:top w:val="nil"/>
              <w:left w:val="nil"/>
              <w:bottom w:val="nil"/>
              <w:right w:val="nil"/>
            </w:tcBorders>
            <w:shd w:val="clear" w:color="000000" w:fill="F2DCDB"/>
            <w:noWrap/>
            <w:vAlign w:val="bottom"/>
            <w:hideMark/>
          </w:tcPr>
          <w:p w14:paraId="0C3F8F5A"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98%</w:t>
            </w:r>
          </w:p>
        </w:tc>
        <w:tc>
          <w:tcPr>
            <w:tcW w:w="912" w:type="dxa"/>
            <w:tcBorders>
              <w:top w:val="nil"/>
              <w:left w:val="nil"/>
              <w:bottom w:val="nil"/>
              <w:right w:val="nil"/>
            </w:tcBorders>
            <w:shd w:val="clear" w:color="000000" w:fill="F2DCDB"/>
            <w:noWrap/>
            <w:vAlign w:val="bottom"/>
            <w:hideMark/>
          </w:tcPr>
          <w:p w14:paraId="0C3F8F5B"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w:t>
            </w:r>
          </w:p>
        </w:tc>
        <w:tc>
          <w:tcPr>
            <w:tcW w:w="723" w:type="dxa"/>
            <w:tcBorders>
              <w:top w:val="nil"/>
              <w:left w:val="single" w:sz="4" w:space="0" w:color="auto"/>
              <w:bottom w:val="nil"/>
              <w:right w:val="nil"/>
            </w:tcBorders>
            <w:shd w:val="clear" w:color="auto" w:fill="auto"/>
            <w:noWrap/>
            <w:vAlign w:val="bottom"/>
            <w:hideMark/>
          </w:tcPr>
          <w:p w14:paraId="0C3F8F5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8" w:type="dxa"/>
            <w:tcBorders>
              <w:top w:val="nil"/>
              <w:left w:val="nil"/>
              <w:bottom w:val="nil"/>
              <w:right w:val="nil"/>
            </w:tcBorders>
            <w:shd w:val="clear" w:color="auto" w:fill="auto"/>
            <w:noWrap/>
            <w:vAlign w:val="bottom"/>
            <w:hideMark/>
          </w:tcPr>
          <w:p w14:paraId="0C3F8F5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45%</w:t>
            </w:r>
          </w:p>
        </w:tc>
        <w:tc>
          <w:tcPr>
            <w:tcW w:w="622" w:type="dxa"/>
            <w:tcBorders>
              <w:top w:val="nil"/>
              <w:left w:val="nil"/>
              <w:bottom w:val="nil"/>
              <w:right w:val="nil"/>
            </w:tcBorders>
            <w:shd w:val="clear" w:color="auto" w:fill="auto"/>
            <w:noWrap/>
            <w:vAlign w:val="bottom"/>
            <w:hideMark/>
          </w:tcPr>
          <w:p w14:paraId="0C3F8F5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50%</w:t>
            </w:r>
          </w:p>
        </w:tc>
        <w:tc>
          <w:tcPr>
            <w:tcW w:w="1028" w:type="dxa"/>
            <w:tcBorders>
              <w:top w:val="nil"/>
              <w:left w:val="nil"/>
              <w:bottom w:val="nil"/>
              <w:right w:val="nil"/>
            </w:tcBorders>
            <w:shd w:val="clear" w:color="auto" w:fill="auto"/>
            <w:noWrap/>
            <w:vAlign w:val="bottom"/>
            <w:hideMark/>
          </w:tcPr>
          <w:p w14:paraId="0C3F8F5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w:t>
            </w:r>
          </w:p>
        </w:tc>
        <w:tc>
          <w:tcPr>
            <w:tcW w:w="912" w:type="dxa"/>
            <w:tcBorders>
              <w:top w:val="nil"/>
              <w:left w:val="nil"/>
              <w:bottom w:val="nil"/>
              <w:right w:val="nil"/>
            </w:tcBorders>
            <w:shd w:val="clear" w:color="000000" w:fill="F2DCDB"/>
            <w:noWrap/>
            <w:vAlign w:val="bottom"/>
            <w:hideMark/>
          </w:tcPr>
          <w:p w14:paraId="0C3F8F60"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98%</w:t>
            </w:r>
          </w:p>
        </w:tc>
        <w:tc>
          <w:tcPr>
            <w:tcW w:w="912" w:type="dxa"/>
            <w:tcBorders>
              <w:top w:val="nil"/>
              <w:left w:val="nil"/>
              <w:bottom w:val="nil"/>
              <w:right w:val="single" w:sz="4" w:space="0" w:color="auto"/>
            </w:tcBorders>
            <w:shd w:val="clear" w:color="000000" w:fill="F2DCDB"/>
            <w:noWrap/>
            <w:vAlign w:val="bottom"/>
            <w:hideMark/>
          </w:tcPr>
          <w:p w14:paraId="0C3F8F61"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2%</w:t>
            </w:r>
          </w:p>
        </w:tc>
      </w:tr>
      <w:tr w:rsidR="00B6457B" w:rsidRPr="00393ABA" w14:paraId="0C3F8F73" w14:textId="77777777" w:rsidTr="00393ABA">
        <w:trPr>
          <w:trHeight w:val="300"/>
        </w:trPr>
        <w:tc>
          <w:tcPr>
            <w:tcW w:w="1407" w:type="dxa"/>
            <w:vMerge w:val="restart"/>
            <w:tcBorders>
              <w:top w:val="nil"/>
              <w:left w:val="single" w:sz="4" w:space="0" w:color="auto"/>
              <w:bottom w:val="nil"/>
              <w:right w:val="nil"/>
            </w:tcBorders>
            <w:shd w:val="clear" w:color="000000" w:fill="F2F2F2"/>
            <w:noWrap/>
            <w:vAlign w:val="center"/>
            <w:hideMark/>
          </w:tcPr>
          <w:p w14:paraId="0C3F8F63"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Fitzroy</w:t>
            </w:r>
          </w:p>
        </w:tc>
        <w:tc>
          <w:tcPr>
            <w:tcW w:w="1120" w:type="dxa"/>
            <w:tcBorders>
              <w:top w:val="nil"/>
              <w:left w:val="single" w:sz="4" w:space="0" w:color="auto"/>
              <w:bottom w:val="nil"/>
              <w:right w:val="single" w:sz="4" w:space="0" w:color="auto"/>
            </w:tcBorders>
            <w:shd w:val="clear" w:color="000000" w:fill="F2F2F2"/>
            <w:noWrap/>
            <w:vAlign w:val="center"/>
            <w:hideMark/>
          </w:tcPr>
          <w:p w14:paraId="0C3F8F64"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F65"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5801</w:t>
            </w:r>
          </w:p>
        </w:tc>
        <w:tc>
          <w:tcPr>
            <w:tcW w:w="735" w:type="dxa"/>
            <w:tcBorders>
              <w:top w:val="nil"/>
              <w:left w:val="nil"/>
              <w:bottom w:val="nil"/>
              <w:right w:val="nil"/>
            </w:tcBorders>
            <w:shd w:val="clear" w:color="auto" w:fill="auto"/>
            <w:noWrap/>
            <w:vAlign w:val="bottom"/>
            <w:hideMark/>
          </w:tcPr>
          <w:p w14:paraId="0C3F8F6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1432</w:t>
            </w:r>
          </w:p>
        </w:tc>
        <w:tc>
          <w:tcPr>
            <w:tcW w:w="804" w:type="dxa"/>
            <w:tcBorders>
              <w:top w:val="nil"/>
              <w:left w:val="nil"/>
              <w:bottom w:val="nil"/>
              <w:right w:val="nil"/>
            </w:tcBorders>
            <w:shd w:val="clear" w:color="auto" w:fill="auto"/>
            <w:noWrap/>
            <w:vAlign w:val="bottom"/>
            <w:hideMark/>
          </w:tcPr>
          <w:p w14:paraId="0C3F8F6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878</w:t>
            </w:r>
          </w:p>
        </w:tc>
        <w:tc>
          <w:tcPr>
            <w:tcW w:w="774" w:type="dxa"/>
            <w:tcBorders>
              <w:top w:val="nil"/>
              <w:left w:val="nil"/>
              <w:bottom w:val="nil"/>
              <w:right w:val="nil"/>
            </w:tcBorders>
            <w:shd w:val="clear" w:color="auto" w:fill="auto"/>
            <w:noWrap/>
            <w:vAlign w:val="bottom"/>
            <w:hideMark/>
          </w:tcPr>
          <w:p w14:paraId="0C3F8F6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2738</w:t>
            </w:r>
          </w:p>
        </w:tc>
        <w:tc>
          <w:tcPr>
            <w:tcW w:w="641" w:type="dxa"/>
            <w:tcBorders>
              <w:top w:val="nil"/>
              <w:left w:val="nil"/>
              <w:bottom w:val="nil"/>
              <w:right w:val="nil"/>
            </w:tcBorders>
            <w:shd w:val="clear" w:color="auto" w:fill="auto"/>
            <w:noWrap/>
            <w:vAlign w:val="bottom"/>
            <w:hideMark/>
          </w:tcPr>
          <w:p w14:paraId="0C3F8F6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254</w:t>
            </w:r>
          </w:p>
        </w:tc>
        <w:tc>
          <w:tcPr>
            <w:tcW w:w="785" w:type="dxa"/>
            <w:tcBorders>
              <w:top w:val="nil"/>
              <w:left w:val="nil"/>
              <w:bottom w:val="nil"/>
              <w:right w:val="nil"/>
            </w:tcBorders>
            <w:shd w:val="clear" w:color="auto" w:fill="auto"/>
            <w:noWrap/>
            <w:vAlign w:val="bottom"/>
            <w:hideMark/>
          </w:tcPr>
          <w:p w14:paraId="0C3F8F6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505</w:t>
            </w:r>
          </w:p>
        </w:tc>
        <w:tc>
          <w:tcPr>
            <w:tcW w:w="912" w:type="dxa"/>
            <w:tcBorders>
              <w:top w:val="nil"/>
              <w:left w:val="nil"/>
              <w:bottom w:val="nil"/>
              <w:right w:val="nil"/>
            </w:tcBorders>
            <w:shd w:val="clear" w:color="000000" w:fill="F2DCDB"/>
            <w:noWrap/>
            <w:vAlign w:val="bottom"/>
            <w:hideMark/>
          </w:tcPr>
          <w:p w14:paraId="0C3F8F6B"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5806</w:t>
            </w:r>
          </w:p>
        </w:tc>
        <w:tc>
          <w:tcPr>
            <w:tcW w:w="912" w:type="dxa"/>
            <w:tcBorders>
              <w:top w:val="nil"/>
              <w:left w:val="nil"/>
              <w:bottom w:val="nil"/>
              <w:right w:val="single" w:sz="4" w:space="0" w:color="auto"/>
            </w:tcBorders>
            <w:shd w:val="clear" w:color="000000" w:fill="F2DCDB"/>
            <w:noWrap/>
            <w:vAlign w:val="bottom"/>
            <w:hideMark/>
          </w:tcPr>
          <w:p w14:paraId="0C3F8F6C"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c>
          <w:tcPr>
            <w:tcW w:w="723" w:type="dxa"/>
            <w:tcBorders>
              <w:top w:val="nil"/>
              <w:left w:val="nil"/>
              <w:bottom w:val="nil"/>
              <w:right w:val="nil"/>
            </w:tcBorders>
            <w:shd w:val="clear" w:color="auto" w:fill="auto"/>
            <w:noWrap/>
            <w:vAlign w:val="bottom"/>
            <w:hideMark/>
          </w:tcPr>
          <w:p w14:paraId="0C3F8F6D"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3372</w:t>
            </w:r>
          </w:p>
        </w:tc>
        <w:tc>
          <w:tcPr>
            <w:tcW w:w="918" w:type="dxa"/>
            <w:tcBorders>
              <w:top w:val="nil"/>
              <w:left w:val="nil"/>
              <w:bottom w:val="nil"/>
              <w:right w:val="nil"/>
            </w:tcBorders>
            <w:shd w:val="clear" w:color="auto" w:fill="auto"/>
            <w:noWrap/>
            <w:vAlign w:val="bottom"/>
            <w:hideMark/>
          </w:tcPr>
          <w:p w14:paraId="0C3F8F6E"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1928</w:t>
            </w:r>
          </w:p>
        </w:tc>
        <w:tc>
          <w:tcPr>
            <w:tcW w:w="622" w:type="dxa"/>
            <w:tcBorders>
              <w:top w:val="nil"/>
              <w:left w:val="nil"/>
              <w:bottom w:val="nil"/>
              <w:right w:val="nil"/>
            </w:tcBorders>
            <w:shd w:val="clear" w:color="auto" w:fill="auto"/>
            <w:noWrap/>
            <w:vAlign w:val="bottom"/>
            <w:hideMark/>
          </w:tcPr>
          <w:p w14:paraId="0C3F8F6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440</w:t>
            </w:r>
          </w:p>
        </w:tc>
        <w:tc>
          <w:tcPr>
            <w:tcW w:w="1028" w:type="dxa"/>
            <w:tcBorders>
              <w:top w:val="nil"/>
              <w:left w:val="nil"/>
              <w:bottom w:val="nil"/>
              <w:right w:val="nil"/>
            </w:tcBorders>
            <w:shd w:val="clear" w:color="auto" w:fill="auto"/>
            <w:noWrap/>
            <w:vAlign w:val="bottom"/>
            <w:hideMark/>
          </w:tcPr>
          <w:p w14:paraId="0C3F8F7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60</w:t>
            </w:r>
          </w:p>
        </w:tc>
        <w:tc>
          <w:tcPr>
            <w:tcW w:w="912" w:type="dxa"/>
            <w:tcBorders>
              <w:top w:val="nil"/>
              <w:left w:val="nil"/>
              <w:bottom w:val="nil"/>
              <w:right w:val="nil"/>
            </w:tcBorders>
            <w:shd w:val="clear" w:color="000000" w:fill="F2DCDB"/>
            <w:noWrap/>
            <w:vAlign w:val="bottom"/>
            <w:hideMark/>
          </w:tcPr>
          <w:p w14:paraId="0C3F8F71"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5801</w:t>
            </w:r>
          </w:p>
        </w:tc>
        <w:tc>
          <w:tcPr>
            <w:tcW w:w="912" w:type="dxa"/>
            <w:tcBorders>
              <w:top w:val="nil"/>
              <w:left w:val="nil"/>
              <w:bottom w:val="nil"/>
              <w:right w:val="single" w:sz="4" w:space="0" w:color="auto"/>
            </w:tcBorders>
            <w:shd w:val="clear" w:color="000000" w:fill="F2DCDB"/>
            <w:noWrap/>
            <w:vAlign w:val="bottom"/>
            <w:hideMark/>
          </w:tcPr>
          <w:p w14:paraId="0C3F8F72"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0</w:t>
            </w:r>
          </w:p>
        </w:tc>
      </w:tr>
      <w:tr w:rsidR="00B6457B" w:rsidRPr="00393ABA" w14:paraId="0C3F8F84" w14:textId="77777777" w:rsidTr="00393ABA">
        <w:trPr>
          <w:trHeight w:val="300"/>
        </w:trPr>
        <w:tc>
          <w:tcPr>
            <w:tcW w:w="1407" w:type="dxa"/>
            <w:vMerge/>
            <w:tcBorders>
              <w:top w:val="nil"/>
              <w:left w:val="single" w:sz="4" w:space="0" w:color="auto"/>
              <w:bottom w:val="nil"/>
              <w:right w:val="nil"/>
            </w:tcBorders>
            <w:vAlign w:val="center"/>
            <w:hideMark/>
          </w:tcPr>
          <w:p w14:paraId="0C3F8F74"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single" w:sz="4" w:space="0" w:color="auto"/>
              <w:bottom w:val="nil"/>
              <w:right w:val="single" w:sz="4" w:space="0" w:color="auto"/>
            </w:tcBorders>
            <w:shd w:val="clear" w:color="000000" w:fill="F2F2F2"/>
            <w:noWrap/>
            <w:vAlign w:val="center"/>
            <w:hideMark/>
          </w:tcPr>
          <w:p w14:paraId="0C3F8F75"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nil"/>
              <w:right w:val="single" w:sz="4" w:space="0" w:color="auto"/>
            </w:tcBorders>
            <w:shd w:val="clear" w:color="000000" w:fill="F2F2F2"/>
            <w:noWrap/>
            <w:vAlign w:val="bottom"/>
            <w:hideMark/>
          </w:tcPr>
          <w:p w14:paraId="0C3F8F76"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nil"/>
              <w:right w:val="nil"/>
            </w:tcBorders>
            <w:shd w:val="clear" w:color="auto" w:fill="auto"/>
            <w:noWrap/>
            <w:vAlign w:val="bottom"/>
            <w:hideMark/>
          </w:tcPr>
          <w:p w14:paraId="0C3F8F7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25%</w:t>
            </w:r>
          </w:p>
        </w:tc>
        <w:tc>
          <w:tcPr>
            <w:tcW w:w="804" w:type="dxa"/>
            <w:tcBorders>
              <w:top w:val="nil"/>
              <w:left w:val="nil"/>
              <w:bottom w:val="nil"/>
              <w:right w:val="nil"/>
            </w:tcBorders>
            <w:shd w:val="clear" w:color="auto" w:fill="auto"/>
            <w:noWrap/>
            <w:vAlign w:val="bottom"/>
            <w:hideMark/>
          </w:tcPr>
          <w:p w14:paraId="0C3F8F7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15%</w:t>
            </w:r>
          </w:p>
        </w:tc>
        <w:tc>
          <w:tcPr>
            <w:tcW w:w="774" w:type="dxa"/>
            <w:tcBorders>
              <w:top w:val="nil"/>
              <w:left w:val="nil"/>
              <w:bottom w:val="nil"/>
              <w:right w:val="nil"/>
            </w:tcBorders>
            <w:shd w:val="clear" w:color="auto" w:fill="auto"/>
            <w:noWrap/>
            <w:vAlign w:val="bottom"/>
            <w:hideMark/>
          </w:tcPr>
          <w:p w14:paraId="0C3F8F7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47%</w:t>
            </w:r>
          </w:p>
        </w:tc>
        <w:tc>
          <w:tcPr>
            <w:tcW w:w="641" w:type="dxa"/>
            <w:tcBorders>
              <w:top w:val="nil"/>
              <w:left w:val="nil"/>
              <w:bottom w:val="nil"/>
              <w:right w:val="nil"/>
            </w:tcBorders>
            <w:shd w:val="clear" w:color="auto" w:fill="auto"/>
            <w:noWrap/>
            <w:vAlign w:val="bottom"/>
            <w:hideMark/>
          </w:tcPr>
          <w:p w14:paraId="0C3F8F7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785" w:type="dxa"/>
            <w:tcBorders>
              <w:top w:val="nil"/>
              <w:left w:val="nil"/>
              <w:bottom w:val="nil"/>
              <w:right w:val="nil"/>
            </w:tcBorders>
            <w:shd w:val="clear" w:color="auto" w:fill="auto"/>
            <w:noWrap/>
            <w:vAlign w:val="bottom"/>
            <w:hideMark/>
          </w:tcPr>
          <w:p w14:paraId="0C3F8F7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9%</w:t>
            </w:r>
          </w:p>
        </w:tc>
        <w:tc>
          <w:tcPr>
            <w:tcW w:w="912" w:type="dxa"/>
            <w:tcBorders>
              <w:top w:val="nil"/>
              <w:left w:val="nil"/>
              <w:bottom w:val="nil"/>
              <w:right w:val="nil"/>
            </w:tcBorders>
            <w:shd w:val="clear" w:color="000000" w:fill="F2DCDB"/>
            <w:noWrap/>
            <w:vAlign w:val="bottom"/>
            <w:hideMark/>
          </w:tcPr>
          <w:p w14:paraId="0C3F8F7C"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nil"/>
            </w:tcBorders>
            <w:shd w:val="clear" w:color="000000" w:fill="F2DCDB"/>
            <w:noWrap/>
            <w:vAlign w:val="bottom"/>
            <w:hideMark/>
          </w:tcPr>
          <w:p w14:paraId="0C3F8F7D"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c>
          <w:tcPr>
            <w:tcW w:w="723" w:type="dxa"/>
            <w:tcBorders>
              <w:top w:val="nil"/>
              <w:left w:val="single" w:sz="4" w:space="0" w:color="auto"/>
              <w:bottom w:val="nil"/>
              <w:right w:val="nil"/>
            </w:tcBorders>
            <w:shd w:val="clear" w:color="auto" w:fill="auto"/>
            <w:noWrap/>
            <w:vAlign w:val="bottom"/>
            <w:hideMark/>
          </w:tcPr>
          <w:p w14:paraId="0C3F8F7E"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58%</w:t>
            </w:r>
          </w:p>
        </w:tc>
        <w:tc>
          <w:tcPr>
            <w:tcW w:w="918" w:type="dxa"/>
            <w:tcBorders>
              <w:top w:val="nil"/>
              <w:left w:val="nil"/>
              <w:bottom w:val="nil"/>
              <w:right w:val="nil"/>
            </w:tcBorders>
            <w:shd w:val="clear" w:color="auto" w:fill="auto"/>
            <w:noWrap/>
            <w:vAlign w:val="bottom"/>
            <w:hideMark/>
          </w:tcPr>
          <w:p w14:paraId="0C3F8F7F"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33%</w:t>
            </w:r>
          </w:p>
        </w:tc>
        <w:tc>
          <w:tcPr>
            <w:tcW w:w="622" w:type="dxa"/>
            <w:tcBorders>
              <w:top w:val="nil"/>
              <w:left w:val="nil"/>
              <w:bottom w:val="nil"/>
              <w:right w:val="nil"/>
            </w:tcBorders>
            <w:shd w:val="clear" w:color="auto" w:fill="auto"/>
            <w:noWrap/>
            <w:vAlign w:val="bottom"/>
            <w:hideMark/>
          </w:tcPr>
          <w:p w14:paraId="0C3F8F8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w:t>
            </w:r>
          </w:p>
        </w:tc>
        <w:tc>
          <w:tcPr>
            <w:tcW w:w="1028" w:type="dxa"/>
            <w:tcBorders>
              <w:top w:val="nil"/>
              <w:left w:val="nil"/>
              <w:bottom w:val="nil"/>
              <w:right w:val="nil"/>
            </w:tcBorders>
            <w:shd w:val="clear" w:color="auto" w:fill="auto"/>
            <w:noWrap/>
            <w:vAlign w:val="bottom"/>
            <w:hideMark/>
          </w:tcPr>
          <w:p w14:paraId="0C3F8F8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912" w:type="dxa"/>
            <w:tcBorders>
              <w:top w:val="nil"/>
              <w:left w:val="nil"/>
              <w:bottom w:val="nil"/>
              <w:right w:val="nil"/>
            </w:tcBorders>
            <w:shd w:val="clear" w:color="000000" w:fill="F2DCDB"/>
            <w:noWrap/>
            <w:vAlign w:val="bottom"/>
            <w:hideMark/>
          </w:tcPr>
          <w:p w14:paraId="0C3F8F82"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100%</w:t>
            </w:r>
          </w:p>
        </w:tc>
        <w:tc>
          <w:tcPr>
            <w:tcW w:w="912" w:type="dxa"/>
            <w:tcBorders>
              <w:top w:val="nil"/>
              <w:left w:val="nil"/>
              <w:bottom w:val="nil"/>
              <w:right w:val="single" w:sz="4" w:space="0" w:color="auto"/>
            </w:tcBorders>
            <w:shd w:val="clear" w:color="000000" w:fill="F2DCDB"/>
            <w:noWrap/>
            <w:vAlign w:val="bottom"/>
            <w:hideMark/>
          </w:tcPr>
          <w:p w14:paraId="0C3F8F83"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0%</w:t>
            </w:r>
          </w:p>
        </w:tc>
      </w:tr>
      <w:tr w:rsidR="00B6457B" w:rsidRPr="00393ABA" w14:paraId="0C3F8F95" w14:textId="77777777" w:rsidTr="00393ABA">
        <w:trPr>
          <w:trHeight w:val="300"/>
        </w:trPr>
        <w:tc>
          <w:tcPr>
            <w:tcW w:w="140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C3F8F85"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Burnett-Mary</w:t>
            </w:r>
          </w:p>
        </w:tc>
        <w:tc>
          <w:tcPr>
            <w:tcW w:w="1120" w:type="dxa"/>
            <w:tcBorders>
              <w:top w:val="nil"/>
              <w:left w:val="nil"/>
              <w:bottom w:val="nil"/>
              <w:right w:val="single" w:sz="4" w:space="0" w:color="auto"/>
            </w:tcBorders>
            <w:shd w:val="clear" w:color="000000" w:fill="F2F2F2"/>
            <w:noWrap/>
            <w:vAlign w:val="center"/>
            <w:hideMark/>
          </w:tcPr>
          <w:p w14:paraId="0C3F8F86"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 xml:space="preserve">area </w:t>
            </w:r>
          </w:p>
        </w:tc>
        <w:tc>
          <w:tcPr>
            <w:tcW w:w="820" w:type="dxa"/>
            <w:tcBorders>
              <w:top w:val="nil"/>
              <w:left w:val="nil"/>
              <w:bottom w:val="nil"/>
              <w:right w:val="single" w:sz="4" w:space="0" w:color="auto"/>
            </w:tcBorders>
            <w:shd w:val="clear" w:color="000000" w:fill="F2F2F2"/>
            <w:noWrap/>
            <w:vAlign w:val="bottom"/>
            <w:hideMark/>
          </w:tcPr>
          <w:p w14:paraId="0C3F8F87"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6374</w:t>
            </w:r>
          </w:p>
        </w:tc>
        <w:tc>
          <w:tcPr>
            <w:tcW w:w="735" w:type="dxa"/>
            <w:tcBorders>
              <w:top w:val="nil"/>
              <w:left w:val="nil"/>
              <w:bottom w:val="nil"/>
              <w:right w:val="nil"/>
            </w:tcBorders>
            <w:shd w:val="clear" w:color="auto" w:fill="auto"/>
            <w:noWrap/>
            <w:vAlign w:val="bottom"/>
            <w:hideMark/>
          </w:tcPr>
          <w:p w14:paraId="0C3F8F88"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5214</w:t>
            </w:r>
          </w:p>
        </w:tc>
        <w:tc>
          <w:tcPr>
            <w:tcW w:w="804" w:type="dxa"/>
            <w:tcBorders>
              <w:top w:val="nil"/>
              <w:left w:val="nil"/>
              <w:bottom w:val="nil"/>
              <w:right w:val="nil"/>
            </w:tcBorders>
            <w:shd w:val="clear" w:color="auto" w:fill="auto"/>
            <w:noWrap/>
            <w:vAlign w:val="bottom"/>
            <w:hideMark/>
          </w:tcPr>
          <w:p w14:paraId="0C3F8F89"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405</w:t>
            </w:r>
          </w:p>
        </w:tc>
        <w:tc>
          <w:tcPr>
            <w:tcW w:w="774" w:type="dxa"/>
            <w:tcBorders>
              <w:top w:val="nil"/>
              <w:left w:val="nil"/>
              <w:bottom w:val="nil"/>
              <w:right w:val="nil"/>
            </w:tcBorders>
            <w:shd w:val="clear" w:color="auto" w:fill="auto"/>
            <w:noWrap/>
            <w:vAlign w:val="bottom"/>
            <w:hideMark/>
          </w:tcPr>
          <w:p w14:paraId="0C3F8F8A"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305</w:t>
            </w:r>
          </w:p>
        </w:tc>
        <w:tc>
          <w:tcPr>
            <w:tcW w:w="641" w:type="dxa"/>
            <w:tcBorders>
              <w:top w:val="nil"/>
              <w:left w:val="nil"/>
              <w:bottom w:val="nil"/>
              <w:right w:val="nil"/>
            </w:tcBorders>
            <w:shd w:val="clear" w:color="auto" w:fill="auto"/>
            <w:noWrap/>
            <w:vAlign w:val="bottom"/>
            <w:hideMark/>
          </w:tcPr>
          <w:p w14:paraId="0C3F8F8B"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146</w:t>
            </w:r>
          </w:p>
        </w:tc>
        <w:tc>
          <w:tcPr>
            <w:tcW w:w="785" w:type="dxa"/>
            <w:tcBorders>
              <w:top w:val="nil"/>
              <w:left w:val="nil"/>
              <w:bottom w:val="nil"/>
              <w:right w:val="nil"/>
            </w:tcBorders>
            <w:shd w:val="clear" w:color="auto" w:fill="auto"/>
            <w:noWrap/>
            <w:vAlign w:val="bottom"/>
            <w:hideMark/>
          </w:tcPr>
          <w:p w14:paraId="0C3F8F8C"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226</w:t>
            </w:r>
          </w:p>
        </w:tc>
        <w:tc>
          <w:tcPr>
            <w:tcW w:w="912" w:type="dxa"/>
            <w:tcBorders>
              <w:top w:val="nil"/>
              <w:left w:val="nil"/>
              <w:bottom w:val="nil"/>
              <w:right w:val="nil"/>
            </w:tcBorders>
            <w:shd w:val="clear" w:color="000000" w:fill="F2DCDB"/>
            <w:noWrap/>
            <w:vAlign w:val="bottom"/>
            <w:hideMark/>
          </w:tcPr>
          <w:p w14:paraId="0C3F8F8D"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6296</w:t>
            </w:r>
          </w:p>
        </w:tc>
        <w:tc>
          <w:tcPr>
            <w:tcW w:w="912" w:type="dxa"/>
            <w:tcBorders>
              <w:top w:val="nil"/>
              <w:left w:val="nil"/>
              <w:bottom w:val="nil"/>
              <w:right w:val="single" w:sz="4" w:space="0" w:color="auto"/>
            </w:tcBorders>
            <w:shd w:val="clear" w:color="000000" w:fill="F2DCDB"/>
            <w:noWrap/>
            <w:vAlign w:val="bottom"/>
            <w:hideMark/>
          </w:tcPr>
          <w:p w14:paraId="0C3F8F8E"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78</w:t>
            </w:r>
          </w:p>
        </w:tc>
        <w:tc>
          <w:tcPr>
            <w:tcW w:w="723" w:type="dxa"/>
            <w:tcBorders>
              <w:top w:val="nil"/>
              <w:left w:val="nil"/>
              <w:bottom w:val="nil"/>
              <w:right w:val="nil"/>
            </w:tcBorders>
            <w:shd w:val="clear" w:color="auto" w:fill="auto"/>
            <w:noWrap/>
            <w:vAlign w:val="bottom"/>
            <w:hideMark/>
          </w:tcPr>
          <w:p w14:paraId="0C3F8F8F"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3392</w:t>
            </w:r>
          </w:p>
        </w:tc>
        <w:tc>
          <w:tcPr>
            <w:tcW w:w="918" w:type="dxa"/>
            <w:tcBorders>
              <w:top w:val="nil"/>
              <w:left w:val="nil"/>
              <w:bottom w:val="nil"/>
              <w:right w:val="nil"/>
            </w:tcBorders>
            <w:shd w:val="clear" w:color="auto" w:fill="auto"/>
            <w:noWrap/>
            <w:vAlign w:val="bottom"/>
            <w:hideMark/>
          </w:tcPr>
          <w:p w14:paraId="0C3F8F90"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2839</w:t>
            </w:r>
          </w:p>
        </w:tc>
        <w:tc>
          <w:tcPr>
            <w:tcW w:w="622" w:type="dxa"/>
            <w:tcBorders>
              <w:top w:val="nil"/>
              <w:left w:val="nil"/>
              <w:bottom w:val="nil"/>
              <w:right w:val="nil"/>
            </w:tcBorders>
            <w:shd w:val="clear" w:color="auto" w:fill="auto"/>
            <w:noWrap/>
            <w:vAlign w:val="bottom"/>
            <w:hideMark/>
          </w:tcPr>
          <w:p w14:paraId="0C3F8F91"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49</w:t>
            </w:r>
          </w:p>
        </w:tc>
        <w:tc>
          <w:tcPr>
            <w:tcW w:w="1028" w:type="dxa"/>
            <w:tcBorders>
              <w:top w:val="nil"/>
              <w:left w:val="nil"/>
              <w:bottom w:val="nil"/>
              <w:right w:val="nil"/>
            </w:tcBorders>
            <w:shd w:val="clear" w:color="auto" w:fill="auto"/>
            <w:noWrap/>
            <w:vAlign w:val="bottom"/>
            <w:hideMark/>
          </w:tcPr>
          <w:p w14:paraId="0C3F8F92" w14:textId="77777777" w:rsidR="00B6457B" w:rsidRPr="00393ABA" w:rsidRDefault="00B6457B" w:rsidP="00393ABA">
            <w:pPr>
              <w:spacing w:after="120"/>
              <w:jc w:val="center"/>
              <w:rPr>
                <w:rFonts w:ascii="Calibri" w:hAnsi="Calibri" w:cs="Calibri"/>
                <w:color w:val="000000"/>
                <w:sz w:val="20"/>
                <w:szCs w:val="20"/>
              </w:rPr>
            </w:pPr>
            <w:r w:rsidRPr="00393ABA">
              <w:rPr>
                <w:rFonts w:ascii="Calibri" w:hAnsi="Calibri" w:cs="Calibri"/>
                <w:color w:val="000000"/>
                <w:sz w:val="20"/>
                <w:szCs w:val="20"/>
              </w:rPr>
              <w:t>15</w:t>
            </w:r>
          </w:p>
        </w:tc>
        <w:tc>
          <w:tcPr>
            <w:tcW w:w="912" w:type="dxa"/>
            <w:tcBorders>
              <w:top w:val="nil"/>
              <w:left w:val="nil"/>
              <w:bottom w:val="nil"/>
              <w:right w:val="nil"/>
            </w:tcBorders>
            <w:shd w:val="clear" w:color="000000" w:fill="F2DCDB"/>
            <w:noWrap/>
            <w:vAlign w:val="bottom"/>
            <w:hideMark/>
          </w:tcPr>
          <w:p w14:paraId="0C3F8F93" w14:textId="77777777" w:rsidR="00B6457B" w:rsidRPr="00393ABA" w:rsidRDefault="00B6457B" w:rsidP="00393ABA">
            <w:pPr>
              <w:spacing w:after="120"/>
              <w:jc w:val="center"/>
              <w:rPr>
                <w:rFonts w:ascii="Calibri" w:hAnsi="Calibri" w:cs="Calibri"/>
                <w:b/>
                <w:bCs/>
                <w:sz w:val="20"/>
                <w:szCs w:val="20"/>
              </w:rPr>
            </w:pPr>
            <w:r w:rsidRPr="00393ABA">
              <w:rPr>
                <w:rFonts w:ascii="Calibri" w:hAnsi="Calibri" w:cs="Calibri"/>
                <w:b/>
                <w:bCs/>
                <w:sz w:val="20"/>
                <w:szCs w:val="20"/>
              </w:rPr>
              <w:t>6295</w:t>
            </w:r>
          </w:p>
        </w:tc>
        <w:tc>
          <w:tcPr>
            <w:tcW w:w="912" w:type="dxa"/>
            <w:tcBorders>
              <w:top w:val="nil"/>
              <w:left w:val="nil"/>
              <w:bottom w:val="nil"/>
              <w:right w:val="single" w:sz="4" w:space="0" w:color="auto"/>
            </w:tcBorders>
            <w:shd w:val="clear" w:color="000000" w:fill="F2DCDB"/>
            <w:noWrap/>
            <w:vAlign w:val="bottom"/>
            <w:hideMark/>
          </w:tcPr>
          <w:p w14:paraId="0C3F8F94" w14:textId="77777777" w:rsidR="00B6457B" w:rsidRPr="00393ABA" w:rsidRDefault="00B6457B" w:rsidP="00393ABA">
            <w:pPr>
              <w:spacing w:after="120"/>
              <w:jc w:val="center"/>
              <w:rPr>
                <w:rFonts w:ascii="Calibri" w:hAnsi="Calibri" w:cs="Calibri"/>
                <w:b/>
                <w:bCs/>
                <w:color w:val="000000"/>
                <w:sz w:val="20"/>
                <w:szCs w:val="20"/>
              </w:rPr>
            </w:pPr>
            <w:r w:rsidRPr="00393ABA">
              <w:rPr>
                <w:rFonts w:ascii="Calibri" w:hAnsi="Calibri" w:cs="Calibri"/>
                <w:b/>
                <w:bCs/>
                <w:color w:val="000000"/>
                <w:sz w:val="20"/>
                <w:szCs w:val="20"/>
              </w:rPr>
              <w:t>80</w:t>
            </w:r>
          </w:p>
        </w:tc>
      </w:tr>
      <w:tr w:rsidR="00B6457B" w:rsidRPr="00393ABA" w14:paraId="0C3F8FA6" w14:textId="77777777" w:rsidTr="00393ABA">
        <w:trPr>
          <w:trHeight w:val="300"/>
        </w:trPr>
        <w:tc>
          <w:tcPr>
            <w:tcW w:w="1407" w:type="dxa"/>
            <w:vMerge/>
            <w:tcBorders>
              <w:top w:val="nil"/>
              <w:left w:val="single" w:sz="4" w:space="0" w:color="auto"/>
              <w:bottom w:val="single" w:sz="4" w:space="0" w:color="000000"/>
              <w:right w:val="single" w:sz="4" w:space="0" w:color="auto"/>
            </w:tcBorders>
            <w:vAlign w:val="center"/>
            <w:hideMark/>
          </w:tcPr>
          <w:p w14:paraId="0C3F8F96" w14:textId="77777777" w:rsidR="00B6457B" w:rsidRPr="00393ABA" w:rsidRDefault="00B6457B" w:rsidP="00393ABA">
            <w:pPr>
              <w:spacing w:after="120"/>
              <w:jc w:val="left"/>
              <w:rPr>
                <w:rFonts w:ascii="Calibri" w:hAnsi="Calibri" w:cs="Calibri"/>
                <w:b/>
                <w:bCs/>
                <w:color w:val="000000"/>
                <w:sz w:val="20"/>
                <w:szCs w:val="20"/>
              </w:rPr>
            </w:pPr>
          </w:p>
        </w:tc>
        <w:tc>
          <w:tcPr>
            <w:tcW w:w="1120" w:type="dxa"/>
            <w:tcBorders>
              <w:top w:val="nil"/>
              <w:left w:val="nil"/>
              <w:bottom w:val="single" w:sz="4" w:space="0" w:color="auto"/>
              <w:right w:val="single" w:sz="4" w:space="0" w:color="auto"/>
            </w:tcBorders>
            <w:shd w:val="clear" w:color="000000" w:fill="F2F2F2"/>
            <w:noWrap/>
            <w:vAlign w:val="center"/>
            <w:hideMark/>
          </w:tcPr>
          <w:p w14:paraId="0C3F8F97"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w:t>
            </w:r>
          </w:p>
        </w:tc>
        <w:tc>
          <w:tcPr>
            <w:tcW w:w="820" w:type="dxa"/>
            <w:tcBorders>
              <w:top w:val="nil"/>
              <w:left w:val="nil"/>
              <w:bottom w:val="single" w:sz="4" w:space="0" w:color="auto"/>
              <w:right w:val="single" w:sz="4" w:space="0" w:color="auto"/>
            </w:tcBorders>
            <w:shd w:val="clear" w:color="000000" w:fill="F2F2F2"/>
            <w:noWrap/>
            <w:vAlign w:val="bottom"/>
            <w:hideMark/>
          </w:tcPr>
          <w:p w14:paraId="0C3F8F98"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100%</w:t>
            </w:r>
          </w:p>
        </w:tc>
        <w:tc>
          <w:tcPr>
            <w:tcW w:w="735" w:type="dxa"/>
            <w:tcBorders>
              <w:top w:val="nil"/>
              <w:left w:val="nil"/>
              <w:bottom w:val="single" w:sz="4" w:space="0" w:color="auto"/>
              <w:right w:val="nil"/>
            </w:tcBorders>
            <w:shd w:val="clear" w:color="auto" w:fill="auto"/>
            <w:noWrap/>
            <w:vAlign w:val="bottom"/>
            <w:hideMark/>
          </w:tcPr>
          <w:p w14:paraId="0C3F8F99"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82%</w:t>
            </w:r>
          </w:p>
        </w:tc>
        <w:tc>
          <w:tcPr>
            <w:tcW w:w="804" w:type="dxa"/>
            <w:tcBorders>
              <w:top w:val="nil"/>
              <w:left w:val="nil"/>
              <w:bottom w:val="single" w:sz="4" w:space="0" w:color="auto"/>
              <w:right w:val="nil"/>
            </w:tcBorders>
            <w:shd w:val="clear" w:color="auto" w:fill="auto"/>
            <w:noWrap/>
            <w:vAlign w:val="bottom"/>
            <w:hideMark/>
          </w:tcPr>
          <w:p w14:paraId="0C3F8F9A"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6%</w:t>
            </w:r>
          </w:p>
        </w:tc>
        <w:tc>
          <w:tcPr>
            <w:tcW w:w="774" w:type="dxa"/>
            <w:tcBorders>
              <w:top w:val="nil"/>
              <w:left w:val="nil"/>
              <w:bottom w:val="single" w:sz="4" w:space="0" w:color="auto"/>
              <w:right w:val="nil"/>
            </w:tcBorders>
            <w:shd w:val="clear" w:color="auto" w:fill="auto"/>
            <w:noWrap/>
            <w:vAlign w:val="bottom"/>
            <w:hideMark/>
          </w:tcPr>
          <w:p w14:paraId="0C3F8F9B"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w:t>
            </w:r>
          </w:p>
        </w:tc>
        <w:tc>
          <w:tcPr>
            <w:tcW w:w="641" w:type="dxa"/>
            <w:tcBorders>
              <w:top w:val="nil"/>
              <w:left w:val="nil"/>
              <w:bottom w:val="single" w:sz="4" w:space="0" w:color="auto"/>
              <w:right w:val="nil"/>
            </w:tcBorders>
            <w:shd w:val="clear" w:color="auto" w:fill="auto"/>
            <w:noWrap/>
            <w:vAlign w:val="bottom"/>
            <w:hideMark/>
          </w:tcPr>
          <w:p w14:paraId="0C3F8F9C"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2%</w:t>
            </w:r>
          </w:p>
        </w:tc>
        <w:tc>
          <w:tcPr>
            <w:tcW w:w="785" w:type="dxa"/>
            <w:tcBorders>
              <w:top w:val="nil"/>
              <w:left w:val="nil"/>
              <w:bottom w:val="single" w:sz="4" w:space="0" w:color="auto"/>
              <w:right w:val="nil"/>
            </w:tcBorders>
            <w:shd w:val="clear" w:color="auto" w:fill="auto"/>
            <w:noWrap/>
            <w:vAlign w:val="bottom"/>
            <w:hideMark/>
          </w:tcPr>
          <w:p w14:paraId="0C3F8F9D"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w:t>
            </w:r>
          </w:p>
        </w:tc>
        <w:tc>
          <w:tcPr>
            <w:tcW w:w="912" w:type="dxa"/>
            <w:tcBorders>
              <w:top w:val="nil"/>
              <w:left w:val="nil"/>
              <w:bottom w:val="single" w:sz="4" w:space="0" w:color="auto"/>
              <w:right w:val="nil"/>
            </w:tcBorders>
            <w:shd w:val="clear" w:color="000000" w:fill="F2DCDB"/>
            <w:noWrap/>
            <w:vAlign w:val="bottom"/>
            <w:hideMark/>
          </w:tcPr>
          <w:p w14:paraId="0C3F8F9E"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w:t>
            </w:r>
          </w:p>
        </w:tc>
        <w:tc>
          <w:tcPr>
            <w:tcW w:w="912" w:type="dxa"/>
            <w:tcBorders>
              <w:top w:val="nil"/>
              <w:left w:val="nil"/>
              <w:bottom w:val="single" w:sz="4" w:space="0" w:color="auto"/>
              <w:right w:val="nil"/>
            </w:tcBorders>
            <w:shd w:val="clear" w:color="000000" w:fill="F2DCDB"/>
            <w:noWrap/>
            <w:vAlign w:val="bottom"/>
            <w:hideMark/>
          </w:tcPr>
          <w:p w14:paraId="0C3F8F9F"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w:t>
            </w:r>
          </w:p>
        </w:tc>
        <w:tc>
          <w:tcPr>
            <w:tcW w:w="723" w:type="dxa"/>
            <w:tcBorders>
              <w:top w:val="nil"/>
              <w:left w:val="single" w:sz="4" w:space="0" w:color="auto"/>
              <w:bottom w:val="single" w:sz="4" w:space="0" w:color="auto"/>
              <w:right w:val="nil"/>
            </w:tcBorders>
            <w:shd w:val="clear" w:color="auto" w:fill="auto"/>
            <w:noWrap/>
            <w:vAlign w:val="bottom"/>
            <w:hideMark/>
          </w:tcPr>
          <w:p w14:paraId="0C3F8FA0"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53%</w:t>
            </w:r>
          </w:p>
        </w:tc>
        <w:tc>
          <w:tcPr>
            <w:tcW w:w="918" w:type="dxa"/>
            <w:tcBorders>
              <w:top w:val="nil"/>
              <w:left w:val="nil"/>
              <w:bottom w:val="single" w:sz="4" w:space="0" w:color="auto"/>
              <w:right w:val="nil"/>
            </w:tcBorders>
            <w:shd w:val="clear" w:color="auto" w:fill="auto"/>
            <w:noWrap/>
            <w:vAlign w:val="bottom"/>
            <w:hideMark/>
          </w:tcPr>
          <w:p w14:paraId="0C3F8FA1"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45%</w:t>
            </w:r>
          </w:p>
        </w:tc>
        <w:tc>
          <w:tcPr>
            <w:tcW w:w="622" w:type="dxa"/>
            <w:tcBorders>
              <w:top w:val="nil"/>
              <w:left w:val="nil"/>
              <w:bottom w:val="single" w:sz="4" w:space="0" w:color="auto"/>
              <w:right w:val="nil"/>
            </w:tcBorders>
            <w:shd w:val="clear" w:color="auto" w:fill="auto"/>
            <w:noWrap/>
            <w:vAlign w:val="bottom"/>
            <w:hideMark/>
          </w:tcPr>
          <w:p w14:paraId="0C3F8FA2"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1%</w:t>
            </w:r>
          </w:p>
        </w:tc>
        <w:tc>
          <w:tcPr>
            <w:tcW w:w="1028" w:type="dxa"/>
            <w:tcBorders>
              <w:top w:val="nil"/>
              <w:left w:val="nil"/>
              <w:bottom w:val="single" w:sz="4" w:space="0" w:color="auto"/>
              <w:right w:val="nil"/>
            </w:tcBorders>
            <w:shd w:val="clear" w:color="auto" w:fill="auto"/>
            <w:noWrap/>
            <w:vAlign w:val="bottom"/>
            <w:hideMark/>
          </w:tcPr>
          <w:p w14:paraId="0C3F8FA3" w14:textId="77777777" w:rsidR="00B6457B" w:rsidRPr="00393ABA" w:rsidRDefault="00B6457B" w:rsidP="00393ABA">
            <w:pPr>
              <w:spacing w:after="120"/>
              <w:jc w:val="center"/>
              <w:rPr>
                <w:rFonts w:ascii="Calibri" w:hAnsi="Calibri" w:cs="Calibri"/>
                <w:i/>
                <w:iCs/>
                <w:color w:val="000000"/>
                <w:sz w:val="20"/>
                <w:szCs w:val="20"/>
              </w:rPr>
            </w:pPr>
            <w:r w:rsidRPr="00393ABA">
              <w:rPr>
                <w:rFonts w:ascii="Calibri" w:hAnsi="Calibri" w:cs="Calibri"/>
                <w:i/>
                <w:iCs/>
                <w:color w:val="000000"/>
                <w:sz w:val="20"/>
                <w:szCs w:val="20"/>
              </w:rPr>
              <w:t>0%</w:t>
            </w:r>
          </w:p>
        </w:tc>
        <w:tc>
          <w:tcPr>
            <w:tcW w:w="912" w:type="dxa"/>
            <w:tcBorders>
              <w:top w:val="nil"/>
              <w:left w:val="nil"/>
              <w:bottom w:val="single" w:sz="4" w:space="0" w:color="auto"/>
              <w:right w:val="nil"/>
            </w:tcBorders>
            <w:shd w:val="clear" w:color="000000" w:fill="F2DCDB"/>
            <w:noWrap/>
            <w:vAlign w:val="bottom"/>
            <w:hideMark/>
          </w:tcPr>
          <w:p w14:paraId="0C3F8FA4"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99%</w:t>
            </w:r>
          </w:p>
        </w:tc>
        <w:tc>
          <w:tcPr>
            <w:tcW w:w="912" w:type="dxa"/>
            <w:tcBorders>
              <w:top w:val="nil"/>
              <w:left w:val="nil"/>
              <w:bottom w:val="single" w:sz="4" w:space="0" w:color="auto"/>
              <w:right w:val="single" w:sz="4" w:space="0" w:color="auto"/>
            </w:tcBorders>
            <w:shd w:val="clear" w:color="000000" w:fill="F2DCDB"/>
            <w:noWrap/>
            <w:vAlign w:val="bottom"/>
            <w:hideMark/>
          </w:tcPr>
          <w:p w14:paraId="0C3F8FA5" w14:textId="77777777" w:rsidR="00B6457B" w:rsidRPr="00393ABA" w:rsidRDefault="00B6457B" w:rsidP="00393ABA">
            <w:pPr>
              <w:spacing w:after="120"/>
              <w:jc w:val="center"/>
              <w:rPr>
                <w:rFonts w:ascii="Calibri" w:hAnsi="Calibri" w:cs="Calibri"/>
                <w:b/>
                <w:bCs/>
                <w:i/>
                <w:iCs/>
                <w:sz w:val="20"/>
                <w:szCs w:val="20"/>
              </w:rPr>
            </w:pPr>
            <w:r w:rsidRPr="00393ABA">
              <w:rPr>
                <w:rFonts w:ascii="Calibri" w:hAnsi="Calibri" w:cs="Calibri"/>
                <w:b/>
                <w:bCs/>
                <w:i/>
                <w:iCs/>
                <w:sz w:val="20"/>
                <w:szCs w:val="20"/>
              </w:rPr>
              <w:t>1%</w:t>
            </w:r>
          </w:p>
        </w:tc>
      </w:tr>
    </w:tbl>
    <w:p w14:paraId="0C3F8FA7" w14:textId="77777777" w:rsidR="00605DDA" w:rsidRDefault="00605DDA" w:rsidP="00B6457B">
      <w:pPr>
        <w:spacing w:after="120" w:line="276" w:lineRule="auto"/>
        <w:jc w:val="left"/>
        <w:rPr>
          <w:rFonts w:ascii="Calibri" w:eastAsia="Calibri" w:hAnsi="Calibri" w:cs="Times New Roman"/>
          <w:lang w:eastAsia="en-US"/>
        </w:rPr>
        <w:sectPr w:rsidR="00605DDA" w:rsidSect="00393ABA">
          <w:pgSz w:w="16838" w:h="11906" w:orient="landscape"/>
          <w:pgMar w:top="1440" w:right="1440" w:bottom="1440" w:left="1440" w:header="709" w:footer="709" w:gutter="0"/>
          <w:cols w:space="708"/>
          <w:docGrid w:linePitch="360"/>
        </w:sectPr>
      </w:pPr>
    </w:p>
    <w:p w14:paraId="0C3F8FA8" w14:textId="77777777" w:rsidR="00605DDA" w:rsidRDefault="00605DDA" w:rsidP="003864A1">
      <w:pPr>
        <w:pStyle w:val="Heading1"/>
      </w:pPr>
    </w:p>
    <w:sectPr w:rsidR="00605DDA" w:rsidSect="00605DDA">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F905E" w14:textId="77777777" w:rsidR="007E5BBF" w:rsidRDefault="007E5BBF" w:rsidP="006424EB">
      <w:r>
        <w:separator/>
      </w:r>
    </w:p>
  </w:endnote>
  <w:endnote w:type="continuationSeparator" w:id="0">
    <w:p w14:paraId="0C3F905F" w14:textId="77777777" w:rsidR="007E5BBF" w:rsidRDefault="007E5BBF" w:rsidP="006424EB">
      <w:r>
        <w:continuationSeparator/>
      </w:r>
    </w:p>
  </w:endnote>
  <w:endnote w:type="continuationNotice" w:id="1">
    <w:p w14:paraId="0C3F9060" w14:textId="77777777" w:rsidR="007E5BBF" w:rsidRDefault="007E5BB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Myriad Pro">
    <w:altName w:val="Arial"/>
    <w:panose1 w:val="00000000000000000000"/>
    <w:charset w:val="00"/>
    <w:family w:val="swiss"/>
    <w:notTrueType/>
    <w:pitch w:val="variable"/>
    <w:sig w:usb0="00000001" w:usb1="00000001" w:usb2="00000000" w:usb3="00000000" w:csb0="0000019F" w:csb1="00000000"/>
  </w:font>
  <w:font w:name="Frutiger LT Std 45 Ligh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2" w14:textId="77777777" w:rsidR="007E5BBF" w:rsidRPr="0024505B" w:rsidRDefault="007E5BBF" w:rsidP="006424EB">
    <w:pPr>
      <w:pStyle w:val="Footer"/>
      <w:rPr>
        <w:lang w:val="en-US"/>
      </w:rPr>
    </w:pPr>
    <w:r w:rsidRPr="0024505B">
      <w:rPr>
        <w:lang w:val="en-US"/>
      </w:rPr>
      <w:t>Australian Centre for Tropical Freshwater Research</w:t>
    </w:r>
    <w:r w:rsidRPr="0024505B">
      <w:rPr>
        <w:lang w:val="en-US"/>
      </w:rPr>
      <w:tab/>
    </w:r>
    <w:r w:rsidRPr="0024505B">
      <w:rPr>
        <w:lang w:val="en-US"/>
      </w:rPr>
      <w:tab/>
      <w:t xml:space="preserve">Page </w:t>
    </w:r>
    <w:r w:rsidRPr="0024505B">
      <w:rPr>
        <w:rStyle w:val="PageNumber"/>
        <w:rFonts w:ascii="Arial" w:hAnsi="Arial" w:cs="Arial"/>
        <w:sz w:val="16"/>
        <w:szCs w:val="16"/>
      </w:rPr>
      <w:fldChar w:fldCharType="begin"/>
    </w:r>
    <w:r w:rsidRPr="0024505B">
      <w:rPr>
        <w:rStyle w:val="PageNumber"/>
        <w:rFonts w:ascii="Arial" w:hAnsi="Arial" w:cs="Arial"/>
        <w:sz w:val="16"/>
        <w:szCs w:val="16"/>
      </w:rPr>
      <w:instrText xml:space="preserve"> PAGE </w:instrText>
    </w:r>
    <w:r w:rsidRPr="0024505B">
      <w:rPr>
        <w:rStyle w:val="PageNumber"/>
        <w:rFonts w:ascii="Arial" w:hAnsi="Arial" w:cs="Arial"/>
        <w:sz w:val="16"/>
        <w:szCs w:val="16"/>
      </w:rPr>
      <w:fldChar w:fldCharType="separate"/>
    </w:r>
    <w:r>
      <w:rPr>
        <w:rStyle w:val="PageNumber"/>
        <w:rFonts w:ascii="Arial" w:hAnsi="Arial" w:cs="Arial"/>
        <w:noProof/>
        <w:sz w:val="16"/>
        <w:szCs w:val="16"/>
      </w:rPr>
      <w:t>1</w:t>
    </w:r>
    <w:r w:rsidRPr="0024505B">
      <w:rPr>
        <w:rStyle w:val="PageNumber"/>
        <w:rFonts w:ascii="Arial" w:hAnsi="Arial" w:cs="Arial"/>
        <w:sz w:val="16"/>
        <w:szCs w:val="16"/>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345206"/>
      <w:docPartObj>
        <w:docPartGallery w:val="Page Numbers (Bottom of Page)"/>
        <w:docPartUnique/>
      </w:docPartObj>
    </w:sdtPr>
    <w:sdtEndPr>
      <w:rPr>
        <w:noProof/>
      </w:rPr>
    </w:sdtEndPr>
    <w:sdtContent>
      <w:p w14:paraId="0C3F9077" w14:textId="77777777" w:rsidR="007E5BBF" w:rsidRDefault="007E5BBF">
        <w:pPr>
          <w:pStyle w:val="Footer"/>
          <w:jc w:val="right"/>
        </w:pPr>
        <w:r>
          <w:fldChar w:fldCharType="begin"/>
        </w:r>
        <w:r>
          <w:instrText xml:space="preserve"> PAGE   \* MERGEFORMAT </w:instrText>
        </w:r>
        <w:r>
          <w:fldChar w:fldCharType="separate"/>
        </w:r>
        <w:r w:rsidR="00B62B50">
          <w:rPr>
            <w:noProof/>
          </w:rPr>
          <w:t>114</w:t>
        </w:r>
        <w:r>
          <w:rPr>
            <w:noProof/>
          </w:rPr>
          <w:fldChar w:fldCharType="end"/>
        </w:r>
      </w:p>
    </w:sdtContent>
  </w:sdt>
  <w:p w14:paraId="0C3F9078" w14:textId="77777777" w:rsidR="007E5BBF" w:rsidRDefault="007E5BBF">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4869186"/>
      <w:docPartObj>
        <w:docPartGallery w:val="Page Numbers (Bottom of Page)"/>
        <w:docPartUnique/>
      </w:docPartObj>
    </w:sdtPr>
    <w:sdtEndPr>
      <w:rPr>
        <w:noProof/>
      </w:rPr>
    </w:sdtEndPr>
    <w:sdtContent>
      <w:p w14:paraId="0C3F9079" w14:textId="77777777" w:rsidR="007E5BBF" w:rsidRDefault="007E5BBF">
        <w:pPr>
          <w:pStyle w:val="Footer"/>
          <w:jc w:val="right"/>
        </w:pPr>
        <w:r>
          <w:fldChar w:fldCharType="begin"/>
        </w:r>
        <w:r>
          <w:instrText xml:space="preserve"> PAGE   \* MERGEFORMAT </w:instrText>
        </w:r>
        <w:r>
          <w:fldChar w:fldCharType="separate"/>
        </w:r>
        <w:r w:rsidR="00B62B50">
          <w:rPr>
            <w:noProof/>
          </w:rPr>
          <w:t>126</w:t>
        </w:r>
        <w:r>
          <w:rPr>
            <w:noProof/>
          </w:rPr>
          <w:fldChar w:fldCharType="end"/>
        </w:r>
      </w:p>
    </w:sdtContent>
  </w:sdt>
  <w:p w14:paraId="0C3F907A" w14:textId="77777777" w:rsidR="007E5BBF" w:rsidRDefault="007E5BB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3" w14:textId="77777777" w:rsidR="007E5BBF" w:rsidRPr="002C6A6F" w:rsidRDefault="007E5BBF" w:rsidP="0083263F">
    <w:pPr>
      <w:pStyle w:val="Footer"/>
      <w:rPr>
        <w:rFonts w:ascii="Frutiger LT Std 45 Light" w:hAnsi="Frutiger LT Std 45 Light"/>
      </w:rPr>
    </w:pPr>
    <w:r w:rsidRPr="002C6A6F">
      <w:rPr>
        <w:rStyle w:val="PageNumber"/>
        <w:rFonts w:ascii="Frutiger LT Std 45 Light" w:hAnsi="Frutiger LT Std 45 Light"/>
      </w:rPr>
      <w:fldChar w:fldCharType="begin"/>
    </w:r>
    <w:r w:rsidRPr="002C6A6F">
      <w:rPr>
        <w:rStyle w:val="PageNumber"/>
        <w:rFonts w:ascii="Frutiger LT Std 45 Light" w:hAnsi="Frutiger LT Std 45 Light"/>
      </w:rPr>
      <w:instrText xml:space="preserve"> PAGE </w:instrText>
    </w:r>
    <w:r w:rsidRPr="002C6A6F">
      <w:rPr>
        <w:rStyle w:val="PageNumber"/>
        <w:rFonts w:ascii="Frutiger LT Std 45 Light" w:hAnsi="Frutiger LT Std 45 Light"/>
      </w:rPr>
      <w:fldChar w:fldCharType="separate"/>
    </w:r>
    <w:r>
      <w:rPr>
        <w:rStyle w:val="PageNumber"/>
        <w:rFonts w:ascii="Frutiger LT Std 45 Light" w:hAnsi="Frutiger LT Std 45 Light"/>
        <w:noProof/>
      </w:rPr>
      <w:t>2</w:t>
    </w:r>
    <w:r w:rsidRPr="002C6A6F">
      <w:rPr>
        <w:rStyle w:val="PageNumber"/>
        <w:rFonts w:ascii="Frutiger LT Std 45 Light" w:hAnsi="Frutiger LT Std 45 Light"/>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3451369"/>
      <w:docPartObj>
        <w:docPartGallery w:val="Page Numbers (Bottom of Page)"/>
        <w:docPartUnique/>
      </w:docPartObj>
    </w:sdtPr>
    <w:sdtEndPr>
      <w:rPr>
        <w:noProof/>
      </w:rPr>
    </w:sdtEndPr>
    <w:sdtContent>
      <w:p w14:paraId="0C3F9064" w14:textId="77777777" w:rsidR="007E5BBF" w:rsidRDefault="007E5BBF">
        <w:pPr>
          <w:pStyle w:val="Footer"/>
          <w:jc w:val="center"/>
        </w:pPr>
        <w:r>
          <w:fldChar w:fldCharType="begin"/>
        </w:r>
        <w:r>
          <w:instrText xml:space="preserve"> PAGE   \* MERGEFORMAT </w:instrText>
        </w:r>
        <w:r>
          <w:fldChar w:fldCharType="separate"/>
        </w:r>
        <w:r w:rsidR="00A2755C">
          <w:rPr>
            <w:noProof/>
          </w:rPr>
          <w:t>xii</w:t>
        </w:r>
        <w:r>
          <w:rPr>
            <w:noProof/>
          </w:rPr>
          <w:fldChar w:fldCharType="end"/>
        </w:r>
      </w:p>
    </w:sdtContent>
  </w:sdt>
  <w:p w14:paraId="0C3F9065" w14:textId="77777777" w:rsidR="007E5BBF" w:rsidRDefault="007E5BBF" w:rsidP="0083263F">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696448"/>
      <w:docPartObj>
        <w:docPartGallery w:val="Page Numbers (Bottom of Page)"/>
        <w:docPartUnique/>
      </w:docPartObj>
    </w:sdtPr>
    <w:sdtEndPr>
      <w:rPr>
        <w:noProof/>
      </w:rPr>
    </w:sdtEndPr>
    <w:sdtContent>
      <w:p w14:paraId="0C3F9067" w14:textId="77777777" w:rsidR="007E5BBF" w:rsidRDefault="007E5BBF">
        <w:pPr>
          <w:pStyle w:val="Footer"/>
          <w:jc w:val="right"/>
        </w:pPr>
        <w:r>
          <w:fldChar w:fldCharType="begin"/>
        </w:r>
        <w:r>
          <w:instrText xml:space="preserve"> PAGE  \* Arabic  \* MERGEFORMAT </w:instrText>
        </w:r>
        <w:r>
          <w:fldChar w:fldCharType="separate"/>
        </w:r>
        <w:r w:rsidR="00A2755C">
          <w:rPr>
            <w:noProof/>
          </w:rPr>
          <w:t>8</w:t>
        </w:r>
        <w:r>
          <w:fldChar w:fldCharType="end"/>
        </w:r>
      </w:p>
    </w:sdtContent>
  </w:sdt>
  <w:p w14:paraId="0C3F9068" w14:textId="77777777" w:rsidR="007E5BBF" w:rsidRDefault="007E5BB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2649679"/>
      <w:docPartObj>
        <w:docPartGallery w:val="Page Numbers (Bottom of Page)"/>
        <w:docPartUnique/>
      </w:docPartObj>
    </w:sdtPr>
    <w:sdtEndPr>
      <w:rPr>
        <w:noProof/>
      </w:rPr>
    </w:sdtEndPr>
    <w:sdtContent>
      <w:p w14:paraId="0C3F906A" w14:textId="77777777" w:rsidR="007E5BBF" w:rsidRDefault="007E5BBF">
        <w:pPr>
          <w:pStyle w:val="Footer"/>
          <w:jc w:val="center"/>
        </w:pPr>
        <w:r>
          <w:fldChar w:fldCharType="begin"/>
        </w:r>
        <w:r>
          <w:instrText xml:space="preserve"> PAGE   \* MERGEFORMAT </w:instrText>
        </w:r>
        <w:r>
          <w:fldChar w:fldCharType="separate"/>
        </w:r>
        <w:r w:rsidR="00A2755C">
          <w:rPr>
            <w:noProof/>
          </w:rPr>
          <w:t>13</w:t>
        </w:r>
        <w:r>
          <w:rPr>
            <w:noProof/>
          </w:rPr>
          <w:fldChar w:fldCharType="end"/>
        </w:r>
      </w:p>
    </w:sdtContent>
  </w:sdt>
  <w:p w14:paraId="0C3F906B" w14:textId="77777777" w:rsidR="007E5BBF" w:rsidRPr="00273078" w:rsidRDefault="007E5BBF" w:rsidP="00507ABB">
    <w:pPr>
      <w:pStyle w:val="Footer"/>
      <w:jc w:val="right"/>
      <w:rPr>
        <w:lang w:val="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9719242"/>
      <w:docPartObj>
        <w:docPartGallery w:val="Page Numbers (Bottom of Page)"/>
        <w:docPartUnique/>
      </w:docPartObj>
    </w:sdtPr>
    <w:sdtEndPr>
      <w:rPr>
        <w:noProof/>
      </w:rPr>
    </w:sdtEndPr>
    <w:sdtContent>
      <w:p w14:paraId="0C3F906D" w14:textId="77777777" w:rsidR="007E5BBF" w:rsidRDefault="007E5BBF">
        <w:pPr>
          <w:pStyle w:val="Footer"/>
          <w:jc w:val="right"/>
        </w:pPr>
        <w:r>
          <w:fldChar w:fldCharType="begin"/>
        </w:r>
        <w:r>
          <w:instrText xml:space="preserve"> PAGE  \* Arabic  \* MERGEFORMAT </w:instrText>
        </w:r>
        <w:r>
          <w:fldChar w:fldCharType="separate"/>
        </w:r>
        <w:r w:rsidR="00A2755C">
          <w:rPr>
            <w:noProof/>
          </w:rPr>
          <w:t>15</w:t>
        </w:r>
        <w:r>
          <w:fldChar w:fldCharType="end"/>
        </w:r>
      </w:p>
    </w:sdtContent>
  </w:sdt>
  <w:p w14:paraId="0C3F906E" w14:textId="77777777" w:rsidR="007E5BBF" w:rsidRDefault="007E5BBF">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1859228"/>
      <w:docPartObj>
        <w:docPartGallery w:val="Page Numbers (Bottom of Page)"/>
        <w:docPartUnique/>
      </w:docPartObj>
    </w:sdtPr>
    <w:sdtEndPr>
      <w:rPr>
        <w:noProof/>
      </w:rPr>
    </w:sdtEndPr>
    <w:sdtContent>
      <w:p w14:paraId="0C3F9070" w14:textId="77777777" w:rsidR="00B62B50" w:rsidRDefault="00B62B50">
        <w:pPr>
          <w:pStyle w:val="Footer"/>
          <w:jc w:val="right"/>
        </w:pPr>
        <w:r>
          <w:rPr>
            <w:noProof/>
          </w:rPr>
          <w:t>24</w:t>
        </w:r>
      </w:p>
    </w:sdtContent>
  </w:sdt>
  <w:p w14:paraId="0C3F9071" w14:textId="77777777" w:rsidR="00B62B50" w:rsidRDefault="00B62B50">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0283145"/>
      <w:docPartObj>
        <w:docPartGallery w:val="Page Numbers (Bottom of Page)"/>
        <w:docPartUnique/>
      </w:docPartObj>
    </w:sdtPr>
    <w:sdtEndPr>
      <w:rPr>
        <w:noProof/>
      </w:rPr>
    </w:sdtEndPr>
    <w:sdtContent>
      <w:p w14:paraId="0C3F9073" w14:textId="77777777" w:rsidR="00B62B50" w:rsidRDefault="00B62B50">
        <w:pPr>
          <w:pStyle w:val="Footer"/>
          <w:jc w:val="right"/>
        </w:pPr>
        <w:r>
          <w:rPr>
            <w:noProof/>
          </w:rPr>
          <w:t>24</w:t>
        </w:r>
      </w:p>
    </w:sdtContent>
  </w:sdt>
  <w:p w14:paraId="0C3F9074" w14:textId="77777777" w:rsidR="00B62B50" w:rsidRDefault="00B62B50">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2686912"/>
      <w:docPartObj>
        <w:docPartGallery w:val="Page Numbers (Bottom of Page)"/>
        <w:docPartUnique/>
      </w:docPartObj>
    </w:sdtPr>
    <w:sdtEndPr>
      <w:rPr>
        <w:noProof/>
      </w:rPr>
    </w:sdtEndPr>
    <w:sdtContent>
      <w:p w14:paraId="0C3F9075" w14:textId="77777777" w:rsidR="007E5BBF" w:rsidRDefault="007E5BBF" w:rsidP="0058526F">
        <w:pPr>
          <w:pStyle w:val="Footer"/>
          <w:jc w:val="center"/>
        </w:pPr>
        <w:r>
          <w:fldChar w:fldCharType="begin"/>
        </w:r>
        <w:r>
          <w:instrText xml:space="preserve"> PAGE   \* MERGEFORMAT </w:instrText>
        </w:r>
        <w:r>
          <w:fldChar w:fldCharType="separate"/>
        </w:r>
        <w:r w:rsidR="00B62B50">
          <w:rPr>
            <w:noProof/>
          </w:rPr>
          <w:t>28</w:t>
        </w:r>
        <w:r>
          <w:rPr>
            <w:noProof/>
          </w:rPr>
          <w:fldChar w:fldCharType="end"/>
        </w:r>
      </w:p>
    </w:sdtContent>
  </w:sdt>
  <w:p w14:paraId="0C3F9076" w14:textId="77777777" w:rsidR="007E5BBF" w:rsidRPr="0058526F" w:rsidRDefault="007E5BBF" w:rsidP="005852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3F905B" w14:textId="77777777" w:rsidR="007E5BBF" w:rsidRDefault="007E5BBF" w:rsidP="006424EB">
      <w:r>
        <w:separator/>
      </w:r>
    </w:p>
  </w:footnote>
  <w:footnote w:type="continuationSeparator" w:id="0">
    <w:p w14:paraId="0C3F905C" w14:textId="77777777" w:rsidR="007E5BBF" w:rsidRDefault="007E5BBF" w:rsidP="006424EB">
      <w:r>
        <w:continuationSeparator/>
      </w:r>
    </w:p>
  </w:footnote>
  <w:footnote w:type="continuationNotice" w:id="1">
    <w:p w14:paraId="0C3F905D" w14:textId="77777777" w:rsidR="007E5BBF" w:rsidRDefault="007E5BBF">
      <w:pPr>
        <w:spacing w:before="0" w:after="0"/>
      </w:pPr>
    </w:p>
  </w:footnote>
  <w:footnote w:id="2">
    <w:p w14:paraId="0C3F907B" w14:textId="77777777" w:rsidR="007E5BBF" w:rsidRPr="00C97CC0" w:rsidRDefault="007E5BBF" w:rsidP="00131E41">
      <w:pPr>
        <w:pStyle w:val="FootnoteText"/>
        <w:rPr>
          <w:lang w:val="en-US"/>
        </w:rPr>
      </w:pPr>
      <w:r>
        <w:rPr>
          <w:rStyle w:val="FootnoteReference"/>
        </w:rPr>
        <w:footnoteRef/>
      </w:r>
      <w:r>
        <w:t xml:space="preserve"> </w:t>
      </w:r>
      <w:r w:rsidRPr="00EB770E">
        <w:rPr>
          <w:rFonts w:eastAsia="Calibri"/>
        </w:rPr>
        <w:t>2012 and 2013 load data were not yet availabl</w:t>
      </w:r>
      <w:r>
        <w:rPr>
          <w:rFonts w:eastAsia="Calibri"/>
        </w:rPr>
        <w:t>e at the time of this report</w:t>
      </w:r>
      <w:r w:rsidRPr="00EB770E">
        <w:rPr>
          <w:rFonts w:eastAsia="Calibri"/>
        </w:rPr>
        <w:t>.</w:t>
      </w:r>
    </w:p>
  </w:footnote>
  <w:footnote w:id="3">
    <w:p w14:paraId="0C3F907C" w14:textId="77777777" w:rsidR="007E5BBF" w:rsidRPr="00CF0CFC" w:rsidRDefault="007E5BBF" w:rsidP="00131E41">
      <w:pPr>
        <w:pStyle w:val="FootnoteText"/>
        <w:rPr>
          <w:lang w:val="en-US"/>
        </w:rPr>
      </w:pPr>
      <w:r>
        <w:rPr>
          <w:rStyle w:val="FootnoteReference"/>
        </w:rPr>
        <w:footnoteRef/>
      </w:r>
      <w:r>
        <w:t xml:space="preserve"> </w:t>
      </w:r>
      <w:r w:rsidRPr="00DF1C49">
        <w:rPr>
          <w:rFonts w:eastAsia="Calibri"/>
        </w:rPr>
        <w:t>Jenks</w:t>
      </w:r>
      <w:r>
        <w:rPr>
          <w:rFonts w:eastAsia="Calibri"/>
        </w:rPr>
        <w:t xml:space="preserve"> classification is embedded in ArcGIS as</w:t>
      </w:r>
      <w:r w:rsidRPr="00DF1C49">
        <w:rPr>
          <w:rFonts w:eastAsia="Calibri"/>
        </w:rPr>
        <w:t xml:space="preserve"> a statistical procedure that analyses the distribution of values in the data and finds the most evident breaks in it. Note that breaks of the TC method are in weeks while breaks of the L2 method are in days.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1" w14:textId="77777777" w:rsidR="007E5BBF" w:rsidRPr="0024505B" w:rsidRDefault="007E5BBF" w:rsidP="006424EB">
    <w:r w:rsidRPr="0024505B">
      <w:t>Dry Season Limnological Monitoring Program for Birla Mount Gordon Mine</w:t>
    </w:r>
    <w:r>
      <w:t xml:space="preserve"> - </w:t>
    </w:r>
    <w:r w:rsidRPr="0024505B">
      <w:t>ACTFR Proposal 05/05, April 2005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6" w14:textId="77777777" w:rsidR="007E5BBF" w:rsidRDefault="007E5BB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9" w14:textId="77777777" w:rsidR="007E5BBF" w:rsidRPr="00273078" w:rsidRDefault="007E5BBF" w:rsidP="00821EED">
    <w:pPr>
      <w:spacing w:before="0" w:after="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C" w14:textId="77777777" w:rsidR="007E5BBF" w:rsidRDefault="007E5BBF">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6F" w14:textId="77777777" w:rsidR="00B62B50" w:rsidRDefault="00B62B50">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3F9072" w14:textId="77777777" w:rsidR="00B62B50" w:rsidRDefault="00B62B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1AC3FD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6D841BD"/>
    <w:multiLevelType w:val="hybridMultilevel"/>
    <w:tmpl w:val="FF6C7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23A0140"/>
    <w:multiLevelType w:val="multilevel"/>
    <w:tmpl w:val="69BA84E8"/>
    <w:lvl w:ilvl="0">
      <w:start w:val="4"/>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4">
    <w:nsid w:val="130F53AC"/>
    <w:multiLevelType w:val="hybridMultilevel"/>
    <w:tmpl w:val="8C5E92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F225DD"/>
    <w:multiLevelType w:val="hybridMultilevel"/>
    <w:tmpl w:val="72D23D48"/>
    <w:lvl w:ilvl="0" w:tplc="C7D83F6A">
      <w:start w:val="1"/>
      <w:numFmt w:val="decimal"/>
      <w:pStyle w:val="Heading3"/>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E7705F"/>
    <w:multiLevelType w:val="hybridMultilevel"/>
    <w:tmpl w:val="94FAC0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76213D8"/>
    <w:multiLevelType w:val="multilevel"/>
    <w:tmpl w:val="69BA84E8"/>
    <w:lvl w:ilvl="0">
      <w:start w:val="4"/>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8">
    <w:nsid w:val="27B04879"/>
    <w:multiLevelType w:val="hybridMultilevel"/>
    <w:tmpl w:val="FE6ACF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nsid w:val="28FE40BF"/>
    <w:multiLevelType w:val="hybridMultilevel"/>
    <w:tmpl w:val="1D106C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9044FB"/>
    <w:multiLevelType w:val="hybridMultilevel"/>
    <w:tmpl w:val="1A12AB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6C56BB"/>
    <w:multiLevelType w:val="hybridMultilevel"/>
    <w:tmpl w:val="6C4E54F6"/>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8A253C5"/>
    <w:multiLevelType w:val="hybridMultilevel"/>
    <w:tmpl w:val="D944BA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4B6226E2"/>
    <w:multiLevelType w:val="hybridMultilevel"/>
    <w:tmpl w:val="D47AF84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A17EE4"/>
    <w:multiLevelType w:val="multilevel"/>
    <w:tmpl w:val="A8C8B072"/>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5"/>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
    <w:nsid w:val="4D8B13AB"/>
    <w:multiLevelType w:val="hybridMultilevel"/>
    <w:tmpl w:val="77C65B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18">
    <w:nsid w:val="58E1732F"/>
    <w:multiLevelType w:val="hybridMultilevel"/>
    <w:tmpl w:val="66C4F490"/>
    <w:lvl w:ilvl="0" w:tplc="F3E8C972">
      <w:start w:val="7"/>
      <w:numFmt w:val="decimal"/>
      <w:lvlText w:val="%1."/>
      <w:lvlJc w:val="left"/>
      <w:pPr>
        <w:ind w:left="360" w:hanging="360"/>
      </w:pPr>
      <w:rPr>
        <w:rFonts w:hint="default"/>
      </w:rPr>
    </w:lvl>
    <w:lvl w:ilvl="1" w:tplc="0C090019" w:tentative="1">
      <w:start w:val="1"/>
      <w:numFmt w:val="lowerLetter"/>
      <w:lvlText w:val="%2."/>
      <w:lvlJc w:val="left"/>
      <w:pPr>
        <w:ind w:left="-480" w:hanging="360"/>
      </w:pPr>
    </w:lvl>
    <w:lvl w:ilvl="2" w:tplc="0C09001B" w:tentative="1">
      <w:start w:val="1"/>
      <w:numFmt w:val="lowerRoman"/>
      <w:lvlText w:val="%3."/>
      <w:lvlJc w:val="right"/>
      <w:pPr>
        <w:ind w:left="240" w:hanging="180"/>
      </w:pPr>
    </w:lvl>
    <w:lvl w:ilvl="3" w:tplc="0C09000F" w:tentative="1">
      <w:start w:val="1"/>
      <w:numFmt w:val="decimal"/>
      <w:lvlText w:val="%4."/>
      <w:lvlJc w:val="left"/>
      <w:pPr>
        <w:ind w:left="960" w:hanging="360"/>
      </w:pPr>
    </w:lvl>
    <w:lvl w:ilvl="4" w:tplc="0C090019" w:tentative="1">
      <w:start w:val="1"/>
      <w:numFmt w:val="lowerLetter"/>
      <w:lvlText w:val="%5."/>
      <w:lvlJc w:val="left"/>
      <w:pPr>
        <w:ind w:left="1680" w:hanging="360"/>
      </w:pPr>
    </w:lvl>
    <w:lvl w:ilvl="5" w:tplc="0C09001B" w:tentative="1">
      <w:start w:val="1"/>
      <w:numFmt w:val="lowerRoman"/>
      <w:lvlText w:val="%6."/>
      <w:lvlJc w:val="right"/>
      <w:pPr>
        <w:ind w:left="2400" w:hanging="180"/>
      </w:pPr>
    </w:lvl>
    <w:lvl w:ilvl="6" w:tplc="0C09000F" w:tentative="1">
      <w:start w:val="1"/>
      <w:numFmt w:val="decimal"/>
      <w:lvlText w:val="%7."/>
      <w:lvlJc w:val="left"/>
      <w:pPr>
        <w:ind w:left="3120" w:hanging="360"/>
      </w:pPr>
    </w:lvl>
    <w:lvl w:ilvl="7" w:tplc="0C090019" w:tentative="1">
      <w:start w:val="1"/>
      <w:numFmt w:val="lowerLetter"/>
      <w:lvlText w:val="%8."/>
      <w:lvlJc w:val="left"/>
      <w:pPr>
        <w:ind w:left="3840" w:hanging="360"/>
      </w:pPr>
    </w:lvl>
    <w:lvl w:ilvl="8" w:tplc="0C09001B" w:tentative="1">
      <w:start w:val="1"/>
      <w:numFmt w:val="lowerRoman"/>
      <w:lvlText w:val="%9."/>
      <w:lvlJc w:val="right"/>
      <w:pPr>
        <w:ind w:left="4560" w:hanging="180"/>
      </w:pPr>
    </w:lvl>
  </w:abstractNum>
  <w:abstractNum w:abstractNumId="19">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0">
    <w:nsid w:val="67933B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E027F22"/>
    <w:multiLevelType w:val="hybridMultilevel"/>
    <w:tmpl w:val="AA3C3516"/>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73915C09"/>
    <w:multiLevelType w:val="hybridMultilevel"/>
    <w:tmpl w:val="15FE0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nsid w:val="7AA1520C"/>
    <w:multiLevelType w:val="hybridMultilevel"/>
    <w:tmpl w:val="44EC76B2"/>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7F7A3DC5"/>
    <w:multiLevelType w:val="hybridMultilevel"/>
    <w:tmpl w:val="4EDA9A24"/>
    <w:lvl w:ilvl="0" w:tplc="D706B098">
      <w:start w:val="12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3"/>
  </w:num>
  <w:num w:numId="2">
    <w:abstractNumId w:val="19"/>
  </w:num>
  <w:num w:numId="3">
    <w:abstractNumId w:val="20"/>
  </w:num>
  <w:num w:numId="4">
    <w:abstractNumId w:val="2"/>
  </w:num>
  <w:num w:numId="5">
    <w:abstractNumId w:val="0"/>
  </w:num>
  <w:num w:numId="6">
    <w:abstractNumId w:val="17"/>
  </w:num>
  <w:num w:numId="7">
    <w:abstractNumId w:val="18"/>
  </w:num>
  <w:num w:numId="8">
    <w:abstractNumId w:val="15"/>
  </w:num>
  <w:num w:numId="9">
    <w:abstractNumId w:val="16"/>
  </w:num>
  <w:num w:numId="10">
    <w:abstractNumId w:val="14"/>
  </w:num>
  <w:num w:numId="11">
    <w:abstractNumId w:val="13"/>
  </w:num>
  <w:num w:numId="12">
    <w:abstractNumId w:val="5"/>
  </w:num>
  <w:num w:numId="13">
    <w:abstractNumId w:val="7"/>
  </w:num>
  <w:num w:numId="14">
    <w:abstractNumId w:val="10"/>
  </w:num>
  <w:num w:numId="15">
    <w:abstractNumId w:val="22"/>
  </w:num>
  <w:num w:numId="16">
    <w:abstractNumId w:val="9"/>
  </w:num>
  <w:num w:numId="17">
    <w:abstractNumId w:val="1"/>
  </w:num>
  <w:num w:numId="18">
    <w:abstractNumId w:val="12"/>
  </w:num>
  <w:num w:numId="19">
    <w:abstractNumId w:val="4"/>
  </w:num>
  <w:num w:numId="20">
    <w:abstractNumId w:val="6"/>
  </w:num>
  <w:num w:numId="21">
    <w:abstractNumId w:val="3"/>
  </w:num>
  <w:num w:numId="22">
    <w:abstractNumId w:val="11"/>
  </w:num>
  <w:num w:numId="23">
    <w:abstractNumId w:val="25"/>
  </w:num>
  <w:num w:numId="24">
    <w:abstractNumId w:val="8"/>
  </w:num>
  <w:num w:numId="25">
    <w:abstractNumId w:val="24"/>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ctiveWritingStyle w:appName="MSWord" w:lang="en-AU" w:vendorID="64" w:dllVersion="131078" w:nlCheck="1" w:checkStyle="0"/>
  <w:activeWritingStyle w:appName="MSWord" w:lang="en-US" w:vendorID="64" w:dllVersion="131078" w:nlCheck="1" w:checkStyle="1"/>
  <w:activeWritingStyle w:appName="MSWord" w:lang="fr-FR" w:vendorID="64" w:dllVersion="131078" w:nlCheck="1" w:checkStyle="1"/>
  <w:activeWritingStyle w:appName="MSWord" w:lang="en-GB" w:vendorID="64" w:dllVersion="131078" w:nlCheck="1" w:checkStyle="1"/>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rawingGridVerticalSpacing w:val="299"/>
  <w:displayHorizontalDrawingGridEvery w:val="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Marine Pollution Bull(1)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wwzpfssaux292keptesxd5t6srsfvpzsde2p&quot;&gt;My EndNote Library&lt;record-ids&gt;&lt;item&gt;411&lt;/item&gt;&lt;item&gt;625&lt;/item&gt;&lt;item&gt;734&lt;/item&gt;&lt;item&gt;791&lt;/item&gt;&lt;item&gt;792&lt;/item&gt;&lt;item&gt;907&lt;/item&gt;&lt;item&gt;967&lt;/item&gt;&lt;item&gt;970&lt;/item&gt;&lt;item&gt;979&lt;/item&gt;&lt;item&gt;980&lt;/item&gt;&lt;item&gt;999&lt;/item&gt;&lt;item&gt;1000&lt;/item&gt;&lt;item&gt;1001&lt;/item&gt;&lt;item&gt;1005&lt;/item&gt;&lt;item&gt;1007&lt;/item&gt;&lt;item&gt;1018&lt;/item&gt;&lt;item&gt;1019&lt;/item&gt;&lt;item&gt;1026&lt;/item&gt;&lt;item&gt;1027&lt;/item&gt;&lt;item&gt;1028&lt;/item&gt;&lt;item&gt;1034&lt;/item&gt;&lt;item&gt;1045&lt;/item&gt;&lt;item&gt;1047&lt;/item&gt;&lt;item&gt;1071&lt;/item&gt;&lt;item&gt;1137&lt;/item&gt;&lt;item&gt;1140&lt;/item&gt;&lt;item&gt;1141&lt;/item&gt;&lt;item&gt;1142&lt;/item&gt;&lt;item&gt;1143&lt;/item&gt;&lt;item&gt;1144&lt;/item&gt;&lt;item&gt;1147&lt;/item&gt;&lt;item&gt;1148&lt;/item&gt;&lt;item&gt;1150&lt;/item&gt;&lt;item&gt;1151&lt;/item&gt;&lt;item&gt;1152&lt;/item&gt;&lt;item&gt;1153&lt;/item&gt;&lt;/record-ids&gt;&lt;/item&gt;&lt;/Libraries&gt;"/>
  </w:docVars>
  <w:rsids>
    <w:rsidRoot w:val="00323FD5"/>
    <w:rsid w:val="00000B4D"/>
    <w:rsid w:val="00000C08"/>
    <w:rsid w:val="000018C5"/>
    <w:rsid w:val="00002038"/>
    <w:rsid w:val="000028BB"/>
    <w:rsid w:val="000028D4"/>
    <w:rsid w:val="00003B60"/>
    <w:rsid w:val="000054D1"/>
    <w:rsid w:val="00005AF1"/>
    <w:rsid w:val="00005EED"/>
    <w:rsid w:val="00010FC9"/>
    <w:rsid w:val="00013507"/>
    <w:rsid w:val="0001384B"/>
    <w:rsid w:val="0001450C"/>
    <w:rsid w:val="00014DF2"/>
    <w:rsid w:val="0001550B"/>
    <w:rsid w:val="0001594D"/>
    <w:rsid w:val="000168BC"/>
    <w:rsid w:val="00016B44"/>
    <w:rsid w:val="0001792A"/>
    <w:rsid w:val="00017C6B"/>
    <w:rsid w:val="0002104A"/>
    <w:rsid w:val="0002115B"/>
    <w:rsid w:val="000218CD"/>
    <w:rsid w:val="00022065"/>
    <w:rsid w:val="0002333D"/>
    <w:rsid w:val="00025BA9"/>
    <w:rsid w:val="00026B9A"/>
    <w:rsid w:val="00026E6A"/>
    <w:rsid w:val="000313CF"/>
    <w:rsid w:val="00031D74"/>
    <w:rsid w:val="000350CE"/>
    <w:rsid w:val="00036676"/>
    <w:rsid w:val="00036C83"/>
    <w:rsid w:val="00037532"/>
    <w:rsid w:val="00037DE3"/>
    <w:rsid w:val="00040AB5"/>
    <w:rsid w:val="00043757"/>
    <w:rsid w:val="000438ED"/>
    <w:rsid w:val="00046086"/>
    <w:rsid w:val="00046D67"/>
    <w:rsid w:val="00046DAA"/>
    <w:rsid w:val="00050C26"/>
    <w:rsid w:val="000519F1"/>
    <w:rsid w:val="00051EF5"/>
    <w:rsid w:val="00053F2D"/>
    <w:rsid w:val="000541CC"/>
    <w:rsid w:val="00054A2E"/>
    <w:rsid w:val="00056C08"/>
    <w:rsid w:val="00060497"/>
    <w:rsid w:val="00062927"/>
    <w:rsid w:val="000636CA"/>
    <w:rsid w:val="00063D61"/>
    <w:rsid w:val="000657D8"/>
    <w:rsid w:val="0006754A"/>
    <w:rsid w:val="00067C92"/>
    <w:rsid w:val="00071889"/>
    <w:rsid w:val="00071C4B"/>
    <w:rsid w:val="000734FE"/>
    <w:rsid w:val="00073C4A"/>
    <w:rsid w:val="0007433E"/>
    <w:rsid w:val="00074414"/>
    <w:rsid w:val="00074C79"/>
    <w:rsid w:val="000759E0"/>
    <w:rsid w:val="00075AF8"/>
    <w:rsid w:val="00076F4C"/>
    <w:rsid w:val="00076FAC"/>
    <w:rsid w:val="0009176D"/>
    <w:rsid w:val="0009445F"/>
    <w:rsid w:val="00094639"/>
    <w:rsid w:val="00096321"/>
    <w:rsid w:val="00096614"/>
    <w:rsid w:val="000A05A0"/>
    <w:rsid w:val="000A1BE8"/>
    <w:rsid w:val="000A2418"/>
    <w:rsid w:val="000A4831"/>
    <w:rsid w:val="000A7298"/>
    <w:rsid w:val="000B3229"/>
    <w:rsid w:val="000B4641"/>
    <w:rsid w:val="000B4822"/>
    <w:rsid w:val="000B4C57"/>
    <w:rsid w:val="000B582F"/>
    <w:rsid w:val="000B6997"/>
    <w:rsid w:val="000B77F0"/>
    <w:rsid w:val="000C066E"/>
    <w:rsid w:val="000C06A2"/>
    <w:rsid w:val="000C2024"/>
    <w:rsid w:val="000C295E"/>
    <w:rsid w:val="000C39B1"/>
    <w:rsid w:val="000C48B2"/>
    <w:rsid w:val="000C7B4A"/>
    <w:rsid w:val="000C7C86"/>
    <w:rsid w:val="000D031D"/>
    <w:rsid w:val="000D0D7F"/>
    <w:rsid w:val="000D140E"/>
    <w:rsid w:val="000D2C0D"/>
    <w:rsid w:val="000D45ED"/>
    <w:rsid w:val="000D540A"/>
    <w:rsid w:val="000D6E7D"/>
    <w:rsid w:val="000D717B"/>
    <w:rsid w:val="000D71A5"/>
    <w:rsid w:val="000D75BF"/>
    <w:rsid w:val="000D7A34"/>
    <w:rsid w:val="000E2599"/>
    <w:rsid w:val="000E2A5C"/>
    <w:rsid w:val="000E2FC6"/>
    <w:rsid w:val="000E372E"/>
    <w:rsid w:val="000E5A25"/>
    <w:rsid w:val="000F26F1"/>
    <w:rsid w:val="000F2DC5"/>
    <w:rsid w:val="000F4A6C"/>
    <w:rsid w:val="000F4F13"/>
    <w:rsid w:val="000F6EBF"/>
    <w:rsid w:val="001032AF"/>
    <w:rsid w:val="00105DFF"/>
    <w:rsid w:val="0011061C"/>
    <w:rsid w:val="00110A7F"/>
    <w:rsid w:val="00112985"/>
    <w:rsid w:val="00116492"/>
    <w:rsid w:val="00116672"/>
    <w:rsid w:val="00117210"/>
    <w:rsid w:val="001177FD"/>
    <w:rsid w:val="00117E85"/>
    <w:rsid w:val="001221E3"/>
    <w:rsid w:val="001236EB"/>
    <w:rsid w:val="00123CAA"/>
    <w:rsid w:val="0012439F"/>
    <w:rsid w:val="00125837"/>
    <w:rsid w:val="00126DA6"/>
    <w:rsid w:val="00127444"/>
    <w:rsid w:val="0013087E"/>
    <w:rsid w:val="00131E41"/>
    <w:rsid w:val="001323CB"/>
    <w:rsid w:val="001329C5"/>
    <w:rsid w:val="001329DD"/>
    <w:rsid w:val="00134DF5"/>
    <w:rsid w:val="00135560"/>
    <w:rsid w:val="00137E08"/>
    <w:rsid w:val="00141A40"/>
    <w:rsid w:val="001435C2"/>
    <w:rsid w:val="00143602"/>
    <w:rsid w:val="00143F8F"/>
    <w:rsid w:val="001470EE"/>
    <w:rsid w:val="00151B0B"/>
    <w:rsid w:val="0015270F"/>
    <w:rsid w:val="0015287B"/>
    <w:rsid w:val="00152B8A"/>
    <w:rsid w:val="00154626"/>
    <w:rsid w:val="00160123"/>
    <w:rsid w:val="00162359"/>
    <w:rsid w:val="00164EA7"/>
    <w:rsid w:val="00164F40"/>
    <w:rsid w:val="00171BF8"/>
    <w:rsid w:val="00172932"/>
    <w:rsid w:val="0017299A"/>
    <w:rsid w:val="00173CFC"/>
    <w:rsid w:val="001758C6"/>
    <w:rsid w:val="00177CA4"/>
    <w:rsid w:val="0018009D"/>
    <w:rsid w:val="001821B2"/>
    <w:rsid w:val="0018305D"/>
    <w:rsid w:val="0018376E"/>
    <w:rsid w:val="001850F0"/>
    <w:rsid w:val="00186DBD"/>
    <w:rsid w:val="00187619"/>
    <w:rsid w:val="00187D13"/>
    <w:rsid w:val="00190BB9"/>
    <w:rsid w:val="001921B0"/>
    <w:rsid w:val="00193E3A"/>
    <w:rsid w:val="0019449C"/>
    <w:rsid w:val="00196583"/>
    <w:rsid w:val="001A0439"/>
    <w:rsid w:val="001A178E"/>
    <w:rsid w:val="001A19D0"/>
    <w:rsid w:val="001A2BC0"/>
    <w:rsid w:val="001A3451"/>
    <w:rsid w:val="001A4AF0"/>
    <w:rsid w:val="001A6D01"/>
    <w:rsid w:val="001A7190"/>
    <w:rsid w:val="001B0CF5"/>
    <w:rsid w:val="001B0FB3"/>
    <w:rsid w:val="001B1C4F"/>
    <w:rsid w:val="001B668E"/>
    <w:rsid w:val="001B7175"/>
    <w:rsid w:val="001B7270"/>
    <w:rsid w:val="001B772A"/>
    <w:rsid w:val="001C090E"/>
    <w:rsid w:val="001C0942"/>
    <w:rsid w:val="001C490F"/>
    <w:rsid w:val="001C4A1A"/>
    <w:rsid w:val="001C53BA"/>
    <w:rsid w:val="001C6BD3"/>
    <w:rsid w:val="001D0553"/>
    <w:rsid w:val="001D0ADD"/>
    <w:rsid w:val="001D186D"/>
    <w:rsid w:val="001D20E3"/>
    <w:rsid w:val="001D2850"/>
    <w:rsid w:val="001D382B"/>
    <w:rsid w:val="001D46B7"/>
    <w:rsid w:val="001D4E74"/>
    <w:rsid w:val="001D5693"/>
    <w:rsid w:val="001D6A77"/>
    <w:rsid w:val="001D6E5A"/>
    <w:rsid w:val="001E0127"/>
    <w:rsid w:val="001E2DB4"/>
    <w:rsid w:val="001E2E4C"/>
    <w:rsid w:val="001E79B7"/>
    <w:rsid w:val="001F1477"/>
    <w:rsid w:val="001F2282"/>
    <w:rsid w:val="001F457A"/>
    <w:rsid w:val="001F56A2"/>
    <w:rsid w:val="001F5FEA"/>
    <w:rsid w:val="001F7592"/>
    <w:rsid w:val="001F7D69"/>
    <w:rsid w:val="002019E0"/>
    <w:rsid w:val="00203B62"/>
    <w:rsid w:val="0020500F"/>
    <w:rsid w:val="002054CE"/>
    <w:rsid w:val="002104E4"/>
    <w:rsid w:val="00212E04"/>
    <w:rsid w:val="00215F3C"/>
    <w:rsid w:val="002160FF"/>
    <w:rsid w:val="00217C7C"/>
    <w:rsid w:val="0022001C"/>
    <w:rsid w:val="002210C7"/>
    <w:rsid w:val="00222949"/>
    <w:rsid w:val="00222CD4"/>
    <w:rsid w:val="00223AF9"/>
    <w:rsid w:val="00226D83"/>
    <w:rsid w:val="002306FB"/>
    <w:rsid w:val="00231C05"/>
    <w:rsid w:val="002324B3"/>
    <w:rsid w:val="00233452"/>
    <w:rsid w:val="00233580"/>
    <w:rsid w:val="00237A3C"/>
    <w:rsid w:val="0024021C"/>
    <w:rsid w:val="00241B75"/>
    <w:rsid w:val="00242F0A"/>
    <w:rsid w:val="0024505B"/>
    <w:rsid w:val="002453C9"/>
    <w:rsid w:val="002474D7"/>
    <w:rsid w:val="00247655"/>
    <w:rsid w:val="002521E6"/>
    <w:rsid w:val="00252EDB"/>
    <w:rsid w:val="002557AB"/>
    <w:rsid w:val="00260783"/>
    <w:rsid w:val="00263CBE"/>
    <w:rsid w:val="0026502B"/>
    <w:rsid w:val="00271745"/>
    <w:rsid w:val="00271D42"/>
    <w:rsid w:val="00273078"/>
    <w:rsid w:val="00276615"/>
    <w:rsid w:val="00276CDA"/>
    <w:rsid w:val="00277A20"/>
    <w:rsid w:val="00277D93"/>
    <w:rsid w:val="002806AE"/>
    <w:rsid w:val="002827F5"/>
    <w:rsid w:val="00282ECB"/>
    <w:rsid w:val="00284FFC"/>
    <w:rsid w:val="00285012"/>
    <w:rsid w:val="002854A3"/>
    <w:rsid w:val="00285C95"/>
    <w:rsid w:val="00286401"/>
    <w:rsid w:val="0028720F"/>
    <w:rsid w:val="0029037F"/>
    <w:rsid w:val="00292DA6"/>
    <w:rsid w:val="002930BC"/>
    <w:rsid w:val="002930CF"/>
    <w:rsid w:val="002932EC"/>
    <w:rsid w:val="002A0689"/>
    <w:rsid w:val="002A1472"/>
    <w:rsid w:val="002A323D"/>
    <w:rsid w:val="002A3B1A"/>
    <w:rsid w:val="002A539E"/>
    <w:rsid w:val="002A57F2"/>
    <w:rsid w:val="002A65BA"/>
    <w:rsid w:val="002A6669"/>
    <w:rsid w:val="002A7BDA"/>
    <w:rsid w:val="002A7E76"/>
    <w:rsid w:val="002B0976"/>
    <w:rsid w:val="002B0CBA"/>
    <w:rsid w:val="002B2DAA"/>
    <w:rsid w:val="002B3513"/>
    <w:rsid w:val="002B36B1"/>
    <w:rsid w:val="002B4D6F"/>
    <w:rsid w:val="002B5012"/>
    <w:rsid w:val="002B53B6"/>
    <w:rsid w:val="002B5C85"/>
    <w:rsid w:val="002B6F3C"/>
    <w:rsid w:val="002B70B4"/>
    <w:rsid w:val="002C22C6"/>
    <w:rsid w:val="002C34CB"/>
    <w:rsid w:val="002C3F7E"/>
    <w:rsid w:val="002C4C87"/>
    <w:rsid w:val="002C5CF2"/>
    <w:rsid w:val="002C6F22"/>
    <w:rsid w:val="002C7BCF"/>
    <w:rsid w:val="002D1EC8"/>
    <w:rsid w:val="002D2877"/>
    <w:rsid w:val="002D36BF"/>
    <w:rsid w:val="002D69EC"/>
    <w:rsid w:val="002E1D7B"/>
    <w:rsid w:val="002E2D9F"/>
    <w:rsid w:val="002E6970"/>
    <w:rsid w:val="002E783E"/>
    <w:rsid w:val="002F3773"/>
    <w:rsid w:val="002F3DB0"/>
    <w:rsid w:val="002F479F"/>
    <w:rsid w:val="002F573E"/>
    <w:rsid w:val="0030006E"/>
    <w:rsid w:val="00300497"/>
    <w:rsid w:val="00301160"/>
    <w:rsid w:val="00301C97"/>
    <w:rsid w:val="00305373"/>
    <w:rsid w:val="003063ED"/>
    <w:rsid w:val="00306F32"/>
    <w:rsid w:val="00321115"/>
    <w:rsid w:val="003215A2"/>
    <w:rsid w:val="00322431"/>
    <w:rsid w:val="003227B6"/>
    <w:rsid w:val="00323FD5"/>
    <w:rsid w:val="00325E2A"/>
    <w:rsid w:val="00330E11"/>
    <w:rsid w:val="003328C2"/>
    <w:rsid w:val="003329A3"/>
    <w:rsid w:val="00332DBF"/>
    <w:rsid w:val="00333AF0"/>
    <w:rsid w:val="00333F7B"/>
    <w:rsid w:val="0033462F"/>
    <w:rsid w:val="00336896"/>
    <w:rsid w:val="00336CAF"/>
    <w:rsid w:val="00336EDA"/>
    <w:rsid w:val="0033741D"/>
    <w:rsid w:val="003403DA"/>
    <w:rsid w:val="003404BF"/>
    <w:rsid w:val="00340D92"/>
    <w:rsid w:val="003412C3"/>
    <w:rsid w:val="003435A2"/>
    <w:rsid w:val="00343C60"/>
    <w:rsid w:val="00343D04"/>
    <w:rsid w:val="00343EE0"/>
    <w:rsid w:val="0034438C"/>
    <w:rsid w:val="0034536C"/>
    <w:rsid w:val="00347A5C"/>
    <w:rsid w:val="00350896"/>
    <w:rsid w:val="00351008"/>
    <w:rsid w:val="00351B4F"/>
    <w:rsid w:val="00354B75"/>
    <w:rsid w:val="00360A84"/>
    <w:rsid w:val="003617F1"/>
    <w:rsid w:val="0036209A"/>
    <w:rsid w:val="00362A9F"/>
    <w:rsid w:val="00362FA3"/>
    <w:rsid w:val="00363622"/>
    <w:rsid w:val="0036389B"/>
    <w:rsid w:val="003645D2"/>
    <w:rsid w:val="00364FDA"/>
    <w:rsid w:val="0036562E"/>
    <w:rsid w:val="00366AB3"/>
    <w:rsid w:val="00370F09"/>
    <w:rsid w:val="00371380"/>
    <w:rsid w:val="00376266"/>
    <w:rsid w:val="00377B44"/>
    <w:rsid w:val="00380281"/>
    <w:rsid w:val="003805B4"/>
    <w:rsid w:val="00381902"/>
    <w:rsid w:val="00385ACB"/>
    <w:rsid w:val="0038605C"/>
    <w:rsid w:val="003864A1"/>
    <w:rsid w:val="00393ABA"/>
    <w:rsid w:val="003942F7"/>
    <w:rsid w:val="003951B1"/>
    <w:rsid w:val="00395B24"/>
    <w:rsid w:val="003962D8"/>
    <w:rsid w:val="003972AA"/>
    <w:rsid w:val="003A194A"/>
    <w:rsid w:val="003A2707"/>
    <w:rsid w:val="003A4501"/>
    <w:rsid w:val="003B00C5"/>
    <w:rsid w:val="003B02AF"/>
    <w:rsid w:val="003B04E9"/>
    <w:rsid w:val="003B1DB5"/>
    <w:rsid w:val="003B2267"/>
    <w:rsid w:val="003B776E"/>
    <w:rsid w:val="003B7A63"/>
    <w:rsid w:val="003C10C4"/>
    <w:rsid w:val="003C110E"/>
    <w:rsid w:val="003C19C2"/>
    <w:rsid w:val="003C232A"/>
    <w:rsid w:val="003C361F"/>
    <w:rsid w:val="003C3DD9"/>
    <w:rsid w:val="003C3EF6"/>
    <w:rsid w:val="003C535B"/>
    <w:rsid w:val="003C6364"/>
    <w:rsid w:val="003C6B6E"/>
    <w:rsid w:val="003C778E"/>
    <w:rsid w:val="003C7CB6"/>
    <w:rsid w:val="003D35D0"/>
    <w:rsid w:val="003D6877"/>
    <w:rsid w:val="003D7349"/>
    <w:rsid w:val="003D7FA5"/>
    <w:rsid w:val="003E1616"/>
    <w:rsid w:val="003E181E"/>
    <w:rsid w:val="003E490A"/>
    <w:rsid w:val="003E5740"/>
    <w:rsid w:val="003E5BAA"/>
    <w:rsid w:val="003E5F63"/>
    <w:rsid w:val="003E6527"/>
    <w:rsid w:val="003E6E31"/>
    <w:rsid w:val="003E7420"/>
    <w:rsid w:val="003F2C01"/>
    <w:rsid w:val="003F2DC5"/>
    <w:rsid w:val="003F4B7B"/>
    <w:rsid w:val="003F6A80"/>
    <w:rsid w:val="00401FF6"/>
    <w:rsid w:val="00405301"/>
    <w:rsid w:val="00405A4E"/>
    <w:rsid w:val="004076D7"/>
    <w:rsid w:val="00407F7A"/>
    <w:rsid w:val="00410483"/>
    <w:rsid w:val="004105F5"/>
    <w:rsid w:val="004117EA"/>
    <w:rsid w:val="00411CE3"/>
    <w:rsid w:val="00411DCA"/>
    <w:rsid w:val="004128E8"/>
    <w:rsid w:val="00413F77"/>
    <w:rsid w:val="00414FE3"/>
    <w:rsid w:val="00415133"/>
    <w:rsid w:val="00415885"/>
    <w:rsid w:val="00415D74"/>
    <w:rsid w:val="00415DB0"/>
    <w:rsid w:val="0041637B"/>
    <w:rsid w:val="00417F09"/>
    <w:rsid w:val="00420A52"/>
    <w:rsid w:val="00421000"/>
    <w:rsid w:val="004236C5"/>
    <w:rsid w:val="00424D84"/>
    <w:rsid w:val="00425CB6"/>
    <w:rsid w:val="004265A2"/>
    <w:rsid w:val="004275E2"/>
    <w:rsid w:val="00427E7E"/>
    <w:rsid w:val="00427F1C"/>
    <w:rsid w:val="0043157F"/>
    <w:rsid w:val="004316A7"/>
    <w:rsid w:val="00435F81"/>
    <w:rsid w:val="00436C92"/>
    <w:rsid w:val="00437648"/>
    <w:rsid w:val="00437929"/>
    <w:rsid w:val="00441469"/>
    <w:rsid w:val="004426F1"/>
    <w:rsid w:val="00442F71"/>
    <w:rsid w:val="00443847"/>
    <w:rsid w:val="00444740"/>
    <w:rsid w:val="004456DC"/>
    <w:rsid w:val="00446E18"/>
    <w:rsid w:val="00447BAF"/>
    <w:rsid w:val="004515CC"/>
    <w:rsid w:val="0045458C"/>
    <w:rsid w:val="004557B3"/>
    <w:rsid w:val="004647AE"/>
    <w:rsid w:val="00466328"/>
    <w:rsid w:val="00471277"/>
    <w:rsid w:val="004726FD"/>
    <w:rsid w:val="00473398"/>
    <w:rsid w:val="00474276"/>
    <w:rsid w:val="00474FFA"/>
    <w:rsid w:val="00476E11"/>
    <w:rsid w:val="004806A1"/>
    <w:rsid w:val="00480A2E"/>
    <w:rsid w:val="00480F85"/>
    <w:rsid w:val="00481158"/>
    <w:rsid w:val="004820C4"/>
    <w:rsid w:val="00482CB4"/>
    <w:rsid w:val="0048514F"/>
    <w:rsid w:val="00485B26"/>
    <w:rsid w:val="00486373"/>
    <w:rsid w:val="00486473"/>
    <w:rsid w:val="00486E09"/>
    <w:rsid w:val="00486F5A"/>
    <w:rsid w:val="004877FA"/>
    <w:rsid w:val="00490859"/>
    <w:rsid w:val="004911C2"/>
    <w:rsid w:val="00492A71"/>
    <w:rsid w:val="00494137"/>
    <w:rsid w:val="0049692E"/>
    <w:rsid w:val="004A205E"/>
    <w:rsid w:val="004A2BC9"/>
    <w:rsid w:val="004A3E5C"/>
    <w:rsid w:val="004B1676"/>
    <w:rsid w:val="004B1EF9"/>
    <w:rsid w:val="004B1F60"/>
    <w:rsid w:val="004B205A"/>
    <w:rsid w:val="004B2104"/>
    <w:rsid w:val="004B2380"/>
    <w:rsid w:val="004B31F0"/>
    <w:rsid w:val="004B3569"/>
    <w:rsid w:val="004B3F34"/>
    <w:rsid w:val="004B5D2D"/>
    <w:rsid w:val="004C0E45"/>
    <w:rsid w:val="004C21D3"/>
    <w:rsid w:val="004C2BD3"/>
    <w:rsid w:val="004C3EE4"/>
    <w:rsid w:val="004C4F3D"/>
    <w:rsid w:val="004C6DA0"/>
    <w:rsid w:val="004C70AA"/>
    <w:rsid w:val="004D0395"/>
    <w:rsid w:val="004D060F"/>
    <w:rsid w:val="004D2C6C"/>
    <w:rsid w:val="004D4B0A"/>
    <w:rsid w:val="004E0005"/>
    <w:rsid w:val="004E01CC"/>
    <w:rsid w:val="004E3E5B"/>
    <w:rsid w:val="004E4CA4"/>
    <w:rsid w:val="004E4F4A"/>
    <w:rsid w:val="004F08D4"/>
    <w:rsid w:val="004F15BA"/>
    <w:rsid w:val="004F375F"/>
    <w:rsid w:val="004F45CC"/>
    <w:rsid w:val="004F5999"/>
    <w:rsid w:val="004F5D89"/>
    <w:rsid w:val="004F6AA8"/>
    <w:rsid w:val="004F78AF"/>
    <w:rsid w:val="004F78FD"/>
    <w:rsid w:val="004F7AF8"/>
    <w:rsid w:val="00500FCF"/>
    <w:rsid w:val="005016B4"/>
    <w:rsid w:val="0050264C"/>
    <w:rsid w:val="005031BD"/>
    <w:rsid w:val="005043E8"/>
    <w:rsid w:val="00504434"/>
    <w:rsid w:val="0050554D"/>
    <w:rsid w:val="00505916"/>
    <w:rsid w:val="00505941"/>
    <w:rsid w:val="005062C8"/>
    <w:rsid w:val="00507ABB"/>
    <w:rsid w:val="00510D98"/>
    <w:rsid w:val="00511423"/>
    <w:rsid w:val="005114DF"/>
    <w:rsid w:val="005118C1"/>
    <w:rsid w:val="00511BFD"/>
    <w:rsid w:val="005128BB"/>
    <w:rsid w:val="00512E95"/>
    <w:rsid w:val="005135BE"/>
    <w:rsid w:val="005149C1"/>
    <w:rsid w:val="005154AD"/>
    <w:rsid w:val="00515F97"/>
    <w:rsid w:val="00516136"/>
    <w:rsid w:val="00517A6D"/>
    <w:rsid w:val="00517E4A"/>
    <w:rsid w:val="00517F93"/>
    <w:rsid w:val="005252C1"/>
    <w:rsid w:val="005256E5"/>
    <w:rsid w:val="0053157C"/>
    <w:rsid w:val="00531C57"/>
    <w:rsid w:val="00532796"/>
    <w:rsid w:val="00536255"/>
    <w:rsid w:val="00540228"/>
    <w:rsid w:val="00540AA2"/>
    <w:rsid w:val="0054221F"/>
    <w:rsid w:val="00542F99"/>
    <w:rsid w:val="005432C3"/>
    <w:rsid w:val="0054379A"/>
    <w:rsid w:val="0055021B"/>
    <w:rsid w:val="00550ED6"/>
    <w:rsid w:val="00550FD4"/>
    <w:rsid w:val="0055289F"/>
    <w:rsid w:val="00552DE2"/>
    <w:rsid w:val="005537F6"/>
    <w:rsid w:val="00553C55"/>
    <w:rsid w:val="00554C1D"/>
    <w:rsid w:val="00554C31"/>
    <w:rsid w:val="00555B84"/>
    <w:rsid w:val="00555E21"/>
    <w:rsid w:val="00555E27"/>
    <w:rsid w:val="005571CD"/>
    <w:rsid w:val="00557495"/>
    <w:rsid w:val="005611DD"/>
    <w:rsid w:val="00561CDF"/>
    <w:rsid w:val="00564F05"/>
    <w:rsid w:val="00567584"/>
    <w:rsid w:val="00570AD5"/>
    <w:rsid w:val="00571050"/>
    <w:rsid w:val="00571B6D"/>
    <w:rsid w:val="0057279E"/>
    <w:rsid w:val="0057450D"/>
    <w:rsid w:val="005812EA"/>
    <w:rsid w:val="00584A1E"/>
    <w:rsid w:val="0058526F"/>
    <w:rsid w:val="00585FD0"/>
    <w:rsid w:val="00587932"/>
    <w:rsid w:val="00590101"/>
    <w:rsid w:val="00590116"/>
    <w:rsid w:val="00590437"/>
    <w:rsid w:val="005911E1"/>
    <w:rsid w:val="00593896"/>
    <w:rsid w:val="00593F91"/>
    <w:rsid w:val="00594554"/>
    <w:rsid w:val="00594D12"/>
    <w:rsid w:val="0059730C"/>
    <w:rsid w:val="005A05AE"/>
    <w:rsid w:val="005A0C78"/>
    <w:rsid w:val="005A0E07"/>
    <w:rsid w:val="005A28FF"/>
    <w:rsid w:val="005A2FF6"/>
    <w:rsid w:val="005A3CFA"/>
    <w:rsid w:val="005A49C3"/>
    <w:rsid w:val="005A5D87"/>
    <w:rsid w:val="005A7710"/>
    <w:rsid w:val="005B0A67"/>
    <w:rsid w:val="005B0BB8"/>
    <w:rsid w:val="005B49DD"/>
    <w:rsid w:val="005B5B17"/>
    <w:rsid w:val="005B6DBF"/>
    <w:rsid w:val="005C1FB7"/>
    <w:rsid w:val="005C2799"/>
    <w:rsid w:val="005C3AF4"/>
    <w:rsid w:val="005C4016"/>
    <w:rsid w:val="005C4F3F"/>
    <w:rsid w:val="005C5807"/>
    <w:rsid w:val="005C7621"/>
    <w:rsid w:val="005D1B69"/>
    <w:rsid w:val="005D1C82"/>
    <w:rsid w:val="005D73DE"/>
    <w:rsid w:val="005E0A0B"/>
    <w:rsid w:val="005E2EA2"/>
    <w:rsid w:val="005E30FE"/>
    <w:rsid w:val="005E35E6"/>
    <w:rsid w:val="005E5562"/>
    <w:rsid w:val="005E6457"/>
    <w:rsid w:val="005F304A"/>
    <w:rsid w:val="005F3A4D"/>
    <w:rsid w:val="005F5C7F"/>
    <w:rsid w:val="005F751E"/>
    <w:rsid w:val="0060082A"/>
    <w:rsid w:val="006008AE"/>
    <w:rsid w:val="006010C0"/>
    <w:rsid w:val="00601884"/>
    <w:rsid w:val="0060240D"/>
    <w:rsid w:val="00603C34"/>
    <w:rsid w:val="00604A6C"/>
    <w:rsid w:val="00605DDA"/>
    <w:rsid w:val="00610114"/>
    <w:rsid w:val="00610DC5"/>
    <w:rsid w:val="006110CC"/>
    <w:rsid w:val="0061401A"/>
    <w:rsid w:val="00614034"/>
    <w:rsid w:val="0061615F"/>
    <w:rsid w:val="00616522"/>
    <w:rsid w:val="0061690C"/>
    <w:rsid w:val="00616D81"/>
    <w:rsid w:val="00617152"/>
    <w:rsid w:val="0062058A"/>
    <w:rsid w:val="00621DE1"/>
    <w:rsid w:val="00622A42"/>
    <w:rsid w:val="00623CBB"/>
    <w:rsid w:val="00626100"/>
    <w:rsid w:val="00626403"/>
    <w:rsid w:val="00630695"/>
    <w:rsid w:val="006309B3"/>
    <w:rsid w:val="00631EA4"/>
    <w:rsid w:val="006326B2"/>
    <w:rsid w:val="00632D9D"/>
    <w:rsid w:val="00633C3A"/>
    <w:rsid w:val="00634CBC"/>
    <w:rsid w:val="00634D75"/>
    <w:rsid w:val="00635CD4"/>
    <w:rsid w:val="00636EB4"/>
    <w:rsid w:val="00640046"/>
    <w:rsid w:val="00641387"/>
    <w:rsid w:val="00642359"/>
    <w:rsid w:val="006424EB"/>
    <w:rsid w:val="00644C96"/>
    <w:rsid w:val="00644D0C"/>
    <w:rsid w:val="00644ED6"/>
    <w:rsid w:val="00646728"/>
    <w:rsid w:val="0064679C"/>
    <w:rsid w:val="0065063F"/>
    <w:rsid w:val="00651A7C"/>
    <w:rsid w:val="006530D6"/>
    <w:rsid w:val="00653679"/>
    <w:rsid w:val="006552F9"/>
    <w:rsid w:val="006559A4"/>
    <w:rsid w:val="00655A9F"/>
    <w:rsid w:val="006611F3"/>
    <w:rsid w:val="00661B80"/>
    <w:rsid w:val="006633ED"/>
    <w:rsid w:val="00664595"/>
    <w:rsid w:val="00665817"/>
    <w:rsid w:val="006666EB"/>
    <w:rsid w:val="00667D7D"/>
    <w:rsid w:val="00671B4A"/>
    <w:rsid w:val="00671BFD"/>
    <w:rsid w:val="00671F1D"/>
    <w:rsid w:val="00673582"/>
    <w:rsid w:val="00673684"/>
    <w:rsid w:val="00675E61"/>
    <w:rsid w:val="00677367"/>
    <w:rsid w:val="006841DC"/>
    <w:rsid w:val="00687C57"/>
    <w:rsid w:val="006910D6"/>
    <w:rsid w:val="0069141C"/>
    <w:rsid w:val="00692C75"/>
    <w:rsid w:val="0069403D"/>
    <w:rsid w:val="00694EB8"/>
    <w:rsid w:val="006976A3"/>
    <w:rsid w:val="00697E02"/>
    <w:rsid w:val="006A4EEA"/>
    <w:rsid w:val="006A6233"/>
    <w:rsid w:val="006A6F58"/>
    <w:rsid w:val="006B1E77"/>
    <w:rsid w:val="006B2AC2"/>
    <w:rsid w:val="006B4411"/>
    <w:rsid w:val="006B5BA1"/>
    <w:rsid w:val="006B648C"/>
    <w:rsid w:val="006C43C9"/>
    <w:rsid w:val="006C548D"/>
    <w:rsid w:val="006C68E0"/>
    <w:rsid w:val="006C73D0"/>
    <w:rsid w:val="006C747B"/>
    <w:rsid w:val="006D0A1F"/>
    <w:rsid w:val="006D0A8A"/>
    <w:rsid w:val="006D2B19"/>
    <w:rsid w:val="006D2F0A"/>
    <w:rsid w:val="006D35FB"/>
    <w:rsid w:val="006E020D"/>
    <w:rsid w:val="006E1E94"/>
    <w:rsid w:val="006E224F"/>
    <w:rsid w:val="006E37F0"/>
    <w:rsid w:val="006E3EF2"/>
    <w:rsid w:val="006E4B47"/>
    <w:rsid w:val="006E4DBB"/>
    <w:rsid w:val="006E6FAD"/>
    <w:rsid w:val="006E70E8"/>
    <w:rsid w:val="006F4249"/>
    <w:rsid w:val="006F47D8"/>
    <w:rsid w:val="006F4885"/>
    <w:rsid w:val="006F54B3"/>
    <w:rsid w:val="00702075"/>
    <w:rsid w:val="0070217F"/>
    <w:rsid w:val="00703EC1"/>
    <w:rsid w:val="00704FAD"/>
    <w:rsid w:val="00705A41"/>
    <w:rsid w:val="0070646F"/>
    <w:rsid w:val="00711829"/>
    <w:rsid w:val="00712B97"/>
    <w:rsid w:val="00713CC5"/>
    <w:rsid w:val="00715755"/>
    <w:rsid w:val="00715856"/>
    <w:rsid w:val="00715DDB"/>
    <w:rsid w:val="007209D8"/>
    <w:rsid w:val="00720FDD"/>
    <w:rsid w:val="0072109C"/>
    <w:rsid w:val="007234C6"/>
    <w:rsid w:val="00726704"/>
    <w:rsid w:val="00726A02"/>
    <w:rsid w:val="00726ABD"/>
    <w:rsid w:val="00726D3D"/>
    <w:rsid w:val="00730522"/>
    <w:rsid w:val="007313A4"/>
    <w:rsid w:val="007315EF"/>
    <w:rsid w:val="007321A3"/>
    <w:rsid w:val="00732BEF"/>
    <w:rsid w:val="007330CD"/>
    <w:rsid w:val="00733EF0"/>
    <w:rsid w:val="00734EB9"/>
    <w:rsid w:val="00735BF9"/>
    <w:rsid w:val="00736ADE"/>
    <w:rsid w:val="00743AB1"/>
    <w:rsid w:val="00744763"/>
    <w:rsid w:val="007453F2"/>
    <w:rsid w:val="0075179E"/>
    <w:rsid w:val="00752398"/>
    <w:rsid w:val="007525A0"/>
    <w:rsid w:val="00753F35"/>
    <w:rsid w:val="00756776"/>
    <w:rsid w:val="0076064C"/>
    <w:rsid w:val="00760A68"/>
    <w:rsid w:val="00761626"/>
    <w:rsid w:val="0076316B"/>
    <w:rsid w:val="0076365B"/>
    <w:rsid w:val="00763DED"/>
    <w:rsid w:val="007651C4"/>
    <w:rsid w:val="007657A2"/>
    <w:rsid w:val="0076599A"/>
    <w:rsid w:val="00771E96"/>
    <w:rsid w:val="00773BC3"/>
    <w:rsid w:val="00773FE5"/>
    <w:rsid w:val="00774F68"/>
    <w:rsid w:val="007763E8"/>
    <w:rsid w:val="00777665"/>
    <w:rsid w:val="00782908"/>
    <w:rsid w:val="00782A16"/>
    <w:rsid w:val="007832FF"/>
    <w:rsid w:val="00784C16"/>
    <w:rsid w:val="00786BCA"/>
    <w:rsid w:val="0078727E"/>
    <w:rsid w:val="00787ADC"/>
    <w:rsid w:val="00790E5F"/>
    <w:rsid w:val="007923EF"/>
    <w:rsid w:val="00792766"/>
    <w:rsid w:val="00792B5E"/>
    <w:rsid w:val="00793194"/>
    <w:rsid w:val="0079433D"/>
    <w:rsid w:val="00796308"/>
    <w:rsid w:val="007966E7"/>
    <w:rsid w:val="00797429"/>
    <w:rsid w:val="007975C4"/>
    <w:rsid w:val="007A058E"/>
    <w:rsid w:val="007A1BFD"/>
    <w:rsid w:val="007A26AF"/>
    <w:rsid w:val="007A29CD"/>
    <w:rsid w:val="007A583C"/>
    <w:rsid w:val="007A5ADA"/>
    <w:rsid w:val="007A6228"/>
    <w:rsid w:val="007A6558"/>
    <w:rsid w:val="007A6C72"/>
    <w:rsid w:val="007A7D9F"/>
    <w:rsid w:val="007B1607"/>
    <w:rsid w:val="007B212C"/>
    <w:rsid w:val="007B215B"/>
    <w:rsid w:val="007B2A97"/>
    <w:rsid w:val="007B2B62"/>
    <w:rsid w:val="007B2D6F"/>
    <w:rsid w:val="007B350A"/>
    <w:rsid w:val="007B547F"/>
    <w:rsid w:val="007C09CA"/>
    <w:rsid w:val="007C23C4"/>
    <w:rsid w:val="007C4827"/>
    <w:rsid w:val="007C5E92"/>
    <w:rsid w:val="007D039E"/>
    <w:rsid w:val="007D0406"/>
    <w:rsid w:val="007D1903"/>
    <w:rsid w:val="007D30EB"/>
    <w:rsid w:val="007D3713"/>
    <w:rsid w:val="007D37D9"/>
    <w:rsid w:val="007D4A23"/>
    <w:rsid w:val="007D4F9D"/>
    <w:rsid w:val="007D5317"/>
    <w:rsid w:val="007D5537"/>
    <w:rsid w:val="007D7095"/>
    <w:rsid w:val="007D7E44"/>
    <w:rsid w:val="007E5614"/>
    <w:rsid w:val="007E5BBF"/>
    <w:rsid w:val="007F17EB"/>
    <w:rsid w:val="007F49B9"/>
    <w:rsid w:val="007F60C3"/>
    <w:rsid w:val="007F64A4"/>
    <w:rsid w:val="007F7FAD"/>
    <w:rsid w:val="008007BA"/>
    <w:rsid w:val="0080162A"/>
    <w:rsid w:val="00806046"/>
    <w:rsid w:val="00806851"/>
    <w:rsid w:val="0080798B"/>
    <w:rsid w:val="008106EA"/>
    <w:rsid w:val="00811267"/>
    <w:rsid w:val="00811974"/>
    <w:rsid w:val="00812420"/>
    <w:rsid w:val="008136D3"/>
    <w:rsid w:val="00813C91"/>
    <w:rsid w:val="00814ECC"/>
    <w:rsid w:val="008152D4"/>
    <w:rsid w:val="008172FD"/>
    <w:rsid w:val="00821EED"/>
    <w:rsid w:val="0082273E"/>
    <w:rsid w:val="0082296E"/>
    <w:rsid w:val="00822B0F"/>
    <w:rsid w:val="008241B9"/>
    <w:rsid w:val="00825595"/>
    <w:rsid w:val="00827B06"/>
    <w:rsid w:val="00832362"/>
    <w:rsid w:val="0083263F"/>
    <w:rsid w:val="00834F2E"/>
    <w:rsid w:val="00836155"/>
    <w:rsid w:val="00837E1A"/>
    <w:rsid w:val="008437C4"/>
    <w:rsid w:val="008452BE"/>
    <w:rsid w:val="00845359"/>
    <w:rsid w:val="008471AB"/>
    <w:rsid w:val="00851244"/>
    <w:rsid w:val="008512D7"/>
    <w:rsid w:val="008548E0"/>
    <w:rsid w:val="0085568B"/>
    <w:rsid w:val="00856D06"/>
    <w:rsid w:val="00861312"/>
    <w:rsid w:val="00861FFC"/>
    <w:rsid w:val="00862438"/>
    <w:rsid w:val="00862CC4"/>
    <w:rsid w:val="00866E83"/>
    <w:rsid w:val="00872C69"/>
    <w:rsid w:val="008748EA"/>
    <w:rsid w:val="00875220"/>
    <w:rsid w:val="00880128"/>
    <w:rsid w:val="00880584"/>
    <w:rsid w:val="00880638"/>
    <w:rsid w:val="00880DC0"/>
    <w:rsid w:val="008826FD"/>
    <w:rsid w:val="00883D11"/>
    <w:rsid w:val="00884D6A"/>
    <w:rsid w:val="008859F3"/>
    <w:rsid w:val="00886484"/>
    <w:rsid w:val="00886A6A"/>
    <w:rsid w:val="00892DE7"/>
    <w:rsid w:val="0089389B"/>
    <w:rsid w:val="0089439E"/>
    <w:rsid w:val="0089476A"/>
    <w:rsid w:val="00894BFC"/>
    <w:rsid w:val="00894E55"/>
    <w:rsid w:val="00895C0A"/>
    <w:rsid w:val="00895D18"/>
    <w:rsid w:val="00896432"/>
    <w:rsid w:val="00897781"/>
    <w:rsid w:val="008A0B36"/>
    <w:rsid w:val="008A1AB4"/>
    <w:rsid w:val="008A1DF7"/>
    <w:rsid w:val="008A24A9"/>
    <w:rsid w:val="008A28E4"/>
    <w:rsid w:val="008A3756"/>
    <w:rsid w:val="008A3AF0"/>
    <w:rsid w:val="008A4B6B"/>
    <w:rsid w:val="008A790F"/>
    <w:rsid w:val="008A7BAD"/>
    <w:rsid w:val="008B0D24"/>
    <w:rsid w:val="008B4AEC"/>
    <w:rsid w:val="008B5A53"/>
    <w:rsid w:val="008B7B50"/>
    <w:rsid w:val="008B7EB8"/>
    <w:rsid w:val="008C3473"/>
    <w:rsid w:val="008C7824"/>
    <w:rsid w:val="008D2395"/>
    <w:rsid w:val="008D260E"/>
    <w:rsid w:val="008D3A01"/>
    <w:rsid w:val="008D3F2F"/>
    <w:rsid w:val="008D40A9"/>
    <w:rsid w:val="008D611A"/>
    <w:rsid w:val="008D6834"/>
    <w:rsid w:val="008D7211"/>
    <w:rsid w:val="008E03E9"/>
    <w:rsid w:val="008E2D9C"/>
    <w:rsid w:val="008E3B83"/>
    <w:rsid w:val="008E3C67"/>
    <w:rsid w:val="008E418D"/>
    <w:rsid w:val="008E551E"/>
    <w:rsid w:val="008E5AF4"/>
    <w:rsid w:val="008E6B25"/>
    <w:rsid w:val="008E6B60"/>
    <w:rsid w:val="008E7929"/>
    <w:rsid w:val="008F064C"/>
    <w:rsid w:val="008F156F"/>
    <w:rsid w:val="008F2F17"/>
    <w:rsid w:val="008F3352"/>
    <w:rsid w:val="008F33B8"/>
    <w:rsid w:val="008F507E"/>
    <w:rsid w:val="008F5C07"/>
    <w:rsid w:val="008F7445"/>
    <w:rsid w:val="008F76C2"/>
    <w:rsid w:val="00900656"/>
    <w:rsid w:val="00900D91"/>
    <w:rsid w:val="009019ED"/>
    <w:rsid w:val="00903A51"/>
    <w:rsid w:val="0090538E"/>
    <w:rsid w:val="009059EE"/>
    <w:rsid w:val="0091162A"/>
    <w:rsid w:val="009125C2"/>
    <w:rsid w:val="009130FE"/>
    <w:rsid w:val="0091316A"/>
    <w:rsid w:val="00915118"/>
    <w:rsid w:val="009168D6"/>
    <w:rsid w:val="009179F5"/>
    <w:rsid w:val="00920311"/>
    <w:rsid w:val="0092118B"/>
    <w:rsid w:val="009217DD"/>
    <w:rsid w:val="00922ACE"/>
    <w:rsid w:val="00925402"/>
    <w:rsid w:val="009259F9"/>
    <w:rsid w:val="00926142"/>
    <w:rsid w:val="009300A5"/>
    <w:rsid w:val="0093056A"/>
    <w:rsid w:val="00930F92"/>
    <w:rsid w:val="00931EED"/>
    <w:rsid w:val="00932000"/>
    <w:rsid w:val="00933EAC"/>
    <w:rsid w:val="00934ECD"/>
    <w:rsid w:val="00935052"/>
    <w:rsid w:val="009362EF"/>
    <w:rsid w:val="009400E0"/>
    <w:rsid w:val="00940437"/>
    <w:rsid w:val="00943B63"/>
    <w:rsid w:val="00944DF1"/>
    <w:rsid w:val="00946387"/>
    <w:rsid w:val="0094788C"/>
    <w:rsid w:val="0095037A"/>
    <w:rsid w:val="00951208"/>
    <w:rsid w:val="00951723"/>
    <w:rsid w:val="00951B73"/>
    <w:rsid w:val="00955019"/>
    <w:rsid w:val="0095562E"/>
    <w:rsid w:val="00955ABA"/>
    <w:rsid w:val="00955CC0"/>
    <w:rsid w:val="00956FCE"/>
    <w:rsid w:val="009603E2"/>
    <w:rsid w:val="009612D4"/>
    <w:rsid w:val="00962B0D"/>
    <w:rsid w:val="00962C9F"/>
    <w:rsid w:val="00963370"/>
    <w:rsid w:val="00964166"/>
    <w:rsid w:val="00965375"/>
    <w:rsid w:val="009658E2"/>
    <w:rsid w:val="00966379"/>
    <w:rsid w:val="009669AF"/>
    <w:rsid w:val="00966D85"/>
    <w:rsid w:val="0096790E"/>
    <w:rsid w:val="00967B10"/>
    <w:rsid w:val="00970227"/>
    <w:rsid w:val="00971E6C"/>
    <w:rsid w:val="00971F26"/>
    <w:rsid w:val="00973584"/>
    <w:rsid w:val="00973C89"/>
    <w:rsid w:val="00975049"/>
    <w:rsid w:val="009764DF"/>
    <w:rsid w:val="009766FA"/>
    <w:rsid w:val="00976C1D"/>
    <w:rsid w:val="00981A08"/>
    <w:rsid w:val="00981AE5"/>
    <w:rsid w:val="00981DC8"/>
    <w:rsid w:val="0098332C"/>
    <w:rsid w:val="0098562E"/>
    <w:rsid w:val="00987539"/>
    <w:rsid w:val="0099265D"/>
    <w:rsid w:val="0099634D"/>
    <w:rsid w:val="009977DF"/>
    <w:rsid w:val="009A05A1"/>
    <w:rsid w:val="009A0730"/>
    <w:rsid w:val="009A180D"/>
    <w:rsid w:val="009A261D"/>
    <w:rsid w:val="009A2A28"/>
    <w:rsid w:val="009A3D0A"/>
    <w:rsid w:val="009A4897"/>
    <w:rsid w:val="009A519D"/>
    <w:rsid w:val="009A6146"/>
    <w:rsid w:val="009B33BB"/>
    <w:rsid w:val="009B3855"/>
    <w:rsid w:val="009B4B81"/>
    <w:rsid w:val="009B5171"/>
    <w:rsid w:val="009C03AD"/>
    <w:rsid w:val="009C10D5"/>
    <w:rsid w:val="009C204E"/>
    <w:rsid w:val="009C4D9F"/>
    <w:rsid w:val="009D05E6"/>
    <w:rsid w:val="009D1035"/>
    <w:rsid w:val="009D373F"/>
    <w:rsid w:val="009D3F25"/>
    <w:rsid w:val="009D48E3"/>
    <w:rsid w:val="009D74F9"/>
    <w:rsid w:val="009E2A59"/>
    <w:rsid w:val="009E3B73"/>
    <w:rsid w:val="009E7629"/>
    <w:rsid w:val="009F50A2"/>
    <w:rsid w:val="009F6A11"/>
    <w:rsid w:val="009F6B2F"/>
    <w:rsid w:val="009F6E52"/>
    <w:rsid w:val="00A01C78"/>
    <w:rsid w:val="00A01D6A"/>
    <w:rsid w:val="00A02820"/>
    <w:rsid w:val="00A0619E"/>
    <w:rsid w:val="00A06D2A"/>
    <w:rsid w:val="00A07477"/>
    <w:rsid w:val="00A11B2A"/>
    <w:rsid w:val="00A1226B"/>
    <w:rsid w:val="00A127FE"/>
    <w:rsid w:val="00A12A64"/>
    <w:rsid w:val="00A14B19"/>
    <w:rsid w:val="00A1550D"/>
    <w:rsid w:val="00A15D4A"/>
    <w:rsid w:val="00A21336"/>
    <w:rsid w:val="00A22ACE"/>
    <w:rsid w:val="00A245D6"/>
    <w:rsid w:val="00A26858"/>
    <w:rsid w:val="00A2755C"/>
    <w:rsid w:val="00A279DB"/>
    <w:rsid w:val="00A3096D"/>
    <w:rsid w:val="00A31BCC"/>
    <w:rsid w:val="00A31E76"/>
    <w:rsid w:val="00A32570"/>
    <w:rsid w:val="00A3262D"/>
    <w:rsid w:val="00A32B83"/>
    <w:rsid w:val="00A35255"/>
    <w:rsid w:val="00A36784"/>
    <w:rsid w:val="00A36B66"/>
    <w:rsid w:val="00A37272"/>
    <w:rsid w:val="00A40906"/>
    <w:rsid w:val="00A40F22"/>
    <w:rsid w:val="00A429B2"/>
    <w:rsid w:val="00A450E7"/>
    <w:rsid w:val="00A45B4C"/>
    <w:rsid w:val="00A51131"/>
    <w:rsid w:val="00A53716"/>
    <w:rsid w:val="00A53FB4"/>
    <w:rsid w:val="00A5547A"/>
    <w:rsid w:val="00A56E8D"/>
    <w:rsid w:val="00A60496"/>
    <w:rsid w:val="00A610AC"/>
    <w:rsid w:val="00A61E8C"/>
    <w:rsid w:val="00A64AD7"/>
    <w:rsid w:val="00A70E88"/>
    <w:rsid w:val="00A7224C"/>
    <w:rsid w:val="00A76577"/>
    <w:rsid w:val="00A77D07"/>
    <w:rsid w:val="00A822AD"/>
    <w:rsid w:val="00A83414"/>
    <w:rsid w:val="00A86502"/>
    <w:rsid w:val="00A86F4F"/>
    <w:rsid w:val="00A87015"/>
    <w:rsid w:val="00A90185"/>
    <w:rsid w:val="00A917DF"/>
    <w:rsid w:val="00A9232C"/>
    <w:rsid w:val="00A93914"/>
    <w:rsid w:val="00A9572B"/>
    <w:rsid w:val="00AA33F4"/>
    <w:rsid w:val="00AA5B0F"/>
    <w:rsid w:val="00AA5DE9"/>
    <w:rsid w:val="00AA6B5E"/>
    <w:rsid w:val="00AA6D1B"/>
    <w:rsid w:val="00AB09B2"/>
    <w:rsid w:val="00AB2904"/>
    <w:rsid w:val="00AB52B7"/>
    <w:rsid w:val="00AC020F"/>
    <w:rsid w:val="00AC06D6"/>
    <w:rsid w:val="00AC1992"/>
    <w:rsid w:val="00AC215B"/>
    <w:rsid w:val="00AC564D"/>
    <w:rsid w:val="00AC651D"/>
    <w:rsid w:val="00AC6852"/>
    <w:rsid w:val="00AD0E99"/>
    <w:rsid w:val="00AD28DA"/>
    <w:rsid w:val="00AD3925"/>
    <w:rsid w:val="00AD54EE"/>
    <w:rsid w:val="00AD6B81"/>
    <w:rsid w:val="00AE4287"/>
    <w:rsid w:val="00AF1E49"/>
    <w:rsid w:val="00AF2686"/>
    <w:rsid w:val="00AF2690"/>
    <w:rsid w:val="00AF3E9D"/>
    <w:rsid w:val="00AF4E99"/>
    <w:rsid w:val="00B0081E"/>
    <w:rsid w:val="00B04262"/>
    <w:rsid w:val="00B05255"/>
    <w:rsid w:val="00B0572A"/>
    <w:rsid w:val="00B07CD3"/>
    <w:rsid w:val="00B132F8"/>
    <w:rsid w:val="00B14ACE"/>
    <w:rsid w:val="00B161C3"/>
    <w:rsid w:val="00B174A0"/>
    <w:rsid w:val="00B21FBE"/>
    <w:rsid w:val="00B221B8"/>
    <w:rsid w:val="00B221BF"/>
    <w:rsid w:val="00B230C8"/>
    <w:rsid w:val="00B259AA"/>
    <w:rsid w:val="00B30312"/>
    <w:rsid w:val="00B35A8B"/>
    <w:rsid w:val="00B378AE"/>
    <w:rsid w:val="00B428C3"/>
    <w:rsid w:val="00B45134"/>
    <w:rsid w:val="00B520C4"/>
    <w:rsid w:val="00B536C9"/>
    <w:rsid w:val="00B55558"/>
    <w:rsid w:val="00B56DE3"/>
    <w:rsid w:val="00B571FC"/>
    <w:rsid w:val="00B578FF"/>
    <w:rsid w:val="00B57C26"/>
    <w:rsid w:val="00B62B50"/>
    <w:rsid w:val="00B63BE7"/>
    <w:rsid w:val="00B63DB4"/>
    <w:rsid w:val="00B6457B"/>
    <w:rsid w:val="00B657EE"/>
    <w:rsid w:val="00B66DCB"/>
    <w:rsid w:val="00B74EDB"/>
    <w:rsid w:val="00B76434"/>
    <w:rsid w:val="00B76E07"/>
    <w:rsid w:val="00B8089A"/>
    <w:rsid w:val="00B80ADA"/>
    <w:rsid w:val="00B8198B"/>
    <w:rsid w:val="00B81D28"/>
    <w:rsid w:val="00B81F89"/>
    <w:rsid w:val="00B837D4"/>
    <w:rsid w:val="00B83B89"/>
    <w:rsid w:val="00B843AC"/>
    <w:rsid w:val="00B85389"/>
    <w:rsid w:val="00B86317"/>
    <w:rsid w:val="00B87828"/>
    <w:rsid w:val="00B87D82"/>
    <w:rsid w:val="00B91E36"/>
    <w:rsid w:val="00B946CF"/>
    <w:rsid w:val="00B95788"/>
    <w:rsid w:val="00B959B0"/>
    <w:rsid w:val="00B9621F"/>
    <w:rsid w:val="00B96FE9"/>
    <w:rsid w:val="00BA48A9"/>
    <w:rsid w:val="00BA4C2E"/>
    <w:rsid w:val="00BA6CF1"/>
    <w:rsid w:val="00BA7CE9"/>
    <w:rsid w:val="00BB169E"/>
    <w:rsid w:val="00BB57CF"/>
    <w:rsid w:val="00BB66FB"/>
    <w:rsid w:val="00BB6724"/>
    <w:rsid w:val="00BB7C5D"/>
    <w:rsid w:val="00BC044A"/>
    <w:rsid w:val="00BC0B37"/>
    <w:rsid w:val="00BC13D4"/>
    <w:rsid w:val="00BC1AE4"/>
    <w:rsid w:val="00BC27B4"/>
    <w:rsid w:val="00BC2C4B"/>
    <w:rsid w:val="00BC42BA"/>
    <w:rsid w:val="00BC4AF7"/>
    <w:rsid w:val="00BC5285"/>
    <w:rsid w:val="00BC5477"/>
    <w:rsid w:val="00BC55E3"/>
    <w:rsid w:val="00BC60CC"/>
    <w:rsid w:val="00BC6628"/>
    <w:rsid w:val="00BC7511"/>
    <w:rsid w:val="00BD08C4"/>
    <w:rsid w:val="00BD0AA8"/>
    <w:rsid w:val="00BD14A0"/>
    <w:rsid w:val="00BD2E78"/>
    <w:rsid w:val="00BD3F14"/>
    <w:rsid w:val="00BD425B"/>
    <w:rsid w:val="00BD61F7"/>
    <w:rsid w:val="00BD7096"/>
    <w:rsid w:val="00BD7C57"/>
    <w:rsid w:val="00BD7FB0"/>
    <w:rsid w:val="00BE1D47"/>
    <w:rsid w:val="00BE2435"/>
    <w:rsid w:val="00BE3367"/>
    <w:rsid w:val="00BE4C6C"/>
    <w:rsid w:val="00BE5C4A"/>
    <w:rsid w:val="00BE7CB7"/>
    <w:rsid w:val="00BF3883"/>
    <w:rsid w:val="00BF4469"/>
    <w:rsid w:val="00BF7D83"/>
    <w:rsid w:val="00C0113E"/>
    <w:rsid w:val="00C021C8"/>
    <w:rsid w:val="00C02776"/>
    <w:rsid w:val="00C02C14"/>
    <w:rsid w:val="00C039EF"/>
    <w:rsid w:val="00C04AD8"/>
    <w:rsid w:val="00C05222"/>
    <w:rsid w:val="00C05A63"/>
    <w:rsid w:val="00C064D9"/>
    <w:rsid w:val="00C06A3D"/>
    <w:rsid w:val="00C06E08"/>
    <w:rsid w:val="00C110AC"/>
    <w:rsid w:val="00C12BFC"/>
    <w:rsid w:val="00C13583"/>
    <w:rsid w:val="00C159F0"/>
    <w:rsid w:val="00C1770E"/>
    <w:rsid w:val="00C21B5F"/>
    <w:rsid w:val="00C236D5"/>
    <w:rsid w:val="00C25C56"/>
    <w:rsid w:val="00C270E9"/>
    <w:rsid w:val="00C27E59"/>
    <w:rsid w:val="00C27F28"/>
    <w:rsid w:val="00C32327"/>
    <w:rsid w:val="00C3252C"/>
    <w:rsid w:val="00C3415D"/>
    <w:rsid w:val="00C366A1"/>
    <w:rsid w:val="00C366B1"/>
    <w:rsid w:val="00C36EC5"/>
    <w:rsid w:val="00C41C48"/>
    <w:rsid w:val="00C424CC"/>
    <w:rsid w:val="00C429C6"/>
    <w:rsid w:val="00C44B89"/>
    <w:rsid w:val="00C451C0"/>
    <w:rsid w:val="00C45D87"/>
    <w:rsid w:val="00C46B30"/>
    <w:rsid w:val="00C479AE"/>
    <w:rsid w:val="00C50003"/>
    <w:rsid w:val="00C50D34"/>
    <w:rsid w:val="00C556AB"/>
    <w:rsid w:val="00C56B57"/>
    <w:rsid w:val="00C570D1"/>
    <w:rsid w:val="00C57E58"/>
    <w:rsid w:val="00C61CF2"/>
    <w:rsid w:val="00C62510"/>
    <w:rsid w:val="00C6292A"/>
    <w:rsid w:val="00C62C80"/>
    <w:rsid w:val="00C62EAB"/>
    <w:rsid w:val="00C63BE1"/>
    <w:rsid w:val="00C65616"/>
    <w:rsid w:val="00C65B49"/>
    <w:rsid w:val="00C67577"/>
    <w:rsid w:val="00C6773D"/>
    <w:rsid w:val="00C73553"/>
    <w:rsid w:val="00C762F1"/>
    <w:rsid w:val="00C7752B"/>
    <w:rsid w:val="00C77C3C"/>
    <w:rsid w:val="00C80359"/>
    <w:rsid w:val="00C80F6E"/>
    <w:rsid w:val="00C816FF"/>
    <w:rsid w:val="00C858ED"/>
    <w:rsid w:val="00C85A4D"/>
    <w:rsid w:val="00C85B3E"/>
    <w:rsid w:val="00C8684F"/>
    <w:rsid w:val="00C87534"/>
    <w:rsid w:val="00C90269"/>
    <w:rsid w:val="00C91C99"/>
    <w:rsid w:val="00C92F75"/>
    <w:rsid w:val="00C93304"/>
    <w:rsid w:val="00C9332F"/>
    <w:rsid w:val="00C933A5"/>
    <w:rsid w:val="00C936D7"/>
    <w:rsid w:val="00C96738"/>
    <w:rsid w:val="00C97CC0"/>
    <w:rsid w:val="00CA29D0"/>
    <w:rsid w:val="00CA2E18"/>
    <w:rsid w:val="00CA406C"/>
    <w:rsid w:val="00CA4690"/>
    <w:rsid w:val="00CA4BD2"/>
    <w:rsid w:val="00CA55E8"/>
    <w:rsid w:val="00CA7E84"/>
    <w:rsid w:val="00CB33C9"/>
    <w:rsid w:val="00CB3899"/>
    <w:rsid w:val="00CB7D1A"/>
    <w:rsid w:val="00CB7DF1"/>
    <w:rsid w:val="00CC1551"/>
    <w:rsid w:val="00CC32C2"/>
    <w:rsid w:val="00CC33B2"/>
    <w:rsid w:val="00CC5A4C"/>
    <w:rsid w:val="00CC7C18"/>
    <w:rsid w:val="00CD0E1B"/>
    <w:rsid w:val="00CD11CA"/>
    <w:rsid w:val="00CD1D8F"/>
    <w:rsid w:val="00CD1FB2"/>
    <w:rsid w:val="00CD2B00"/>
    <w:rsid w:val="00CD3E9C"/>
    <w:rsid w:val="00CD54E0"/>
    <w:rsid w:val="00CD6D3E"/>
    <w:rsid w:val="00CD746B"/>
    <w:rsid w:val="00CE29AD"/>
    <w:rsid w:val="00CE5018"/>
    <w:rsid w:val="00CE5666"/>
    <w:rsid w:val="00CE5B66"/>
    <w:rsid w:val="00CE7443"/>
    <w:rsid w:val="00CF0CFC"/>
    <w:rsid w:val="00CF3535"/>
    <w:rsid w:val="00CF42E9"/>
    <w:rsid w:val="00CF4AD8"/>
    <w:rsid w:val="00D05CEF"/>
    <w:rsid w:val="00D06970"/>
    <w:rsid w:val="00D06C8D"/>
    <w:rsid w:val="00D07946"/>
    <w:rsid w:val="00D10063"/>
    <w:rsid w:val="00D107C1"/>
    <w:rsid w:val="00D1130D"/>
    <w:rsid w:val="00D12458"/>
    <w:rsid w:val="00D12D60"/>
    <w:rsid w:val="00D1367F"/>
    <w:rsid w:val="00D14653"/>
    <w:rsid w:val="00D154E9"/>
    <w:rsid w:val="00D160D8"/>
    <w:rsid w:val="00D16ED3"/>
    <w:rsid w:val="00D209C5"/>
    <w:rsid w:val="00D21AEE"/>
    <w:rsid w:val="00D22969"/>
    <w:rsid w:val="00D23397"/>
    <w:rsid w:val="00D239E0"/>
    <w:rsid w:val="00D23C68"/>
    <w:rsid w:val="00D243CD"/>
    <w:rsid w:val="00D24429"/>
    <w:rsid w:val="00D25185"/>
    <w:rsid w:val="00D25777"/>
    <w:rsid w:val="00D263C0"/>
    <w:rsid w:val="00D26B88"/>
    <w:rsid w:val="00D27158"/>
    <w:rsid w:val="00D27C8B"/>
    <w:rsid w:val="00D30643"/>
    <w:rsid w:val="00D30DDF"/>
    <w:rsid w:val="00D31BB2"/>
    <w:rsid w:val="00D31C09"/>
    <w:rsid w:val="00D31FB1"/>
    <w:rsid w:val="00D3318C"/>
    <w:rsid w:val="00D335CA"/>
    <w:rsid w:val="00D33C17"/>
    <w:rsid w:val="00D345EB"/>
    <w:rsid w:val="00D36765"/>
    <w:rsid w:val="00D37ABA"/>
    <w:rsid w:val="00D37AED"/>
    <w:rsid w:val="00D448AF"/>
    <w:rsid w:val="00D45034"/>
    <w:rsid w:val="00D454A1"/>
    <w:rsid w:val="00D46544"/>
    <w:rsid w:val="00D534C9"/>
    <w:rsid w:val="00D54F7B"/>
    <w:rsid w:val="00D5572C"/>
    <w:rsid w:val="00D55E69"/>
    <w:rsid w:val="00D5649A"/>
    <w:rsid w:val="00D57A7E"/>
    <w:rsid w:val="00D60DEE"/>
    <w:rsid w:val="00D621D9"/>
    <w:rsid w:val="00D62506"/>
    <w:rsid w:val="00D64335"/>
    <w:rsid w:val="00D64B5C"/>
    <w:rsid w:val="00D656CA"/>
    <w:rsid w:val="00D6682B"/>
    <w:rsid w:val="00D67D71"/>
    <w:rsid w:val="00D70493"/>
    <w:rsid w:val="00D709FB"/>
    <w:rsid w:val="00D70DB6"/>
    <w:rsid w:val="00D8068F"/>
    <w:rsid w:val="00D806C9"/>
    <w:rsid w:val="00D807DD"/>
    <w:rsid w:val="00D8390B"/>
    <w:rsid w:val="00D848A8"/>
    <w:rsid w:val="00D85889"/>
    <w:rsid w:val="00D85C4D"/>
    <w:rsid w:val="00D869A7"/>
    <w:rsid w:val="00D86C35"/>
    <w:rsid w:val="00D908DB"/>
    <w:rsid w:val="00D9183D"/>
    <w:rsid w:val="00D92A8F"/>
    <w:rsid w:val="00D966A7"/>
    <w:rsid w:val="00D97655"/>
    <w:rsid w:val="00DA117C"/>
    <w:rsid w:val="00DA3BA6"/>
    <w:rsid w:val="00DA4B0F"/>
    <w:rsid w:val="00DA4BBE"/>
    <w:rsid w:val="00DA7E39"/>
    <w:rsid w:val="00DB297D"/>
    <w:rsid w:val="00DB322F"/>
    <w:rsid w:val="00DC1820"/>
    <w:rsid w:val="00DC19CA"/>
    <w:rsid w:val="00DC23D8"/>
    <w:rsid w:val="00DC28D7"/>
    <w:rsid w:val="00DC2C66"/>
    <w:rsid w:val="00DC4876"/>
    <w:rsid w:val="00DC5E03"/>
    <w:rsid w:val="00DC605B"/>
    <w:rsid w:val="00DC6772"/>
    <w:rsid w:val="00DD1C2C"/>
    <w:rsid w:val="00DD349E"/>
    <w:rsid w:val="00DD5385"/>
    <w:rsid w:val="00DE029D"/>
    <w:rsid w:val="00DE065E"/>
    <w:rsid w:val="00DE0B4E"/>
    <w:rsid w:val="00DE250F"/>
    <w:rsid w:val="00DE2E83"/>
    <w:rsid w:val="00DE31AB"/>
    <w:rsid w:val="00DE3562"/>
    <w:rsid w:val="00DE37BD"/>
    <w:rsid w:val="00DE3D04"/>
    <w:rsid w:val="00DE50E3"/>
    <w:rsid w:val="00DE7062"/>
    <w:rsid w:val="00DF09CA"/>
    <w:rsid w:val="00DF0D49"/>
    <w:rsid w:val="00DF3EFA"/>
    <w:rsid w:val="00DF515B"/>
    <w:rsid w:val="00DF5D1F"/>
    <w:rsid w:val="00DF610D"/>
    <w:rsid w:val="00E006F8"/>
    <w:rsid w:val="00E02FE4"/>
    <w:rsid w:val="00E04FCC"/>
    <w:rsid w:val="00E077FB"/>
    <w:rsid w:val="00E079CE"/>
    <w:rsid w:val="00E11FA7"/>
    <w:rsid w:val="00E126EF"/>
    <w:rsid w:val="00E12FF9"/>
    <w:rsid w:val="00E136AC"/>
    <w:rsid w:val="00E15DA1"/>
    <w:rsid w:val="00E16DFD"/>
    <w:rsid w:val="00E178A2"/>
    <w:rsid w:val="00E17A0B"/>
    <w:rsid w:val="00E209B3"/>
    <w:rsid w:val="00E20D6B"/>
    <w:rsid w:val="00E21FE1"/>
    <w:rsid w:val="00E2275E"/>
    <w:rsid w:val="00E22A48"/>
    <w:rsid w:val="00E233BC"/>
    <w:rsid w:val="00E24B23"/>
    <w:rsid w:val="00E27F26"/>
    <w:rsid w:val="00E3033B"/>
    <w:rsid w:val="00E3049C"/>
    <w:rsid w:val="00E30809"/>
    <w:rsid w:val="00E333A9"/>
    <w:rsid w:val="00E339BF"/>
    <w:rsid w:val="00E33C55"/>
    <w:rsid w:val="00E340EE"/>
    <w:rsid w:val="00E3473E"/>
    <w:rsid w:val="00E35949"/>
    <w:rsid w:val="00E35FA5"/>
    <w:rsid w:val="00E408D2"/>
    <w:rsid w:val="00E42432"/>
    <w:rsid w:val="00E43F42"/>
    <w:rsid w:val="00E47248"/>
    <w:rsid w:val="00E47903"/>
    <w:rsid w:val="00E50EFF"/>
    <w:rsid w:val="00E541EF"/>
    <w:rsid w:val="00E55627"/>
    <w:rsid w:val="00E560E6"/>
    <w:rsid w:val="00E62387"/>
    <w:rsid w:val="00E62948"/>
    <w:rsid w:val="00E635A2"/>
    <w:rsid w:val="00E6588F"/>
    <w:rsid w:val="00E65D30"/>
    <w:rsid w:val="00E67427"/>
    <w:rsid w:val="00E67578"/>
    <w:rsid w:val="00E71825"/>
    <w:rsid w:val="00E72BF8"/>
    <w:rsid w:val="00E733BE"/>
    <w:rsid w:val="00E761C3"/>
    <w:rsid w:val="00E77510"/>
    <w:rsid w:val="00E80139"/>
    <w:rsid w:val="00E80ED3"/>
    <w:rsid w:val="00E80ED6"/>
    <w:rsid w:val="00E838DF"/>
    <w:rsid w:val="00E85210"/>
    <w:rsid w:val="00E875E3"/>
    <w:rsid w:val="00E9621E"/>
    <w:rsid w:val="00E96BE3"/>
    <w:rsid w:val="00E97A36"/>
    <w:rsid w:val="00EA0371"/>
    <w:rsid w:val="00EA1FEB"/>
    <w:rsid w:val="00EA2E00"/>
    <w:rsid w:val="00EA39D4"/>
    <w:rsid w:val="00EA5C6F"/>
    <w:rsid w:val="00EA76E2"/>
    <w:rsid w:val="00EA7E21"/>
    <w:rsid w:val="00EB155A"/>
    <w:rsid w:val="00EB1FBC"/>
    <w:rsid w:val="00EB332C"/>
    <w:rsid w:val="00EB3CC2"/>
    <w:rsid w:val="00EB3F70"/>
    <w:rsid w:val="00EB4A80"/>
    <w:rsid w:val="00EB560C"/>
    <w:rsid w:val="00EB763A"/>
    <w:rsid w:val="00EB770E"/>
    <w:rsid w:val="00EC12EF"/>
    <w:rsid w:val="00EC1F59"/>
    <w:rsid w:val="00EC6D43"/>
    <w:rsid w:val="00EC7999"/>
    <w:rsid w:val="00ED19DF"/>
    <w:rsid w:val="00ED7B42"/>
    <w:rsid w:val="00EE0420"/>
    <w:rsid w:val="00EE1540"/>
    <w:rsid w:val="00EE294B"/>
    <w:rsid w:val="00EE42C6"/>
    <w:rsid w:val="00EE47C8"/>
    <w:rsid w:val="00EE4DA7"/>
    <w:rsid w:val="00EE726E"/>
    <w:rsid w:val="00EF30CA"/>
    <w:rsid w:val="00EF3D56"/>
    <w:rsid w:val="00EF49E5"/>
    <w:rsid w:val="00F0076E"/>
    <w:rsid w:val="00F019F8"/>
    <w:rsid w:val="00F06CD8"/>
    <w:rsid w:val="00F07956"/>
    <w:rsid w:val="00F10116"/>
    <w:rsid w:val="00F107AF"/>
    <w:rsid w:val="00F10F58"/>
    <w:rsid w:val="00F121C3"/>
    <w:rsid w:val="00F12E5D"/>
    <w:rsid w:val="00F15E16"/>
    <w:rsid w:val="00F1640A"/>
    <w:rsid w:val="00F17AC4"/>
    <w:rsid w:val="00F21090"/>
    <w:rsid w:val="00F25A61"/>
    <w:rsid w:val="00F25C38"/>
    <w:rsid w:val="00F27EF2"/>
    <w:rsid w:val="00F31214"/>
    <w:rsid w:val="00F317FB"/>
    <w:rsid w:val="00F32116"/>
    <w:rsid w:val="00F32670"/>
    <w:rsid w:val="00F329CC"/>
    <w:rsid w:val="00F329F1"/>
    <w:rsid w:val="00F331AB"/>
    <w:rsid w:val="00F339E7"/>
    <w:rsid w:val="00F343AA"/>
    <w:rsid w:val="00F36020"/>
    <w:rsid w:val="00F36EF3"/>
    <w:rsid w:val="00F3714C"/>
    <w:rsid w:val="00F375E5"/>
    <w:rsid w:val="00F4018D"/>
    <w:rsid w:val="00F40529"/>
    <w:rsid w:val="00F41417"/>
    <w:rsid w:val="00F41D87"/>
    <w:rsid w:val="00F443BF"/>
    <w:rsid w:val="00F44B92"/>
    <w:rsid w:val="00F45084"/>
    <w:rsid w:val="00F45322"/>
    <w:rsid w:val="00F46754"/>
    <w:rsid w:val="00F46A03"/>
    <w:rsid w:val="00F50B5E"/>
    <w:rsid w:val="00F50D5A"/>
    <w:rsid w:val="00F57DE6"/>
    <w:rsid w:val="00F605E9"/>
    <w:rsid w:val="00F6244F"/>
    <w:rsid w:val="00F6307D"/>
    <w:rsid w:val="00F63D30"/>
    <w:rsid w:val="00F642F9"/>
    <w:rsid w:val="00F64C5D"/>
    <w:rsid w:val="00F6756B"/>
    <w:rsid w:val="00F6792E"/>
    <w:rsid w:val="00F703D8"/>
    <w:rsid w:val="00F71A24"/>
    <w:rsid w:val="00F73251"/>
    <w:rsid w:val="00F748DB"/>
    <w:rsid w:val="00F757B8"/>
    <w:rsid w:val="00F77929"/>
    <w:rsid w:val="00F77AE8"/>
    <w:rsid w:val="00F77CE9"/>
    <w:rsid w:val="00F804DA"/>
    <w:rsid w:val="00F817D7"/>
    <w:rsid w:val="00F81A7B"/>
    <w:rsid w:val="00F83313"/>
    <w:rsid w:val="00F85125"/>
    <w:rsid w:val="00F851B5"/>
    <w:rsid w:val="00F858FE"/>
    <w:rsid w:val="00F8629D"/>
    <w:rsid w:val="00F868EA"/>
    <w:rsid w:val="00F86C13"/>
    <w:rsid w:val="00F908CC"/>
    <w:rsid w:val="00F93F25"/>
    <w:rsid w:val="00F962B0"/>
    <w:rsid w:val="00FA0889"/>
    <w:rsid w:val="00FA2460"/>
    <w:rsid w:val="00FA36A5"/>
    <w:rsid w:val="00FA4DFC"/>
    <w:rsid w:val="00FA50CE"/>
    <w:rsid w:val="00FA6E8D"/>
    <w:rsid w:val="00FA7342"/>
    <w:rsid w:val="00FB0567"/>
    <w:rsid w:val="00FB05B7"/>
    <w:rsid w:val="00FB0FBB"/>
    <w:rsid w:val="00FB3664"/>
    <w:rsid w:val="00FB3C3A"/>
    <w:rsid w:val="00FB5AAA"/>
    <w:rsid w:val="00FC1BCF"/>
    <w:rsid w:val="00FC280D"/>
    <w:rsid w:val="00FD0C85"/>
    <w:rsid w:val="00FD28B6"/>
    <w:rsid w:val="00FD2DAC"/>
    <w:rsid w:val="00FD4608"/>
    <w:rsid w:val="00FD4D1A"/>
    <w:rsid w:val="00FD6D12"/>
    <w:rsid w:val="00FE028F"/>
    <w:rsid w:val="00FE03EC"/>
    <w:rsid w:val="00FE0ECF"/>
    <w:rsid w:val="00FE297B"/>
    <w:rsid w:val="00FE345D"/>
    <w:rsid w:val="00FE3DF5"/>
    <w:rsid w:val="00FE5895"/>
    <w:rsid w:val="00FE5AE7"/>
    <w:rsid w:val="00FE6406"/>
    <w:rsid w:val="00FE6F5E"/>
    <w:rsid w:val="00FF05A3"/>
    <w:rsid w:val="00FF1AD7"/>
    <w:rsid w:val="00FF1D04"/>
    <w:rsid w:val="00FF1DD7"/>
    <w:rsid w:val="00FF320E"/>
    <w:rsid w:val="00FF36C1"/>
    <w:rsid w:val="00FF3C68"/>
    <w:rsid w:val="00FF3CEB"/>
    <w:rsid w:val="00FF4DC2"/>
    <w:rsid w:val="00FF6189"/>
    <w:rsid w:val="00FF754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C3F7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E079CE"/>
    <w:pPr>
      <w:spacing w:before="120" w:after="240"/>
      <w:jc w:val="both"/>
    </w:pPr>
    <w:rPr>
      <w:rFonts w:asciiTheme="minorHAnsi" w:hAnsiTheme="minorHAnsi" w:cstheme="minorHAnsi"/>
      <w:sz w:val="22"/>
      <w:szCs w:val="22"/>
    </w:rPr>
  </w:style>
  <w:style w:type="paragraph" w:styleId="Heading1">
    <w:name w:val="heading 1"/>
    <w:basedOn w:val="Normal"/>
    <w:next w:val="Normal"/>
    <w:link w:val="Heading1Char"/>
    <w:qFormat/>
    <w:rsid w:val="00C12BFC"/>
    <w:pPr>
      <w:keepNext/>
      <w:pageBreakBefore/>
      <w:spacing w:after="120"/>
      <w:outlineLvl w:val="0"/>
    </w:pPr>
    <w:rPr>
      <w:b/>
      <w:bCs/>
      <w:caps/>
      <w:kern w:val="32"/>
      <w:sz w:val="32"/>
      <w:szCs w:val="32"/>
    </w:rPr>
  </w:style>
  <w:style w:type="paragraph" w:styleId="Heading2">
    <w:name w:val="heading 2"/>
    <w:aliases w:val="2nd Level Heading"/>
    <w:basedOn w:val="Normal"/>
    <w:next w:val="Normal"/>
    <w:link w:val="Heading2Char"/>
    <w:qFormat/>
    <w:rsid w:val="00D848A8"/>
    <w:pPr>
      <w:spacing w:before="240" w:line="360" w:lineRule="auto"/>
      <w:outlineLvl w:val="1"/>
    </w:pPr>
    <w:rPr>
      <w:b/>
      <w:sz w:val="24"/>
    </w:rPr>
  </w:style>
  <w:style w:type="paragraph" w:styleId="Heading3">
    <w:name w:val="heading 3"/>
    <w:aliases w:val="3rd Level Heading"/>
    <w:basedOn w:val="Normal"/>
    <w:next w:val="Normal"/>
    <w:link w:val="Heading3Char"/>
    <w:uiPriority w:val="9"/>
    <w:qFormat/>
    <w:rsid w:val="0015270F"/>
    <w:pPr>
      <w:numPr>
        <w:numId w:val="12"/>
      </w:numPr>
      <w:spacing w:before="240"/>
      <w:outlineLvl w:val="2"/>
    </w:pPr>
    <w:rPr>
      <w:b/>
    </w:rPr>
  </w:style>
  <w:style w:type="paragraph" w:styleId="Heading4">
    <w:name w:val="heading 4"/>
    <w:aliases w:val="4th Level Heading"/>
    <w:basedOn w:val="Normal"/>
    <w:next w:val="Normal"/>
    <w:link w:val="Heading4Char"/>
    <w:uiPriority w:val="9"/>
    <w:qFormat/>
    <w:rsid w:val="00FC280D"/>
    <w:pPr>
      <w:outlineLvl w:val="3"/>
    </w:pPr>
    <w:rPr>
      <w:b/>
      <w:i/>
    </w:rPr>
  </w:style>
  <w:style w:type="paragraph" w:styleId="Heading5">
    <w:name w:val="heading 5"/>
    <w:basedOn w:val="Normal"/>
    <w:next w:val="Normal"/>
    <w:link w:val="Heading5Char"/>
    <w:uiPriority w:val="9"/>
    <w:unhideWhenUsed/>
    <w:qFormat/>
    <w:rsid w:val="008D3A01"/>
    <w:pPr>
      <w:keepNext/>
      <w:keepLines/>
      <w:spacing w:before="200" w:line="276" w:lineRule="auto"/>
      <w:ind w:left="1008" w:hanging="1008"/>
      <w:jc w:val="left"/>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5E0A0B"/>
    <w:pPr>
      <w:spacing w:after="0" w:line="276" w:lineRule="auto"/>
      <w:jc w:val="left"/>
      <w:outlineLvl w:val="5"/>
    </w:pPr>
    <w:rPr>
      <w:rFonts w:eastAsiaTheme="minorEastAsia" w:cstheme="minorBidi"/>
      <w:smallCaps/>
      <w:color w:val="C0504D" w:themeColor="accent2"/>
      <w:spacing w:val="5"/>
      <w:szCs w:val="20"/>
      <w:lang w:eastAsia="en-US"/>
    </w:rPr>
  </w:style>
  <w:style w:type="paragraph" w:styleId="Heading7">
    <w:name w:val="heading 7"/>
    <w:basedOn w:val="Normal"/>
    <w:next w:val="Normal"/>
    <w:link w:val="Heading7Char"/>
    <w:uiPriority w:val="9"/>
    <w:semiHidden/>
    <w:unhideWhenUsed/>
    <w:qFormat/>
    <w:rsid w:val="005E0A0B"/>
    <w:pPr>
      <w:spacing w:after="0" w:line="276" w:lineRule="auto"/>
      <w:jc w:val="left"/>
      <w:outlineLvl w:val="6"/>
    </w:pPr>
    <w:rPr>
      <w:rFonts w:eastAsiaTheme="minorEastAsia" w:cstheme="minorBidi"/>
      <w:b/>
      <w:smallCaps/>
      <w:color w:val="C0504D" w:themeColor="accent2"/>
      <w:spacing w:val="10"/>
      <w:szCs w:val="20"/>
      <w:lang w:eastAsia="en-US"/>
    </w:rPr>
  </w:style>
  <w:style w:type="paragraph" w:styleId="Heading8">
    <w:name w:val="heading 8"/>
    <w:basedOn w:val="Normal"/>
    <w:next w:val="Normal"/>
    <w:link w:val="Heading8Char"/>
    <w:uiPriority w:val="9"/>
    <w:semiHidden/>
    <w:unhideWhenUsed/>
    <w:qFormat/>
    <w:rsid w:val="005E0A0B"/>
    <w:pPr>
      <w:spacing w:after="0" w:line="276" w:lineRule="auto"/>
      <w:jc w:val="left"/>
      <w:outlineLvl w:val="7"/>
    </w:pPr>
    <w:rPr>
      <w:rFonts w:eastAsiaTheme="minorEastAsia" w:cstheme="minorBidi"/>
      <w:b/>
      <w:i/>
      <w:smallCaps/>
      <w:color w:val="943634" w:themeColor="accent2" w:themeShade="BF"/>
      <w:szCs w:val="20"/>
      <w:lang w:eastAsia="en-US"/>
    </w:rPr>
  </w:style>
  <w:style w:type="paragraph" w:styleId="Heading9">
    <w:name w:val="heading 9"/>
    <w:basedOn w:val="Normal"/>
    <w:next w:val="Normal"/>
    <w:link w:val="Heading9Char"/>
    <w:uiPriority w:val="9"/>
    <w:semiHidden/>
    <w:unhideWhenUsed/>
    <w:qFormat/>
    <w:rsid w:val="005E0A0B"/>
    <w:pPr>
      <w:spacing w:after="0" w:line="276" w:lineRule="auto"/>
      <w:jc w:val="left"/>
      <w:outlineLvl w:val="8"/>
    </w:pPr>
    <w:rPr>
      <w:rFonts w:eastAsiaTheme="minorEastAsia" w:cstheme="minorBidi"/>
      <w:b/>
      <w:i/>
      <w:smallCaps/>
      <w:color w:val="622423" w:themeColor="accent2" w:themeShade="7F"/>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link w:val="BodyTextChar"/>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uiPriority w:val="99"/>
    <w:rsid w:val="0024505B"/>
    <w:pPr>
      <w:tabs>
        <w:tab w:val="center" w:pos="4320"/>
        <w:tab w:val="right" w:pos="8640"/>
      </w:tabs>
    </w:pPr>
  </w:style>
  <w:style w:type="paragraph" w:styleId="Footer">
    <w:name w:val="footer"/>
    <w:basedOn w:val="Normal"/>
    <w:link w:val="FooterChar"/>
    <w:uiPriority w:val="99"/>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link w:val="CommentSubjectChar"/>
    <w:uiPriority w:val="99"/>
    <w:semiHidden/>
    <w:rsid w:val="005B0BB8"/>
    <w:rPr>
      <w:b/>
      <w:bCs/>
    </w:rPr>
  </w:style>
  <w:style w:type="paragraph" w:styleId="BalloonText">
    <w:name w:val="Balloon Text"/>
    <w:basedOn w:val="Normal"/>
    <w:link w:val="BalloonTextChar"/>
    <w:uiPriority w:val="99"/>
    <w:semiHidden/>
    <w:rsid w:val="005B0BB8"/>
    <w:rPr>
      <w:rFonts w:ascii="Tahoma" w:hAnsi="Tahoma" w:cs="Tahoma"/>
      <w:sz w:val="16"/>
      <w:szCs w:val="16"/>
    </w:rPr>
  </w:style>
  <w:style w:type="paragraph" w:styleId="DocumentMap">
    <w:name w:val="Document Map"/>
    <w:basedOn w:val="Normal"/>
    <w:link w:val="DocumentMapChar"/>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uiPriority w:val="99"/>
    <w:qFormat/>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1758C6"/>
    <w:pPr>
      <w:tabs>
        <w:tab w:val="left" w:pos="480"/>
        <w:tab w:val="right" w:leader="dot" w:pos="9600"/>
      </w:tabs>
      <w:spacing w:before="0" w:after="0"/>
      <w:ind w:left="288" w:hanging="288"/>
    </w:pPr>
    <w:rPr>
      <w:b/>
      <w:szCs w:val="20"/>
      <w:lang w:val="en-US" w:eastAsia="en-US"/>
    </w:rPr>
  </w:style>
  <w:style w:type="paragraph" w:styleId="TOC2">
    <w:name w:val="toc 2"/>
    <w:basedOn w:val="Normal"/>
    <w:next w:val="Normal"/>
    <w:autoRedefine/>
    <w:uiPriority w:val="39"/>
    <w:qFormat/>
    <w:rsid w:val="001758C6"/>
    <w:pPr>
      <w:tabs>
        <w:tab w:val="left" w:pos="1080"/>
        <w:tab w:val="right" w:leader="dot" w:pos="9600"/>
      </w:tabs>
      <w:spacing w:before="0" w:after="0"/>
      <w:ind w:left="245"/>
    </w:pPr>
    <w:rPr>
      <w:b/>
      <w:bCs/>
      <w:iCs/>
      <w:szCs w:val="20"/>
      <w:lang w:eastAsia="en-US"/>
    </w:rPr>
  </w:style>
  <w:style w:type="paragraph" w:styleId="TOC3">
    <w:name w:val="toc 3"/>
    <w:basedOn w:val="Normal"/>
    <w:next w:val="Normal"/>
    <w:autoRedefine/>
    <w:uiPriority w:val="39"/>
    <w:qFormat/>
    <w:rsid w:val="001758C6"/>
    <w:pPr>
      <w:tabs>
        <w:tab w:val="left" w:pos="1560"/>
        <w:tab w:val="right" w:leader="dot" w:pos="9600"/>
      </w:tabs>
      <w:spacing w:before="0" w:after="0"/>
      <w:ind w:left="706"/>
    </w:pPr>
    <w:rPr>
      <w:b/>
      <w:iCs/>
      <w:szCs w:val="20"/>
      <w:lang w:eastAsia="en-US"/>
    </w:rPr>
  </w:style>
  <w:style w:type="paragraph" w:styleId="HTMLPreformatted">
    <w:name w:val="HTML Preformatted"/>
    <w:basedOn w:val="Normal"/>
    <w:link w:val="HTMLPreformattedChar"/>
    <w:uiPriority w:val="99"/>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tabs>
        <w:tab w:val="right" w:leader="dot" w:pos="9563"/>
      </w:tabs>
      <w:ind w:left="3060" w:hanging="1500"/>
    </w:p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uiPriority w:val="99"/>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1"/>
      </w:numPr>
    </w:pPr>
  </w:style>
  <w:style w:type="paragraph" w:styleId="FootnoteText">
    <w:name w:val="footnote text"/>
    <w:basedOn w:val="Normal"/>
    <w:link w:val="FootnoteTextChar"/>
    <w:uiPriority w:val="99"/>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uiPriority w:val="99"/>
    <w:rsid w:val="005E30FE"/>
    <w:rPr>
      <w:rFonts w:ascii="Arial" w:hAnsi="Arial"/>
      <w:sz w:val="18"/>
      <w:lang w:eastAsia="en-US"/>
    </w:rPr>
  </w:style>
  <w:style w:type="character" w:styleId="FootnoteReference">
    <w:name w:val="footnote reference"/>
    <w:aliases w:val="Footnote symbol"/>
    <w:uiPriority w:val="99"/>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uiPriority w:val="99"/>
    <w:rsid w:val="005E30FE"/>
    <w:rPr>
      <w:rFonts w:asciiTheme="minorHAnsi" w:hAnsiTheme="minorHAnsi" w:cstheme="minorHAnsi"/>
      <w:sz w:val="22"/>
      <w:szCs w:val="22"/>
    </w:rPr>
  </w:style>
  <w:style w:type="character" w:customStyle="1" w:styleId="Heading1Char">
    <w:name w:val="Heading 1 Char"/>
    <w:link w:val="Heading1"/>
    <w:rsid w:val="00C12BFC"/>
    <w:rPr>
      <w:rFonts w:asciiTheme="minorHAnsi" w:hAnsiTheme="minorHAnsi" w:cstheme="minorHAnsi"/>
      <w:b/>
      <w:bCs/>
      <w:caps/>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2"/>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iPriority w:val="35"/>
    <w:qFormat/>
    <w:rsid w:val="0083263F"/>
    <w:pPr>
      <w:tabs>
        <w:tab w:val="left" w:pos="1134"/>
      </w:tabs>
      <w:spacing w:after="120"/>
      <w:ind w:left="1134" w:hanging="1134"/>
      <w:jc w:val="left"/>
    </w:pPr>
    <w:rPr>
      <w:rFonts w:ascii="Calibri" w:hAnsi="Calibri" w:cs="Times New Roman"/>
      <w:color w:val="17365D" w:themeColor="text2" w:themeShade="BF"/>
      <w:szCs w:val="20"/>
      <w:lang w:val="en-GB" w:eastAsia="en-US"/>
    </w:rPr>
  </w:style>
  <w:style w:type="paragraph" w:customStyle="1" w:styleId="Heading10">
    <w:name w:val="Heading1"/>
    <w:basedOn w:val="Normal"/>
    <w:rsid w:val="005E30FE"/>
    <w:rPr>
      <w:rFonts w:ascii="Arial" w:hAnsi="Arial" w:cs="Times New Roman"/>
      <w:b/>
      <w:bCs/>
      <w:szCs w:val="20"/>
    </w:rPr>
  </w:style>
  <w:style w:type="character" w:customStyle="1" w:styleId="Heading20">
    <w:name w:val="Heading2"/>
    <w:qFormat/>
    <w:rsid w:val="00E11FA7"/>
    <w:rPr>
      <w:rFonts w:ascii="Calibri" w:hAnsi="Calibri"/>
      <w:b/>
      <w:bCs/>
      <w:i w:val="0"/>
      <w:iCs/>
      <w:sz w:val="24"/>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B837D4"/>
    <w:rPr>
      <w:rFonts w:ascii="Calibri" w:hAnsi="Calibri" w:cs="Times New Roman"/>
      <w:b/>
      <w:bCs/>
      <w:szCs w:val="20"/>
    </w:rPr>
  </w:style>
  <w:style w:type="paragraph" w:styleId="NormalWeb">
    <w:name w:val="Normal (Web)"/>
    <w:basedOn w:val="Normal"/>
    <w:uiPriority w:val="99"/>
    <w:rsid w:val="008D3A01"/>
    <w:pPr>
      <w:spacing w:before="100" w:beforeAutospacing="1" w:after="120" w:line="360" w:lineRule="auto"/>
    </w:pPr>
    <w:rPr>
      <w:rFonts w:ascii="Calibri" w:hAnsi="Calibri" w:cs="Times New Roman"/>
      <w:color w:val="333333"/>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D848A8"/>
    <w:rPr>
      <w:rFonts w:asciiTheme="minorHAnsi" w:hAnsiTheme="minorHAnsi" w:cstheme="minorHAnsi"/>
      <w:b/>
      <w:sz w:val="24"/>
      <w:szCs w:val="22"/>
    </w:rPr>
  </w:style>
  <w:style w:type="character" w:customStyle="1" w:styleId="Heading3Char">
    <w:name w:val="Heading 3 Char"/>
    <w:aliases w:val="3rd Level Heading Char"/>
    <w:link w:val="Heading3"/>
    <w:uiPriority w:val="9"/>
    <w:rsid w:val="0015270F"/>
    <w:rPr>
      <w:rFonts w:asciiTheme="minorHAnsi" w:hAnsiTheme="minorHAnsi" w:cstheme="minorHAnsi"/>
      <w:b/>
      <w:sz w:val="22"/>
      <w:szCs w:val="22"/>
    </w:rPr>
  </w:style>
  <w:style w:type="character" w:customStyle="1" w:styleId="Heading4Char">
    <w:name w:val="Heading 4 Char"/>
    <w:aliases w:val="4th Level Heading Char"/>
    <w:link w:val="Heading4"/>
    <w:uiPriority w:val="9"/>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FooterChar">
    <w:name w:val="Footer Char"/>
    <w:basedOn w:val="DefaultParagraphFont"/>
    <w:link w:val="Footer"/>
    <w:uiPriority w:val="99"/>
    <w:rsid w:val="008D3A01"/>
    <w:rPr>
      <w:rFonts w:asciiTheme="minorHAnsi" w:hAnsiTheme="minorHAnsi" w:cstheme="minorHAnsi"/>
      <w:sz w:val="22"/>
      <w:szCs w:val="22"/>
    </w:rPr>
  </w:style>
  <w:style w:type="table" w:styleId="TableClassic1">
    <w:name w:val="Table Classic 1"/>
    <w:basedOn w:val="TableNormal"/>
    <w:rsid w:val="008D3A01"/>
    <w:pPr>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link w:val="Caption"/>
    <w:locked/>
    <w:rsid w:val="0083263F"/>
    <w:rPr>
      <w:rFonts w:ascii="Calibri" w:hAnsi="Calibri"/>
      <w:color w:val="17365D" w:themeColor="text2" w:themeShade="BF"/>
      <w:sz w:val="22"/>
      <w:lang w:val="en-GB" w:eastAsia="en-US"/>
    </w:rPr>
  </w:style>
  <w:style w:type="paragraph" w:styleId="NoSpacing">
    <w:name w:val="No Spacing"/>
    <w:link w:val="NoSpacingChar"/>
    <w:uiPriority w:val="1"/>
    <w:qFormat/>
    <w:rsid w:val="008D3A01"/>
    <w:rPr>
      <w:rFonts w:asciiTheme="minorHAnsi" w:eastAsiaTheme="minorHAnsi" w:hAnsiTheme="minorHAnsi" w:cstheme="minorBidi"/>
      <w:sz w:val="22"/>
      <w:szCs w:val="22"/>
      <w:lang w:eastAsia="en-US"/>
    </w:rPr>
  </w:style>
  <w:style w:type="character" w:customStyle="1" w:styleId="Heading5Char">
    <w:name w:val="Heading 5 Char"/>
    <w:basedOn w:val="DefaultParagraphFont"/>
    <w:link w:val="Heading5"/>
    <w:uiPriority w:val="9"/>
    <w:rsid w:val="008D3A01"/>
    <w:rPr>
      <w:rFonts w:asciiTheme="majorHAnsi" w:eastAsiaTheme="majorEastAsia" w:hAnsiTheme="majorHAnsi" w:cstheme="majorBidi"/>
      <w:color w:val="243F60" w:themeColor="accent1" w:themeShade="7F"/>
      <w:sz w:val="22"/>
      <w:szCs w:val="22"/>
    </w:rPr>
  </w:style>
  <w:style w:type="character" w:customStyle="1" w:styleId="BalloonTextChar">
    <w:name w:val="Balloon Text Char"/>
    <w:basedOn w:val="DefaultParagraphFont"/>
    <w:link w:val="BalloonText"/>
    <w:uiPriority w:val="99"/>
    <w:semiHidden/>
    <w:rsid w:val="008D3A01"/>
    <w:rPr>
      <w:rFonts w:ascii="Tahoma" w:hAnsi="Tahoma" w:cs="Tahoma"/>
      <w:sz w:val="16"/>
      <w:szCs w:val="16"/>
    </w:rPr>
  </w:style>
  <w:style w:type="character" w:customStyle="1" w:styleId="maincenter">
    <w:name w:val="main_center"/>
    <w:basedOn w:val="DefaultParagraphFont"/>
    <w:rsid w:val="008D3A01"/>
  </w:style>
  <w:style w:type="paragraph" w:styleId="PlainText">
    <w:name w:val="Plain Text"/>
    <w:basedOn w:val="Normal"/>
    <w:link w:val="PlainTextChar"/>
    <w:uiPriority w:val="99"/>
    <w:rsid w:val="008D3A01"/>
    <w:pPr>
      <w:jc w:val="left"/>
    </w:pPr>
    <w:rPr>
      <w:rFonts w:ascii="Courier New" w:hAnsi="Courier New" w:cs="Courier New"/>
      <w:sz w:val="20"/>
      <w:szCs w:val="20"/>
      <w:lang w:val="en-US" w:eastAsia="en-US"/>
    </w:rPr>
  </w:style>
  <w:style w:type="character" w:customStyle="1" w:styleId="PlainTextChar">
    <w:name w:val="Plain Text Char"/>
    <w:basedOn w:val="DefaultParagraphFont"/>
    <w:link w:val="PlainText"/>
    <w:uiPriority w:val="99"/>
    <w:rsid w:val="008D3A01"/>
    <w:rPr>
      <w:rFonts w:ascii="Courier New" w:hAnsi="Courier New" w:cs="Courier New"/>
      <w:lang w:val="en-US" w:eastAsia="en-US"/>
    </w:rPr>
  </w:style>
  <w:style w:type="character" w:customStyle="1" w:styleId="CommentSubjectChar">
    <w:name w:val="Comment Subject Char"/>
    <w:basedOn w:val="CommentTextChar"/>
    <w:link w:val="CommentSubject"/>
    <w:uiPriority w:val="99"/>
    <w:semiHidden/>
    <w:rsid w:val="008D3A01"/>
    <w:rPr>
      <w:rFonts w:asciiTheme="minorHAnsi" w:hAnsiTheme="minorHAnsi" w:cstheme="minorHAnsi"/>
      <w:b/>
      <w:bCs/>
    </w:rPr>
  </w:style>
  <w:style w:type="paragraph" w:styleId="BodyTextIndent">
    <w:name w:val="Body Text Indent"/>
    <w:basedOn w:val="Normal"/>
    <w:link w:val="BodyTextIndentChar"/>
    <w:uiPriority w:val="99"/>
    <w:unhideWhenUsed/>
    <w:rsid w:val="008D3A01"/>
    <w:pPr>
      <w:spacing w:after="120"/>
      <w:ind w:left="567" w:hanging="567"/>
      <w:jc w:val="left"/>
    </w:pPr>
    <w:rPr>
      <w:rFonts w:ascii="Times New Roman" w:eastAsiaTheme="minorEastAsia" w:hAnsi="Times New Roman" w:cs="Times New Roman"/>
      <w:sz w:val="20"/>
      <w:szCs w:val="20"/>
      <w:lang w:eastAsia="ja-JP"/>
    </w:rPr>
  </w:style>
  <w:style w:type="character" w:customStyle="1" w:styleId="BodyTextIndentChar">
    <w:name w:val="Body Text Indent Char"/>
    <w:basedOn w:val="DefaultParagraphFont"/>
    <w:link w:val="BodyTextIndent"/>
    <w:uiPriority w:val="99"/>
    <w:rsid w:val="008D3A01"/>
    <w:rPr>
      <w:rFonts w:eastAsiaTheme="minorEastAsia"/>
      <w:lang w:eastAsia="ja-JP"/>
    </w:rPr>
  </w:style>
  <w:style w:type="paragraph" w:styleId="TOCHeading">
    <w:name w:val="TOC Heading"/>
    <w:basedOn w:val="Heading1"/>
    <w:next w:val="Normal"/>
    <w:uiPriority w:val="39"/>
    <w:unhideWhenUsed/>
    <w:qFormat/>
    <w:rsid w:val="005E0A0B"/>
    <w:pPr>
      <w:keepLines/>
      <w:spacing w:before="480" w:after="0"/>
      <w:outlineLvl w:val="9"/>
    </w:pPr>
    <w:rPr>
      <w:rFonts w:asciiTheme="majorHAnsi" w:eastAsiaTheme="majorEastAsia" w:hAnsiTheme="majorHAnsi" w:cstheme="majorBidi"/>
      <w:caps w:val="0"/>
      <w:color w:val="365F91" w:themeColor="accent1" w:themeShade="BF"/>
      <w:kern w:val="0"/>
      <w:sz w:val="28"/>
      <w:szCs w:val="28"/>
    </w:rPr>
  </w:style>
  <w:style w:type="character" w:customStyle="1" w:styleId="Heading6Char">
    <w:name w:val="Heading 6 Char"/>
    <w:basedOn w:val="DefaultParagraphFont"/>
    <w:link w:val="Heading6"/>
    <w:uiPriority w:val="9"/>
    <w:rsid w:val="005E0A0B"/>
    <w:rPr>
      <w:rFonts w:asciiTheme="minorHAnsi" w:eastAsiaTheme="minorEastAsia" w:hAnsiTheme="minorHAnsi" w:cstheme="minorBidi"/>
      <w:smallCaps/>
      <w:color w:val="C0504D" w:themeColor="accent2"/>
      <w:spacing w:val="5"/>
      <w:sz w:val="22"/>
      <w:lang w:eastAsia="en-US"/>
    </w:rPr>
  </w:style>
  <w:style w:type="character" w:customStyle="1" w:styleId="Heading7Char">
    <w:name w:val="Heading 7 Char"/>
    <w:basedOn w:val="DefaultParagraphFont"/>
    <w:link w:val="Heading7"/>
    <w:uiPriority w:val="9"/>
    <w:semiHidden/>
    <w:rsid w:val="005E0A0B"/>
    <w:rPr>
      <w:rFonts w:asciiTheme="minorHAnsi" w:eastAsiaTheme="minorEastAsia" w:hAnsiTheme="minorHAnsi" w:cstheme="minorBidi"/>
      <w:b/>
      <w:smallCaps/>
      <w:color w:val="C0504D" w:themeColor="accent2"/>
      <w:spacing w:val="10"/>
      <w:sz w:val="22"/>
      <w:lang w:eastAsia="en-US"/>
    </w:rPr>
  </w:style>
  <w:style w:type="character" w:customStyle="1" w:styleId="Heading8Char">
    <w:name w:val="Heading 8 Char"/>
    <w:basedOn w:val="DefaultParagraphFont"/>
    <w:link w:val="Heading8"/>
    <w:uiPriority w:val="9"/>
    <w:semiHidden/>
    <w:rsid w:val="005E0A0B"/>
    <w:rPr>
      <w:rFonts w:asciiTheme="minorHAnsi" w:eastAsiaTheme="minorEastAsia" w:hAnsiTheme="minorHAnsi" w:cstheme="minorBidi"/>
      <w:b/>
      <w:i/>
      <w:smallCaps/>
      <w:color w:val="943634" w:themeColor="accent2" w:themeShade="BF"/>
      <w:sz w:val="22"/>
      <w:lang w:eastAsia="en-US"/>
    </w:rPr>
  </w:style>
  <w:style w:type="character" w:customStyle="1" w:styleId="Heading9Char">
    <w:name w:val="Heading 9 Char"/>
    <w:basedOn w:val="DefaultParagraphFont"/>
    <w:link w:val="Heading9"/>
    <w:uiPriority w:val="9"/>
    <w:semiHidden/>
    <w:rsid w:val="005E0A0B"/>
    <w:rPr>
      <w:rFonts w:asciiTheme="minorHAnsi" w:eastAsiaTheme="minorEastAsia" w:hAnsiTheme="minorHAnsi" w:cstheme="minorBidi"/>
      <w:b/>
      <w:i/>
      <w:smallCaps/>
      <w:color w:val="622423" w:themeColor="accent2" w:themeShade="7F"/>
      <w:sz w:val="22"/>
      <w:lang w:eastAsia="en-US"/>
    </w:rPr>
  </w:style>
  <w:style w:type="character" w:styleId="Strong">
    <w:name w:val="Strong"/>
    <w:uiPriority w:val="22"/>
    <w:qFormat/>
    <w:rsid w:val="005E0A0B"/>
    <w:rPr>
      <w:b/>
      <w:color w:val="C0504D" w:themeColor="accent2"/>
    </w:rPr>
  </w:style>
  <w:style w:type="character" w:customStyle="1" w:styleId="NoSpacingChar">
    <w:name w:val="No Spacing Char"/>
    <w:basedOn w:val="DefaultParagraphFont"/>
    <w:link w:val="NoSpacing"/>
    <w:uiPriority w:val="1"/>
    <w:rsid w:val="005E0A0B"/>
    <w:rPr>
      <w:rFonts w:asciiTheme="minorHAnsi" w:eastAsiaTheme="minorHAnsi" w:hAnsiTheme="minorHAnsi" w:cstheme="minorBidi"/>
      <w:sz w:val="22"/>
      <w:szCs w:val="22"/>
      <w:lang w:eastAsia="en-US"/>
    </w:rPr>
  </w:style>
  <w:style w:type="paragraph" w:styleId="Quote">
    <w:name w:val="Quote"/>
    <w:basedOn w:val="Normal"/>
    <w:next w:val="Normal"/>
    <w:link w:val="QuoteChar"/>
    <w:uiPriority w:val="29"/>
    <w:qFormat/>
    <w:rsid w:val="005E0A0B"/>
    <w:pPr>
      <w:spacing w:after="320" w:line="276" w:lineRule="auto"/>
    </w:pPr>
    <w:rPr>
      <w:rFonts w:eastAsiaTheme="minorEastAsia" w:cstheme="minorBidi"/>
      <w:i/>
      <w:szCs w:val="20"/>
      <w:lang w:eastAsia="en-US"/>
    </w:rPr>
  </w:style>
  <w:style w:type="character" w:customStyle="1" w:styleId="QuoteChar">
    <w:name w:val="Quote Char"/>
    <w:basedOn w:val="DefaultParagraphFont"/>
    <w:link w:val="Quote"/>
    <w:uiPriority w:val="29"/>
    <w:rsid w:val="005E0A0B"/>
    <w:rPr>
      <w:rFonts w:asciiTheme="minorHAnsi" w:eastAsiaTheme="minorEastAsia" w:hAnsiTheme="minorHAnsi" w:cstheme="minorBidi"/>
      <w:i/>
      <w:sz w:val="22"/>
      <w:lang w:eastAsia="en-US"/>
    </w:rPr>
  </w:style>
  <w:style w:type="paragraph" w:styleId="IntenseQuote">
    <w:name w:val="Intense Quote"/>
    <w:basedOn w:val="Normal"/>
    <w:next w:val="Normal"/>
    <w:link w:val="IntenseQuoteChar"/>
    <w:uiPriority w:val="30"/>
    <w:qFormat/>
    <w:rsid w:val="005E0A0B"/>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line="276" w:lineRule="auto"/>
      <w:ind w:left="1440" w:right="1440"/>
    </w:pPr>
    <w:rPr>
      <w:rFonts w:eastAsiaTheme="minorEastAsia" w:cstheme="minorBidi"/>
      <w:b/>
      <w:i/>
      <w:color w:val="FFFFFF" w:themeColor="background1"/>
      <w:szCs w:val="20"/>
      <w:lang w:eastAsia="en-US"/>
    </w:rPr>
  </w:style>
  <w:style w:type="character" w:customStyle="1" w:styleId="IntenseQuoteChar">
    <w:name w:val="Intense Quote Char"/>
    <w:basedOn w:val="DefaultParagraphFont"/>
    <w:link w:val="IntenseQuote"/>
    <w:uiPriority w:val="30"/>
    <w:rsid w:val="005E0A0B"/>
    <w:rPr>
      <w:rFonts w:asciiTheme="minorHAnsi" w:eastAsiaTheme="minorEastAsia" w:hAnsiTheme="minorHAnsi" w:cstheme="minorBidi"/>
      <w:b/>
      <w:i/>
      <w:color w:val="FFFFFF" w:themeColor="background1"/>
      <w:sz w:val="22"/>
      <w:shd w:val="clear" w:color="auto" w:fill="C0504D" w:themeFill="accent2"/>
      <w:lang w:eastAsia="en-US"/>
    </w:rPr>
  </w:style>
  <w:style w:type="character" w:styleId="SubtleEmphasis">
    <w:name w:val="Subtle Emphasis"/>
    <w:uiPriority w:val="19"/>
    <w:qFormat/>
    <w:rsid w:val="005E0A0B"/>
    <w:rPr>
      <w:i/>
    </w:rPr>
  </w:style>
  <w:style w:type="character" w:styleId="IntenseEmphasis">
    <w:name w:val="Intense Emphasis"/>
    <w:uiPriority w:val="21"/>
    <w:qFormat/>
    <w:rsid w:val="005E0A0B"/>
    <w:rPr>
      <w:b/>
      <w:i/>
      <w:color w:val="C0504D" w:themeColor="accent2"/>
      <w:spacing w:val="10"/>
    </w:rPr>
  </w:style>
  <w:style w:type="character" w:styleId="SubtleReference">
    <w:name w:val="Subtle Reference"/>
    <w:uiPriority w:val="31"/>
    <w:qFormat/>
    <w:rsid w:val="005E0A0B"/>
    <w:rPr>
      <w:b/>
    </w:rPr>
  </w:style>
  <w:style w:type="character" w:styleId="IntenseReference">
    <w:name w:val="Intense Reference"/>
    <w:uiPriority w:val="32"/>
    <w:qFormat/>
    <w:rsid w:val="005E0A0B"/>
    <w:rPr>
      <w:b/>
      <w:bCs/>
      <w:smallCaps/>
      <w:spacing w:val="5"/>
      <w:sz w:val="22"/>
      <w:szCs w:val="22"/>
      <w:u w:val="single"/>
    </w:rPr>
  </w:style>
  <w:style w:type="character" w:styleId="BookTitle">
    <w:name w:val="Book Title"/>
    <w:uiPriority w:val="33"/>
    <w:qFormat/>
    <w:rsid w:val="00E838DF"/>
    <w:rPr>
      <w:rFonts w:asciiTheme="majorHAnsi" w:eastAsiaTheme="majorEastAsia" w:hAnsiTheme="majorHAnsi" w:cstheme="majorBidi"/>
      <w:i w:val="0"/>
      <w:iCs/>
      <w:sz w:val="20"/>
      <w:szCs w:val="20"/>
    </w:rPr>
  </w:style>
  <w:style w:type="paragraph" w:customStyle="1" w:styleId="Dotindent">
    <w:name w:val="Dot&amp;indent"/>
    <w:basedOn w:val="Normal"/>
    <w:link w:val="DotindentChar"/>
    <w:qFormat/>
    <w:rsid w:val="005E0A0B"/>
    <w:pPr>
      <w:numPr>
        <w:numId w:val="4"/>
      </w:numPr>
      <w:spacing w:before="0" w:after="200" w:line="276" w:lineRule="auto"/>
      <w:jc w:val="left"/>
    </w:pPr>
    <w:rPr>
      <w:rFonts w:eastAsiaTheme="minorHAnsi" w:cstheme="minorBidi"/>
      <w:lang w:eastAsia="en-US"/>
    </w:rPr>
  </w:style>
  <w:style w:type="character" w:customStyle="1" w:styleId="DotindentChar">
    <w:name w:val="Dot&amp;indent Char"/>
    <w:basedOn w:val="DefaultParagraphFont"/>
    <w:link w:val="Dotindent"/>
    <w:rsid w:val="005E0A0B"/>
    <w:rPr>
      <w:rFonts w:asciiTheme="minorHAnsi" w:eastAsiaTheme="minorHAnsi" w:hAnsiTheme="minorHAnsi" w:cstheme="minorBidi"/>
      <w:sz w:val="22"/>
      <w:szCs w:val="22"/>
      <w:lang w:eastAsia="en-US"/>
    </w:rPr>
  </w:style>
  <w:style w:type="paragraph" w:customStyle="1" w:styleId="TableHeading1">
    <w:name w:val="Table Heading 1"/>
    <w:rsid w:val="005E0A0B"/>
    <w:pPr>
      <w:spacing w:before="60" w:after="100"/>
      <w:ind w:left="85" w:right="85"/>
    </w:pPr>
    <w:rPr>
      <w:rFonts w:ascii="Arial" w:hAnsi="Arial"/>
      <w:b/>
    </w:rPr>
  </w:style>
  <w:style w:type="character" w:customStyle="1" w:styleId="SuperScript">
    <w:name w:val="SuperScript"/>
    <w:rsid w:val="005E0A0B"/>
    <w:rPr>
      <w:dstrike w:val="0"/>
      <w:vertAlign w:val="superscript"/>
    </w:rPr>
  </w:style>
  <w:style w:type="paragraph" w:styleId="Revision">
    <w:name w:val="Revision"/>
    <w:hidden/>
    <w:uiPriority w:val="99"/>
    <w:semiHidden/>
    <w:rsid w:val="005E0A0B"/>
    <w:rPr>
      <w:rFonts w:asciiTheme="minorHAnsi" w:eastAsiaTheme="minorEastAsia" w:hAnsiTheme="minorHAnsi" w:cstheme="minorBidi"/>
      <w:sz w:val="22"/>
      <w:lang w:eastAsia="en-US"/>
    </w:rPr>
  </w:style>
  <w:style w:type="paragraph" w:styleId="ListBullet">
    <w:name w:val="List Bullet"/>
    <w:basedOn w:val="Normal"/>
    <w:uiPriority w:val="99"/>
    <w:unhideWhenUsed/>
    <w:rsid w:val="005E0A0B"/>
    <w:pPr>
      <w:numPr>
        <w:numId w:val="5"/>
      </w:numPr>
      <w:spacing w:after="320" w:line="276" w:lineRule="auto"/>
      <w:contextualSpacing/>
    </w:pPr>
    <w:rPr>
      <w:rFonts w:eastAsiaTheme="minorEastAsia" w:cstheme="minorBidi"/>
      <w:szCs w:val="20"/>
      <w:lang w:eastAsia="en-US"/>
    </w:rPr>
  </w:style>
  <w:style w:type="character" w:styleId="FollowedHyperlink">
    <w:name w:val="FollowedHyperlink"/>
    <w:basedOn w:val="DefaultParagraphFont"/>
    <w:uiPriority w:val="99"/>
    <w:semiHidden/>
    <w:unhideWhenUsed/>
    <w:rsid w:val="005E0A0B"/>
    <w:rPr>
      <w:color w:val="800080" w:themeColor="followedHyperlink"/>
      <w:u w:val="single"/>
    </w:rPr>
  </w:style>
  <w:style w:type="character" w:customStyle="1" w:styleId="apple-converted-space">
    <w:name w:val="apple-converted-space"/>
    <w:basedOn w:val="DefaultParagraphFont"/>
    <w:rsid w:val="00BA48A9"/>
  </w:style>
  <w:style w:type="paragraph" w:customStyle="1" w:styleId="EndNoteBibliographyTitle">
    <w:name w:val="EndNote Bibliography Title"/>
    <w:basedOn w:val="Normal"/>
    <w:link w:val="EndNoteBibliographyTitleChar"/>
    <w:rsid w:val="00BA48A9"/>
    <w:pPr>
      <w:spacing w:before="0" w:after="0" w:line="276" w:lineRule="auto"/>
      <w:jc w:val="center"/>
    </w:pPr>
    <w:rPr>
      <w:rFonts w:ascii="Calibri" w:eastAsiaTheme="minorHAnsi" w:hAnsi="Calibri" w:cstheme="minorBidi"/>
      <w:noProof/>
      <w:lang w:val="en-US" w:eastAsia="en-US"/>
    </w:rPr>
  </w:style>
  <w:style w:type="character" w:customStyle="1" w:styleId="EndNoteBibliographyTitleChar">
    <w:name w:val="EndNote Bibliography Title Char"/>
    <w:basedOn w:val="DefaultParagraphFont"/>
    <w:link w:val="EndNoteBibliographyTitle"/>
    <w:rsid w:val="00BA48A9"/>
    <w:rPr>
      <w:rFonts w:ascii="Calibri" w:eastAsiaTheme="minorHAnsi" w:hAnsi="Calibri" w:cstheme="minorBidi"/>
      <w:noProof/>
      <w:sz w:val="22"/>
      <w:szCs w:val="22"/>
      <w:lang w:val="en-US" w:eastAsia="en-US"/>
    </w:rPr>
  </w:style>
  <w:style w:type="paragraph" w:customStyle="1" w:styleId="EndNoteBibliography">
    <w:name w:val="EndNote Bibliography"/>
    <w:basedOn w:val="Normal"/>
    <w:link w:val="EndNoteBibliographyChar"/>
    <w:rsid w:val="00BA48A9"/>
    <w:pPr>
      <w:spacing w:before="0" w:after="200"/>
      <w:jc w:val="left"/>
    </w:pPr>
    <w:rPr>
      <w:rFonts w:ascii="Calibri" w:eastAsiaTheme="minorHAnsi" w:hAnsi="Calibri" w:cstheme="minorBidi"/>
      <w:noProof/>
      <w:lang w:val="en-US" w:eastAsia="en-US"/>
    </w:rPr>
  </w:style>
  <w:style w:type="character" w:customStyle="1" w:styleId="EndNoteBibliographyChar">
    <w:name w:val="EndNote Bibliography Char"/>
    <w:basedOn w:val="DefaultParagraphFont"/>
    <w:link w:val="EndNoteBibliography"/>
    <w:rsid w:val="00BA48A9"/>
    <w:rPr>
      <w:rFonts w:ascii="Calibri" w:eastAsiaTheme="minorHAnsi" w:hAnsi="Calibri" w:cstheme="minorBidi"/>
      <w:noProof/>
      <w:sz w:val="22"/>
      <w:szCs w:val="22"/>
      <w:lang w:val="en-US" w:eastAsia="en-US"/>
    </w:rPr>
  </w:style>
  <w:style w:type="paragraph" w:customStyle="1" w:styleId="Figurecaption">
    <w:name w:val="Figure caption"/>
    <w:basedOn w:val="Normal"/>
    <w:link w:val="FigurecaptionCharChar"/>
    <w:rsid w:val="0057279E"/>
    <w:pPr>
      <w:numPr>
        <w:numId w:val="6"/>
      </w:numPr>
      <w:spacing w:before="240" w:after="120" w:line="80" w:lineRule="atLeast"/>
      <w:ind w:left="0" w:firstLine="0"/>
      <w:jc w:val="center"/>
    </w:pPr>
    <w:rPr>
      <w:rFonts w:ascii="Arial" w:hAnsi="Arial" w:cs="Times New Roman"/>
      <w:color w:val="17365D" w:themeColor="text2" w:themeShade="BF"/>
      <w:szCs w:val="24"/>
      <w:lang w:val="en-GB" w:eastAsia="en-US"/>
    </w:rPr>
  </w:style>
  <w:style w:type="paragraph" w:customStyle="1" w:styleId="Bodystyle">
    <w:name w:val="Body style"/>
    <w:basedOn w:val="Normal"/>
    <w:rsid w:val="0057279E"/>
    <w:pPr>
      <w:spacing w:before="0"/>
      <w:jc w:val="left"/>
    </w:pPr>
    <w:rPr>
      <w:rFonts w:ascii="Arial" w:hAnsi="Arial" w:cs="Times New Roman"/>
      <w:szCs w:val="24"/>
      <w:lang w:eastAsia="en-US"/>
    </w:rPr>
  </w:style>
  <w:style w:type="character" w:customStyle="1" w:styleId="FigurecaptionCharChar">
    <w:name w:val="Figure caption Char Char"/>
    <w:basedOn w:val="CaptionChar"/>
    <w:link w:val="Figurecaption"/>
    <w:rsid w:val="0057279E"/>
    <w:rPr>
      <w:rFonts w:ascii="Arial" w:hAnsi="Arial"/>
      <w:color w:val="17365D" w:themeColor="text2" w:themeShade="BF"/>
      <w:sz w:val="22"/>
      <w:szCs w:val="24"/>
      <w:lang w:val="en-GB" w:eastAsia="en-US"/>
    </w:rPr>
  </w:style>
  <w:style w:type="paragraph" w:styleId="TableofFigures">
    <w:name w:val="table of figures"/>
    <w:basedOn w:val="Normal"/>
    <w:next w:val="Normal"/>
    <w:uiPriority w:val="99"/>
    <w:unhideWhenUsed/>
    <w:rsid w:val="00C762F1"/>
    <w:pPr>
      <w:spacing w:after="0"/>
    </w:pPr>
  </w:style>
  <w:style w:type="paragraph" w:customStyle="1" w:styleId="References">
    <w:name w:val="References"/>
    <w:basedOn w:val="Normal"/>
    <w:next w:val="Normal"/>
    <w:rsid w:val="00DE50E3"/>
    <w:pPr>
      <w:spacing w:before="0" w:after="0" w:line="360" w:lineRule="auto"/>
      <w:ind w:left="567" w:hanging="567"/>
    </w:pPr>
    <w:rPr>
      <w:rFonts w:ascii="Times New Roman" w:hAnsi="Times New Roman" w:cs="Times New Roman"/>
      <w:szCs w:val="20"/>
      <w:lang w:eastAsia="en-US"/>
    </w:rPr>
  </w:style>
  <w:style w:type="character" w:customStyle="1" w:styleId="current-selection">
    <w:name w:val="current-selection"/>
    <w:basedOn w:val="DefaultParagraphFont"/>
    <w:rsid w:val="00173CFC"/>
  </w:style>
  <w:style w:type="character" w:customStyle="1" w:styleId="highlight">
    <w:name w:val="highlight"/>
    <w:basedOn w:val="DefaultParagraphFont"/>
    <w:rsid w:val="00DF610D"/>
  </w:style>
  <w:style w:type="character" w:customStyle="1" w:styleId="ff1">
    <w:name w:val="ff1"/>
    <w:basedOn w:val="DefaultParagraphFont"/>
    <w:rsid w:val="001D2850"/>
  </w:style>
  <w:style w:type="character" w:customStyle="1" w:styleId="st">
    <w:name w:val="st"/>
    <w:basedOn w:val="DefaultParagraphFont"/>
    <w:rsid w:val="00E838DF"/>
  </w:style>
  <w:style w:type="character" w:customStyle="1" w:styleId="ipa1">
    <w:name w:val="ipa1"/>
    <w:rsid w:val="0015270F"/>
    <w:rPr>
      <w:rFonts w:ascii="Arial Unicode MS" w:eastAsia="Arial Unicode MS" w:hAnsi="Arial Unicode MS" w:cs="Arial Unicode MS" w:hint="eastAsia"/>
    </w:rPr>
  </w:style>
  <w:style w:type="character" w:customStyle="1" w:styleId="plainlinks">
    <w:name w:val="plainlinks"/>
    <w:basedOn w:val="DefaultParagraphFont"/>
    <w:rsid w:val="0015270F"/>
  </w:style>
  <w:style w:type="character" w:customStyle="1" w:styleId="geo-dms1">
    <w:name w:val="geo-dms1"/>
    <w:rsid w:val="0015270F"/>
    <w:rPr>
      <w:vanish w:val="0"/>
      <w:webHidden w:val="0"/>
      <w:specVanish/>
    </w:rPr>
  </w:style>
  <w:style w:type="character" w:customStyle="1" w:styleId="latitude1">
    <w:name w:val="latitude1"/>
    <w:basedOn w:val="DefaultParagraphFont"/>
    <w:rsid w:val="0015270F"/>
  </w:style>
  <w:style w:type="character" w:customStyle="1" w:styleId="longitude1">
    <w:name w:val="longitude1"/>
    <w:basedOn w:val="DefaultParagraphFont"/>
    <w:rsid w:val="0015270F"/>
  </w:style>
  <w:style w:type="character" w:customStyle="1" w:styleId="geo-multi-punct1">
    <w:name w:val="geo-multi-punct1"/>
    <w:rsid w:val="0015270F"/>
    <w:rPr>
      <w:vanish/>
      <w:webHidden w:val="0"/>
      <w:specVanish/>
    </w:rPr>
  </w:style>
  <w:style w:type="character" w:customStyle="1" w:styleId="geo-nondefault1">
    <w:name w:val="geo-nondefault1"/>
    <w:rsid w:val="0015270F"/>
    <w:rPr>
      <w:vanish/>
      <w:webHidden w:val="0"/>
      <w:specVanish/>
    </w:rPr>
  </w:style>
  <w:style w:type="character" w:customStyle="1" w:styleId="geo-dec1">
    <w:name w:val="geo-dec1"/>
    <w:rsid w:val="0015270F"/>
    <w:rPr>
      <w:vanish w:val="0"/>
      <w:webHidden w:val="0"/>
      <w:specVanish/>
    </w:rPr>
  </w:style>
  <w:style w:type="character" w:customStyle="1" w:styleId="geo">
    <w:name w:val="geo"/>
    <w:basedOn w:val="DefaultParagraphFont"/>
    <w:rsid w:val="0015270F"/>
  </w:style>
  <w:style w:type="character" w:customStyle="1" w:styleId="apple-style-span">
    <w:name w:val="apple-style-span"/>
    <w:basedOn w:val="DefaultParagraphFont"/>
    <w:rsid w:val="0015270F"/>
  </w:style>
  <w:style w:type="paragraph" w:customStyle="1" w:styleId="ParaFirst8">
    <w:name w:val="ParaFirst/8"/>
    <w:basedOn w:val="Normal"/>
    <w:rsid w:val="0015270F"/>
    <w:pPr>
      <w:spacing w:after="120" w:line="300" w:lineRule="exact"/>
      <w:jc w:val="left"/>
    </w:pPr>
    <w:rPr>
      <w:rFonts w:ascii="Times New Roman" w:hAnsi="Times New Roman" w:cs="Times New Roman"/>
      <w:sz w:val="20"/>
      <w:szCs w:val="20"/>
      <w:lang w:eastAsia="en-US"/>
    </w:rPr>
  </w:style>
  <w:style w:type="paragraph" w:customStyle="1" w:styleId="MediumGrid1-Accent21">
    <w:name w:val="Medium Grid 1 - Accent 21"/>
    <w:basedOn w:val="Normal"/>
    <w:qFormat/>
    <w:rsid w:val="0015270F"/>
    <w:pPr>
      <w:spacing w:before="0" w:after="120" w:line="120" w:lineRule="atLeast"/>
      <w:contextualSpacing/>
      <w:jc w:val="left"/>
    </w:pPr>
    <w:rPr>
      <w:rFonts w:ascii="Calibri" w:hAnsi="Calibri" w:cs="Times New Roman"/>
      <w:sz w:val="20"/>
      <w:lang w:val="en-US" w:eastAsia="en-US" w:bidi="en-US"/>
    </w:rPr>
  </w:style>
  <w:style w:type="character" w:customStyle="1" w:styleId="BodyTextChar">
    <w:name w:val="Body Text Char"/>
    <w:basedOn w:val="DefaultParagraphFont"/>
    <w:link w:val="BodyText"/>
    <w:rsid w:val="0015270F"/>
    <w:rPr>
      <w:rFonts w:asciiTheme="minorHAnsi" w:hAnsiTheme="minorHAnsi" w:cstheme="minorHAnsi"/>
      <w:sz w:val="22"/>
      <w:szCs w:val="22"/>
    </w:rPr>
  </w:style>
  <w:style w:type="paragraph" w:customStyle="1" w:styleId="Table">
    <w:name w:val="Table"/>
    <w:basedOn w:val="Normal"/>
    <w:link w:val="TableChar"/>
    <w:rsid w:val="0015270F"/>
    <w:pPr>
      <w:spacing w:before="0" w:after="120" w:line="360" w:lineRule="auto"/>
      <w:jc w:val="left"/>
    </w:pPr>
    <w:rPr>
      <w:rFonts w:ascii="Arial Narrow" w:hAnsi="Arial Narrow" w:cs="Times New Roman"/>
      <w:sz w:val="20"/>
      <w:szCs w:val="20"/>
      <w:lang w:val="en-GB" w:eastAsia="en-US"/>
    </w:rPr>
  </w:style>
  <w:style w:type="character" w:customStyle="1" w:styleId="TableChar">
    <w:name w:val="Table Char"/>
    <w:link w:val="Table"/>
    <w:rsid w:val="0015270F"/>
    <w:rPr>
      <w:rFonts w:ascii="Arial Narrow" w:hAnsi="Arial Narrow"/>
      <w:lang w:val="en-GB" w:eastAsia="en-US"/>
    </w:rPr>
  </w:style>
  <w:style w:type="paragraph" w:customStyle="1" w:styleId="Reportrefs">
    <w:name w:val="Report refs"/>
    <w:basedOn w:val="Normal"/>
    <w:rsid w:val="0015270F"/>
    <w:pPr>
      <w:spacing w:before="0" w:after="180" w:line="120" w:lineRule="atLeast"/>
      <w:ind w:left="432" w:hanging="432"/>
      <w:jc w:val="left"/>
    </w:pPr>
    <w:rPr>
      <w:rFonts w:ascii="Gill Sans MT" w:hAnsi="Gill Sans MT" w:cs="Times New Roman"/>
      <w:sz w:val="24"/>
      <w:szCs w:val="20"/>
      <w:lang w:val="en-GB" w:eastAsia="en-US"/>
    </w:rPr>
  </w:style>
  <w:style w:type="paragraph" w:customStyle="1" w:styleId="indenthang1">
    <w:name w:val="indenthang1"/>
    <w:basedOn w:val="Normal"/>
    <w:link w:val="indenthang1Char"/>
    <w:rsid w:val="0015270F"/>
    <w:pPr>
      <w:spacing w:before="100" w:after="100" w:line="120" w:lineRule="atLeast"/>
      <w:ind w:left="480" w:hanging="168"/>
      <w:jc w:val="left"/>
    </w:pPr>
    <w:rPr>
      <w:rFonts w:ascii="Arial" w:hAnsi="Arial" w:cs="Times New Roman"/>
      <w:sz w:val="20"/>
      <w:szCs w:val="24"/>
      <w:lang w:val="en-US" w:eastAsia="en-US"/>
    </w:rPr>
  </w:style>
  <w:style w:type="character" w:customStyle="1" w:styleId="indenthang1Char">
    <w:name w:val="indenthang1 Char"/>
    <w:basedOn w:val="DefaultParagraphFont"/>
    <w:link w:val="indenthang1"/>
    <w:rsid w:val="0015270F"/>
    <w:rPr>
      <w:rFonts w:ascii="Arial" w:hAnsi="Arial"/>
      <w:szCs w:val="24"/>
      <w:lang w:val="en-US" w:eastAsia="en-US"/>
    </w:rPr>
  </w:style>
  <w:style w:type="numbering" w:customStyle="1" w:styleId="NoList1">
    <w:name w:val="No List1"/>
    <w:next w:val="NoList"/>
    <w:uiPriority w:val="99"/>
    <w:semiHidden/>
    <w:unhideWhenUsed/>
    <w:rsid w:val="0015270F"/>
  </w:style>
  <w:style w:type="character" w:customStyle="1" w:styleId="HTMLPreformattedChar">
    <w:name w:val="HTML Preformatted Char"/>
    <w:basedOn w:val="DefaultParagraphFont"/>
    <w:link w:val="HTMLPreformatted"/>
    <w:uiPriority w:val="99"/>
    <w:rsid w:val="0015270F"/>
    <w:rPr>
      <w:rFonts w:ascii="Courier New" w:hAnsi="Courier New" w:cs="Courier New"/>
    </w:rPr>
  </w:style>
  <w:style w:type="character" w:customStyle="1" w:styleId="esrielement1">
    <w:name w:val="esrielement1"/>
    <w:basedOn w:val="DefaultParagraphFont"/>
    <w:rsid w:val="0015270F"/>
    <w:rPr>
      <w:b w:val="0"/>
      <w:bCs w:val="0"/>
      <w:smallCaps/>
      <w:color w:val="006400"/>
      <w:sz w:val="22"/>
      <w:szCs w:val="22"/>
    </w:rPr>
  </w:style>
  <w:style w:type="character" w:customStyle="1" w:styleId="code1">
    <w:name w:val="code1"/>
    <w:basedOn w:val="DefaultParagraphFont"/>
    <w:rsid w:val="0015270F"/>
    <w:rPr>
      <w:rFonts w:ascii="Courier New" w:hAnsi="Courier New" w:cs="Courier New" w:hint="default"/>
    </w:rPr>
  </w:style>
  <w:style w:type="paragraph" w:styleId="TOC5">
    <w:name w:val="toc 5"/>
    <w:basedOn w:val="Normal"/>
    <w:next w:val="Normal"/>
    <w:autoRedefine/>
    <w:uiPriority w:val="39"/>
    <w:unhideWhenUsed/>
    <w:rsid w:val="0015270F"/>
    <w:pPr>
      <w:spacing w:before="0" w:after="100" w:line="276" w:lineRule="auto"/>
      <w:ind w:left="880"/>
      <w:jc w:val="left"/>
    </w:pPr>
    <w:rPr>
      <w:rFonts w:eastAsiaTheme="minorEastAsia" w:cstheme="minorBidi"/>
    </w:rPr>
  </w:style>
  <w:style w:type="paragraph" w:styleId="TOC6">
    <w:name w:val="toc 6"/>
    <w:basedOn w:val="Normal"/>
    <w:next w:val="Normal"/>
    <w:autoRedefine/>
    <w:uiPriority w:val="39"/>
    <w:unhideWhenUsed/>
    <w:rsid w:val="0015270F"/>
    <w:pPr>
      <w:spacing w:before="0" w:after="100" w:line="276" w:lineRule="auto"/>
      <w:ind w:left="1100"/>
      <w:jc w:val="left"/>
    </w:pPr>
    <w:rPr>
      <w:rFonts w:eastAsiaTheme="minorEastAsia" w:cstheme="minorBidi"/>
    </w:rPr>
  </w:style>
  <w:style w:type="paragraph" w:styleId="TOC7">
    <w:name w:val="toc 7"/>
    <w:basedOn w:val="Normal"/>
    <w:next w:val="Normal"/>
    <w:autoRedefine/>
    <w:uiPriority w:val="39"/>
    <w:unhideWhenUsed/>
    <w:rsid w:val="0015270F"/>
    <w:pPr>
      <w:spacing w:before="0" w:after="100" w:line="276" w:lineRule="auto"/>
      <w:ind w:left="1320"/>
      <w:jc w:val="left"/>
    </w:pPr>
    <w:rPr>
      <w:rFonts w:eastAsiaTheme="minorEastAsia" w:cstheme="minorBidi"/>
    </w:rPr>
  </w:style>
  <w:style w:type="paragraph" w:styleId="TOC8">
    <w:name w:val="toc 8"/>
    <w:basedOn w:val="Normal"/>
    <w:next w:val="Normal"/>
    <w:autoRedefine/>
    <w:uiPriority w:val="39"/>
    <w:unhideWhenUsed/>
    <w:rsid w:val="0015270F"/>
    <w:pPr>
      <w:spacing w:before="0" w:after="100" w:line="276" w:lineRule="auto"/>
      <w:ind w:left="1540"/>
      <w:jc w:val="left"/>
    </w:pPr>
    <w:rPr>
      <w:rFonts w:eastAsiaTheme="minorEastAsia" w:cstheme="minorBidi"/>
    </w:rPr>
  </w:style>
  <w:style w:type="paragraph" w:styleId="TOC9">
    <w:name w:val="toc 9"/>
    <w:basedOn w:val="Normal"/>
    <w:next w:val="Normal"/>
    <w:autoRedefine/>
    <w:uiPriority w:val="39"/>
    <w:unhideWhenUsed/>
    <w:rsid w:val="0015270F"/>
    <w:pPr>
      <w:spacing w:before="0" w:after="100" w:line="276" w:lineRule="auto"/>
      <w:ind w:left="1760"/>
      <w:jc w:val="left"/>
    </w:pPr>
    <w:rPr>
      <w:rFonts w:eastAsiaTheme="minorEastAsia" w:cstheme="minorBidi"/>
    </w:rPr>
  </w:style>
  <w:style w:type="paragraph" w:customStyle="1" w:styleId="xl67">
    <w:name w:val="xl67"/>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8">
    <w:name w:val="xl68"/>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9">
    <w:name w:val="xl69"/>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0">
    <w:name w:val="xl70"/>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1">
    <w:name w:val="xl71"/>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2">
    <w:name w:val="xl72"/>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3">
    <w:name w:val="xl73"/>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4">
    <w:name w:val="xl74"/>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5">
    <w:name w:val="xl75"/>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6">
    <w:name w:val="xl76"/>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7">
    <w:name w:val="xl77"/>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8">
    <w:name w:val="xl78"/>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9">
    <w:name w:val="xl79"/>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0">
    <w:name w:val="xl80"/>
    <w:basedOn w:val="Normal"/>
    <w:rsid w:val="0015270F"/>
    <w:pPr>
      <w:pBdr>
        <w:bottom w:val="single" w:sz="4" w:space="0" w:color="auto"/>
      </w:pBdr>
      <w:spacing w:before="100" w:beforeAutospacing="1" w:after="100" w:afterAutospacing="1" w:line="120" w:lineRule="atLeast"/>
      <w:jc w:val="left"/>
    </w:pPr>
    <w:rPr>
      <w:rFonts w:ascii="Times New Roman" w:hAnsi="Times New Roman" w:cs="Times New Roman"/>
      <w:sz w:val="24"/>
      <w:szCs w:val="24"/>
    </w:rPr>
  </w:style>
  <w:style w:type="paragraph" w:customStyle="1" w:styleId="xl63">
    <w:name w:val="xl63"/>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4">
    <w:name w:val="xl64"/>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5">
    <w:name w:val="xl65"/>
    <w:basedOn w:val="Normal"/>
    <w:rsid w:val="0015270F"/>
    <w:pPr>
      <w:spacing w:before="100" w:beforeAutospacing="1" w:after="100" w:afterAutospacing="1" w:line="120" w:lineRule="atLeast"/>
      <w:jc w:val="left"/>
    </w:pPr>
    <w:rPr>
      <w:rFonts w:ascii="Times New Roman" w:hAnsi="Times New Roman" w:cs="Times New Roman"/>
      <w:sz w:val="20"/>
      <w:szCs w:val="20"/>
      <w:lang w:val="en-GB" w:eastAsia="en-GB"/>
    </w:rPr>
  </w:style>
  <w:style w:type="paragraph" w:customStyle="1" w:styleId="xl66">
    <w:name w:val="xl66"/>
    <w:basedOn w:val="Normal"/>
    <w:rsid w:val="0015270F"/>
    <w:pPr>
      <w:pBdr>
        <w:top w:val="single" w:sz="4" w:space="0" w:color="auto"/>
        <w:left w:val="single" w:sz="4" w:space="0" w:color="auto"/>
        <w:bottom w:val="single" w:sz="4" w:space="0" w:color="auto"/>
        <w:right w:val="single" w:sz="4" w:space="0" w:color="auto"/>
      </w:pBdr>
      <w:spacing w:before="100" w:beforeAutospacing="1" w:after="100" w:afterAutospacing="1" w:line="120" w:lineRule="atLeast"/>
      <w:jc w:val="right"/>
    </w:pPr>
    <w:rPr>
      <w:rFonts w:ascii="Times New Roman" w:hAnsi="Times New Roman" w:cs="Times New Roman"/>
      <w:color w:val="000000"/>
      <w:sz w:val="20"/>
      <w:szCs w:val="20"/>
      <w:lang w:val="en-GB" w:eastAsia="en-GB"/>
    </w:rPr>
  </w:style>
  <w:style w:type="paragraph" w:customStyle="1" w:styleId="Title1">
    <w:name w:val="Title1"/>
    <w:basedOn w:val="Normal"/>
    <w:rsid w:val="0015270F"/>
    <w:pPr>
      <w:spacing w:before="100" w:beforeAutospacing="1" w:after="100" w:afterAutospacing="1" w:line="120" w:lineRule="atLeast"/>
      <w:jc w:val="left"/>
    </w:pPr>
    <w:rPr>
      <w:rFonts w:ascii="Times New Roman" w:eastAsiaTheme="minorEastAsia" w:hAnsi="Times New Roman" w:cs="Times New Roman"/>
      <w:b/>
      <w:bCs/>
      <w:sz w:val="40"/>
      <w:szCs w:val="40"/>
      <w:lang w:val="en-US" w:eastAsia="en-US"/>
    </w:rPr>
  </w:style>
  <w:style w:type="paragraph" w:customStyle="1" w:styleId="font0">
    <w:name w:val="font0"/>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5">
    <w:name w:val="font5"/>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6">
    <w:name w:val="font6"/>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xl81">
    <w:name w:val="xl81"/>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2">
    <w:name w:val="xl8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3">
    <w:name w:val="xl83"/>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font7">
    <w:name w:val="font7"/>
    <w:basedOn w:val="Normal"/>
    <w:rsid w:val="0015270F"/>
    <w:pPr>
      <w:spacing w:before="100" w:beforeAutospacing="1" w:after="100" w:afterAutospacing="1" w:line="120" w:lineRule="atLeast"/>
      <w:jc w:val="left"/>
    </w:pPr>
    <w:rPr>
      <w:rFonts w:ascii="Calibri" w:hAnsi="Calibri" w:cs="Times New Roman"/>
      <w:color w:val="000000"/>
      <w:sz w:val="20"/>
      <w:szCs w:val="20"/>
    </w:rPr>
  </w:style>
  <w:style w:type="character" w:styleId="PlaceholderText">
    <w:name w:val="Placeholder Text"/>
    <w:basedOn w:val="DefaultParagraphFont"/>
    <w:uiPriority w:val="99"/>
    <w:semiHidden/>
    <w:rsid w:val="0015270F"/>
    <w:rPr>
      <w:color w:val="808080"/>
    </w:rPr>
  </w:style>
  <w:style w:type="paragraph" w:customStyle="1" w:styleId="xl84">
    <w:name w:val="xl84"/>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5">
    <w:name w:val="xl8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6">
    <w:name w:val="xl86"/>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7">
    <w:name w:val="xl87"/>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8">
    <w:name w:val="xl88"/>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9">
    <w:name w:val="xl89"/>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0">
    <w:name w:val="xl90"/>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1">
    <w:name w:val="xl91"/>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2">
    <w:name w:val="xl9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3">
    <w:name w:val="xl93"/>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numbering" w:customStyle="1" w:styleId="NoList2">
    <w:name w:val="No List2"/>
    <w:next w:val="NoList"/>
    <w:uiPriority w:val="99"/>
    <w:semiHidden/>
    <w:unhideWhenUsed/>
    <w:rsid w:val="0015270F"/>
  </w:style>
  <w:style w:type="table" w:customStyle="1" w:styleId="TableGrid1">
    <w:name w:val="Table Grid1"/>
    <w:basedOn w:val="TableNormal"/>
    <w:next w:val="TableGrid"/>
    <w:uiPriority w:val="59"/>
    <w:rsid w:val="0015270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94">
    <w:name w:val="xl94"/>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i/>
      <w:iCs/>
      <w:sz w:val="24"/>
      <w:szCs w:val="24"/>
    </w:rPr>
  </w:style>
  <w:style w:type="paragraph" w:customStyle="1" w:styleId="xl95">
    <w:name w:val="xl95"/>
    <w:basedOn w:val="Normal"/>
    <w:rsid w:val="0015270F"/>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6">
    <w:name w:val="xl96"/>
    <w:basedOn w:val="Normal"/>
    <w:rsid w:val="0015270F"/>
    <w:pPr>
      <w:pBdr>
        <w:top w:val="single" w:sz="4" w:space="0" w:color="auto"/>
      </w:pBdr>
      <w:shd w:val="clear" w:color="000000" w:fill="00B05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7">
    <w:name w:val="xl97"/>
    <w:basedOn w:val="Normal"/>
    <w:rsid w:val="0015270F"/>
    <w:pPr>
      <w:pBdr>
        <w:top w:val="single" w:sz="4" w:space="0" w:color="auto"/>
      </w:pBdr>
      <w:shd w:val="clear" w:color="000000" w:fill="FF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8">
    <w:name w:val="xl98"/>
    <w:basedOn w:val="Normal"/>
    <w:rsid w:val="0015270F"/>
    <w:pPr>
      <w:pBdr>
        <w:top w:val="single" w:sz="4" w:space="0" w:color="auto"/>
      </w:pBdr>
      <w:shd w:val="clear" w:color="000000" w:fill="C0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9">
    <w:name w:val="xl99"/>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0">
    <w:name w:val="xl100"/>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1">
    <w:name w:val="xl101"/>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2">
    <w:name w:val="xl102"/>
    <w:basedOn w:val="Normal"/>
    <w:rsid w:val="0015270F"/>
    <w:pPr>
      <w:pBdr>
        <w:top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3">
    <w:name w:val="xl103"/>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4">
    <w:name w:val="xl104"/>
    <w:basedOn w:val="Normal"/>
    <w:rsid w:val="0015270F"/>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5">
    <w:name w:val="xl105"/>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6">
    <w:name w:val="xl106"/>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7">
    <w:name w:val="xl107"/>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cs="Times New Roman"/>
      <w:sz w:val="24"/>
      <w:szCs w:val="24"/>
    </w:rPr>
  </w:style>
  <w:style w:type="paragraph" w:customStyle="1" w:styleId="xl108">
    <w:name w:val="xl108"/>
    <w:basedOn w:val="Normal"/>
    <w:rsid w:val="0015270F"/>
    <w:pPr>
      <w:pBdr>
        <w:top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9">
    <w:name w:val="xl109"/>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0">
    <w:name w:val="xl110"/>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1">
    <w:name w:val="xl111"/>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2">
    <w:name w:val="xl112"/>
    <w:basedOn w:val="Normal"/>
    <w:rsid w:val="0015270F"/>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3">
    <w:name w:val="xl113"/>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4">
    <w:name w:val="xl114"/>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5">
    <w:name w:val="xl11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6">
    <w:name w:val="xl116"/>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7">
    <w:name w:val="xl117"/>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numbering" w:customStyle="1" w:styleId="Style5">
    <w:name w:val="Style5"/>
    <w:uiPriority w:val="99"/>
    <w:rsid w:val="0015270F"/>
    <w:pPr>
      <w:numPr>
        <w:numId w:val="11"/>
      </w:numPr>
    </w:pPr>
  </w:style>
  <w:style w:type="paragraph" w:styleId="EndnoteText">
    <w:name w:val="endnote text"/>
    <w:basedOn w:val="Normal"/>
    <w:link w:val="EndnoteTextChar"/>
    <w:uiPriority w:val="99"/>
    <w:semiHidden/>
    <w:unhideWhenUsed/>
    <w:rsid w:val="00C97CC0"/>
    <w:pPr>
      <w:spacing w:before="0" w:after="0"/>
    </w:pPr>
    <w:rPr>
      <w:sz w:val="20"/>
      <w:szCs w:val="20"/>
    </w:rPr>
  </w:style>
  <w:style w:type="character" w:customStyle="1" w:styleId="EndnoteTextChar">
    <w:name w:val="Endnote Text Char"/>
    <w:basedOn w:val="DefaultParagraphFont"/>
    <w:link w:val="EndnoteText"/>
    <w:uiPriority w:val="99"/>
    <w:semiHidden/>
    <w:rsid w:val="00C97CC0"/>
    <w:rPr>
      <w:rFonts w:asciiTheme="minorHAnsi" w:hAnsiTheme="minorHAnsi" w:cstheme="minorHAnsi"/>
    </w:rPr>
  </w:style>
  <w:style w:type="character" w:styleId="EndnoteReference">
    <w:name w:val="endnote reference"/>
    <w:basedOn w:val="DefaultParagraphFont"/>
    <w:uiPriority w:val="99"/>
    <w:semiHidden/>
    <w:unhideWhenUsed/>
    <w:rsid w:val="00C97CC0"/>
    <w:rPr>
      <w:vertAlign w:val="superscript"/>
    </w:rPr>
  </w:style>
  <w:style w:type="character" w:customStyle="1" w:styleId="DocumentMapChar">
    <w:name w:val="Document Map Char"/>
    <w:basedOn w:val="DefaultParagraphFont"/>
    <w:link w:val="DocumentMap"/>
    <w:semiHidden/>
    <w:rsid w:val="004B2104"/>
    <w:rPr>
      <w:rFonts w:ascii="Tahoma" w:hAnsi="Tahoma" w:cs="Tahoma"/>
      <w:shd w:val="clear" w:color="auto" w:fill="000080"/>
    </w:rPr>
  </w:style>
  <w:style w:type="character" w:customStyle="1" w:styleId="A1">
    <w:name w:val="A1"/>
    <w:uiPriority w:val="99"/>
    <w:rsid w:val="008E03E9"/>
    <w:rPr>
      <w:rFonts w:cs="Myriad Pro"/>
      <w:color w:val="211D1E"/>
      <w:sz w:val="18"/>
      <w:szCs w:val="18"/>
    </w:rPr>
  </w:style>
  <w:style w:type="character" w:customStyle="1" w:styleId="A2">
    <w:name w:val="A2"/>
    <w:uiPriority w:val="99"/>
    <w:rsid w:val="008E03E9"/>
    <w:rPr>
      <w:rFonts w:cs="Myriad Pro"/>
      <w:color w:val="211D1E"/>
      <w:sz w:val="11"/>
      <w:szCs w:val="1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E079CE"/>
    <w:pPr>
      <w:spacing w:before="120" w:after="240"/>
      <w:jc w:val="both"/>
    </w:pPr>
    <w:rPr>
      <w:rFonts w:asciiTheme="minorHAnsi" w:hAnsiTheme="minorHAnsi" w:cstheme="minorHAnsi"/>
      <w:sz w:val="22"/>
      <w:szCs w:val="22"/>
    </w:rPr>
  </w:style>
  <w:style w:type="paragraph" w:styleId="Heading1">
    <w:name w:val="heading 1"/>
    <w:basedOn w:val="Normal"/>
    <w:next w:val="Normal"/>
    <w:link w:val="Heading1Char"/>
    <w:qFormat/>
    <w:rsid w:val="00C12BFC"/>
    <w:pPr>
      <w:keepNext/>
      <w:pageBreakBefore/>
      <w:spacing w:after="120"/>
      <w:outlineLvl w:val="0"/>
    </w:pPr>
    <w:rPr>
      <w:b/>
      <w:bCs/>
      <w:caps/>
      <w:kern w:val="32"/>
      <w:sz w:val="32"/>
      <w:szCs w:val="32"/>
    </w:rPr>
  </w:style>
  <w:style w:type="paragraph" w:styleId="Heading2">
    <w:name w:val="heading 2"/>
    <w:aliases w:val="2nd Level Heading"/>
    <w:basedOn w:val="Normal"/>
    <w:next w:val="Normal"/>
    <w:link w:val="Heading2Char"/>
    <w:qFormat/>
    <w:rsid w:val="00D848A8"/>
    <w:pPr>
      <w:spacing w:before="240" w:line="360" w:lineRule="auto"/>
      <w:outlineLvl w:val="1"/>
    </w:pPr>
    <w:rPr>
      <w:b/>
      <w:sz w:val="24"/>
    </w:rPr>
  </w:style>
  <w:style w:type="paragraph" w:styleId="Heading3">
    <w:name w:val="heading 3"/>
    <w:aliases w:val="3rd Level Heading"/>
    <w:basedOn w:val="Normal"/>
    <w:next w:val="Normal"/>
    <w:link w:val="Heading3Char"/>
    <w:uiPriority w:val="9"/>
    <w:qFormat/>
    <w:rsid w:val="0015270F"/>
    <w:pPr>
      <w:numPr>
        <w:numId w:val="12"/>
      </w:numPr>
      <w:spacing w:before="240"/>
      <w:outlineLvl w:val="2"/>
    </w:pPr>
    <w:rPr>
      <w:b/>
    </w:rPr>
  </w:style>
  <w:style w:type="paragraph" w:styleId="Heading4">
    <w:name w:val="heading 4"/>
    <w:aliases w:val="4th Level Heading"/>
    <w:basedOn w:val="Normal"/>
    <w:next w:val="Normal"/>
    <w:link w:val="Heading4Char"/>
    <w:uiPriority w:val="9"/>
    <w:qFormat/>
    <w:rsid w:val="00FC280D"/>
    <w:pPr>
      <w:outlineLvl w:val="3"/>
    </w:pPr>
    <w:rPr>
      <w:b/>
      <w:i/>
    </w:rPr>
  </w:style>
  <w:style w:type="paragraph" w:styleId="Heading5">
    <w:name w:val="heading 5"/>
    <w:basedOn w:val="Normal"/>
    <w:next w:val="Normal"/>
    <w:link w:val="Heading5Char"/>
    <w:uiPriority w:val="9"/>
    <w:unhideWhenUsed/>
    <w:qFormat/>
    <w:rsid w:val="008D3A01"/>
    <w:pPr>
      <w:keepNext/>
      <w:keepLines/>
      <w:spacing w:before="200" w:line="276" w:lineRule="auto"/>
      <w:ind w:left="1008" w:hanging="1008"/>
      <w:jc w:val="left"/>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5E0A0B"/>
    <w:pPr>
      <w:spacing w:after="0" w:line="276" w:lineRule="auto"/>
      <w:jc w:val="left"/>
      <w:outlineLvl w:val="5"/>
    </w:pPr>
    <w:rPr>
      <w:rFonts w:eastAsiaTheme="minorEastAsia" w:cstheme="minorBidi"/>
      <w:smallCaps/>
      <w:color w:val="C0504D" w:themeColor="accent2"/>
      <w:spacing w:val="5"/>
      <w:szCs w:val="20"/>
      <w:lang w:eastAsia="en-US"/>
    </w:rPr>
  </w:style>
  <w:style w:type="paragraph" w:styleId="Heading7">
    <w:name w:val="heading 7"/>
    <w:basedOn w:val="Normal"/>
    <w:next w:val="Normal"/>
    <w:link w:val="Heading7Char"/>
    <w:uiPriority w:val="9"/>
    <w:semiHidden/>
    <w:unhideWhenUsed/>
    <w:qFormat/>
    <w:rsid w:val="005E0A0B"/>
    <w:pPr>
      <w:spacing w:after="0" w:line="276" w:lineRule="auto"/>
      <w:jc w:val="left"/>
      <w:outlineLvl w:val="6"/>
    </w:pPr>
    <w:rPr>
      <w:rFonts w:eastAsiaTheme="minorEastAsia" w:cstheme="minorBidi"/>
      <w:b/>
      <w:smallCaps/>
      <w:color w:val="C0504D" w:themeColor="accent2"/>
      <w:spacing w:val="10"/>
      <w:szCs w:val="20"/>
      <w:lang w:eastAsia="en-US"/>
    </w:rPr>
  </w:style>
  <w:style w:type="paragraph" w:styleId="Heading8">
    <w:name w:val="heading 8"/>
    <w:basedOn w:val="Normal"/>
    <w:next w:val="Normal"/>
    <w:link w:val="Heading8Char"/>
    <w:uiPriority w:val="9"/>
    <w:semiHidden/>
    <w:unhideWhenUsed/>
    <w:qFormat/>
    <w:rsid w:val="005E0A0B"/>
    <w:pPr>
      <w:spacing w:after="0" w:line="276" w:lineRule="auto"/>
      <w:jc w:val="left"/>
      <w:outlineLvl w:val="7"/>
    </w:pPr>
    <w:rPr>
      <w:rFonts w:eastAsiaTheme="minorEastAsia" w:cstheme="minorBidi"/>
      <w:b/>
      <w:i/>
      <w:smallCaps/>
      <w:color w:val="943634" w:themeColor="accent2" w:themeShade="BF"/>
      <w:szCs w:val="20"/>
      <w:lang w:eastAsia="en-US"/>
    </w:rPr>
  </w:style>
  <w:style w:type="paragraph" w:styleId="Heading9">
    <w:name w:val="heading 9"/>
    <w:basedOn w:val="Normal"/>
    <w:next w:val="Normal"/>
    <w:link w:val="Heading9Char"/>
    <w:uiPriority w:val="9"/>
    <w:semiHidden/>
    <w:unhideWhenUsed/>
    <w:qFormat/>
    <w:rsid w:val="005E0A0B"/>
    <w:pPr>
      <w:spacing w:after="0" w:line="276" w:lineRule="auto"/>
      <w:jc w:val="left"/>
      <w:outlineLvl w:val="8"/>
    </w:pPr>
    <w:rPr>
      <w:rFonts w:eastAsiaTheme="minorEastAsia" w:cstheme="minorBidi"/>
      <w:b/>
      <w:i/>
      <w:smallCaps/>
      <w:color w:val="622423" w:themeColor="accent2" w:themeShade="7F"/>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link w:val="BodyTextChar"/>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uiPriority w:val="99"/>
    <w:rsid w:val="0024505B"/>
    <w:pPr>
      <w:tabs>
        <w:tab w:val="center" w:pos="4320"/>
        <w:tab w:val="right" w:pos="8640"/>
      </w:tabs>
    </w:pPr>
  </w:style>
  <w:style w:type="paragraph" w:styleId="Footer">
    <w:name w:val="footer"/>
    <w:basedOn w:val="Normal"/>
    <w:link w:val="FooterChar"/>
    <w:uiPriority w:val="99"/>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link w:val="CommentSubjectChar"/>
    <w:uiPriority w:val="99"/>
    <w:semiHidden/>
    <w:rsid w:val="005B0BB8"/>
    <w:rPr>
      <w:b/>
      <w:bCs/>
    </w:rPr>
  </w:style>
  <w:style w:type="paragraph" w:styleId="BalloonText">
    <w:name w:val="Balloon Text"/>
    <w:basedOn w:val="Normal"/>
    <w:link w:val="BalloonTextChar"/>
    <w:uiPriority w:val="99"/>
    <w:semiHidden/>
    <w:rsid w:val="005B0BB8"/>
    <w:rPr>
      <w:rFonts w:ascii="Tahoma" w:hAnsi="Tahoma" w:cs="Tahoma"/>
      <w:sz w:val="16"/>
      <w:szCs w:val="16"/>
    </w:rPr>
  </w:style>
  <w:style w:type="paragraph" w:styleId="DocumentMap">
    <w:name w:val="Document Map"/>
    <w:basedOn w:val="Normal"/>
    <w:link w:val="DocumentMapChar"/>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uiPriority w:val="99"/>
    <w:qFormat/>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1758C6"/>
    <w:pPr>
      <w:tabs>
        <w:tab w:val="left" w:pos="480"/>
        <w:tab w:val="right" w:leader="dot" w:pos="9600"/>
      </w:tabs>
      <w:spacing w:before="0" w:after="0"/>
      <w:ind w:left="288" w:hanging="288"/>
    </w:pPr>
    <w:rPr>
      <w:b/>
      <w:szCs w:val="20"/>
      <w:lang w:val="en-US" w:eastAsia="en-US"/>
    </w:rPr>
  </w:style>
  <w:style w:type="paragraph" w:styleId="TOC2">
    <w:name w:val="toc 2"/>
    <w:basedOn w:val="Normal"/>
    <w:next w:val="Normal"/>
    <w:autoRedefine/>
    <w:uiPriority w:val="39"/>
    <w:qFormat/>
    <w:rsid w:val="001758C6"/>
    <w:pPr>
      <w:tabs>
        <w:tab w:val="left" w:pos="1080"/>
        <w:tab w:val="right" w:leader="dot" w:pos="9600"/>
      </w:tabs>
      <w:spacing w:before="0" w:after="0"/>
      <w:ind w:left="245"/>
    </w:pPr>
    <w:rPr>
      <w:b/>
      <w:bCs/>
      <w:iCs/>
      <w:szCs w:val="20"/>
      <w:lang w:eastAsia="en-US"/>
    </w:rPr>
  </w:style>
  <w:style w:type="paragraph" w:styleId="TOC3">
    <w:name w:val="toc 3"/>
    <w:basedOn w:val="Normal"/>
    <w:next w:val="Normal"/>
    <w:autoRedefine/>
    <w:uiPriority w:val="39"/>
    <w:qFormat/>
    <w:rsid w:val="001758C6"/>
    <w:pPr>
      <w:tabs>
        <w:tab w:val="left" w:pos="1560"/>
        <w:tab w:val="right" w:leader="dot" w:pos="9600"/>
      </w:tabs>
      <w:spacing w:before="0" w:after="0"/>
      <w:ind w:left="706"/>
    </w:pPr>
    <w:rPr>
      <w:b/>
      <w:iCs/>
      <w:szCs w:val="20"/>
      <w:lang w:eastAsia="en-US"/>
    </w:rPr>
  </w:style>
  <w:style w:type="paragraph" w:styleId="HTMLPreformatted">
    <w:name w:val="HTML Preformatted"/>
    <w:basedOn w:val="Normal"/>
    <w:link w:val="HTMLPreformattedChar"/>
    <w:uiPriority w:val="99"/>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tabs>
        <w:tab w:val="right" w:leader="dot" w:pos="9563"/>
      </w:tabs>
      <w:ind w:left="3060" w:hanging="1500"/>
    </w:p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uiPriority w:val="99"/>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1"/>
      </w:numPr>
    </w:pPr>
  </w:style>
  <w:style w:type="paragraph" w:styleId="FootnoteText">
    <w:name w:val="footnote text"/>
    <w:basedOn w:val="Normal"/>
    <w:link w:val="FootnoteTextChar"/>
    <w:uiPriority w:val="99"/>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uiPriority w:val="99"/>
    <w:rsid w:val="005E30FE"/>
    <w:rPr>
      <w:rFonts w:ascii="Arial" w:hAnsi="Arial"/>
      <w:sz w:val="18"/>
      <w:lang w:eastAsia="en-US"/>
    </w:rPr>
  </w:style>
  <w:style w:type="character" w:styleId="FootnoteReference">
    <w:name w:val="footnote reference"/>
    <w:aliases w:val="Footnote symbol"/>
    <w:uiPriority w:val="99"/>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uiPriority w:val="99"/>
    <w:rsid w:val="005E30FE"/>
    <w:rPr>
      <w:rFonts w:asciiTheme="minorHAnsi" w:hAnsiTheme="minorHAnsi" w:cstheme="minorHAnsi"/>
      <w:sz w:val="22"/>
      <w:szCs w:val="22"/>
    </w:rPr>
  </w:style>
  <w:style w:type="character" w:customStyle="1" w:styleId="Heading1Char">
    <w:name w:val="Heading 1 Char"/>
    <w:link w:val="Heading1"/>
    <w:rsid w:val="00C12BFC"/>
    <w:rPr>
      <w:rFonts w:asciiTheme="minorHAnsi" w:hAnsiTheme="minorHAnsi" w:cstheme="minorHAnsi"/>
      <w:b/>
      <w:bCs/>
      <w:caps/>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2"/>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iPriority w:val="35"/>
    <w:qFormat/>
    <w:rsid w:val="0083263F"/>
    <w:pPr>
      <w:tabs>
        <w:tab w:val="left" w:pos="1134"/>
      </w:tabs>
      <w:spacing w:after="120"/>
      <w:ind w:left="1134" w:hanging="1134"/>
      <w:jc w:val="left"/>
    </w:pPr>
    <w:rPr>
      <w:rFonts w:ascii="Calibri" w:hAnsi="Calibri" w:cs="Times New Roman"/>
      <w:color w:val="17365D" w:themeColor="text2" w:themeShade="BF"/>
      <w:szCs w:val="20"/>
      <w:lang w:val="en-GB" w:eastAsia="en-US"/>
    </w:rPr>
  </w:style>
  <w:style w:type="paragraph" w:customStyle="1" w:styleId="Heading10">
    <w:name w:val="Heading1"/>
    <w:basedOn w:val="Normal"/>
    <w:rsid w:val="005E30FE"/>
    <w:rPr>
      <w:rFonts w:ascii="Arial" w:hAnsi="Arial" w:cs="Times New Roman"/>
      <w:b/>
      <w:bCs/>
      <w:szCs w:val="20"/>
    </w:rPr>
  </w:style>
  <w:style w:type="character" w:customStyle="1" w:styleId="Heading20">
    <w:name w:val="Heading2"/>
    <w:qFormat/>
    <w:rsid w:val="00E11FA7"/>
    <w:rPr>
      <w:rFonts w:ascii="Calibri" w:hAnsi="Calibri"/>
      <w:b/>
      <w:bCs/>
      <w:i w:val="0"/>
      <w:iCs/>
      <w:sz w:val="24"/>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B837D4"/>
    <w:rPr>
      <w:rFonts w:ascii="Calibri" w:hAnsi="Calibri" w:cs="Times New Roman"/>
      <w:b/>
      <w:bCs/>
      <w:szCs w:val="20"/>
    </w:rPr>
  </w:style>
  <w:style w:type="paragraph" w:styleId="NormalWeb">
    <w:name w:val="Normal (Web)"/>
    <w:basedOn w:val="Normal"/>
    <w:uiPriority w:val="99"/>
    <w:rsid w:val="008D3A01"/>
    <w:pPr>
      <w:spacing w:before="100" w:beforeAutospacing="1" w:after="120" w:line="360" w:lineRule="auto"/>
    </w:pPr>
    <w:rPr>
      <w:rFonts w:ascii="Calibri" w:hAnsi="Calibri" w:cs="Times New Roman"/>
      <w:color w:val="333333"/>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D848A8"/>
    <w:rPr>
      <w:rFonts w:asciiTheme="minorHAnsi" w:hAnsiTheme="minorHAnsi" w:cstheme="minorHAnsi"/>
      <w:b/>
      <w:sz w:val="24"/>
      <w:szCs w:val="22"/>
    </w:rPr>
  </w:style>
  <w:style w:type="character" w:customStyle="1" w:styleId="Heading3Char">
    <w:name w:val="Heading 3 Char"/>
    <w:aliases w:val="3rd Level Heading Char"/>
    <w:link w:val="Heading3"/>
    <w:uiPriority w:val="9"/>
    <w:rsid w:val="0015270F"/>
    <w:rPr>
      <w:rFonts w:asciiTheme="minorHAnsi" w:hAnsiTheme="minorHAnsi" w:cstheme="minorHAnsi"/>
      <w:b/>
      <w:sz w:val="22"/>
      <w:szCs w:val="22"/>
    </w:rPr>
  </w:style>
  <w:style w:type="character" w:customStyle="1" w:styleId="Heading4Char">
    <w:name w:val="Heading 4 Char"/>
    <w:aliases w:val="4th Level Heading Char"/>
    <w:link w:val="Heading4"/>
    <w:uiPriority w:val="9"/>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FooterChar">
    <w:name w:val="Footer Char"/>
    <w:basedOn w:val="DefaultParagraphFont"/>
    <w:link w:val="Footer"/>
    <w:uiPriority w:val="99"/>
    <w:rsid w:val="008D3A01"/>
    <w:rPr>
      <w:rFonts w:asciiTheme="minorHAnsi" w:hAnsiTheme="minorHAnsi" w:cstheme="minorHAnsi"/>
      <w:sz w:val="22"/>
      <w:szCs w:val="22"/>
    </w:rPr>
  </w:style>
  <w:style w:type="table" w:styleId="TableClassic1">
    <w:name w:val="Table Classic 1"/>
    <w:basedOn w:val="TableNormal"/>
    <w:rsid w:val="008D3A01"/>
    <w:pPr>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link w:val="Caption"/>
    <w:locked/>
    <w:rsid w:val="0083263F"/>
    <w:rPr>
      <w:rFonts w:ascii="Calibri" w:hAnsi="Calibri"/>
      <w:color w:val="17365D" w:themeColor="text2" w:themeShade="BF"/>
      <w:sz w:val="22"/>
      <w:lang w:val="en-GB" w:eastAsia="en-US"/>
    </w:rPr>
  </w:style>
  <w:style w:type="paragraph" w:styleId="NoSpacing">
    <w:name w:val="No Spacing"/>
    <w:link w:val="NoSpacingChar"/>
    <w:uiPriority w:val="1"/>
    <w:qFormat/>
    <w:rsid w:val="008D3A01"/>
    <w:rPr>
      <w:rFonts w:asciiTheme="minorHAnsi" w:eastAsiaTheme="minorHAnsi" w:hAnsiTheme="minorHAnsi" w:cstheme="minorBidi"/>
      <w:sz w:val="22"/>
      <w:szCs w:val="22"/>
      <w:lang w:eastAsia="en-US"/>
    </w:rPr>
  </w:style>
  <w:style w:type="character" w:customStyle="1" w:styleId="Heading5Char">
    <w:name w:val="Heading 5 Char"/>
    <w:basedOn w:val="DefaultParagraphFont"/>
    <w:link w:val="Heading5"/>
    <w:uiPriority w:val="9"/>
    <w:rsid w:val="008D3A01"/>
    <w:rPr>
      <w:rFonts w:asciiTheme="majorHAnsi" w:eastAsiaTheme="majorEastAsia" w:hAnsiTheme="majorHAnsi" w:cstheme="majorBidi"/>
      <w:color w:val="243F60" w:themeColor="accent1" w:themeShade="7F"/>
      <w:sz w:val="22"/>
      <w:szCs w:val="22"/>
    </w:rPr>
  </w:style>
  <w:style w:type="character" w:customStyle="1" w:styleId="BalloonTextChar">
    <w:name w:val="Balloon Text Char"/>
    <w:basedOn w:val="DefaultParagraphFont"/>
    <w:link w:val="BalloonText"/>
    <w:uiPriority w:val="99"/>
    <w:semiHidden/>
    <w:rsid w:val="008D3A01"/>
    <w:rPr>
      <w:rFonts w:ascii="Tahoma" w:hAnsi="Tahoma" w:cs="Tahoma"/>
      <w:sz w:val="16"/>
      <w:szCs w:val="16"/>
    </w:rPr>
  </w:style>
  <w:style w:type="character" w:customStyle="1" w:styleId="maincenter">
    <w:name w:val="main_center"/>
    <w:basedOn w:val="DefaultParagraphFont"/>
    <w:rsid w:val="008D3A01"/>
  </w:style>
  <w:style w:type="paragraph" w:styleId="PlainText">
    <w:name w:val="Plain Text"/>
    <w:basedOn w:val="Normal"/>
    <w:link w:val="PlainTextChar"/>
    <w:uiPriority w:val="99"/>
    <w:rsid w:val="008D3A01"/>
    <w:pPr>
      <w:jc w:val="left"/>
    </w:pPr>
    <w:rPr>
      <w:rFonts w:ascii="Courier New" w:hAnsi="Courier New" w:cs="Courier New"/>
      <w:sz w:val="20"/>
      <w:szCs w:val="20"/>
      <w:lang w:val="en-US" w:eastAsia="en-US"/>
    </w:rPr>
  </w:style>
  <w:style w:type="character" w:customStyle="1" w:styleId="PlainTextChar">
    <w:name w:val="Plain Text Char"/>
    <w:basedOn w:val="DefaultParagraphFont"/>
    <w:link w:val="PlainText"/>
    <w:uiPriority w:val="99"/>
    <w:rsid w:val="008D3A01"/>
    <w:rPr>
      <w:rFonts w:ascii="Courier New" w:hAnsi="Courier New" w:cs="Courier New"/>
      <w:lang w:val="en-US" w:eastAsia="en-US"/>
    </w:rPr>
  </w:style>
  <w:style w:type="character" w:customStyle="1" w:styleId="CommentSubjectChar">
    <w:name w:val="Comment Subject Char"/>
    <w:basedOn w:val="CommentTextChar"/>
    <w:link w:val="CommentSubject"/>
    <w:uiPriority w:val="99"/>
    <w:semiHidden/>
    <w:rsid w:val="008D3A01"/>
    <w:rPr>
      <w:rFonts w:asciiTheme="minorHAnsi" w:hAnsiTheme="minorHAnsi" w:cstheme="minorHAnsi"/>
      <w:b/>
      <w:bCs/>
    </w:rPr>
  </w:style>
  <w:style w:type="paragraph" w:styleId="BodyTextIndent">
    <w:name w:val="Body Text Indent"/>
    <w:basedOn w:val="Normal"/>
    <w:link w:val="BodyTextIndentChar"/>
    <w:uiPriority w:val="99"/>
    <w:unhideWhenUsed/>
    <w:rsid w:val="008D3A01"/>
    <w:pPr>
      <w:spacing w:after="120"/>
      <w:ind w:left="567" w:hanging="567"/>
      <w:jc w:val="left"/>
    </w:pPr>
    <w:rPr>
      <w:rFonts w:ascii="Times New Roman" w:eastAsiaTheme="minorEastAsia" w:hAnsi="Times New Roman" w:cs="Times New Roman"/>
      <w:sz w:val="20"/>
      <w:szCs w:val="20"/>
      <w:lang w:eastAsia="ja-JP"/>
    </w:rPr>
  </w:style>
  <w:style w:type="character" w:customStyle="1" w:styleId="BodyTextIndentChar">
    <w:name w:val="Body Text Indent Char"/>
    <w:basedOn w:val="DefaultParagraphFont"/>
    <w:link w:val="BodyTextIndent"/>
    <w:uiPriority w:val="99"/>
    <w:rsid w:val="008D3A01"/>
    <w:rPr>
      <w:rFonts w:eastAsiaTheme="minorEastAsia"/>
      <w:lang w:eastAsia="ja-JP"/>
    </w:rPr>
  </w:style>
  <w:style w:type="paragraph" w:styleId="TOCHeading">
    <w:name w:val="TOC Heading"/>
    <w:basedOn w:val="Heading1"/>
    <w:next w:val="Normal"/>
    <w:uiPriority w:val="39"/>
    <w:unhideWhenUsed/>
    <w:qFormat/>
    <w:rsid w:val="005E0A0B"/>
    <w:pPr>
      <w:keepLines/>
      <w:spacing w:before="480" w:after="0"/>
      <w:outlineLvl w:val="9"/>
    </w:pPr>
    <w:rPr>
      <w:rFonts w:asciiTheme="majorHAnsi" w:eastAsiaTheme="majorEastAsia" w:hAnsiTheme="majorHAnsi" w:cstheme="majorBidi"/>
      <w:caps w:val="0"/>
      <w:color w:val="365F91" w:themeColor="accent1" w:themeShade="BF"/>
      <w:kern w:val="0"/>
      <w:sz w:val="28"/>
      <w:szCs w:val="28"/>
    </w:rPr>
  </w:style>
  <w:style w:type="character" w:customStyle="1" w:styleId="Heading6Char">
    <w:name w:val="Heading 6 Char"/>
    <w:basedOn w:val="DefaultParagraphFont"/>
    <w:link w:val="Heading6"/>
    <w:uiPriority w:val="9"/>
    <w:rsid w:val="005E0A0B"/>
    <w:rPr>
      <w:rFonts w:asciiTheme="minorHAnsi" w:eastAsiaTheme="minorEastAsia" w:hAnsiTheme="minorHAnsi" w:cstheme="minorBidi"/>
      <w:smallCaps/>
      <w:color w:val="C0504D" w:themeColor="accent2"/>
      <w:spacing w:val="5"/>
      <w:sz w:val="22"/>
      <w:lang w:eastAsia="en-US"/>
    </w:rPr>
  </w:style>
  <w:style w:type="character" w:customStyle="1" w:styleId="Heading7Char">
    <w:name w:val="Heading 7 Char"/>
    <w:basedOn w:val="DefaultParagraphFont"/>
    <w:link w:val="Heading7"/>
    <w:uiPriority w:val="9"/>
    <w:semiHidden/>
    <w:rsid w:val="005E0A0B"/>
    <w:rPr>
      <w:rFonts w:asciiTheme="minorHAnsi" w:eastAsiaTheme="minorEastAsia" w:hAnsiTheme="minorHAnsi" w:cstheme="minorBidi"/>
      <w:b/>
      <w:smallCaps/>
      <w:color w:val="C0504D" w:themeColor="accent2"/>
      <w:spacing w:val="10"/>
      <w:sz w:val="22"/>
      <w:lang w:eastAsia="en-US"/>
    </w:rPr>
  </w:style>
  <w:style w:type="character" w:customStyle="1" w:styleId="Heading8Char">
    <w:name w:val="Heading 8 Char"/>
    <w:basedOn w:val="DefaultParagraphFont"/>
    <w:link w:val="Heading8"/>
    <w:uiPriority w:val="9"/>
    <w:semiHidden/>
    <w:rsid w:val="005E0A0B"/>
    <w:rPr>
      <w:rFonts w:asciiTheme="minorHAnsi" w:eastAsiaTheme="minorEastAsia" w:hAnsiTheme="minorHAnsi" w:cstheme="minorBidi"/>
      <w:b/>
      <w:i/>
      <w:smallCaps/>
      <w:color w:val="943634" w:themeColor="accent2" w:themeShade="BF"/>
      <w:sz w:val="22"/>
      <w:lang w:eastAsia="en-US"/>
    </w:rPr>
  </w:style>
  <w:style w:type="character" w:customStyle="1" w:styleId="Heading9Char">
    <w:name w:val="Heading 9 Char"/>
    <w:basedOn w:val="DefaultParagraphFont"/>
    <w:link w:val="Heading9"/>
    <w:uiPriority w:val="9"/>
    <w:semiHidden/>
    <w:rsid w:val="005E0A0B"/>
    <w:rPr>
      <w:rFonts w:asciiTheme="minorHAnsi" w:eastAsiaTheme="minorEastAsia" w:hAnsiTheme="minorHAnsi" w:cstheme="minorBidi"/>
      <w:b/>
      <w:i/>
      <w:smallCaps/>
      <w:color w:val="622423" w:themeColor="accent2" w:themeShade="7F"/>
      <w:sz w:val="22"/>
      <w:lang w:eastAsia="en-US"/>
    </w:rPr>
  </w:style>
  <w:style w:type="character" w:styleId="Strong">
    <w:name w:val="Strong"/>
    <w:uiPriority w:val="22"/>
    <w:qFormat/>
    <w:rsid w:val="005E0A0B"/>
    <w:rPr>
      <w:b/>
      <w:color w:val="C0504D" w:themeColor="accent2"/>
    </w:rPr>
  </w:style>
  <w:style w:type="character" w:customStyle="1" w:styleId="NoSpacingChar">
    <w:name w:val="No Spacing Char"/>
    <w:basedOn w:val="DefaultParagraphFont"/>
    <w:link w:val="NoSpacing"/>
    <w:uiPriority w:val="1"/>
    <w:rsid w:val="005E0A0B"/>
    <w:rPr>
      <w:rFonts w:asciiTheme="minorHAnsi" w:eastAsiaTheme="minorHAnsi" w:hAnsiTheme="minorHAnsi" w:cstheme="minorBidi"/>
      <w:sz w:val="22"/>
      <w:szCs w:val="22"/>
      <w:lang w:eastAsia="en-US"/>
    </w:rPr>
  </w:style>
  <w:style w:type="paragraph" w:styleId="Quote">
    <w:name w:val="Quote"/>
    <w:basedOn w:val="Normal"/>
    <w:next w:val="Normal"/>
    <w:link w:val="QuoteChar"/>
    <w:uiPriority w:val="29"/>
    <w:qFormat/>
    <w:rsid w:val="005E0A0B"/>
    <w:pPr>
      <w:spacing w:after="320" w:line="276" w:lineRule="auto"/>
    </w:pPr>
    <w:rPr>
      <w:rFonts w:eastAsiaTheme="minorEastAsia" w:cstheme="minorBidi"/>
      <w:i/>
      <w:szCs w:val="20"/>
      <w:lang w:eastAsia="en-US"/>
    </w:rPr>
  </w:style>
  <w:style w:type="character" w:customStyle="1" w:styleId="QuoteChar">
    <w:name w:val="Quote Char"/>
    <w:basedOn w:val="DefaultParagraphFont"/>
    <w:link w:val="Quote"/>
    <w:uiPriority w:val="29"/>
    <w:rsid w:val="005E0A0B"/>
    <w:rPr>
      <w:rFonts w:asciiTheme="minorHAnsi" w:eastAsiaTheme="minorEastAsia" w:hAnsiTheme="minorHAnsi" w:cstheme="minorBidi"/>
      <w:i/>
      <w:sz w:val="22"/>
      <w:lang w:eastAsia="en-US"/>
    </w:rPr>
  </w:style>
  <w:style w:type="paragraph" w:styleId="IntenseQuote">
    <w:name w:val="Intense Quote"/>
    <w:basedOn w:val="Normal"/>
    <w:next w:val="Normal"/>
    <w:link w:val="IntenseQuoteChar"/>
    <w:uiPriority w:val="30"/>
    <w:qFormat/>
    <w:rsid w:val="005E0A0B"/>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line="276" w:lineRule="auto"/>
      <w:ind w:left="1440" w:right="1440"/>
    </w:pPr>
    <w:rPr>
      <w:rFonts w:eastAsiaTheme="minorEastAsia" w:cstheme="minorBidi"/>
      <w:b/>
      <w:i/>
      <w:color w:val="FFFFFF" w:themeColor="background1"/>
      <w:szCs w:val="20"/>
      <w:lang w:eastAsia="en-US"/>
    </w:rPr>
  </w:style>
  <w:style w:type="character" w:customStyle="1" w:styleId="IntenseQuoteChar">
    <w:name w:val="Intense Quote Char"/>
    <w:basedOn w:val="DefaultParagraphFont"/>
    <w:link w:val="IntenseQuote"/>
    <w:uiPriority w:val="30"/>
    <w:rsid w:val="005E0A0B"/>
    <w:rPr>
      <w:rFonts w:asciiTheme="minorHAnsi" w:eastAsiaTheme="minorEastAsia" w:hAnsiTheme="minorHAnsi" w:cstheme="minorBidi"/>
      <w:b/>
      <w:i/>
      <w:color w:val="FFFFFF" w:themeColor="background1"/>
      <w:sz w:val="22"/>
      <w:shd w:val="clear" w:color="auto" w:fill="C0504D" w:themeFill="accent2"/>
      <w:lang w:eastAsia="en-US"/>
    </w:rPr>
  </w:style>
  <w:style w:type="character" w:styleId="SubtleEmphasis">
    <w:name w:val="Subtle Emphasis"/>
    <w:uiPriority w:val="19"/>
    <w:qFormat/>
    <w:rsid w:val="005E0A0B"/>
    <w:rPr>
      <w:i/>
    </w:rPr>
  </w:style>
  <w:style w:type="character" w:styleId="IntenseEmphasis">
    <w:name w:val="Intense Emphasis"/>
    <w:uiPriority w:val="21"/>
    <w:qFormat/>
    <w:rsid w:val="005E0A0B"/>
    <w:rPr>
      <w:b/>
      <w:i/>
      <w:color w:val="C0504D" w:themeColor="accent2"/>
      <w:spacing w:val="10"/>
    </w:rPr>
  </w:style>
  <w:style w:type="character" w:styleId="SubtleReference">
    <w:name w:val="Subtle Reference"/>
    <w:uiPriority w:val="31"/>
    <w:qFormat/>
    <w:rsid w:val="005E0A0B"/>
    <w:rPr>
      <w:b/>
    </w:rPr>
  </w:style>
  <w:style w:type="character" w:styleId="IntenseReference">
    <w:name w:val="Intense Reference"/>
    <w:uiPriority w:val="32"/>
    <w:qFormat/>
    <w:rsid w:val="005E0A0B"/>
    <w:rPr>
      <w:b/>
      <w:bCs/>
      <w:smallCaps/>
      <w:spacing w:val="5"/>
      <w:sz w:val="22"/>
      <w:szCs w:val="22"/>
      <w:u w:val="single"/>
    </w:rPr>
  </w:style>
  <w:style w:type="character" w:styleId="BookTitle">
    <w:name w:val="Book Title"/>
    <w:uiPriority w:val="33"/>
    <w:qFormat/>
    <w:rsid w:val="00E838DF"/>
    <w:rPr>
      <w:rFonts w:asciiTheme="majorHAnsi" w:eastAsiaTheme="majorEastAsia" w:hAnsiTheme="majorHAnsi" w:cstheme="majorBidi"/>
      <w:i w:val="0"/>
      <w:iCs/>
      <w:sz w:val="20"/>
      <w:szCs w:val="20"/>
    </w:rPr>
  </w:style>
  <w:style w:type="paragraph" w:customStyle="1" w:styleId="Dotindent">
    <w:name w:val="Dot&amp;indent"/>
    <w:basedOn w:val="Normal"/>
    <w:link w:val="DotindentChar"/>
    <w:qFormat/>
    <w:rsid w:val="005E0A0B"/>
    <w:pPr>
      <w:numPr>
        <w:numId w:val="4"/>
      </w:numPr>
      <w:spacing w:before="0" w:after="200" w:line="276" w:lineRule="auto"/>
      <w:jc w:val="left"/>
    </w:pPr>
    <w:rPr>
      <w:rFonts w:eastAsiaTheme="minorHAnsi" w:cstheme="minorBidi"/>
      <w:lang w:eastAsia="en-US"/>
    </w:rPr>
  </w:style>
  <w:style w:type="character" w:customStyle="1" w:styleId="DotindentChar">
    <w:name w:val="Dot&amp;indent Char"/>
    <w:basedOn w:val="DefaultParagraphFont"/>
    <w:link w:val="Dotindent"/>
    <w:rsid w:val="005E0A0B"/>
    <w:rPr>
      <w:rFonts w:asciiTheme="minorHAnsi" w:eastAsiaTheme="minorHAnsi" w:hAnsiTheme="minorHAnsi" w:cstheme="minorBidi"/>
      <w:sz w:val="22"/>
      <w:szCs w:val="22"/>
      <w:lang w:eastAsia="en-US"/>
    </w:rPr>
  </w:style>
  <w:style w:type="paragraph" w:customStyle="1" w:styleId="TableHeading1">
    <w:name w:val="Table Heading 1"/>
    <w:rsid w:val="005E0A0B"/>
    <w:pPr>
      <w:spacing w:before="60" w:after="100"/>
      <w:ind w:left="85" w:right="85"/>
    </w:pPr>
    <w:rPr>
      <w:rFonts w:ascii="Arial" w:hAnsi="Arial"/>
      <w:b/>
    </w:rPr>
  </w:style>
  <w:style w:type="character" w:customStyle="1" w:styleId="SuperScript">
    <w:name w:val="SuperScript"/>
    <w:rsid w:val="005E0A0B"/>
    <w:rPr>
      <w:dstrike w:val="0"/>
      <w:vertAlign w:val="superscript"/>
    </w:rPr>
  </w:style>
  <w:style w:type="paragraph" w:styleId="Revision">
    <w:name w:val="Revision"/>
    <w:hidden/>
    <w:uiPriority w:val="99"/>
    <w:semiHidden/>
    <w:rsid w:val="005E0A0B"/>
    <w:rPr>
      <w:rFonts w:asciiTheme="minorHAnsi" w:eastAsiaTheme="minorEastAsia" w:hAnsiTheme="minorHAnsi" w:cstheme="minorBidi"/>
      <w:sz w:val="22"/>
      <w:lang w:eastAsia="en-US"/>
    </w:rPr>
  </w:style>
  <w:style w:type="paragraph" w:styleId="ListBullet">
    <w:name w:val="List Bullet"/>
    <w:basedOn w:val="Normal"/>
    <w:uiPriority w:val="99"/>
    <w:unhideWhenUsed/>
    <w:rsid w:val="005E0A0B"/>
    <w:pPr>
      <w:numPr>
        <w:numId w:val="5"/>
      </w:numPr>
      <w:spacing w:after="320" w:line="276" w:lineRule="auto"/>
      <w:contextualSpacing/>
    </w:pPr>
    <w:rPr>
      <w:rFonts w:eastAsiaTheme="minorEastAsia" w:cstheme="minorBidi"/>
      <w:szCs w:val="20"/>
      <w:lang w:eastAsia="en-US"/>
    </w:rPr>
  </w:style>
  <w:style w:type="character" w:styleId="FollowedHyperlink">
    <w:name w:val="FollowedHyperlink"/>
    <w:basedOn w:val="DefaultParagraphFont"/>
    <w:uiPriority w:val="99"/>
    <w:semiHidden/>
    <w:unhideWhenUsed/>
    <w:rsid w:val="005E0A0B"/>
    <w:rPr>
      <w:color w:val="800080" w:themeColor="followedHyperlink"/>
      <w:u w:val="single"/>
    </w:rPr>
  </w:style>
  <w:style w:type="character" w:customStyle="1" w:styleId="apple-converted-space">
    <w:name w:val="apple-converted-space"/>
    <w:basedOn w:val="DefaultParagraphFont"/>
    <w:rsid w:val="00BA48A9"/>
  </w:style>
  <w:style w:type="paragraph" w:customStyle="1" w:styleId="EndNoteBibliographyTitle">
    <w:name w:val="EndNote Bibliography Title"/>
    <w:basedOn w:val="Normal"/>
    <w:link w:val="EndNoteBibliographyTitleChar"/>
    <w:rsid w:val="00BA48A9"/>
    <w:pPr>
      <w:spacing w:before="0" w:after="0" w:line="276" w:lineRule="auto"/>
      <w:jc w:val="center"/>
    </w:pPr>
    <w:rPr>
      <w:rFonts w:ascii="Calibri" w:eastAsiaTheme="minorHAnsi" w:hAnsi="Calibri" w:cstheme="minorBidi"/>
      <w:noProof/>
      <w:lang w:val="en-US" w:eastAsia="en-US"/>
    </w:rPr>
  </w:style>
  <w:style w:type="character" w:customStyle="1" w:styleId="EndNoteBibliographyTitleChar">
    <w:name w:val="EndNote Bibliography Title Char"/>
    <w:basedOn w:val="DefaultParagraphFont"/>
    <w:link w:val="EndNoteBibliographyTitle"/>
    <w:rsid w:val="00BA48A9"/>
    <w:rPr>
      <w:rFonts w:ascii="Calibri" w:eastAsiaTheme="minorHAnsi" w:hAnsi="Calibri" w:cstheme="minorBidi"/>
      <w:noProof/>
      <w:sz w:val="22"/>
      <w:szCs w:val="22"/>
      <w:lang w:val="en-US" w:eastAsia="en-US"/>
    </w:rPr>
  </w:style>
  <w:style w:type="paragraph" w:customStyle="1" w:styleId="EndNoteBibliography">
    <w:name w:val="EndNote Bibliography"/>
    <w:basedOn w:val="Normal"/>
    <w:link w:val="EndNoteBibliographyChar"/>
    <w:rsid w:val="00BA48A9"/>
    <w:pPr>
      <w:spacing w:before="0" w:after="200"/>
      <w:jc w:val="left"/>
    </w:pPr>
    <w:rPr>
      <w:rFonts w:ascii="Calibri" w:eastAsiaTheme="minorHAnsi" w:hAnsi="Calibri" w:cstheme="minorBidi"/>
      <w:noProof/>
      <w:lang w:val="en-US" w:eastAsia="en-US"/>
    </w:rPr>
  </w:style>
  <w:style w:type="character" w:customStyle="1" w:styleId="EndNoteBibliographyChar">
    <w:name w:val="EndNote Bibliography Char"/>
    <w:basedOn w:val="DefaultParagraphFont"/>
    <w:link w:val="EndNoteBibliography"/>
    <w:rsid w:val="00BA48A9"/>
    <w:rPr>
      <w:rFonts w:ascii="Calibri" w:eastAsiaTheme="minorHAnsi" w:hAnsi="Calibri" w:cstheme="minorBidi"/>
      <w:noProof/>
      <w:sz w:val="22"/>
      <w:szCs w:val="22"/>
      <w:lang w:val="en-US" w:eastAsia="en-US"/>
    </w:rPr>
  </w:style>
  <w:style w:type="paragraph" w:customStyle="1" w:styleId="Figurecaption">
    <w:name w:val="Figure caption"/>
    <w:basedOn w:val="Normal"/>
    <w:link w:val="FigurecaptionCharChar"/>
    <w:rsid w:val="0057279E"/>
    <w:pPr>
      <w:numPr>
        <w:numId w:val="6"/>
      </w:numPr>
      <w:spacing w:before="240" w:after="120" w:line="80" w:lineRule="atLeast"/>
      <w:ind w:left="0" w:firstLine="0"/>
      <w:jc w:val="center"/>
    </w:pPr>
    <w:rPr>
      <w:rFonts w:ascii="Arial" w:hAnsi="Arial" w:cs="Times New Roman"/>
      <w:color w:val="17365D" w:themeColor="text2" w:themeShade="BF"/>
      <w:szCs w:val="24"/>
      <w:lang w:val="en-GB" w:eastAsia="en-US"/>
    </w:rPr>
  </w:style>
  <w:style w:type="paragraph" w:customStyle="1" w:styleId="Bodystyle">
    <w:name w:val="Body style"/>
    <w:basedOn w:val="Normal"/>
    <w:rsid w:val="0057279E"/>
    <w:pPr>
      <w:spacing w:before="0"/>
      <w:jc w:val="left"/>
    </w:pPr>
    <w:rPr>
      <w:rFonts w:ascii="Arial" w:hAnsi="Arial" w:cs="Times New Roman"/>
      <w:szCs w:val="24"/>
      <w:lang w:eastAsia="en-US"/>
    </w:rPr>
  </w:style>
  <w:style w:type="character" w:customStyle="1" w:styleId="FigurecaptionCharChar">
    <w:name w:val="Figure caption Char Char"/>
    <w:basedOn w:val="CaptionChar"/>
    <w:link w:val="Figurecaption"/>
    <w:rsid w:val="0057279E"/>
    <w:rPr>
      <w:rFonts w:ascii="Arial" w:hAnsi="Arial"/>
      <w:color w:val="17365D" w:themeColor="text2" w:themeShade="BF"/>
      <w:sz w:val="22"/>
      <w:szCs w:val="24"/>
      <w:lang w:val="en-GB" w:eastAsia="en-US"/>
    </w:rPr>
  </w:style>
  <w:style w:type="paragraph" w:styleId="TableofFigures">
    <w:name w:val="table of figures"/>
    <w:basedOn w:val="Normal"/>
    <w:next w:val="Normal"/>
    <w:uiPriority w:val="99"/>
    <w:unhideWhenUsed/>
    <w:rsid w:val="00C762F1"/>
    <w:pPr>
      <w:spacing w:after="0"/>
    </w:pPr>
  </w:style>
  <w:style w:type="paragraph" w:customStyle="1" w:styleId="References">
    <w:name w:val="References"/>
    <w:basedOn w:val="Normal"/>
    <w:next w:val="Normal"/>
    <w:rsid w:val="00DE50E3"/>
    <w:pPr>
      <w:spacing w:before="0" w:after="0" w:line="360" w:lineRule="auto"/>
      <w:ind w:left="567" w:hanging="567"/>
    </w:pPr>
    <w:rPr>
      <w:rFonts w:ascii="Times New Roman" w:hAnsi="Times New Roman" w:cs="Times New Roman"/>
      <w:szCs w:val="20"/>
      <w:lang w:eastAsia="en-US"/>
    </w:rPr>
  </w:style>
  <w:style w:type="character" w:customStyle="1" w:styleId="current-selection">
    <w:name w:val="current-selection"/>
    <w:basedOn w:val="DefaultParagraphFont"/>
    <w:rsid w:val="00173CFC"/>
  </w:style>
  <w:style w:type="character" w:customStyle="1" w:styleId="highlight">
    <w:name w:val="highlight"/>
    <w:basedOn w:val="DefaultParagraphFont"/>
    <w:rsid w:val="00DF610D"/>
  </w:style>
  <w:style w:type="character" w:customStyle="1" w:styleId="ff1">
    <w:name w:val="ff1"/>
    <w:basedOn w:val="DefaultParagraphFont"/>
    <w:rsid w:val="001D2850"/>
  </w:style>
  <w:style w:type="character" w:customStyle="1" w:styleId="st">
    <w:name w:val="st"/>
    <w:basedOn w:val="DefaultParagraphFont"/>
    <w:rsid w:val="00E838DF"/>
  </w:style>
  <w:style w:type="character" w:customStyle="1" w:styleId="ipa1">
    <w:name w:val="ipa1"/>
    <w:rsid w:val="0015270F"/>
    <w:rPr>
      <w:rFonts w:ascii="Arial Unicode MS" w:eastAsia="Arial Unicode MS" w:hAnsi="Arial Unicode MS" w:cs="Arial Unicode MS" w:hint="eastAsia"/>
    </w:rPr>
  </w:style>
  <w:style w:type="character" w:customStyle="1" w:styleId="plainlinks">
    <w:name w:val="plainlinks"/>
    <w:basedOn w:val="DefaultParagraphFont"/>
    <w:rsid w:val="0015270F"/>
  </w:style>
  <w:style w:type="character" w:customStyle="1" w:styleId="geo-dms1">
    <w:name w:val="geo-dms1"/>
    <w:rsid w:val="0015270F"/>
    <w:rPr>
      <w:vanish w:val="0"/>
      <w:webHidden w:val="0"/>
      <w:specVanish/>
    </w:rPr>
  </w:style>
  <w:style w:type="character" w:customStyle="1" w:styleId="latitude1">
    <w:name w:val="latitude1"/>
    <w:basedOn w:val="DefaultParagraphFont"/>
    <w:rsid w:val="0015270F"/>
  </w:style>
  <w:style w:type="character" w:customStyle="1" w:styleId="longitude1">
    <w:name w:val="longitude1"/>
    <w:basedOn w:val="DefaultParagraphFont"/>
    <w:rsid w:val="0015270F"/>
  </w:style>
  <w:style w:type="character" w:customStyle="1" w:styleId="geo-multi-punct1">
    <w:name w:val="geo-multi-punct1"/>
    <w:rsid w:val="0015270F"/>
    <w:rPr>
      <w:vanish/>
      <w:webHidden w:val="0"/>
      <w:specVanish/>
    </w:rPr>
  </w:style>
  <w:style w:type="character" w:customStyle="1" w:styleId="geo-nondefault1">
    <w:name w:val="geo-nondefault1"/>
    <w:rsid w:val="0015270F"/>
    <w:rPr>
      <w:vanish/>
      <w:webHidden w:val="0"/>
      <w:specVanish/>
    </w:rPr>
  </w:style>
  <w:style w:type="character" w:customStyle="1" w:styleId="geo-dec1">
    <w:name w:val="geo-dec1"/>
    <w:rsid w:val="0015270F"/>
    <w:rPr>
      <w:vanish w:val="0"/>
      <w:webHidden w:val="0"/>
      <w:specVanish/>
    </w:rPr>
  </w:style>
  <w:style w:type="character" w:customStyle="1" w:styleId="geo">
    <w:name w:val="geo"/>
    <w:basedOn w:val="DefaultParagraphFont"/>
    <w:rsid w:val="0015270F"/>
  </w:style>
  <w:style w:type="character" w:customStyle="1" w:styleId="apple-style-span">
    <w:name w:val="apple-style-span"/>
    <w:basedOn w:val="DefaultParagraphFont"/>
    <w:rsid w:val="0015270F"/>
  </w:style>
  <w:style w:type="paragraph" w:customStyle="1" w:styleId="ParaFirst8">
    <w:name w:val="ParaFirst/8"/>
    <w:basedOn w:val="Normal"/>
    <w:rsid w:val="0015270F"/>
    <w:pPr>
      <w:spacing w:after="120" w:line="300" w:lineRule="exact"/>
      <w:jc w:val="left"/>
    </w:pPr>
    <w:rPr>
      <w:rFonts w:ascii="Times New Roman" w:hAnsi="Times New Roman" w:cs="Times New Roman"/>
      <w:sz w:val="20"/>
      <w:szCs w:val="20"/>
      <w:lang w:eastAsia="en-US"/>
    </w:rPr>
  </w:style>
  <w:style w:type="paragraph" w:customStyle="1" w:styleId="MediumGrid1-Accent21">
    <w:name w:val="Medium Grid 1 - Accent 21"/>
    <w:basedOn w:val="Normal"/>
    <w:qFormat/>
    <w:rsid w:val="0015270F"/>
    <w:pPr>
      <w:spacing w:before="0" w:after="120" w:line="120" w:lineRule="atLeast"/>
      <w:contextualSpacing/>
      <w:jc w:val="left"/>
    </w:pPr>
    <w:rPr>
      <w:rFonts w:ascii="Calibri" w:hAnsi="Calibri" w:cs="Times New Roman"/>
      <w:sz w:val="20"/>
      <w:lang w:val="en-US" w:eastAsia="en-US" w:bidi="en-US"/>
    </w:rPr>
  </w:style>
  <w:style w:type="character" w:customStyle="1" w:styleId="BodyTextChar">
    <w:name w:val="Body Text Char"/>
    <w:basedOn w:val="DefaultParagraphFont"/>
    <w:link w:val="BodyText"/>
    <w:rsid w:val="0015270F"/>
    <w:rPr>
      <w:rFonts w:asciiTheme="minorHAnsi" w:hAnsiTheme="minorHAnsi" w:cstheme="minorHAnsi"/>
      <w:sz w:val="22"/>
      <w:szCs w:val="22"/>
    </w:rPr>
  </w:style>
  <w:style w:type="paragraph" w:customStyle="1" w:styleId="Table">
    <w:name w:val="Table"/>
    <w:basedOn w:val="Normal"/>
    <w:link w:val="TableChar"/>
    <w:rsid w:val="0015270F"/>
    <w:pPr>
      <w:spacing w:before="0" w:after="120" w:line="360" w:lineRule="auto"/>
      <w:jc w:val="left"/>
    </w:pPr>
    <w:rPr>
      <w:rFonts w:ascii="Arial Narrow" w:hAnsi="Arial Narrow" w:cs="Times New Roman"/>
      <w:sz w:val="20"/>
      <w:szCs w:val="20"/>
      <w:lang w:val="en-GB" w:eastAsia="en-US"/>
    </w:rPr>
  </w:style>
  <w:style w:type="character" w:customStyle="1" w:styleId="TableChar">
    <w:name w:val="Table Char"/>
    <w:link w:val="Table"/>
    <w:rsid w:val="0015270F"/>
    <w:rPr>
      <w:rFonts w:ascii="Arial Narrow" w:hAnsi="Arial Narrow"/>
      <w:lang w:val="en-GB" w:eastAsia="en-US"/>
    </w:rPr>
  </w:style>
  <w:style w:type="paragraph" w:customStyle="1" w:styleId="Reportrefs">
    <w:name w:val="Report refs"/>
    <w:basedOn w:val="Normal"/>
    <w:rsid w:val="0015270F"/>
    <w:pPr>
      <w:spacing w:before="0" w:after="180" w:line="120" w:lineRule="atLeast"/>
      <w:ind w:left="432" w:hanging="432"/>
      <w:jc w:val="left"/>
    </w:pPr>
    <w:rPr>
      <w:rFonts w:ascii="Gill Sans MT" w:hAnsi="Gill Sans MT" w:cs="Times New Roman"/>
      <w:sz w:val="24"/>
      <w:szCs w:val="20"/>
      <w:lang w:val="en-GB" w:eastAsia="en-US"/>
    </w:rPr>
  </w:style>
  <w:style w:type="paragraph" w:customStyle="1" w:styleId="indenthang1">
    <w:name w:val="indenthang1"/>
    <w:basedOn w:val="Normal"/>
    <w:link w:val="indenthang1Char"/>
    <w:rsid w:val="0015270F"/>
    <w:pPr>
      <w:spacing w:before="100" w:after="100" w:line="120" w:lineRule="atLeast"/>
      <w:ind w:left="480" w:hanging="168"/>
      <w:jc w:val="left"/>
    </w:pPr>
    <w:rPr>
      <w:rFonts w:ascii="Arial" w:hAnsi="Arial" w:cs="Times New Roman"/>
      <w:sz w:val="20"/>
      <w:szCs w:val="24"/>
      <w:lang w:val="en-US" w:eastAsia="en-US"/>
    </w:rPr>
  </w:style>
  <w:style w:type="character" w:customStyle="1" w:styleId="indenthang1Char">
    <w:name w:val="indenthang1 Char"/>
    <w:basedOn w:val="DefaultParagraphFont"/>
    <w:link w:val="indenthang1"/>
    <w:rsid w:val="0015270F"/>
    <w:rPr>
      <w:rFonts w:ascii="Arial" w:hAnsi="Arial"/>
      <w:szCs w:val="24"/>
      <w:lang w:val="en-US" w:eastAsia="en-US"/>
    </w:rPr>
  </w:style>
  <w:style w:type="numbering" w:customStyle="1" w:styleId="NoList1">
    <w:name w:val="No List1"/>
    <w:next w:val="NoList"/>
    <w:uiPriority w:val="99"/>
    <w:semiHidden/>
    <w:unhideWhenUsed/>
    <w:rsid w:val="0015270F"/>
  </w:style>
  <w:style w:type="character" w:customStyle="1" w:styleId="HTMLPreformattedChar">
    <w:name w:val="HTML Preformatted Char"/>
    <w:basedOn w:val="DefaultParagraphFont"/>
    <w:link w:val="HTMLPreformatted"/>
    <w:uiPriority w:val="99"/>
    <w:rsid w:val="0015270F"/>
    <w:rPr>
      <w:rFonts w:ascii="Courier New" w:hAnsi="Courier New" w:cs="Courier New"/>
    </w:rPr>
  </w:style>
  <w:style w:type="character" w:customStyle="1" w:styleId="esrielement1">
    <w:name w:val="esrielement1"/>
    <w:basedOn w:val="DefaultParagraphFont"/>
    <w:rsid w:val="0015270F"/>
    <w:rPr>
      <w:b w:val="0"/>
      <w:bCs w:val="0"/>
      <w:smallCaps/>
      <w:color w:val="006400"/>
      <w:sz w:val="22"/>
      <w:szCs w:val="22"/>
    </w:rPr>
  </w:style>
  <w:style w:type="character" w:customStyle="1" w:styleId="code1">
    <w:name w:val="code1"/>
    <w:basedOn w:val="DefaultParagraphFont"/>
    <w:rsid w:val="0015270F"/>
    <w:rPr>
      <w:rFonts w:ascii="Courier New" w:hAnsi="Courier New" w:cs="Courier New" w:hint="default"/>
    </w:rPr>
  </w:style>
  <w:style w:type="paragraph" w:styleId="TOC5">
    <w:name w:val="toc 5"/>
    <w:basedOn w:val="Normal"/>
    <w:next w:val="Normal"/>
    <w:autoRedefine/>
    <w:uiPriority w:val="39"/>
    <w:unhideWhenUsed/>
    <w:rsid w:val="0015270F"/>
    <w:pPr>
      <w:spacing w:before="0" w:after="100" w:line="276" w:lineRule="auto"/>
      <w:ind w:left="880"/>
      <w:jc w:val="left"/>
    </w:pPr>
    <w:rPr>
      <w:rFonts w:eastAsiaTheme="minorEastAsia" w:cstheme="minorBidi"/>
    </w:rPr>
  </w:style>
  <w:style w:type="paragraph" w:styleId="TOC6">
    <w:name w:val="toc 6"/>
    <w:basedOn w:val="Normal"/>
    <w:next w:val="Normal"/>
    <w:autoRedefine/>
    <w:uiPriority w:val="39"/>
    <w:unhideWhenUsed/>
    <w:rsid w:val="0015270F"/>
    <w:pPr>
      <w:spacing w:before="0" w:after="100" w:line="276" w:lineRule="auto"/>
      <w:ind w:left="1100"/>
      <w:jc w:val="left"/>
    </w:pPr>
    <w:rPr>
      <w:rFonts w:eastAsiaTheme="minorEastAsia" w:cstheme="minorBidi"/>
    </w:rPr>
  </w:style>
  <w:style w:type="paragraph" w:styleId="TOC7">
    <w:name w:val="toc 7"/>
    <w:basedOn w:val="Normal"/>
    <w:next w:val="Normal"/>
    <w:autoRedefine/>
    <w:uiPriority w:val="39"/>
    <w:unhideWhenUsed/>
    <w:rsid w:val="0015270F"/>
    <w:pPr>
      <w:spacing w:before="0" w:after="100" w:line="276" w:lineRule="auto"/>
      <w:ind w:left="1320"/>
      <w:jc w:val="left"/>
    </w:pPr>
    <w:rPr>
      <w:rFonts w:eastAsiaTheme="minorEastAsia" w:cstheme="minorBidi"/>
    </w:rPr>
  </w:style>
  <w:style w:type="paragraph" w:styleId="TOC8">
    <w:name w:val="toc 8"/>
    <w:basedOn w:val="Normal"/>
    <w:next w:val="Normal"/>
    <w:autoRedefine/>
    <w:uiPriority w:val="39"/>
    <w:unhideWhenUsed/>
    <w:rsid w:val="0015270F"/>
    <w:pPr>
      <w:spacing w:before="0" w:after="100" w:line="276" w:lineRule="auto"/>
      <w:ind w:left="1540"/>
      <w:jc w:val="left"/>
    </w:pPr>
    <w:rPr>
      <w:rFonts w:eastAsiaTheme="minorEastAsia" w:cstheme="minorBidi"/>
    </w:rPr>
  </w:style>
  <w:style w:type="paragraph" w:styleId="TOC9">
    <w:name w:val="toc 9"/>
    <w:basedOn w:val="Normal"/>
    <w:next w:val="Normal"/>
    <w:autoRedefine/>
    <w:uiPriority w:val="39"/>
    <w:unhideWhenUsed/>
    <w:rsid w:val="0015270F"/>
    <w:pPr>
      <w:spacing w:before="0" w:after="100" w:line="276" w:lineRule="auto"/>
      <w:ind w:left="1760"/>
      <w:jc w:val="left"/>
    </w:pPr>
    <w:rPr>
      <w:rFonts w:eastAsiaTheme="minorEastAsia" w:cstheme="minorBidi"/>
    </w:rPr>
  </w:style>
  <w:style w:type="paragraph" w:customStyle="1" w:styleId="xl67">
    <w:name w:val="xl67"/>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8">
    <w:name w:val="xl68"/>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9">
    <w:name w:val="xl69"/>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0">
    <w:name w:val="xl70"/>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1">
    <w:name w:val="xl71"/>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2">
    <w:name w:val="xl72"/>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3">
    <w:name w:val="xl73"/>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4">
    <w:name w:val="xl74"/>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5">
    <w:name w:val="xl75"/>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6">
    <w:name w:val="xl76"/>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7">
    <w:name w:val="xl77"/>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8">
    <w:name w:val="xl78"/>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9">
    <w:name w:val="xl79"/>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0">
    <w:name w:val="xl80"/>
    <w:basedOn w:val="Normal"/>
    <w:rsid w:val="0015270F"/>
    <w:pPr>
      <w:pBdr>
        <w:bottom w:val="single" w:sz="4" w:space="0" w:color="auto"/>
      </w:pBdr>
      <w:spacing w:before="100" w:beforeAutospacing="1" w:after="100" w:afterAutospacing="1" w:line="120" w:lineRule="atLeast"/>
      <w:jc w:val="left"/>
    </w:pPr>
    <w:rPr>
      <w:rFonts w:ascii="Times New Roman" w:hAnsi="Times New Roman" w:cs="Times New Roman"/>
      <w:sz w:val="24"/>
      <w:szCs w:val="24"/>
    </w:rPr>
  </w:style>
  <w:style w:type="paragraph" w:customStyle="1" w:styleId="xl63">
    <w:name w:val="xl63"/>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4">
    <w:name w:val="xl64"/>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5">
    <w:name w:val="xl65"/>
    <w:basedOn w:val="Normal"/>
    <w:rsid w:val="0015270F"/>
    <w:pPr>
      <w:spacing w:before="100" w:beforeAutospacing="1" w:after="100" w:afterAutospacing="1" w:line="120" w:lineRule="atLeast"/>
      <w:jc w:val="left"/>
    </w:pPr>
    <w:rPr>
      <w:rFonts w:ascii="Times New Roman" w:hAnsi="Times New Roman" w:cs="Times New Roman"/>
      <w:sz w:val="20"/>
      <w:szCs w:val="20"/>
      <w:lang w:val="en-GB" w:eastAsia="en-GB"/>
    </w:rPr>
  </w:style>
  <w:style w:type="paragraph" w:customStyle="1" w:styleId="xl66">
    <w:name w:val="xl66"/>
    <w:basedOn w:val="Normal"/>
    <w:rsid w:val="0015270F"/>
    <w:pPr>
      <w:pBdr>
        <w:top w:val="single" w:sz="4" w:space="0" w:color="auto"/>
        <w:left w:val="single" w:sz="4" w:space="0" w:color="auto"/>
        <w:bottom w:val="single" w:sz="4" w:space="0" w:color="auto"/>
        <w:right w:val="single" w:sz="4" w:space="0" w:color="auto"/>
      </w:pBdr>
      <w:spacing w:before="100" w:beforeAutospacing="1" w:after="100" w:afterAutospacing="1" w:line="120" w:lineRule="atLeast"/>
      <w:jc w:val="right"/>
    </w:pPr>
    <w:rPr>
      <w:rFonts w:ascii="Times New Roman" w:hAnsi="Times New Roman" w:cs="Times New Roman"/>
      <w:color w:val="000000"/>
      <w:sz w:val="20"/>
      <w:szCs w:val="20"/>
      <w:lang w:val="en-GB" w:eastAsia="en-GB"/>
    </w:rPr>
  </w:style>
  <w:style w:type="paragraph" w:customStyle="1" w:styleId="Title1">
    <w:name w:val="Title1"/>
    <w:basedOn w:val="Normal"/>
    <w:rsid w:val="0015270F"/>
    <w:pPr>
      <w:spacing w:before="100" w:beforeAutospacing="1" w:after="100" w:afterAutospacing="1" w:line="120" w:lineRule="atLeast"/>
      <w:jc w:val="left"/>
    </w:pPr>
    <w:rPr>
      <w:rFonts w:ascii="Times New Roman" w:eastAsiaTheme="minorEastAsia" w:hAnsi="Times New Roman" w:cs="Times New Roman"/>
      <w:b/>
      <w:bCs/>
      <w:sz w:val="40"/>
      <w:szCs w:val="40"/>
      <w:lang w:val="en-US" w:eastAsia="en-US"/>
    </w:rPr>
  </w:style>
  <w:style w:type="paragraph" w:customStyle="1" w:styleId="font0">
    <w:name w:val="font0"/>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5">
    <w:name w:val="font5"/>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6">
    <w:name w:val="font6"/>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xl81">
    <w:name w:val="xl81"/>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2">
    <w:name w:val="xl8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3">
    <w:name w:val="xl83"/>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font7">
    <w:name w:val="font7"/>
    <w:basedOn w:val="Normal"/>
    <w:rsid w:val="0015270F"/>
    <w:pPr>
      <w:spacing w:before="100" w:beforeAutospacing="1" w:after="100" w:afterAutospacing="1" w:line="120" w:lineRule="atLeast"/>
      <w:jc w:val="left"/>
    </w:pPr>
    <w:rPr>
      <w:rFonts w:ascii="Calibri" w:hAnsi="Calibri" w:cs="Times New Roman"/>
      <w:color w:val="000000"/>
      <w:sz w:val="20"/>
      <w:szCs w:val="20"/>
    </w:rPr>
  </w:style>
  <w:style w:type="character" w:styleId="PlaceholderText">
    <w:name w:val="Placeholder Text"/>
    <w:basedOn w:val="DefaultParagraphFont"/>
    <w:uiPriority w:val="99"/>
    <w:semiHidden/>
    <w:rsid w:val="0015270F"/>
    <w:rPr>
      <w:color w:val="808080"/>
    </w:rPr>
  </w:style>
  <w:style w:type="paragraph" w:customStyle="1" w:styleId="xl84">
    <w:name w:val="xl84"/>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5">
    <w:name w:val="xl8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6">
    <w:name w:val="xl86"/>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7">
    <w:name w:val="xl87"/>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8">
    <w:name w:val="xl88"/>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9">
    <w:name w:val="xl89"/>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0">
    <w:name w:val="xl90"/>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1">
    <w:name w:val="xl91"/>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2">
    <w:name w:val="xl9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3">
    <w:name w:val="xl93"/>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numbering" w:customStyle="1" w:styleId="NoList2">
    <w:name w:val="No List2"/>
    <w:next w:val="NoList"/>
    <w:uiPriority w:val="99"/>
    <w:semiHidden/>
    <w:unhideWhenUsed/>
    <w:rsid w:val="0015270F"/>
  </w:style>
  <w:style w:type="table" w:customStyle="1" w:styleId="TableGrid1">
    <w:name w:val="Table Grid1"/>
    <w:basedOn w:val="TableNormal"/>
    <w:next w:val="TableGrid"/>
    <w:uiPriority w:val="59"/>
    <w:rsid w:val="0015270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94">
    <w:name w:val="xl94"/>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i/>
      <w:iCs/>
      <w:sz w:val="24"/>
      <w:szCs w:val="24"/>
    </w:rPr>
  </w:style>
  <w:style w:type="paragraph" w:customStyle="1" w:styleId="xl95">
    <w:name w:val="xl95"/>
    <w:basedOn w:val="Normal"/>
    <w:rsid w:val="0015270F"/>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6">
    <w:name w:val="xl96"/>
    <w:basedOn w:val="Normal"/>
    <w:rsid w:val="0015270F"/>
    <w:pPr>
      <w:pBdr>
        <w:top w:val="single" w:sz="4" w:space="0" w:color="auto"/>
      </w:pBdr>
      <w:shd w:val="clear" w:color="000000" w:fill="00B05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7">
    <w:name w:val="xl97"/>
    <w:basedOn w:val="Normal"/>
    <w:rsid w:val="0015270F"/>
    <w:pPr>
      <w:pBdr>
        <w:top w:val="single" w:sz="4" w:space="0" w:color="auto"/>
      </w:pBdr>
      <w:shd w:val="clear" w:color="000000" w:fill="FF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8">
    <w:name w:val="xl98"/>
    <w:basedOn w:val="Normal"/>
    <w:rsid w:val="0015270F"/>
    <w:pPr>
      <w:pBdr>
        <w:top w:val="single" w:sz="4" w:space="0" w:color="auto"/>
      </w:pBdr>
      <w:shd w:val="clear" w:color="000000" w:fill="C0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9">
    <w:name w:val="xl99"/>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0">
    <w:name w:val="xl100"/>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1">
    <w:name w:val="xl101"/>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2">
    <w:name w:val="xl102"/>
    <w:basedOn w:val="Normal"/>
    <w:rsid w:val="0015270F"/>
    <w:pPr>
      <w:pBdr>
        <w:top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3">
    <w:name w:val="xl103"/>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4">
    <w:name w:val="xl104"/>
    <w:basedOn w:val="Normal"/>
    <w:rsid w:val="0015270F"/>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5">
    <w:name w:val="xl105"/>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6">
    <w:name w:val="xl106"/>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7">
    <w:name w:val="xl107"/>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cs="Times New Roman"/>
      <w:sz w:val="24"/>
      <w:szCs w:val="24"/>
    </w:rPr>
  </w:style>
  <w:style w:type="paragraph" w:customStyle="1" w:styleId="xl108">
    <w:name w:val="xl108"/>
    <w:basedOn w:val="Normal"/>
    <w:rsid w:val="0015270F"/>
    <w:pPr>
      <w:pBdr>
        <w:top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9">
    <w:name w:val="xl109"/>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0">
    <w:name w:val="xl110"/>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1">
    <w:name w:val="xl111"/>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2">
    <w:name w:val="xl112"/>
    <w:basedOn w:val="Normal"/>
    <w:rsid w:val="0015270F"/>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3">
    <w:name w:val="xl113"/>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4">
    <w:name w:val="xl114"/>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5">
    <w:name w:val="xl11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6">
    <w:name w:val="xl116"/>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7">
    <w:name w:val="xl117"/>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numbering" w:customStyle="1" w:styleId="Style5">
    <w:name w:val="Style5"/>
    <w:uiPriority w:val="99"/>
    <w:rsid w:val="0015270F"/>
    <w:pPr>
      <w:numPr>
        <w:numId w:val="11"/>
      </w:numPr>
    </w:pPr>
  </w:style>
  <w:style w:type="paragraph" w:styleId="EndnoteText">
    <w:name w:val="endnote text"/>
    <w:basedOn w:val="Normal"/>
    <w:link w:val="EndnoteTextChar"/>
    <w:uiPriority w:val="99"/>
    <w:semiHidden/>
    <w:unhideWhenUsed/>
    <w:rsid w:val="00C97CC0"/>
    <w:pPr>
      <w:spacing w:before="0" w:after="0"/>
    </w:pPr>
    <w:rPr>
      <w:sz w:val="20"/>
      <w:szCs w:val="20"/>
    </w:rPr>
  </w:style>
  <w:style w:type="character" w:customStyle="1" w:styleId="EndnoteTextChar">
    <w:name w:val="Endnote Text Char"/>
    <w:basedOn w:val="DefaultParagraphFont"/>
    <w:link w:val="EndnoteText"/>
    <w:uiPriority w:val="99"/>
    <w:semiHidden/>
    <w:rsid w:val="00C97CC0"/>
    <w:rPr>
      <w:rFonts w:asciiTheme="minorHAnsi" w:hAnsiTheme="minorHAnsi" w:cstheme="minorHAnsi"/>
    </w:rPr>
  </w:style>
  <w:style w:type="character" w:styleId="EndnoteReference">
    <w:name w:val="endnote reference"/>
    <w:basedOn w:val="DefaultParagraphFont"/>
    <w:uiPriority w:val="99"/>
    <w:semiHidden/>
    <w:unhideWhenUsed/>
    <w:rsid w:val="00C97CC0"/>
    <w:rPr>
      <w:vertAlign w:val="superscript"/>
    </w:rPr>
  </w:style>
  <w:style w:type="character" w:customStyle="1" w:styleId="DocumentMapChar">
    <w:name w:val="Document Map Char"/>
    <w:basedOn w:val="DefaultParagraphFont"/>
    <w:link w:val="DocumentMap"/>
    <w:semiHidden/>
    <w:rsid w:val="004B2104"/>
    <w:rPr>
      <w:rFonts w:ascii="Tahoma" w:hAnsi="Tahoma" w:cs="Tahoma"/>
      <w:shd w:val="clear" w:color="auto" w:fill="000080"/>
    </w:rPr>
  </w:style>
  <w:style w:type="character" w:customStyle="1" w:styleId="A1">
    <w:name w:val="A1"/>
    <w:uiPriority w:val="99"/>
    <w:rsid w:val="008E03E9"/>
    <w:rPr>
      <w:rFonts w:cs="Myriad Pro"/>
      <w:color w:val="211D1E"/>
      <w:sz w:val="18"/>
      <w:szCs w:val="18"/>
    </w:rPr>
  </w:style>
  <w:style w:type="character" w:customStyle="1" w:styleId="A2">
    <w:name w:val="A2"/>
    <w:uiPriority w:val="99"/>
    <w:rsid w:val="008E03E9"/>
    <w:rPr>
      <w:rFonts w:cs="Myriad Pro"/>
      <w:color w:val="211D1E"/>
      <w:sz w:val="11"/>
      <w:szCs w:val="1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0678">
      <w:bodyDiv w:val="1"/>
      <w:marLeft w:val="0"/>
      <w:marRight w:val="0"/>
      <w:marTop w:val="0"/>
      <w:marBottom w:val="0"/>
      <w:divBdr>
        <w:top w:val="none" w:sz="0" w:space="0" w:color="auto"/>
        <w:left w:val="none" w:sz="0" w:space="0" w:color="auto"/>
        <w:bottom w:val="none" w:sz="0" w:space="0" w:color="auto"/>
        <w:right w:val="none" w:sz="0" w:space="0" w:color="auto"/>
      </w:divBdr>
    </w:div>
    <w:div w:id="124543699">
      <w:bodyDiv w:val="1"/>
      <w:marLeft w:val="0"/>
      <w:marRight w:val="0"/>
      <w:marTop w:val="0"/>
      <w:marBottom w:val="0"/>
      <w:divBdr>
        <w:top w:val="none" w:sz="0" w:space="0" w:color="auto"/>
        <w:left w:val="none" w:sz="0" w:space="0" w:color="auto"/>
        <w:bottom w:val="none" w:sz="0" w:space="0" w:color="auto"/>
        <w:right w:val="none" w:sz="0" w:space="0" w:color="auto"/>
      </w:divBdr>
    </w:div>
    <w:div w:id="166403338">
      <w:bodyDiv w:val="1"/>
      <w:marLeft w:val="0"/>
      <w:marRight w:val="0"/>
      <w:marTop w:val="0"/>
      <w:marBottom w:val="0"/>
      <w:divBdr>
        <w:top w:val="none" w:sz="0" w:space="0" w:color="auto"/>
        <w:left w:val="none" w:sz="0" w:space="0" w:color="auto"/>
        <w:bottom w:val="none" w:sz="0" w:space="0" w:color="auto"/>
        <w:right w:val="none" w:sz="0" w:space="0" w:color="auto"/>
      </w:divBdr>
      <w:divsChild>
        <w:div w:id="1717703081">
          <w:marLeft w:val="0"/>
          <w:marRight w:val="0"/>
          <w:marTop w:val="0"/>
          <w:marBottom w:val="0"/>
          <w:divBdr>
            <w:top w:val="none" w:sz="0" w:space="0" w:color="auto"/>
            <w:left w:val="none" w:sz="0" w:space="0" w:color="auto"/>
            <w:bottom w:val="none" w:sz="0" w:space="0" w:color="auto"/>
            <w:right w:val="none" w:sz="0" w:space="0" w:color="auto"/>
          </w:divBdr>
        </w:div>
        <w:div w:id="541286663">
          <w:marLeft w:val="0"/>
          <w:marRight w:val="0"/>
          <w:marTop w:val="0"/>
          <w:marBottom w:val="0"/>
          <w:divBdr>
            <w:top w:val="none" w:sz="0" w:space="0" w:color="auto"/>
            <w:left w:val="none" w:sz="0" w:space="0" w:color="auto"/>
            <w:bottom w:val="none" w:sz="0" w:space="0" w:color="auto"/>
            <w:right w:val="none" w:sz="0" w:space="0" w:color="auto"/>
          </w:divBdr>
        </w:div>
        <w:div w:id="1907841973">
          <w:marLeft w:val="0"/>
          <w:marRight w:val="0"/>
          <w:marTop w:val="0"/>
          <w:marBottom w:val="0"/>
          <w:divBdr>
            <w:top w:val="none" w:sz="0" w:space="0" w:color="auto"/>
            <w:left w:val="none" w:sz="0" w:space="0" w:color="auto"/>
            <w:bottom w:val="none" w:sz="0" w:space="0" w:color="auto"/>
            <w:right w:val="none" w:sz="0" w:space="0" w:color="auto"/>
          </w:divBdr>
        </w:div>
        <w:div w:id="1667630423">
          <w:marLeft w:val="0"/>
          <w:marRight w:val="0"/>
          <w:marTop w:val="0"/>
          <w:marBottom w:val="0"/>
          <w:divBdr>
            <w:top w:val="none" w:sz="0" w:space="0" w:color="auto"/>
            <w:left w:val="none" w:sz="0" w:space="0" w:color="auto"/>
            <w:bottom w:val="none" w:sz="0" w:space="0" w:color="auto"/>
            <w:right w:val="none" w:sz="0" w:space="0" w:color="auto"/>
          </w:divBdr>
        </w:div>
        <w:div w:id="1646619845">
          <w:marLeft w:val="0"/>
          <w:marRight w:val="0"/>
          <w:marTop w:val="0"/>
          <w:marBottom w:val="0"/>
          <w:divBdr>
            <w:top w:val="none" w:sz="0" w:space="0" w:color="auto"/>
            <w:left w:val="none" w:sz="0" w:space="0" w:color="auto"/>
            <w:bottom w:val="none" w:sz="0" w:space="0" w:color="auto"/>
            <w:right w:val="none" w:sz="0" w:space="0" w:color="auto"/>
          </w:divBdr>
        </w:div>
        <w:div w:id="1693721692">
          <w:marLeft w:val="0"/>
          <w:marRight w:val="0"/>
          <w:marTop w:val="0"/>
          <w:marBottom w:val="0"/>
          <w:divBdr>
            <w:top w:val="none" w:sz="0" w:space="0" w:color="auto"/>
            <w:left w:val="none" w:sz="0" w:space="0" w:color="auto"/>
            <w:bottom w:val="none" w:sz="0" w:space="0" w:color="auto"/>
            <w:right w:val="none" w:sz="0" w:space="0" w:color="auto"/>
          </w:divBdr>
        </w:div>
        <w:div w:id="1821270281">
          <w:marLeft w:val="0"/>
          <w:marRight w:val="0"/>
          <w:marTop w:val="0"/>
          <w:marBottom w:val="0"/>
          <w:divBdr>
            <w:top w:val="none" w:sz="0" w:space="0" w:color="auto"/>
            <w:left w:val="none" w:sz="0" w:space="0" w:color="auto"/>
            <w:bottom w:val="none" w:sz="0" w:space="0" w:color="auto"/>
            <w:right w:val="none" w:sz="0" w:space="0" w:color="auto"/>
          </w:divBdr>
        </w:div>
        <w:div w:id="674457206">
          <w:marLeft w:val="0"/>
          <w:marRight w:val="0"/>
          <w:marTop w:val="0"/>
          <w:marBottom w:val="0"/>
          <w:divBdr>
            <w:top w:val="none" w:sz="0" w:space="0" w:color="auto"/>
            <w:left w:val="none" w:sz="0" w:space="0" w:color="auto"/>
            <w:bottom w:val="none" w:sz="0" w:space="0" w:color="auto"/>
            <w:right w:val="none" w:sz="0" w:space="0" w:color="auto"/>
          </w:divBdr>
        </w:div>
        <w:div w:id="1585989559">
          <w:marLeft w:val="0"/>
          <w:marRight w:val="0"/>
          <w:marTop w:val="0"/>
          <w:marBottom w:val="0"/>
          <w:divBdr>
            <w:top w:val="none" w:sz="0" w:space="0" w:color="auto"/>
            <w:left w:val="none" w:sz="0" w:space="0" w:color="auto"/>
            <w:bottom w:val="none" w:sz="0" w:space="0" w:color="auto"/>
            <w:right w:val="none" w:sz="0" w:space="0" w:color="auto"/>
          </w:divBdr>
        </w:div>
        <w:div w:id="1594707800">
          <w:marLeft w:val="0"/>
          <w:marRight w:val="0"/>
          <w:marTop w:val="0"/>
          <w:marBottom w:val="0"/>
          <w:divBdr>
            <w:top w:val="none" w:sz="0" w:space="0" w:color="auto"/>
            <w:left w:val="none" w:sz="0" w:space="0" w:color="auto"/>
            <w:bottom w:val="none" w:sz="0" w:space="0" w:color="auto"/>
            <w:right w:val="none" w:sz="0" w:space="0" w:color="auto"/>
          </w:divBdr>
        </w:div>
        <w:div w:id="116602599">
          <w:marLeft w:val="0"/>
          <w:marRight w:val="0"/>
          <w:marTop w:val="0"/>
          <w:marBottom w:val="0"/>
          <w:divBdr>
            <w:top w:val="none" w:sz="0" w:space="0" w:color="auto"/>
            <w:left w:val="none" w:sz="0" w:space="0" w:color="auto"/>
            <w:bottom w:val="none" w:sz="0" w:space="0" w:color="auto"/>
            <w:right w:val="none" w:sz="0" w:space="0" w:color="auto"/>
          </w:divBdr>
        </w:div>
        <w:div w:id="1347560662">
          <w:marLeft w:val="0"/>
          <w:marRight w:val="0"/>
          <w:marTop w:val="0"/>
          <w:marBottom w:val="0"/>
          <w:divBdr>
            <w:top w:val="none" w:sz="0" w:space="0" w:color="auto"/>
            <w:left w:val="none" w:sz="0" w:space="0" w:color="auto"/>
            <w:bottom w:val="none" w:sz="0" w:space="0" w:color="auto"/>
            <w:right w:val="none" w:sz="0" w:space="0" w:color="auto"/>
          </w:divBdr>
        </w:div>
        <w:div w:id="988901098">
          <w:marLeft w:val="0"/>
          <w:marRight w:val="0"/>
          <w:marTop w:val="0"/>
          <w:marBottom w:val="0"/>
          <w:divBdr>
            <w:top w:val="none" w:sz="0" w:space="0" w:color="auto"/>
            <w:left w:val="none" w:sz="0" w:space="0" w:color="auto"/>
            <w:bottom w:val="none" w:sz="0" w:space="0" w:color="auto"/>
            <w:right w:val="none" w:sz="0" w:space="0" w:color="auto"/>
          </w:divBdr>
        </w:div>
        <w:div w:id="584342195">
          <w:marLeft w:val="0"/>
          <w:marRight w:val="0"/>
          <w:marTop w:val="0"/>
          <w:marBottom w:val="0"/>
          <w:divBdr>
            <w:top w:val="none" w:sz="0" w:space="0" w:color="auto"/>
            <w:left w:val="none" w:sz="0" w:space="0" w:color="auto"/>
            <w:bottom w:val="none" w:sz="0" w:space="0" w:color="auto"/>
            <w:right w:val="none" w:sz="0" w:space="0" w:color="auto"/>
          </w:divBdr>
        </w:div>
        <w:div w:id="778794700">
          <w:marLeft w:val="0"/>
          <w:marRight w:val="0"/>
          <w:marTop w:val="0"/>
          <w:marBottom w:val="0"/>
          <w:divBdr>
            <w:top w:val="none" w:sz="0" w:space="0" w:color="auto"/>
            <w:left w:val="none" w:sz="0" w:space="0" w:color="auto"/>
            <w:bottom w:val="none" w:sz="0" w:space="0" w:color="auto"/>
            <w:right w:val="none" w:sz="0" w:space="0" w:color="auto"/>
          </w:divBdr>
        </w:div>
        <w:div w:id="547569374">
          <w:marLeft w:val="0"/>
          <w:marRight w:val="0"/>
          <w:marTop w:val="0"/>
          <w:marBottom w:val="0"/>
          <w:divBdr>
            <w:top w:val="none" w:sz="0" w:space="0" w:color="auto"/>
            <w:left w:val="none" w:sz="0" w:space="0" w:color="auto"/>
            <w:bottom w:val="none" w:sz="0" w:space="0" w:color="auto"/>
            <w:right w:val="none" w:sz="0" w:space="0" w:color="auto"/>
          </w:divBdr>
        </w:div>
        <w:div w:id="1834098890">
          <w:marLeft w:val="0"/>
          <w:marRight w:val="0"/>
          <w:marTop w:val="0"/>
          <w:marBottom w:val="0"/>
          <w:divBdr>
            <w:top w:val="none" w:sz="0" w:space="0" w:color="auto"/>
            <w:left w:val="none" w:sz="0" w:space="0" w:color="auto"/>
            <w:bottom w:val="none" w:sz="0" w:space="0" w:color="auto"/>
            <w:right w:val="none" w:sz="0" w:space="0" w:color="auto"/>
          </w:divBdr>
        </w:div>
        <w:div w:id="1832091360">
          <w:marLeft w:val="0"/>
          <w:marRight w:val="0"/>
          <w:marTop w:val="0"/>
          <w:marBottom w:val="0"/>
          <w:divBdr>
            <w:top w:val="none" w:sz="0" w:space="0" w:color="auto"/>
            <w:left w:val="none" w:sz="0" w:space="0" w:color="auto"/>
            <w:bottom w:val="none" w:sz="0" w:space="0" w:color="auto"/>
            <w:right w:val="none" w:sz="0" w:space="0" w:color="auto"/>
          </w:divBdr>
        </w:div>
        <w:div w:id="2042439134">
          <w:marLeft w:val="0"/>
          <w:marRight w:val="0"/>
          <w:marTop w:val="0"/>
          <w:marBottom w:val="0"/>
          <w:divBdr>
            <w:top w:val="none" w:sz="0" w:space="0" w:color="auto"/>
            <w:left w:val="none" w:sz="0" w:space="0" w:color="auto"/>
            <w:bottom w:val="none" w:sz="0" w:space="0" w:color="auto"/>
            <w:right w:val="none" w:sz="0" w:space="0" w:color="auto"/>
          </w:divBdr>
        </w:div>
        <w:div w:id="1211309718">
          <w:marLeft w:val="0"/>
          <w:marRight w:val="0"/>
          <w:marTop w:val="0"/>
          <w:marBottom w:val="0"/>
          <w:divBdr>
            <w:top w:val="none" w:sz="0" w:space="0" w:color="auto"/>
            <w:left w:val="none" w:sz="0" w:space="0" w:color="auto"/>
            <w:bottom w:val="none" w:sz="0" w:space="0" w:color="auto"/>
            <w:right w:val="none" w:sz="0" w:space="0" w:color="auto"/>
          </w:divBdr>
        </w:div>
        <w:div w:id="24183839">
          <w:marLeft w:val="0"/>
          <w:marRight w:val="0"/>
          <w:marTop w:val="0"/>
          <w:marBottom w:val="0"/>
          <w:divBdr>
            <w:top w:val="none" w:sz="0" w:space="0" w:color="auto"/>
            <w:left w:val="none" w:sz="0" w:space="0" w:color="auto"/>
            <w:bottom w:val="none" w:sz="0" w:space="0" w:color="auto"/>
            <w:right w:val="none" w:sz="0" w:space="0" w:color="auto"/>
          </w:divBdr>
        </w:div>
        <w:div w:id="269122552">
          <w:marLeft w:val="0"/>
          <w:marRight w:val="0"/>
          <w:marTop w:val="0"/>
          <w:marBottom w:val="0"/>
          <w:divBdr>
            <w:top w:val="none" w:sz="0" w:space="0" w:color="auto"/>
            <w:left w:val="none" w:sz="0" w:space="0" w:color="auto"/>
            <w:bottom w:val="none" w:sz="0" w:space="0" w:color="auto"/>
            <w:right w:val="none" w:sz="0" w:space="0" w:color="auto"/>
          </w:divBdr>
        </w:div>
        <w:div w:id="2091806583">
          <w:marLeft w:val="0"/>
          <w:marRight w:val="0"/>
          <w:marTop w:val="0"/>
          <w:marBottom w:val="0"/>
          <w:divBdr>
            <w:top w:val="none" w:sz="0" w:space="0" w:color="auto"/>
            <w:left w:val="none" w:sz="0" w:space="0" w:color="auto"/>
            <w:bottom w:val="none" w:sz="0" w:space="0" w:color="auto"/>
            <w:right w:val="none" w:sz="0" w:space="0" w:color="auto"/>
          </w:divBdr>
        </w:div>
        <w:div w:id="1438793099">
          <w:marLeft w:val="0"/>
          <w:marRight w:val="0"/>
          <w:marTop w:val="0"/>
          <w:marBottom w:val="0"/>
          <w:divBdr>
            <w:top w:val="none" w:sz="0" w:space="0" w:color="auto"/>
            <w:left w:val="none" w:sz="0" w:space="0" w:color="auto"/>
            <w:bottom w:val="none" w:sz="0" w:space="0" w:color="auto"/>
            <w:right w:val="none" w:sz="0" w:space="0" w:color="auto"/>
          </w:divBdr>
        </w:div>
        <w:div w:id="115803826">
          <w:marLeft w:val="0"/>
          <w:marRight w:val="0"/>
          <w:marTop w:val="0"/>
          <w:marBottom w:val="0"/>
          <w:divBdr>
            <w:top w:val="none" w:sz="0" w:space="0" w:color="auto"/>
            <w:left w:val="none" w:sz="0" w:space="0" w:color="auto"/>
            <w:bottom w:val="none" w:sz="0" w:space="0" w:color="auto"/>
            <w:right w:val="none" w:sz="0" w:space="0" w:color="auto"/>
          </w:divBdr>
        </w:div>
        <w:div w:id="1737624606">
          <w:marLeft w:val="0"/>
          <w:marRight w:val="0"/>
          <w:marTop w:val="0"/>
          <w:marBottom w:val="0"/>
          <w:divBdr>
            <w:top w:val="none" w:sz="0" w:space="0" w:color="auto"/>
            <w:left w:val="none" w:sz="0" w:space="0" w:color="auto"/>
            <w:bottom w:val="none" w:sz="0" w:space="0" w:color="auto"/>
            <w:right w:val="none" w:sz="0" w:space="0" w:color="auto"/>
          </w:divBdr>
        </w:div>
        <w:div w:id="1754204866">
          <w:marLeft w:val="0"/>
          <w:marRight w:val="0"/>
          <w:marTop w:val="0"/>
          <w:marBottom w:val="0"/>
          <w:divBdr>
            <w:top w:val="none" w:sz="0" w:space="0" w:color="auto"/>
            <w:left w:val="none" w:sz="0" w:space="0" w:color="auto"/>
            <w:bottom w:val="none" w:sz="0" w:space="0" w:color="auto"/>
            <w:right w:val="none" w:sz="0" w:space="0" w:color="auto"/>
          </w:divBdr>
        </w:div>
        <w:div w:id="916746177">
          <w:marLeft w:val="0"/>
          <w:marRight w:val="0"/>
          <w:marTop w:val="0"/>
          <w:marBottom w:val="0"/>
          <w:divBdr>
            <w:top w:val="none" w:sz="0" w:space="0" w:color="auto"/>
            <w:left w:val="none" w:sz="0" w:space="0" w:color="auto"/>
            <w:bottom w:val="none" w:sz="0" w:space="0" w:color="auto"/>
            <w:right w:val="none" w:sz="0" w:space="0" w:color="auto"/>
          </w:divBdr>
        </w:div>
        <w:div w:id="1978340654">
          <w:marLeft w:val="0"/>
          <w:marRight w:val="0"/>
          <w:marTop w:val="0"/>
          <w:marBottom w:val="0"/>
          <w:divBdr>
            <w:top w:val="none" w:sz="0" w:space="0" w:color="auto"/>
            <w:left w:val="none" w:sz="0" w:space="0" w:color="auto"/>
            <w:bottom w:val="none" w:sz="0" w:space="0" w:color="auto"/>
            <w:right w:val="none" w:sz="0" w:space="0" w:color="auto"/>
          </w:divBdr>
        </w:div>
        <w:div w:id="281107968">
          <w:marLeft w:val="0"/>
          <w:marRight w:val="0"/>
          <w:marTop w:val="0"/>
          <w:marBottom w:val="0"/>
          <w:divBdr>
            <w:top w:val="none" w:sz="0" w:space="0" w:color="auto"/>
            <w:left w:val="none" w:sz="0" w:space="0" w:color="auto"/>
            <w:bottom w:val="none" w:sz="0" w:space="0" w:color="auto"/>
            <w:right w:val="none" w:sz="0" w:space="0" w:color="auto"/>
          </w:divBdr>
        </w:div>
        <w:div w:id="1209803373">
          <w:marLeft w:val="0"/>
          <w:marRight w:val="0"/>
          <w:marTop w:val="0"/>
          <w:marBottom w:val="0"/>
          <w:divBdr>
            <w:top w:val="none" w:sz="0" w:space="0" w:color="auto"/>
            <w:left w:val="none" w:sz="0" w:space="0" w:color="auto"/>
            <w:bottom w:val="none" w:sz="0" w:space="0" w:color="auto"/>
            <w:right w:val="none" w:sz="0" w:space="0" w:color="auto"/>
          </w:divBdr>
        </w:div>
        <w:div w:id="1384674088">
          <w:marLeft w:val="0"/>
          <w:marRight w:val="0"/>
          <w:marTop w:val="0"/>
          <w:marBottom w:val="0"/>
          <w:divBdr>
            <w:top w:val="none" w:sz="0" w:space="0" w:color="auto"/>
            <w:left w:val="none" w:sz="0" w:space="0" w:color="auto"/>
            <w:bottom w:val="none" w:sz="0" w:space="0" w:color="auto"/>
            <w:right w:val="none" w:sz="0" w:space="0" w:color="auto"/>
          </w:divBdr>
        </w:div>
        <w:div w:id="2130780173">
          <w:marLeft w:val="0"/>
          <w:marRight w:val="0"/>
          <w:marTop w:val="0"/>
          <w:marBottom w:val="0"/>
          <w:divBdr>
            <w:top w:val="none" w:sz="0" w:space="0" w:color="auto"/>
            <w:left w:val="none" w:sz="0" w:space="0" w:color="auto"/>
            <w:bottom w:val="none" w:sz="0" w:space="0" w:color="auto"/>
            <w:right w:val="none" w:sz="0" w:space="0" w:color="auto"/>
          </w:divBdr>
        </w:div>
        <w:div w:id="689794501">
          <w:marLeft w:val="0"/>
          <w:marRight w:val="0"/>
          <w:marTop w:val="0"/>
          <w:marBottom w:val="0"/>
          <w:divBdr>
            <w:top w:val="none" w:sz="0" w:space="0" w:color="auto"/>
            <w:left w:val="none" w:sz="0" w:space="0" w:color="auto"/>
            <w:bottom w:val="none" w:sz="0" w:space="0" w:color="auto"/>
            <w:right w:val="none" w:sz="0" w:space="0" w:color="auto"/>
          </w:divBdr>
        </w:div>
        <w:div w:id="1463571402">
          <w:marLeft w:val="0"/>
          <w:marRight w:val="0"/>
          <w:marTop w:val="0"/>
          <w:marBottom w:val="0"/>
          <w:divBdr>
            <w:top w:val="none" w:sz="0" w:space="0" w:color="auto"/>
            <w:left w:val="none" w:sz="0" w:space="0" w:color="auto"/>
            <w:bottom w:val="none" w:sz="0" w:space="0" w:color="auto"/>
            <w:right w:val="none" w:sz="0" w:space="0" w:color="auto"/>
          </w:divBdr>
        </w:div>
        <w:div w:id="401177070">
          <w:marLeft w:val="0"/>
          <w:marRight w:val="0"/>
          <w:marTop w:val="0"/>
          <w:marBottom w:val="0"/>
          <w:divBdr>
            <w:top w:val="none" w:sz="0" w:space="0" w:color="auto"/>
            <w:left w:val="none" w:sz="0" w:space="0" w:color="auto"/>
            <w:bottom w:val="none" w:sz="0" w:space="0" w:color="auto"/>
            <w:right w:val="none" w:sz="0" w:space="0" w:color="auto"/>
          </w:divBdr>
        </w:div>
        <w:div w:id="1048794609">
          <w:marLeft w:val="0"/>
          <w:marRight w:val="0"/>
          <w:marTop w:val="0"/>
          <w:marBottom w:val="0"/>
          <w:divBdr>
            <w:top w:val="none" w:sz="0" w:space="0" w:color="auto"/>
            <w:left w:val="none" w:sz="0" w:space="0" w:color="auto"/>
            <w:bottom w:val="none" w:sz="0" w:space="0" w:color="auto"/>
            <w:right w:val="none" w:sz="0" w:space="0" w:color="auto"/>
          </w:divBdr>
        </w:div>
        <w:div w:id="397553266">
          <w:marLeft w:val="0"/>
          <w:marRight w:val="0"/>
          <w:marTop w:val="0"/>
          <w:marBottom w:val="0"/>
          <w:divBdr>
            <w:top w:val="none" w:sz="0" w:space="0" w:color="auto"/>
            <w:left w:val="none" w:sz="0" w:space="0" w:color="auto"/>
            <w:bottom w:val="none" w:sz="0" w:space="0" w:color="auto"/>
            <w:right w:val="none" w:sz="0" w:space="0" w:color="auto"/>
          </w:divBdr>
        </w:div>
        <w:div w:id="1555432039">
          <w:marLeft w:val="0"/>
          <w:marRight w:val="0"/>
          <w:marTop w:val="0"/>
          <w:marBottom w:val="0"/>
          <w:divBdr>
            <w:top w:val="none" w:sz="0" w:space="0" w:color="auto"/>
            <w:left w:val="none" w:sz="0" w:space="0" w:color="auto"/>
            <w:bottom w:val="none" w:sz="0" w:space="0" w:color="auto"/>
            <w:right w:val="none" w:sz="0" w:space="0" w:color="auto"/>
          </w:divBdr>
        </w:div>
        <w:div w:id="603727680">
          <w:marLeft w:val="0"/>
          <w:marRight w:val="0"/>
          <w:marTop w:val="0"/>
          <w:marBottom w:val="0"/>
          <w:divBdr>
            <w:top w:val="none" w:sz="0" w:space="0" w:color="auto"/>
            <w:left w:val="none" w:sz="0" w:space="0" w:color="auto"/>
            <w:bottom w:val="none" w:sz="0" w:space="0" w:color="auto"/>
            <w:right w:val="none" w:sz="0" w:space="0" w:color="auto"/>
          </w:divBdr>
        </w:div>
        <w:div w:id="1610812706">
          <w:marLeft w:val="0"/>
          <w:marRight w:val="0"/>
          <w:marTop w:val="0"/>
          <w:marBottom w:val="0"/>
          <w:divBdr>
            <w:top w:val="none" w:sz="0" w:space="0" w:color="auto"/>
            <w:left w:val="none" w:sz="0" w:space="0" w:color="auto"/>
            <w:bottom w:val="none" w:sz="0" w:space="0" w:color="auto"/>
            <w:right w:val="none" w:sz="0" w:space="0" w:color="auto"/>
          </w:divBdr>
        </w:div>
        <w:div w:id="1579093984">
          <w:marLeft w:val="0"/>
          <w:marRight w:val="0"/>
          <w:marTop w:val="0"/>
          <w:marBottom w:val="0"/>
          <w:divBdr>
            <w:top w:val="none" w:sz="0" w:space="0" w:color="auto"/>
            <w:left w:val="none" w:sz="0" w:space="0" w:color="auto"/>
            <w:bottom w:val="none" w:sz="0" w:space="0" w:color="auto"/>
            <w:right w:val="none" w:sz="0" w:space="0" w:color="auto"/>
          </w:divBdr>
        </w:div>
        <w:div w:id="515537580">
          <w:marLeft w:val="0"/>
          <w:marRight w:val="0"/>
          <w:marTop w:val="0"/>
          <w:marBottom w:val="0"/>
          <w:divBdr>
            <w:top w:val="none" w:sz="0" w:space="0" w:color="auto"/>
            <w:left w:val="none" w:sz="0" w:space="0" w:color="auto"/>
            <w:bottom w:val="none" w:sz="0" w:space="0" w:color="auto"/>
            <w:right w:val="none" w:sz="0" w:space="0" w:color="auto"/>
          </w:divBdr>
        </w:div>
        <w:div w:id="957223537">
          <w:marLeft w:val="0"/>
          <w:marRight w:val="0"/>
          <w:marTop w:val="0"/>
          <w:marBottom w:val="0"/>
          <w:divBdr>
            <w:top w:val="none" w:sz="0" w:space="0" w:color="auto"/>
            <w:left w:val="none" w:sz="0" w:space="0" w:color="auto"/>
            <w:bottom w:val="none" w:sz="0" w:space="0" w:color="auto"/>
            <w:right w:val="none" w:sz="0" w:space="0" w:color="auto"/>
          </w:divBdr>
        </w:div>
        <w:div w:id="2113629031">
          <w:marLeft w:val="0"/>
          <w:marRight w:val="0"/>
          <w:marTop w:val="0"/>
          <w:marBottom w:val="0"/>
          <w:divBdr>
            <w:top w:val="none" w:sz="0" w:space="0" w:color="auto"/>
            <w:left w:val="none" w:sz="0" w:space="0" w:color="auto"/>
            <w:bottom w:val="none" w:sz="0" w:space="0" w:color="auto"/>
            <w:right w:val="none" w:sz="0" w:space="0" w:color="auto"/>
          </w:divBdr>
        </w:div>
        <w:div w:id="1906141575">
          <w:marLeft w:val="0"/>
          <w:marRight w:val="0"/>
          <w:marTop w:val="0"/>
          <w:marBottom w:val="0"/>
          <w:divBdr>
            <w:top w:val="none" w:sz="0" w:space="0" w:color="auto"/>
            <w:left w:val="none" w:sz="0" w:space="0" w:color="auto"/>
            <w:bottom w:val="none" w:sz="0" w:space="0" w:color="auto"/>
            <w:right w:val="none" w:sz="0" w:space="0" w:color="auto"/>
          </w:divBdr>
        </w:div>
        <w:div w:id="261036980">
          <w:marLeft w:val="0"/>
          <w:marRight w:val="0"/>
          <w:marTop w:val="0"/>
          <w:marBottom w:val="0"/>
          <w:divBdr>
            <w:top w:val="none" w:sz="0" w:space="0" w:color="auto"/>
            <w:left w:val="none" w:sz="0" w:space="0" w:color="auto"/>
            <w:bottom w:val="none" w:sz="0" w:space="0" w:color="auto"/>
            <w:right w:val="none" w:sz="0" w:space="0" w:color="auto"/>
          </w:divBdr>
        </w:div>
        <w:div w:id="1634214807">
          <w:marLeft w:val="0"/>
          <w:marRight w:val="0"/>
          <w:marTop w:val="0"/>
          <w:marBottom w:val="0"/>
          <w:divBdr>
            <w:top w:val="none" w:sz="0" w:space="0" w:color="auto"/>
            <w:left w:val="none" w:sz="0" w:space="0" w:color="auto"/>
            <w:bottom w:val="none" w:sz="0" w:space="0" w:color="auto"/>
            <w:right w:val="none" w:sz="0" w:space="0" w:color="auto"/>
          </w:divBdr>
        </w:div>
        <w:div w:id="1565988439">
          <w:marLeft w:val="0"/>
          <w:marRight w:val="0"/>
          <w:marTop w:val="0"/>
          <w:marBottom w:val="0"/>
          <w:divBdr>
            <w:top w:val="none" w:sz="0" w:space="0" w:color="auto"/>
            <w:left w:val="none" w:sz="0" w:space="0" w:color="auto"/>
            <w:bottom w:val="none" w:sz="0" w:space="0" w:color="auto"/>
            <w:right w:val="none" w:sz="0" w:space="0" w:color="auto"/>
          </w:divBdr>
        </w:div>
        <w:div w:id="422193236">
          <w:marLeft w:val="0"/>
          <w:marRight w:val="0"/>
          <w:marTop w:val="0"/>
          <w:marBottom w:val="0"/>
          <w:divBdr>
            <w:top w:val="none" w:sz="0" w:space="0" w:color="auto"/>
            <w:left w:val="none" w:sz="0" w:space="0" w:color="auto"/>
            <w:bottom w:val="none" w:sz="0" w:space="0" w:color="auto"/>
            <w:right w:val="none" w:sz="0" w:space="0" w:color="auto"/>
          </w:divBdr>
        </w:div>
        <w:div w:id="1130516400">
          <w:marLeft w:val="0"/>
          <w:marRight w:val="0"/>
          <w:marTop w:val="0"/>
          <w:marBottom w:val="0"/>
          <w:divBdr>
            <w:top w:val="none" w:sz="0" w:space="0" w:color="auto"/>
            <w:left w:val="none" w:sz="0" w:space="0" w:color="auto"/>
            <w:bottom w:val="none" w:sz="0" w:space="0" w:color="auto"/>
            <w:right w:val="none" w:sz="0" w:space="0" w:color="auto"/>
          </w:divBdr>
        </w:div>
        <w:div w:id="1006711774">
          <w:marLeft w:val="0"/>
          <w:marRight w:val="0"/>
          <w:marTop w:val="0"/>
          <w:marBottom w:val="0"/>
          <w:divBdr>
            <w:top w:val="none" w:sz="0" w:space="0" w:color="auto"/>
            <w:left w:val="none" w:sz="0" w:space="0" w:color="auto"/>
            <w:bottom w:val="none" w:sz="0" w:space="0" w:color="auto"/>
            <w:right w:val="none" w:sz="0" w:space="0" w:color="auto"/>
          </w:divBdr>
        </w:div>
        <w:div w:id="1730422128">
          <w:marLeft w:val="0"/>
          <w:marRight w:val="0"/>
          <w:marTop w:val="0"/>
          <w:marBottom w:val="0"/>
          <w:divBdr>
            <w:top w:val="none" w:sz="0" w:space="0" w:color="auto"/>
            <w:left w:val="none" w:sz="0" w:space="0" w:color="auto"/>
            <w:bottom w:val="none" w:sz="0" w:space="0" w:color="auto"/>
            <w:right w:val="none" w:sz="0" w:space="0" w:color="auto"/>
          </w:divBdr>
        </w:div>
        <w:div w:id="1229851806">
          <w:marLeft w:val="0"/>
          <w:marRight w:val="0"/>
          <w:marTop w:val="0"/>
          <w:marBottom w:val="0"/>
          <w:divBdr>
            <w:top w:val="none" w:sz="0" w:space="0" w:color="auto"/>
            <w:left w:val="none" w:sz="0" w:space="0" w:color="auto"/>
            <w:bottom w:val="none" w:sz="0" w:space="0" w:color="auto"/>
            <w:right w:val="none" w:sz="0" w:space="0" w:color="auto"/>
          </w:divBdr>
        </w:div>
        <w:div w:id="219829008">
          <w:marLeft w:val="0"/>
          <w:marRight w:val="0"/>
          <w:marTop w:val="0"/>
          <w:marBottom w:val="0"/>
          <w:divBdr>
            <w:top w:val="none" w:sz="0" w:space="0" w:color="auto"/>
            <w:left w:val="none" w:sz="0" w:space="0" w:color="auto"/>
            <w:bottom w:val="none" w:sz="0" w:space="0" w:color="auto"/>
            <w:right w:val="none" w:sz="0" w:space="0" w:color="auto"/>
          </w:divBdr>
        </w:div>
        <w:div w:id="660159954">
          <w:marLeft w:val="0"/>
          <w:marRight w:val="0"/>
          <w:marTop w:val="0"/>
          <w:marBottom w:val="0"/>
          <w:divBdr>
            <w:top w:val="none" w:sz="0" w:space="0" w:color="auto"/>
            <w:left w:val="none" w:sz="0" w:space="0" w:color="auto"/>
            <w:bottom w:val="none" w:sz="0" w:space="0" w:color="auto"/>
            <w:right w:val="none" w:sz="0" w:space="0" w:color="auto"/>
          </w:divBdr>
        </w:div>
        <w:div w:id="973635451">
          <w:marLeft w:val="0"/>
          <w:marRight w:val="0"/>
          <w:marTop w:val="0"/>
          <w:marBottom w:val="0"/>
          <w:divBdr>
            <w:top w:val="none" w:sz="0" w:space="0" w:color="auto"/>
            <w:left w:val="none" w:sz="0" w:space="0" w:color="auto"/>
            <w:bottom w:val="none" w:sz="0" w:space="0" w:color="auto"/>
            <w:right w:val="none" w:sz="0" w:space="0" w:color="auto"/>
          </w:divBdr>
        </w:div>
        <w:div w:id="755520689">
          <w:marLeft w:val="0"/>
          <w:marRight w:val="0"/>
          <w:marTop w:val="0"/>
          <w:marBottom w:val="0"/>
          <w:divBdr>
            <w:top w:val="none" w:sz="0" w:space="0" w:color="auto"/>
            <w:left w:val="none" w:sz="0" w:space="0" w:color="auto"/>
            <w:bottom w:val="none" w:sz="0" w:space="0" w:color="auto"/>
            <w:right w:val="none" w:sz="0" w:space="0" w:color="auto"/>
          </w:divBdr>
        </w:div>
        <w:div w:id="549344597">
          <w:marLeft w:val="0"/>
          <w:marRight w:val="0"/>
          <w:marTop w:val="0"/>
          <w:marBottom w:val="0"/>
          <w:divBdr>
            <w:top w:val="none" w:sz="0" w:space="0" w:color="auto"/>
            <w:left w:val="none" w:sz="0" w:space="0" w:color="auto"/>
            <w:bottom w:val="none" w:sz="0" w:space="0" w:color="auto"/>
            <w:right w:val="none" w:sz="0" w:space="0" w:color="auto"/>
          </w:divBdr>
        </w:div>
        <w:div w:id="1222794110">
          <w:marLeft w:val="0"/>
          <w:marRight w:val="0"/>
          <w:marTop w:val="0"/>
          <w:marBottom w:val="0"/>
          <w:divBdr>
            <w:top w:val="none" w:sz="0" w:space="0" w:color="auto"/>
            <w:left w:val="none" w:sz="0" w:space="0" w:color="auto"/>
            <w:bottom w:val="none" w:sz="0" w:space="0" w:color="auto"/>
            <w:right w:val="none" w:sz="0" w:space="0" w:color="auto"/>
          </w:divBdr>
        </w:div>
        <w:div w:id="454640495">
          <w:marLeft w:val="0"/>
          <w:marRight w:val="0"/>
          <w:marTop w:val="0"/>
          <w:marBottom w:val="0"/>
          <w:divBdr>
            <w:top w:val="none" w:sz="0" w:space="0" w:color="auto"/>
            <w:left w:val="none" w:sz="0" w:space="0" w:color="auto"/>
            <w:bottom w:val="none" w:sz="0" w:space="0" w:color="auto"/>
            <w:right w:val="none" w:sz="0" w:space="0" w:color="auto"/>
          </w:divBdr>
        </w:div>
        <w:div w:id="285744378">
          <w:marLeft w:val="0"/>
          <w:marRight w:val="0"/>
          <w:marTop w:val="0"/>
          <w:marBottom w:val="0"/>
          <w:divBdr>
            <w:top w:val="none" w:sz="0" w:space="0" w:color="auto"/>
            <w:left w:val="none" w:sz="0" w:space="0" w:color="auto"/>
            <w:bottom w:val="none" w:sz="0" w:space="0" w:color="auto"/>
            <w:right w:val="none" w:sz="0" w:space="0" w:color="auto"/>
          </w:divBdr>
        </w:div>
        <w:div w:id="657850802">
          <w:marLeft w:val="0"/>
          <w:marRight w:val="0"/>
          <w:marTop w:val="0"/>
          <w:marBottom w:val="0"/>
          <w:divBdr>
            <w:top w:val="none" w:sz="0" w:space="0" w:color="auto"/>
            <w:left w:val="none" w:sz="0" w:space="0" w:color="auto"/>
            <w:bottom w:val="none" w:sz="0" w:space="0" w:color="auto"/>
            <w:right w:val="none" w:sz="0" w:space="0" w:color="auto"/>
          </w:divBdr>
        </w:div>
        <w:div w:id="46993107">
          <w:marLeft w:val="0"/>
          <w:marRight w:val="0"/>
          <w:marTop w:val="0"/>
          <w:marBottom w:val="0"/>
          <w:divBdr>
            <w:top w:val="none" w:sz="0" w:space="0" w:color="auto"/>
            <w:left w:val="none" w:sz="0" w:space="0" w:color="auto"/>
            <w:bottom w:val="none" w:sz="0" w:space="0" w:color="auto"/>
            <w:right w:val="none" w:sz="0" w:space="0" w:color="auto"/>
          </w:divBdr>
        </w:div>
        <w:div w:id="1350451952">
          <w:marLeft w:val="0"/>
          <w:marRight w:val="0"/>
          <w:marTop w:val="0"/>
          <w:marBottom w:val="0"/>
          <w:divBdr>
            <w:top w:val="none" w:sz="0" w:space="0" w:color="auto"/>
            <w:left w:val="none" w:sz="0" w:space="0" w:color="auto"/>
            <w:bottom w:val="none" w:sz="0" w:space="0" w:color="auto"/>
            <w:right w:val="none" w:sz="0" w:space="0" w:color="auto"/>
          </w:divBdr>
        </w:div>
        <w:div w:id="268054045">
          <w:marLeft w:val="0"/>
          <w:marRight w:val="0"/>
          <w:marTop w:val="0"/>
          <w:marBottom w:val="0"/>
          <w:divBdr>
            <w:top w:val="none" w:sz="0" w:space="0" w:color="auto"/>
            <w:left w:val="none" w:sz="0" w:space="0" w:color="auto"/>
            <w:bottom w:val="none" w:sz="0" w:space="0" w:color="auto"/>
            <w:right w:val="none" w:sz="0" w:space="0" w:color="auto"/>
          </w:divBdr>
        </w:div>
        <w:div w:id="926033196">
          <w:marLeft w:val="0"/>
          <w:marRight w:val="0"/>
          <w:marTop w:val="0"/>
          <w:marBottom w:val="0"/>
          <w:divBdr>
            <w:top w:val="none" w:sz="0" w:space="0" w:color="auto"/>
            <w:left w:val="none" w:sz="0" w:space="0" w:color="auto"/>
            <w:bottom w:val="none" w:sz="0" w:space="0" w:color="auto"/>
            <w:right w:val="none" w:sz="0" w:space="0" w:color="auto"/>
          </w:divBdr>
        </w:div>
        <w:div w:id="351809360">
          <w:marLeft w:val="0"/>
          <w:marRight w:val="0"/>
          <w:marTop w:val="0"/>
          <w:marBottom w:val="0"/>
          <w:divBdr>
            <w:top w:val="none" w:sz="0" w:space="0" w:color="auto"/>
            <w:left w:val="none" w:sz="0" w:space="0" w:color="auto"/>
            <w:bottom w:val="none" w:sz="0" w:space="0" w:color="auto"/>
            <w:right w:val="none" w:sz="0" w:space="0" w:color="auto"/>
          </w:divBdr>
        </w:div>
        <w:div w:id="681205334">
          <w:marLeft w:val="0"/>
          <w:marRight w:val="0"/>
          <w:marTop w:val="0"/>
          <w:marBottom w:val="0"/>
          <w:divBdr>
            <w:top w:val="none" w:sz="0" w:space="0" w:color="auto"/>
            <w:left w:val="none" w:sz="0" w:space="0" w:color="auto"/>
            <w:bottom w:val="none" w:sz="0" w:space="0" w:color="auto"/>
            <w:right w:val="none" w:sz="0" w:space="0" w:color="auto"/>
          </w:divBdr>
        </w:div>
        <w:div w:id="790972392">
          <w:marLeft w:val="0"/>
          <w:marRight w:val="0"/>
          <w:marTop w:val="0"/>
          <w:marBottom w:val="0"/>
          <w:divBdr>
            <w:top w:val="none" w:sz="0" w:space="0" w:color="auto"/>
            <w:left w:val="none" w:sz="0" w:space="0" w:color="auto"/>
            <w:bottom w:val="none" w:sz="0" w:space="0" w:color="auto"/>
            <w:right w:val="none" w:sz="0" w:space="0" w:color="auto"/>
          </w:divBdr>
        </w:div>
        <w:div w:id="1047609704">
          <w:marLeft w:val="0"/>
          <w:marRight w:val="0"/>
          <w:marTop w:val="0"/>
          <w:marBottom w:val="0"/>
          <w:divBdr>
            <w:top w:val="none" w:sz="0" w:space="0" w:color="auto"/>
            <w:left w:val="none" w:sz="0" w:space="0" w:color="auto"/>
            <w:bottom w:val="none" w:sz="0" w:space="0" w:color="auto"/>
            <w:right w:val="none" w:sz="0" w:space="0" w:color="auto"/>
          </w:divBdr>
        </w:div>
        <w:div w:id="1367368704">
          <w:marLeft w:val="0"/>
          <w:marRight w:val="0"/>
          <w:marTop w:val="0"/>
          <w:marBottom w:val="0"/>
          <w:divBdr>
            <w:top w:val="none" w:sz="0" w:space="0" w:color="auto"/>
            <w:left w:val="none" w:sz="0" w:space="0" w:color="auto"/>
            <w:bottom w:val="none" w:sz="0" w:space="0" w:color="auto"/>
            <w:right w:val="none" w:sz="0" w:space="0" w:color="auto"/>
          </w:divBdr>
        </w:div>
        <w:div w:id="187642918">
          <w:marLeft w:val="0"/>
          <w:marRight w:val="0"/>
          <w:marTop w:val="0"/>
          <w:marBottom w:val="0"/>
          <w:divBdr>
            <w:top w:val="none" w:sz="0" w:space="0" w:color="auto"/>
            <w:left w:val="none" w:sz="0" w:space="0" w:color="auto"/>
            <w:bottom w:val="none" w:sz="0" w:space="0" w:color="auto"/>
            <w:right w:val="none" w:sz="0" w:space="0" w:color="auto"/>
          </w:divBdr>
        </w:div>
        <w:div w:id="783353993">
          <w:marLeft w:val="0"/>
          <w:marRight w:val="0"/>
          <w:marTop w:val="0"/>
          <w:marBottom w:val="0"/>
          <w:divBdr>
            <w:top w:val="none" w:sz="0" w:space="0" w:color="auto"/>
            <w:left w:val="none" w:sz="0" w:space="0" w:color="auto"/>
            <w:bottom w:val="none" w:sz="0" w:space="0" w:color="auto"/>
            <w:right w:val="none" w:sz="0" w:space="0" w:color="auto"/>
          </w:divBdr>
        </w:div>
      </w:divsChild>
    </w:div>
    <w:div w:id="171452936">
      <w:bodyDiv w:val="1"/>
      <w:marLeft w:val="0"/>
      <w:marRight w:val="0"/>
      <w:marTop w:val="0"/>
      <w:marBottom w:val="0"/>
      <w:divBdr>
        <w:top w:val="none" w:sz="0" w:space="0" w:color="auto"/>
        <w:left w:val="none" w:sz="0" w:space="0" w:color="auto"/>
        <w:bottom w:val="none" w:sz="0" w:space="0" w:color="auto"/>
        <w:right w:val="none" w:sz="0" w:space="0" w:color="auto"/>
      </w:divBdr>
      <w:divsChild>
        <w:div w:id="526873654">
          <w:marLeft w:val="0"/>
          <w:marRight w:val="0"/>
          <w:marTop w:val="0"/>
          <w:marBottom w:val="0"/>
          <w:divBdr>
            <w:top w:val="none" w:sz="0" w:space="0" w:color="auto"/>
            <w:left w:val="none" w:sz="0" w:space="0" w:color="auto"/>
            <w:bottom w:val="none" w:sz="0" w:space="0" w:color="auto"/>
            <w:right w:val="none" w:sz="0" w:space="0" w:color="auto"/>
          </w:divBdr>
        </w:div>
        <w:div w:id="1991707615">
          <w:marLeft w:val="0"/>
          <w:marRight w:val="0"/>
          <w:marTop w:val="0"/>
          <w:marBottom w:val="0"/>
          <w:divBdr>
            <w:top w:val="none" w:sz="0" w:space="0" w:color="auto"/>
            <w:left w:val="none" w:sz="0" w:space="0" w:color="auto"/>
            <w:bottom w:val="none" w:sz="0" w:space="0" w:color="auto"/>
            <w:right w:val="none" w:sz="0" w:space="0" w:color="auto"/>
          </w:divBdr>
        </w:div>
        <w:div w:id="2037581067">
          <w:marLeft w:val="0"/>
          <w:marRight w:val="0"/>
          <w:marTop w:val="0"/>
          <w:marBottom w:val="0"/>
          <w:divBdr>
            <w:top w:val="none" w:sz="0" w:space="0" w:color="auto"/>
            <w:left w:val="none" w:sz="0" w:space="0" w:color="auto"/>
            <w:bottom w:val="none" w:sz="0" w:space="0" w:color="auto"/>
            <w:right w:val="none" w:sz="0" w:space="0" w:color="auto"/>
          </w:divBdr>
        </w:div>
        <w:div w:id="253125221">
          <w:marLeft w:val="0"/>
          <w:marRight w:val="0"/>
          <w:marTop w:val="0"/>
          <w:marBottom w:val="0"/>
          <w:divBdr>
            <w:top w:val="none" w:sz="0" w:space="0" w:color="auto"/>
            <w:left w:val="none" w:sz="0" w:space="0" w:color="auto"/>
            <w:bottom w:val="none" w:sz="0" w:space="0" w:color="auto"/>
            <w:right w:val="none" w:sz="0" w:space="0" w:color="auto"/>
          </w:divBdr>
        </w:div>
        <w:div w:id="1337919264">
          <w:marLeft w:val="0"/>
          <w:marRight w:val="0"/>
          <w:marTop w:val="0"/>
          <w:marBottom w:val="0"/>
          <w:divBdr>
            <w:top w:val="none" w:sz="0" w:space="0" w:color="auto"/>
            <w:left w:val="none" w:sz="0" w:space="0" w:color="auto"/>
            <w:bottom w:val="none" w:sz="0" w:space="0" w:color="auto"/>
            <w:right w:val="none" w:sz="0" w:space="0" w:color="auto"/>
          </w:divBdr>
        </w:div>
        <w:div w:id="1630159708">
          <w:marLeft w:val="0"/>
          <w:marRight w:val="0"/>
          <w:marTop w:val="0"/>
          <w:marBottom w:val="0"/>
          <w:divBdr>
            <w:top w:val="none" w:sz="0" w:space="0" w:color="auto"/>
            <w:left w:val="none" w:sz="0" w:space="0" w:color="auto"/>
            <w:bottom w:val="none" w:sz="0" w:space="0" w:color="auto"/>
            <w:right w:val="none" w:sz="0" w:space="0" w:color="auto"/>
          </w:divBdr>
        </w:div>
        <w:div w:id="806702046">
          <w:marLeft w:val="0"/>
          <w:marRight w:val="0"/>
          <w:marTop w:val="0"/>
          <w:marBottom w:val="0"/>
          <w:divBdr>
            <w:top w:val="none" w:sz="0" w:space="0" w:color="auto"/>
            <w:left w:val="none" w:sz="0" w:space="0" w:color="auto"/>
            <w:bottom w:val="none" w:sz="0" w:space="0" w:color="auto"/>
            <w:right w:val="none" w:sz="0" w:space="0" w:color="auto"/>
          </w:divBdr>
        </w:div>
        <w:div w:id="445545184">
          <w:marLeft w:val="0"/>
          <w:marRight w:val="0"/>
          <w:marTop w:val="0"/>
          <w:marBottom w:val="0"/>
          <w:divBdr>
            <w:top w:val="none" w:sz="0" w:space="0" w:color="auto"/>
            <w:left w:val="none" w:sz="0" w:space="0" w:color="auto"/>
            <w:bottom w:val="none" w:sz="0" w:space="0" w:color="auto"/>
            <w:right w:val="none" w:sz="0" w:space="0" w:color="auto"/>
          </w:divBdr>
        </w:div>
        <w:div w:id="246118171">
          <w:marLeft w:val="0"/>
          <w:marRight w:val="0"/>
          <w:marTop w:val="0"/>
          <w:marBottom w:val="0"/>
          <w:divBdr>
            <w:top w:val="none" w:sz="0" w:space="0" w:color="auto"/>
            <w:left w:val="none" w:sz="0" w:space="0" w:color="auto"/>
            <w:bottom w:val="none" w:sz="0" w:space="0" w:color="auto"/>
            <w:right w:val="none" w:sz="0" w:space="0" w:color="auto"/>
          </w:divBdr>
        </w:div>
        <w:div w:id="1781995588">
          <w:marLeft w:val="0"/>
          <w:marRight w:val="0"/>
          <w:marTop w:val="0"/>
          <w:marBottom w:val="0"/>
          <w:divBdr>
            <w:top w:val="none" w:sz="0" w:space="0" w:color="auto"/>
            <w:left w:val="none" w:sz="0" w:space="0" w:color="auto"/>
            <w:bottom w:val="none" w:sz="0" w:space="0" w:color="auto"/>
            <w:right w:val="none" w:sz="0" w:space="0" w:color="auto"/>
          </w:divBdr>
        </w:div>
        <w:div w:id="113722018">
          <w:marLeft w:val="0"/>
          <w:marRight w:val="0"/>
          <w:marTop w:val="0"/>
          <w:marBottom w:val="0"/>
          <w:divBdr>
            <w:top w:val="none" w:sz="0" w:space="0" w:color="auto"/>
            <w:left w:val="none" w:sz="0" w:space="0" w:color="auto"/>
            <w:bottom w:val="none" w:sz="0" w:space="0" w:color="auto"/>
            <w:right w:val="none" w:sz="0" w:space="0" w:color="auto"/>
          </w:divBdr>
        </w:div>
        <w:div w:id="1413041199">
          <w:marLeft w:val="0"/>
          <w:marRight w:val="0"/>
          <w:marTop w:val="0"/>
          <w:marBottom w:val="0"/>
          <w:divBdr>
            <w:top w:val="none" w:sz="0" w:space="0" w:color="auto"/>
            <w:left w:val="none" w:sz="0" w:space="0" w:color="auto"/>
            <w:bottom w:val="none" w:sz="0" w:space="0" w:color="auto"/>
            <w:right w:val="none" w:sz="0" w:space="0" w:color="auto"/>
          </w:divBdr>
        </w:div>
        <w:div w:id="1106657902">
          <w:marLeft w:val="0"/>
          <w:marRight w:val="0"/>
          <w:marTop w:val="0"/>
          <w:marBottom w:val="0"/>
          <w:divBdr>
            <w:top w:val="none" w:sz="0" w:space="0" w:color="auto"/>
            <w:left w:val="none" w:sz="0" w:space="0" w:color="auto"/>
            <w:bottom w:val="none" w:sz="0" w:space="0" w:color="auto"/>
            <w:right w:val="none" w:sz="0" w:space="0" w:color="auto"/>
          </w:divBdr>
        </w:div>
        <w:div w:id="577905849">
          <w:marLeft w:val="0"/>
          <w:marRight w:val="0"/>
          <w:marTop w:val="0"/>
          <w:marBottom w:val="0"/>
          <w:divBdr>
            <w:top w:val="none" w:sz="0" w:space="0" w:color="auto"/>
            <w:left w:val="none" w:sz="0" w:space="0" w:color="auto"/>
            <w:bottom w:val="none" w:sz="0" w:space="0" w:color="auto"/>
            <w:right w:val="none" w:sz="0" w:space="0" w:color="auto"/>
          </w:divBdr>
        </w:div>
        <w:div w:id="1388407712">
          <w:marLeft w:val="0"/>
          <w:marRight w:val="0"/>
          <w:marTop w:val="0"/>
          <w:marBottom w:val="0"/>
          <w:divBdr>
            <w:top w:val="none" w:sz="0" w:space="0" w:color="auto"/>
            <w:left w:val="none" w:sz="0" w:space="0" w:color="auto"/>
            <w:bottom w:val="none" w:sz="0" w:space="0" w:color="auto"/>
            <w:right w:val="none" w:sz="0" w:space="0" w:color="auto"/>
          </w:divBdr>
        </w:div>
        <w:div w:id="1885746756">
          <w:marLeft w:val="0"/>
          <w:marRight w:val="0"/>
          <w:marTop w:val="0"/>
          <w:marBottom w:val="0"/>
          <w:divBdr>
            <w:top w:val="none" w:sz="0" w:space="0" w:color="auto"/>
            <w:left w:val="none" w:sz="0" w:space="0" w:color="auto"/>
            <w:bottom w:val="none" w:sz="0" w:space="0" w:color="auto"/>
            <w:right w:val="none" w:sz="0" w:space="0" w:color="auto"/>
          </w:divBdr>
        </w:div>
        <w:div w:id="1605916339">
          <w:marLeft w:val="0"/>
          <w:marRight w:val="0"/>
          <w:marTop w:val="0"/>
          <w:marBottom w:val="0"/>
          <w:divBdr>
            <w:top w:val="none" w:sz="0" w:space="0" w:color="auto"/>
            <w:left w:val="none" w:sz="0" w:space="0" w:color="auto"/>
            <w:bottom w:val="none" w:sz="0" w:space="0" w:color="auto"/>
            <w:right w:val="none" w:sz="0" w:space="0" w:color="auto"/>
          </w:divBdr>
        </w:div>
        <w:div w:id="896475212">
          <w:marLeft w:val="0"/>
          <w:marRight w:val="0"/>
          <w:marTop w:val="0"/>
          <w:marBottom w:val="0"/>
          <w:divBdr>
            <w:top w:val="none" w:sz="0" w:space="0" w:color="auto"/>
            <w:left w:val="none" w:sz="0" w:space="0" w:color="auto"/>
            <w:bottom w:val="none" w:sz="0" w:space="0" w:color="auto"/>
            <w:right w:val="none" w:sz="0" w:space="0" w:color="auto"/>
          </w:divBdr>
        </w:div>
        <w:div w:id="81880976">
          <w:marLeft w:val="0"/>
          <w:marRight w:val="0"/>
          <w:marTop w:val="0"/>
          <w:marBottom w:val="0"/>
          <w:divBdr>
            <w:top w:val="none" w:sz="0" w:space="0" w:color="auto"/>
            <w:left w:val="none" w:sz="0" w:space="0" w:color="auto"/>
            <w:bottom w:val="none" w:sz="0" w:space="0" w:color="auto"/>
            <w:right w:val="none" w:sz="0" w:space="0" w:color="auto"/>
          </w:divBdr>
        </w:div>
        <w:div w:id="736634994">
          <w:marLeft w:val="0"/>
          <w:marRight w:val="0"/>
          <w:marTop w:val="0"/>
          <w:marBottom w:val="0"/>
          <w:divBdr>
            <w:top w:val="none" w:sz="0" w:space="0" w:color="auto"/>
            <w:left w:val="none" w:sz="0" w:space="0" w:color="auto"/>
            <w:bottom w:val="none" w:sz="0" w:space="0" w:color="auto"/>
            <w:right w:val="none" w:sz="0" w:space="0" w:color="auto"/>
          </w:divBdr>
        </w:div>
        <w:div w:id="801313772">
          <w:marLeft w:val="0"/>
          <w:marRight w:val="0"/>
          <w:marTop w:val="0"/>
          <w:marBottom w:val="0"/>
          <w:divBdr>
            <w:top w:val="none" w:sz="0" w:space="0" w:color="auto"/>
            <w:left w:val="none" w:sz="0" w:space="0" w:color="auto"/>
            <w:bottom w:val="none" w:sz="0" w:space="0" w:color="auto"/>
            <w:right w:val="none" w:sz="0" w:space="0" w:color="auto"/>
          </w:divBdr>
        </w:div>
        <w:div w:id="1191532751">
          <w:marLeft w:val="0"/>
          <w:marRight w:val="0"/>
          <w:marTop w:val="0"/>
          <w:marBottom w:val="0"/>
          <w:divBdr>
            <w:top w:val="none" w:sz="0" w:space="0" w:color="auto"/>
            <w:left w:val="none" w:sz="0" w:space="0" w:color="auto"/>
            <w:bottom w:val="none" w:sz="0" w:space="0" w:color="auto"/>
            <w:right w:val="none" w:sz="0" w:space="0" w:color="auto"/>
          </w:divBdr>
        </w:div>
        <w:div w:id="491331667">
          <w:marLeft w:val="0"/>
          <w:marRight w:val="0"/>
          <w:marTop w:val="0"/>
          <w:marBottom w:val="0"/>
          <w:divBdr>
            <w:top w:val="none" w:sz="0" w:space="0" w:color="auto"/>
            <w:left w:val="none" w:sz="0" w:space="0" w:color="auto"/>
            <w:bottom w:val="none" w:sz="0" w:space="0" w:color="auto"/>
            <w:right w:val="none" w:sz="0" w:space="0" w:color="auto"/>
          </w:divBdr>
        </w:div>
        <w:div w:id="741634602">
          <w:marLeft w:val="0"/>
          <w:marRight w:val="0"/>
          <w:marTop w:val="0"/>
          <w:marBottom w:val="0"/>
          <w:divBdr>
            <w:top w:val="none" w:sz="0" w:space="0" w:color="auto"/>
            <w:left w:val="none" w:sz="0" w:space="0" w:color="auto"/>
            <w:bottom w:val="none" w:sz="0" w:space="0" w:color="auto"/>
            <w:right w:val="none" w:sz="0" w:space="0" w:color="auto"/>
          </w:divBdr>
        </w:div>
        <w:div w:id="1687177006">
          <w:marLeft w:val="0"/>
          <w:marRight w:val="0"/>
          <w:marTop w:val="0"/>
          <w:marBottom w:val="0"/>
          <w:divBdr>
            <w:top w:val="none" w:sz="0" w:space="0" w:color="auto"/>
            <w:left w:val="none" w:sz="0" w:space="0" w:color="auto"/>
            <w:bottom w:val="none" w:sz="0" w:space="0" w:color="auto"/>
            <w:right w:val="none" w:sz="0" w:space="0" w:color="auto"/>
          </w:divBdr>
        </w:div>
        <w:div w:id="1592933526">
          <w:marLeft w:val="0"/>
          <w:marRight w:val="0"/>
          <w:marTop w:val="0"/>
          <w:marBottom w:val="0"/>
          <w:divBdr>
            <w:top w:val="none" w:sz="0" w:space="0" w:color="auto"/>
            <w:left w:val="none" w:sz="0" w:space="0" w:color="auto"/>
            <w:bottom w:val="none" w:sz="0" w:space="0" w:color="auto"/>
            <w:right w:val="none" w:sz="0" w:space="0" w:color="auto"/>
          </w:divBdr>
        </w:div>
        <w:div w:id="1808664337">
          <w:marLeft w:val="0"/>
          <w:marRight w:val="0"/>
          <w:marTop w:val="0"/>
          <w:marBottom w:val="0"/>
          <w:divBdr>
            <w:top w:val="none" w:sz="0" w:space="0" w:color="auto"/>
            <w:left w:val="none" w:sz="0" w:space="0" w:color="auto"/>
            <w:bottom w:val="none" w:sz="0" w:space="0" w:color="auto"/>
            <w:right w:val="none" w:sz="0" w:space="0" w:color="auto"/>
          </w:divBdr>
        </w:div>
        <w:div w:id="501898683">
          <w:marLeft w:val="0"/>
          <w:marRight w:val="0"/>
          <w:marTop w:val="0"/>
          <w:marBottom w:val="0"/>
          <w:divBdr>
            <w:top w:val="none" w:sz="0" w:space="0" w:color="auto"/>
            <w:left w:val="none" w:sz="0" w:space="0" w:color="auto"/>
            <w:bottom w:val="none" w:sz="0" w:space="0" w:color="auto"/>
            <w:right w:val="none" w:sz="0" w:space="0" w:color="auto"/>
          </w:divBdr>
        </w:div>
        <w:div w:id="86659642">
          <w:marLeft w:val="0"/>
          <w:marRight w:val="0"/>
          <w:marTop w:val="0"/>
          <w:marBottom w:val="0"/>
          <w:divBdr>
            <w:top w:val="none" w:sz="0" w:space="0" w:color="auto"/>
            <w:left w:val="none" w:sz="0" w:space="0" w:color="auto"/>
            <w:bottom w:val="none" w:sz="0" w:space="0" w:color="auto"/>
            <w:right w:val="none" w:sz="0" w:space="0" w:color="auto"/>
          </w:divBdr>
        </w:div>
        <w:div w:id="645478356">
          <w:marLeft w:val="0"/>
          <w:marRight w:val="0"/>
          <w:marTop w:val="0"/>
          <w:marBottom w:val="0"/>
          <w:divBdr>
            <w:top w:val="none" w:sz="0" w:space="0" w:color="auto"/>
            <w:left w:val="none" w:sz="0" w:space="0" w:color="auto"/>
            <w:bottom w:val="none" w:sz="0" w:space="0" w:color="auto"/>
            <w:right w:val="none" w:sz="0" w:space="0" w:color="auto"/>
          </w:divBdr>
        </w:div>
        <w:div w:id="1418399443">
          <w:marLeft w:val="0"/>
          <w:marRight w:val="0"/>
          <w:marTop w:val="0"/>
          <w:marBottom w:val="0"/>
          <w:divBdr>
            <w:top w:val="none" w:sz="0" w:space="0" w:color="auto"/>
            <w:left w:val="none" w:sz="0" w:space="0" w:color="auto"/>
            <w:bottom w:val="none" w:sz="0" w:space="0" w:color="auto"/>
            <w:right w:val="none" w:sz="0" w:space="0" w:color="auto"/>
          </w:divBdr>
        </w:div>
        <w:div w:id="1207062233">
          <w:marLeft w:val="0"/>
          <w:marRight w:val="0"/>
          <w:marTop w:val="0"/>
          <w:marBottom w:val="0"/>
          <w:divBdr>
            <w:top w:val="none" w:sz="0" w:space="0" w:color="auto"/>
            <w:left w:val="none" w:sz="0" w:space="0" w:color="auto"/>
            <w:bottom w:val="none" w:sz="0" w:space="0" w:color="auto"/>
            <w:right w:val="none" w:sz="0" w:space="0" w:color="auto"/>
          </w:divBdr>
        </w:div>
      </w:divsChild>
    </w:div>
    <w:div w:id="197746621">
      <w:bodyDiv w:val="1"/>
      <w:marLeft w:val="0"/>
      <w:marRight w:val="0"/>
      <w:marTop w:val="0"/>
      <w:marBottom w:val="0"/>
      <w:divBdr>
        <w:top w:val="none" w:sz="0" w:space="0" w:color="auto"/>
        <w:left w:val="none" w:sz="0" w:space="0" w:color="auto"/>
        <w:bottom w:val="none" w:sz="0" w:space="0" w:color="auto"/>
        <w:right w:val="none" w:sz="0" w:space="0" w:color="auto"/>
      </w:divBdr>
    </w:div>
    <w:div w:id="228662851">
      <w:bodyDiv w:val="1"/>
      <w:marLeft w:val="0"/>
      <w:marRight w:val="0"/>
      <w:marTop w:val="0"/>
      <w:marBottom w:val="0"/>
      <w:divBdr>
        <w:top w:val="none" w:sz="0" w:space="0" w:color="auto"/>
        <w:left w:val="none" w:sz="0" w:space="0" w:color="auto"/>
        <w:bottom w:val="none" w:sz="0" w:space="0" w:color="auto"/>
        <w:right w:val="none" w:sz="0" w:space="0" w:color="auto"/>
      </w:divBdr>
    </w:div>
    <w:div w:id="278487792">
      <w:bodyDiv w:val="1"/>
      <w:marLeft w:val="0"/>
      <w:marRight w:val="0"/>
      <w:marTop w:val="0"/>
      <w:marBottom w:val="0"/>
      <w:divBdr>
        <w:top w:val="none" w:sz="0" w:space="0" w:color="auto"/>
        <w:left w:val="none" w:sz="0" w:space="0" w:color="auto"/>
        <w:bottom w:val="none" w:sz="0" w:space="0" w:color="auto"/>
        <w:right w:val="none" w:sz="0" w:space="0" w:color="auto"/>
      </w:divBdr>
    </w:div>
    <w:div w:id="289751277">
      <w:bodyDiv w:val="1"/>
      <w:marLeft w:val="0"/>
      <w:marRight w:val="0"/>
      <w:marTop w:val="0"/>
      <w:marBottom w:val="0"/>
      <w:divBdr>
        <w:top w:val="none" w:sz="0" w:space="0" w:color="auto"/>
        <w:left w:val="none" w:sz="0" w:space="0" w:color="auto"/>
        <w:bottom w:val="none" w:sz="0" w:space="0" w:color="auto"/>
        <w:right w:val="none" w:sz="0" w:space="0" w:color="auto"/>
      </w:divBdr>
    </w:div>
    <w:div w:id="329674018">
      <w:bodyDiv w:val="1"/>
      <w:marLeft w:val="0"/>
      <w:marRight w:val="0"/>
      <w:marTop w:val="0"/>
      <w:marBottom w:val="0"/>
      <w:divBdr>
        <w:top w:val="none" w:sz="0" w:space="0" w:color="auto"/>
        <w:left w:val="none" w:sz="0" w:space="0" w:color="auto"/>
        <w:bottom w:val="none" w:sz="0" w:space="0" w:color="auto"/>
        <w:right w:val="none" w:sz="0" w:space="0" w:color="auto"/>
      </w:divBdr>
      <w:divsChild>
        <w:div w:id="449399949">
          <w:marLeft w:val="0"/>
          <w:marRight w:val="0"/>
          <w:marTop w:val="0"/>
          <w:marBottom w:val="0"/>
          <w:divBdr>
            <w:top w:val="none" w:sz="0" w:space="0" w:color="auto"/>
            <w:left w:val="none" w:sz="0" w:space="0" w:color="auto"/>
            <w:bottom w:val="none" w:sz="0" w:space="0" w:color="auto"/>
            <w:right w:val="none" w:sz="0" w:space="0" w:color="auto"/>
          </w:divBdr>
        </w:div>
        <w:div w:id="1554923812">
          <w:marLeft w:val="0"/>
          <w:marRight w:val="0"/>
          <w:marTop w:val="0"/>
          <w:marBottom w:val="0"/>
          <w:divBdr>
            <w:top w:val="none" w:sz="0" w:space="0" w:color="auto"/>
            <w:left w:val="none" w:sz="0" w:space="0" w:color="auto"/>
            <w:bottom w:val="none" w:sz="0" w:space="0" w:color="auto"/>
            <w:right w:val="none" w:sz="0" w:space="0" w:color="auto"/>
          </w:divBdr>
        </w:div>
        <w:div w:id="370233188">
          <w:marLeft w:val="0"/>
          <w:marRight w:val="0"/>
          <w:marTop w:val="0"/>
          <w:marBottom w:val="0"/>
          <w:divBdr>
            <w:top w:val="none" w:sz="0" w:space="0" w:color="auto"/>
            <w:left w:val="none" w:sz="0" w:space="0" w:color="auto"/>
            <w:bottom w:val="none" w:sz="0" w:space="0" w:color="auto"/>
            <w:right w:val="none" w:sz="0" w:space="0" w:color="auto"/>
          </w:divBdr>
        </w:div>
        <w:div w:id="1209491082">
          <w:marLeft w:val="0"/>
          <w:marRight w:val="0"/>
          <w:marTop w:val="0"/>
          <w:marBottom w:val="0"/>
          <w:divBdr>
            <w:top w:val="none" w:sz="0" w:space="0" w:color="auto"/>
            <w:left w:val="none" w:sz="0" w:space="0" w:color="auto"/>
            <w:bottom w:val="none" w:sz="0" w:space="0" w:color="auto"/>
            <w:right w:val="none" w:sz="0" w:space="0" w:color="auto"/>
          </w:divBdr>
        </w:div>
        <w:div w:id="85002107">
          <w:marLeft w:val="0"/>
          <w:marRight w:val="0"/>
          <w:marTop w:val="0"/>
          <w:marBottom w:val="0"/>
          <w:divBdr>
            <w:top w:val="none" w:sz="0" w:space="0" w:color="auto"/>
            <w:left w:val="none" w:sz="0" w:space="0" w:color="auto"/>
            <w:bottom w:val="none" w:sz="0" w:space="0" w:color="auto"/>
            <w:right w:val="none" w:sz="0" w:space="0" w:color="auto"/>
          </w:divBdr>
        </w:div>
        <w:div w:id="364450868">
          <w:marLeft w:val="0"/>
          <w:marRight w:val="0"/>
          <w:marTop w:val="0"/>
          <w:marBottom w:val="0"/>
          <w:divBdr>
            <w:top w:val="none" w:sz="0" w:space="0" w:color="auto"/>
            <w:left w:val="none" w:sz="0" w:space="0" w:color="auto"/>
            <w:bottom w:val="none" w:sz="0" w:space="0" w:color="auto"/>
            <w:right w:val="none" w:sz="0" w:space="0" w:color="auto"/>
          </w:divBdr>
        </w:div>
      </w:divsChild>
    </w:div>
    <w:div w:id="357465630">
      <w:bodyDiv w:val="1"/>
      <w:marLeft w:val="0"/>
      <w:marRight w:val="0"/>
      <w:marTop w:val="0"/>
      <w:marBottom w:val="0"/>
      <w:divBdr>
        <w:top w:val="none" w:sz="0" w:space="0" w:color="auto"/>
        <w:left w:val="none" w:sz="0" w:space="0" w:color="auto"/>
        <w:bottom w:val="none" w:sz="0" w:space="0" w:color="auto"/>
        <w:right w:val="none" w:sz="0" w:space="0" w:color="auto"/>
      </w:divBdr>
      <w:divsChild>
        <w:div w:id="354774691">
          <w:marLeft w:val="0"/>
          <w:marRight w:val="0"/>
          <w:marTop w:val="0"/>
          <w:marBottom w:val="0"/>
          <w:divBdr>
            <w:top w:val="none" w:sz="0" w:space="0" w:color="auto"/>
            <w:left w:val="none" w:sz="0" w:space="0" w:color="auto"/>
            <w:bottom w:val="none" w:sz="0" w:space="0" w:color="auto"/>
            <w:right w:val="none" w:sz="0" w:space="0" w:color="auto"/>
          </w:divBdr>
        </w:div>
        <w:div w:id="259028001">
          <w:marLeft w:val="0"/>
          <w:marRight w:val="0"/>
          <w:marTop w:val="0"/>
          <w:marBottom w:val="0"/>
          <w:divBdr>
            <w:top w:val="none" w:sz="0" w:space="0" w:color="auto"/>
            <w:left w:val="none" w:sz="0" w:space="0" w:color="auto"/>
            <w:bottom w:val="none" w:sz="0" w:space="0" w:color="auto"/>
            <w:right w:val="none" w:sz="0" w:space="0" w:color="auto"/>
          </w:divBdr>
        </w:div>
        <w:div w:id="864828914">
          <w:marLeft w:val="0"/>
          <w:marRight w:val="0"/>
          <w:marTop w:val="0"/>
          <w:marBottom w:val="0"/>
          <w:divBdr>
            <w:top w:val="none" w:sz="0" w:space="0" w:color="auto"/>
            <w:left w:val="none" w:sz="0" w:space="0" w:color="auto"/>
            <w:bottom w:val="none" w:sz="0" w:space="0" w:color="auto"/>
            <w:right w:val="none" w:sz="0" w:space="0" w:color="auto"/>
          </w:divBdr>
        </w:div>
        <w:div w:id="399135921">
          <w:marLeft w:val="0"/>
          <w:marRight w:val="0"/>
          <w:marTop w:val="0"/>
          <w:marBottom w:val="0"/>
          <w:divBdr>
            <w:top w:val="none" w:sz="0" w:space="0" w:color="auto"/>
            <w:left w:val="none" w:sz="0" w:space="0" w:color="auto"/>
            <w:bottom w:val="none" w:sz="0" w:space="0" w:color="auto"/>
            <w:right w:val="none" w:sz="0" w:space="0" w:color="auto"/>
          </w:divBdr>
        </w:div>
        <w:div w:id="1009210462">
          <w:marLeft w:val="0"/>
          <w:marRight w:val="0"/>
          <w:marTop w:val="0"/>
          <w:marBottom w:val="0"/>
          <w:divBdr>
            <w:top w:val="none" w:sz="0" w:space="0" w:color="auto"/>
            <w:left w:val="none" w:sz="0" w:space="0" w:color="auto"/>
            <w:bottom w:val="none" w:sz="0" w:space="0" w:color="auto"/>
            <w:right w:val="none" w:sz="0" w:space="0" w:color="auto"/>
          </w:divBdr>
        </w:div>
        <w:div w:id="829255005">
          <w:marLeft w:val="0"/>
          <w:marRight w:val="0"/>
          <w:marTop w:val="0"/>
          <w:marBottom w:val="0"/>
          <w:divBdr>
            <w:top w:val="none" w:sz="0" w:space="0" w:color="auto"/>
            <w:left w:val="none" w:sz="0" w:space="0" w:color="auto"/>
            <w:bottom w:val="none" w:sz="0" w:space="0" w:color="auto"/>
            <w:right w:val="none" w:sz="0" w:space="0" w:color="auto"/>
          </w:divBdr>
        </w:div>
        <w:div w:id="860315191">
          <w:marLeft w:val="0"/>
          <w:marRight w:val="0"/>
          <w:marTop w:val="0"/>
          <w:marBottom w:val="0"/>
          <w:divBdr>
            <w:top w:val="none" w:sz="0" w:space="0" w:color="auto"/>
            <w:left w:val="none" w:sz="0" w:space="0" w:color="auto"/>
            <w:bottom w:val="none" w:sz="0" w:space="0" w:color="auto"/>
            <w:right w:val="none" w:sz="0" w:space="0" w:color="auto"/>
          </w:divBdr>
        </w:div>
        <w:div w:id="4288165">
          <w:marLeft w:val="0"/>
          <w:marRight w:val="0"/>
          <w:marTop w:val="0"/>
          <w:marBottom w:val="0"/>
          <w:divBdr>
            <w:top w:val="none" w:sz="0" w:space="0" w:color="auto"/>
            <w:left w:val="none" w:sz="0" w:space="0" w:color="auto"/>
            <w:bottom w:val="none" w:sz="0" w:space="0" w:color="auto"/>
            <w:right w:val="none" w:sz="0" w:space="0" w:color="auto"/>
          </w:divBdr>
        </w:div>
        <w:div w:id="1587878348">
          <w:marLeft w:val="0"/>
          <w:marRight w:val="0"/>
          <w:marTop w:val="0"/>
          <w:marBottom w:val="0"/>
          <w:divBdr>
            <w:top w:val="none" w:sz="0" w:space="0" w:color="auto"/>
            <w:left w:val="none" w:sz="0" w:space="0" w:color="auto"/>
            <w:bottom w:val="none" w:sz="0" w:space="0" w:color="auto"/>
            <w:right w:val="none" w:sz="0" w:space="0" w:color="auto"/>
          </w:divBdr>
        </w:div>
        <w:div w:id="901256253">
          <w:marLeft w:val="0"/>
          <w:marRight w:val="0"/>
          <w:marTop w:val="0"/>
          <w:marBottom w:val="0"/>
          <w:divBdr>
            <w:top w:val="none" w:sz="0" w:space="0" w:color="auto"/>
            <w:left w:val="none" w:sz="0" w:space="0" w:color="auto"/>
            <w:bottom w:val="none" w:sz="0" w:space="0" w:color="auto"/>
            <w:right w:val="none" w:sz="0" w:space="0" w:color="auto"/>
          </w:divBdr>
        </w:div>
        <w:div w:id="2106606240">
          <w:marLeft w:val="0"/>
          <w:marRight w:val="0"/>
          <w:marTop w:val="0"/>
          <w:marBottom w:val="0"/>
          <w:divBdr>
            <w:top w:val="none" w:sz="0" w:space="0" w:color="auto"/>
            <w:left w:val="none" w:sz="0" w:space="0" w:color="auto"/>
            <w:bottom w:val="none" w:sz="0" w:space="0" w:color="auto"/>
            <w:right w:val="none" w:sz="0" w:space="0" w:color="auto"/>
          </w:divBdr>
        </w:div>
        <w:div w:id="174616811">
          <w:marLeft w:val="0"/>
          <w:marRight w:val="0"/>
          <w:marTop w:val="0"/>
          <w:marBottom w:val="0"/>
          <w:divBdr>
            <w:top w:val="none" w:sz="0" w:space="0" w:color="auto"/>
            <w:left w:val="none" w:sz="0" w:space="0" w:color="auto"/>
            <w:bottom w:val="none" w:sz="0" w:space="0" w:color="auto"/>
            <w:right w:val="none" w:sz="0" w:space="0" w:color="auto"/>
          </w:divBdr>
        </w:div>
        <w:div w:id="490828178">
          <w:marLeft w:val="0"/>
          <w:marRight w:val="0"/>
          <w:marTop w:val="0"/>
          <w:marBottom w:val="0"/>
          <w:divBdr>
            <w:top w:val="none" w:sz="0" w:space="0" w:color="auto"/>
            <w:left w:val="none" w:sz="0" w:space="0" w:color="auto"/>
            <w:bottom w:val="none" w:sz="0" w:space="0" w:color="auto"/>
            <w:right w:val="none" w:sz="0" w:space="0" w:color="auto"/>
          </w:divBdr>
        </w:div>
        <w:div w:id="658047198">
          <w:marLeft w:val="0"/>
          <w:marRight w:val="0"/>
          <w:marTop w:val="0"/>
          <w:marBottom w:val="0"/>
          <w:divBdr>
            <w:top w:val="none" w:sz="0" w:space="0" w:color="auto"/>
            <w:left w:val="none" w:sz="0" w:space="0" w:color="auto"/>
            <w:bottom w:val="none" w:sz="0" w:space="0" w:color="auto"/>
            <w:right w:val="none" w:sz="0" w:space="0" w:color="auto"/>
          </w:divBdr>
        </w:div>
        <w:div w:id="1602642727">
          <w:marLeft w:val="0"/>
          <w:marRight w:val="0"/>
          <w:marTop w:val="0"/>
          <w:marBottom w:val="0"/>
          <w:divBdr>
            <w:top w:val="none" w:sz="0" w:space="0" w:color="auto"/>
            <w:left w:val="none" w:sz="0" w:space="0" w:color="auto"/>
            <w:bottom w:val="none" w:sz="0" w:space="0" w:color="auto"/>
            <w:right w:val="none" w:sz="0" w:space="0" w:color="auto"/>
          </w:divBdr>
        </w:div>
        <w:div w:id="103772011">
          <w:marLeft w:val="0"/>
          <w:marRight w:val="0"/>
          <w:marTop w:val="0"/>
          <w:marBottom w:val="0"/>
          <w:divBdr>
            <w:top w:val="none" w:sz="0" w:space="0" w:color="auto"/>
            <w:left w:val="none" w:sz="0" w:space="0" w:color="auto"/>
            <w:bottom w:val="none" w:sz="0" w:space="0" w:color="auto"/>
            <w:right w:val="none" w:sz="0" w:space="0" w:color="auto"/>
          </w:divBdr>
        </w:div>
        <w:div w:id="2146001999">
          <w:marLeft w:val="0"/>
          <w:marRight w:val="0"/>
          <w:marTop w:val="0"/>
          <w:marBottom w:val="0"/>
          <w:divBdr>
            <w:top w:val="none" w:sz="0" w:space="0" w:color="auto"/>
            <w:left w:val="none" w:sz="0" w:space="0" w:color="auto"/>
            <w:bottom w:val="none" w:sz="0" w:space="0" w:color="auto"/>
            <w:right w:val="none" w:sz="0" w:space="0" w:color="auto"/>
          </w:divBdr>
        </w:div>
        <w:div w:id="1437824181">
          <w:marLeft w:val="0"/>
          <w:marRight w:val="0"/>
          <w:marTop w:val="0"/>
          <w:marBottom w:val="0"/>
          <w:divBdr>
            <w:top w:val="none" w:sz="0" w:space="0" w:color="auto"/>
            <w:left w:val="none" w:sz="0" w:space="0" w:color="auto"/>
            <w:bottom w:val="none" w:sz="0" w:space="0" w:color="auto"/>
            <w:right w:val="none" w:sz="0" w:space="0" w:color="auto"/>
          </w:divBdr>
        </w:div>
        <w:div w:id="2028751933">
          <w:marLeft w:val="0"/>
          <w:marRight w:val="0"/>
          <w:marTop w:val="0"/>
          <w:marBottom w:val="0"/>
          <w:divBdr>
            <w:top w:val="none" w:sz="0" w:space="0" w:color="auto"/>
            <w:left w:val="none" w:sz="0" w:space="0" w:color="auto"/>
            <w:bottom w:val="none" w:sz="0" w:space="0" w:color="auto"/>
            <w:right w:val="none" w:sz="0" w:space="0" w:color="auto"/>
          </w:divBdr>
        </w:div>
        <w:div w:id="1326662688">
          <w:marLeft w:val="0"/>
          <w:marRight w:val="0"/>
          <w:marTop w:val="0"/>
          <w:marBottom w:val="0"/>
          <w:divBdr>
            <w:top w:val="none" w:sz="0" w:space="0" w:color="auto"/>
            <w:left w:val="none" w:sz="0" w:space="0" w:color="auto"/>
            <w:bottom w:val="none" w:sz="0" w:space="0" w:color="auto"/>
            <w:right w:val="none" w:sz="0" w:space="0" w:color="auto"/>
          </w:divBdr>
        </w:div>
        <w:div w:id="265967027">
          <w:marLeft w:val="0"/>
          <w:marRight w:val="0"/>
          <w:marTop w:val="0"/>
          <w:marBottom w:val="0"/>
          <w:divBdr>
            <w:top w:val="none" w:sz="0" w:space="0" w:color="auto"/>
            <w:left w:val="none" w:sz="0" w:space="0" w:color="auto"/>
            <w:bottom w:val="none" w:sz="0" w:space="0" w:color="auto"/>
            <w:right w:val="none" w:sz="0" w:space="0" w:color="auto"/>
          </w:divBdr>
        </w:div>
        <w:div w:id="1690720463">
          <w:marLeft w:val="0"/>
          <w:marRight w:val="0"/>
          <w:marTop w:val="0"/>
          <w:marBottom w:val="0"/>
          <w:divBdr>
            <w:top w:val="none" w:sz="0" w:space="0" w:color="auto"/>
            <w:left w:val="none" w:sz="0" w:space="0" w:color="auto"/>
            <w:bottom w:val="none" w:sz="0" w:space="0" w:color="auto"/>
            <w:right w:val="none" w:sz="0" w:space="0" w:color="auto"/>
          </w:divBdr>
        </w:div>
        <w:div w:id="344554977">
          <w:marLeft w:val="0"/>
          <w:marRight w:val="0"/>
          <w:marTop w:val="0"/>
          <w:marBottom w:val="0"/>
          <w:divBdr>
            <w:top w:val="none" w:sz="0" w:space="0" w:color="auto"/>
            <w:left w:val="none" w:sz="0" w:space="0" w:color="auto"/>
            <w:bottom w:val="none" w:sz="0" w:space="0" w:color="auto"/>
            <w:right w:val="none" w:sz="0" w:space="0" w:color="auto"/>
          </w:divBdr>
        </w:div>
        <w:div w:id="1001155356">
          <w:marLeft w:val="0"/>
          <w:marRight w:val="0"/>
          <w:marTop w:val="0"/>
          <w:marBottom w:val="0"/>
          <w:divBdr>
            <w:top w:val="none" w:sz="0" w:space="0" w:color="auto"/>
            <w:left w:val="none" w:sz="0" w:space="0" w:color="auto"/>
            <w:bottom w:val="none" w:sz="0" w:space="0" w:color="auto"/>
            <w:right w:val="none" w:sz="0" w:space="0" w:color="auto"/>
          </w:divBdr>
        </w:div>
        <w:div w:id="708071063">
          <w:marLeft w:val="0"/>
          <w:marRight w:val="0"/>
          <w:marTop w:val="0"/>
          <w:marBottom w:val="0"/>
          <w:divBdr>
            <w:top w:val="none" w:sz="0" w:space="0" w:color="auto"/>
            <w:left w:val="none" w:sz="0" w:space="0" w:color="auto"/>
            <w:bottom w:val="none" w:sz="0" w:space="0" w:color="auto"/>
            <w:right w:val="none" w:sz="0" w:space="0" w:color="auto"/>
          </w:divBdr>
        </w:div>
      </w:divsChild>
    </w:div>
    <w:div w:id="425730520">
      <w:bodyDiv w:val="1"/>
      <w:marLeft w:val="0"/>
      <w:marRight w:val="0"/>
      <w:marTop w:val="0"/>
      <w:marBottom w:val="0"/>
      <w:divBdr>
        <w:top w:val="none" w:sz="0" w:space="0" w:color="auto"/>
        <w:left w:val="none" w:sz="0" w:space="0" w:color="auto"/>
        <w:bottom w:val="none" w:sz="0" w:space="0" w:color="auto"/>
        <w:right w:val="none" w:sz="0" w:space="0" w:color="auto"/>
      </w:divBdr>
    </w:div>
    <w:div w:id="476656013">
      <w:bodyDiv w:val="1"/>
      <w:marLeft w:val="0"/>
      <w:marRight w:val="0"/>
      <w:marTop w:val="0"/>
      <w:marBottom w:val="0"/>
      <w:divBdr>
        <w:top w:val="none" w:sz="0" w:space="0" w:color="auto"/>
        <w:left w:val="none" w:sz="0" w:space="0" w:color="auto"/>
        <w:bottom w:val="none" w:sz="0" w:space="0" w:color="auto"/>
        <w:right w:val="none" w:sz="0" w:space="0" w:color="auto"/>
      </w:divBdr>
      <w:divsChild>
        <w:div w:id="736712696">
          <w:marLeft w:val="0"/>
          <w:marRight w:val="0"/>
          <w:marTop w:val="0"/>
          <w:marBottom w:val="0"/>
          <w:divBdr>
            <w:top w:val="none" w:sz="0" w:space="0" w:color="auto"/>
            <w:left w:val="none" w:sz="0" w:space="0" w:color="auto"/>
            <w:bottom w:val="none" w:sz="0" w:space="0" w:color="auto"/>
            <w:right w:val="none" w:sz="0" w:space="0" w:color="auto"/>
          </w:divBdr>
        </w:div>
        <w:div w:id="1811052832">
          <w:marLeft w:val="0"/>
          <w:marRight w:val="0"/>
          <w:marTop w:val="0"/>
          <w:marBottom w:val="0"/>
          <w:divBdr>
            <w:top w:val="none" w:sz="0" w:space="0" w:color="auto"/>
            <w:left w:val="none" w:sz="0" w:space="0" w:color="auto"/>
            <w:bottom w:val="none" w:sz="0" w:space="0" w:color="auto"/>
            <w:right w:val="none" w:sz="0" w:space="0" w:color="auto"/>
          </w:divBdr>
        </w:div>
        <w:div w:id="2000889176">
          <w:marLeft w:val="0"/>
          <w:marRight w:val="0"/>
          <w:marTop w:val="0"/>
          <w:marBottom w:val="0"/>
          <w:divBdr>
            <w:top w:val="none" w:sz="0" w:space="0" w:color="auto"/>
            <w:left w:val="none" w:sz="0" w:space="0" w:color="auto"/>
            <w:bottom w:val="none" w:sz="0" w:space="0" w:color="auto"/>
            <w:right w:val="none" w:sz="0" w:space="0" w:color="auto"/>
          </w:divBdr>
        </w:div>
        <w:div w:id="1188372200">
          <w:marLeft w:val="0"/>
          <w:marRight w:val="0"/>
          <w:marTop w:val="0"/>
          <w:marBottom w:val="0"/>
          <w:divBdr>
            <w:top w:val="none" w:sz="0" w:space="0" w:color="auto"/>
            <w:left w:val="none" w:sz="0" w:space="0" w:color="auto"/>
            <w:bottom w:val="none" w:sz="0" w:space="0" w:color="auto"/>
            <w:right w:val="none" w:sz="0" w:space="0" w:color="auto"/>
          </w:divBdr>
        </w:div>
        <w:div w:id="1096748837">
          <w:marLeft w:val="0"/>
          <w:marRight w:val="0"/>
          <w:marTop w:val="0"/>
          <w:marBottom w:val="0"/>
          <w:divBdr>
            <w:top w:val="none" w:sz="0" w:space="0" w:color="auto"/>
            <w:left w:val="none" w:sz="0" w:space="0" w:color="auto"/>
            <w:bottom w:val="none" w:sz="0" w:space="0" w:color="auto"/>
            <w:right w:val="none" w:sz="0" w:space="0" w:color="auto"/>
          </w:divBdr>
        </w:div>
      </w:divsChild>
    </w:div>
    <w:div w:id="479229454">
      <w:bodyDiv w:val="1"/>
      <w:marLeft w:val="0"/>
      <w:marRight w:val="0"/>
      <w:marTop w:val="0"/>
      <w:marBottom w:val="0"/>
      <w:divBdr>
        <w:top w:val="none" w:sz="0" w:space="0" w:color="auto"/>
        <w:left w:val="none" w:sz="0" w:space="0" w:color="auto"/>
        <w:bottom w:val="none" w:sz="0" w:space="0" w:color="auto"/>
        <w:right w:val="none" w:sz="0" w:space="0" w:color="auto"/>
      </w:divBdr>
    </w:div>
    <w:div w:id="514659614">
      <w:bodyDiv w:val="1"/>
      <w:marLeft w:val="0"/>
      <w:marRight w:val="0"/>
      <w:marTop w:val="0"/>
      <w:marBottom w:val="0"/>
      <w:divBdr>
        <w:top w:val="none" w:sz="0" w:space="0" w:color="auto"/>
        <w:left w:val="none" w:sz="0" w:space="0" w:color="auto"/>
        <w:bottom w:val="none" w:sz="0" w:space="0" w:color="auto"/>
        <w:right w:val="none" w:sz="0" w:space="0" w:color="auto"/>
      </w:divBdr>
    </w:div>
    <w:div w:id="663514077">
      <w:bodyDiv w:val="1"/>
      <w:marLeft w:val="0"/>
      <w:marRight w:val="0"/>
      <w:marTop w:val="0"/>
      <w:marBottom w:val="0"/>
      <w:divBdr>
        <w:top w:val="none" w:sz="0" w:space="0" w:color="auto"/>
        <w:left w:val="none" w:sz="0" w:space="0" w:color="auto"/>
        <w:bottom w:val="none" w:sz="0" w:space="0" w:color="auto"/>
        <w:right w:val="none" w:sz="0" w:space="0" w:color="auto"/>
      </w:divBdr>
    </w:div>
    <w:div w:id="724061569">
      <w:bodyDiv w:val="1"/>
      <w:marLeft w:val="0"/>
      <w:marRight w:val="0"/>
      <w:marTop w:val="0"/>
      <w:marBottom w:val="0"/>
      <w:divBdr>
        <w:top w:val="none" w:sz="0" w:space="0" w:color="auto"/>
        <w:left w:val="none" w:sz="0" w:space="0" w:color="auto"/>
        <w:bottom w:val="none" w:sz="0" w:space="0" w:color="auto"/>
        <w:right w:val="none" w:sz="0" w:space="0" w:color="auto"/>
      </w:divBdr>
      <w:divsChild>
        <w:div w:id="752777320">
          <w:marLeft w:val="0"/>
          <w:marRight w:val="0"/>
          <w:marTop w:val="0"/>
          <w:marBottom w:val="0"/>
          <w:divBdr>
            <w:top w:val="none" w:sz="0" w:space="0" w:color="auto"/>
            <w:left w:val="none" w:sz="0" w:space="0" w:color="auto"/>
            <w:bottom w:val="none" w:sz="0" w:space="0" w:color="auto"/>
            <w:right w:val="none" w:sz="0" w:space="0" w:color="auto"/>
          </w:divBdr>
        </w:div>
        <w:div w:id="1630939950">
          <w:marLeft w:val="0"/>
          <w:marRight w:val="0"/>
          <w:marTop w:val="0"/>
          <w:marBottom w:val="0"/>
          <w:divBdr>
            <w:top w:val="none" w:sz="0" w:space="0" w:color="auto"/>
            <w:left w:val="none" w:sz="0" w:space="0" w:color="auto"/>
            <w:bottom w:val="none" w:sz="0" w:space="0" w:color="auto"/>
            <w:right w:val="none" w:sz="0" w:space="0" w:color="auto"/>
          </w:divBdr>
        </w:div>
        <w:div w:id="193621044">
          <w:marLeft w:val="0"/>
          <w:marRight w:val="0"/>
          <w:marTop w:val="0"/>
          <w:marBottom w:val="0"/>
          <w:divBdr>
            <w:top w:val="none" w:sz="0" w:space="0" w:color="auto"/>
            <w:left w:val="none" w:sz="0" w:space="0" w:color="auto"/>
            <w:bottom w:val="none" w:sz="0" w:space="0" w:color="auto"/>
            <w:right w:val="none" w:sz="0" w:space="0" w:color="auto"/>
          </w:divBdr>
        </w:div>
      </w:divsChild>
    </w:div>
    <w:div w:id="750588567">
      <w:bodyDiv w:val="1"/>
      <w:marLeft w:val="0"/>
      <w:marRight w:val="0"/>
      <w:marTop w:val="0"/>
      <w:marBottom w:val="0"/>
      <w:divBdr>
        <w:top w:val="none" w:sz="0" w:space="0" w:color="auto"/>
        <w:left w:val="none" w:sz="0" w:space="0" w:color="auto"/>
        <w:bottom w:val="none" w:sz="0" w:space="0" w:color="auto"/>
        <w:right w:val="none" w:sz="0" w:space="0" w:color="auto"/>
      </w:divBdr>
      <w:divsChild>
        <w:div w:id="1281187683">
          <w:marLeft w:val="0"/>
          <w:marRight w:val="0"/>
          <w:marTop w:val="0"/>
          <w:marBottom w:val="0"/>
          <w:divBdr>
            <w:top w:val="none" w:sz="0" w:space="0" w:color="auto"/>
            <w:left w:val="none" w:sz="0" w:space="0" w:color="auto"/>
            <w:bottom w:val="none" w:sz="0" w:space="0" w:color="auto"/>
            <w:right w:val="none" w:sz="0" w:space="0" w:color="auto"/>
          </w:divBdr>
        </w:div>
        <w:div w:id="47077590">
          <w:marLeft w:val="0"/>
          <w:marRight w:val="0"/>
          <w:marTop w:val="0"/>
          <w:marBottom w:val="0"/>
          <w:divBdr>
            <w:top w:val="none" w:sz="0" w:space="0" w:color="auto"/>
            <w:left w:val="none" w:sz="0" w:space="0" w:color="auto"/>
            <w:bottom w:val="none" w:sz="0" w:space="0" w:color="auto"/>
            <w:right w:val="none" w:sz="0" w:space="0" w:color="auto"/>
          </w:divBdr>
        </w:div>
      </w:divsChild>
    </w:div>
    <w:div w:id="753168281">
      <w:bodyDiv w:val="1"/>
      <w:marLeft w:val="0"/>
      <w:marRight w:val="0"/>
      <w:marTop w:val="0"/>
      <w:marBottom w:val="0"/>
      <w:divBdr>
        <w:top w:val="none" w:sz="0" w:space="0" w:color="auto"/>
        <w:left w:val="none" w:sz="0" w:space="0" w:color="auto"/>
        <w:bottom w:val="none" w:sz="0" w:space="0" w:color="auto"/>
        <w:right w:val="none" w:sz="0" w:space="0" w:color="auto"/>
      </w:divBdr>
    </w:div>
    <w:div w:id="789786568">
      <w:bodyDiv w:val="1"/>
      <w:marLeft w:val="0"/>
      <w:marRight w:val="0"/>
      <w:marTop w:val="0"/>
      <w:marBottom w:val="0"/>
      <w:divBdr>
        <w:top w:val="none" w:sz="0" w:space="0" w:color="auto"/>
        <w:left w:val="none" w:sz="0" w:space="0" w:color="auto"/>
        <w:bottom w:val="none" w:sz="0" w:space="0" w:color="auto"/>
        <w:right w:val="none" w:sz="0" w:space="0" w:color="auto"/>
      </w:divBdr>
    </w:div>
    <w:div w:id="866987178">
      <w:bodyDiv w:val="1"/>
      <w:marLeft w:val="0"/>
      <w:marRight w:val="0"/>
      <w:marTop w:val="0"/>
      <w:marBottom w:val="0"/>
      <w:divBdr>
        <w:top w:val="none" w:sz="0" w:space="0" w:color="auto"/>
        <w:left w:val="none" w:sz="0" w:space="0" w:color="auto"/>
        <w:bottom w:val="none" w:sz="0" w:space="0" w:color="auto"/>
        <w:right w:val="none" w:sz="0" w:space="0" w:color="auto"/>
      </w:divBdr>
    </w:div>
    <w:div w:id="934636384">
      <w:bodyDiv w:val="1"/>
      <w:marLeft w:val="0"/>
      <w:marRight w:val="0"/>
      <w:marTop w:val="0"/>
      <w:marBottom w:val="0"/>
      <w:divBdr>
        <w:top w:val="none" w:sz="0" w:space="0" w:color="auto"/>
        <w:left w:val="none" w:sz="0" w:space="0" w:color="auto"/>
        <w:bottom w:val="none" w:sz="0" w:space="0" w:color="auto"/>
        <w:right w:val="none" w:sz="0" w:space="0" w:color="auto"/>
      </w:divBdr>
      <w:divsChild>
        <w:div w:id="1309360557">
          <w:marLeft w:val="0"/>
          <w:marRight w:val="0"/>
          <w:marTop w:val="0"/>
          <w:marBottom w:val="0"/>
          <w:divBdr>
            <w:top w:val="none" w:sz="0" w:space="0" w:color="auto"/>
            <w:left w:val="none" w:sz="0" w:space="0" w:color="auto"/>
            <w:bottom w:val="none" w:sz="0" w:space="0" w:color="auto"/>
            <w:right w:val="none" w:sz="0" w:space="0" w:color="auto"/>
          </w:divBdr>
        </w:div>
        <w:div w:id="313073569">
          <w:marLeft w:val="0"/>
          <w:marRight w:val="0"/>
          <w:marTop w:val="0"/>
          <w:marBottom w:val="0"/>
          <w:divBdr>
            <w:top w:val="none" w:sz="0" w:space="0" w:color="auto"/>
            <w:left w:val="none" w:sz="0" w:space="0" w:color="auto"/>
            <w:bottom w:val="none" w:sz="0" w:space="0" w:color="auto"/>
            <w:right w:val="none" w:sz="0" w:space="0" w:color="auto"/>
          </w:divBdr>
        </w:div>
        <w:div w:id="2137136448">
          <w:marLeft w:val="0"/>
          <w:marRight w:val="0"/>
          <w:marTop w:val="0"/>
          <w:marBottom w:val="0"/>
          <w:divBdr>
            <w:top w:val="none" w:sz="0" w:space="0" w:color="auto"/>
            <w:left w:val="none" w:sz="0" w:space="0" w:color="auto"/>
            <w:bottom w:val="none" w:sz="0" w:space="0" w:color="auto"/>
            <w:right w:val="none" w:sz="0" w:space="0" w:color="auto"/>
          </w:divBdr>
        </w:div>
      </w:divsChild>
    </w:div>
    <w:div w:id="943729421">
      <w:bodyDiv w:val="1"/>
      <w:marLeft w:val="0"/>
      <w:marRight w:val="0"/>
      <w:marTop w:val="0"/>
      <w:marBottom w:val="0"/>
      <w:divBdr>
        <w:top w:val="none" w:sz="0" w:space="0" w:color="auto"/>
        <w:left w:val="none" w:sz="0" w:space="0" w:color="auto"/>
        <w:bottom w:val="none" w:sz="0" w:space="0" w:color="auto"/>
        <w:right w:val="none" w:sz="0" w:space="0" w:color="auto"/>
      </w:divBdr>
    </w:div>
    <w:div w:id="988752972">
      <w:bodyDiv w:val="1"/>
      <w:marLeft w:val="0"/>
      <w:marRight w:val="0"/>
      <w:marTop w:val="0"/>
      <w:marBottom w:val="0"/>
      <w:divBdr>
        <w:top w:val="none" w:sz="0" w:space="0" w:color="auto"/>
        <w:left w:val="none" w:sz="0" w:space="0" w:color="auto"/>
        <w:bottom w:val="none" w:sz="0" w:space="0" w:color="auto"/>
        <w:right w:val="none" w:sz="0" w:space="0" w:color="auto"/>
      </w:divBdr>
    </w:div>
    <w:div w:id="994527884">
      <w:bodyDiv w:val="1"/>
      <w:marLeft w:val="0"/>
      <w:marRight w:val="0"/>
      <w:marTop w:val="0"/>
      <w:marBottom w:val="0"/>
      <w:divBdr>
        <w:top w:val="none" w:sz="0" w:space="0" w:color="auto"/>
        <w:left w:val="none" w:sz="0" w:space="0" w:color="auto"/>
        <w:bottom w:val="none" w:sz="0" w:space="0" w:color="auto"/>
        <w:right w:val="none" w:sz="0" w:space="0" w:color="auto"/>
      </w:divBdr>
    </w:div>
    <w:div w:id="996962181">
      <w:bodyDiv w:val="1"/>
      <w:marLeft w:val="0"/>
      <w:marRight w:val="0"/>
      <w:marTop w:val="0"/>
      <w:marBottom w:val="0"/>
      <w:divBdr>
        <w:top w:val="none" w:sz="0" w:space="0" w:color="auto"/>
        <w:left w:val="none" w:sz="0" w:space="0" w:color="auto"/>
        <w:bottom w:val="none" w:sz="0" w:space="0" w:color="auto"/>
        <w:right w:val="none" w:sz="0" w:space="0" w:color="auto"/>
      </w:divBdr>
      <w:divsChild>
        <w:div w:id="1749645492">
          <w:marLeft w:val="0"/>
          <w:marRight w:val="0"/>
          <w:marTop w:val="0"/>
          <w:marBottom w:val="0"/>
          <w:divBdr>
            <w:top w:val="none" w:sz="0" w:space="0" w:color="auto"/>
            <w:left w:val="none" w:sz="0" w:space="0" w:color="auto"/>
            <w:bottom w:val="none" w:sz="0" w:space="0" w:color="auto"/>
            <w:right w:val="none" w:sz="0" w:space="0" w:color="auto"/>
          </w:divBdr>
        </w:div>
        <w:div w:id="800151314">
          <w:marLeft w:val="0"/>
          <w:marRight w:val="0"/>
          <w:marTop w:val="0"/>
          <w:marBottom w:val="0"/>
          <w:divBdr>
            <w:top w:val="none" w:sz="0" w:space="0" w:color="auto"/>
            <w:left w:val="none" w:sz="0" w:space="0" w:color="auto"/>
            <w:bottom w:val="none" w:sz="0" w:space="0" w:color="auto"/>
            <w:right w:val="none" w:sz="0" w:space="0" w:color="auto"/>
          </w:divBdr>
        </w:div>
        <w:div w:id="2010600050">
          <w:marLeft w:val="0"/>
          <w:marRight w:val="0"/>
          <w:marTop w:val="0"/>
          <w:marBottom w:val="0"/>
          <w:divBdr>
            <w:top w:val="none" w:sz="0" w:space="0" w:color="auto"/>
            <w:left w:val="none" w:sz="0" w:space="0" w:color="auto"/>
            <w:bottom w:val="none" w:sz="0" w:space="0" w:color="auto"/>
            <w:right w:val="none" w:sz="0" w:space="0" w:color="auto"/>
          </w:divBdr>
        </w:div>
        <w:div w:id="151527598">
          <w:marLeft w:val="0"/>
          <w:marRight w:val="0"/>
          <w:marTop w:val="0"/>
          <w:marBottom w:val="0"/>
          <w:divBdr>
            <w:top w:val="none" w:sz="0" w:space="0" w:color="auto"/>
            <w:left w:val="none" w:sz="0" w:space="0" w:color="auto"/>
            <w:bottom w:val="none" w:sz="0" w:space="0" w:color="auto"/>
            <w:right w:val="none" w:sz="0" w:space="0" w:color="auto"/>
          </w:divBdr>
        </w:div>
      </w:divsChild>
    </w:div>
    <w:div w:id="1045909658">
      <w:bodyDiv w:val="1"/>
      <w:marLeft w:val="0"/>
      <w:marRight w:val="0"/>
      <w:marTop w:val="0"/>
      <w:marBottom w:val="0"/>
      <w:divBdr>
        <w:top w:val="none" w:sz="0" w:space="0" w:color="auto"/>
        <w:left w:val="none" w:sz="0" w:space="0" w:color="auto"/>
        <w:bottom w:val="none" w:sz="0" w:space="0" w:color="auto"/>
        <w:right w:val="none" w:sz="0" w:space="0" w:color="auto"/>
      </w:divBdr>
    </w:div>
    <w:div w:id="1060328592">
      <w:bodyDiv w:val="1"/>
      <w:marLeft w:val="0"/>
      <w:marRight w:val="0"/>
      <w:marTop w:val="0"/>
      <w:marBottom w:val="0"/>
      <w:divBdr>
        <w:top w:val="none" w:sz="0" w:space="0" w:color="auto"/>
        <w:left w:val="none" w:sz="0" w:space="0" w:color="auto"/>
        <w:bottom w:val="none" w:sz="0" w:space="0" w:color="auto"/>
        <w:right w:val="none" w:sz="0" w:space="0" w:color="auto"/>
      </w:divBdr>
      <w:divsChild>
        <w:div w:id="900485289">
          <w:marLeft w:val="0"/>
          <w:marRight w:val="0"/>
          <w:marTop w:val="0"/>
          <w:marBottom w:val="0"/>
          <w:divBdr>
            <w:top w:val="none" w:sz="0" w:space="0" w:color="auto"/>
            <w:left w:val="none" w:sz="0" w:space="0" w:color="auto"/>
            <w:bottom w:val="none" w:sz="0" w:space="0" w:color="auto"/>
            <w:right w:val="none" w:sz="0" w:space="0" w:color="auto"/>
          </w:divBdr>
        </w:div>
        <w:div w:id="280695314">
          <w:marLeft w:val="0"/>
          <w:marRight w:val="0"/>
          <w:marTop w:val="0"/>
          <w:marBottom w:val="0"/>
          <w:divBdr>
            <w:top w:val="none" w:sz="0" w:space="0" w:color="auto"/>
            <w:left w:val="none" w:sz="0" w:space="0" w:color="auto"/>
            <w:bottom w:val="none" w:sz="0" w:space="0" w:color="auto"/>
            <w:right w:val="none" w:sz="0" w:space="0" w:color="auto"/>
          </w:divBdr>
        </w:div>
        <w:div w:id="1141457583">
          <w:marLeft w:val="0"/>
          <w:marRight w:val="0"/>
          <w:marTop w:val="0"/>
          <w:marBottom w:val="0"/>
          <w:divBdr>
            <w:top w:val="none" w:sz="0" w:space="0" w:color="auto"/>
            <w:left w:val="none" w:sz="0" w:space="0" w:color="auto"/>
            <w:bottom w:val="none" w:sz="0" w:space="0" w:color="auto"/>
            <w:right w:val="none" w:sz="0" w:space="0" w:color="auto"/>
          </w:divBdr>
        </w:div>
        <w:div w:id="1485900061">
          <w:marLeft w:val="0"/>
          <w:marRight w:val="0"/>
          <w:marTop w:val="0"/>
          <w:marBottom w:val="0"/>
          <w:divBdr>
            <w:top w:val="none" w:sz="0" w:space="0" w:color="auto"/>
            <w:left w:val="none" w:sz="0" w:space="0" w:color="auto"/>
            <w:bottom w:val="none" w:sz="0" w:space="0" w:color="auto"/>
            <w:right w:val="none" w:sz="0" w:space="0" w:color="auto"/>
          </w:divBdr>
        </w:div>
        <w:div w:id="648752906">
          <w:marLeft w:val="0"/>
          <w:marRight w:val="0"/>
          <w:marTop w:val="0"/>
          <w:marBottom w:val="0"/>
          <w:divBdr>
            <w:top w:val="none" w:sz="0" w:space="0" w:color="auto"/>
            <w:left w:val="none" w:sz="0" w:space="0" w:color="auto"/>
            <w:bottom w:val="none" w:sz="0" w:space="0" w:color="auto"/>
            <w:right w:val="none" w:sz="0" w:space="0" w:color="auto"/>
          </w:divBdr>
        </w:div>
        <w:div w:id="798383223">
          <w:marLeft w:val="0"/>
          <w:marRight w:val="0"/>
          <w:marTop w:val="0"/>
          <w:marBottom w:val="0"/>
          <w:divBdr>
            <w:top w:val="none" w:sz="0" w:space="0" w:color="auto"/>
            <w:left w:val="none" w:sz="0" w:space="0" w:color="auto"/>
            <w:bottom w:val="none" w:sz="0" w:space="0" w:color="auto"/>
            <w:right w:val="none" w:sz="0" w:space="0" w:color="auto"/>
          </w:divBdr>
        </w:div>
        <w:div w:id="1848786751">
          <w:marLeft w:val="0"/>
          <w:marRight w:val="0"/>
          <w:marTop w:val="0"/>
          <w:marBottom w:val="0"/>
          <w:divBdr>
            <w:top w:val="none" w:sz="0" w:space="0" w:color="auto"/>
            <w:left w:val="none" w:sz="0" w:space="0" w:color="auto"/>
            <w:bottom w:val="none" w:sz="0" w:space="0" w:color="auto"/>
            <w:right w:val="none" w:sz="0" w:space="0" w:color="auto"/>
          </w:divBdr>
        </w:div>
        <w:div w:id="1563448991">
          <w:marLeft w:val="0"/>
          <w:marRight w:val="0"/>
          <w:marTop w:val="0"/>
          <w:marBottom w:val="0"/>
          <w:divBdr>
            <w:top w:val="none" w:sz="0" w:space="0" w:color="auto"/>
            <w:left w:val="none" w:sz="0" w:space="0" w:color="auto"/>
            <w:bottom w:val="none" w:sz="0" w:space="0" w:color="auto"/>
            <w:right w:val="none" w:sz="0" w:space="0" w:color="auto"/>
          </w:divBdr>
        </w:div>
        <w:div w:id="658652389">
          <w:marLeft w:val="0"/>
          <w:marRight w:val="0"/>
          <w:marTop w:val="0"/>
          <w:marBottom w:val="0"/>
          <w:divBdr>
            <w:top w:val="none" w:sz="0" w:space="0" w:color="auto"/>
            <w:left w:val="none" w:sz="0" w:space="0" w:color="auto"/>
            <w:bottom w:val="none" w:sz="0" w:space="0" w:color="auto"/>
            <w:right w:val="none" w:sz="0" w:space="0" w:color="auto"/>
          </w:divBdr>
        </w:div>
        <w:div w:id="1026760828">
          <w:marLeft w:val="0"/>
          <w:marRight w:val="0"/>
          <w:marTop w:val="0"/>
          <w:marBottom w:val="0"/>
          <w:divBdr>
            <w:top w:val="none" w:sz="0" w:space="0" w:color="auto"/>
            <w:left w:val="none" w:sz="0" w:space="0" w:color="auto"/>
            <w:bottom w:val="none" w:sz="0" w:space="0" w:color="auto"/>
            <w:right w:val="none" w:sz="0" w:space="0" w:color="auto"/>
          </w:divBdr>
        </w:div>
      </w:divsChild>
    </w:div>
    <w:div w:id="1081760746">
      <w:bodyDiv w:val="1"/>
      <w:marLeft w:val="0"/>
      <w:marRight w:val="0"/>
      <w:marTop w:val="0"/>
      <w:marBottom w:val="0"/>
      <w:divBdr>
        <w:top w:val="none" w:sz="0" w:space="0" w:color="auto"/>
        <w:left w:val="none" w:sz="0" w:space="0" w:color="auto"/>
        <w:bottom w:val="none" w:sz="0" w:space="0" w:color="auto"/>
        <w:right w:val="none" w:sz="0" w:space="0" w:color="auto"/>
      </w:divBdr>
    </w:div>
    <w:div w:id="1114858923">
      <w:bodyDiv w:val="1"/>
      <w:marLeft w:val="0"/>
      <w:marRight w:val="0"/>
      <w:marTop w:val="0"/>
      <w:marBottom w:val="0"/>
      <w:divBdr>
        <w:top w:val="none" w:sz="0" w:space="0" w:color="auto"/>
        <w:left w:val="none" w:sz="0" w:space="0" w:color="auto"/>
        <w:bottom w:val="none" w:sz="0" w:space="0" w:color="auto"/>
        <w:right w:val="none" w:sz="0" w:space="0" w:color="auto"/>
      </w:divBdr>
    </w:div>
    <w:div w:id="1125654288">
      <w:bodyDiv w:val="1"/>
      <w:marLeft w:val="0"/>
      <w:marRight w:val="0"/>
      <w:marTop w:val="0"/>
      <w:marBottom w:val="0"/>
      <w:divBdr>
        <w:top w:val="none" w:sz="0" w:space="0" w:color="auto"/>
        <w:left w:val="none" w:sz="0" w:space="0" w:color="auto"/>
        <w:bottom w:val="none" w:sz="0" w:space="0" w:color="auto"/>
        <w:right w:val="none" w:sz="0" w:space="0" w:color="auto"/>
      </w:divBdr>
      <w:divsChild>
        <w:div w:id="651907780">
          <w:marLeft w:val="0"/>
          <w:marRight w:val="0"/>
          <w:marTop w:val="0"/>
          <w:marBottom w:val="0"/>
          <w:divBdr>
            <w:top w:val="none" w:sz="0" w:space="0" w:color="auto"/>
            <w:left w:val="none" w:sz="0" w:space="0" w:color="auto"/>
            <w:bottom w:val="none" w:sz="0" w:space="0" w:color="auto"/>
            <w:right w:val="none" w:sz="0" w:space="0" w:color="auto"/>
          </w:divBdr>
        </w:div>
        <w:div w:id="1337995809">
          <w:marLeft w:val="0"/>
          <w:marRight w:val="0"/>
          <w:marTop w:val="0"/>
          <w:marBottom w:val="0"/>
          <w:divBdr>
            <w:top w:val="none" w:sz="0" w:space="0" w:color="auto"/>
            <w:left w:val="none" w:sz="0" w:space="0" w:color="auto"/>
            <w:bottom w:val="none" w:sz="0" w:space="0" w:color="auto"/>
            <w:right w:val="none" w:sz="0" w:space="0" w:color="auto"/>
          </w:divBdr>
        </w:div>
        <w:div w:id="613946761">
          <w:marLeft w:val="0"/>
          <w:marRight w:val="0"/>
          <w:marTop w:val="0"/>
          <w:marBottom w:val="0"/>
          <w:divBdr>
            <w:top w:val="none" w:sz="0" w:space="0" w:color="auto"/>
            <w:left w:val="none" w:sz="0" w:space="0" w:color="auto"/>
            <w:bottom w:val="none" w:sz="0" w:space="0" w:color="auto"/>
            <w:right w:val="none" w:sz="0" w:space="0" w:color="auto"/>
          </w:divBdr>
        </w:div>
      </w:divsChild>
    </w:div>
    <w:div w:id="1157722523">
      <w:bodyDiv w:val="1"/>
      <w:marLeft w:val="0"/>
      <w:marRight w:val="0"/>
      <w:marTop w:val="0"/>
      <w:marBottom w:val="0"/>
      <w:divBdr>
        <w:top w:val="none" w:sz="0" w:space="0" w:color="auto"/>
        <w:left w:val="none" w:sz="0" w:space="0" w:color="auto"/>
        <w:bottom w:val="none" w:sz="0" w:space="0" w:color="auto"/>
        <w:right w:val="none" w:sz="0" w:space="0" w:color="auto"/>
      </w:divBdr>
    </w:div>
    <w:div w:id="1193613122">
      <w:bodyDiv w:val="1"/>
      <w:marLeft w:val="0"/>
      <w:marRight w:val="0"/>
      <w:marTop w:val="0"/>
      <w:marBottom w:val="0"/>
      <w:divBdr>
        <w:top w:val="none" w:sz="0" w:space="0" w:color="auto"/>
        <w:left w:val="none" w:sz="0" w:space="0" w:color="auto"/>
        <w:bottom w:val="none" w:sz="0" w:space="0" w:color="auto"/>
        <w:right w:val="none" w:sz="0" w:space="0" w:color="auto"/>
      </w:divBdr>
    </w:div>
    <w:div w:id="1194153990">
      <w:bodyDiv w:val="1"/>
      <w:marLeft w:val="0"/>
      <w:marRight w:val="0"/>
      <w:marTop w:val="0"/>
      <w:marBottom w:val="0"/>
      <w:divBdr>
        <w:top w:val="none" w:sz="0" w:space="0" w:color="auto"/>
        <w:left w:val="none" w:sz="0" w:space="0" w:color="auto"/>
        <w:bottom w:val="none" w:sz="0" w:space="0" w:color="auto"/>
        <w:right w:val="none" w:sz="0" w:space="0" w:color="auto"/>
      </w:divBdr>
    </w:div>
    <w:div w:id="1196774126">
      <w:bodyDiv w:val="1"/>
      <w:marLeft w:val="0"/>
      <w:marRight w:val="0"/>
      <w:marTop w:val="0"/>
      <w:marBottom w:val="0"/>
      <w:divBdr>
        <w:top w:val="none" w:sz="0" w:space="0" w:color="auto"/>
        <w:left w:val="none" w:sz="0" w:space="0" w:color="auto"/>
        <w:bottom w:val="none" w:sz="0" w:space="0" w:color="auto"/>
        <w:right w:val="none" w:sz="0" w:space="0" w:color="auto"/>
      </w:divBdr>
    </w:div>
    <w:div w:id="1235627167">
      <w:bodyDiv w:val="1"/>
      <w:marLeft w:val="0"/>
      <w:marRight w:val="0"/>
      <w:marTop w:val="0"/>
      <w:marBottom w:val="0"/>
      <w:divBdr>
        <w:top w:val="none" w:sz="0" w:space="0" w:color="auto"/>
        <w:left w:val="none" w:sz="0" w:space="0" w:color="auto"/>
        <w:bottom w:val="none" w:sz="0" w:space="0" w:color="auto"/>
        <w:right w:val="none" w:sz="0" w:space="0" w:color="auto"/>
      </w:divBdr>
    </w:div>
    <w:div w:id="1283078158">
      <w:bodyDiv w:val="1"/>
      <w:marLeft w:val="0"/>
      <w:marRight w:val="0"/>
      <w:marTop w:val="0"/>
      <w:marBottom w:val="0"/>
      <w:divBdr>
        <w:top w:val="none" w:sz="0" w:space="0" w:color="auto"/>
        <w:left w:val="none" w:sz="0" w:space="0" w:color="auto"/>
        <w:bottom w:val="none" w:sz="0" w:space="0" w:color="auto"/>
        <w:right w:val="none" w:sz="0" w:space="0" w:color="auto"/>
      </w:divBdr>
      <w:divsChild>
        <w:div w:id="764110578">
          <w:marLeft w:val="0"/>
          <w:marRight w:val="0"/>
          <w:marTop w:val="0"/>
          <w:marBottom w:val="0"/>
          <w:divBdr>
            <w:top w:val="none" w:sz="0" w:space="0" w:color="auto"/>
            <w:left w:val="none" w:sz="0" w:space="0" w:color="auto"/>
            <w:bottom w:val="none" w:sz="0" w:space="0" w:color="auto"/>
            <w:right w:val="none" w:sz="0" w:space="0" w:color="auto"/>
          </w:divBdr>
        </w:div>
        <w:div w:id="2125299116">
          <w:marLeft w:val="0"/>
          <w:marRight w:val="0"/>
          <w:marTop w:val="0"/>
          <w:marBottom w:val="0"/>
          <w:divBdr>
            <w:top w:val="none" w:sz="0" w:space="0" w:color="auto"/>
            <w:left w:val="none" w:sz="0" w:space="0" w:color="auto"/>
            <w:bottom w:val="none" w:sz="0" w:space="0" w:color="auto"/>
            <w:right w:val="none" w:sz="0" w:space="0" w:color="auto"/>
          </w:divBdr>
        </w:div>
      </w:divsChild>
    </w:div>
    <w:div w:id="1340086843">
      <w:bodyDiv w:val="1"/>
      <w:marLeft w:val="0"/>
      <w:marRight w:val="0"/>
      <w:marTop w:val="0"/>
      <w:marBottom w:val="0"/>
      <w:divBdr>
        <w:top w:val="none" w:sz="0" w:space="0" w:color="auto"/>
        <w:left w:val="none" w:sz="0" w:space="0" w:color="auto"/>
        <w:bottom w:val="none" w:sz="0" w:space="0" w:color="auto"/>
        <w:right w:val="none" w:sz="0" w:space="0" w:color="auto"/>
      </w:divBdr>
      <w:divsChild>
        <w:div w:id="985360839">
          <w:marLeft w:val="0"/>
          <w:marRight w:val="0"/>
          <w:marTop w:val="0"/>
          <w:marBottom w:val="0"/>
          <w:divBdr>
            <w:top w:val="none" w:sz="0" w:space="0" w:color="auto"/>
            <w:left w:val="none" w:sz="0" w:space="0" w:color="auto"/>
            <w:bottom w:val="none" w:sz="0" w:space="0" w:color="auto"/>
            <w:right w:val="none" w:sz="0" w:space="0" w:color="auto"/>
          </w:divBdr>
        </w:div>
        <w:div w:id="630328622">
          <w:marLeft w:val="0"/>
          <w:marRight w:val="0"/>
          <w:marTop w:val="0"/>
          <w:marBottom w:val="0"/>
          <w:divBdr>
            <w:top w:val="none" w:sz="0" w:space="0" w:color="auto"/>
            <w:left w:val="none" w:sz="0" w:space="0" w:color="auto"/>
            <w:bottom w:val="none" w:sz="0" w:space="0" w:color="auto"/>
            <w:right w:val="none" w:sz="0" w:space="0" w:color="auto"/>
          </w:divBdr>
        </w:div>
        <w:div w:id="675691134">
          <w:marLeft w:val="0"/>
          <w:marRight w:val="0"/>
          <w:marTop w:val="0"/>
          <w:marBottom w:val="0"/>
          <w:divBdr>
            <w:top w:val="none" w:sz="0" w:space="0" w:color="auto"/>
            <w:left w:val="none" w:sz="0" w:space="0" w:color="auto"/>
            <w:bottom w:val="none" w:sz="0" w:space="0" w:color="auto"/>
            <w:right w:val="none" w:sz="0" w:space="0" w:color="auto"/>
          </w:divBdr>
        </w:div>
        <w:div w:id="486018034">
          <w:marLeft w:val="0"/>
          <w:marRight w:val="0"/>
          <w:marTop w:val="0"/>
          <w:marBottom w:val="0"/>
          <w:divBdr>
            <w:top w:val="none" w:sz="0" w:space="0" w:color="auto"/>
            <w:left w:val="none" w:sz="0" w:space="0" w:color="auto"/>
            <w:bottom w:val="none" w:sz="0" w:space="0" w:color="auto"/>
            <w:right w:val="none" w:sz="0" w:space="0" w:color="auto"/>
          </w:divBdr>
        </w:div>
        <w:div w:id="1465804859">
          <w:marLeft w:val="0"/>
          <w:marRight w:val="0"/>
          <w:marTop w:val="0"/>
          <w:marBottom w:val="0"/>
          <w:divBdr>
            <w:top w:val="none" w:sz="0" w:space="0" w:color="auto"/>
            <w:left w:val="none" w:sz="0" w:space="0" w:color="auto"/>
            <w:bottom w:val="none" w:sz="0" w:space="0" w:color="auto"/>
            <w:right w:val="none" w:sz="0" w:space="0" w:color="auto"/>
          </w:divBdr>
        </w:div>
      </w:divsChild>
    </w:div>
    <w:div w:id="1416975947">
      <w:bodyDiv w:val="1"/>
      <w:marLeft w:val="0"/>
      <w:marRight w:val="0"/>
      <w:marTop w:val="0"/>
      <w:marBottom w:val="0"/>
      <w:divBdr>
        <w:top w:val="none" w:sz="0" w:space="0" w:color="auto"/>
        <w:left w:val="none" w:sz="0" w:space="0" w:color="auto"/>
        <w:bottom w:val="none" w:sz="0" w:space="0" w:color="auto"/>
        <w:right w:val="none" w:sz="0" w:space="0" w:color="auto"/>
      </w:divBdr>
    </w:div>
    <w:div w:id="1495294429">
      <w:bodyDiv w:val="1"/>
      <w:marLeft w:val="0"/>
      <w:marRight w:val="0"/>
      <w:marTop w:val="0"/>
      <w:marBottom w:val="0"/>
      <w:divBdr>
        <w:top w:val="none" w:sz="0" w:space="0" w:color="auto"/>
        <w:left w:val="none" w:sz="0" w:space="0" w:color="auto"/>
        <w:bottom w:val="none" w:sz="0" w:space="0" w:color="auto"/>
        <w:right w:val="none" w:sz="0" w:space="0" w:color="auto"/>
      </w:divBdr>
    </w:div>
    <w:div w:id="1500194346">
      <w:bodyDiv w:val="1"/>
      <w:marLeft w:val="0"/>
      <w:marRight w:val="0"/>
      <w:marTop w:val="0"/>
      <w:marBottom w:val="0"/>
      <w:divBdr>
        <w:top w:val="none" w:sz="0" w:space="0" w:color="auto"/>
        <w:left w:val="none" w:sz="0" w:space="0" w:color="auto"/>
        <w:bottom w:val="none" w:sz="0" w:space="0" w:color="auto"/>
        <w:right w:val="none" w:sz="0" w:space="0" w:color="auto"/>
      </w:divBdr>
      <w:divsChild>
        <w:div w:id="1808931735">
          <w:marLeft w:val="0"/>
          <w:marRight w:val="0"/>
          <w:marTop w:val="0"/>
          <w:marBottom w:val="0"/>
          <w:divBdr>
            <w:top w:val="none" w:sz="0" w:space="0" w:color="auto"/>
            <w:left w:val="none" w:sz="0" w:space="0" w:color="auto"/>
            <w:bottom w:val="none" w:sz="0" w:space="0" w:color="auto"/>
            <w:right w:val="none" w:sz="0" w:space="0" w:color="auto"/>
          </w:divBdr>
        </w:div>
        <w:div w:id="2103181504">
          <w:marLeft w:val="0"/>
          <w:marRight w:val="0"/>
          <w:marTop w:val="0"/>
          <w:marBottom w:val="0"/>
          <w:divBdr>
            <w:top w:val="none" w:sz="0" w:space="0" w:color="auto"/>
            <w:left w:val="none" w:sz="0" w:space="0" w:color="auto"/>
            <w:bottom w:val="none" w:sz="0" w:space="0" w:color="auto"/>
            <w:right w:val="none" w:sz="0" w:space="0" w:color="auto"/>
          </w:divBdr>
        </w:div>
      </w:divsChild>
    </w:div>
    <w:div w:id="1575043977">
      <w:bodyDiv w:val="1"/>
      <w:marLeft w:val="0"/>
      <w:marRight w:val="0"/>
      <w:marTop w:val="0"/>
      <w:marBottom w:val="0"/>
      <w:divBdr>
        <w:top w:val="none" w:sz="0" w:space="0" w:color="auto"/>
        <w:left w:val="none" w:sz="0" w:space="0" w:color="auto"/>
        <w:bottom w:val="none" w:sz="0" w:space="0" w:color="auto"/>
        <w:right w:val="none" w:sz="0" w:space="0" w:color="auto"/>
      </w:divBdr>
    </w:div>
    <w:div w:id="1644777242">
      <w:bodyDiv w:val="1"/>
      <w:marLeft w:val="0"/>
      <w:marRight w:val="0"/>
      <w:marTop w:val="0"/>
      <w:marBottom w:val="0"/>
      <w:divBdr>
        <w:top w:val="none" w:sz="0" w:space="0" w:color="auto"/>
        <w:left w:val="none" w:sz="0" w:space="0" w:color="auto"/>
        <w:bottom w:val="none" w:sz="0" w:space="0" w:color="auto"/>
        <w:right w:val="none" w:sz="0" w:space="0" w:color="auto"/>
      </w:divBdr>
    </w:div>
    <w:div w:id="1703899818">
      <w:bodyDiv w:val="1"/>
      <w:marLeft w:val="0"/>
      <w:marRight w:val="0"/>
      <w:marTop w:val="0"/>
      <w:marBottom w:val="0"/>
      <w:divBdr>
        <w:top w:val="none" w:sz="0" w:space="0" w:color="auto"/>
        <w:left w:val="none" w:sz="0" w:space="0" w:color="auto"/>
        <w:bottom w:val="none" w:sz="0" w:space="0" w:color="auto"/>
        <w:right w:val="none" w:sz="0" w:space="0" w:color="auto"/>
      </w:divBdr>
      <w:divsChild>
        <w:div w:id="2054772416">
          <w:marLeft w:val="0"/>
          <w:marRight w:val="0"/>
          <w:marTop w:val="0"/>
          <w:marBottom w:val="0"/>
          <w:divBdr>
            <w:top w:val="none" w:sz="0" w:space="0" w:color="auto"/>
            <w:left w:val="none" w:sz="0" w:space="0" w:color="auto"/>
            <w:bottom w:val="none" w:sz="0" w:space="0" w:color="auto"/>
            <w:right w:val="none" w:sz="0" w:space="0" w:color="auto"/>
          </w:divBdr>
        </w:div>
        <w:div w:id="749887442">
          <w:marLeft w:val="0"/>
          <w:marRight w:val="0"/>
          <w:marTop w:val="0"/>
          <w:marBottom w:val="0"/>
          <w:divBdr>
            <w:top w:val="none" w:sz="0" w:space="0" w:color="auto"/>
            <w:left w:val="none" w:sz="0" w:space="0" w:color="auto"/>
            <w:bottom w:val="none" w:sz="0" w:space="0" w:color="auto"/>
            <w:right w:val="none" w:sz="0" w:space="0" w:color="auto"/>
          </w:divBdr>
        </w:div>
        <w:div w:id="685667792">
          <w:marLeft w:val="0"/>
          <w:marRight w:val="0"/>
          <w:marTop w:val="0"/>
          <w:marBottom w:val="0"/>
          <w:divBdr>
            <w:top w:val="none" w:sz="0" w:space="0" w:color="auto"/>
            <w:left w:val="none" w:sz="0" w:space="0" w:color="auto"/>
            <w:bottom w:val="none" w:sz="0" w:space="0" w:color="auto"/>
            <w:right w:val="none" w:sz="0" w:space="0" w:color="auto"/>
          </w:divBdr>
        </w:div>
        <w:div w:id="1736927395">
          <w:marLeft w:val="0"/>
          <w:marRight w:val="0"/>
          <w:marTop w:val="0"/>
          <w:marBottom w:val="0"/>
          <w:divBdr>
            <w:top w:val="none" w:sz="0" w:space="0" w:color="auto"/>
            <w:left w:val="none" w:sz="0" w:space="0" w:color="auto"/>
            <w:bottom w:val="none" w:sz="0" w:space="0" w:color="auto"/>
            <w:right w:val="none" w:sz="0" w:space="0" w:color="auto"/>
          </w:divBdr>
        </w:div>
        <w:div w:id="1637681301">
          <w:marLeft w:val="0"/>
          <w:marRight w:val="0"/>
          <w:marTop w:val="0"/>
          <w:marBottom w:val="0"/>
          <w:divBdr>
            <w:top w:val="none" w:sz="0" w:space="0" w:color="auto"/>
            <w:left w:val="none" w:sz="0" w:space="0" w:color="auto"/>
            <w:bottom w:val="none" w:sz="0" w:space="0" w:color="auto"/>
            <w:right w:val="none" w:sz="0" w:space="0" w:color="auto"/>
          </w:divBdr>
        </w:div>
        <w:div w:id="1286082002">
          <w:marLeft w:val="0"/>
          <w:marRight w:val="0"/>
          <w:marTop w:val="0"/>
          <w:marBottom w:val="0"/>
          <w:divBdr>
            <w:top w:val="none" w:sz="0" w:space="0" w:color="auto"/>
            <w:left w:val="none" w:sz="0" w:space="0" w:color="auto"/>
            <w:bottom w:val="none" w:sz="0" w:space="0" w:color="auto"/>
            <w:right w:val="none" w:sz="0" w:space="0" w:color="auto"/>
          </w:divBdr>
        </w:div>
        <w:div w:id="921261623">
          <w:marLeft w:val="0"/>
          <w:marRight w:val="0"/>
          <w:marTop w:val="0"/>
          <w:marBottom w:val="0"/>
          <w:divBdr>
            <w:top w:val="none" w:sz="0" w:space="0" w:color="auto"/>
            <w:left w:val="none" w:sz="0" w:space="0" w:color="auto"/>
            <w:bottom w:val="none" w:sz="0" w:space="0" w:color="auto"/>
            <w:right w:val="none" w:sz="0" w:space="0" w:color="auto"/>
          </w:divBdr>
        </w:div>
        <w:div w:id="241794709">
          <w:marLeft w:val="0"/>
          <w:marRight w:val="0"/>
          <w:marTop w:val="0"/>
          <w:marBottom w:val="0"/>
          <w:divBdr>
            <w:top w:val="none" w:sz="0" w:space="0" w:color="auto"/>
            <w:left w:val="none" w:sz="0" w:space="0" w:color="auto"/>
            <w:bottom w:val="none" w:sz="0" w:space="0" w:color="auto"/>
            <w:right w:val="none" w:sz="0" w:space="0" w:color="auto"/>
          </w:divBdr>
        </w:div>
        <w:div w:id="1199316227">
          <w:marLeft w:val="0"/>
          <w:marRight w:val="0"/>
          <w:marTop w:val="0"/>
          <w:marBottom w:val="0"/>
          <w:divBdr>
            <w:top w:val="none" w:sz="0" w:space="0" w:color="auto"/>
            <w:left w:val="none" w:sz="0" w:space="0" w:color="auto"/>
            <w:bottom w:val="none" w:sz="0" w:space="0" w:color="auto"/>
            <w:right w:val="none" w:sz="0" w:space="0" w:color="auto"/>
          </w:divBdr>
        </w:div>
        <w:div w:id="515653078">
          <w:marLeft w:val="0"/>
          <w:marRight w:val="0"/>
          <w:marTop w:val="0"/>
          <w:marBottom w:val="0"/>
          <w:divBdr>
            <w:top w:val="none" w:sz="0" w:space="0" w:color="auto"/>
            <w:left w:val="none" w:sz="0" w:space="0" w:color="auto"/>
            <w:bottom w:val="none" w:sz="0" w:space="0" w:color="auto"/>
            <w:right w:val="none" w:sz="0" w:space="0" w:color="auto"/>
          </w:divBdr>
        </w:div>
      </w:divsChild>
    </w:div>
    <w:div w:id="1720397269">
      <w:bodyDiv w:val="1"/>
      <w:marLeft w:val="0"/>
      <w:marRight w:val="0"/>
      <w:marTop w:val="0"/>
      <w:marBottom w:val="0"/>
      <w:divBdr>
        <w:top w:val="none" w:sz="0" w:space="0" w:color="auto"/>
        <w:left w:val="none" w:sz="0" w:space="0" w:color="auto"/>
        <w:bottom w:val="none" w:sz="0" w:space="0" w:color="auto"/>
        <w:right w:val="none" w:sz="0" w:space="0" w:color="auto"/>
      </w:divBdr>
      <w:divsChild>
        <w:div w:id="891379409">
          <w:marLeft w:val="0"/>
          <w:marRight w:val="0"/>
          <w:marTop w:val="0"/>
          <w:marBottom w:val="0"/>
          <w:divBdr>
            <w:top w:val="none" w:sz="0" w:space="0" w:color="auto"/>
            <w:left w:val="none" w:sz="0" w:space="0" w:color="auto"/>
            <w:bottom w:val="none" w:sz="0" w:space="0" w:color="auto"/>
            <w:right w:val="none" w:sz="0" w:space="0" w:color="auto"/>
          </w:divBdr>
        </w:div>
        <w:div w:id="668338350">
          <w:marLeft w:val="0"/>
          <w:marRight w:val="0"/>
          <w:marTop w:val="0"/>
          <w:marBottom w:val="0"/>
          <w:divBdr>
            <w:top w:val="none" w:sz="0" w:space="0" w:color="auto"/>
            <w:left w:val="none" w:sz="0" w:space="0" w:color="auto"/>
            <w:bottom w:val="none" w:sz="0" w:space="0" w:color="auto"/>
            <w:right w:val="none" w:sz="0" w:space="0" w:color="auto"/>
          </w:divBdr>
        </w:div>
        <w:div w:id="356389666">
          <w:marLeft w:val="0"/>
          <w:marRight w:val="0"/>
          <w:marTop w:val="0"/>
          <w:marBottom w:val="0"/>
          <w:divBdr>
            <w:top w:val="none" w:sz="0" w:space="0" w:color="auto"/>
            <w:left w:val="none" w:sz="0" w:space="0" w:color="auto"/>
            <w:bottom w:val="none" w:sz="0" w:space="0" w:color="auto"/>
            <w:right w:val="none" w:sz="0" w:space="0" w:color="auto"/>
          </w:divBdr>
        </w:div>
        <w:div w:id="222640550">
          <w:marLeft w:val="0"/>
          <w:marRight w:val="0"/>
          <w:marTop w:val="0"/>
          <w:marBottom w:val="0"/>
          <w:divBdr>
            <w:top w:val="none" w:sz="0" w:space="0" w:color="auto"/>
            <w:left w:val="none" w:sz="0" w:space="0" w:color="auto"/>
            <w:bottom w:val="none" w:sz="0" w:space="0" w:color="auto"/>
            <w:right w:val="none" w:sz="0" w:space="0" w:color="auto"/>
          </w:divBdr>
        </w:div>
        <w:div w:id="573393006">
          <w:marLeft w:val="0"/>
          <w:marRight w:val="0"/>
          <w:marTop w:val="0"/>
          <w:marBottom w:val="0"/>
          <w:divBdr>
            <w:top w:val="none" w:sz="0" w:space="0" w:color="auto"/>
            <w:left w:val="none" w:sz="0" w:space="0" w:color="auto"/>
            <w:bottom w:val="none" w:sz="0" w:space="0" w:color="auto"/>
            <w:right w:val="none" w:sz="0" w:space="0" w:color="auto"/>
          </w:divBdr>
        </w:div>
        <w:div w:id="834883309">
          <w:marLeft w:val="0"/>
          <w:marRight w:val="0"/>
          <w:marTop w:val="0"/>
          <w:marBottom w:val="0"/>
          <w:divBdr>
            <w:top w:val="none" w:sz="0" w:space="0" w:color="auto"/>
            <w:left w:val="none" w:sz="0" w:space="0" w:color="auto"/>
            <w:bottom w:val="none" w:sz="0" w:space="0" w:color="auto"/>
            <w:right w:val="none" w:sz="0" w:space="0" w:color="auto"/>
          </w:divBdr>
        </w:div>
        <w:div w:id="135071081">
          <w:marLeft w:val="0"/>
          <w:marRight w:val="0"/>
          <w:marTop w:val="0"/>
          <w:marBottom w:val="0"/>
          <w:divBdr>
            <w:top w:val="none" w:sz="0" w:space="0" w:color="auto"/>
            <w:left w:val="none" w:sz="0" w:space="0" w:color="auto"/>
            <w:bottom w:val="none" w:sz="0" w:space="0" w:color="auto"/>
            <w:right w:val="none" w:sz="0" w:space="0" w:color="auto"/>
          </w:divBdr>
        </w:div>
        <w:div w:id="637686923">
          <w:marLeft w:val="0"/>
          <w:marRight w:val="0"/>
          <w:marTop w:val="0"/>
          <w:marBottom w:val="0"/>
          <w:divBdr>
            <w:top w:val="none" w:sz="0" w:space="0" w:color="auto"/>
            <w:left w:val="none" w:sz="0" w:space="0" w:color="auto"/>
            <w:bottom w:val="none" w:sz="0" w:space="0" w:color="auto"/>
            <w:right w:val="none" w:sz="0" w:space="0" w:color="auto"/>
          </w:divBdr>
        </w:div>
      </w:divsChild>
    </w:div>
    <w:div w:id="1762143022">
      <w:bodyDiv w:val="1"/>
      <w:marLeft w:val="0"/>
      <w:marRight w:val="0"/>
      <w:marTop w:val="0"/>
      <w:marBottom w:val="0"/>
      <w:divBdr>
        <w:top w:val="none" w:sz="0" w:space="0" w:color="auto"/>
        <w:left w:val="none" w:sz="0" w:space="0" w:color="auto"/>
        <w:bottom w:val="none" w:sz="0" w:space="0" w:color="auto"/>
        <w:right w:val="none" w:sz="0" w:space="0" w:color="auto"/>
      </w:divBdr>
    </w:div>
    <w:div w:id="1783105372">
      <w:bodyDiv w:val="1"/>
      <w:marLeft w:val="0"/>
      <w:marRight w:val="0"/>
      <w:marTop w:val="0"/>
      <w:marBottom w:val="0"/>
      <w:divBdr>
        <w:top w:val="none" w:sz="0" w:space="0" w:color="auto"/>
        <w:left w:val="none" w:sz="0" w:space="0" w:color="auto"/>
        <w:bottom w:val="none" w:sz="0" w:space="0" w:color="auto"/>
        <w:right w:val="none" w:sz="0" w:space="0" w:color="auto"/>
      </w:divBdr>
    </w:div>
    <w:div w:id="1798839582">
      <w:bodyDiv w:val="1"/>
      <w:marLeft w:val="0"/>
      <w:marRight w:val="0"/>
      <w:marTop w:val="0"/>
      <w:marBottom w:val="0"/>
      <w:divBdr>
        <w:top w:val="none" w:sz="0" w:space="0" w:color="auto"/>
        <w:left w:val="none" w:sz="0" w:space="0" w:color="auto"/>
        <w:bottom w:val="none" w:sz="0" w:space="0" w:color="auto"/>
        <w:right w:val="none" w:sz="0" w:space="0" w:color="auto"/>
      </w:divBdr>
    </w:div>
    <w:div w:id="1979798319">
      <w:bodyDiv w:val="1"/>
      <w:marLeft w:val="0"/>
      <w:marRight w:val="0"/>
      <w:marTop w:val="0"/>
      <w:marBottom w:val="0"/>
      <w:divBdr>
        <w:top w:val="none" w:sz="0" w:space="0" w:color="auto"/>
        <w:left w:val="none" w:sz="0" w:space="0" w:color="auto"/>
        <w:bottom w:val="none" w:sz="0" w:space="0" w:color="auto"/>
        <w:right w:val="none" w:sz="0" w:space="0" w:color="auto"/>
      </w:divBdr>
    </w:div>
    <w:div w:id="2003386114">
      <w:bodyDiv w:val="1"/>
      <w:marLeft w:val="0"/>
      <w:marRight w:val="0"/>
      <w:marTop w:val="0"/>
      <w:marBottom w:val="0"/>
      <w:divBdr>
        <w:top w:val="none" w:sz="0" w:space="0" w:color="auto"/>
        <w:left w:val="none" w:sz="0" w:space="0" w:color="auto"/>
        <w:bottom w:val="none" w:sz="0" w:space="0" w:color="auto"/>
        <w:right w:val="none" w:sz="0" w:space="0" w:color="auto"/>
      </w:divBdr>
      <w:divsChild>
        <w:div w:id="2070495586">
          <w:marLeft w:val="0"/>
          <w:marRight w:val="0"/>
          <w:marTop w:val="0"/>
          <w:marBottom w:val="0"/>
          <w:divBdr>
            <w:top w:val="none" w:sz="0" w:space="0" w:color="auto"/>
            <w:left w:val="none" w:sz="0" w:space="0" w:color="auto"/>
            <w:bottom w:val="none" w:sz="0" w:space="0" w:color="auto"/>
            <w:right w:val="none" w:sz="0" w:space="0" w:color="auto"/>
          </w:divBdr>
        </w:div>
        <w:div w:id="1928269727">
          <w:marLeft w:val="0"/>
          <w:marRight w:val="0"/>
          <w:marTop w:val="0"/>
          <w:marBottom w:val="0"/>
          <w:divBdr>
            <w:top w:val="none" w:sz="0" w:space="0" w:color="auto"/>
            <w:left w:val="none" w:sz="0" w:space="0" w:color="auto"/>
            <w:bottom w:val="none" w:sz="0" w:space="0" w:color="auto"/>
            <w:right w:val="none" w:sz="0" w:space="0" w:color="auto"/>
          </w:divBdr>
        </w:div>
        <w:div w:id="1699086553">
          <w:marLeft w:val="0"/>
          <w:marRight w:val="0"/>
          <w:marTop w:val="0"/>
          <w:marBottom w:val="0"/>
          <w:divBdr>
            <w:top w:val="none" w:sz="0" w:space="0" w:color="auto"/>
            <w:left w:val="none" w:sz="0" w:space="0" w:color="auto"/>
            <w:bottom w:val="none" w:sz="0" w:space="0" w:color="auto"/>
            <w:right w:val="none" w:sz="0" w:space="0" w:color="auto"/>
          </w:divBdr>
        </w:div>
        <w:div w:id="142355595">
          <w:marLeft w:val="0"/>
          <w:marRight w:val="0"/>
          <w:marTop w:val="0"/>
          <w:marBottom w:val="0"/>
          <w:divBdr>
            <w:top w:val="none" w:sz="0" w:space="0" w:color="auto"/>
            <w:left w:val="none" w:sz="0" w:space="0" w:color="auto"/>
            <w:bottom w:val="none" w:sz="0" w:space="0" w:color="auto"/>
            <w:right w:val="none" w:sz="0" w:space="0" w:color="auto"/>
          </w:divBdr>
        </w:div>
        <w:div w:id="1582254188">
          <w:marLeft w:val="0"/>
          <w:marRight w:val="0"/>
          <w:marTop w:val="0"/>
          <w:marBottom w:val="0"/>
          <w:divBdr>
            <w:top w:val="none" w:sz="0" w:space="0" w:color="auto"/>
            <w:left w:val="none" w:sz="0" w:space="0" w:color="auto"/>
            <w:bottom w:val="none" w:sz="0" w:space="0" w:color="auto"/>
            <w:right w:val="none" w:sz="0" w:space="0" w:color="auto"/>
          </w:divBdr>
        </w:div>
      </w:divsChild>
    </w:div>
    <w:div w:id="2081171254">
      <w:bodyDiv w:val="1"/>
      <w:marLeft w:val="0"/>
      <w:marRight w:val="0"/>
      <w:marTop w:val="0"/>
      <w:marBottom w:val="0"/>
      <w:divBdr>
        <w:top w:val="none" w:sz="0" w:space="0" w:color="auto"/>
        <w:left w:val="none" w:sz="0" w:space="0" w:color="auto"/>
        <w:bottom w:val="none" w:sz="0" w:space="0" w:color="auto"/>
        <w:right w:val="none" w:sz="0" w:space="0" w:color="auto"/>
      </w:divBdr>
      <w:divsChild>
        <w:div w:id="1472139569">
          <w:marLeft w:val="0"/>
          <w:marRight w:val="0"/>
          <w:marTop w:val="0"/>
          <w:marBottom w:val="0"/>
          <w:divBdr>
            <w:top w:val="none" w:sz="0" w:space="0" w:color="auto"/>
            <w:left w:val="none" w:sz="0" w:space="0" w:color="auto"/>
            <w:bottom w:val="none" w:sz="0" w:space="0" w:color="auto"/>
            <w:right w:val="none" w:sz="0" w:space="0" w:color="auto"/>
          </w:divBdr>
        </w:div>
        <w:div w:id="238636594">
          <w:marLeft w:val="0"/>
          <w:marRight w:val="0"/>
          <w:marTop w:val="0"/>
          <w:marBottom w:val="0"/>
          <w:divBdr>
            <w:top w:val="none" w:sz="0" w:space="0" w:color="auto"/>
            <w:left w:val="none" w:sz="0" w:space="0" w:color="auto"/>
            <w:bottom w:val="none" w:sz="0" w:space="0" w:color="auto"/>
            <w:right w:val="none" w:sz="0" w:space="0" w:color="auto"/>
          </w:divBdr>
        </w:div>
        <w:div w:id="1833792206">
          <w:marLeft w:val="0"/>
          <w:marRight w:val="0"/>
          <w:marTop w:val="0"/>
          <w:marBottom w:val="0"/>
          <w:divBdr>
            <w:top w:val="none" w:sz="0" w:space="0" w:color="auto"/>
            <w:left w:val="none" w:sz="0" w:space="0" w:color="auto"/>
            <w:bottom w:val="none" w:sz="0" w:space="0" w:color="auto"/>
            <w:right w:val="none" w:sz="0" w:space="0" w:color="auto"/>
          </w:divBdr>
        </w:div>
        <w:div w:id="1982031976">
          <w:marLeft w:val="0"/>
          <w:marRight w:val="0"/>
          <w:marTop w:val="0"/>
          <w:marBottom w:val="0"/>
          <w:divBdr>
            <w:top w:val="none" w:sz="0" w:space="0" w:color="auto"/>
            <w:left w:val="none" w:sz="0" w:space="0" w:color="auto"/>
            <w:bottom w:val="none" w:sz="0" w:space="0" w:color="auto"/>
            <w:right w:val="none" w:sz="0" w:space="0" w:color="auto"/>
          </w:divBdr>
        </w:div>
        <w:div w:id="1914316494">
          <w:marLeft w:val="0"/>
          <w:marRight w:val="0"/>
          <w:marTop w:val="0"/>
          <w:marBottom w:val="0"/>
          <w:divBdr>
            <w:top w:val="none" w:sz="0" w:space="0" w:color="auto"/>
            <w:left w:val="none" w:sz="0" w:space="0" w:color="auto"/>
            <w:bottom w:val="none" w:sz="0" w:space="0" w:color="auto"/>
            <w:right w:val="none" w:sz="0" w:space="0" w:color="auto"/>
          </w:divBdr>
        </w:div>
        <w:div w:id="1231423221">
          <w:marLeft w:val="0"/>
          <w:marRight w:val="0"/>
          <w:marTop w:val="0"/>
          <w:marBottom w:val="0"/>
          <w:divBdr>
            <w:top w:val="none" w:sz="0" w:space="0" w:color="auto"/>
            <w:left w:val="none" w:sz="0" w:space="0" w:color="auto"/>
            <w:bottom w:val="none" w:sz="0" w:space="0" w:color="auto"/>
            <w:right w:val="none" w:sz="0" w:space="0" w:color="auto"/>
          </w:divBdr>
        </w:div>
        <w:div w:id="1704092099">
          <w:marLeft w:val="0"/>
          <w:marRight w:val="0"/>
          <w:marTop w:val="0"/>
          <w:marBottom w:val="0"/>
          <w:divBdr>
            <w:top w:val="none" w:sz="0" w:space="0" w:color="auto"/>
            <w:left w:val="none" w:sz="0" w:space="0" w:color="auto"/>
            <w:bottom w:val="none" w:sz="0" w:space="0" w:color="auto"/>
            <w:right w:val="none" w:sz="0" w:space="0" w:color="auto"/>
          </w:divBdr>
        </w:div>
        <w:div w:id="438716535">
          <w:marLeft w:val="0"/>
          <w:marRight w:val="0"/>
          <w:marTop w:val="0"/>
          <w:marBottom w:val="0"/>
          <w:divBdr>
            <w:top w:val="none" w:sz="0" w:space="0" w:color="auto"/>
            <w:left w:val="none" w:sz="0" w:space="0" w:color="auto"/>
            <w:bottom w:val="none" w:sz="0" w:space="0" w:color="auto"/>
            <w:right w:val="none" w:sz="0" w:space="0" w:color="auto"/>
          </w:divBdr>
        </w:div>
        <w:div w:id="453447715">
          <w:marLeft w:val="0"/>
          <w:marRight w:val="0"/>
          <w:marTop w:val="0"/>
          <w:marBottom w:val="0"/>
          <w:divBdr>
            <w:top w:val="none" w:sz="0" w:space="0" w:color="auto"/>
            <w:left w:val="none" w:sz="0" w:space="0" w:color="auto"/>
            <w:bottom w:val="none" w:sz="0" w:space="0" w:color="auto"/>
            <w:right w:val="none" w:sz="0" w:space="0" w:color="auto"/>
          </w:divBdr>
        </w:div>
        <w:div w:id="275330161">
          <w:marLeft w:val="0"/>
          <w:marRight w:val="0"/>
          <w:marTop w:val="0"/>
          <w:marBottom w:val="0"/>
          <w:divBdr>
            <w:top w:val="none" w:sz="0" w:space="0" w:color="auto"/>
            <w:left w:val="none" w:sz="0" w:space="0" w:color="auto"/>
            <w:bottom w:val="none" w:sz="0" w:space="0" w:color="auto"/>
            <w:right w:val="none" w:sz="0" w:space="0" w:color="auto"/>
          </w:divBdr>
        </w:div>
        <w:div w:id="1494835776">
          <w:marLeft w:val="0"/>
          <w:marRight w:val="0"/>
          <w:marTop w:val="0"/>
          <w:marBottom w:val="0"/>
          <w:divBdr>
            <w:top w:val="none" w:sz="0" w:space="0" w:color="auto"/>
            <w:left w:val="none" w:sz="0" w:space="0" w:color="auto"/>
            <w:bottom w:val="none" w:sz="0" w:space="0" w:color="auto"/>
            <w:right w:val="none" w:sz="0" w:space="0" w:color="auto"/>
          </w:divBdr>
        </w:div>
        <w:div w:id="1756169003">
          <w:marLeft w:val="0"/>
          <w:marRight w:val="0"/>
          <w:marTop w:val="0"/>
          <w:marBottom w:val="0"/>
          <w:divBdr>
            <w:top w:val="none" w:sz="0" w:space="0" w:color="auto"/>
            <w:left w:val="none" w:sz="0" w:space="0" w:color="auto"/>
            <w:bottom w:val="none" w:sz="0" w:space="0" w:color="auto"/>
            <w:right w:val="none" w:sz="0" w:space="0" w:color="auto"/>
          </w:divBdr>
        </w:div>
        <w:div w:id="68385284">
          <w:marLeft w:val="0"/>
          <w:marRight w:val="0"/>
          <w:marTop w:val="0"/>
          <w:marBottom w:val="0"/>
          <w:divBdr>
            <w:top w:val="none" w:sz="0" w:space="0" w:color="auto"/>
            <w:left w:val="none" w:sz="0" w:space="0" w:color="auto"/>
            <w:bottom w:val="none" w:sz="0" w:space="0" w:color="auto"/>
            <w:right w:val="none" w:sz="0" w:space="0" w:color="auto"/>
          </w:divBdr>
        </w:div>
        <w:div w:id="512184080">
          <w:marLeft w:val="0"/>
          <w:marRight w:val="0"/>
          <w:marTop w:val="0"/>
          <w:marBottom w:val="0"/>
          <w:divBdr>
            <w:top w:val="none" w:sz="0" w:space="0" w:color="auto"/>
            <w:left w:val="none" w:sz="0" w:space="0" w:color="auto"/>
            <w:bottom w:val="none" w:sz="0" w:space="0" w:color="auto"/>
            <w:right w:val="none" w:sz="0" w:space="0" w:color="auto"/>
          </w:divBdr>
        </w:div>
        <w:div w:id="1084689427">
          <w:marLeft w:val="0"/>
          <w:marRight w:val="0"/>
          <w:marTop w:val="0"/>
          <w:marBottom w:val="0"/>
          <w:divBdr>
            <w:top w:val="none" w:sz="0" w:space="0" w:color="auto"/>
            <w:left w:val="none" w:sz="0" w:space="0" w:color="auto"/>
            <w:bottom w:val="none" w:sz="0" w:space="0" w:color="auto"/>
            <w:right w:val="none" w:sz="0" w:space="0" w:color="auto"/>
          </w:divBdr>
        </w:div>
        <w:div w:id="1292204872">
          <w:marLeft w:val="0"/>
          <w:marRight w:val="0"/>
          <w:marTop w:val="0"/>
          <w:marBottom w:val="0"/>
          <w:divBdr>
            <w:top w:val="none" w:sz="0" w:space="0" w:color="auto"/>
            <w:left w:val="none" w:sz="0" w:space="0" w:color="auto"/>
            <w:bottom w:val="none" w:sz="0" w:space="0" w:color="auto"/>
            <w:right w:val="none" w:sz="0" w:space="0" w:color="auto"/>
          </w:divBdr>
        </w:div>
        <w:div w:id="942030803">
          <w:marLeft w:val="0"/>
          <w:marRight w:val="0"/>
          <w:marTop w:val="0"/>
          <w:marBottom w:val="0"/>
          <w:divBdr>
            <w:top w:val="none" w:sz="0" w:space="0" w:color="auto"/>
            <w:left w:val="none" w:sz="0" w:space="0" w:color="auto"/>
            <w:bottom w:val="none" w:sz="0" w:space="0" w:color="auto"/>
            <w:right w:val="none" w:sz="0" w:space="0" w:color="auto"/>
          </w:divBdr>
        </w:div>
        <w:div w:id="572665316">
          <w:marLeft w:val="0"/>
          <w:marRight w:val="0"/>
          <w:marTop w:val="0"/>
          <w:marBottom w:val="0"/>
          <w:divBdr>
            <w:top w:val="none" w:sz="0" w:space="0" w:color="auto"/>
            <w:left w:val="none" w:sz="0" w:space="0" w:color="auto"/>
            <w:bottom w:val="none" w:sz="0" w:space="0" w:color="auto"/>
            <w:right w:val="none" w:sz="0" w:space="0" w:color="auto"/>
          </w:divBdr>
        </w:div>
        <w:div w:id="127214275">
          <w:marLeft w:val="0"/>
          <w:marRight w:val="0"/>
          <w:marTop w:val="0"/>
          <w:marBottom w:val="0"/>
          <w:divBdr>
            <w:top w:val="none" w:sz="0" w:space="0" w:color="auto"/>
            <w:left w:val="none" w:sz="0" w:space="0" w:color="auto"/>
            <w:bottom w:val="none" w:sz="0" w:space="0" w:color="auto"/>
            <w:right w:val="none" w:sz="0" w:space="0" w:color="auto"/>
          </w:divBdr>
        </w:div>
        <w:div w:id="607781858">
          <w:marLeft w:val="0"/>
          <w:marRight w:val="0"/>
          <w:marTop w:val="0"/>
          <w:marBottom w:val="0"/>
          <w:divBdr>
            <w:top w:val="none" w:sz="0" w:space="0" w:color="auto"/>
            <w:left w:val="none" w:sz="0" w:space="0" w:color="auto"/>
            <w:bottom w:val="none" w:sz="0" w:space="0" w:color="auto"/>
            <w:right w:val="none" w:sz="0" w:space="0" w:color="auto"/>
          </w:divBdr>
        </w:div>
        <w:div w:id="265423805">
          <w:marLeft w:val="0"/>
          <w:marRight w:val="0"/>
          <w:marTop w:val="0"/>
          <w:marBottom w:val="0"/>
          <w:divBdr>
            <w:top w:val="none" w:sz="0" w:space="0" w:color="auto"/>
            <w:left w:val="none" w:sz="0" w:space="0" w:color="auto"/>
            <w:bottom w:val="none" w:sz="0" w:space="0" w:color="auto"/>
            <w:right w:val="none" w:sz="0" w:space="0" w:color="auto"/>
          </w:divBdr>
        </w:div>
        <w:div w:id="1633711687">
          <w:marLeft w:val="0"/>
          <w:marRight w:val="0"/>
          <w:marTop w:val="0"/>
          <w:marBottom w:val="0"/>
          <w:divBdr>
            <w:top w:val="none" w:sz="0" w:space="0" w:color="auto"/>
            <w:left w:val="none" w:sz="0" w:space="0" w:color="auto"/>
            <w:bottom w:val="none" w:sz="0" w:space="0" w:color="auto"/>
            <w:right w:val="none" w:sz="0" w:space="0" w:color="auto"/>
          </w:divBdr>
        </w:div>
        <w:div w:id="584269000">
          <w:marLeft w:val="0"/>
          <w:marRight w:val="0"/>
          <w:marTop w:val="0"/>
          <w:marBottom w:val="0"/>
          <w:divBdr>
            <w:top w:val="none" w:sz="0" w:space="0" w:color="auto"/>
            <w:left w:val="none" w:sz="0" w:space="0" w:color="auto"/>
            <w:bottom w:val="none" w:sz="0" w:space="0" w:color="auto"/>
            <w:right w:val="none" w:sz="0" w:space="0" w:color="auto"/>
          </w:divBdr>
        </w:div>
        <w:div w:id="1857190892">
          <w:marLeft w:val="0"/>
          <w:marRight w:val="0"/>
          <w:marTop w:val="0"/>
          <w:marBottom w:val="0"/>
          <w:divBdr>
            <w:top w:val="none" w:sz="0" w:space="0" w:color="auto"/>
            <w:left w:val="none" w:sz="0" w:space="0" w:color="auto"/>
            <w:bottom w:val="none" w:sz="0" w:space="0" w:color="auto"/>
            <w:right w:val="none" w:sz="0" w:space="0" w:color="auto"/>
          </w:divBdr>
        </w:div>
        <w:div w:id="696470093">
          <w:marLeft w:val="0"/>
          <w:marRight w:val="0"/>
          <w:marTop w:val="0"/>
          <w:marBottom w:val="0"/>
          <w:divBdr>
            <w:top w:val="none" w:sz="0" w:space="0" w:color="auto"/>
            <w:left w:val="none" w:sz="0" w:space="0" w:color="auto"/>
            <w:bottom w:val="none" w:sz="0" w:space="0" w:color="auto"/>
            <w:right w:val="none" w:sz="0" w:space="0" w:color="auto"/>
          </w:divBdr>
        </w:div>
        <w:div w:id="371274557">
          <w:marLeft w:val="0"/>
          <w:marRight w:val="0"/>
          <w:marTop w:val="0"/>
          <w:marBottom w:val="0"/>
          <w:divBdr>
            <w:top w:val="none" w:sz="0" w:space="0" w:color="auto"/>
            <w:left w:val="none" w:sz="0" w:space="0" w:color="auto"/>
            <w:bottom w:val="none" w:sz="0" w:space="0" w:color="auto"/>
            <w:right w:val="none" w:sz="0" w:space="0" w:color="auto"/>
          </w:divBdr>
        </w:div>
        <w:div w:id="1181357858">
          <w:marLeft w:val="0"/>
          <w:marRight w:val="0"/>
          <w:marTop w:val="0"/>
          <w:marBottom w:val="0"/>
          <w:divBdr>
            <w:top w:val="none" w:sz="0" w:space="0" w:color="auto"/>
            <w:left w:val="none" w:sz="0" w:space="0" w:color="auto"/>
            <w:bottom w:val="none" w:sz="0" w:space="0" w:color="auto"/>
            <w:right w:val="none" w:sz="0" w:space="0" w:color="auto"/>
          </w:divBdr>
        </w:div>
        <w:div w:id="1922913383">
          <w:marLeft w:val="0"/>
          <w:marRight w:val="0"/>
          <w:marTop w:val="0"/>
          <w:marBottom w:val="0"/>
          <w:divBdr>
            <w:top w:val="none" w:sz="0" w:space="0" w:color="auto"/>
            <w:left w:val="none" w:sz="0" w:space="0" w:color="auto"/>
            <w:bottom w:val="none" w:sz="0" w:space="0" w:color="auto"/>
            <w:right w:val="none" w:sz="0" w:space="0" w:color="auto"/>
          </w:divBdr>
        </w:div>
        <w:div w:id="381029104">
          <w:marLeft w:val="0"/>
          <w:marRight w:val="0"/>
          <w:marTop w:val="0"/>
          <w:marBottom w:val="0"/>
          <w:divBdr>
            <w:top w:val="none" w:sz="0" w:space="0" w:color="auto"/>
            <w:left w:val="none" w:sz="0" w:space="0" w:color="auto"/>
            <w:bottom w:val="none" w:sz="0" w:space="0" w:color="auto"/>
            <w:right w:val="none" w:sz="0" w:space="0" w:color="auto"/>
          </w:divBdr>
        </w:div>
        <w:div w:id="582646505">
          <w:marLeft w:val="0"/>
          <w:marRight w:val="0"/>
          <w:marTop w:val="0"/>
          <w:marBottom w:val="0"/>
          <w:divBdr>
            <w:top w:val="none" w:sz="0" w:space="0" w:color="auto"/>
            <w:left w:val="none" w:sz="0" w:space="0" w:color="auto"/>
            <w:bottom w:val="none" w:sz="0" w:space="0" w:color="auto"/>
            <w:right w:val="none" w:sz="0" w:space="0" w:color="auto"/>
          </w:divBdr>
        </w:div>
        <w:div w:id="1488746575">
          <w:marLeft w:val="0"/>
          <w:marRight w:val="0"/>
          <w:marTop w:val="0"/>
          <w:marBottom w:val="0"/>
          <w:divBdr>
            <w:top w:val="none" w:sz="0" w:space="0" w:color="auto"/>
            <w:left w:val="none" w:sz="0" w:space="0" w:color="auto"/>
            <w:bottom w:val="none" w:sz="0" w:space="0" w:color="auto"/>
            <w:right w:val="none" w:sz="0" w:space="0" w:color="auto"/>
          </w:divBdr>
        </w:div>
        <w:div w:id="283077699">
          <w:marLeft w:val="0"/>
          <w:marRight w:val="0"/>
          <w:marTop w:val="0"/>
          <w:marBottom w:val="0"/>
          <w:divBdr>
            <w:top w:val="none" w:sz="0" w:space="0" w:color="auto"/>
            <w:left w:val="none" w:sz="0" w:space="0" w:color="auto"/>
            <w:bottom w:val="none" w:sz="0" w:space="0" w:color="auto"/>
            <w:right w:val="none" w:sz="0" w:space="0" w:color="auto"/>
          </w:divBdr>
        </w:div>
        <w:div w:id="1955403449">
          <w:marLeft w:val="0"/>
          <w:marRight w:val="0"/>
          <w:marTop w:val="0"/>
          <w:marBottom w:val="0"/>
          <w:divBdr>
            <w:top w:val="none" w:sz="0" w:space="0" w:color="auto"/>
            <w:left w:val="none" w:sz="0" w:space="0" w:color="auto"/>
            <w:bottom w:val="none" w:sz="0" w:space="0" w:color="auto"/>
            <w:right w:val="none" w:sz="0" w:space="0" w:color="auto"/>
          </w:divBdr>
        </w:div>
        <w:div w:id="917439509">
          <w:marLeft w:val="0"/>
          <w:marRight w:val="0"/>
          <w:marTop w:val="0"/>
          <w:marBottom w:val="0"/>
          <w:divBdr>
            <w:top w:val="none" w:sz="0" w:space="0" w:color="auto"/>
            <w:left w:val="none" w:sz="0" w:space="0" w:color="auto"/>
            <w:bottom w:val="none" w:sz="0" w:space="0" w:color="auto"/>
            <w:right w:val="none" w:sz="0" w:space="0" w:color="auto"/>
          </w:divBdr>
        </w:div>
        <w:div w:id="483815252">
          <w:marLeft w:val="0"/>
          <w:marRight w:val="0"/>
          <w:marTop w:val="0"/>
          <w:marBottom w:val="0"/>
          <w:divBdr>
            <w:top w:val="none" w:sz="0" w:space="0" w:color="auto"/>
            <w:left w:val="none" w:sz="0" w:space="0" w:color="auto"/>
            <w:bottom w:val="none" w:sz="0" w:space="0" w:color="auto"/>
            <w:right w:val="none" w:sz="0" w:space="0" w:color="auto"/>
          </w:divBdr>
        </w:div>
        <w:div w:id="446237961">
          <w:marLeft w:val="0"/>
          <w:marRight w:val="0"/>
          <w:marTop w:val="0"/>
          <w:marBottom w:val="0"/>
          <w:divBdr>
            <w:top w:val="none" w:sz="0" w:space="0" w:color="auto"/>
            <w:left w:val="none" w:sz="0" w:space="0" w:color="auto"/>
            <w:bottom w:val="none" w:sz="0" w:space="0" w:color="auto"/>
            <w:right w:val="none" w:sz="0" w:space="0" w:color="auto"/>
          </w:divBdr>
        </w:div>
        <w:div w:id="388185171">
          <w:marLeft w:val="0"/>
          <w:marRight w:val="0"/>
          <w:marTop w:val="0"/>
          <w:marBottom w:val="0"/>
          <w:divBdr>
            <w:top w:val="none" w:sz="0" w:space="0" w:color="auto"/>
            <w:left w:val="none" w:sz="0" w:space="0" w:color="auto"/>
            <w:bottom w:val="none" w:sz="0" w:space="0" w:color="auto"/>
            <w:right w:val="none" w:sz="0" w:space="0" w:color="auto"/>
          </w:divBdr>
        </w:div>
        <w:div w:id="1189639531">
          <w:marLeft w:val="0"/>
          <w:marRight w:val="0"/>
          <w:marTop w:val="0"/>
          <w:marBottom w:val="0"/>
          <w:divBdr>
            <w:top w:val="none" w:sz="0" w:space="0" w:color="auto"/>
            <w:left w:val="none" w:sz="0" w:space="0" w:color="auto"/>
            <w:bottom w:val="none" w:sz="0" w:space="0" w:color="auto"/>
            <w:right w:val="none" w:sz="0" w:space="0" w:color="auto"/>
          </w:divBdr>
        </w:div>
        <w:div w:id="1125737621">
          <w:marLeft w:val="0"/>
          <w:marRight w:val="0"/>
          <w:marTop w:val="0"/>
          <w:marBottom w:val="0"/>
          <w:divBdr>
            <w:top w:val="none" w:sz="0" w:space="0" w:color="auto"/>
            <w:left w:val="none" w:sz="0" w:space="0" w:color="auto"/>
            <w:bottom w:val="none" w:sz="0" w:space="0" w:color="auto"/>
            <w:right w:val="none" w:sz="0" w:space="0" w:color="auto"/>
          </w:divBdr>
        </w:div>
        <w:div w:id="1036540492">
          <w:marLeft w:val="0"/>
          <w:marRight w:val="0"/>
          <w:marTop w:val="0"/>
          <w:marBottom w:val="0"/>
          <w:divBdr>
            <w:top w:val="none" w:sz="0" w:space="0" w:color="auto"/>
            <w:left w:val="none" w:sz="0" w:space="0" w:color="auto"/>
            <w:bottom w:val="none" w:sz="0" w:space="0" w:color="auto"/>
            <w:right w:val="none" w:sz="0" w:space="0" w:color="auto"/>
          </w:divBdr>
        </w:div>
        <w:div w:id="965769568">
          <w:marLeft w:val="0"/>
          <w:marRight w:val="0"/>
          <w:marTop w:val="0"/>
          <w:marBottom w:val="0"/>
          <w:divBdr>
            <w:top w:val="none" w:sz="0" w:space="0" w:color="auto"/>
            <w:left w:val="none" w:sz="0" w:space="0" w:color="auto"/>
            <w:bottom w:val="none" w:sz="0" w:space="0" w:color="auto"/>
            <w:right w:val="none" w:sz="0" w:space="0" w:color="auto"/>
          </w:divBdr>
        </w:div>
        <w:div w:id="101918376">
          <w:marLeft w:val="0"/>
          <w:marRight w:val="0"/>
          <w:marTop w:val="0"/>
          <w:marBottom w:val="0"/>
          <w:divBdr>
            <w:top w:val="none" w:sz="0" w:space="0" w:color="auto"/>
            <w:left w:val="none" w:sz="0" w:space="0" w:color="auto"/>
            <w:bottom w:val="none" w:sz="0" w:space="0" w:color="auto"/>
            <w:right w:val="none" w:sz="0" w:space="0" w:color="auto"/>
          </w:divBdr>
        </w:div>
        <w:div w:id="175653799">
          <w:marLeft w:val="0"/>
          <w:marRight w:val="0"/>
          <w:marTop w:val="0"/>
          <w:marBottom w:val="0"/>
          <w:divBdr>
            <w:top w:val="none" w:sz="0" w:space="0" w:color="auto"/>
            <w:left w:val="none" w:sz="0" w:space="0" w:color="auto"/>
            <w:bottom w:val="none" w:sz="0" w:space="0" w:color="auto"/>
            <w:right w:val="none" w:sz="0" w:space="0" w:color="auto"/>
          </w:divBdr>
        </w:div>
        <w:div w:id="120265681">
          <w:marLeft w:val="0"/>
          <w:marRight w:val="0"/>
          <w:marTop w:val="0"/>
          <w:marBottom w:val="0"/>
          <w:divBdr>
            <w:top w:val="none" w:sz="0" w:space="0" w:color="auto"/>
            <w:left w:val="none" w:sz="0" w:space="0" w:color="auto"/>
            <w:bottom w:val="none" w:sz="0" w:space="0" w:color="auto"/>
            <w:right w:val="none" w:sz="0" w:space="0" w:color="auto"/>
          </w:divBdr>
        </w:div>
        <w:div w:id="745419003">
          <w:marLeft w:val="0"/>
          <w:marRight w:val="0"/>
          <w:marTop w:val="0"/>
          <w:marBottom w:val="0"/>
          <w:divBdr>
            <w:top w:val="none" w:sz="0" w:space="0" w:color="auto"/>
            <w:left w:val="none" w:sz="0" w:space="0" w:color="auto"/>
            <w:bottom w:val="none" w:sz="0" w:space="0" w:color="auto"/>
            <w:right w:val="none" w:sz="0" w:space="0" w:color="auto"/>
          </w:divBdr>
        </w:div>
        <w:div w:id="739911372">
          <w:marLeft w:val="0"/>
          <w:marRight w:val="0"/>
          <w:marTop w:val="0"/>
          <w:marBottom w:val="0"/>
          <w:divBdr>
            <w:top w:val="none" w:sz="0" w:space="0" w:color="auto"/>
            <w:left w:val="none" w:sz="0" w:space="0" w:color="auto"/>
            <w:bottom w:val="none" w:sz="0" w:space="0" w:color="auto"/>
            <w:right w:val="none" w:sz="0" w:space="0" w:color="auto"/>
          </w:divBdr>
        </w:div>
        <w:div w:id="2130128183">
          <w:marLeft w:val="0"/>
          <w:marRight w:val="0"/>
          <w:marTop w:val="0"/>
          <w:marBottom w:val="0"/>
          <w:divBdr>
            <w:top w:val="none" w:sz="0" w:space="0" w:color="auto"/>
            <w:left w:val="none" w:sz="0" w:space="0" w:color="auto"/>
            <w:bottom w:val="none" w:sz="0" w:space="0" w:color="auto"/>
            <w:right w:val="none" w:sz="0" w:space="0" w:color="auto"/>
          </w:divBdr>
        </w:div>
        <w:div w:id="909853205">
          <w:marLeft w:val="0"/>
          <w:marRight w:val="0"/>
          <w:marTop w:val="0"/>
          <w:marBottom w:val="0"/>
          <w:divBdr>
            <w:top w:val="none" w:sz="0" w:space="0" w:color="auto"/>
            <w:left w:val="none" w:sz="0" w:space="0" w:color="auto"/>
            <w:bottom w:val="none" w:sz="0" w:space="0" w:color="auto"/>
            <w:right w:val="none" w:sz="0" w:space="0" w:color="auto"/>
          </w:divBdr>
        </w:div>
        <w:div w:id="1265306147">
          <w:marLeft w:val="0"/>
          <w:marRight w:val="0"/>
          <w:marTop w:val="0"/>
          <w:marBottom w:val="0"/>
          <w:divBdr>
            <w:top w:val="none" w:sz="0" w:space="0" w:color="auto"/>
            <w:left w:val="none" w:sz="0" w:space="0" w:color="auto"/>
            <w:bottom w:val="none" w:sz="0" w:space="0" w:color="auto"/>
            <w:right w:val="none" w:sz="0" w:space="0" w:color="auto"/>
          </w:divBdr>
        </w:div>
        <w:div w:id="1567110834">
          <w:marLeft w:val="0"/>
          <w:marRight w:val="0"/>
          <w:marTop w:val="0"/>
          <w:marBottom w:val="0"/>
          <w:divBdr>
            <w:top w:val="none" w:sz="0" w:space="0" w:color="auto"/>
            <w:left w:val="none" w:sz="0" w:space="0" w:color="auto"/>
            <w:bottom w:val="none" w:sz="0" w:space="0" w:color="auto"/>
            <w:right w:val="none" w:sz="0" w:space="0" w:color="auto"/>
          </w:divBdr>
        </w:div>
        <w:div w:id="1906060779">
          <w:marLeft w:val="0"/>
          <w:marRight w:val="0"/>
          <w:marTop w:val="0"/>
          <w:marBottom w:val="0"/>
          <w:divBdr>
            <w:top w:val="none" w:sz="0" w:space="0" w:color="auto"/>
            <w:left w:val="none" w:sz="0" w:space="0" w:color="auto"/>
            <w:bottom w:val="none" w:sz="0" w:space="0" w:color="auto"/>
            <w:right w:val="none" w:sz="0" w:space="0" w:color="auto"/>
          </w:divBdr>
        </w:div>
        <w:div w:id="750125983">
          <w:marLeft w:val="0"/>
          <w:marRight w:val="0"/>
          <w:marTop w:val="0"/>
          <w:marBottom w:val="0"/>
          <w:divBdr>
            <w:top w:val="none" w:sz="0" w:space="0" w:color="auto"/>
            <w:left w:val="none" w:sz="0" w:space="0" w:color="auto"/>
            <w:bottom w:val="none" w:sz="0" w:space="0" w:color="auto"/>
            <w:right w:val="none" w:sz="0" w:space="0" w:color="auto"/>
          </w:divBdr>
        </w:div>
        <w:div w:id="2119059004">
          <w:marLeft w:val="0"/>
          <w:marRight w:val="0"/>
          <w:marTop w:val="0"/>
          <w:marBottom w:val="0"/>
          <w:divBdr>
            <w:top w:val="none" w:sz="0" w:space="0" w:color="auto"/>
            <w:left w:val="none" w:sz="0" w:space="0" w:color="auto"/>
            <w:bottom w:val="none" w:sz="0" w:space="0" w:color="auto"/>
            <w:right w:val="none" w:sz="0" w:space="0" w:color="auto"/>
          </w:divBdr>
        </w:div>
        <w:div w:id="17202010">
          <w:marLeft w:val="0"/>
          <w:marRight w:val="0"/>
          <w:marTop w:val="0"/>
          <w:marBottom w:val="0"/>
          <w:divBdr>
            <w:top w:val="none" w:sz="0" w:space="0" w:color="auto"/>
            <w:left w:val="none" w:sz="0" w:space="0" w:color="auto"/>
            <w:bottom w:val="none" w:sz="0" w:space="0" w:color="auto"/>
            <w:right w:val="none" w:sz="0" w:space="0" w:color="auto"/>
          </w:divBdr>
        </w:div>
        <w:div w:id="1677002630">
          <w:marLeft w:val="0"/>
          <w:marRight w:val="0"/>
          <w:marTop w:val="0"/>
          <w:marBottom w:val="0"/>
          <w:divBdr>
            <w:top w:val="none" w:sz="0" w:space="0" w:color="auto"/>
            <w:left w:val="none" w:sz="0" w:space="0" w:color="auto"/>
            <w:bottom w:val="none" w:sz="0" w:space="0" w:color="auto"/>
            <w:right w:val="none" w:sz="0" w:space="0" w:color="auto"/>
          </w:divBdr>
        </w:div>
        <w:div w:id="730613085">
          <w:marLeft w:val="0"/>
          <w:marRight w:val="0"/>
          <w:marTop w:val="0"/>
          <w:marBottom w:val="0"/>
          <w:divBdr>
            <w:top w:val="none" w:sz="0" w:space="0" w:color="auto"/>
            <w:left w:val="none" w:sz="0" w:space="0" w:color="auto"/>
            <w:bottom w:val="none" w:sz="0" w:space="0" w:color="auto"/>
            <w:right w:val="none" w:sz="0" w:space="0" w:color="auto"/>
          </w:divBdr>
        </w:div>
        <w:div w:id="268465346">
          <w:marLeft w:val="0"/>
          <w:marRight w:val="0"/>
          <w:marTop w:val="0"/>
          <w:marBottom w:val="0"/>
          <w:divBdr>
            <w:top w:val="none" w:sz="0" w:space="0" w:color="auto"/>
            <w:left w:val="none" w:sz="0" w:space="0" w:color="auto"/>
            <w:bottom w:val="none" w:sz="0" w:space="0" w:color="auto"/>
            <w:right w:val="none" w:sz="0" w:space="0" w:color="auto"/>
          </w:divBdr>
        </w:div>
        <w:div w:id="1732578933">
          <w:marLeft w:val="0"/>
          <w:marRight w:val="0"/>
          <w:marTop w:val="0"/>
          <w:marBottom w:val="0"/>
          <w:divBdr>
            <w:top w:val="none" w:sz="0" w:space="0" w:color="auto"/>
            <w:left w:val="none" w:sz="0" w:space="0" w:color="auto"/>
            <w:bottom w:val="none" w:sz="0" w:space="0" w:color="auto"/>
            <w:right w:val="none" w:sz="0" w:space="0" w:color="auto"/>
          </w:divBdr>
        </w:div>
        <w:div w:id="887112036">
          <w:marLeft w:val="0"/>
          <w:marRight w:val="0"/>
          <w:marTop w:val="0"/>
          <w:marBottom w:val="0"/>
          <w:divBdr>
            <w:top w:val="none" w:sz="0" w:space="0" w:color="auto"/>
            <w:left w:val="none" w:sz="0" w:space="0" w:color="auto"/>
            <w:bottom w:val="none" w:sz="0" w:space="0" w:color="auto"/>
            <w:right w:val="none" w:sz="0" w:space="0" w:color="auto"/>
          </w:divBdr>
        </w:div>
        <w:div w:id="1057167558">
          <w:marLeft w:val="0"/>
          <w:marRight w:val="0"/>
          <w:marTop w:val="0"/>
          <w:marBottom w:val="0"/>
          <w:divBdr>
            <w:top w:val="none" w:sz="0" w:space="0" w:color="auto"/>
            <w:left w:val="none" w:sz="0" w:space="0" w:color="auto"/>
            <w:bottom w:val="none" w:sz="0" w:space="0" w:color="auto"/>
            <w:right w:val="none" w:sz="0" w:space="0" w:color="auto"/>
          </w:divBdr>
        </w:div>
        <w:div w:id="1837842464">
          <w:marLeft w:val="0"/>
          <w:marRight w:val="0"/>
          <w:marTop w:val="0"/>
          <w:marBottom w:val="0"/>
          <w:divBdr>
            <w:top w:val="none" w:sz="0" w:space="0" w:color="auto"/>
            <w:left w:val="none" w:sz="0" w:space="0" w:color="auto"/>
            <w:bottom w:val="none" w:sz="0" w:space="0" w:color="auto"/>
            <w:right w:val="none" w:sz="0" w:space="0" w:color="auto"/>
          </w:divBdr>
        </w:div>
        <w:div w:id="378864944">
          <w:marLeft w:val="0"/>
          <w:marRight w:val="0"/>
          <w:marTop w:val="0"/>
          <w:marBottom w:val="0"/>
          <w:divBdr>
            <w:top w:val="none" w:sz="0" w:space="0" w:color="auto"/>
            <w:left w:val="none" w:sz="0" w:space="0" w:color="auto"/>
            <w:bottom w:val="none" w:sz="0" w:space="0" w:color="auto"/>
            <w:right w:val="none" w:sz="0" w:space="0" w:color="auto"/>
          </w:divBdr>
        </w:div>
        <w:div w:id="419718449">
          <w:marLeft w:val="0"/>
          <w:marRight w:val="0"/>
          <w:marTop w:val="0"/>
          <w:marBottom w:val="0"/>
          <w:divBdr>
            <w:top w:val="none" w:sz="0" w:space="0" w:color="auto"/>
            <w:left w:val="none" w:sz="0" w:space="0" w:color="auto"/>
            <w:bottom w:val="none" w:sz="0" w:space="0" w:color="auto"/>
            <w:right w:val="none" w:sz="0" w:space="0" w:color="auto"/>
          </w:divBdr>
        </w:div>
        <w:div w:id="1008025158">
          <w:marLeft w:val="0"/>
          <w:marRight w:val="0"/>
          <w:marTop w:val="0"/>
          <w:marBottom w:val="0"/>
          <w:divBdr>
            <w:top w:val="none" w:sz="0" w:space="0" w:color="auto"/>
            <w:left w:val="none" w:sz="0" w:space="0" w:color="auto"/>
            <w:bottom w:val="none" w:sz="0" w:space="0" w:color="auto"/>
            <w:right w:val="none" w:sz="0" w:space="0" w:color="auto"/>
          </w:divBdr>
        </w:div>
        <w:div w:id="371468631">
          <w:marLeft w:val="0"/>
          <w:marRight w:val="0"/>
          <w:marTop w:val="0"/>
          <w:marBottom w:val="0"/>
          <w:divBdr>
            <w:top w:val="none" w:sz="0" w:space="0" w:color="auto"/>
            <w:left w:val="none" w:sz="0" w:space="0" w:color="auto"/>
            <w:bottom w:val="none" w:sz="0" w:space="0" w:color="auto"/>
            <w:right w:val="none" w:sz="0" w:space="0" w:color="auto"/>
          </w:divBdr>
        </w:div>
        <w:div w:id="270626739">
          <w:marLeft w:val="0"/>
          <w:marRight w:val="0"/>
          <w:marTop w:val="0"/>
          <w:marBottom w:val="0"/>
          <w:divBdr>
            <w:top w:val="none" w:sz="0" w:space="0" w:color="auto"/>
            <w:left w:val="none" w:sz="0" w:space="0" w:color="auto"/>
            <w:bottom w:val="none" w:sz="0" w:space="0" w:color="auto"/>
            <w:right w:val="none" w:sz="0" w:space="0" w:color="auto"/>
          </w:divBdr>
        </w:div>
        <w:div w:id="1123385044">
          <w:marLeft w:val="0"/>
          <w:marRight w:val="0"/>
          <w:marTop w:val="0"/>
          <w:marBottom w:val="0"/>
          <w:divBdr>
            <w:top w:val="none" w:sz="0" w:space="0" w:color="auto"/>
            <w:left w:val="none" w:sz="0" w:space="0" w:color="auto"/>
            <w:bottom w:val="none" w:sz="0" w:space="0" w:color="auto"/>
            <w:right w:val="none" w:sz="0" w:space="0" w:color="auto"/>
          </w:divBdr>
        </w:div>
        <w:div w:id="719129360">
          <w:marLeft w:val="0"/>
          <w:marRight w:val="0"/>
          <w:marTop w:val="0"/>
          <w:marBottom w:val="0"/>
          <w:divBdr>
            <w:top w:val="none" w:sz="0" w:space="0" w:color="auto"/>
            <w:left w:val="none" w:sz="0" w:space="0" w:color="auto"/>
            <w:bottom w:val="none" w:sz="0" w:space="0" w:color="auto"/>
            <w:right w:val="none" w:sz="0" w:space="0" w:color="auto"/>
          </w:divBdr>
        </w:div>
        <w:div w:id="1828587549">
          <w:marLeft w:val="0"/>
          <w:marRight w:val="0"/>
          <w:marTop w:val="0"/>
          <w:marBottom w:val="0"/>
          <w:divBdr>
            <w:top w:val="none" w:sz="0" w:space="0" w:color="auto"/>
            <w:left w:val="none" w:sz="0" w:space="0" w:color="auto"/>
            <w:bottom w:val="none" w:sz="0" w:space="0" w:color="auto"/>
            <w:right w:val="none" w:sz="0" w:space="0" w:color="auto"/>
          </w:divBdr>
        </w:div>
        <w:div w:id="1083526851">
          <w:marLeft w:val="0"/>
          <w:marRight w:val="0"/>
          <w:marTop w:val="0"/>
          <w:marBottom w:val="0"/>
          <w:divBdr>
            <w:top w:val="none" w:sz="0" w:space="0" w:color="auto"/>
            <w:left w:val="none" w:sz="0" w:space="0" w:color="auto"/>
            <w:bottom w:val="none" w:sz="0" w:space="0" w:color="auto"/>
            <w:right w:val="none" w:sz="0" w:space="0" w:color="auto"/>
          </w:divBdr>
        </w:div>
        <w:div w:id="1022977488">
          <w:marLeft w:val="0"/>
          <w:marRight w:val="0"/>
          <w:marTop w:val="0"/>
          <w:marBottom w:val="0"/>
          <w:divBdr>
            <w:top w:val="none" w:sz="0" w:space="0" w:color="auto"/>
            <w:left w:val="none" w:sz="0" w:space="0" w:color="auto"/>
            <w:bottom w:val="none" w:sz="0" w:space="0" w:color="auto"/>
            <w:right w:val="none" w:sz="0" w:space="0" w:color="auto"/>
          </w:divBdr>
        </w:div>
        <w:div w:id="47530434">
          <w:marLeft w:val="0"/>
          <w:marRight w:val="0"/>
          <w:marTop w:val="0"/>
          <w:marBottom w:val="0"/>
          <w:divBdr>
            <w:top w:val="none" w:sz="0" w:space="0" w:color="auto"/>
            <w:left w:val="none" w:sz="0" w:space="0" w:color="auto"/>
            <w:bottom w:val="none" w:sz="0" w:space="0" w:color="auto"/>
            <w:right w:val="none" w:sz="0" w:space="0" w:color="auto"/>
          </w:divBdr>
        </w:div>
        <w:div w:id="1568538915">
          <w:marLeft w:val="0"/>
          <w:marRight w:val="0"/>
          <w:marTop w:val="0"/>
          <w:marBottom w:val="0"/>
          <w:divBdr>
            <w:top w:val="none" w:sz="0" w:space="0" w:color="auto"/>
            <w:left w:val="none" w:sz="0" w:space="0" w:color="auto"/>
            <w:bottom w:val="none" w:sz="0" w:space="0" w:color="auto"/>
            <w:right w:val="none" w:sz="0" w:space="0" w:color="auto"/>
          </w:divBdr>
        </w:div>
        <w:div w:id="324822541">
          <w:marLeft w:val="0"/>
          <w:marRight w:val="0"/>
          <w:marTop w:val="0"/>
          <w:marBottom w:val="0"/>
          <w:divBdr>
            <w:top w:val="none" w:sz="0" w:space="0" w:color="auto"/>
            <w:left w:val="none" w:sz="0" w:space="0" w:color="auto"/>
            <w:bottom w:val="none" w:sz="0" w:space="0" w:color="auto"/>
            <w:right w:val="none" w:sz="0" w:space="0" w:color="auto"/>
          </w:divBdr>
        </w:div>
        <w:div w:id="764305287">
          <w:marLeft w:val="0"/>
          <w:marRight w:val="0"/>
          <w:marTop w:val="0"/>
          <w:marBottom w:val="0"/>
          <w:divBdr>
            <w:top w:val="none" w:sz="0" w:space="0" w:color="auto"/>
            <w:left w:val="none" w:sz="0" w:space="0" w:color="auto"/>
            <w:bottom w:val="none" w:sz="0" w:space="0" w:color="auto"/>
            <w:right w:val="none" w:sz="0" w:space="0" w:color="auto"/>
          </w:divBdr>
        </w:div>
        <w:div w:id="1465809914">
          <w:marLeft w:val="0"/>
          <w:marRight w:val="0"/>
          <w:marTop w:val="0"/>
          <w:marBottom w:val="0"/>
          <w:divBdr>
            <w:top w:val="none" w:sz="0" w:space="0" w:color="auto"/>
            <w:left w:val="none" w:sz="0" w:space="0" w:color="auto"/>
            <w:bottom w:val="none" w:sz="0" w:space="0" w:color="auto"/>
            <w:right w:val="none" w:sz="0" w:space="0" w:color="auto"/>
          </w:divBdr>
        </w:div>
        <w:div w:id="1074352424">
          <w:marLeft w:val="0"/>
          <w:marRight w:val="0"/>
          <w:marTop w:val="0"/>
          <w:marBottom w:val="0"/>
          <w:divBdr>
            <w:top w:val="none" w:sz="0" w:space="0" w:color="auto"/>
            <w:left w:val="none" w:sz="0" w:space="0" w:color="auto"/>
            <w:bottom w:val="none" w:sz="0" w:space="0" w:color="auto"/>
            <w:right w:val="none" w:sz="0" w:space="0" w:color="auto"/>
          </w:divBdr>
        </w:div>
        <w:div w:id="144860580">
          <w:marLeft w:val="0"/>
          <w:marRight w:val="0"/>
          <w:marTop w:val="0"/>
          <w:marBottom w:val="0"/>
          <w:divBdr>
            <w:top w:val="none" w:sz="0" w:space="0" w:color="auto"/>
            <w:left w:val="none" w:sz="0" w:space="0" w:color="auto"/>
            <w:bottom w:val="none" w:sz="0" w:space="0" w:color="auto"/>
            <w:right w:val="none" w:sz="0" w:space="0" w:color="auto"/>
          </w:divBdr>
        </w:div>
        <w:div w:id="1824657177">
          <w:marLeft w:val="0"/>
          <w:marRight w:val="0"/>
          <w:marTop w:val="0"/>
          <w:marBottom w:val="0"/>
          <w:divBdr>
            <w:top w:val="none" w:sz="0" w:space="0" w:color="auto"/>
            <w:left w:val="none" w:sz="0" w:space="0" w:color="auto"/>
            <w:bottom w:val="none" w:sz="0" w:space="0" w:color="auto"/>
            <w:right w:val="none" w:sz="0" w:space="0" w:color="auto"/>
          </w:divBdr>
        </w:div>
        <w:div w:id="1118530870">
          <w:marLeft w:val="0"/>
          <w:marRight w:val="0"/>
          <w:marTop w:val="0"/>
          <w:marBottom w:val="0"/>
          <w:divBdr>
            <w:top w:val="none" w:sz="0" w:space="0" w:color="auto"/>
            <w:left w:val="none" w:sz="0" w:space="0" w:color="auto"/>
            <w:bottom w:val="none" w:sz="0" w:space="0" w:color="auto"/>
            <w:right w:val="none" w:sz="0" w:space="0" w:color="auto"/>
          </w:divBdr>
        </w:div>
        <w:div w:id="1612475909">
          <w:marLeft w:val="0"/>
          <w:marRight w:val="0"/>
          <w:marTop w:val="0"/>
          <w:marBottom w:val="0"/>
          <w:divBdr>
            <w:top w:val="none" w:sz="0" w:space="0" w:color="auto"/>
            <w:left w:val="none" w:sz="0" w:space="0" w:color="auto"/>
            <w:bottom w:val="none" w:sz="0" w:space="0" w:color="auto"/>
            <w:right w:val="none" w:sz="0" w:space="0" w:color="auto"/>
          </w:divBdr>
        </w:div>
        <w:div w:id="1880775809">
          <w:marLeft w:val="0"/>
          <w:marRight w:val="0"/>
          <w:marTop w:val="0"/>
          <w:marBottom w:val="0"/>
          <w:divBdr>
            <w:top w:val="none" w:sz="0" w:space="0" w:color="auto"/>
            <w:left w:val="none" w:sz="0" w:space="0" w:color="auto"/>
            <w:bottom w:val="none" w:sz="0" w:space="0" w:color="auto"/>
            <w:right w:val="none" w:sz="0" w:space="0" w:color="auto"/>
          </w:divBdr>
        </w:div>
        <w:div w:id="1509443014">
          <w:marLeft w:val="0"/>
          <w:marRight w:val="0"/>
          <w:marTop w:val="0"/>
          <w:marBottom w:val="0"/>
          <w:divBdr>
            <w:top w:val="none" w:sz="0" w:space="0" w:color="auto"/>
            <w:left w:val="none" w:sz="0" w:space="0" w:color="auto"/>
            <w:bottom w:val="none" w:sz="0" w:space="0" w:color="auto"/>
            <w:right w:val="none" w:sz="0" w:space="0" w:color="auto"/>
          </w:divBdr>
        </w:div>
        <w:div w:id="1601912068">
          <w:marLeft w:val="0"/>
          <w:marRight w:val="0"/>
          <w:marTop w:val="0"/>
          <w:marBottom w:val="0"/>
          <w:divBdr>
            <w:top w:val="none" w:sz="0" w:space="0" w:color="auto"/>
            <w:left w:val="none" w:sz="0" w:space="0" w:color="auto"/>
            <w:bottom w:val="none" w:sz="0" w:space="0" w:color="auto"/>
            <w:right w:val="none" w:sz="0" w:space="0" w:color="auto"/>
          </w:divBdr>
        </w:div>
        <w:div w:id="1748648519">
          <w:marLeft w:val="0"/>
          <w:marRight w:val="0"/>
          <w:marTop w:val="0"/>
          <w:marBottom w:val="0"/>
          <w:divBdr>
            <w:top w:val="none" w:sz="0" w:space="0" w:color="auto"/>
            <w:left w:val="none" w:sz="0" w:space="0" w:color="auto"/>
            <w:bottom w:val="none" w:sz="0" w:space="0" w:color="auto"/>
            <w:right w:val="none" w:sz="0" w:space="0" w:color="auto"/>
          </w:divBdr>
        </w:div>
        <w:div w:id="1068920100">
          <w:marLeft w:val="0"/>
          <w:marRight w:val="0"/>
          <w:marTop w:val="0"/>
          <w:marBottom w:val="0"/>
          <w:divBdr>
            <w:top w:val="none" w:sz="0" w:space="0" w:color="auto"/>
            <w:left w:val="none" w:sz="0" w:space="0" w:color="auto"/>
            <w:bottom w:val="none" w:sz="0" w:space="0" w:color="auto"/>
            <w:right w:val="none" w:sz="0" w:space="0" w:color="auto"/>
          </w:divBdr>
        </w:div>
        <w:div w:id="884684321">
          <w:marLeft w:val="0"/>
          <w:marRight w:val="0"/>
          <w:marTop w:val="0"/>
          <w:marBottom w:val="0"/>
          <w:divBdr>
            <w:top w:val="none" w:sz="0" w:space="0" w:color="auto"/>
            <w:left w:val="none" w:sz="0" w:space="0" w:color="auto"/>
            <w:bottom w:val="none" w:sz="0" w:space="0" w:color="auto"/>
            <w:right w:val="none" w:sz="0" w:space="0" w:color="auto"/>
          </w:divBdr>
        </w:div>
        <w:div w:id="412698658">
          <w:marLeft w:val="0"/>
          <w:marRight w:val="0"/>
          <w:marTop w:val="0"/>
          <w:marBottom w:val="0"/>
          <w:divBdr>
            <w:top w:val="none" w:sz="0" w:space="0" w:color="auto"/>
            <w:left w:val="none" w:sz="0" w:space="0" w:color="auto"/>
            <w:bottom w:val="none" w:sz="0" w:space="0" w:color="auto"/>
            <w:right w:val="none" w:sz="0" w:space="0" w:color="auto"/>
          </w:divBdr>
        </w:div>
        <w:div w:id="1420370584">
          <w:marLeft w:val="0"/>
          <w:marRight w:val="0"/>
          <w:marTop w:val="0"/>
          <w:marBottom w:val="0"/>
          <w:divBdr>
            <w:top w:val="none" w:sz="0" w:space="0" w:color="auto"/>
            <w:left w:val="none" w:sz="0" w:space="0" w:color="auto"/>
            <w:bottom w:val="none" w:sz="0" w:space="0" w:color="auto"/>
            <w:right w:val="none" w:sz="0" w:space="0" w:color="auto"/>
          </w:divBdr>
        </w:div>
        <w:div w:id="618267252">
          <w:marLeft w:val="0"/>
          <w:marRight w:val="0"/>
          <w:marTop w:val="0"/>
          <w:marBottom w:val="0"/>
          <w:divBdr>
            <w:top w:val="none" w:sz="0" w:space="0" w:color="auto"/>
            <w:left w:val="none" w:sz="0" w:space="0" w:color="auto"/>
            <w:bottom w:val="none" w:sz="0" w:space="0" w:color="auto"/>
            <w:right w:val="none" w:sz="0" w:space="0" w:color="auto"/>
          </w:divBdr>
        </w:div>
        <w:div w:id="778453981">
          <w:marLeft w:val="0"/>
          <w:marRight w:val="0"/>
          <w:marTop w:val="0"/>
          <w:marBottom w:val="0"/>
          <w:divBdr>
            <w:top w:val="none" w:sz="0" w:space="0" w:color="auto"/>
            <w:left w:val="none" w:sz="0" w:space="0" w:color="auto"/>
            <w:bottom w:val="none" w:sz="0" w:space="0" w:color="auto"/>
            <w:right w:val="none" w:sz="0" w:space="0" w:color="auto"/>
          </w:divBdr>
        </w:div>
        <w:div w:id="482935538">
          <w:marLeft w:val="0"/>
          <w:marRight w:val="0"/>
          <w:marTop w:val="0"/>
          <w:marBottom w:val="0"/>
          <w:divBdr>
            <w:top w:val="none" w:sz="0" w:space="0" w:color="auto"/>
            <w:left w:val="none" w:sz="0" w:space="0" w:color="auto"/>
            <w:bottom w:val="none" w:sz="0" w:space="0" w:color="auto"/>
            <w:right w:val="none" w:sz="0" w:space="0" w:color="auto"/>
          </w:divBdr>
        </w:div>
        <w:div w:id="2126537869">
          <w:marLeft w:val="0"/>
          <w:marRight w:val="0"/>
          <w:marTop w:val="0"/>
          <w:marBottom w:val="0"/>
          <w:divBdr>
            <w:top w:val="none" w:sz="0" w:space="0" w:color="auto"/>
            <w:left w:val="none" w:sz="0" w:space="0" w:color="auto"/>
            <w:bottom w:val="none" w:sz="0" w:space="0" w:color="auto"/>
            <w:right w:val="none" w:sz="0" w:space="0" w:color="auto"/>
          </w:divBdr>
        </w:div>
        <w:div w:id="587883242">
          <w:marLeft w:val="0"/>
          <w:marRight w:val="0"/>
          <w:marTop w:val="0"/>
          <w:marBottom w:val="0"/>
          <w:divBdr>
            <w:top w:val="none" w:sz="0" w:space="0" w:color="auto"/>
            <w:left w:val="none" w:sz="0" w:space="0" w:color="auto"/>
            <w:bottom w:val="none" w:sz="0" w:space="0" w:color="auto"/>
            <w:right w:val="none" w:sz="0" w:space="0" w:color="auto"/>
          </w:divBdr>
        </w:div>
        <w:div w:id="1275861644">
          <w:marLeft w:val="0"/>
          <w:marRight w:val="0"/>
          <w:marTop w:val="0"/>
          <w:marBottom w:val="0"/>
          <w:divBdr>
            <w:top w:val="none" w:sz="0" w:space="0" w:color="auto"/>
            <w:left w:val="none" w:sz="0" w:space="0" w:color="auto"/>
            <w:bottom w:val="none" w:sz="0" w:space="0" w:color="auto"/>
            <w:right w:val="none" w:sz="0" w:space="0" w:color="auto"/>
          </w:divBdr>
        </w:div>
        <w:div w:id="1875456907">
          <w:marLeft w:val="0"/>
          <w:marRight w:val="0"/>
          <w:marTop w:val="0"/>
          <w:marBottom w:val="0"/>
          <w:divBdr>
            <w:top w:val="none" w:sz="0" w:space="0" w:color="auto"/>
            <w:left w:val="none" w:sz="0" w:space="0" w:color="auto"/>
            <w:bottom w:val="none" w:sz="0" w:space="0" w:color="auto"/>
            <w:right w:val="none" w:sz="0" w:space="0" w:color="auto"/>
          </w:divBdr>
        </w:div>
        <w:div w:id="2071877984">
          <w:marLeft w:val="0"/>
          <w:marRight w:val="0"/>
          <w:marTop w:val="0"/>
          <w:marBottom w:val="0"/>
          <w:divBdr>
            <w:top w:val="none" w:sz="0" w:space="0" w:color="auto"/>
            <w:left w:val="none" w:sz="0" w:space="0" w:color="auto"/>
            <w:bottom w:val="none" w:sz="0" w:space="0" w:color="auto"/>
            <w:right w:val="none" w:sz="0" w:space="0" w:color="auto"/>
          </w:divBdr>
        </w:div>
        <w:div w:id="1200360891">
          <w:marLeft w:val="0"/>
          <w:marRight w:val="0"/>
          <w:marTop w:val="0"/>
          <w:marBottom w:val="0"/>
          <w:divBdr>
            <w:top w:val="none" w:sz="0" w:space="0" w:color="auto"/>
            <w:left w:val="none" w:sz="0" w:space="0" w:color="auto"/>
            <w:bottom w:val="none" w:sz="0" w:space="0" w:color="auto"/>
            <w:right w:val="none" w:sz="0" w:space="0" w:color="auto"/>
          </w:divBdr>
        </w:div>
        <w:div w:id="1136875435">
          <w:marLeft w:val="0"/>
          <w:marRight w:val="0"/>
          <w:marTop w:val="0"/>
          <w:marBottom w:val="0"/>
          <w:divBdr>
            <w:top w:val="none" w:sz="0" w:space="0" w:color="auto"/>
            <w:left w:val="none" w:sz="0" w:space="0" w:color="auto"/>
            <w:bottom w:val="none" w:sz="0" w:space="0" w:color="auto"/>
            <w:right w:val="none" w:sz="0" w:space="0" w:color="auto"/>
          </w:divBdr>
        </w:div>
        <w:div w:id="1790390041">
          <w:marLeft w:val="0"/>
          <w:marRight w:val="0"/>
          <w:marTop w:val="0"/>
          <w:marBottom w:val="0"/>
          <w:divBdr>
            <w:top w:val="none" w:sz="0" w:space="0" w:color="auto"/>
            <w:left w:val="none" w:sz="0" w:space="0" w:color="auto"/>
            <w:bottom w:val="none" w:sz="0" w:space="0" w:color="auto"/>
            <w:right w:val="none" w:sz="0" w:space="0" w:color="auto"/>
          </w:divBdr>
        </w:div>
        <w:div w:id="1453398598">
          <w:marLeft w:val="0"/>
          <w:marRight w:val="0"/>
          <w:marTop w:val="0"/>
          <w:marBottom w:val="0"/>
          <w:divBdr>
            <w:top w:val="none" w:sz="0" w:space="0" w:color="auto"/>
            <w:left w:val="none" w:sz="0" w:space="0" w:color="auto"/>
            <w:bottom w:val="none" w:sz="0" w:space="0" w:color="auto"/>
            <w:right w:val="none" w:sz="0" w:space="0" w:color="auto"/>
          </w:divBdr>
        </w:div>
        <w:div w:id="78723114">
          <w:marLeft w:val="0"/>
          <w:marRight w:val="0"/>
          <w:marTop w:val="0"/>
          <w:marBottom w:val="0"/>
          <w:divBdr>
            <w:top w:val="none" w:sz="0" w:space="0" w:color="auto"/>
            <w:left w:val="none" w:sz="0" w:space="0" w:color="auto"/>
            <w:bottom w:val="none" w:sz="0" w:space="0" w:color="auto"/>
            <w:right w:val="none" w:sz="0" w:space="0" w:color="auto"/>
          </w:divBdr>
        </w:div>
        <w:div w:id="1027102480">
          <w:marLeft w:val="0"/>
          <w:marRight w:val="0"/>
          <w:marTop w:val="0"/>
          <w:marBottom w:val="0"/>
          <w:divBdr>
            <w:top w:val="none" w:sz="0" w:space="0" w:color="auto"/>
            <w:left w:val="none" w:sz="0" w:space="0" w:color="auto"/>
            <w:bottom w:val="none" w:sz="0" w:space="0" w:color="auto"/>
            <w:right w:val="none" w:sz="0" w:space="0" w:color="auto"/>
          </w:divBdr>
        </w:div>
        <w:div w:id="348993466">
          <w:marLeft w:val="0"/>
          <w:marRight w:val="0"/>
          <w:marTop w:val="0"/>
          <w:marBottom w:val="0"/>
          <w:divBdr>
            <w:top w:val="none" w:sz="0" w:space="0" w:color="auto"/>
            <w:left w:val="none" w:sz="0" w:space="0" w:color="auto"/>
            <w:bottom w:val="none" w:sz="0" w:space="0" w:color="auto"/>
            <w:right w:val="none" w:sz="0" w:space="0" w:color="auto"/>
          </w:divBdr>
        </w:div>
        <w:div w:id="2142915277">
          <w:marLeft w:val="0"/>
          <w:marRight w:val="0"/>
          <w:marTop w:val="0"/>
          <w:marBottom w:val="0"/>
          <w:divBdr>
            <w:top w:val="none" w:sz="0" w:space="0" w:color="auto"/>
            <w:left w:val="none" w:sz="0" w:space="0" w:color="auto"/>
            <w:bottom w:val="none" w:sz="0" w:space="0" w:color="auto"/>
            <w:right w:val="none" w:sz="0" w:space="0" w:color="auto"/>
          </w:divBdr>
        </w:div>
        <w:div w:id="692195638">
          <w:marLeft w:val="0"/>
          <w:marRight w:val="0"/>
          <w:marTop w:val="0"/>
          <w:marBottom w:val="0"/>
          <w:divBdr>
            <w:top w:val="none" w:sz="0" w:space="0" w:color="auto"/>
            <w:left w:val="none" w:sz="0" w:space="0" w:color="auto"/>
            <w:bottom w:val="none" w:sz="0" w:space="0" w:color="auto"/>
            <w:right w:val="none" w:sz="0" w:space="0" w:color="auto"/>
          </w:divBdr>
        </w:div>
        <w:div w:id="1093626447">
          <w:marLeft w:val="0"/>
          <w:marRight w:val="0"/>
          <w:marTop w:val="0"/>
          <w:marBottom w:val="0"/>
          <w:divBdr>
            <w:top w:val="none" w:sz="0" w:space="0" w:color="auto"/>
            <w:left w:val="none" w:sz="0" w:space="0" w:color="auto"/>
            <w:bottom w:val="none" w:sz="0" w:space="0" w:color="auto"/>
            <w:right w:val="none" w:sz="0" w:space="0" w:color="auto"/>
          </w:divBdr>
        </w:div>
        <w:div w:id="2114007133">
          <w:marLeft w:val="0"/>
          <w:marRight w:val="0"/>
          <w:marTop w:val="0"/>
          <w:marBottom w:val="0"/>
          <w:divBdr>
            <w:top w:val="none" w:sz="0" w:space="0" w:color="auto"/>
            <w:left w:val="none" w:sz="0" w:space="0" w:color="auto"/>
            <w:bottom w:val="none" w:sz="0" w:space="0" w:color="auto"/>
            <w:right w:val="none" w:sz="0" w:space="0" w:color="auto"/>
          </w:divBdr>
        </w:div>
        <w:div w:id="1760172015">
          <w:marLeft w:val="0"/>
          <w:marRight w:val="0"/>
          <w:marTop w:val="0"/>
          <w:marBottom w:val="0"/>
          <w:divBdr>
            <w:top w:val="none" w:sz="0" w:space="0" w:color="auto"/>
            <w:left w:val="none" w:sz="0" w:space="0" w:color="auto"/>
            <w:bottom w:val="none" w:sz="0" w:space="0" w:color="auto"/>
            <w:right w:val="none" w:sz="0" w:space="0" w:color="auto"/>
          </w:divBdr>
        </w:div>
        <w:div w:id="1263295065">
          <w:marLeft w:val="0"/>
          <w:marRight w:val="0"/>
          <w:marTop w:val="0"/>
          <w:marBottom w:val="0"/>
          <w:divBdr>
            <w:top w:val="none" w:sz="0" w:space="0" w:color="auto"/>
            <w:left w:val="none" w:sz="0" w:space="0" w:color="auto"/>
            <w:bottom w:val="none" w:sz="0" w:space="0" w:color="auto"/>
            <w:right w:val="none" w:sz="0" w:space="0" w:color="auto"/>
          </w:divBdr>
        </w:div>
        <w:div w:id="912468183">
          <w:marLeft w:val="0"/>
          <w:marRight w:val="0"/>
          <w:marTop w:val="0"/>
          <w:marBottom w:val="0"/>
          <w:divBdr>
            <w:top w:val="none" w:sz="0" w:space="0" w:color="auto"/>
            <w:left w:val="none" w:sz="0" w:space="0" w:color="auto"/>
            <w:bottom w:val="none" w:sz="0" w:space="0" w:color="auto"/>
            <w:right w:val="none" w:sz="0" w:space="0" w:color="auto"/>
          </w:divBdr>
        </w:div>
        <w:div w:id="1679768525">
          <w:marLeft w:val="0"/>
          <w:marRight w:val="0"/>
          <w:marTop w:val="0"/>
          <w:marBottom w:val="0"/>
          <w:divBdr>
            <w:top w:val="none" w:sz="0" w:space="0" w:color="auto"/>
            <w:left w:val="none" w:sz="0" w:space="0" w:color="auto"/>
            <w:bottom w:val="none" w:sz="0" w:space="0" w:color="auto"/>
            <w:right w:val="none" w:sz="0" w:space="0" w:color="auto"/>
          </w:divBdr>
        </w:div>
        <w:div w:id="1229924961">
          <w:marLeft w:val="0"/>
          <w:marRight w:val="0"/>
          <w:marTop w:val="0"/>
          <w:marBottom w:val="0"/>
          <w:divBdr>
            <w:top w:val="none" w:sz="0" w:space="0" w:color="auto"/>
            <w:left w:val="none" w:sz="0" w:space="0" w:color="auto"/>
            <w:bottom w:val="none" w:sz="0" w:space="0" w:color="auto"/>
            <w:right w:val="none" w:sz="0" w:space="0" w:color="auto"/>
          </w:divBdr>
        </w:div>
        <w:div w:id="1385444642">
          <w:marLeft w:val="0"/>
          <w:marRight w:val="0"/>
          <w:marTop w:val="0"/>
          <w:marBottom w:val="0"/>
          <w:divBdr>
            <w:top w:val="none" w:sz="0" w:space="0" w:color="auto"/>
            <w:left w:val="none" w:sz="0" w:space="0" w:color="auto"/>
            <w:bottom w:val="none" w:sz="0" w:space="0" w:color="auto"/>
            <w:right w:val="none" w:sz="0" w:space="0" w:color="auto"/>
          </w:divBdr>
        </w:div>
        <w:div w:id="1593318986">
          <w:marLeft w:val="0"/>
          <w:marRight w:val="0"/>
          <w:marTop w:val="0"/>
          <w:marBottom w:val="0"/>
          <w:divBdr>
            <w:top w:val="none" w:sz="0" w:space="0" w:color="auto"/>
            <w:left w:val="none" w:sz="0" w:space="0" w:color="auto"/>
            <w:bottom w:val="none" w:sz="0" w:space="0" w:color="auto"/>
            <w:right w:val="none" w:sz="0" w:space="0" w:color="auto"/>
          </w:divBdr>
        </w:div>
        <w:div w:id="142965244">
          <w:marLeft w:val="0"/>
          <w:marRight w:val="0"/>
          <w:marTop w:val="0"/>
          <w:marBottom w:val="0"/>
          <w:divBdr>
            <w:top w:val="none" w:sz="0" w:space="0" w:color="auto"/>
            <w:left w:val="none" w:sz="0" w:space="0" w:color="auto"/>
            <w:bottom w:val="none" w:sz="0" w:space="0" w:color="auto"/>
            <w:right w:val="none" w:sz="0" w:space="0" w:color="auto"/>
          </w:divBdr>
        </w:div>
        <w:div w:id="1725984062">
          <w:marLeft w:val="0"/>
          <w:marRight w:val="0"/>
          <w:marTop w:val="0"/>
          <w:marBottom w:val="0"/>
          <w:divBdr>
            <w:top w:val="none" w:sz="0" w:space="0" w:color="auto"/>
            <w:left w:val="none" w:sz="0" w:space="0" w:color="auto"/>
            <w:bottom w:val="none" w:sz="0" w:space="0" w:color="auto"/>
            <w:right w:val="none" w:sz="0" w:space="0" w:color="auto"/>
          </w:divBdr>
        </w:div>
        <w:div w:id="484469919">
          <w:marLeft w:val="0"/>
          <w:marRight w:val="0"/>
          <w:marTop w:val="0"/>
          <w:marBottom w:val="0"/>
          <w:divBdr>
            <w:top w:val="none" w:sz="0" w:space="0" w:color="auto"/>
            <w:left w:val="none" w:sz="0" w:space="0" w:color="auto"/>
            <w:bottom w:val="none" w:sz="0" w:space="0" w:color="auto"/>
            <w:right w:val="none" w:sz="0" w:space="0" w:color="auto"/>
          </w:divBdr>
        </w:div>
        <w:div w:id="1061634148">
          <w:marLeft w:val="0"/>
          <w:marRight w:val="0"/>
          <w:marTop w:val="0"/>
          <w:marBottom w:val="0"/>
          <w:divBdr>
            <w:top w:val="none" w:sz="0" w:space="0" w:color="auto"/>
            <w:left w:val="none" w:sz="0" w:space="0" w:color="auto"/>
            <w:bottom w:val="none" w:sz="0" w:space="0" w:color="auto"/>
            <w:right w:val="none" w:sz="0" w:space="0" w:color="auto"/>
          </w:divBdr>
        </w:div>
        <w:div w:id="1384939130">
          <w:marLeft w:val="0"/>
          <w:marRight w:val="0"/>
          <w:marTop w:val="0"/>
          <w:marBottom w:val="0"/>
          <w:divBdr>
            <w:top w:val="none" w:sz="0" w:space="0" w:color="auto"/>
            <w:left w:val="none" w:sz="0" w:space="0" w:color="auto"/>
            <w:bottom w:val="none" w:sz="0" w:space="0" w:color="auto"/>
            <w:right w:val="none" w:sz="0" w:space="0" w:color="auto"/>
          </w:divBdr>
        </w:div>
        <w:div w:id="802767498">
          <w:marLeft w:val="0"/>
          <w:marRight w:val="0"/>
          <w:marTop w:val="0"/>
          <w:marBottom w:val="0"/>
          <w:divBdr>
            <w:top w:val="none" w:sz="0" w:space="0" w:color="auto"/>
            <w:left w:val="none" w:sz="0" w:space="0" w:color="auto"/>
            <w:bottom w:val="none" w:sz="0" w:space="0" w:color="auto"/>
            <w:right w:val="none" w:sz="0" w:space="0" w:color="auto"/>
          </w:divBdr>
        </w:div>
        <w:div w:id="1019815710">
          <w:marLeft w:val="0"/>
          <w:marRight w:val="0"/>
          <w:marTop w:val="0"/>
          <w:marBottom w:val="0"/>
          <w:divBdr>
            <w:top w:val="none" w:sz="0" w:space="0" w:color="auto"/>
            <w:left w:val="none" w:sz="0" w:space="0" w:color="auto"/>
            <w:bottom w:val="none" w:sz="0" w:space="0" w:color="auto"/>
            <w:right w:val="none" w:sz="0" w:space="0" w:color="auto"/>
          </w:divBdr>
        </w:div>
        <w:div w:id="951742233">
          <w:marLeft w:val="0"/>
          <w:marRight w:val="0"/>
          <w:marTop w:val="0"/>
          <w:marBottom w:val="0"/>
          <w:divBdr>
            <w:top w:val="none" w:sz="0" w:space="0" w:color="auto"/>
            <w:left w:val="none" w:sz="0" w:space="0" w:color="auto"/>
            <w:bottom w:val="none" w:sz="0" w:space="0" w:color="auto"/>
            <w:right w:val="none" w:sz="0" w:space="0" w:color="auto"/>
          </w:divBdr>
        </w:div>
        <w:div w:id="818963536">
          <w:marLeft w:val="0"/>
          <w:marRight w:val="0"/>
          <w:marTop w:val="0"/>
          <w:marBottom w:val="0"/>
          <w:divBdr>
            <w:top w:val="none" w:sz="0" w:space="0" w:color="auto"/>
            <w:left w:val="none" w:sz="0" w:space="0" w:color="auto"/>
            <w:bottom w:val="none" w:sz="0" w:space="0" w:color="auto"/>
            <w:right w:val="none" w:sz="0" w:space="0" w:color="auto"/>
          </w:divBdr>
        </w:div>
        <w:div w:id="16584377">
          <w:marLeft w:val="0"/>
          <w:marRight w:val="0"/>
          <w:marTop w:val="0"/>
          <w:marBottom w:val="0"/>
          <w:divBdr>
            <w:top w:val="none" w:sz="0" w:space="0" w:color="auto"/>
            <w:left w:val="none" w:sz="0" w:space="0" w:color="auto"/>
            <w:bottom w:val="none" w:sz="0" w:space="0" w:color="auto"/>
            <w:right w:val="none" w:sz="0" w:space="0" w:color="auto"/>
          </w:divBdr>
        </w:div>
        <w:div w:id="1833981454">
          <w:marLeft w:val="0"/>
          <w:marRight w:val="0"/>
          <w:marTop w:val="0"/>
          <w:marBottom w:val="0"/>
          <w:divBdr>
            <w:top w:val="none" w:sz="0" w:space="0" w:color="auto"/>
            <w:left w:val="none" w:sz="0" w:space="0" w:color="auto"/>
            <w:bottom w:val="none" w:sz="0" w:space="0" w:color="auto"/>
            <w:right w:val="none" w:sz="0" w:space="0" w:color="auto"/>
          </w:divBdr>
        </w:div>
        <w:div w:id="180823437">
          <w:marLeft w:val="0"/>
          <w:marRight w:val="0"/>
          <w:marTop w:val="0"/>
          <w:marBottom w:val="0"/>
          <w:divBdr>
            <w:top w:val="none" w:sz="0" w:space="0" w:color="auto"/>
            <w:left w:val="none" w:sz="0" w:space="0" w:color="auto"/>
            <w:bottom w:val="none" w:sz="0" w:space="0" w:color="auto"/>
            <w:right w:val="none" w:sz="0" w:space="0" w:color="auto"/>
          </w:divBdr>
        </w:div>
        <w:div w:id="621350544">
          <w:marLeft w:val="0"/>
          <w:marRight w:val="0"/>
          <w:marTop w:val="0"/>
          <w:marBottom w:val="0"/>
          <w:divBdr>
            <w:top w:val="none" w:sz="0" w:space="0" w:color="auto"/>
            <w:left w:val="none" w:sz="0" w:space="0" w:color="auto"/>
            <w:bottom w:val="none" w:sz="0" w:space="0" w:color="auto"/>
            <w:right w:val="none" w:sz="0" w:space="0" w:color="auto"/>
          </w:divBdr>
        </w:div>
        <w:div w:id="765689321">
          <w:marLeft w:val="0"/>
          <w:marRight w:val="0"/>
          <w:marTop w:val="0"/>
          <w:marBottom w:val="0"/>
          <w:divBdr>
            <w:top w:val="none" w:sz="0" w:space="0" w:color="auto"/>
            <w:left w:val="none" w:sz="0" w:space="0" w:color="auto"/>
            <w:bottom w:val="none" w:sz="0" w:space="0" w:color="auto"/>
            <w:right w:val="none" w:sz="0" w:space="0" w:color="auto"/>
          </w:divBdr>
        </w:div>
        <w:div w:id="2030639910">
          <w:marLeft w:val="0"/>
          <w:marRight w:val="0"/>
          <w:marTop w:val="0"/>
          <w:marBottom w:val="0"/>
          <w:divBdr>
            <w:top w:val="none" w:sz="0" w:space="0" w:color="auto"/>
            <w:left w:val="none" w:sz="0" w:space="0" w:color="auto"/>
            <w:bottom w:val="none" w:sz="0" w:space="0" w:color="auto"/>
            <w:right w:val="none" w:sz="0" w:space="0" w:color="auto"/>
          </w:divBdr>
        </w:div>
        <w:div w:id="249629527">
          <w:marLeft w:val="0"/>
          <w:marRight w:val="0"/>
          <w:marTop w:val="0"/>
          <w:marBottom w:val="0"/>
          <w:divBdr>
            <w:top w:val="none" w:sz="0" w:space="0" w:color="auto"/>
            <w:left w:val="none" w:sz="0" w:space="0" w:color="auto"/>
            <w:bottom w:val="none" w:sz="0" w:space="0" w:color="auto"/>
            <w:right w:val="none" w:sz="0" w:space="0" w:color="auto"/>
          </w:divBdr>
        </w:div>
        <w:div w:id="479007636">
          <w:marLeft w:val="0"/>
          <w:marRight w:val="0"/>
          <w:marTop w:val="0"/>
          <w:marBottom w:val="0"/>
          <w:divBdr>
            <w:top w:val="none" w:sz="0" w:space="0" w:color="auto"/>
            <w:left w:val="none" w:sz="0" w:space="0" w:color="auto"/>
            <w:bottom w:val="none" w:sz="0" w:space="0" w:color="auto"/>
            <w:right w:val="none" w:sz="0" w:space="0" w:color="auto"/>
          </w:divBdr>
        </w:div>
        <w:div w:id="802232099">
          <w:marLeft w:val="0"/>
          <w:marRight w:val="0"/>
          <w:marTop w:val="0"/>
          <w:marBottom w:val="0"/>
          <w:divBdr>
            <w:top w:val="none" w:sz="0" w:space="0" w:color="auto"/>
            <w:left w:val="none" w:sz="0" w:space="0" w:color="auto"/>
            <w:bottom w:val="none" w:sz="0" w:space="0" w:color="auto"/>
            <w:right w:val="none" w:sz="0" w:space="0" w:color="auto"/>
          </w:divBdr>
        </w:div>
        <w:div w:id="930820700">
          <w:marLeft w:val="0"/>
          <w:marRight w:val="0"/>
          <w:marTop w:val="0"/>
          <w:marBottom w:val="0"/>
          <w:divBdr>
            <w:top w:val="none" w:sz="0" w:space="0" w:color="auto"/>
            <w:left w:val="none" w:sz="0" w:space="0" w:color="auto"/>
            <w:bottom w:val="none" w:sz="0" w:space="0" w:color="auto"/>
            <w:right w:val="none" w:sz="0" w:space="0" w:color="auto"/>
          </w:divBdr>
        </w:div>
        <w:div w:id="399445050">
          <w:marLeft w:val="0"/>
          <w:marRight w:val="0"/>
          <w:marTop w:val="0"/>
          <w:marBottom w:val="0"/>
          <w:divBdr>
            <w:top w:val="none" w:sz="0" w:space="0" w:color="auto"/>
            <w:left w:val="none" w:sz="0" w:space="0" w:color="auto"/>
            <w:bottom w:val="none" w:sz="0" w:space="0" w:color="auto"/>
            <w:right w:val="none" w:sz="0" w:space="0" w:color="auto"/>
          </w:divBdr>
        </w:div>
        <w:div w:id="493106505">
          <w:marLeft w:val="0"/>
          <w:marRight w:val="0"/>
          <w:marTop w:val="0"/>
          <w:marBottom w:val="0"/>
          <w:divBdr>
            <w:top w:val="none" w:sz="0" w:space="0" w:color="auto"/>
            <w:left w:val="none" w:sz="0" w:space="0" w:color="auto"/>
            <w:bottom w:val="none" w:sz="0" w:space="0" w:color="auto"/>
            <w:right w:val="none" w:sz="0" w:space="0" w:color="auto"/>
          </w:divBdr>
        </w:div>
        <w:div w:id="1111779639">
          <w:marLeft w:val="0"/>
          <w:marRight w:val="0"/>
          <w:marTop w:val="0"/>
          <w:marBottom w:val="0"/>
          <w:divBdr>
            <w:top w:val="none" w:sz="0" w:space="0" w:color="auto"/>
            <w:left w:val="none" w:sz="0" w:space="0" w:color="auto"/>
            <w:bottom w:val="none" w:sz="0" w:space="0" w:color="auto"/>
            <w:right w:val="none" w:sz="0" w:space="0" w:color="auto"/>
          </w:divBdr>
        </w:div>
        <w:div w:id="412974789">
          <w:marLeft w:val="0"/>
          <w:marRight w:val="0"/>
          <w:marTop w:val="0"/>
          <w:marBottom w:val="0"/>
          <w:divBdr>
            <w:top w:val="none" w:sz="0" w:space="0" w:color="auto"/>
            <w:left w:val="none" w:sz="0" w:space="0" w:color="auto"/>
            <w:bottom w:val="none" w:sz="0" w:space="0" w:color="auto"/>
            <w:right w:val="none" w:sz="0" w:space="0" w:color="auto"/>
          </w:divBdr>
        </w:div>
        <w:div w:id="98181438">
          <w:marLeft w:val="0"/>
          <w:marRight w:val="0"/>
          <w:marTop w:val="0"/>
          <w:marBottom w:val="0"/>
          <w:divBdr>
            <w:top w:val="none" w:sz="0" w:space="0" w:color="auto"/>
            <w:left w:val="none" w:sz="0" w:space="0" w:color="auto"/>
            <w:bottom w:val="none" w:sz="0" w:space="0" w:color="auto"/>
            <w:right w:val="none" w:sz="0" w:space="0" w:color="auto"/>
          </w:divBdr>
        </w:div>
        <w:div w:id="1721244377">
          <w:marLeft w:val="0"/>
          <w:marRight w:val="0"/>
          <w:marTop w:val="0"/>
          <w:marBottom w:val="0"/>
          <w:divBdr>
            <w:top w:val="none" w:sz="0" w:space="0" w:color="auto"/>
            <w:left w:val="none" w:sz="0" w:space="0" w:color="auto"/>
            <w:bottom w:val="none" w:sz="0" w:space="0" w:color="auto"/>
            <w:right w:val="none" w:sz="0" w:space="0" w:color="auto"/>
          </w:divBdr>
        </w:div>
        <w:div w:id="153960739">
          <w:marLeft w:val="0"/>
          <w:marRight w:val="0"/>
          <w:marTop w:val="0"/>
          <w:marBottom w:val="0"/>
          <w:divBdr>
            <w:top w:val="none" w:sz="0" w:space="0" w:color="auto"/>
            <w:left w:val="none" w:sz="0" w:space="0" w:color="auto"/>
            <w:bottom w:val="none" w:sz="0" w:space="0" w:color="auto"/>
            <w:right w:val="none" w:sz="0" w:space="0" w:color="auto"/>
          </w:divBdr>
        </w:div>
        <w:div w:id="2100976956">
          <w:marLeft w:val="0"/>
          <w:marRight w:val="0"/>
          <w:marTop w:val="0"/>
          <w:marBottom w:val="0"/>
          <w:divBdr>
            <w:top w:val="none" w:sz="0" w:space="0" w:color="auto"/>
            <w:left w:val="none" w:sz="0" w:space="0" w:color="auto"/>
            <w:bottom w:val="none" w:sz="0" w:space="0" w:color="auto"/>
            <w:right w:val="none" w:sz="0" w:space="0" w:color="auto"/>
          </w:divBdr>
        </w:div>
        <w:div w:id="2051412363">
          <w:marLeft w:val="0"/>
          <w:marRight w:val="0"/>
          <w:marTop w:val="0"/>
          <w:marBottom w:val="0"/>
          <w:divBdr>
            <w:top w:val="none" w:sz="0" w:space="0" w:color="auto"/>
            <w:left w:val="none" w:sz="0" w:space="0" w:color="auto"/>
            <w:bottom w:val="none" w:sz="0" w:space="0" w:color="auto"/>
            <w:right w:val="none" w:sz="0" w:space="0" w:color="auto"/>
          </w:divBdr>
        </w:div>
        <w:div w:id="129325036">
          <w:marLeft w:val="0"/>
          <w:marRight w:val="0"/>
          <w:marTop w:val="0"/>
          <w:marBottom w:val="0"/>
          <w:divBdr>
            <w:top w:val="none" w:sz="0" w:space="0" w:color="auto"/>
            <w:left w:val="none" w:sz="0" w:space="0" w:color="auto"/>
            <w:bottom w:val="none" w:sz="0" w:space="0" w:color="auto"/>
            <w:right w:val="none" w:sz="0" w:space="0" w:color="auto"/>
          </w:divBdr>
        </w:div>
        <w:div w:id="320819600">
          <w:marLeft w:val="0"/>
          <w:marRight w:val="0"/>
          <w:marTop w:val="0"/>
          <w:marBottom w:val="0"/>
          <w:divBdr>
            <w:top w:val="none" w:sz="0" w:space="0" w:color="auto"/>
            <w:left w:val="none" w:sz="0" w:space="0" w:color="auto"/>
            <w:bottom w:val="none" w:sz="0" w:space="0" w:color="auto"/>
            <w:right w:val="none" w:sz="0" w:space="0" w:color="auto"/>
          </w:divBdr>
        </w:div>
        <w:div w:id="399406242">
          <w:marLeft w:val="0"/>
          <w:marRight w:val="0"/>
          <w:marTop w:val="0"/>
          <w:marBottom w:val="0"/>
          <w:divBdr>
            <w:top w:val="none" w:sz="0" w:space="0" w:color="auto"/>
            <w:left w:val="none" w:sz="0" w:space="0" w:color="auto"/>
            <w:bottom w:val="none" w:sz="0" w:space="0" w:color="auto"/>
            <w:right w:val="none" w:sz="0" w:space="0" w:color="auto"/>
          </w:divBdr>
        </w:div>
        <w:div w:id="48234923">
          <w:marLeft w:val="0"/>
          <w:marRight w:val="0"/>
          <w:marTop w:val="0"/>
          <w:marBottom w:val="0"/>
          <w:divBdr>
            <w:top w:val="none" w:sz="0" w:space="0" w:color="auto"/>
            <w:left w:val="none" w:sz="0" w:space="0" w:color="auto"/>
            <w:bottom w:val="none" w:sz="0" w:space="0" w:color="auto"/>
            <w:right w:val="none" w:sz="0" w:space="0" w:color="auto"/>
          </w:divBdr>
        </w:div>
        <w:div w:id="2092119015">
          <w:marLeft w:val="0"/>
          <w:marRight w:val="0"/>
          <w:marTop w:val="0"/>
          <w:marBottom w:val="0"/>
          <w:divBdr>
            <w:top w:val="none" w:sz="0" w:space="0" w:color="auto"/>
            <w:left w:val="none" w:sz="0" w:space="0" w:color="auto"/>
            <w:bottom w:val="none" w:sz="0" w:space="0" w:color="auto"/>
            <w:right w:val="none" w:sz="0" w:space="0" w:color="auto"/>
          </w:divBdr>
        </w:div>
        <w:div w:id="1331368985">
          <w:marLeft w:val="0"/>
          <w:marRight w:val="0"/>
          <w:marTop w:val="0"/>
          <w:marBottom w:val="0"/>
          <w:divBdr>
            <w:top w:val="none" w:sz="0" w:space="0" w:color="auto"/>
            <w:left w:val="none" w:sz="0" w:space="0" w:color="auto"/>
            <w:bottom w:val="none" w:sz="0" w:space="0" w:color="auto"/>
            <w:right w:val="none" w:sz="0" w:space="0" w:color="auto"/>
          </w:divBdr>
        </w:div>
        <w:div w:id="243760474">
          <w:marLeft w:val="0"/>
          <w:marRight w:val="0"/>
          <w:marTop w:val="0"/>
          <w:marBottom w:val="0"/>
          <w:divBdr>
            <w:top w:val="none" w:sz="0" w:space="0" w:color="auto"/>
            <w:left w:val="none" w:sz="0" w:space="0" w:color="auto"/>
            <w:bottom w:val="none" w:sz="0" w:space="0" w:color="auto"/>
            <w:right w:val="none" w:sz="0" w:space="0" w:color="auto"/>
          </w:divBdr>
        </w:div>
        <w:div w:id="133331933">
          <w:marLeft w:val="0"/>
          <w:marRight w:val="0"/>
          <w:marTop w:val="0"/>
          <w:marBottom w:val="0"/>
          <w:divBdr>
            <w:top w:val="none" w:sz="0" w:space="0" w:color="auto"/>
            <w:left w:val="none" w:sz="0" w:space="0" w:color="auto"/>
            <w:bottom w:val="none" w:sz="0" w:space="0" w:color="auto"/>
            <w:right w:val="none" w:sz="0" w:space="0" w:color="auto"/>
          </w:divBdr>
        </w:div>
        <w:div w:id="2103408253">
          <w:marLeft w:val="0"/>
          <w:marRight w:val="0"/>
          <w:marTop w:val="0"/>
          <w:marBottom w:val="0"/>
          <w:divBdr>
            <w:top w:val="none" w:sz="0" w:space="0" w:color="auto"/>
            <w:left w:val="none" w:sz="0" w:space="0" w:color="auto"/>
            <w:bottom w:val="none" w:sz="0" w:space="0" w:color="auto"/>
            <w:right w:val="none" w:sz="0" w:space="0" w:color="auto"/>
          </w:divBdr>
        </w:div>
        <w:div w:id="1251354517">
          <w:marLeft w:val="0"/>
          <w:marRight w:val="0"/>
          <w:marTop w:val="0"/>
          <w:marBottom w:val="0"/>
          <w:divBdr>
            <w:top w:val="none" w:sz="0" w:space="0" w:color="auto"/>
            <w:left w:val="none" w:sz="0" w:space="0" w:color="auto"/>
            <w:bottom w:val="none" w:sz="0" w:space="0" w:color="auto"/>
            <w:right w:val="none" w:sz="0" w:space="0" w:color="auto"/>
          </w:divBdr>
        </w:div>
        <w:div w:id="384138312">
          <w:marLeft w:val="0"/>
          <w:marRight w:val="0"/>
          <w:marTop w:val="0"/>
          <w:marBottom w:val="0"/>
          <w:divBdr>
            <w:top w:val="none" w:sz="0" w:space="0" w:color="auto"/>
            <w:left w:val="none" w:sz="0" w:space="0" w:color="auto"/>
            <w:bottom w:val="none" w:sz="0" w:space="0" w:color="auto"/>
            <w:right w:val="none" w:sz="0" w:space="0" w:color="auto"/>
          </w:divBdr>
        </w:div>
        <w:div w:id="1891727817">
          <w:marLeft w:val="0"/>
          <w:marRight w:val="0"/>
          <w:marTop w:val="0"/>
          <w:marBottom w:val="0"/>
          <w:divBdr>
            <w:top w:val="none" w:sz="0" w:space="0" w:color="auto"/>
            <w:left w:val="none" w:sz="0" w:space="0" w:color="auto"/>
            <w:bottom w:val="none" w:sz="0" w:space="0" w:color="auto"/>
            <w:right w:val="none" w:sz="0" w:space="0" w:color="auto"/>
          </w:divBdr>
        </w:div>
        <w:div w:id="922224119">
          <w:marLeft w:val="0"/>
          <w:marRight w:val="0"/>
          <w:marTop w:val="0"/>
          <w:marBottom w:val="0"/>
          <w:divBdr>
            <w:top w:val="none" w:sz="0" w:space="0" w:color="auto"/>
            <w:left w:val="none" w:sz="0" w:space="0" w:color="auto"/>
            <w:bottom w:val="none" w:sz="0" w:space="0" w:color="auto"/>
            <w:right w:val="none" w:sz="0" w:space="0" w:color="auto"/>
          </w:divBdr>
        </w:div>
        <w:div w:id="1285889517">
          <w:marLeft w:val="0"/>
          <w:marRight w:val="0"/>
          <w:marTop w:val="0"/>
          <w:marBottom w:val="0"/>
          <w:divBdr>
            <w:top w:val="none" w:sz="0" w:space="0" w:color="auto"/>
            <w:left w:val="none" w:sz="0" w:space="0" w:color="auto"/>
            <w:bottom w:val="none" w:sz="0" w:space="0" w:color="auto"/>
            <w:right w:val="none" w:sz="0" w:space="0" w:color="auto"/>
          </w:divBdr>
        </w:div>
        <w:div w:id="701976979">
          <w:marLeft w:val="0"/>
          <w:marRight w:val="0"/>
          <w:marTop w:val="0"/>
          <w:marBottom w:val="0"/>
          <w:divBdr>
            <w:top w:val="none" w:sz="0" w:space="0" w:color="auto"/>
            <w:left w:val="none" w:sz="0" w:space="0" w:color="auto"/>
            <w:bottom w:val="none" w:sz="0" w:space="0" w:color="auto"/>
            <w:right w:val="none" w:sz="0" w:space="0" w:color="auto"/>
          </w:divBdr>
        </w:div>
        <w:div w:id="251742905">
          <w:marLeft w:val="0"/>
          <w:marRight w:val="0"/>
          <w:marTop w:val="0"/>
          <w:marBottom w:val="0"/>
          <w:divBdr>
            <w:top w:val="none" w:sz="0" w:space="0" w:color="auto"/>
            <w:left w:val="none" w:sz="0" w:space="0" w:color="auto"/>
            <w:bottom w:val="none" w:sz="0" w:space="0" w:color="auto"/>
            <w:right w:val="none" w:sz="0" w:space="0" w:color="auto"/>
          </w:divBdr>
        </w:div>
        <w:div w:id="732430641">
          <w:marLeft w:val="0"/>
          <w:marRight w:val="0"/>
          <w:marTop w:val="0"/>
          <w:marBottom w:val="0"/>
          <w:divBdr>
            <w:top w:val="none" w:sz="0" w:space="0" w:color="auto"/>
            <w:left w:val="none" w:sz="0" w:space="0" w:color="auto"/>
            <w:bottom w:val="none" w:sz="0" w:space="0" w:color="auto"/>
            <w:right w:val="none" w:sz="0" w:space="0" w:color="auto"/>
          </w:divBdr>
        </w:div>
        <w:div w:id="801967351">
          <w:marLeft w:val="0"/>
          <w:marRight w:val="0"/>
          <w:marTop w:val="0"/>
          <w:marBottom w:val="0"/>
          <w:divBdr>
            <w:top w:val="none" w:sz="0" w:space="0" w:color="auto"/>
            <w:left w:val="none" w:sz="0" w:space="0" w:color="auto"/>
            <w:bottom w:val="none" w:sz="0" w:space="0" w:color="auto"/>
            <w:right w:val="none" w:sz="0" w:space="0" w:color="auto"/>
          </w:divBdr>
        </w:div>
        <w:div w:id="1931086333">
          <w:marLeft w:val="0"/>
          <w:marRight w:val="0"/>
          <w:marTop w:val="0"/>
          <w:marBottom w:val="0"/>
          <w:divBdr>
            <w:top w:val="none" w:sz="0" w:space="0" w:color="auto"/>
            <w:left w:val="none" w:sz="0" w:space="0" w:color="auto"/>
            <w:bottom w:val="none" w:sz="0" w:space="0" w:color="auto"/>
            <w:right w:val="none" w:sz="0" w:space="0" w:color="auto"/>
          </w:divBdr>
        </w:div>
        <w:div w:id="671690379">
          <w:marLeft w:val="0"/>
          <w:marRight w:val="0"/>
          <w:marTop w:val="0"/>
          <w:marBottom w:val="0"/>
          <w:divBdr>
            <w:top w:val="none" w:sz="0" w:space="0" w:color="auto"/>
            <w:left w:val="none" w:sz="0" w:space="0" w:color="auto"/>
            <w:bottom w:val="none" w:sz="0" w:space="0" w:color="auto"/>
            <w:right w:val="none" w:sz="0" w:space="0" w:color="auto"/>
          </w:divBdr>
        </w:div>
        <w:div w:id="387073543">
          <w:marLeft w:val="0"/>
          <w:marRight w:val="0"/>
          <w:marTop w:val="0"/>
          <w:marBottom w:val="0"/>
          <w:divBdr>
            <w:top w:val="none" w:sz="0" w:space="0" w:color="auto"/>
            <w:left w:val="none" w:sz="0" w:space="0" w:color="auto"/>
            <w:bottom w:val="none" w:sz="0" w:space="0" w:color="auto"/>
            <w:right w:val="none" w:sz="0" w:space="0" w:color="auto"/>
          </w:divBdr>
        </w:div>
        <w:div w:id="90128443">
          <w:marLeft w:val="0"/>
          <w:marRight w:val="0"/>
          <w:marTop w:val="0"/>
          <w:marBottom w:val="0"/>
          <w:divBdr>
            <w:top w:val="none" w:sz="0" w:space="0" w:color="auto"/>
            <w:left w:val="none" w:sz="0" w:space="0" w:color="auto"/>
            <w:bottom w:val="none" w:sz="0" w:space="0" w:color="auto"/>
            <w:right w:val="none" w:sz="0" w:space="0" w:color="auto"/>
          </w:divBdr>
        </w:div>
        <w:div w:id="915551948">
          <w:marLeft w:val="0"/>
          <w:marRight w:val="0"/>
          <w:marTop w:val="0"/>
          <w:marBottom w:val="0"/>
          <w:divBdr>
            <w:top w:val="none" w:sz="0" w:space="0" w:color="auto"/>
            <w:left w:val="none" w:sz="0" w:space="0" w:color="auto"/>
            <w:bottom w:val="none" w:sz="0" w:space="0" w:color="auto"/>
            <w:right w:val="none" w:sz="0" w:space="0" w:color="auto"/>
          </w:divBdr>
        </w:div>
        <w:div w:id="1376925622">
          <w:marLeft w:val="0"/>
          <w:marRight w:val="0"/>
          <w:marTop w:val="0"/>
          <w:marBottom w:val="0"/>
          <w:divBdr>
            <w:top w:val="none" w:sz="0" w:space="0" w:color="auto"/>
            <w:left w:val="none" w:sz="0" w:space="0" w:color="auto"/>
            <w:bottom w:val="none" w:sz="0" w:space="0" w:color="auto"/>
            <w:right w:val="none" w:sz="0" w:space="0" w:color="auto"/>
          </w:divBdr>
        </w:div>
        <w:div w:id="1470324725">
          <w:marLeft w:val="0"/>
          <w:marRight w:val="0"/>
          <w:marTop w:val="0"/>
          <w:marBottom w:val="0"/>
          <w:divBdr>
            <w:top w:val="none" w:sz="0" w:space="0" w:color="auto"/>
            <w:left w:val="none" w:sz="0" w:space="0" w:color="auto"/>
            <w:bottom w:val="none" w:sz="0" w:space="0" w:color="auto"/>
            <w:right w:val="none" w:sz="0" w:space="0" w:color="auto"/>
          </w:divBdr>
        </w:div>
        <w:div w:id="1289749637">
          <w:marLeft w:val="0"/>
          <w:marRight w:val="0"/>
          <w:marTop w:val="0"/>
          <w:marBottom w:val="0"/>
          <w:divBdr>
            <w:top w:val="none" w:sz="0" w:space="0" w:color="auto"/>
            <w:left w:val="none" w:sz="0" w:space="0" w:color="auto"/>
            <w:bottom w:val="none" w:sz="0" w:space="0" w:color="auto"/>
            <w:right w:val="none" w:sz="0" w:space="0" w:color="auto"/>
          </w:divBdr>
        </w:div>
        <w:div w:id="1873766039">
          <w:marLeft w:val="0"/>
          <w:marRight w:val="0"/>
          <w:marTop w:val="0"/>
          <w:marBottom w:val="0"/>
          <w:divBdr>
            <w:top w:val="none" w:sz="0" w:space="0" w:color="auto"/>
            <w:left w:val="none" w:sz="0" w:space="0" w:color="auto"/>
            <w:bottom w:val="none" w:sz="0" w:space="0" w:color="auto"/>
            <w:right w:val="none" w:sz="0" w:space="0" w:color="auto"/>
          </w:divBdr>
        </w:div>
        <w:div w:id="1363240406">
          <w:marLeft w:val="0"/>
          <w:marRight w:val="0"/>
          <w:marTop w:val="0"/>
          <w:marBottom w:val="0"/>
          <w:divBdr>
            <w:top w:val="none" w:sz="0" w:space="0" w:color="auto"/>
            <w:left w:val="none" w:sz="0" w:space="0" w:color="auto"/>
            <w:bottom w:val="none" w:sz="0" w:space="0" w:color="auto"/>
            <w:right w:val="none" w:sz="0" w:space="0" w:color="auto"/>
          </w:divBdr>
        </w:div>
        <w:div w:id="1939210590">
          <w:marLeft w:val="0"/>
          <w:marRight w:val="0"/>
          <w:marTop w:val="0"/>
          <w:marBottom w:val="0"/>
          <w:divBdr>
            <w:top w:val="none" w:sz="0" w:space="0" w:color="auto"/>
            <w:left w:val="none" w:sz="0" w:space="0" w:color="auto"/>
            <w:bottom w:val="none" w:sz="0" w:space="0" w:color="auto"/>
            <w:right w:val="none" w:sz="0" w:space="0" w:color="auto"/>
          </w:divBdr>
        </w:div>
        <w:div w:id="1985575346">
          <w:marLeft w:val="0"/>
          <w:marRight w:val="0"/>
          <w:marTop w:val="0"/>
          <w:marBottom w:val="0"/>
          <w:divBdr>
            <w:top w:val="none" w:sz="0" w:space="0" w:color="auto"/>
            <w:left w:val="none" w:sz="0" w:space="0" w:color="auto"/>
            <w:bottom w:val="none" w:sz="0" w:space="0" w:color="auto"/>
            <w:right w:val="none" w:sz="0" w:space="0" w:color="auto"/>
          </w:divBdr>
        </w:div>
        <w:div w:id="1106533991">
          <w:marLeft w:val="0"/>
          <w:marRight w:val="0"/>
          <w:marTop w:val="0"/>
          <w:marBottom w:val="0"/>
          <w:divBdr>
            <w:top w:val="none" w:sz="0" w:space="0" w:color="auto"/>
            <w:left w:val="none" w:sz="0" w:space="0" w:color="auto"/>
            <w:bottom w:val="none" w:sz="0" w:space="0" w:color="auto"/>
            <w:right w:val="none" w:sz="0" w:space="0" w:color="auto"/>
          </w:divBdr>
        </w:div>
        <w:div w:id="862476878">
          <w:marLeft w:val="0"/>
          <w:marRight w:val="0"/>
          <w:marTop w:val="0"/>
          <w:marBottom w:val="0"/>
          <w:divBdr>
            <w:top w:val="none" w:sz="0" w:space="0" w:color="auto"/>
            <w:left w:val="none" w:sz="0" w:space="0" w:color="auto"/>
            <w:bottom w:val="none" w:sz="0" w:space="0" w:color="auto"/>
            <w:right w:val="none" w:sz="0" w:space="0" w:color="auto"/>
          </w:divBdr>
        </w:div>
        <w:div w:id="109592391">
          <w:marLeft w:val="0"/>
          <w:marRight w:val="0"/>
          <w:marTop w:val="0"/>
          <w:marBottom w:val="0"/>
          <w:divBdr>
            <w:top w:val="none" w:sz="0" w:space="0" w:color="auto"/>
            <w:left w:val="none" w:sz="0" w:space="0" w:color="auto"/>
            <w:bottom w:val="none" w:sz="0" w:space="0" w:color="auto"/>
            <w:right w:val="none" w:sz="0" w:space="0" w:color="auto"/>
          </w:divBdr>
        </w:div>
        <w:div w:id="565266225">
          <w:marLeft w:val="0"/>
          <w:marRight w:val="0"/>
          <w:marTop w:val="0"/>
          <w:marBottom w:val="0"/>
          <w:divBdr>
            <w:top w:val="none" w:sz="0" w:space="0" w:color="auto"/>
            <w:left w:val="none" w:sz="0" w:space="0" w:color="auto"/>
            <w:bottom w:val="none" w:sz="0" w:space="0" w:color="auto"/>
            <w:right w:val="none" w:sz="0" w:space="0" w:color="auto"/>
          </w:divBdr>
        </w:div>
        <w:div w:id="853804528">
          <w:marLeft w:val="0"/>
          <w:marRight w:val="0"/>
          <w:marTop w:val="0"/>
          <w:marBottom w:val="0"/>
          <w:divBdr>
            <w:top w:val="none" w:sz="0" w:space="0" w:color="auto"/>
            <w:left w:val="none" w:sz="0" w:space="0" w:color="auto"/>
            <w:bottom w:val="none" w:sz="0" w:space="0" w:color="auto"/>
            <w:right w:val="none" w:sz="0" w:space="0" w:color="auto"/>
          </w:divBdr>
        </w:div>
        <w:div w:id="1110393554">
          <w:marLeft w:val="0"/>
          <w:marRight w:val="0"/>
          <w:marTop w:val="0"/>
          <w:marBottom w:val="0"/>
          <w:divBdr>
            <w:top w:val="none" w:sz="0" w:space="0" w:color="auto"/>
            <w:left w:val="none" w:sz="0" w:space="0" w:color="auto"/>
            <w:bottom w:val="none" w:sz="0" w:space="0" w:color="auto"/>
            <w:right w:val="none" w:sz="0" w:space="0" w:color="auto"/>
          </w:divBdr>
        </w:div>
      </w:divsChild>
    </w:div>
    <w:div w:id="2142914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2.xml"/><Relationship Id="rId117" Type="http://schemas.openxmlformats.org/officeDocument/2006/relationships/image" Target="media/image72.tiff"/><Relationship Id="rId21" Type="http://schemas.openxmlformats.org/officeDocument/2006/relationships/image" Target="media/image8.jpeg"/><Relationship Id="rId42" Type="http://schemas.openxmlformats.org/officeDocument/2006/relationships/header" Target="header5.xml"/><Relationship Id="rId47" Type="http://schemas.openxmlformats.org/officeDocument/2006/relationships/footer" Target="footer8.xml"/><Relationship Id="rId63" Type="http://schemas.openxmlformats.org/officeDocument/2006/relationships/image" Target="media/image25.png"/><Relationship Id="rId68" Type="http://schemas.openxmlformats.org/officeDocument/2006/relationships/image" Target="media/image30.png"/><Relationship Id="rId84" Type="http://schemas.openxmlformats.org/officeDocument/2006/relationships/image" Target="media/image40.png"/><Relationship Id="rId89" Type="http://schemas.openxmlformats.org/officeDocument/2006/relationships/image" Target="media/image45.png"/><Relationship Id="rId112" Type="http://schemas.openxmlformats.org/officeDocument/2006/relationships/image" Target="media/image67.tiff"/><Relationship Id="rId16" Type="http://schemas.openxmlformats.org/officeDocument/2006/relationships/image" Target="media/image4.jpeg"/><Relationship Id="rId107" Type="http://schemas.openxmlformats.org/officeDocument/2006/relationships/image" Target="media/image62.tiff"/><Relationship Id="rId11" Type="http://schemas.openxmlformats.org/officeDocument/2006/relationships/footnotes" Target="footnotes.xml"/><Relationship Id="rId32" Type="http://schemas.openxmlformats.org/officeDocument/2006/relationships/hyperlink" Target="http://www.rrrc.org.au/reefrescue/index.html" TargetMode="External"/><Relationship Id="rId37" Type="http://schemas.openxmlformats.org/officeDocument/2006/relationships/hyperlink" Target="http://www.gbrmpa.gov.au/outlook-for-the-reef/climate-change/marine-park-management/current-conditions-on-the-great-barrier-reef" TargetMode="External"/><Relationship Id="rId53" Type="http://schemas.openxmlformats.org/officeDocument/2006/relationships/image" Target="cid:6A38044F-D096-4ED1-9C06-F63916ECB53B" TargetMode="External"/><Relationship Id="rId58" Type="http://schemas.openxmlformats.org/officeDocument/2006/relationships/image" Target="media/image22.png"/><Relationship Id="rId74" Type="http://schemas.openxmlformats.org/officeDocument/2006/relationships/diagramLayout" Target="diagrams/layout1.xml"/><Relationship Id="rId79" Type="http://schemas.openxmlformats.org/officeDocument/2006/relationships/image" Target="media/image36.png"/><Relationship Id="rId102" Type="http://schemas.openxmlformats.org/officeDocument/2006/relationships/footer" Target="footer10.xml"/><Relationship Id="rId123" Type="http://schemas.openxmlformats.org/officeDocument/2006/relationships/image" Target="media/image77.png"/><Relationship Id="rId5" Type="http://schemas.openxmlformats.org/officeDocument/2006/relationships/customXml" Target="../customXml/item5.xml"/><Relationship Id="rId90" Type="http://schemas.openxmlformats.org/officeDocument/2006/relationships/image" Target="media/image46.png"/><Relationship Id="rId95" Type="http://schemas.openxmlformats.org/officeDocument/2006/relationships/image" Target="media/image51.png"/><Relationship Id="rId22" Type="http://schemas.openxmlformats.org/officeDocument/2006/relationships/image" Target="cid:image001.jpg@01CDF4CF.D1F144F0" TargetMode="External"/><Relationship Id="rId27" Type="http://schemas.openxmlformats.org/officeDocument/2006/relationships/footer" Target="footer3.xml"/><Relationship Id="rId43" Type="http://schemas.openxmlformats.org/officeDocument/2006/relationships/footer" Target="footer7.xml"/><Relationship Id="rId48" Type="http://schemas.openxmlformats.org/officeDocument/2006/relationships/image" Target="media/image14.png"/><Relationship Id="rId64" Type="http://schemas.openxmlformats.org/officeDocument/2006/relationships/image" Target="media/image26.png"/><Relationship Id="rId69" Type="http://schemas.openxmlformats.org/officeDocument/2006/relationships/image" Target="media/image31.png"/><Relationship Id="rId113" Type="http://schemas.openxmlformats.org/officeDocument/2006/relationships/image" Target="media/image68.tiff"/><Relationship Id="rId118" Type="http://schemas.openxmlformats.org/officeDocument/2006/relationships/image" Target="media/image73.png"/><Relationship Id="rId80" Type="http://schemas.openxmlformats.org/officeDocument/2006/relationships/hyperlink" Target="http://www.seagrasswatch.org/meg.html" TargetMode="External"/><Relationship Id="rId85" Type="http://schemas.openxmlformats.org/officeDocument/2006/relationships/image" Target="media/image41.png"/><Relationship Id="rId12" Type="http://schemas.openxmlformats.org/officeDocument/2006/relationships/endnotes" Target="endnotes.xml"/><Relationship Id="rId17" Type="http://schemas.openxmlformats.org/officeDocument/2006/relationships/image" Target="media/image5.jpeg"/><Relationship Id="rId33" Type="http://schemas.openxmlformats.org/officeDocument/2006/relationships/header" Target="header3.xml"/><Relationship Id="rId38" Type="http://schemas.openxmlformats.org/officeDocument/2006/relationships/image" Target="media/image11.png"/><Relationship Id="rId59" Type="http://schemas.openxmlformats.org/officeDocument/2006/relationships/hyperlink" Target="http://watermonitoring.dnrm.qld.gov.au/host.htm" TargetMode="External"/><Relationship Id="rId103" Type="http://schemas.openxmlformats.org/officeDocument/2006/relationships/image" Target="media/image58.tiff"/><Relationship Id="rId108" Type="http://schemas.openxmlformats.org/officeDocument/2006/relationships/image" Target="media/image63.tiff"/><Relationship Id="rId124" Type="http://schemas.openxmlformats.org/officeDocument/2006/relationships/footer" Target="footer11.xml"/><Relationship Id="rId54" Type="http://schemas.openxmlformats.org/officeDocument/2006/relationships/image" Target="media/image19.emf"/><Relationship Id="rId70" Type="http://schemas.openxmlformats.org/officeDocument/2006/relationships/image" Target="media/image32.jpeg"/><Relationship Id="rId75" Type="http://schemas.openxmlformats.org/officeDocument/2006/relationships/diagramQuickStyle" Target="diagrams/quickStyle1.xml"/><Relationship Id="rId91" Type="http://schemas.openxmlformats.org/officeDocument/2006/relationships/image" Target="media/image47.png"/><Relationship Id="rId96"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file:///C:\Users\jc111229\Dropbox\Shared%20MMP\6.%20PROJECT-REPORT-PAPER_in%20progress\MMP%202013%20report\Final%20report%20submitted%20to%20GBRMPA%20Nov2015\JCU_MMP_Flood%20monitoring%20report_2012_2013.docx" TargetMode="External"/><Relationship Id="rId28" Type="http://schemas.openxmlformats.org/officeDocument/2006/relationships/header" Target="header2.xml"/><Relationship Id="rId49" Type="http://schemas.openxmlformats.org/officeDocument/2006/relationships/image" Target="media/image15.png"/><Relationship Id="rId114" Type="http://schemas.openxmlformats.org/officeDocument/2006/relationships/image" Target="media/image69.tiff"/><Relationship Id="rId119" Type="http://schemas.openxmlformats.org/officeDocument/2006/relationships/hyperlink" Target="http://landweb.nascom.nasa.gov/browse/calendar.html" TargetMode="External"/><Relationship Id="rId44" Type="http://schemas.openxmlformats.org/officeDocument/2006/relationships/image" Target="media/image12.png"/><Relationship Id="rId60" Type="http://schemas.openxmlformats.org/officeDocument/2006/relationships/footer" Target="footer9.xml"/><Relationship Id="rId65" Type="http://schemas.openxmlformats.org/officeDocument/2006/relationships/image" Target="media/image27.png"/><Relationship Id="rId81" Type="http://schemas.openxmlformats.org/officeDocument/2006/relationships/image" Target="media/image37.png"/><Relationship Id="rId86" Type="http://schemas.openxmlformats.org/officeDocument/2006/relationships/image" Target="media/image42.png"/><Relationship Id="rId13" Type="http://schemas.openxmlformats.org/officeDocument/2006/relationships/image" Target="media/image1.jpeg"/><Relationship Id="rId18" Type="http://schemas.openxmlformats.org/officeDocument/2006/relationships/image" Target="media/image6.jpeg"/><Relationship Id="rId39" Type="http://schemas.openxmlformats.org/officeDocument/2006/relationships/hyperlink" Target="http://watermonitoring.dnrm.qld.gov.au/host.htm" TargetMode="External"/><Relationship Id="rId109" Type="http://schemas.openxmlformats.org/officeDocument/2006/relationships/image" Target="media/image64.tiff"/><Relationship Id="rId34" Type="http://schemas.openxmlformats.org/officeDocument/2006/relationships/footer" Target="footer5.xml"/><Relationship Id="rId50" Type="http://schemas.openxmlformats.org/officeDocument/2006/relationships/image" Target="media/image16.png"/><Relationship Id="rId55" Type="http://schemas.openxmlformats.org/officeDocument/2006/relationships/image" Target="media/image20.emf"/><Relationship Id="rId76" Type="http://schemas.openxmlformats.org/officeDocument/2006/relationships/diagramColors" Target="diagrams/colors1.xml"/><Relationship Id="rId97" Type="http://schemas.openxmlformats.org/officeDocument/2006/relationships/image" Target="media/image53.png"/><Relationship Id="rId104" Type="http://schemas.openxmlformats.org/officeDocument/2006/relationships/image" Target="media/image59.tiff"/><Relationship Id="rId120" Type="http://schemas.openxmlformats.org/officeDocument/2006/relationships/image" Target="media/image74.png"/><Relationship Id="rId125"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image" Target="media/image33.jpeg"/><Relationship Id="rId92" Type="http://schemas.openxmlformats.org/officeDocument/2006/relationships/image" Target="media/image48.png"/><Relationship Id="rId2" Type="http://schemas.openxmlformats.org/officeDocument/2006/relationships/customXml" Target="../customXml/item2.xml"/><Relationship Id="rId29" Type="http://schemas.openxmlformats.org/officeDocument/2006/relationships/footer" Target="footer4.xml"/><Relationship Id="rId24" Type="http://schemas.openxmlformats.org/officeDocument/2006/relationships/header" Target="header1.xml"/><Relationship Id="rId40" Type="http://schemas.openxmlformats.org/officeDocument/2006/relationships/header" Target="header4.xml"/><Relationship Id="rId45" Type="http://schemas.openxmlformats.org/officeDocument/2006/relationships/image" Target="media/image13.png"/><Relationship Id="rId66" Type="http://schemas.openxmlformats.org/officeDocument/2006/relationships/image" Target="media/image28.png"/><Relationship Id="rId87" Type="http://schemas.openxmlformats.org/officeDocument/2006/relationships/image" Target="media/image43.png"/><Relationship Id="rId110" Type="http://schemas.openxmlformats.org/officeDocument/2006/relationships/image" Target="media/image65.tiff"/><Relationship Id="rId115" Type="http://schemas.openxmlformats.org/officeDocument/2006/relationships/image" Target="media/image70.tiff"/><Relationship Id="rId61" Type="http://schemas.openxmlformats.org/officeDocument/2006/relationships/image" Target="media/image23.png"/><Relationship Id="rId82" Type="http://schemas.openxmlformats.org/officeDocument/2006/relationships/image" Target="media/image38.png"/><Relationship Id="rId19" Type="http://schemas.openxmlformats.org/officeDocument/2006/relationships/image" Target="media/image7.jpeg"/><Relationship Id="rId14" Type="http://schemas.openxmlformats.org/officeDocument/2006/relationships/image" Target="media/image2.jpeg"/><Relationship Id="rId30" Type="http://schemas.openxmlformats.org/officeDocument/2006/relationships/image" Target="media/image9.png"/><Relationship Id="rId35" Type="http://schemas.openxmlformats.org/officeDocument/2006/relationships/hyperlink" Target="http://www.bom.gov.au/climate/enso" TargetMode="External"/><Relationship Id="rId56" Type="http://schemas.openxmlformats.org/officeDocument/2006/relationships/hyperlink" Target="http://watermonitoring.dnrm.qld.gov.au/host.htm" TargetMode="External"/><Relationship Id="rId77" Type="http://schemas.microsoft.com/office/2007/relationships/diagramDrawing" Target="diagrams/drawing1.xml"/><Relationship Id="rId100" Type="http://schemas.openxmlformats.org/officeDocument/2006/relationships/image" Target="media/image56.png"/><Relationship Id="rId105" Type="http://schemas.openxmlformats.org/officeDocument/2006/relationships/image" Target="media/image60.tiff"/><Relationship Id="rId126"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image" Target="media/image17.png"/><Relationship Id="rId72" Type="http://schemas.openxmlformats.org/officeDocument/2006/relationships/image" Target="media/image34.jpeg"/><Relationship Id="rId93" Type="http://schemas.openxmlformats.org/officeDocument/2006/relationships/image" Target="media/image49.png"/><Relationship Id="rId98" Type="http://schemas.openxmlformats.org/officeDocument/2006/relationships/image" Target="media/image54.emf"/><Relationship Id="rId121" Type="http://schemas.openxmlformats.org/officeDocument/2006/relationships/image" Target="media/image75.png"/><Relationship Id="rId3" Type="http://schemas.openxmlformats.org/officeDocument/2006/relationships/customXml" Target="../customXml/item3.xml"/><Relationship Id="rId25" Type="http://schemas.openxmlformats.org/officeDocument/2006/relationships/footer" Target="footer1.xml"/><Relationship Id="rId46" Type="http://schemas.openxmlformats.org/officeDocument/2006/relationships/header" Target="header6.xml"/><Relationship Id="rId67" Type="http://schemas.openxmlformats.org/officeDocument/2006/relationships/image" Target="media/image29.png"/><Relationship Id="rId116" Type="http://schemas.openxmlformats.org/officeDocument/2006/relationships/image" Target="media/image71.tiff"/><Relationship Id="rId20" Type="http://schemas.openxmlformats.org/officeDocument/2006/relationships/image" Target="media/image5.png"/><Relationship Id="rId41" Type="http://schemas.openxmlformats.org/officeDocument/2006/relationships/footer" Target="footer6.xml"/><Relationship Id="rId62" Type="http://schemas.openxmlformats.org/officeDocument/2006/relationships/image" Target="media/image24.png"/><Relationship Id="rId83" Type="http://schemas.openxmlformats.org/officeDocument/2006/relationships/image" Target="media/image39.png"/><Relationship Id="rId88" Type="http://schemas.openxmlformats.org/officeDocument/2006/relationships/image" Target="media/image44.png"/><Relationship Id="rId111" Type="http://schemas.openxmlformats.org/officeDocument/2006/relationships/image" Target="media/image66.tiff"/><Relationship Id="rId15" Type="http://schemas.openxmlformats.org/officeDocument/2006/relationships/image" Target="media/image3.jpeg"/><Relationship Id="rId36" Type="http://schemas.openxmlformats.org/officeDocument/2006/relationships/hyperlink" Target="http://www.gbrmpa.gov.au/outlook-for-the-reef/climate-change/marine-park-management/current-conditions-on-the-great-barrier-reef" TargetMode="External"/><Relationship Id="rId57" Type="http://schemas.openxmlformats.org/officeDocument/2006/relationships/image" Target="media/image21.png"/><Relationship Id="rId106" Type="http://schemas.openxmlformats.org/officeDocument/2006/relationships/image" Target="media/image61.tiff"/><Relationship Id="rId10" Type="http://schemas.openxmlformats.org/officeDocument/2006/relationships/webSettings" Target="webSettings.xml"/><Relationship Id="rId31" Type="http://schemas.openxmlformats.org/officeDocument/2006/relationships/image" Target="media/image10.png"/><Relationship Id="rId52" Type="http://schemas.openxmlformats.org/officeDocument/2006/relationships/image" Target="media/image18.jpeg"/><Relationship Id="rId73" Type="http://schemas.openxmlformats.org/officeDocument/2006/relationships/diagramData" Target="diagrams/data1.xml"/><Relationship Id="rId78" Type="http://schemas.openxmlformats.org/officeDocument/2006/relationships/image" Target="media/image35.png"/><Relationship Id="rId94" Type="http://schemas.openxmlformats.org/officeDocument/2006/relationships/image" Target="media/image50.png"/><Relationship Id="rId99" Type="http://schemas.openxmlformats.org/officeDocument/2006/relationships/image" Target="media/image55.png"/><Relationship Id="rId101" Type="http://schemas.openxmlformats.org/officeDocument/2006/relationships/image" Target="media/image57.png"/><Relationship Id="rId122" Type="http://schemas.openxmlformats.org/officeDocument/2006/relationships/image" Target="media/image76.png"/><Relationship Id="rId4" Type="http://schemas.openxmlformats.org/officeDocument/2006/relationships/customXml" Target="../customXml/item4.xml"/><Relationship Id="rId9" Type="http://schemas.openxmlformats.org/officeDocument/2006/relationships/settings" Target="settings.xml"/></Relationships>
</file>

<file path=word/diagrams/colors1.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54DD05-7E2E-4DF6-914E-3DE95DFE4A8D}" type="doc">
      <dgm:prSet loTypeId="urn:microsoft.com/office/officeart/2005/8/layout/radial6" loCatId="cycle" qsTypeId="urn:microsoft.com/office/officeart/2005/8/quickstyle/simple1" qsCatId="simple" csTypeId="urn:microsoft.com/office/officeart/2005/8/colors/accent5_1" csCatId="accent5" phldr="1"/>
      <dgm:spPr/>
      <dgm:t>
        <a:bodyPr/>
        <a:lstStyle/>
        <a:p>
          <a:endParaRPr lang="en-AU"/>
        </a:p>
      </dgm:t>
    </dgm:pt>
    <dgm:pt modelId="{5612881F-094D-4080-A50D-6522E768D788}">
      <dgm:prSet phldrT="[Text]" custT="1"/>
      <dgm:spPr/>
      <dgm:t>
        <a:bodyPr/>
        <a:lstStyle/>
        <a:p>
          <a:pPr algn="ctr"/>
          <a:r>
            <a:rPr lang="en-AU" sz="1100" b="1" dirty="0" smtClean="0"/>
            <a:t>Level of exposure of the coral reefs and seagrass meadows to river plumes and land-sourced contaminants </a:t>
          </a:r>
          <a:endParaRPr lang="en-AU" sz="1100" b="1" dirty="0"/>
        </a:p>
      </dgm:t>
    </dgm:pt>
    <dgm:pt modelId="{098542D2-1EC9-431E-BE5C-9C88F799D2C2}" type="parTrans" cxnId="{93E8BA83-0C05-495C-80EF-2B13369ACE58}">
      <dgm:prSet/>
      <dgm:spPr/>
      <dgm:t>
        <a:bodyPr/>
        <a:lstStyle/>
        <a:p>
          <a:pPr algn="ctr"/>
          <a:endParaRPr lang="en-AU" b="0"/>
        </a:p>
      </dgm:t>
    </dgm:pt>
    <dgm:pt modelId="{97FC8D31-593C-47AD-A942-C9B9BDD63497}" type="sibTrans" cxnId="{93E8BA83-0C05-495C-80EF-2B13369ACE58}">
      <dgm:prSet/>
      <dgm:spPr/>
      <dgm:t>
        <a:bodyPr/>
        <a:lstStyle/>
        <a:p>
          <a:pPr algn="ctr"/>
          <a:endParaRPr lang="en-AU" b="0"/>
        </a:p>
      </dgm:t>
    </dgm:pt>
    <dgm:pt modelId="{91616EF0-21B5-417D-A865-A5CB3487E503}">
      <dgm:prSet phldrT="[Text]" custT="1"/>
      <dgm:spPr/>
      <dgm:t>
        <a:bodyPr/>
        <a:lstStyle/>
        <a:p>
          <a:pPr algn="ctr"/>
          <a:r>
            <a:rPr lang="en-AU" sz="1100" b="0" dirty="0" smtClean="0"/>
            <a:t> River plume (full extent) maps</a:t>
          </a:r>
          <a:endParaRPr lang="en-AU" sz="1100" b="0" dirty="0"/>
        </a:p>
      </dgm:t>
    </dgm:pt>
    <dgm:pt modelId="{5267EEE2-CEDE-4F75-9378-491BE0337A9A}" type="parTrans" cxnId="{9323B194-F361-4042-98D8-C5907E226406}">
      <dgm:prSet/>
      <dgm:spPr/>
      <dgm:t>
        <a:bodyPr/>
        <a:lstStyle/>
        <a:p>
          <a:pPr algn="ctr"/>
          <a:endParaRPr lang="en-AU" b="0"/>
        </a:p>
      </dgm:t>
    </dgm:pt>
    <dgm:pt modelId="{4BCF7CE7-B381-4863-B558-00A945CA1E33}" type="sibTrans" cxnId="{9323B194-F361-4042-98D8-C5907E226406}">
      <dgm:prSet/>
      <dgm:spPr/>
      <dgm:t>
        <a:bodyPr/>
        <a:lstStyle/>
        <a:p>
          <a:pPr algn="ctr"/>
          <a:endParaRPr lang="en-AU" b="0"/>
        </a:p>
      </dgm:t>
    </dgm:pt>
    <dgm:pt modelId="{F71EC748-C089-4DBC-BB3E-6C5164031D17}">
      <dgm:prSet phldrT="[Text]" custT="1"/>
      <dgm:spPr/>
      <dgm:t>
        <a:bodyPr/>
        <a:lstStyle/>
        <a:p>
          <a:pPr algn="ctr"/>
          <a:r>
            <a:rPr lang="en-AU" sz="1100" b="0" dirty="0" smtClean="0"/>
            <a:t>Plume water type maps </a:t>
          </a:r>
          <a:endParaRPr lang="en-AU" sz="1100" b="0" dirty="0"/>
        </a:p>
      </dgm:t>
    </dgm:pt>
    <dgm:pt modelId="{E1F3CD11-F5F4-4249-8A37-05CB7C4ADEF2}" type="parTrans" cxnId="{C1EBFBB0-123A-4067-8150-AF70AD827953}">
      <dgm:prSet/>
      <dgm:spPr/>
      <dgm:t>
        <a:bodyPr/>
        <a:lstStyle/>
        <a:p>
          <a:pPr algn="ctr"/>
          <a:endParaRPr lang="en-AU" b="0"/>
        </a:p>
      </dgm:t>
    </dgm:pt>
    <dgm:pt modelId="{6A6649EB-154B-404A-B77A-1060BE4EADC7}" type="sibTrans" cxnId="{C1EBFBB0-123A-4067-8150-AF70AD827953}">
      <dgm:prSet/>
      <dgm:spPr/>
      <dgm:t>
        <a:bodyPr/>
        <a:lstStyle/>
        <a:p>
          <a:pPr algn="ctr"/>
          <a:endParaRPr lang="en-AU" b="0"/>
        </a:p>
      </dgm:t>
    </dgm:pt>
    <dgm:pt modelId="{CE243A6B-38D7-4C42-8BCF-485302FA3C85}">
      <dgm:prSet phldrT="[Text]" custT="1"/>
      <dgm:spPr/>
      <dgm:t>
        <a:bodyPr/>
        <a:lstStyle/>
        <a:p>
          <a:pPr algn="ctr"/>
          <a:r>
            <a:rPr lang="en-AU" sz="1100" b="0" dirty="0" smtClean="0"/>
            <a:t>Load maps of land-sourced pollutants</a:t>
          </a:r>
          <a:endParaRPr lang="en-AU" sz="1100" b="0" dirty="0"/>
        </a:p>
      </dgm:t>
    </dgm:pt>
    <dgm:pt modelId="{827DC248-62A4-4A4F-9C57-F63E1F37B217}" type="parTrans" cxnId="{4DA985A8-30E8-4BC3-87EA-CF5575596DAB}">
      <dgm:prSet/>
      <dgm:spPr/>
      <dgm:t>
        <a:bodyPr/>
        <a:lstStyle/>
        <a:p>
          <a:pPr algn="ctr"/>
          <a:endParaRPr lang="en-AU" b="0"/>
        </a:p>
      </dgm:t>
    </dgm:pt>
    <dgm:pt modelId="{0C1C74EB-0C11-4D45-B15D-BF4EDF68613F}" type="sibTrans" cxnId="{4DA985A8-30E8-4BC3-87EA-CF5575596DAB}">
      <dgm:prSet/>
      <dgm:spPr/>
      <dgm:t>
        <a:bodyPr/>
        <a:lstStyle/>
        <a:p>
          <a:pPr algn="ctr"/>
          <a:endParaRPr lang="en-AU" b="0"/>
        </a:p>
      </dgm:t>
    </dgm:pt>
    <dgm:pt modelId="{66146CA9-0F1F-4031-8E5F-280CF6D007D8}">
      <dgm:prSet phldrT="[Text]" custT="1"/>
      <dgm:spPr/>
      <dgm:t>
        <a:bodyPr/>
        <a:lstStyle/>
        <a:p>
          <a:pPr algn="ctr"/>
          <a:r>
            <a:rPr lang="en-US" sz="1100" b="0" dirty="0" smtClean="0"/>
            <a:t>Exposure (risk) maps</a:t>
          </a:r>
          <a:endParaRPr lang="en-AU" sz="1100" b="0" dirty="0"/>
        </a:p>
      </dgm:t>
    </dgm:pt>
    <dgm:pt modelId="{5073B20B-5FFD-4B29-9BD2-56B7BADE4EB9}" type="parTrans" cxnId="{9C9871AA-B40C-4211-ABE0-426ABBE84A88}">
      <dgm:prSet/>
      <dgm:spPr/>
      <dgm:t>
        <a:bodyPr/>
        <a:lstStyle/>
        <a:p>
          <a:pPr algn="ctr"/>
          <a:endParaRPr lang="en-AU" b="0"/>
        </a:p>
      </dgm:t>
    </dgm:pt>
    <dgm:pt modelId="{53305C10-ABD4-4730-A8A8-7265838B264C}" type="sibTrans" cxnId="{9C9871AA-B40C-4211-ABE0-426ABBE84A88}">
      <dgm:prSet/>
      <dgm:spPr/>
      <dgm:t>
        <a:bodyPr/>
        <a:lstStyle/>
        <a:p>
          <a:pPr algn="ctr"/>
          <a:endParaRPr lang="en-AU" b="0"/>
        </a:p>
      </dgm:t>
    </dgm:pt>
    <dgm:pt modelId="{006DB1CB-F37B-4438-A349-698E54A60C3C}" type="pres">
      <dgm:prSet presAssocID="{D954DD05-7E2E-4DF6-914E-3DE95DFE4A8D}" presName="Name0" presStyleCnt="0">
        <dgm:presLayoutVars>
          <dgm:chMax val="1"/>
          <dgm:dir/>
          <dgm:animLvl val="ctr"/>
          <dgm:resizeHandles val="exact"/>
        </dgm:presLayoutVars>
      </dgm:prSet>
      <dgm:spPr/>
      <dgm:t>
        <a:bodyPr/>
        <a:lstStyle/>
        <a:p>
          <a:endParaRPr lang="en-AU"/>
        </a:p>
      </dgm:t>
    </dgm:pt>
    <dgm:pt modelId="{914D7F14-EC3A-403E-A99C-EBDE7DB7F13F}" type="pres">
      <dgm:prSet presAssocID="{5612881F-094D-4080-A50D-6522E768D788}" presName="centerShape" presStyleLbl="node0" presStyleIdx="0" presStyleCnt="1"/>
      <dgm:spPr/>
      <dgm:t>
        <a:bodyPr/>
        <a:lstStyle/>
        <a:p>
          <a:endParaRPr lang="en-AU"/>
        </a:p>
      </dgm:t>
    </dgm:pt>
    <dgm:pt modelId="{C2DC0504-6495-42E2-B702-8C99FB6D7056}" type="pres">
      <dgm:prSet presAssocID="{91616EF0-21B5-417D-A865-A5CB3487E503}" presName="node" presStyleLbl="node1" presStyleIdx="0" presStyleCnt="4" custRadScaleRad="97412">
        <dgm:presLayoutVars>
          <dgm:bulletEnabled val="1"/>
        </dgm:presLayoutVars>
      </dgm:prSet>
      <dgm:spPr/>
      <dgm:t>
        <a:bodyPr/>
        <a:lstStyle/>
        <a:p>
          <a:endParaRPr lang="en-AU"/>
        </a:p>
      </dgm:t>
    </dgm:pt>
    <dgm:pt modelId="{68756E64-05D3-46FF-8FEB-1FE5B7CE7DE2}" type="pres">
      <dgm:prSet presAssocID="{91616EF0-21B5-417D-A865-A5CB3487E503}" presName="dummy" presStyleCnt="0"/>
      <dgm:spPr/>
    </dgm:pt>
    <dgm:pt modelId="{E11BEE20-BE86-49DB-8CF5-BA1406BF352D}" type="pres">
      <dgm:prSet presAssocID="{4BCF7CE7-B381-4863-B558-00A945CA1E33}" presName="sibTrans" presStyleLbl="sibTrans2D1" presStyleIdx="0" presStyleCnt="4"/>
      <dgm:spPr/>
      <dgm:t>
        <a:bodyPr/>
        <a:lstStyle/>
        <a:p>
          <a:endParaRPr lang="en-AU"/>
        </a:p>
      </dgm:t>
    </dgm:pt>
    <dgm:pt modelId="{052038BA-80F6-4B98-8EA2-1A7C51783A7C}" type="pres">
      <dgm:prSet presAssocID="{F71EC748-C089-4DBC-BB3E-6C5164031D17}" presName="node" presStyleLbl="node1" presStyleIdx="1" presStyleCnt="4">
        <dgm:presLayoutVars>
          <dgm:bulletEnabled val="1"/>
        </dgm:presLayoutVars>
      </dgm:prSet>
      <dgm:spPr/>
      <dgm:t>
        <a:bodyPr/>
        <a:lstStyle/>
        <a:p>
          <a:endParaRPr lang="en-AU"/>
        </a:p>
      </dgm:t>
    </dgm:pt>
    <dgm:pt modelId="{4365F853-25EF-48A6-A187-047C96DDE39C}" type="pres">
      <dgm:prSet presAssocID="{F71EC748-C089-4DBC-BB3E-6C5164031D17}" presName="dummy" presStyleCnt="0"/>
      <dgm:spPr/>
    </dgm:pt>
    <dgm:pt modelId="{F8461229-67AC-4C9E-AE21-78A4032B5134}" type="pres">
      <dgm:prSet presAssocID="{6A6649EB-154B-404A-B77A-1060BE4EADC7}" presName="sibTrans" presStyleLbl="sibTrans2D1" presStyleIdx="1" presStyleCnt="4"/>
      <dgm:spPr/>
      <dgm:t>
        <a:bodyPr/>
        <a:lstStyle/>
        <a:p>
          <a:endParaRPr lang="en-AU"/>
        </a:p>
      </dgm:t>
    </dgm:pt>
    <dgm:pt modelId="{A6471AF9-F420-40E9-B25A-B930876A0B09}" type="pres">
      <dgm:prSet presAssocID="{CE243A6B-38D7-4C42-8BCF-485302FA3C85}" presName="node" presStyleLbl="node1" presStyleIdx="2" presStyleCnt="4">
        <dgm:presLayoutVars>
          <dgm:bulletEnabled val="1"/>
        </dgm:presLayoutVars>
      </dgm:prSet>
      <dgm:spPr/>
      <dgm:t>
        <a:bodyPr/>
        <a:lstStyle/>
        <a:p>
          <a:endParaRPr lang="en-AU"/>
        </a:p>
      </dgm:t>
    </dgm:pt>
    <dgm:pt modelId="{98D5AD27-C545-4397-9CAF-B55170F02767}" type="pres">
      <dgm:prSet presAssocID="{CE243A6B-38D7-4C42-8BCF-485302FA3C85}" presName="dummy" presStyleCnt="0"/>
      <dgm:spPr/>
    </dgm:pt>
    <dgm:pt modelId="{ABA4EADA-CDE1-4A96-BCD9-0A5B5D328565}" type="pres">
      <dgm:prSet presAssocID="{0C1C74EB-0C11-4D45-B15D-BF4EDF68613F}" presName="sibTrans" presStyleLbl="sibTrans2D1" presStyleIdx="2" presStyleCnt="4"/>
      <dgm:spPr/>
      <dgm:t>
        <a:bodyPr/>
        <a:lstStyle/>
        <a:p>
          <a:endParaRPr lang="en-AU"/>
        </a:p>
      </dgm:t>
    </dgm:pt>
    <dgm:pt modelId="{FDED30AF-E37A-4EDB-ADAF-D939AB0BD229}" type="pres">
      <dgm:prSet presAssocID="{66146CA9-0F1F-4031-8E5F-280CF6D007D8}" presName="node" presStyleLbl="node1" presStyleIdx="3" presStyleCnt="4">
        <dgm:presLayoutVars>
          <dgm:bulletEnabled val="1"/>
        </dgm:presLayoutVars>
      </dgm:prSet>
      <dgm:spPr/>
      <dgm:t>
        <a:bodyPr/>
        <a:lstStyle/>
        <a:p>
          <a:endParaRPr lang="en-AU"/>
        </a:p>
      </dgm:t>
    </dgm:pt>
    <dgm:pt modelId="{ED21A855-6EC6-4CEA-9289-B15320D40C4D}" type="pres">
      <dgm:prSet presAssocID="{66146CA9-0F1F-4031-8E5F-280CF6D007D8}" presName="dummy" presStyleCnt="0"/>
      <dgm:spPr/>
    </dgm:pt>
    <dgm:pt modelId="{BB1FC895-C11D-416F-9A7E-7627C347CA4A}" type="pres">
      <dgm:prSet presAssocID="{53305C10-ABD4-4730-A8A8-7265838B264C}" presName="sibTrans" presStyleLbl="sibTrans2D1" presStyleIdx="3" presStyleCnt="4"/>
      <dgm:spPr/>
      <dgm:t>
        <a:bodyPr/>
        <a:lstStyle/>
        <a:p>
          <a:endParaRPr lang="en-AU"/>
        </a:p>
      </dgm:t>
    </dgm:pt>
  </dgm:ptLst>
  <dgm:cxnLst>
    <dgm:cxn modelId="{9B1FBAA0-41F3-41EB-8D76-74FCF13F98B5}" type="presOf" srcId="{5612881F-094D-4080-A50D-6522E768D788}" destId="{914D7F14-EC3A-403E-A99C-EBDE7DB7F13F}" srcOrd="0" destOrd="0" presId="urn:microsoft.com/office/officeart/2005/8/layout/radial6"/>
    <dgm:cxn modelId="{4DA985A8-30E8-4BC3-87EA-CF5575596DAB}" srcId="{5612881F-094D-4080-A50D-6522E768D788}" destId="{CE243A6B-38D7-4C42-8BCF-485302FA3C85}" srcOrd="2" destOrd="0" parTransId="{827DC248-62A4-4A4F-9C57-F63E1F37B217}" sibTransId="{0C1C74EB-0C11-4D45-B15D-BF4EDF68613F}"/>
    <dgm:cxn modelId="{9323B194-F361-4042-98D8-C5907E226406}" srcId="{5612881F-094D-4080-A50D-6522E768D788}" destId="{91616EF0-21B5-417D-A865-A5CB3487E503}" srcOrd="0" destOrd="0" parTransId="{5267EEE2-CEDE-4F75-9378-491BE0337A9A}" sibTransId="{4BCF7CE7-B381-4863-B558-00A945CA1E33}"/>
    <dgm:cxn modelId="{2C333939-D56A-4BE0-AE03-E559C33E355C}" type="presOf" srcId="{53305C10-ABD4-4730-A8A8-7265838B264C}" destId="{BB1FC895-C11D-416F-9A7E-7627C347CA4A}" srcOrd="0" destOrd="0" presId="urn:microsoft.com/office/officeart/2005/8/layout/radial6"/>
    <dgm:cxn modelId="{BD2613F9-CA37-40C7-A6EE-55E2AA6AAADE}" type="presOf" srcId="{4BCF7CE7-B381-4863-B558-00A945CA1E33}" destId="{E11BEE20-BE86-49DB-8CF5-BA1406BF352D}" srcOrd="0" destOrd="0" presId="urn:microsoft.com/office/officeart/2005/8/layout/radial6"/>
    <dgm:cxn modelId="{13F75D5E-0E82-463A-AA1C-B1A5E8E7CE21}" type="presOf" srcId="{F71EC748-C089-4DBC-BB3E-6C5164031D17}" destId="{052038BA-80F6-4B98-8EA2-1A7C51783A7C}" srcOrd="0" destOrd="0" presId="urn:microsoft.com/office/officeart/2005/8/layout/radial6"/>
    <dgm:cxn modelId="{C1EBFBB0-123A-4067-8150-AF70AD827953}" srcId="{5612881F-094D-4080-A50D-6522E768D788}" destId="{F71EC748-C089-4DBC-BB3E-6C5164031D17}" srcOrd="1" destOrd="0" parTransId="{E1F3CD11-F5F4-4249-8A37-05CB7C4ADEF2}" sibTransId="{6A6649EB-154B-404A-B77A-1060BE4EADC7}"/>
    <dgm:cxn modelId="{3A2E817C-AE93-4DA1-9826-0BCD69B056D8}" type="presOf" srcId="{91616EF0-21B5-417D-A865-A5CB3487E503}" destId="{C2DC0504-6495-42E2-B702-8C99FB6D7056}" srcOrd="0" destOrd="0" presId="urn:microsoft.com/office/officeart/2005/8/layout/radial6"/>
    <dgm:cxn modelId="{93E8BA83-0C05-495C-80EF-2B13369ACE58}" srcId="{D954DD05-7E2E-4DF6-914E-3DE95DFE4A8D}" destId="{5612881F-094D-4080-A50D-6522E768D788}" srcOrd="0" destOrd="0" parTransId="{098542D2-1EC9-431E-BE5C-9C88F799D2C2}" sibTransId="{97FC8D31-593C-47AD-A942-C9B9BDD63497}"/>
    <dgm:cxn modelId="{0AB50BE5-1E90-444D-8778-A75371807EC9}" type="presOf" srcId="{0C1C74EB-0C11-4D45-B15D-BF4EDF68613F}" destId="{ABA4EADA-CDE1-4A96-BCD9-0A5B5D328565}" srcOrd="0" destOrd="0" presId="urn:microsoft.com/office/officeart/2005/8/layout/radial6"/>
    <dgm:cxn modelId="{9C9871AA-B40C-4211-ABE0-426ABBE84A88}" srcId="{5612881F-094D-4080-A50D-6522E768D788}" destId="{66146CA9-0F1F-4031-8E5F-280CF6D007D8}" srcOrd="3" destOrd="0" parTransId="{5073B20B-5FFD-4B29-9BD2-56B7BADE4EB9}" sibTransId="{53305C10-ABD4-4730-A8A8-7265838B264C}"/>
    <dgm:cxn modelId="{FD4B626B-9E48-40C2-9A6C-E527AF4DAA4B}" type="presOf" srcId="{66146CA9-0F1F-4031-8E5F-280CF6D007D8}" destId="{FDED30AF-E37A-4EDB-ADAF-D939AB0BD229}" srcOrd="0" destOrd="0" presId="urn:microsoft.com/office/officeart/2005/8/layout/radial6"/>
    <dgm:cxn modelId="{7A6727CE-F87D-4505-A764-77EC71A52BC2}" type="presOf" srcId="{6A6649EB-154B-404A-B77A-1060BE4EADC7}" destId="{F8461229-67AC-4C9E-AE21-78A4032B5134}" srcOrd="0" destOrd="0" presId="urn:microsoft.com/office/officeart/2005/8/layout/radial6"/>
    <dgm:cxn modelId="{945417F6-2703-462E-B751-4A960E20F0B8}" type="presOf" srcId="{CE243A6B-38D7-4C42-8BCF-485302FA3C85}" destId="{A6471AF9-F420-40E9-B25A-B930876A0B09}" srcOrd="0" destOrd="0" presId="urn:microsoft.com/office/officeart/2005/8/layout/radial6"/>
    <dgm:cxn modelId="{CECBC293-F6DB-4FA7-B731-427897826001}" type="presOf" srcId="{D954DD05-7E2E-4DF6-914E-3DE95DFE4A8D}" destId="{006DB1CB-F37B-4438-A349-698E54A60C3C}" srcOrd="0" destOrd="0" presId="urn:microsoft.com/office/officeart/2005/8/layout/radial6"/>
    <dgm:cxn modelId="{1DE8C39D-EF5C-4896-9ED3-1C187387D44C}" type="presParOf" srcId="{006DB1CB-F37B-4438-A349-698E54A60C3C}" destId="{914D7F14-EC3A-403E-A99C-EBDE7DB7F13F}" srcOrd="0" destOrd="0" presId="urn:microsoft.com/office/officeart/2005/8/layout/radial6"/>
    <dgm:cxn modelId="{05B5D662-3FD5-4016-947A-FFD92669A01B}" type="presParOf" srcId="{006DB1CB-F37B-4438-A349-698E54A60C3C}" destId="{C2DC0504-6495-42E2-B702-8C99FB6D7056}" srcOrd="1" destOrd="0" presId="urn:microsoft.com/office/officeart/2005/8/layout/radial6"/>
    <dgm:cxn modelId="{BBCB30FB-70B6-445F-AB2C-D289B0E2C09E}" type="presParOf" srcId="{006DB1CB-F37B-4438-A349-698E54A60C3C}" destId="{68756E64-05D3-46FF-8FEB-1FE5B7CE7DE2}" srcOrd="2" destOrd="0" presId="urn:microsoft.com/office/officeart/2005/8/layout/radial6"/>
    <dgm:cxn modelId="{0DD621E9-1E60-43DA-93D5-1CCEC5F18D11}" type="presParOf" srcId="{006DB1CB-F37B-4438-A349-698E54A60C3C}" destId="{E11BEE20-BE86-49DB-8CF5-BA1406BF352D}" srcOrd="3" destOrd="0" presId="urn:microsoft.com/office/officeart/2005/8/layout/radial6"/>
    <dgm:cxn modelId="{5B48136F-E796-41E7-88E7-1D5755EDE93C}" type="presParOf" srcId="{006DB1CB-F37B-4438-A349-698E54A60C3C}" destId="{052038BA-80F6-4B98-8EA2-1A7C51783A7C}" srcOrd="4" destOrd="0" presId="urn:microsoft.com/office/officeart/2005/8/layout/radial6"/>
    <dgm:cxn modelId="{59188C4B-2E53-4EB9-8462-816B8255C135}" type="presParOf" srcId="{006DB1CB-F37B-4438-A349-698E54A60C3C}" destId="{4365F853-25EF-48A6-A187-047C96DDE39C}" srcOrd="5" destOrd="0" presId="urn:microsoft.com/office/officeart/2005/8/layout/radial6"/>
    <dgm:cxn modelId="{8FD2BB63-59B8-49D6-B965-98DCC249D5D8}" type="presParOf" srcId="{006DB1CB-F37B-4438-A349-698E54A60C3C}" destId="{F8461229-67AC-4C9E-AE21-78A4032B5134}" srcOrd="6" destOrd="0" presId="urn:microsoft.com/office/officeart/2005/8/layout/radial6"/>
    <dgm:cxn modelId="{94517DEE-4503-450C-9ED4-8219A59ABB0B}" type="presParOf" srcId="{006DB1CB-F37B-4438-A349-698E54A60C3C}" destId="{A6471AF9-F420-40E9-B25A-B930876A0B09}" srcOrd="7" destOrd="0" presId="urn:microsoft.com/office/officeart/2005/8/layout/radial6"/>
    <dgm:cxn modelId="{E8B20A30-A7B7-434F-97DA-1E2FA679C37B}" type="presParOf" srcId="{006DB1CB-F37B-4438-A349-698E54A60C3C}" destId="{98D5AD27-C545-4397-9CAF-B55170F02767}" srcOrd="8" destOrd="0" presId="urn:microsoft.com/office/officeart/2005/8/layout/radial6"/>
    <dgm:cxn modelId="{1ECF3DC9-B657-4DF6-A7C6-CE48ECC02A9F}" type="presParOf" srcId="{006DB1CB-F37B-4438-A349-698E54A60C3C}" destId="{ABA4EADA-CDE1-4A96-BCD9-0A5B5D328565}" srcOrd="9" destOrd="0" presId="urn:microsoft.com/office/officeart/2005/8/layout/radial6"/>
    <dgm:cxn modelId="{F92FCF9A-B40D-4C24-88A4-870F28664C5C}" type="presParOf" srcId="{006DB1CB-F37B-4438-A349-698E54A60C3C}" destId="{FDED30AF-E37A-4EDB-ADAF-D939AB0BD229}" srcOrd="10" destOrd="0" presId="urn:microsoft.com/office/officeart/2005/8/layout/radial6"/>
    <dgm:cxn modelId="{47DD54BE-6402-459F-B22D-239E282F6DC5}" type="presParOf" srcId="{006DB1CB-F37B-4438-A349-698E54A60C3C}" destId="{ED21A855-6EC6-4CEA-9289-B15320D40C4D}" srcOrd="11" destOrd="0" presId="urn:microsoft.com/office/officeart/2005/8/layout/radial6"/>
    <dgm:cxn modelId="{78926F5C-A439-4557-A245-F3A04D0395D2}" type="presParOf" srcId="{006DB1CB-F37B-4438-A349-698E54A60C3C}" destId="{BB1FC895-C11D-416F-9A7E-7627C347CA4A}" srcOrd="12" destOrd="0" presId="urn:microsoft.com/office/officeart/2005/8/layout/radial6"/>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1FC895-C11D-416F-9A7E-7627C347CA4A}">
      <dsp:nvSpPr>
        <dsp:cNvPr id="0" name=""/>
        <dsp:cNvSpPr/>
      </dsp:nvSpPr>
      <dsp:spPr>
        <a:xfrm>
          <a:off x="1220803" y="546159"/>
          <a:ext cx="3362669" cy="3362669"/>
        </a:xfrm>
        <a:prstGeom prst="blockArc">
          <a:avLst>
            <a:gd name="adj1" fmla="val 10888979"/>
            <a:gd name="adj2" fmla="val 16201151"/>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BA4EADA-CDE1-4A96-BCD9-0A5B5D328565}">
      <dsp:nvSpPr>
        <dsp:cNvPr id="0" name=""/>
        <dsp:cNvSpPr/>
      </dsp:nvSpPr>
      <dsp:spPr>
        <a:xfrm>
          <a:off x="1221353" y="503655"/>
          <a:ext cx="3362669" cy="3362669"/>
        </a:xfrm>
        <a:prstGeom prst="blockArc">
          <a:avLst>
            <a:gd name="adj1" fmla="val 5400000"/>
            <a:gd name="adj2" fmla="val 10800000"/>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8461229-67AC-4C9E-AE21-78A4032B5134}">
      <dsp:nvSpPr>
        <dsp:cNvPr id="0" name=""/>
        <dsp:cNvSpPr/>
      </dsp:nvSpPr>
      <dsp:spPr>
        <a:xfrm>
          <a:off x="1221353" y="503655"/>
          <a:ext cx="3362669" cy="3362669"/>
        </a:xfrm>
        <a:prstGeom prst="blockArc">
          <a:avLst>
            <a:gd name="adj1" fmla="val 0"/>
            <a:gd name="adj2" fmla="val 5400000"/>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1BEE20-BE86-49DB-8CF5-BA1406BF352D}">
      <dsp:nvSpPr>
        <dsp:cNvPr id="0" name=""/>
        <dsp:cNvSpPr/>
      </dsp:nvSpPr>
      <dsp:spPr>
        <a:xfrm>
          <a:off x="1221903" y="546159"/>
          <a:ext cx="3362669" cy="3362669"/>
        </a:xfrm>
        <a:prstGeom prst="blockArc">
          <a:avLst>
            <a:gd name="adj1" fmla="val 16198849"/>
            <a:gd name="adj2" fmla="val 21511021"/>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4D7F14-EC3A-403E-A99C-EBDE7DB7F13F}">
      <dsp:nvSpPr>
        <dsp:cNvPr id="0" name=""/>
        <dsp:cNvSpPr/>
      </dsp:nvSpPr>
      <dsp:spPr>
        <a:xfrm>
          <a:off x="2128827" y="1411129"/>
          <a:ext cx="1547722" cy="1547722"/>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1" kern="1200" dirty="0" smtClean="0"/>
            <a:t>Level of exposure of the coral reefs and seagrass meadows to river plumes and land-sourced contaminants </a:t>
          </a:r>
          <a:endParaRPr lang="en-AU" sz="1100" b="1" kern="1200" dirty="0"/>
        </a:p>
      </dsp:txBody>
      <dsp:txXfrm>
        <a:off x="2355486" y="1637788"/>
        <a:ext cx="1094404" cy="1094404"/>
      </dsp:txXfrm>
    </dsp:sp>
    <dsp:sp modelId="{C2DC0504-6495-42E2-B702-8C99FB6D7056}">
      <dsp:nvSpPr>
        <dsp:cNvPr id="0" name=""/>
        <dsp:cNvSpPr/>
      </dsp:nvSpPr>
      <dsp:spPr>
        <a:xfrm>
          <a:off x="2360985" y="43458"/>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 River plume (full extent) maps</a:t>
          </a:r>
          <a:endParaRPr lang="en-AU" sz="1100" b="0" kern="1200" dirty="0"/>
        </a:p>
      </dsp:txBody>
      <dsp:txXfrm>
        <a:off x="2519646" y="202119"/>
        <a:ext cx="766083" cy="766083"/>
      </dsp:txXfrm>
    </dsp:sp>
    <dsp:sp modelId="{052038BA-80F6-4B98-8EA2-1A7C51783A7C}">
      <dsp:nvSpPr>
        <dsp:cNvPr id="0" name=""/>
        <dsp:cNvSpPr/>
      </dsp:nvSpPr>
      <dsp:spPr>
        <a:xfrm>
          <a:off x="4003317" y="1643287"/>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Plume water type maps </a:t>
          </a:r>
          <a:endParaRPr lang="en-AU" sz="1100" b="0" kern="1200" dirty="0"/>
        </a:p>
      </dsp:txBody>
      <dsp:txXfrm>
        <a:off x="4161978" y="1801948"/>
        <a:ext cx="766083" cy="766083"/>
      </dsp:txXfrm>
    </dsp:sp>
    <dsp:sp modelId="{A6471AF9-F420-40E9-B25A-B930876A0B09}">
      <dsp:nvSpPr>
        <dsp:cNvPr id="0" name=""/>
        <dsp:cNvSpPr/>
      </dsp:nvSpPr>
      <dsp:spPr>
        <a:xfrm>
          <a:off x="2360985" y="3285619"/>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Load maps of land-sourced pollutants</a:t>
          </a:r>
          <a:endParaRPr lang="en-AU" sz="1100" b="0" kern="1200" dirty="0"/>
        </a:p>
      </dsp:txBody>
      <dsp:txXfrm>
        <a:off x="2519646" y="3444280"/>
        <a:ext cx="766083" cy="766083"/>
      </dsp:txXfrm>
    </dsp:sp>
    <dsp:sp modelId="{FDED30AF-E37A-4EDB-ADAF-D939AB0BD229}">
      <dsp:nvSpPr>
        <dsp:cNvPr id="0" name=""/>
        <dsp:cNvSpPr/>
      </dsp:nvSpPr>
      <dsp:spPr>
        <a:xfrm>
          <a:off x="718653" y="1643287"/>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0" kern="1200" dirty="0" smtClean="0"/>
            <a:t>Exposure (risk) maps</a:t>
          </a:r>
          <a:endParaRPr lang="en-AU" sz="1100" b="0" kern="1200" dirty="0"/>
        </a:p>
      </dsp:txBody>
      <dsp:txXfrm>
        <a:off x="877314" y="1801948"/>
        <a:ext cx="766083" cy="766083"/>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327E09C02E23CC42979C0B8A7B77AF06" ma:contentTypeVersion="1" ma:contentTypeDescription="" ma:contentTypeScope="" ma:versionID="2ce0b4180d4c908287cc20577075eb0c">
  <xsd:schema xmlns:xsd="http://www.w3.org/2001/XMLSchema" xmlns:xs="http://www.w3.org/2001/XMLSchema" xmlns:p="http://schemas.microsoft.com/office/2006/metadata/properties" xmlns:ns2="8ccc4631-9afc-4718-b120-5e2e37a03cc7" targetNamespace="http://schemas.microsoft.com/office/2006/metadata/properties" ma:root="true" ma:fieldsID="35dc01bb084a58f4200fac3203bb2eab" ns2:_="">
    <xsd:import namespace="8ccc4631-9afc-4718-b120-5e2e37a03cc7"/>
    <xsd:element name="properties">
      <xsd:complexType>
        <xsd:sequence>
          <xsd:element name="documentManagement">
            <xsd:complexType>
              <xsd:all>
                <xsd:element ref="ns2:TaxCatchAll" minOccurs="0"/>
                <xsd:element ref="ns2:TaxCatchAllLabel" minOccurs="0"/>
                <xsd:element ref="ns2:a2118650a77a4a97b805ceb1a6b3e3dc"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87B7E-7DDD-4AFD-8C69-DAA725DCB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0C2B45-35B8-41C8-8B12-5B6556125B07}">
  <ds:schemaRefs>
    <ds:schemaRef ds:uri="http://schemas.microsoft.com/sharepoint/events"/>
  </ds:schemaRefs>
</ds:datastoreItem>
</file>

<file path=customXml/itemProps3.xml><?xml version="1.0" encoding="utf-8"?>
<ds:datastoreItem xmlns:ds="http://schemas.openxmlformats.org/officeDocument/2006/customXml" ds:itemID="{2AF633DE-876B-4336-BE1E-D7850B5266AF}">
  <ds:schemaRefs>
    <ds:schemaRef ds:uri="http://schemas.microsoft.com/sharepoint/v3/contenttype/forms"/>
  </ds:schemaRefs>
</ds:datastoreItem>
</file>

<file path=customXml/itemProps4.xml><?xml version="1.0" encoding="utf-8"?>
<ds:datastoreItem xmlns:ds="http://schemas.openxmlformats.org/officeDocument/2006/customXml" ds:itemID="{6FE1002A-A06F-4B49-9012-5BE21A93073B}">
  <ds:schemaRefs>
    <ds:schemaRef ds:uri="http://schemas.microsoft.com/office/2006/documentManagement/types"/>
    <ds:schemaRef ds:uri="http://purl.org/dc/terms/"/>
    <ds:schemaRef ds:uri="http://www.w3.org/XML/1998/namespace"/>
    <ds:schemaRef ds:uri="http://purl.org/dc/dcmitype/"/>
    <ds:schemaRef ds:uri="http://schemas.microsoft.com/office/infopath/2007/PartnerControls"/>
    <ds:schemaRef ds:uri="http://schemas.openxmlformats.org/package/2006/metadata/core-properties"/>
    <ds:schemaRef ds:uri="8ccc4631-9afc-4718-b120-5e2e37a03cc7"/>
    <ds:schemaRef ds:uri="http://schemas.microsoft.com/office/2006/metadata/properties"/>
    <ds:schemaRef ds:uri="http://purl.org/dc/elements/1.1/"/>
  </ds:schemaRefs>
</ds:datastoreItem>
</file>

<file path=customXml/itemProps5.xml><?xml version="1.0" encoding="utf-8"?>
<ds:datastoreItem xmlns:ds="http://schemas.openxmlformats.org/officeDocument/2006/customXml" ds:itemID="{304FF07F-80D5-4A64-B5BA-25FE946FC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37964</Words>
  <Characters>216401</Characters>
  <Application>Microsoft Office Word</Application>
  <DocSecurity>0</DocSecurity>
  <Lines>1803</Lines>
  <Paragraphs>507</Paragraphs>
  <ScaleCrop>false</ScaleCrop>
  <HeadingPairs>
    <vt:vector size="2" baseType="variant">
      <vt:variant>
        <vt:lpstr>Title</vt:lpstr>
      </vt:variant>
      <vt:variant>
        <vt:i4>1</vt:i4>
      </vt:variant>
    </vt:vector>
  </HeadingPairs>
  <TitlesOfParts>
    <vt:vector size="1" baseType="lpstr">
      <vt:lpstr>LIMNOLOGY MONITORING PROGRAM FOR MOUNT GORDON MINE,</vt:lpstr>
    </vt:vector>
  </TitlesOfParts>
  <Company>JCU</Company>
  <LinksUpToDate>false</LinksUpToDate>
  <CharactersWithSpaces>253858</CharactersWithSpaces>
  <SharedDoc>false</SharedDoc>
  <HLinks>
    <vt:vector size="6" baseType="variant">
      <vt:variant>
        <vt:i4>7012360</vt:i4>
      </vt:variant>
      <vt:variant>
        <vt:i4>0</vt:i4>
      </vt:variant>
      <vt:variant>
        <vt:i4>0</vt:i4>
      </vt:variant>
      <vt:variant>
        <vt:i4>5</vt:i4>
      </vt:variant>
      <vt:variant>
        <vt:lpwstr>mailto:actfr@jcu.edu.au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LIMNOLOGY MONITORING PROGRAM FOR MOUNT GORDON MINE,</dc:title>
  <dc:creator>Barry Butler</dc:creator>
  <cp:lastModifiedBy>Carol Marshall</cp:lastModifiedBy>
  <cp:revision>2</cp:revision>
  <cp:lastPrinted>2015-11-09T00:54:00Z</cp:lastPrinted>
  <dcterms:created xsi:type="dcterms:W3CDTF">2015-11-12T07:20:00Z</dcterms:created>
  <dcterms:modified xsi:type="dcterms:W3CDTF">2015-11-12T07:20:00Z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0x010100441936E5D27A4AF2935B3316DA024CF200B1A9D9972D1440619AFD507BD907ADAB00327E09C02E23CC42979C0B8A7B77AF06</vt:lpwstr>
  </property>
</Properties>
</file>