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F7A17" w14:textId="77777777" w:rsidR="002B4D6F" w:rsidRDefault="00790E5F" w:rsidP="00594554">
      <w:pPr>
        <w:jc w:val="center"/>
        <w:rPr>
          <w:b/>
          <w:sz w:val="48"/>
          <w:szCs w:val="48"/>
        </w:rPr>
      </w:pPr>
      <w:bookmarkStart w:id="0" w:name="_GoBack"/>
      <w:bookmarkEnd w:id="0"/>
      <w:r>
        <w:rPr>
          <w:noProof/>
        </w:rPr>
        <w:drawing>
          <wp:anchor distT="0" distB="0" distL="114300" distR="114300" simplePos="0" relativeHeight="251725824" behindDoc="1" locked="0" layoutInCell="1" allowOverlap="1" wp14:anchorId="0C3F8FA9" wp14:editId="0C3F8FAA">
            <wp:simplePos x="0" y="0"/>
            <wp:positionH relativeFrom="column">
              <wp:posOffset>-781050</wp:posOffset>
            </wp:positionH>
            <wp:positionV relativeFrom="paragraph">
              <wp:posOffset>-919480</wp:posOffset>
            </wp:positionV>
            <wp:extent cx="7597650" cy="10744199"/>
            <wp:effectExtent l="0" t="0" r="3810" b="635"/>
            <wp:wrapNone/>
            <wp:docPr id="1" name="Picture 1" descr="Front page: top left Tropwater Logo, top right james cook university australia logo."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3.jpg"/>
                    <pic:cNvPicPr/>
                  </pic:nvPicPr>
                  <pic:blipFill>
                    <a:blip r:embed="rId13" cstate="screen">
                      <a:extLst>
                        <a:ext uri="{28A0092B-C50C-407E-A947-70E740481C1C}">
                          <a14:useLocalDpi xmlns:a14="http://schemas.microsoft.com/office/drawing/2010/main"/>
                        </a:ext>
                      </a:extLst>
                    </a:blip>
                    <a:stretch>
                      <a:fillRect/>
                    </a:stretch>
                  </pic:blipFill>
                  <pic:spPr>
                    <a:xfrm>
                      <a:off x="0" y="0"/>
                      <a:ext cx="7597650" cy="10744199"/>
                    </a:xfrm>
                    <a:prstGeom prst="rect">
                      <a:avLst/>
                    </a:prstGeom>
                  </pic:spPr>
                </pic:pic>
              </a:graphicData>
            </a:graphic>
          </wp:anchor>
        </w:drawing>
      </w:r>
    </w:p>
    <w:p w14:paraId="0C3F7A18" w14:textId="77777777" w:rsidR="002B4D6F" w:rsidRDefault="00821EED" w:rsidP="00821EED">
      <w:pPr>
        <w:jc w:val="center"/>
        <w:rPr>
          <w:b/>
          <w:sz w:val="48"/>
          <w:szCs w:val="48"/>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0C3F8FAB" wp14:editId="0C3F8FAC">
                <wp:simplePos x="0" y="0"/>
                <wp:positionH relativeFrom="column">
                  <wp:posOffset>472440</wp:posOffset>
                </wp:positionH>
                <wp:positionV relativeFrom="paragraph">
                  <wp:posOffset>982980</wp:posOffset>
                </wp:positionV>
                <wp:extent cx="5212080" cy="4076700"/>
                <wp:effectExtent l="0" t="0" r="0" b="0"/>
                <wp:wrapNone/>
                <wp:docPr id="18" name="Text Box 7" descr="Marine Monitoring Program: Final report of JCU Activities 2012/13 - Flood Plumes and Extreme weather monitoring for the Great Barrier Reef Marine Park Authority.&#10;– Final Report – &#10;&#10;Lead Authors: Michelle Devlin1, Eduardo Teixeira da Silva1, Caroline Petus1, Dieter Tracey1&#10;Report No. 15/57&#10;" title="Title of repo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F907D" w14:textId="77777777" w:rsidR="007E5BBF" w:rsidRPr="00F3714C" w:rsidRDefault="007E5BBF" w:rsidP="00B63DB4">
                            <w:pPr>
                              <w:jc w:val="center"/>
                            </w:pPr>
                          </w:p>
                          <w:p w14:paraId="0C3F907E" w14:textId="77777777" w:rsidR="007E5BBF" w:rsidRPr="00393166" w:rsidRDefault="007E5BBF" w:rsidP="00E838DF">
                            <w:pPr>
                              <w:pStyle w:val="Default"/>
                              <w:jc w:val="center"/>
                              <w:rPr>
                                <w:rFonts w:asciiTheme="minorHAnsi" w:eastAsiaTheme="minorHAnsi" w:hAnsiTheme="minorHAnsi" w:cstheme="minorBidi"/>
                                <w:b/>
                                <w:color w:val="auto"/>
                                <w:sz w:val="44"/>
                                <w:szCs w:val="48"/>
                                <w:lang w:val="en-AU"/>
                              </w:rPr>
                            </w:pPr>
                            <w:r w:rsidRPr="00393166">
                              <w:rPr>
                                <w:rFonts w:asciiTheme="minorHAnsi" w:eastAsiaTheme="minorHAnsi" w:hAnsiTheme="minorHAnsi" w:cstheme="minorBidi"/>
                                <w:b/>
                                <w:color w:val="auto"/>
                                <w:sz w:val="44"/>
                                <w:szCs w:val="48"/>
                                <w:lang w:val="en-AU"/>
                              </w:rPr>
                              <w:t>Marine Monitoring Program: Final report of JCU Activities 2012/13 - Flood Plumes and Extreme weather monitoring for the Great Barrier Reef Marine Park Authority.</w:t>
                            </w:r>
                          </w:p>
                          <w:p w14:paraId="0C3F907F" w14:textId="77777777" w:rsidR="007E5BBF" w:rsidRPr="00393166" w:rsidRDefault="007E5BBF" w:rsidP="00E838DF">
                            <w:pPr>
                              <w:pStyle w:val="Default"/>
                              <w:ind w:left="360"/>
                              <w:jc w:val="center"/>
                              <w:rPr>
                                <w:rFonts w:asciiTheme="minorHAnsi" w:hAnsiTheme="minorHAnsi" w:cstheme="minorHAnsi"/>
                                <w:b/>
                                <w:sz w:val="28"/>
                                <w:szCs w:val="32"/>
                              </w:rPr>
                            </w:pPr>
                            <w:r w:rsidRPr="00393166">
                              <w:rPr>
                                <w:rFonts w:asciiTheme="minorHAnsi" w:eastAsiaTheme="minorHAnsi" w:hAnsiTheme="minorHAnsi" w:cstheme="minorBidi"/>
                                <w:b/>
                                <w:color w:val="auto"/>
                                <w:sz w:val="44"/>
                                <w:szCs w:val="48"/>
                                <w:lang w:val="en-AU"/>
                              </w:rPr>
                              <w:t xml:space="preserve">– Final Report – </w:t>
                            </w:r>
                          </w:p>
                          <w:p w14:paraId="0C3F9080" w14:textId="77777777" w:rsidR="007E5BBF" w:rsidRDefault="007E5BBF" w:rsidP="00821EED">
                            <w:pPr>
                              <w:pStyle w:val="Default"/>
                              <w:rPr>
                                <w:rFonts w:asciiTheme="minorHAnsi" w:hAnsiTheme="minorHAnsi" w:cstheme="minorHAnsi"/>
                                <w:b/>
                                <w:sz w:val="32"/>
                                <w:szCs w:val="32"/>
                              </w:rPr>
                            </w:pPr>
                          </w:p>
                          <w:p w14:paraId="0C3F9081" w14:textId="77777777" w:rsidR="007E5BBF" w:rsidRDefault="007E5BBF" w:rsidP="004F6AA8">
                            <w:pPr>
                              <w:spacing w:after="200" w:line="276" w:lineRule="auto"/>
                              <w:jc w:val="center"/>
                              <w:rPr>
                                <w:rFonts w:eastAsiaTheme="minorHAnsi" w:cstheme="minorBidi"/>
                                <w:b/>
                                <w:sz w:val="32"/>
                                <w:szCs w:val="32"/>
                                <w:vertAlign w:val="superscript"/>
                                <w:lang w:eastAsia="en-US"/>
                              </w:rPr>
                            </w:pPr>
                            <w:r>
                              <w:rPr>
                                <w:rFonts w:eastAsiaTheme="minorHAnsi" w:cstheme="minorBidi"/>
                                <w:b/>
                                <w:sz w:val="32"/>
                                <w:szCs w:val="32"/>
                                <w:lang w:eastAsia="en-US"/>
                              </w:rPr>
                              <w:t xml:space="preserve">Lead Authors: </w:t>
                            </w:r>
                            <w:r w:rsidRPr="00393166">
                              <w:rPr>
                                <w:rFonts w:eastAsiaTheme="minorHAnsi" w:cstheme="minorBidi"/>
                                <w:b/>
                                <w:sz w:val="32"/>
                                <w:szCs w:val="32"/>
                                <w:lang w:eastAsia="en-US"/>
                              </w:rPr>
                              <w:t>Michelle Devlin</w:t>
                            </w:r>
                            <w:r w:rsidRPr="00393166">
                              <w:rPr>
                                <w:rFonts w:eastAsiaTheme="minorHAnsi" w:cstheme="minorBidi"/>
                                <w:b/>
                                <w:sz w:val="32"/>
                                <w:szCs w:val="32"/>
                                <w:vertAlign w:val="superscript"/>
                                <w:lang w:eastAsia="en-US"/>
                              </w:rPr>
                              <w:t>1</w:t>
                            </w:r>
                            <w:r w:rsidRPr="00393166">
                              <w:rPr>
                                <w:rFonts w:eastAsiaTheme="minorHAnsi" w:cstheme="minorBidi"/>
                                <w:b/>
                                <w:sz w:val="32"/>
                                <w:szCs w:val="32"/>
                                <w:lang w:eastAsia="en-US"/>
                              </w:rPr>
                              <w:t>, Eduardo Teixeira da Silva</w:t>
                            </w:r>
                            <w:r w:rsidRPr="00393166">
                              <w:rPr>
                                <w:rFonts w:eastAsiaTheme="minorHAnsi" w:cstheme="minorBidi"/>
                                <w:b/>
                                <w:sz w:val="32"/>
                                <w:szCs w:val="32"/>
                                <w:vertAlign w:val="superscript"/>
                                <w:lang w:eastAsia="en-US"/>
                              </w:rPr>
                              <w:t>1</w:t>
                            </w:r>
                            <w:r w:rsidRPr="00393166">
                              <w:rPr>
                                <w:rFonts w:eastAsiaTheme="minorHAnsi" w:cstheme="minorBidi"/>
                                <w:b/>
                                <w:sz w:val="32"/>
                                <w:szCs w:val="32"/>
                                <w:lang w:eastAsia="en-US"/>
                              </w:rPr>
                              <w:t>, Caroline Petus</w:t>
                            </w:r>
                            <w:r w:rsidRPr="00393166">
                              <w:rPr>
                                <w:rFonts w:eastAsiaTheme="minorHAnsi" w:cstheme="minorBidi"/>
                                <w:b/>
                                <w:sz w:val="32"/>
                                <w:szCs w:val="32"/>
                                <w:vertAlign w:val="superscript"/>
                                <w:lang w:eastAsia="en-US"/>
                              </w:rPr>
                              <w:t>1</w:t>
                            </w:r>
                            <w:r w:rsidRPr="00393166">
                              <w:rPr>
                                <w:rFonts w:eastAsiaTheme="minorHAnsi" w:cstheme="minorBidi"/>
                                <w:b/>
                                <w:sz w:val="32"/>
                                <w:szCs w:val="32"/>
                                <w:lang w:eastAsia="en-US"/>
                              </w:rPr>
                              <w:t>, Dieter Tracey</w:t>
                            </w:r>
                            <w:r w:rsidRPr="00393166">
                              <w:rPr>
                                <w:rFonts w:eastAsiaTheme="minorHAnsi" w:cstheme="minorBidi"/>
                                <w:b/>
                                <w:sz w:val="32"/>
                                <w:szCs w:val="32"/>
                                <w:vertAlign w:val="superscript"/>
                                <w:lang w:eastAsia="en-US"/>
                              </w:rPr>
                              <w:t>1</w:t>
                            </w:r>
                          </w:p>
                          <w:p w14:paraId="0C3F9082" w14:textId="77777777" w:rsidR="007E5BBF" w:rsidRPr="004F6AA8" w:rsidRDefault="007E5BBF" w:rsidP="00E838DF">
                            <w:pPr>
                              <w:spacing w:after="200" w:line="276" w:lineRule="auto"/>
                              <w:jc w:val="center"/>
                              <w:rPr>
                                <w:rFonts w:eastAsiaTheme="minorHAnsi" w:cstheme="minorBidi"/>
                                <w:b/>
                                <w:sz w:val="32"/>
                                <w:szCs w:val="32"/>
                                <w:lang w:eastAsia="en-US"/>
                              </w:rPr>
                            </w:pPr>
                            <w:r w:rsidRPr="004F6AA8">
                              <w:rPr>
                                <w:rFonts w:eastAsiaTheme="minorHAnsi" w:cstheme="minorBidi"/>
                                <w:b/>
                                <w:sz w:val="32"/>
                                <w:szCs w:val="32"/>
                                <w:lang w:eastAsia="en-US"/>
                              </w:rPr>
                              <w:t xml:space="preserve">Report No. </w:t>
                            </w:r>
                            <w:r>
                              <w:rPr>
                                <w:rFonts w:eastAsiaTheme="minorHAnsi" w:cstheme="minorBidi"/>
                                <w:b/>
                                <w:sz w:val="32"/>
                                <w:szCs w:val="32"/>
                                <w:lang w:eastAsia="en-US"/>
                              </w:rPr>
                              <w:t>15/57</w:t>
                            </w:r>
                          </w:p>
                          <w:p w14:paraId="0C3F9083" w14:textId="77777777" w:rsidR="007E5BBF" w:rsidRDefault="007E5BBF" w:rsidP="004F6AA8">
                            <w:pPr>
                              <w:spacing w:after="200" w:line="276" w:lineRule="auto"/>
                              <w:jc w:val="center"/>
                              <w:rPr>
                                <w:rFonts w:eastAsiaTheme="minorHAnsi" w:cstheme="minorBidi"/>
                                <w:b/>
                                <w:sz w:val="32"/>
                                <w:szCs w:val="32"/>
                                <w:lang w:eastAsia="en-US"/>
                              </w:rPr>
                            </w:pPr>
                          </w:p>
                          <w:p w14:paraId="0C3F9084" w14:textId="77777777" w:rsidR="007E5BBF" w:rsidRPr="004F6AA8" w:rsidRDefault="007E5BBF" w:rsidP="004F6AA8">
                            <w:pPr>
                              <w:spacing w:after="200" w:line="276" w:lineRule="auto"/>
                              <w:jc w:val="center"/>
                              <w:rPr>
                                <w:rFonts w:eastAsiaTheme="minorHAnsi" w:cstheme="minorBidi"/>
                                <w:b/>
                                <w:sz w:val="32"/>
                                <w:szCs w:val="32"/>
                                <w:lang w:eastAsia="en-US"/>
                              </w:rPr>
                            </w:pPr>
                          </w:p>
                          <w:p w14:paraId="0C3F9085" w14:textId="77777777" w:rsidR="007E5BBF" w:rsidRPr="004F6AA8" w:rsidRDefault="007E5BBF" w:rsidP="004F6AA8">
                            <w:pPr>
                              <w:spacing w:after="200" w:line="276" w:lineRule="auto"/>
                              <w:jc w:val="center"/>
                              <w:rPr>
                                <w:rFonts w:eastAsiaTheme="minorHAnsi" w:cstheme="minorBidi"/>
                                <w:b/>
                                <w:sz w:val="32"/>
                                <w:szCs w:val="32"/>
                                <w:lang w:eastAsia="en-US"/>
                              </w:rPr>
                            </w:pPr>
                            <w:r w:rsidRPr="004F6AA8">
                              <w:rPr>
                                <w:rFonts w:eastAsiaTheme="minorHAnsi" w:cstheme="minorBidi"/>
                                <w:b/>
                                <w:sz w:val="32"/>
                                <w:szCs w:val="32"/>
                                <w:lang w:eastAsia="en-US"/>
                              </w:rPr>
                              <w:t xml:space="preserve">Report No. </w:t>
                            </w:r>
                            <w:r>
                              <w:rPr>
                                <w:rFonts w:eastAsiaTheme="minorHAnsi" w:cstheme="minorBidi"/>
                                <w:b/>
                                <w:sz w:val="32"/>
                                <w:szCs w:val="32"/>
                                <w:lang w:eastAsia="en-US"/>
                              </w:rPr>
                              <w:t>15/14</w:t>
                            </w:r>
                          </w:p>
                          <w:p w14:paraId="0C3F9086" w14:textId="77777777" w:rsidR="007E5BBF" w:rsidRPr="004F6AA8" w:rsidRDefault="007E5BBF" w:rsidP="004F6AA8">
                            <w:pPr>
                              <w:spacing w:after="200" w:line="276" w:lineRule="auto"/>
                              <w:jc w:val="center"/>
                              <w:rPr>
                                <w:rFonts w:eastAsiaTheme="minorHAnsi" w:cstheme="minorBidi"/>
                                <w:b/>
                                <w:sz w:val="32"/>
                                <w:szCs w:val="32"/>
                                <w:lang w:eastAsia="en-US"/>
                              </w:rPr>
                            </w:pPr>
                            <w:r>
                              <w:rPr>
                                <w:rFonts w:eastAsiaTheme="minorHAnsi" w:cstheme="minorBidi"/>
                                <w:b/>
                                <w:sz w:val="32"/>
                                <w:szCs w:val="32"/>
                                <w:lang w:eastAsia="en-US"/>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alt="Title: Title of report - Description: Marine Monitoring Program: Final report of JCU Activities 2012/13 - Flood Plumes and Extreme weather monitoring for the Great Barrier Reef Marine Park Authority.&#10;– Final Report – &#10;&#10;Lead Authors: Michelle Devlin1, Eduardo Teixeira da Silva1, Caroline Petus1, Dieter Tracey1&#10;Report No. 15/57&#10;" style="position:absolute;left:0;text-align:left;margin-left:37.2pt;margin-top:77.4pt;width:410.4pt;height:3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" filled="f" stroked="f">
                <v:textbox>
                  <w:txbxContent>
                    <w:p w14:paraId="0C3F907D" w14:textId="77777777" w:rsidR="007E5BBF" w:rsidRPr="00F3714C" w:rsidRDefault="007E5BBF" w:rsidP="00B63DB4">
                      <w:pPr>
                        <w:jc w:val="center"/>
                      </w:pPr>
                    </w:p>
                    <w:p w14:paraId="0C3F907E" w14:textId="77777777" w:rsidR="007E5BBF" w:rsidRPr="00393166" w:rsidRDefault="007E5BBF" w:rsidP="00E838DF">
                      <w:pPr>
                        <w:pStyle w:val="Default"/>
                        <w:jc w:val="center"/>
                        <w:rPr>
                          <w:rFonts w:asciiTheme="minorHAnsi" w:eastAsiaTheme="minorHAnsi" w:hAnsiTheme="minorHAnsi" w:cstheme="minorBidi"/>
                          <w:b/>
                          <w:color w:val="auto"/>
                          <w:sz w:val="44"/>
                          <w:szCs w:val="48"/>
                          <w:lang w:val="en-AU"/>
                        </w:rPr>
                      </w:pPr>
                      <w:r w:rsidRPr="00393166">
                        <w:rPr>
                          <w:rFonts w:asciiTheme="minorHAnsi" w:eastAsiaTheme="minorHAnsi" w:hAnsiTheme="minorHAnsi" w:cstheme="minorBidi"/>
                          <w:b/>
                          <w:color w:val="auto"/>
                          <w:sz w:val="44"/>
                          <w:szCs w:val="48"/>
                          <w:lang w:val="en-AU"/>
                        </w:rPr>
                        <w:t>Marine Monitoring Program: Final report of JCU Activities 2012/13 - Flood Plumes and Extreme weather monitoring for the Great Barrier Reef Marine Park Authority.</w:t>
                      </w:r>
                    </w:p>
                    <w:p w14:paraId="0C3F907F" w14:textId="77777777" w:rsidR="007E5BBF" w:rsidRPr="00393166" w:rsidRDefault="007E5BBF" w:rsidP="00E838DF">
                      <w:pPr>
                        <w:pStyle w:val="Default"/>
                        <w:ind w:left="360"/>
                        <w:jc w:val="center"/>
                        <w:rPr>
                          <w:rFonts w:asciiTheme="minorHAnsi" w:hAnsiTheme="minorHAnsi" w:cstheme="minorHAnsi"/>
                          <w:b/>
                          <w:sz w:val="28"/>
                          <w:szCs w:val="32"/>
                        </w:rPr>
                      </w:pPr>
                      <w:r w:rsidRPr="00393166">
                        <w:rPr>
                          <w:rFonts w:asciiTheme="minorHAnsi" w:eastAsiaTheme="minorHAnsi" w:hAnsiTheme="minorHAnsi" w:cstheme="minorBidi"/>
                          <w:b/>
                          <w:color w:val="auto"/>
                          <w:sz w:val="44"/>
                          <w:szCs w:val="48"/>
                          <w:lang w:val="en-AU"/>
                        </w:rPr>
                        <w:t xml:space="preserve">– Final Report – </w:t>
                      </w:r>
                    </w:p>
                    <w:p w14:paraId="0C3F9080" w14:textId="77777777" w:rsidR="007E5BBF" w:rsidRDefault="007E5BBF" w:rsidP="00821EED">
                      <w:pPr>
                        <w:pStyle w:val="Default"/>
                        <w:rPr>
                          <w:rFonts w:asciiTheme="minorHAnsi" w:hAnsiTheme="minorHAnsi" w:cstheme="minorHAnsi"/>
                          <w:b/>
                          <w:sz w:val="32"/>
                          <w:szCs w:val="32"/>
                        </w:rPr>
                      </w:pPr>
                    </w:p>
                    <w:p w14:paraId="0C3F9081" w14:textId="77777777" w:rsidR="007E5BBF" w:rsidRDefault="007E5BBF" w:rsidP="004F6AA8">
                      <w:pPr>
                        <w:spacing w:after="200" w:line="276" w:lineRule="auto"/>
                        <w:jc w:val="center"/>
                        <w:rPr>
                          <w:rFonts w:eastAsiaTheme="minorHAnsi" w:cstheme="minorBidi"/>
                          <w:b/>
                          <w:sz w:val="32"/>
                          <w:szCs w:val="32"/>
                          <w:vertAlign w:val="superscript"/>
                          <w:lang w:eastAsia="en-US"/>
                        </w:rPr>
                      </w:pPr>
                      <w:r>
                        <w:rPr>
                          <w:rFonts w:eastAsiaTheme="minorHAnsi" w:cstheme="minorBidi"/>
                          <w:b/>
                          <w:sz w:val="32"/>
                          <w:szCs w:val="32"/>
                          <w:lang w:eastAsia="en-US"/>
                        </w:rPr>
                        <w:t xml:space="preserve">Lead Authors: </w:t>
                      </w:r>
                      <w:r w:rsidRPr="00393166">
                        <w:rPr>
                          <w:rFonts w:eastAsiaTheme="minorHAnsi" w:cstheme="minorBidi"/>
                          <w:b/>
                          <w:sz w:val="32"/>
                          <w:szCs w:val="32"/>
                          <w:lang w:eastAsia="en-US"/>
                        </w:rPr>
                        <w:t>Michelle Devlin</w:t>
                      </w:r>
                      <w:r w:rsidRPr="00393166">
                        <w:rPr>
                          <w:rFonts w:eastAsiaTheme="minorHAnsi" w:cstheme="minorBidi"/>
                          <w:b/>
                          <w:sz w:val="32"/>
                          <w:szCs w:val="32"/>
                          <w:vertAlign w:val="superscript"/>
                          <w:lang w:eastAsia="en-US"/>
                        </w:rPr>
                        <w:t>1</w:t>
                      </w:r>
                      <w:r w:rsidRPr="00393166">
                        <w:rPr>
                          <w:rFonts w:eastAsiaTheme="minorHAnsi" w:cstheme="minorBidi"/>
                          <w:b/>
                          <w:sz w:val="32"/>
                          <w:szCs w:val="32"/>
                          <w:lang w:eastAsia="en-US"/>
                        </w:rPr>
                        <w:t>, Eduardo Teixeira da Silva</w:t>
                      </w:r>
                      <w:r w:rsidRPr="00393166">
                        <w:rPr>
                          <w:rFonts w:eastAsiaTheme="minorHAnsi" w:cstheme="minorBidi"/>
                          <w:b/>
                          <w:sz w:val="32"/>
                          <w:szCs w:val="32"/>
                          <w:vertAlign w:val="superscript"/>
                          <w:lang w:eastAsia="en-US"/>
                        </w:rPr>
                        <w:t>1</w:t>
                      </w:r>
                      <w:r w:rsidRPr="00393166">
                        <w:rPr>
                          <w:rFonts w:eastAsiaTheme="minorHAnsi" w:cstheme="minorBidi"/>
                          <w:b/>
                          <w:sz w:val="32"/>
                          <w:szCs w:val="32"/>
                          <w:lang w:eastAsia="en-US"/>
                        </w:rPr>
                        <w:t>, Caroline Petus</w:t>
                      </w:r>
                      <w:r w:rsidRPr="00393166">
                        <w:rPr>
                          <w:rFonts w:eastAsiaTheme="minorHAnsi" w:cstheme="minorBidi"/>
                          <w:b/>
                          <w:sz w:val="32"/>
                          <w:szCs w:val="32"/>
                          <w:vertAlign w:val="superscript"/>
                          <w:lang w:eastAsia="en-US"/>
                        </w:rPr>
                        <w:t>1</w:t>
                      </w:r>
                      <w:r w:rsidRPr="00393166">
                        <w:rPr>
                          <w:rFonts w:eastAsiaTheme="minorHAnsi" w:cstheme="minorBidi"/>
                          <w:b/>
                          <w:sz w:val="32"/>
                          <w:szCs w:val="32"/>
                          <w:lang w:eastAsia="en-US"/>
                        </w:rPr>
                        <w:t>, Dieter Tracey</w:t>
                      </w:r>
                      <w:r w:rsidRPr="00393166">
                        <w:rPr>
                          <w:rFonts w:eastAsiaTheme="minorHAnsi" w:cstheme="minorBidi"/>
                          <w:b/>
                          <w:sz w:val="32"/>
                          <w:szCs w:val="32"/>
                          <w:vertAlign w:val="superscript"/>
                          <w:lang w:eastAsia="en-US"/>
                        </w:rPr>
                        <w:t>1</w:t>
                      </w:r>
                    </w:p>
                    <w:p w14:paraId="0C3F9082" w14:textId="77777777" w:rsidR="007E5BBF" w:rsidRPr="004F6AA8" w:rsidRDefault="007E5BBF" w:rsidP="00E838DF">
                      <w:pPr>
                        <w:spacing w:after="200" w:line="276" w:lineRule="auto"/>
                        <w:jc w:val="center"/>
                        <w:rPr>
                          <w:rFonts w:eastAsiaTheme="minorHAnsi" w:cstheme="minorBidi"/>
                          <w:b/>
                          <w:sz w:val="32"/>
                          <w:szCs w:val="32"/>
                          <w:lang w:eastAsia="en-US"/>
                        </w:rPr>
                      </w:pPr>
                      <w:r w:rsidRPr="004F6AA8">
                        <w:rPr>
                          <w:rFonts w:eastAsiaTheme="minorHAnsi" w:cstheme="minorBidi"/>
                          <w:b/>
                          <w:sz w:val="32"/>
                          <w:szCs w:val="32"/>
                          <w:lang w:eastAsia="en-US"/>
                        </w:rPr>
                        <w:t xml:space="preserve">Report No. </w:t>
                      </w:r>
                      <w:r>
                        <w:rPr>
                          <w:rFonts w:eastAsiaTheme="minorHAnsi" w:cstheme="minorBidi"/>
                          <w:b/>
                          <w:sz w:val="32"/>
                          <w:szCs w:val="32"/>
                          <w:lang w:eastAsia="en-US"/>
                        </w:rPr>
                        <w:t>15/57</w:t>
                      </w:r>
                    </w:p>
                    <w:p w14:paraId="0C3F9083" w14:textId="77777777" w:rsidR="007E5BBF" w:rsidRDefault="007E5BBF" w:rsidP="004F6AA8">
                      <w:pPr>
                        <w:spacing w:after="200" w:line="276" w:lineRule="auto"/>
                        <w:jc w:val="center"/>
                        <w:rPr>
                          <w:rFonts w:eastAsiaTheme="minorHAnsi" w:cstheme="minorBidi"/>
                          <w:b/>
                          <w:sz w:val="32"/>
                          <w:szCs w:val="32"/>
                          <w:lang w:eastAsia="en-US"/>
                        </w:rPr>
                      </w:pPr>
                    </w:p>
                    <w:p w14:paraId="0C3F9084" w14:textId="77777777" w:rsidR="007E5BBF" w:rsidRPr="004F6AA8" w:rsidRDefault="007E5BBF" w:rsidP="004F6AA8">
                      <w:pPr>
                        <w:spacing w:after="200" w:line="276" w:lineRule="auto"/>
                        <w:jc w:val="center"/>
                        <w:rPr>
                          <w:rFonts w:eastAsiaTheme="minorHAnsi" w:cstheme="minorBidi"/>
                          <w:b/>
                          <w:sz w:val="32"/>
                          <w:szCs w:val="32"/>
                          <w:lang w:eastAsia="en-US"/>
                        </w:rPr>
                      </w:pPr>
                    </w:p>
                    <w:p w14:paraId="0C3F9085" w14:textId="77777777" w:rsidR="007E5BBF" w:rsidRPr="004F6AA8" w:rsidRDefault="007E5BBF" w:rsidP="004F6AA8">
                      <w:pPr>
                        <w:spacing w:after="200" w:line="276" w:lineRule="auto"/>
                        <w:jc w:val="center"/>
                        <w:rPr>
                          <w:rFonts w:eastAsiaTheme="minorHAnsi" w:cstheme="minorBidi"/>
                          <w:b/>
                          <w:sz w:val="32"/>
                          <w:szCs w:val="32"/>
                          <w:lang w:eastAsia="en-US"/>
                        </w:rPr>
                      </w:pPr>
                      <w:r w:rsidRPr="004F6AA8">
                        <w:rPr>
                          <w:rFonts w:eastAsiaTheme="minorHAnsi" w:cstheme="minorBidi"/>
                          <w:b/>
                          <w:sz w:val="32"/>
                          <w:szCs w:val="32"/>
                          <w:lang w:eastAsia="en-US"/>
                        </w:rPr>
                        <w:t xml:space="preserve">Report No. </w:t>
                      </w:r>
                      <w:r>
                        <w:rPr>
                          <w:rFonts w:eastAsiaTheme="minorHAnsi" w:cstheme="minorBidi"/>
                          <w:b/>
                          <w:sz w:val="32"/>
                          <w:szCs w:val="32"/>
                          <w:lang w:eastAsia="en-US"/>
                        </w:rPr>
                        <w:t>15/14</w:t>
                      </w:r>
                    </w:p>
                    <w:p w14:paraId="0C3F9086" w14:textId="77777777" w:rsidR="007E5BBF" w:rsidRPr="004F6AA8" w:rsidRDefault="007E5BBF" w:rsidP="004F6AA8">
                      <w:pPr>
                        <w:spacing w:after="200" w:line="276" w:lineRule="auto"/>
                        <w:jc w:val="center"/>
                        <w:rPr>
                          <w:rFonts w:eastAsiaTheme="minorHAnsi" w:cstheme="minorBidi"/>
                          <w:b/>
                          <w:sz w:val="32"/>
                          <w:szCs w:val="32"/>
                          <w:lang w:eastAsia="en-US"/>
                        </w:rPr>
                      </w:pPr>
                      <w:r>
                        <w:rPr>
                          <w:rFonts w:eastAsiaTheme="minorHAnsi" w:cstheme="minorBidi"/>
                          <w:b/>
                          <w:sz w:val="32"/>
                          <w:szCs w:val="32"/>
                          <w:lang w:eastAsia="en-US"/>
                        </w:rPr>
                        <w:t>DATE</w:t>
                      </w:r>
                    </w:p>
                  </w:txbxContent>
                </v:textbox>
              </v:shape>
            </w:pict>
          </mc:Fallback>
        </mc:AlternateContent>
      </w:r>
      <w:r w:rsidR="00EB4A80">
        <w:rPr>
          <w:rFonts w:ascii="Times New Roman" w:hAnsi="Times New Roman" w:cs="Times New Roman"/>
          <w:noProof/>
          <w:sz w:val="24"/>
          <w:szCs w:val="24"/>
        </w:rPr>
        <mc:AlternateContent>
          <mc:Choice Requires="wpg">
            <w:drawing>
              <wp:anchor distT="0" distB="0" distL="114300" distR="114300" simplePos="0" relativeHeight="251710464" behindDoc="0" locked="0" layoutInCell="1" allowOverlap="1" wp14:anchorId="0C3F8FAD" wp14:editId="0C3F8FAE">
                <wp:simplePos x="0" y="0"/>
                <wp:positionH relativeFrom="column">
                  <wp:posOffset>958215</wp:posOffset>
                </wp:positionH>
                <wp:positionV relativeFrom="paragraph">
                  <wp:posOffset>5378450</wp:posOffset>
                </wp:positionV>
                <wp:extent cx="4093210" cy="2906395"/>
                <wp:effectExtent l="38100" t="38100" r="40640" b="46355"/>
                <wp:wrapTopAndBottom/>
                <wp:docPr id="19" name="Group 3" descr="Front page pictures" title="Front page pictur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3210" cy="2906395"/>
                          <a:chOff x="0" y="0"/>
                          <a:chExt cx="4093028" cy="2906486"/>
                        </a:xfrm>
                      </wpg:grpSpPr>
                      <pic:pic xmlns:pic="http://schemas.openxmlformats.org/drawingml/2006/picture">
                        <pic:nvPicPr>
                          <pic:cNvPr id="30" name="Picture 30" descr="P105042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231571" y="21772"/>
                            <a:ext cx="1861457" cy="1404257"/>
                          </a:xfrm>
                          <a:prstGeom prst="rect">
                            <a:avLst/>
                          </a:prstGeom>
                          <a:solidFill>
                            <a:schemeClr val="bg1"/>
                          </a:solidFill>
                          <a:ln w="44450">
                            <a:solidFill>
                              <a:schemeClr val="bg1"/>
                            </a:solidFill>
                            <a:miter lim="800000"/>
                            <a:headEnd/>
                            <a:tailEnd/>
                          </a:ln>
                          <a:extLst/>
                        </pic:spPr>
                      </pic:pic>
                      <pic:pic xmlns:pic="http://schemas.openxmlformats.org/drawingml/2006/picture">
                        <pic:nvPicPr>
                          <pic:cNvPr id="31" name="Picture 31" descr="P105046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7143" cy="2906486"/>
                          </a:xfrm>
                          <a:prstGeom prst="rect">
                            <a:avLst/>
                          </a:prstGeom>
                          <a:solidFill>
                            <a:schemeClr val="bg1"/>
                          </a:solidFill>
                          <a:ln w="44450">
                            <a:solidFill>
                              <a:schemeClr val="bg1"/>
                            </a:solidFill>
                            <a:miter lim="800000"/>
                            <a:headEnd/>
                            <a:tailEnd/>
                          </a:ln>
                          <a:extLst/>
                        </pic:spPr>
                      </pic:pic>
                      <pic:pic xmlns:pic="http://schemas.openxmlformats.org/drawingml/2006/picture">
                        <pic:nvPicPr>
                          <pic:cNvPr id="47" name="Picture 47" descr="P100099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231571" y="1480458"/>
                            <a:ext cx="1861457" cy="1404257"/>
                          </a:xfrm>
                          <a:prstGeom prst="rect">
                            <a:avLst/>
                          </a:prstGeom>
                          <a:solidFill>
                            <a:schemeClr val="bg1"/>
                          </a:solidFill>
                          <a:ln w="44450">
                            <a:solidFill>
                              <a:schemeClr val="bg1"/>
                            </a:solidFill>
                            <a:miter lim="800000"/>
                            <a:headEnd/>
                            <a:tailEnd/>
                          </a:ln>
                          <a:extLst/>
                        </pic:spPr>
                      </pic:pic>
                    </wpg:wgp>
                  </a:graphicData>
                </a:graphic>
                <wp14:sizeRelH relativeFrom="page">
                  <wp14:pctWidth>0</wp14:pctWidth>
                </wp14:sizeRelH>
                <wp14:sizeRelV relativeFrom="page">
                  <wp14:pctHeight>0</wp14:pctHeight>
                </wp14:sizeRelV>
              </wp:anchor>
            </w:drawing>
          </mc:Choice>
          <mc:Fallback>
            <w:pict>
              <v:group id="Group 3" o:spid="_x0000_s1026" alt="Title: Front page pictures - Description: Front page pictures" style="position:absolute;margin-left:75.45pt;margin-top:423.5pt;width:322.3pt;height:228.85pt;z-index:251710464" coordsize="40930,290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alt="P1050425" style="position:absolute;left:22315;top:217;width:18615;height:14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E0WXBAAAA2wAAAA8AAABkcnMvZG93bnJldi54bWxET02LwjAQvS/4H8IIXhZNV0GWapQirOhN&#10;6wp6G5qxLTaT0kRb/fXmIHh8vO/5sjOVuFPjSssKfkYRCOLM6pJzBf+Hv+EvCOeRNVaWScGDHCwX&#10;va85xtq2vKd76nMRQtjFqKDwvo6ldFlBBt3I1sSBu9jGoA+wyaVusA3hppLjKJpKgyWHhgJrWhWU&#10;XdObUbA/r9v2kZ5k4g7jZ3T8Tqbr7U6pQb9LZiA8df4jfrs3WsEkrA9fwg+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YE0WXBAAAA2wAAAA8AAAAAAAAAAAAAAAAAnwIA&#10;AGRycy9kb3ducmV2LnhtbFBLBQYAAAAABAAEAPcAAACNAwAAAAA=&#10;" filled="t" fillcolor="white [3212]" stroked="t" strokecolor="white [3212]" strokeweight="3.5pt">
                  <v:imagedata r:id="rId17" o:title="P1050425"/>
                  <v:path arrowok="t"/>
                </v:shape>
                <v:shape id="Picture 31" o:spid="_x0000_s1028" type="#_x0000_t75" alt="P1050461" style="position:absolute;width:21771;height:29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k4MnDAAAA2wAAAA8AAABkcnMvZG93bnJldi54bWxEj09rwkAUxO8Fv8PyBG91owEpqauU2qAH&#10;odSWnh/ZZxLMvk131/z59m5B8DjMzG+Y9XYwjejI+dqygsU8AUFcWF1zqeDnO39+AeEDssbGMikY&#10;ycN2M3laY6Ztz1/UnUIpIoR9hgqqENpMSl9UZNDPbUscvbN1BkOUrpTaYR/hppHLJFlJgzXHhQpb&#10;eq+ouJyuRsGf2e8+gzPj8aPeUd5Q/ivTXKnZdHh7BRFoCI/wvX3QCtIF/H+JP0B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CTgycMAAADbAAAADwAAAAAAAAAAAAAAAACf&#10;AgAAZHJzL2Rvd25yZXYueG1sUEsFBgAAAAAEAAQA9wAAAI8DAAAAAA==&#10;" filled="t" fillcolor="white [3212]" stroked="t" strokecolor="white [3212]" strokeweight="3.5pt">
                  <v:imagedata r:id="rId18" o:title="P1050461"/>
                  <v:path arrowok="t"/>
                </v:shape>
                <v:shape id="Picture 47" o:spid="_x0000_s1029" type="#_x0000_t75" alt="P1000996" style="position:absolute;left:22315;top:14804;width:18615;height:14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iV3nCAAAA2wAAAA8AAABkcnMvZG93bnJldi54bWxEj9FqwkAURN8L/sNyC77VTWJoS3QVKwg+&#10;KY39gEv2NondvRuy2yT+vVso+DjMzBlmvZ2sEQP1vnWsIF0kIIgrp1uuFXxdDi/vIHxA1mgck4Ib&#10;edhuZk9rLLQb+ZOGMtQiQtgXqKAJoSuk9FVDFv3CdcTR+3a9xRBlX0vd4xjh1sgsSV6lxZbjQoMd&#10;7RuqfspfqyD7uEg0/lxW19ykp3aZJnVIlZo/T7sViEBTeIT/20etIH+Dvy/xB8jN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Yld5wgAAANsAAAAPAAAAAAAAAAAAAAAAAJ8C&#10;AABkcnMvZG93bnJldi54bWxQSwUGAAAAAAQABAD3AAAAjgMAAAAA&#10;" filled="t" fillcolor="white [3212]" stroked="t" strokecolor="white [3212]" strokeweight="3.5pt">
                  <v:imagedata r:id="rId19" o:title="P1000996"/>
                  <v:path arrowok="t"/>
                </v:shape>
                <w10:wrap type="topAndBottom"/>
              </v:group>
            </w:pict>
          </mc:Fallback>
        </mc:AlternateContent>
      </w:r>
      <w:r w:rsidR="002B4D6F">
        <w:rPr>
          <w:b/>
          <w:sz w:val="48"/>
          <w:szCs w:val="48"/>
        </w:rPr>
        <w:br w:type="page"/>
      </w:r>
    </w:p>
    <w:p w14:paraId="0C3F7A19" w14:textId="77777777" w:rsidR="00E838DF" w:rsidRDefault="00E838DF" w:rsidP="00E838DF">
      <w:pPr>
        <w:jc w:val="center"/>
        <w:rPr>
          <w:b/>
          <w:sz w:val="48"/>
          <w:szCs w:val="48"/>
        </w:rPr>
      </w:pPr>
      <w:r w:rsidRPr="00393166">
        <w:rPr>
          <w:b/>
          <w:sz w:val="48"/>
          <w:szCs w:val="48"/>
        </w:rPr>
        <w:lastRenderedPageBreak/>
        <w:t>Marine Monitoring Program: Final report of JCU Activities 2012/13 - Flood Plumes and Extreme weather monitoring for the Great Barrier Reef Marine Park Authority.</w:t>
      </w:r>
    </w:p>
    <w:p w14:paraId="0C3F7A1A" w14:textId="77777777" w:rsidR="00E838DF" w:rsidRPr="00393166" w:rsidRDefault="00E838DF" w:rsidP="00E838DF">
      <w:pPr>
        <w:jc w:val="center"/>
        <w:rPr>
          <w:b/>
          <w:sz w:val="48"/>
          <w:szCs w:val="48"/>
        </w:rPr>
      </w:pPr>
      <w:r>
        <w:rPr>
          <w:b/>
          <w:sz w:val="48"/>
          <w:szCs w:val="48"/>
        </w:rPr>
        <w:t>– Final Report –</w:t>
      </w:r>
    </w:p>
    <w:p w14:paraId="0C3F7A1B" w14:textId="77777777" w:rsidR="00CC1551" w:rsidRDefault="00CC1551" w:rsidP="00594554">
      <w:pPr>
        <w:jc w:val="center"/>
        <w:rPr>
          <w:sz w:val="32"/>
          <w:szCs w:val="32"/>
        </w:rPr>
      </w:pPr>
    </w:p>
    <w:p w14:paraId="0C3F7A1C" w14:textId="77777777" w:rsidR="001D46B7" w:rsidRPr="00F6756B" w:rsidRDefault="00A22ACE" w:rsidP="00594554">
      <w:pPr>
        <w:jc w:val="center"/>
        <w:rPr>
          <w:sz w:val="32"/>
          <w:szCs w:val="32"/>
        </w:rPr>
      </w:pPr>
      <w:r w:rsidRPr="00F6756B">
        <w:rPr>
          <w:sz w:val="32"/>
          <w:szCs w:val="32"/>
        </w:rPr>
        <w:t>A Report for</w:t>
      </w:r>
      <w:r w:rsidR="008A4B6B">
        <w:rPr>
          <w:sz w:val="32"/>
          <w:szCs w:val="32"/>
        </w:rPr>
        <w:t xml:space="preserve"> the </w:t>
      </w:r>
      <w:r w:rsidR="00E838DF">
        <w:rPr>
          <w:sz w:val="32"/>
          <w:szCs w:val="32"/>
        </w:rPr>
        <w:t>Great Barrier Reef Marine Park Authority</w:t>
      </w:r>
    </w:p>
    <w:p w14:paraId="0C3F7A1D" w14:textId="77777777" w:rsidR="007D5537" w:rsidRPr="00F6756B" w:rsidRDefault="007D5537" w:rsidP="00594554">
      <w:pPr>
        <w:jc w:val="center"/>
        <w:rPr>
          <w:sz w:val="32"/>
          <w:szCs w:val="32"/>
        </w:rPr>
      </w:pPr>
    </w:p>
    <w:p w14:paraId="0C3F7A1E" w14:textId="77777777" w:rsidR="001D46B7" w:rsidRPr="00F6756B" w:rsidRDefault="001D46B7" w:rsidP="00594554">
      <w:pPr>
        <w:jc w:val="center"/>
        <w:rPr>
          <w:sz w:val="32"/>
          <w:szCs w:val="32"/>
        </w:rPr>
      </w:pPr>
      <w:r w:rsidRPr="004F6AA8">
        <w:rPr>
          <w:sz w:val="32"/>
          <w:szCs w:val="32"/>
        </w:rPr>
        <w:t xml:space="preserve">Report No. </w:t>
      </w:r>
      <w:r w:rsidR="00F339E7">
        <w:rPr>
          <w:sz w:val="32"/>
          <w:szCs w:val="32"/>
        </w:rPr>
        <w:t>15</w:t>
      </w:r>
      <w:r w:rsidR="00E838DF">
        <w:rPr>
          <w:sz w:val="32"/>
          <w:szCs w:val="32"/>
        </w:rPr>
        <w:t>/</w:t>
      </w:r>
      <w:r w:rsidR="00F339E7">
        <w:rPr>
          <w:sz w:val="32"/>
          <w:szCs w:val="32"/>
        </w:rPr>
        <w:t>57</w:t>
      </w:r>
    </w:p>
    <w:p w14:paraId="0C3F7A1F" w14:textId="77777777" w:rsidR="001D46B7" w:rsidRPr="00F6756B" w:rsidRDefault="001D46B7" w:rsidP="00594554">
      <w:pPr>
        <w:jc w:val="center"/>
        <w:rPr>
          <w:sz w:val="32"/>
          <w:szCs w:val="32"/>
        </w:rPr>
      </w:pPr>
    </w:p>
    <w:p w14:paraId="0C3F7A20" w14:textId="77777777" w:rsidR="001D46B7" w:rsidRPr="00F6756B" w:rsidRDefault="00F339E7" w:rsidP="00594554">
      <w:pPr>
        <w:jc w:val="center"/>
        <w:rPr>
          <w:sz w:val="32"/>
          <w:szCs w:val="32"/>
        </w:rPr>
      </w:pPr>
      <w:r>
        <w:rPr>
          <w:sz w:val="32"/>
          <w:szCs w:val="32"/>
        </w:rPr>
        <w:t>2015</w:t>
      </w:r>
    </w:p>
    <w:p w14:paraId="0C3F7A21" w14:textId="77777777" w:rsidR="00E838DF" w:rsidRDefault="00E838DF" w:rsidP="00E838DF">
      <w:pPr>
        <w:jc w:val="center"/>
        <w:rPr>
          <w:sz w:val="32"/>
          <w:szCs w:val="32"/>
        </w:rPr>
      </w:pPr>
      <w:r w:rsidRPr="00F6756B">
        <w:rPr>
          <w:sz w:val="32"/>
          <w:szCs w:val="32"/>
        </w:rPr>
        <w:t xml:space="preserve">Prepared by </w:t>
      </w:r>
      <w:r w:rsidRPr="00393166">
        <w:rPr>
          <w:sz w:val="32"/>
          <w:szCs w:val="32"/>
        </w:rPr>
        <w:t>Michelle Devlin</w:t>
      </w:r>
      <w:r w:rsidRPr="00393166">
        <w:rPr>
          <w:sz w:val="32"/>
          <w:szCs w:val="32"/>
          <w:vertAlign w:val="superscript"/>
        </w:rPr>
        <w:t>1</w:t>
      </w:r>
      <w:r w:rsidRPr="00393166">
        <w:rPr>
          <w:sz w:val="32"/>
          <w:szCs w:val="32"/>
        </w:rPr>
        <w:t>, Eduardo Teixeira da Silva</w:t>
      </w:r>
      <w:r w:rsidRPr="00393166">
        <w:rPr>
          <w:sz w:val="32"/>
          <w:szCs w:val="32"/>
          <w:vertAlign w:val="superscript"/>
        </w:rPr>
        <w:t>1</w:t>
      </w:r>
      <w:r w:rsidRPr="00393166">
        <w:rPr>
          <w:sz w:val="32"/>
          <w:szCs w:val="32"/>
        </w:rPr>
        <w:t>, Caroline Petus</w:t>
      </w:r>
      <w:r w:rsidRPr="00393166">
        <w:rPr>
          <w:sz w:val="32"/>
          <w:szCs w:val="32"/>
          <w:vertAlign w:val="superscript"/>
        </w:rPr>
        <w:t>1</w:t>
      </w:r>
      <w:r w:rsidRPr="00393166">
        <w:rPr>
          <w:sz w:val="32"/>
          <w:szCs w:val="32"/>
        </w:rPr>
        <w:t>, Dieter Tracey</w:t>
      </w:r>
      <w:r w:rsidRPr="00393166">
        <w:rPr>
          <w:sz w:val="32"/>
          <w:szCs w:val="32"/>
          <w:vertAlign w:val="superscript"/>
        </w:rPr>
        <w:t>1</w:t>
      </w:r>
    </w:p>
    <w:p w14:paraId="0C3F7A22" w14:textId="77777777" w:rsidR="00A90185" w:rsidRPr="00A90185" w:rsidRDefault="00A90185" w:rsidP="00A90185">
      <w:pPr>
        <w:spacing w:before="0" w:after="0"/>
        <w:jc w:val="center"/>
        <w:rPr>
          <w:rStyle w:val="Hyperlink"/>
          <w:color w:val="auto"/>
          <w:u w:val="none"/>
          <w:lang w:val="fr-FR"/>
        </w:rPr>
      </w:pPr>
      <w:r w:rsidRPr="00A90185">
        <w:rPr>
          <w:rStyle w:val="Hyperlink"/>
          <w:color w:val="auto"/>
          <w:u w:val="none"/>
          <w:vertAlign w:val="superscript"/>
          <w:lang w:val="fr-FR"/>
        </w:rPr>
        <w:t>1</w:t>
      </w:r>
      <w:r w:rsidRPr="00A90185">
        <w:rPr>
          <w:rStyle w:val="Hyperlink"/>
          <w:color w:val="auto"/>
          <w:u w:val="none"/>
          <w:lang w:val="fr-FR"/>
        </w:rPr>
        <w:t>TropWATER, James Cook University</w:t>
      </w:r>
    </w:p>
    <w:p w14:paraId="0C3F7A23" w14:textId="77777777" w:rsidR="00E35FA5" w:rsidRPr="00A90185" w:rsidRDefault="00E35FA5" w:rsidP="00F6756B">
      <w:pPr>
        <w:jc w:val="center"/>
        <w:rPr>
          <w:rStyle w:val="Hyperlink"/>
          <w:color w:val="auto"/>
          <w:u w:val="none"/>
          <w:lang w:val="fr-FR"/>
        </w:rPr>
      </w:pPr>
    </w:p>
    <w:p w14:paraId="0C3F7A24" w14:textId="77777777" w:rsidR="001D46B7" w:rsidRPr="00036C83" w:rsidRDefault="001D46B7" w:rsidP="00F6756B">
      <w:pPr>
        <w:jc w:val="center"/>
      </w:pPr>
      <w:r w:rsidRPr="00036C83">
        <w:t>Centre for Tropical Water &amp; Aquatic</w:t>
      </w:r>
      <w:r w:rsidR="00271745" w:rsidRPr="00036C83">
        <w:t xml:space="preserve"> </w:t>
      </w:r>
      <w:r w:rsidRPr="00036C83">
        <w:t>Ecosystem Research</w:t>
      </w:r>
    </w:p>
    <w:p w14:paraId="0C3F7A25" w14:textId="77777777" w:rsidR="001D46B7" w:rsidRPr="00036C83" w:rsidRDefault="001D46B7" w:rsidP="00F6756B">
      <w:pPr>
        <w:jc w:val="center"/>
      </w:pPr>
      <w:r w:rsidRPr="00036C83">
        <w:t>(TropWATER)</w:t>
      </w:r>
    </w:p>
    <w:p w14:paraId="0C3F7A26" w14:textId="77777777" w:rsidR="00FD4D1A" w:rsidRDefault="00FD4D1A" w:rsidP="00F6756B">
      <w:pPr>
        <w:jc w:val="center"/>
      </w:pPr>
      <w:r w:rsidRPr="00F6756B">
        <w:t>James Cook University</w:t>
      </w:r>
    </w:p>
    <w:p w14:paraId="0C3F7A27" w14:textId="77777777" w:rsidR="00FD4D1A" w:rsidRPr="00F6756B" w:rsidRDefault="00F121C3" w:rsidP="00F6756B">
      <w:pPr>
        <w:jc w:val="center"/>
      </w:pPr>
      <w:r>
        <w:t>Townsville</w:t>
      </w:r>
    </w:p>
    <w:p w14:paraId="0C3F7A28" w14:textId="77777777" w:rsidR="00CC1551" w:rsidRPr="00036C83" w:rsidRDefault="007B2B62" w:rsidP="00F6756B">
      <w:pPr>
        <w:jc w:val="center"/>
      </w:pPr>
      <w:r>
        <w:t>Phone</w:t>
      </w:r>
      <w:r w:rsidR="00CC1551" w:rsidRPr="00036C83">
        <w:t>: (07) 4781 4262</w:t>
      </w:r>
    </w:p>
    <w:p w14:paraId="0C3F7A29" w14:textId="77777777" w:rsidR="00FD4D1A" w:rsidRPr="00036C83" w:rsidRDefault="00FD4D1A" w:rsidP="00F6756B">
      <w:pPr>
        <w:jc w:val="center"/>
      </w:pPr>
      <w:r w:rsidRPr="00036C83">
        <w:t xml:space="preserve">Email: </w:t>
      </w:r>
      <w:r w:rsidR="00531C57" w:rsidRPr="00036C83">
        <w:t>TropWATER</w:t>
      </w:r>
      <w:r w:rsidR="00F121C3" w:rsidRPr="00036C83">
        <w:t>@jcu.edu.au</w:t>
      </w:r>
    </w:p>
    <w:p w14:paraId="0C3F7A2A" w14:textId="77777777" w:rsidR="006D0A1F" w:rsidRPr="00271745" w:rsidRDefault="001D46B7" w:rsidP="00F6756B">
      <w:pPr>
        <w:jc w:val="center"/>
      </w:pPr>
      <w:r w:rsidRPr="00036C83">
        <w:t>Web: www.jcu.edu.au/tropwater/</w:t>
      </w:r>
    </w:p>
    <w:p w14:paraId="0C3F7A2B" w14:textId="77777777" w:rsidR="009E7629" w:rsidRDefault="00036C83" w:rsidP="00CC1551">
      <w:pPr>
        <w:pStyle w:val="Body"/>
      </w:pPr>
      <w:r>
        <w:rPr>
          <w:rFonts w:ascii="Times New Roman" w:hAnsi="Times New Roman" w:cs="Times New Roman"/>
          <w:noProof/>
          <w:sz w:val="24"/>
          <w:szCs w:val="24"/>
          <w:lang w:eastAsia="en-AU"/>
        </w:rPr>
        <w:drawing>
          <wp:anchor distT="0" distB="0" distL="114300" distR="114300" simplePos="0" relativeHeight="251696128" behindDoc="0" locked="0" layoutInCell="1" allowOverlap="1" wp14:anchorId="0C3F8FAF" wp14:editId="0C3F8FB0">
            <wp:simplePos x="0" y="0"/>
            <wp:positionH relativeFrom="column">
              <wp:posOffset>-5715</wp:posOffset>
            </wp:positionH>
            <wp:positionV relativeFrom="paragraph">
              <wp:posOffset>2118360</wp:posOffset>
            </wp:positionV>
            <wp:extent cx="1694180" cy="88392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1694180" cy="883920"/>
                    </a:xfrm>
                    <a:prstGeom prst="rect">
                      <a:avLst/>
                    </a:prstGeom>
                    <a:noFill/>
                  </pic:spPr>
                </pic:pic>
              </a:graphicData>
            </a:graphic>
          </wp:anchor>
        </w:drawing>
      </w:r>
      <w:r w:rsidR="00A7224C">
        <w:rPr>
          <w:noProof/>
          <w:lang w:eastAsia="en-AU"/>
        </w:rPr>
        <w:drawing>
          <wp:anchor distT="0" distB="0" distL="114300" distR="114300" simplePos="0" relativeHeight="251671552" behindDoc="0" locked="0" layoutInCell="1" allowOverlap="1" wp14:anchorId="0C3F8FB1" wp14:editId="0C3F8FB2">
            <wp:simplePos x="0" y="0"/>
            <wp:positionH relativeFrom="column">
              <wp:posOffset>3916680</wp:posOffset>
            </wp:positionH>
            <wp:positionV relativeFrom="paragraph">
              <wp:posOffset>1991995</wp:posOffset>
            </wp:positionV>
            <wp:extent cx="2087880" cy="1099185"/>
            <wp:effectExtent l="0" t="0" r="7620" b="5715"/>
            <wp:wrapNone/>
            <wp:docPr id="29" name="Picture 29" descr="http://api.ning.com/files/fkz1aW-oepjwgzLg-*G5Zrzv48wIszrBs1pEFeBD-kKmaclwbVeUA6J7kwtf1B3eN7h1zYzY6XAcKPdo3fGUjP8ckbgVCL0N/JCU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pi.ning.com/files/fkz1aW-oepjwgzLg-*G5Zrzv48wIszrBs1pEFeBD-kKmaclwbVeUA6J7kwtf1B3eN7h1zYzY6XAcKPdo3fGUjP8ckbgVCL0N/JCU_Logo_RGB.JPG"/>
                    <pic:cNvPicPr>
                      <a:picLocks noChangeAspect="1" noChangeArrowheads="1"/>
                    </pic:cNvPicPr>
                  </pic:nvPicPr>
                  <pic:blipFill>
                    <a:blip r:embed="rId21" r:link="rId22" cstate="screen">
                      <a:extLst>
                        <a:ext uri="{28A0092B-C50C-407E-A947-70E740481C1C}">
                          <a14:useLocalDpi xmlns:a14="http://schemas.microsoft.com/office/drawing/2010/main"/>
                        </a:ext>
                      </a:extLst>
                    </a:blip>
                    <a:srcRect/>
                    <a:stretch>
                      <a:fillRect/>
                    </a:stretch>
                  </pic:blipFill>
                  <pic:spPr bwMode="auto">
                    <a:xfrm>
                      <a:off x="0" y="0"/>
                      <a:ext cx="2087880" cy="1099185"/>
                    </a:xfrm>
                    <a:prstGeom prst="rect">
                      <a:avLst/>
                    </a:prstGeom>
                    <a:noFill/>
                    <a:ln>
                      <a:noFill/>
                    </a:ln>
                  </pic:spPr>
                </pic:pic>
              </a:graphicData>
            </a:graphic>
          </wp:anchor>
        </w:drawing>
      </w:r>
      <w:r w:rsidR="009E7629">
        <w:br w:type="page"/>
      </w:r>
    </w:p>
    <w:p w14:paraId="0C3F7A2C" w14:textId="77777777" w:rsidR="009E7629" w:rsidRPr="00036C83" w:rsidRDefault="009E7629" w:rsidP="009E7629">
      <w:pPr>
        <w:rPr>
          <w:rFonts w:cs="Arial"/>
        </w:rPr>
      </w:pPr>
      <w:r w:rsidRPr="00036C83">
        <w:rPr>
          <w:rFonts w:cs="Arial"/>
        </w:rPr>
        <w:lastRenderedPageBreak/>
        <w:t>Information should be cited as:</w:t>
      </w:r>
    </w:p>
    <w:p w14:paraId="0C3F7A2D" w14:textId="77777777" w:rsidR="009E7629" w:rsidRPr="00F3714C" w:rsidRDefault="00036C83" w:rsidP="001758C6">
      <w:pPr>
        <w:ind w:left="720" w:hanging="720"/>
        <w:jc w:val="left"/>
        <w:rPr>
          <w:b/>
        </w:rPr>
      </w:pPr>
      <w:r w:rsidRPr="001758C6">
        <w:t xml:space="preserve">Devlin, </w:t>
      </w:r>
      <w:r w:rsidR="00076F4C" w:rsidRPr="001758C6">
        <w:t xml:space="preserve">M. </w:t>
      </w:r>
      <w:r w:rsidR="001758C6" w:rsidRPr="001758C6">
        <w:t xml:space="preserve">da Silva, E.T., Petus, </w:t>
      </w:r>
      <w:r w:rsidR="00951723">
        <w:rPr>
          <w:rFonts w:cs="Times New Roman"/>
          <w:color w:val="000000"/>
          <w:szCs w:val="24"/>
          <w:lang w:val="en-US" w:eastAsia="en-US"/>
        </w:rPr>
        <w:t>C., Tracey, D. 2015</w:t>
      </w:r>
      <w:r w:rsidR="00076F4C" w:rsidRPr="001758C6">
        <w:rPr>
          <w:rFonts w:cs="Times New Roman"/>
          <w:color w:val="000000"/>
          <w:szCs w:val="24"/>
          <w:lang w:val="en-US" w:eastAsia="en-US"/>
        </w:rPr>
        <w:t xml:space="preserve">. </w:t>
      </w:r>
      <w:r w:rsidR="001758C6" w:rsidRPr="001758C6">
        <w:rPr>
          <w:rFonts w:cs="Times New Roman"/>
          <w:color w:val="000000"/>
          <w:szCs w:val="24"/>
          <w:lang w:val="en-US" w:eastAsia="en-US"/>
        </w:rPr>
        <w:t>Marine Monitoring Program: Final report of JCU Activities 2012/13 - Flood Plumes and Extreme weather monitoring for the Great Barrier Reef Marine Park Authority.</w:t>
      </w:r>
      <w:r w:rsidR="006E020D" w:rsidRPr="001758C6">
        <w:t>Tropical Water &amp; Aquatic Ecosystem Research (TropWATER) Publ</w:t>
      </w:r>
      <w:r w:rsidR="001758C6" w:rsidRPr="001758C6">
        <w:t>ication</w:t>
      </w:r>
      <w:r w:rsidR="00F339E7">
        <w:t>. Report No 15/57.</w:t>
      </w:r>
      <w:r w:rsidR="001758C6" w:rsidRPr="001758C6">
        <w:t xml:space="preserve"> James Cook University</w:t>
      </w:r>
      <w:r w:rsidR="00951723" w:rsidRPr="001758C6">
        <w:t>, Townsville</w:t>
      </w:r>
      <w:r w:rsidR="001758C6" w:rsidRPr="001758C6">
        <w:t xml:space="preserve">, </w:t>
      </w:r>
      <w:r w:rsidR="00951723">
        <w:t>Australia. 102</w:t>
      </w:r>
      <w:r w:rsidR="006E020D" w:rsidRPr="001758C6">
        <w:t xml:space="preserve"> pp.</w:t>
      </w:r>
    </w:p>
    <w:p w14:paraId="0C3F7A2E" w14:textId="77777777" w:rsidR="009E7629" w:rsidRPr="00F6756B" w:rsidRDefault="009E7629" w:rsidP="009E7629">
      <w:pPr>
        <w:pStyle w:val="Body"/>
        <w:rPr>
          <w:rFonts w:asciiTheme="minorHAnsi" w:hAnsiTheme="minorHAnsi"/>
        </w:rPr>
      </w:pPr>
    </w:p>
    <w:p w14:paraId="0C3F7A2F" w14:textId="77777777" w:rsidR="009E7629" w:rsidRDefault="009E7629" w:rsidP="009E7629">
      <w:pPr>
        <w:rPr>
          <w:rFonts w:cs="Arial"/>
          <w:b/>
        </w:rPr>
      </w:pPr>
      <w:r>
        <w:rPr>
          <w:rFonts w:cs="Arial"/>
          <w:b/>
        </w:rPr>
        <w:t>For further information contact:</w:t>
      </w:r>
    </w:p>
    <w:p w14:paraId="0C3F7A30" w14:textId="77777777" w:rsidR="009E7629" w:rsidRDefault="00036C83" w:rsidP="009E7629">
      <w:pPr>
        <w:rPr>
          <w:rFonts w:cs="Arial"/>
        </w:rPr>
      </w:pPr>
      <w:r>
        <w:rPr>
          <w:rFonts w:cs="Arial"/>
        </w:rPr>
        <w:t>Michelle Devlin</w:t>
      </w:r>
    </w:p>
    <w:p w14:paraId="0C3F7A31" w14:textId="77777777" w:rsidR="009E7629" w:rsidRDefault="009E7629" w:rsidP="009E7629">
      <w:pPr>
        <w:rPr>
          <w:rFonts w:cs="Arial"/>
        </w:rPr>
      </w:pPr>
      <w:r>
        <w:rPr>
          <w:rFonts w:cs="Arial"/>
        </w:rPr>
        <w:t xml:space="preserve">Centre for Tropical Water &amp; Aquatic Ecosystem Research (TropWATER) </w:t>
      </w:r>
    </w:p>
    <w:p w14:paraId="0C3F7A32" w14:textId="77777777" w:rsidR="009E7629" w:rsidRDefault="009E7629" w:rsidP="009E7629">
      <w:pPr>
        <w:rPr>
          <w:rFonts w:cs="Arial"/>
        </w:rPr>
      </w:pPr>
      <w:r>
        <w:rPr>
          <w:rFonts w:cs="Arial"/>
        </w:rPr>
        <w:t>James Cook University</w:t>
      </w:r>
    </w:p>
    <w:p w14:paraId="0C3F7A33" w14:textId="77777777" w:rsidR="009E7629" w:rsidRPr="00036C83" w:rsidRDefault="00C762F1" w:rsidP="009E7629">
      <w:pPr>
        <w:rPr>
          <w:rFonts w:cs="Arial"/>
        </w:rPr>
      </w:pPr>
      <w:r>
        <w:rPr>
          <w:rFonts w:cs="Arial"/>
        </w:rPr>
        <w:t>m</w:t>
      </w:r>
      <w:r w:rsidR="00036C83" w:rsidRPr="00036C83">
        <w:rPr>
          <w:rFonts w:cs="Arial"/>
        </w:rPr>
        <w:t>ichelle.devlin@jcu.edu.au</w:t>
      </w:r>
    </w:p>
    <w:p w14:paraId="0C3F7A34" w14:textId="77777777" w:rsidR="009E7629" w:rsidRDefault="009E7629" w:rsidP="009E7629">
      <w:pPr>
        <w:rPr>
          <w:rFonts w:cs="Arial"/>
        </w:rPr>
      </w:pPr>
    </w:p>
    <w:p w14:paraId="0C3F7A35" w14:textId="77777777" w:rsidR="009E7629" w:rsidRDefault="009E7629" w:rsidP="009E7629">
      <w:pPr>
        <w:rPr>
          <w:rFonts w:cs="Arial"/>
          <w:color w:val="000000"/>
        </w:rPr>
      </w:pPr>
    </w:p>
    <w:p w14:paraId="0C3F7A36" w14:textId="77777777" w:rsidR="009E7629" w:rsidRDefault="009E7629" w:rsidP="009E7629">
      <w:pPr>
        <w:rPr>
          <w:rFonts w:cs="Arial"/>
          <w:color w:val="000000"/>
        </w:rPr>
      </w:pPr>
    </w:p>
    <w:p w14:paraId="0C3F7A37" w14:textId="77777777" w:rsidR="009E7629" w:rsidRDefault="009E7629" w:rsidP="009E7629">
      <w:pPr>
        <w:autoSpaceDE w:val="0"/>
        <w:autoSpaceDN w:val="0"/>
        <w:adjustRightInd w:val="0"/>
        <w:rPr>
          <w:rFonts w:cs="Times New Roman"/>
          <w:szCs w:val="24"/>
          <w:lang w:val="en-US"/>
        </w:rPr>
      </w:pPr>
      <w:r>
        <w:rPr>
          <w:lang w:val="en-US"/>
        </w:rPr>
        <w:t xml:space="preserve">This publication has been </w:t>
      </w:r>
      <w:r>
        <w:rPr>
          <w:rFonts w:cs="Arial"/>
          <w:lang w:val="en-US"/>
        </w:rPr>
        <w:t>compiled by the Centre for Tropical Water &amp; Aquatic Ecosystem Research (TropWATER), James Cook University</w:t>
      </w:r>
      <w:r>
        <w:rPr>
          <w:lang w:val="en-US"/>
        </w:rPr>
        <w:t>.</w:t>
      </w:r>
    </w:p>
    <w:p w14:paraId="0C3F7A38" w14:textId="77777777" w:rsidR="009E7629" w:rsidRDefault="009E7629" w:rsidP="009E7629"/>
    <w:p w14:paraId="0C3F7A39" w14:textId="77777777" w:rsidR="009E7629" w:rsidRDefault="00076F4C" w:rsidP="009E7629">
      <w:pPr>
        <w:autoSpaceDE w:val="0"/>
        <w:autoSpaceDN w:val="0"/>
        <w:adjustRightInd w:val="0"/>
        <w:rPr>
          <w:lang w:val="en-US"/>
        </w:rPr>
      </w:pPr>
      <w:r>
        <w:rPr>
          <w:rFonts w:cs="Arial"/>
        </w:rPr>
        <w:t>© James Cook University, 2015</w:t>
      </w:r>
      <w:r w:rsidR="009E7629">
        <w:rPr>
          <w:rFonts w:cs="Arial"/>
        </w:rPr>
        <w:t xml:space="preserve">. </w:t>
      </w:r>
    </w:p>
    <w:p w14:paraId="0C3F7A3A" w14:textId="77777777" w:rsidR="009E7629" w:rsidRDefault="009E7629" w:rsidP="009E7629">
      <w:pPr>
        <w:rPr>
          <w:rFonts w:cs="Arial"/>
        </w:rPr>
      </w:pPr>
    </w:p>
    <w:p w14:paraId="0C3F7A3B" w14:textId="77777777" w:rsidR="009E7629" w:rsidRDefault="009E7629" w:rsidP="009E7629">
      <w:pPr>
        <w:rPr>
          <w:rFonts w:cs="Arial"/>
        </w:rPr>
      </w:pPr>
      <w:r>
        <w:rPr>
          <w:rFonts w:cs="Arial"/>
        </w:rPr>
        <w:t>Except as permitted by the</w:t>
      </w:r>
      <w:r>
        <w:rPr>
          <w:rFonts w:cs="Arial"/>
          <w:i/>
          <w:iCs/>
        </w:rPr>
        <w:t xml:space="preserve"> Copyright Act 1968</w:t>
      </w:r>
      <w:r>
        <w:rPr>
          <w:rFonts w:cs="Arial"/>
        </w:rPr>
        <w:t>, no part of the work may in any form or by any electronic, mechanical, photocopying, recording, or any other means be reproduced, stored in a retrieval system or be broadcast or transmitted without the prior written permission of TropWATER. The information contained herein is subject to change without notice. The copyright owner shall not be liable for technical or other errors or omissions contained herein. The reader/user accepts all risks and responsibility for losses, damages, costs and other consequences resulting directly or indirectly from using this information.</w:t>
      </w:r>
    </w:p>
    <w:p w14:paraId="0C3F7A3C" w14:textId="77777777" w:rsidR="009E7629" w:rsidRDefault="009E7629" w:rsidP="009E7629">
      <w:pPr>
        <w:rPr>
          <w:rFonts w:cs="Arial"/>
        </w:rPr>
      </w:pPr>
    </w:p>
    <w:p w14:paraId="0C3F7A3D" w14:textId="77777777" w:rsidR="00BB6724" w:rsidRDefault="009E7629" w:rsidP="00AA6D1B">
      <w:pPr>
        <w:jc w:val="left"/>
        <w:rPr>
          <w:rFonts w:cs="Arial"/>
        </w:rPr>
      </w:pPr>
      <w:r>
        <w:rPr>
          <w:rFonts w:cs="Arial"/>
        </w:rPr>
        <w:t>Enquiries about reproduction, including downloading or printing the web</w:t>
      </w:r>
      <w:r w:rsidR="00076F4C">
        <w:rPr>
          <w:rFonts w:cs="Arial"/>
        </w:rPr>
        <w:t xml:space="preserve"> version, should be directed to </w:t>
      </w:r>
      <w:r w:rsidR="00E838DF">
        <w:rPr>
          <w:rFonts w:cs="Arial"/>
        </w:rPr>
        <w:t>Great Barrier Reef Marine Park Authority</w:t>
      </w:r>
    </w:p>
    <w:p w14:paraId="0C3F7A3E" w14:textId="77777777" w:rsidR="00703EC1" w:rsidRDefault="00703EC1" w:rsidP="00A77D07">
      <w:pPr>
        <w:pStyle w:val="Body"/>
      </w:pPr>
    </w:p>
    <w:p w14:paraId="0C3F7A3F" w14:textId="77777777" w:rsidR="00E838DF" w:rsidRDefault="00E838DF" w:rsidP="00A77D07">
      <w:pPr>
        <w:pStyle w:val="Body"/>
      </w:pPr>
    </w:p>
    <w:p w14:paraId="0C3F7A40" w14:textId="77777777" w:rsidR="00E20D6B" w:rsidRPr="00A77D07" w:rsidRDefault="00E20D6B" w:rsidP="009E7629">
      <w:pPr>
        <w:pStyle w:val="Body"/>
        <w:rPr>
          <w:rFonts w:asciiTheme="minorHAnsi" w:hAnsiTheme="minorHAnsi"/>
          <w:b/>
        </w:rPr>
      </w:pPr>
    </w:p>
    <w:p w14:paraId="0C3F7A41" w14:textId="77777777" w:rsidR="00E20D6B" w:rsidRDefault="00E20D6B" w:rsidP="009E7629">
      <w:pPr>
        <w:pStyle w:val="Body"/>
        <w:rPr>
          <w:rFonts w:asciiTheme="minorHAnsi" w:hAnsiTheme="minorHAnsi"/>
          <w:b/>
        </w:rPr>
      </w:pPr>
    </w:p>
    <w:p w14:paraId="0C3F7A42" w14:textId="77777777" w:rsidR="00E20D6B" w:rsidRDefault="00E20D6B" w:rsidP="009E7629">
      <w:pPr>
        <w:pStyle w:val="Body"/>
        <w:rPr>
          <w:rFonts w:asciiTheme="minorHAnsi" w:hAnsiTheme="minorHAnsi"/>
          <w:b/>
        </w:rPr>
      </w:pPr>
    </w:p>
    <w:p w14:paraId="0C3F7A43" w14:textId="77777777" w:rsidR="009E7629" w:rsidRPr="00F6756B" w:rsidRDefault="009E7629" w:rsidP="009E7629">
      <w:pPr>
        <w:pStyle w:val="Body"/>
        <w:rPr>
          <w:rFonts w:asciiTheme="minorHAnsi" w:hAnsiTheme="minorHAnsi"/>
          <w:b/>
        </w:rPr>
      </w:pPr>
      <w:r w:rsidRPr="00F6756B">
        <w:rPr>
          <w:rFonts w:asciiTheme="minorHAnsi" w:hAnsiTheme="minorHAnsi"/>
          <w:b/>
        </w:rPr>
        <w:lastRenderedPageBreak/>
        <w:t>Acknowledgments</w:t>
      </w:r>
      <w:r>
        <w:rPr>
          <w:rFonts w:asciiTheme="minorHAnsi" w:hAnsiTheme="minorHAnsi"/>
          <w:b/>
        </w:rPr>
        <w:t>:</w:t>
      </w:r>
    </w:p>
    <w:p w14:paraId="0C3F7A44" w14:textId="77777777" w:rsidR="008F76C2" w:rsidRDefault="00F339E7" w:rsidP="008F76C2">
      <w:r>
        <w:t xml:space="preserve">We acknowledge the Australian Government funding under the Australian Government Reef Program and specifically thank the Great Barrier Reef Marine Park Authority and Department of Environment for financial and technical support under this program. </w:t>
      </w:r>
      <w:r w:rsidR="00951723">
        <w:t>Thank you to Katherine Martin and Carol Marshall for timely and helpful project management. We thank all the amazing people involved in our field work and all who have helped us through sampling of in some very extreme conditions. We particularly thank Jason and Bec from Mission Beach Charters who have been involved in our long term sampling of the Tully and Russell-Mulgrave marine waters, and who have been a key part of our program. Thanks to all the other MMP providers from JCU, AIMS and UQ. It’s a great team of people to be a part of and thanks for all the good discussions.  Thank you to the TropWater laboratory that have analysed thousandrs of samples for us. Thank you to CSIRO, particularly Thomas Schroeder and Vittorio Brando, who have provided advice and data for our ocean colour map. Thanks to BOM for the</w:t>
      </w:r>
      <w:r>
        <w:t xml:space="preserve"> implementation of the</w:t>
      </w:r>
      <w:r w:rsidR="00951723">
        <w:t xml:space="preserve"> WQ dashboard where we can now access remote sensed data. Finally, thank you to a great team of people at TropWater, particularly the Catchment to Reef Research Group, a small but wonderful team of people. </w:t>
      </w:r>
    </w:p>
    <w:p w14:paraId="0C3F7A45" w14:textId="77777777" w:rsidR="008F76C2" w:rsidRDefault="008F76C2" w:rsidP="008F76C2"/>
    <w:p w14:paraId="0C3F7A46" w14:textId="77777777" w:rsidR="007315EF" w:rsidRDefault="007315EF">
      <w:pPr>
        <w:spacing w:before="0" w:after="0"/>
        <w:jc w:val="left"/>
        <w:rPr>
          <w:b/>
          <w:sz w:val="32"/>
          <w:szCs w:val="32"/>
          <w:lang w:val="en-US"/>
        </w:rPr>
      </w:pPr>
      <w:r>
        <w:rPr>
          <w:b/>
          <w:sz w:val="32"/>
          <w:szCs w:val="32"/>
          <w:lang w:val="en-US"/>
        </w:rPr>
        <w:br w:type="page"/>
      </w:r>
    </w:p>
    <w:p w14:paraId="0C3F7A47" w14:textId="77777777" w:rsidR="007315EF" w:rsidRPr="005B5B17" w:rsidRDefault="007315EF" w:rsidP="007315EF">
      <w:pPr>
        <w:rPr>
          <w:sz w:val="32"/>
          <w:szCs w:val="32"/>
        </w:rPr>
      </w:pPr>
      <w:r w:rsidRPr="005B5B17">
        <w:rPr>
          <w:sz w:val="32"/>
          <w:szCs w:val="32"/>
          <w:lang w:val="en-US"/>
        </w:rPr>
        <w:lastRenderedPageBreak/>
        <w:t>TABLE OF CONTENTS</w:t>
      </w:r>
    </w:p>
    <w:p w14:paraId="0C3F7A48" w14:textId="77777777" w:rsidR="00D243CD" w:rsidRPr="005B5B17" w:rsidRDefault="007315EF">
      <w:pPr>
        <w:pStyle w:val="TOC1"/>
        <w:rPr>
          <w:rFonts w:eastAsiaTheme="minorEastAsia" w:cstheme="minorBidi"/>
          <w:b w:val="0"/>
          <w:noProof/>
          <w:szCs w:val="22"/>
        </w:rPr>
      </w:pPr>
      <w:r w:rsidRPr="005B5B17">
        <w:rPr>
          <w:b w:val="0"/>
        </w:rPr>
        <w:fldChar w:fldCharType="begin"/>
      </w:r>
      <w:r w:rsidRPr="005B5B17">
        <w:rPr>
          <w:b w:val="0"/>
        </w:rPr>
        <w:instrText xml:space="preserve"> TOC \o "1-4" \u </w:instrText>
      </w:r>
      <w:r w:rsidRPr="005B5B17">
        <w:rPr>
          <w:b w:val="0"/>
        </w:rPr>
        <w:fldChar w:fldCharType="separate"/>
      </w:r>
      <w:r w:rsidR="00D243CD" w:rsidRPr="005B5B17">
        <w:rPr>
          <w:b w:val="0"/>
          <w:noProof/>
        </w:rPr>
        <w:t>About this Report</w:t>
      </w:r>
      <w:r w:rsidR="00D243CD" w:rsidRPr="005B5B17">
        <w:rPr>
          <w:b w:val="0"/>
          <w:noProof/>
        </w:rPr>
        <w:tab/>
      </w:r>
      <w:r w:rsidR="00D243CD" w:rsidRPr="005B5B17">
        <w:rPr>
          <w:b w:val="0"/>
          <w:noProof/>
        </w:rPr>
        <w:fldChar w:fldCharType="begin"/>
      </w:r>
      <w:r w:rsidR="00D243CD" w:rsidRPr="005B5B17">
        <w:rPr>
          <w:b w:val="0"/>
          <w:noProof/>
        </w:rPr>
        <w:instrText xml:space="preserve"> PAGEREF _Toc434207975 \h </w:instrText>
      </w:r>
      <w:r w:rsidR="00D243CD" w:rsidRPr="005B5B17">
        <w:rPr>
          <w:b w:val="0"/>
          <w:noProof/>
        </w:rPr>
      </w:r>
      <w:r w:rsidR="00D243CD" w:rsidRPr="005B5B17">
        <w:rPr>
          <w:b w:val="0"/>
          <w:noProof/>
        </w:rPr>
        <w:fldChar w:fldCharType="separate"/>
      </w:r>
      <w:r w:rsidR="00B62B50">
        <w:rPr>
          <w:b w:val="0"/>
          <w:noProof/>
        </w:rPr>
        <w:t>xii</w:t>
      </w:r>
      <w:r w:rsidR="00D243CD" w:rsidRPr="005B5B17">
        <w:rPr>
          <w:b w:val="0"/>
          <w:noProof/>
        </w:rPr>
        <w:fldChar w:fldCharType="end"/>
      </w:r>
    </w:p>
    <w:p w14:paraId="0C3F7A49" w14:textId="77777777" w:rsidR="00D243CD" w:rsidRPr="005B5B17" w:rsidRDefault="00D243CD">
      <w:pPr>
        <w:pStyle w:val="TOC1"/>
        <w:rPr>
          <w:rFonts w:eastAsiaTheme="minorEastAsia" w:cstheme="minorBidi"/>
          <w:b w:val="0"/>
          <w:noProof/>
          <w:szCs w:val="22"/>
        </w:rPr>
      </w:pPr>
      <w:r w:rsidRPr="005B5B17">
        <w:rPr>
          <w:b w:val="0"/>
          <w:noProof/>
        </w:rPr>
        <w:t>1.</w:t>
      </w:r>
      <w:r w:rsidRPr="005B5B17">
        <w:rPr>
          <w:rFonts w:eastAsiaTheme="minorEastAsia" w:cstheme="minorBidi"/>
          <w:b w:val="0"/>
          <w:noProof/>
          <w:szCs w:val="22"/>
        </w:rPr>
        <w:tab/>
      </w:r>
      <w:r w:rsidRPr="005B5B17">
        <w:rPr>
          <w:b w:val="0"/>
          <w:noProof/>
        </w:rPr>
        <w:t>Executive summary</w:t>
      </w:r>
      <w:r w:rsidRPr="005B5B17">
        <w:rPr>
          <w:b w:val="0"/>
          <w:noProof/>
        </w:rPr>
        <w:tab/>
      </w:r>
      <w:r w:rsidRPr="005B5B17">
        <w:rPr>
          <w:b w:val="0"/>
          <w:noProof/>
        </w:rPr>
        <w:fldChar w:fldCharType="begin"/>
      </w:r>
      <w:r w:rsidRPr="005B5B17">
        <w:rPr>
          <w:b w:val="0"/>
          <w:noProof/>
        </w:rPr>
        <w:instrText xml:space="preserve"> PAGEREF _Toc434207976 \h </w:instrText>
      </w:r>
      <w:r w:rsidRPr="005B5B17">
        <w:rPr>
          <w:b w:val="0"/>
          <w:noProof/>
        </w:rPr>
      </w:r>
      <w:r w:rsidRPr="005B5B17">
        <w:rPr>
          <w:b w:val="0"/>
          <w:noProof/>
        </w:rPr>
        <w:fldChar w:fldCharType="separate"/>
      </w:r>
      <w:r w:rsidR="00B62B50">
        <w:rPr>
          <w:b w:val="0"/>
          <w:noProof/>
        </w:rPr>
        <w:t>1</w:t>
      </w:r>
      <w:r w:rsidRPr="005B5B17">
        <w:rPr>
          <w:b w:val="0"/>
          <w:noProof/>
        </w:rPr>
        <w:fldChar w:fldCharType="end"/>
      </w:r>
    </w:p>
    <w:p w14:paraId="0C3F7A4A"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1.1.</w:t>
      </w:r>
      <w:r w:rsidRPr="005B5B17">
        <w:rPr>
          <w:rFonts w:eastAsiaTheme="minorEastAsia" w:cstheme="minorBidi"/>
          <w:b w:val="0"/>
          <w:bCs w:val="0"/>
          <w:iCs w:val="0"/>
          <w:noProof/>
          <w:szCs w:val="22"/>
          <w:lang w:val="en-US"/>
        </w:rPr>
        <w:tab/>
      </w:r>
      <w:r w:rsidRPr="005B5B17">
        <w:rPr>
          <w:b w:val="0"/>
          <w:noProof/>
        </w:rPr>
        <w:t>Scope of report</w:t>
      </w:r>
      <w:r w:rsidRPr="005B5B17">
        <w:rPr>
          <w:b w:val="0"/>
          <w:noProof/>
        </w:rPr>
        <w:tab/>
      </w:r>
      <w:r w:rsidRPr="005B5B17">
        <w:rPr>
          <w:b w:val="0"/>
          <w:noProof/>
        </w:rPr>
        <w:fldChar w:fldCharType="begin"/>
      </w:r>
      <w:r w:rsidRPr="005B5B17">
        <w:rPr>
          <w:b w:val="0"/>
          <w:noProof/>
        </w:rPr>
        <w:instrText xml:space="preserve"> PAGEREF _Toc434207977 \h </w:instrText>
      </w:r>
      <w:r w:rsidRPr="005B5B17">
        <w:rPr>
          <w:b w:val="0"/>
          <w:noProof/>
        </w:rPr>
      </w:r>
      <w:r w:rsidRPr="005B5B17">
        <w:rPr>
          <w:b w:val="0"/>
          <w:noProof/>
        </w:rPr>
        <w:fldChar w:fldCharType="separate"/>
      </w:r>
      <w:r w:rsidR="00B62B50">
        <w:rPr>
          <w:b w:val="0"/>
          <w:noProof/>
        </w:rPr>
        <w:t>1</w:t>
      </w:r>
      <w:r w:rsidRPr="005B5B17">
        <w:rPr>
          <w:b w:val="0"/>
          <w:noProof/>
        </w:rPr>
        <w:fldChar w:fldCharType="end"/>
      </w:r>
    </w:p>
    <w:p w14:paraId="0C3F7A4B"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1.2.</w:t>
      </w:r>
      <w:r w:rsidRPr="005B5B17">
        <w:rPr>
          <w:rFonts w:eastAsiaTheme="minorEastAsia" w:cstheme="minorBidi"/>
          <w:b w:val="0"/>
          <w:bCs w:val="0"/>
          <w:iCs w:val="0"/>
          <w:noProof/>
          <w:szCs w:val="22"/>
          <w:lang w:val="en-US"/>
        </w:rPr>
        <w:tab/>
      </w:r>
      <w:r w:rsidRPr="005B5B17">
        <w:rPr>
          <w:b w:val="0"/>
          <w:noProof/>
        </w:rPr>
        <w:t>Characteristics of the 2012-2013 Wet Season</w:t>
      </w:r>
      <w:r w:rsidRPr="005B5B17">
        <w:rPr>
          <w:b w:val="0"/>
          <w:noProof/>
        </w:rPr>
        <w:tab/>
      </w:r>
      <w:r w:rsidRPr="005B5B17">
        <w:rPr>
          <w:b w:val="0"/>
          <w:noProof/>
        </w:rPr>
        <w:fldChar w:fldCharType="begin"/>
      </w:r>
      <w:r w:rsidRPr="005B5B17">
        <w:rPr>
          <w:b w:val="0"/>
          <w:noProof/>
        </w:rPr>
        <w:instrText xml:space="preserve"> PAGEREF _Toc434207978 \h </w:instrText>
      </w:r>
      <w:r w:rsidRPr="005B5B17">
        <w:rPr>
          <w:b w:val="0"/>
          <w:noProof/>
        </w:rPr>
      </w:r>
      <w:r w:rsidRPr="005B5B17">
        <w:rPr>
          <w:b w:val="0"/>
          <w:noProof/>
        </w:rPr>
        <w:fldChar w:fldCharType="separate"/>
      </w:r>
      <w:r w:rsidR="00B62B50">
        <w:rPr>
          <w:b w:val="0"/>
          <w:noProof/>
        </w:rPr>
        <w:t>1</w:t>
      </w:r>
      <w:r w:rsidRPr="005B5B17">
        <w:rPr>
          <w:b w:val="0"/>
          <w:noProof/>
        </w:rPr>
        <w:fldChar w:fldCharType="end"/>
      </w:r>
    </w:p>
    <w:p w14:paraId="0C3F7A4C"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1.3.</w:t>
      </w:r>
      <w:r w:rsidRPr="005B5B17">
        <w:rPr>
          <w:rFonts w:eastAsiaTheme="minorEastAsia" w:cstheme="minorBidi"/>
          <w:b w:val="0"/>
          <w:bCs w:val="0"/>
          <w:iCs w:val="0"/>
          <w:noProof/>
          <w:szCs w:val="22"/>
          <w:lang w:val="en-US"/>
        </w:rPr>
        <w:tab/>
      </w:r>
      <w:r w:rsidRPr="005B5B17">
        <w:rPr>
          <w:b w:val="0"/>
          <w:i/>
          <w:noProof/>
        </w:rPr>
        <w:t>In-Situ</w:t>
      </w:r>
      <w:r w:rsidRPr="005B5B17">
        <w:rPr>
          <w:b w:val="0"/>
          <w:noProof/>
        </w:rPr>
        <w:t xml:space="preserve"> Water Quality</w:t>
      </w:r>
      <w:r w:rsidRPr="005B5B17">
        <w:rPr>
          <w:b w:val="0"/>
          <w:noProof/>
        </w:rPr>
        <w:tab/>
      </w:r>
      <w:r w:rsidRPr="005B5B17">
        <w:rPr>
          <w:b w:val="0"/>
          <w:noProof/>
        </w:rPr>
        <w:fldChar w:fldCharType="begin"/>
      </w:r>
      <w:r w:rsidRPr="005B5B17">
        <w:rPr>
          <w:b w:val="0"/>
          <w:noProof/>
        </w:rPr>
        <w:instrText xml:space="preserve"> PAGEREF _Toc434207979 \h </w:instrText>
      </w:r>
      <w:r w:rsidRPr="005B5B17">
        <w:rPr>
          <w:b w:val="0"/>
          <w:noProof/>
        </w:rPr>
      </w:r>
      <w:r w:rsidRPr="005B5B17">
        <w:rPr>
          <w:b w:val="0"/>
          <w:noProof/>
        </w:rPr>
        <w:fldChar w:fldCharType="separate"/>
      </w:r>
      <w:r w:rsidR="00B62B50">
        <w:rPr>
          <w:b w:val="0"/>
          <w:noProof/>
        </w:rPr>
        <w:t>1</w:t>
      </w:r>
      <w:r w:rsidRPr="005B5B17">
        <w:rPr>
          <w:b w:val="0"/>
          <w:noProof/>
        </w:rPr>
        <w:fldChar w:fldCharType="end"/>
      </w:r>
    </w:p>
    <w:p w14:paraId="0C3F7A4D"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1.4.</w:t>
      </w:r>
      <w:r w:rsidRPr="005B5B17">
        <w:rPr>
          <w:rFonts w:eastAsiaTheme="minorEastAsia" w:cstheme="minorBidi"/>
          <w:b w:val="0"/>
          <w:bCs w:val="0"/>
          <w:iCs w:val="0"/>
          <w:noProof/>
          <w:szCs w:val="22"/>
          <w:lang w:val="en-US"/>
        </w:rPr>
        <w:tab/>
      </w:r>
      <w:r w:rsidRPr="005B5B17">
        <w:rPr>
          <w:b w:val="0"/>
          <w:noProof/>
        </w:rPr>
        <w:t>Mapping of river plumes</w:t>
      </w:r>
      <w:r w:rsidRPr="005B5B17">
        <w:rPr>
          <w:b w:val="0"/>
          <w:noProof/>
        </w:rPr>
        <w:tab/>
      </w:r>
      <w:r w:rsidRPr="005B5B17">
        <w:rPr>
          <w:b w:val="0"/>
          <w:noProof/>
        </w:rPr>
        <w:fldChar w:fldCharType="begin"/>
      </w:r>
      <w:r w:rsidRPr="005B5B17">
        <w:rPr>
          <w:b w:val="0"/>
          <w:noProof/>
        </w:rPr>
        <w:instrText xml:space="preserve"> PAGEREF _Toc434207980 \h </w:instrText>
      </w:r>
      <w:r w:rsidRPr="005B5B17">
        <w:rPr>
          <w:b w:val="0"/>
          <w:noProof/>
        </w:rPr>
      </w:r>
      <w:r w:rsidRPr="005B5B17">
        <w:rPr>
          <w:b w:val="0"/>
          <w:noProof/>
        </w:rPr>
        <w:fldChar w:fldCharType="separate"/>
      </w:r>
      <w:r w:rsidR="00B62B50">
        <w:rPr>
          <w:b w:val="0"/>
          <w:noProof/>
        </w:rPr>
        <w:t>4</w:t>
      </w:r>
      <w:r w:rsidRPr="005B5B17">
        <w:rPr>
          <w:b w:val="0"/>
          <w:noProof/>
        </w:rPr>
        <w:fldChar w:fldCharType="end"/>
      </w:r>
    </w:p>
    <w:p w14:paraId="0C3F7A4E"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1.5.</w:t>
      </w:r>
      <w:r w:rsidRPr="005B5B17">
        <w:rPr>
          <w:rFonts w:eastAsiaTheme="minorEastAsia" w:cstheme="minorBidi"/>
          <w:b w:val="0"/>
          <w:bCs w:val="0"/>
          <w:iCs w:val="0"/>
          <w:noProof/>
          <w:szCs w:val="22"/>
          <w:lang w:val="en-US"/>
        </w:rPr>
        <w:tab/>
      </w:r>
      <w:r w:rsidRPr="005B5B17">
        <w:rPr>
          <w:b w:val="0"/>
          <w:noProof/>
        </w:rPr>
        <w:t>Future RS developments</w:t>
      </w:r>
      <w:r w:rsidRPr="005B5B17">
        <w:rPr>
          <w:b w:val="0"/>
          <w:noProof/>
        </w:rPr>
        <w:tab/>
      </w:r>
      <w:r w:rsidRPr="005B5B17">
        <w:rPr>
          <w:b w:val="0"/>
          <w:noProof/>
        </w:rPr>
        <w:fldChar w:fldCharType="begin"/>
      </w:r>
      <w:r w:rsidRPr="005B5B17">
        <w:rPr>
          <w:b w:val="0"/>
          <w:noProof/>
        </w:rPr>
        <w:instrText xml:space="preserve"> PAGEREF _Toc434207981 \h </w:instrText>
      </w:r>
      <w:r w:rsidRPr="005B5B17">
        <w:rPr>
          <w:b w:val="0"/>
          <w:noProof/>
        </w:rPr>
      </w:r>
      <w:r w:rsidRPr="005B5B17">
        <w:rPr>
          <w:b w:val="0"/>
          <w:noProof/>
        </w:rPr>
        <w:fldChar w:fldCharType="separate"/>
      </w:r>
      <w:r w:rsidR="00B62B50">
        <w:rPr>
          <w:b w:val="0"/>
          <w:noProof/>
        </w:rPr>
        <w:t>9</w:t>
      </w:r>
      <w:r w:rsidRPr="005B5B17">
        <w:rPr>
          <w:b w:val="0"/>
          <w:noProof/>
        </w:rPr>
        <w:fldChar w:fldCharType="end"/>
      </w:r>
    </w:p>
    <w:p w14:paraId="0C3F7A4F" w14:textId="77777777" w:rsidR="00D243CD" w:rsidRPr="005B5B17" w:rsidRDefault="00D243CD">
      <w:pPr>
        <w:pStyle w:val="TOC1"/>
        <w:rPr>
          <w:rFonts w:eastAsiaTheme="minorEastAsia" w:cstheme="minorBidi"/>
          <w:b w:val="0"/>
          <w:noProof/>
          <w:szCs w:val="22"/>
        </w:rPr>
      </w:pPr>
      <w:r w:rsidRPr="005B5B17">
        <w:rPr>
          <w:b w:val="0"/>
          <w:noProof/>
        </w:rPr>
        <w:t>2.</w:t>
      </w:r>
      <w:r w:rsidRPr="005B5B17">
        <w:rPr>
          <w:rFonts w:eastAsiaTheme="minorEastAsia" w:cstheme="minorBidi"/>
          <w:b w:val="0"/>
          <w:noProof/>
          <w:szCs w:val="22"/>
        </w:rPr>
        <w:tab/>
      </w:r>
      <w:r w:rsidRPr="005B5B17">
        <w:rPr>
          <w:b w:val="0"/>
          <w:noProof/>
        </w:rPr>
        <w:t>Introduction</w:t>
      </w:r>
      <w:r w:rsidRPr="005B5B17">
        <w:rPr>
          <w:b w:val="0"/>
          <w:noProof/>
        </w:rPr>
        <w:tab/>
      </w:r>
      <w:r w:rsidRPr="005B5B17">
        <w:rPr>
          <w:b w:val="0"/>
          <w:noProof/>
        </w:rPr>
        <w:fldChar w:fldCharType="begin"/>
      </w:r>
      <w:r w:rsidRPr="005B5B17">
        <w:rPr>
          <w:b w:val="0"/>
          <w:noProof/>
        </w:rPr>
        <w:instrText xml:space="preserve"> PAGEREF _Toc434207982 \h </w:instrText>
      </w:r>
      <w:r w:rsidRPr="005B5B17">
        <w:rPr>
          <w:b w:val="0"/>
          <w:noProof/>
        </w:rPr>
      </w:r>
      <w:r w:rsidRPr="005B5B17">
        <w:rPr>
          <w:b w:val="0"/>
          <w:noProof/>
        </w:rPr>
        <w:fldChar w:fldCharType="separate"/>
      </w:r>
      <w:r w:rsidR="00B62B50">
        <w:rPr>
          <w:b w:val="0"/>
          <w:noProof/>
        </w:rPr>
        <w:t>10</w:t>
      </w:r>
      <w:r w:rsidRPr="005B5B17">
        <w:rPr>
          <w:b w:val="0"/>
          <w:noProof/>
        </w:rPr>
        <w:fldChar w:fldCharType="end"/>
      </w:r>
    </w:p>
    <w:p w14:paraId="0C3F7A50"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2.1.</w:t>
      </w:r>
      <w:r w:rsidRPr="005B5B17">
        <w:rPr>
          <w:rFonts w:eastAsiaTheme="minorEastAsia" w:cstheme="minorBidi"/>
          <w:b w:val="0"/>
          <w:bCs w:val="0"/>
          <w:iCs w:val="0"/>
          <w:noProof/>
          <w:szCs w:val="22"/>
          <w:lang w:val="en-US"/>
        </w:rPr>
        <w:tab/>
      </w:r>
      <w:r w:rsidRPr="005B5B17">
        <w:rPr>
          <w:b w:val="0"/>
          <w:noProof/>
        </w:rPr>
        <w:t>Marine Monitoring Program</w:t>
      </w:r>
      <w:r w:rsidRPr="005B5B17">
        <w:rPr>
          <w:b w:val="0"/>
          <w:noProof/>
        </w:rPr>
        <w:tab/>
      </w:r>
      <w:r w:rsidRPr="005B5B17">
        <w:rPr>
          <w:b w:val="0"/>
          <w:noProof/>
        </w:rPr>
        <w:fldChar w:fldCharType="begin"/>
      </w:r>
      <w:r w:rsidRPr="005B5B17">
        <w:rPr>
          <w:b w:val="0"/>
          <w:noProof/>
        </w:rPr>
        <w:instrText xml:space="preserve"> PAGEREF _Toc434207983 \h </w:instrText>
      </w:r>
      <w:r w:rsidRPr="005B5B17">
        <w:rPr>
          <w:b w:val="0"/>
          <w:noProof/>
        </w:rPr>
      </w:r>
      <w:r w:rsidRPr="005B5B17">
        <w:rPr>
          <w:b w:val="0"/>
          <w:noProof/>
        </w:rPr>
        <w:fldChar w:fldCharType="separate"/>
      </w:r>
      <w:r w:rsidR="00B62B50">
        <w:rPr>
          <w:b w:val="0"/>
          <w:noProof/>
        </w:rPr>
        <w:t>10</w:t>
      </w:r>
      <w:r w:rsidRPr="005B5B17">
        <w:rPr>
          <w:b w:val="0"/>
          <w:noProof/>
        </w:rPr>
        <w:fldChar w:fldCharType="end"/>
      </w:r>
    </w:p>
    <w:p w14:paraId="0C3F7A51"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2.2.</w:t>
      </w:r>
      <w:r w:rsidRPr="005B5B17">
        <w:rPr>
          <w:rFonts w:eastAsiaTheme="minorEastAsia" w:cstheme="minorBidi"/>
          <w:b w:val="0"/>
          <w:bCs w:val="0"/>
          <w:iCs w:val="0"/>
          <w:noProof/>
          <w:szCs w:val="22"/>
          <w:lang w:val="en-US"/>
        </w:rPr>
        <w:tab/>
      </w:r>
      <w:r w:rsidRPr="005B5B17">
        <w:rPr>
          <w:b w:val="0"/>
          <w:noProof/>
        </w:rPr>
        <w:t>Sampling design</w:t>
      </w:r>
      <w:r w:rsidRPr="005B5B17">
        <w:rPr>
          <w:b w:val="0"/>
          <w:noProof/>
        </w:rPr>
        <w:tab/>
      </w:r>
      <w:r w:rsidRPr="005B5B17">
        <w:rPr>
          <w:b w:val="0"/>
          <w:noProof/>
        </w:rPr>
        <w:fldChar w:fldCharType="begin"/>
      </w:r>
      <w:r w:rsidRPr="005B5B17">
        <w:rPr>
          <w:b w:val="0"/>
          <w:noProof/>
        </w:rPr>
        <w:instrText xml:space="preserve"> PAGEREF _Toc434207984 \h </w:instrText>
      </w:r>
      <w:r w:rsidRPr="005B5B17">
        <w:rPr>
          <w:b w:val="0"/>
          <w:noProof/>
        </w:rPr>
      </w:r>
      <w:r w:rsidRPr="005B5B17">
        <w:rPr>
          <w:b w:val="0"/>
          <w:noProof/>
        </w:rPr>
        <w:fldChar w:fldCharType="separate"/>
      </w:r>
      <w:r w:rsidR="00B62B50">
        <w:rPr>
          <w:b w:val="0"/>
          <w:noProof/>
        </w:rPr>
        <w:t>12</w:t>
      </w:r>
      <w:r w:rsidRPr="005B5B17">
        <w:rPr>
          <w:b w:val="0"/>
          <w:noProof/>
        </w:rPr>
        <w:fldChar w:fldCharType="end"/>
      </w:r>
    </w:p>
    <w:p w14:paraId="0C3F7A52" w14:textId="77777777" w:rsidR="00D243CD" w:rsidRPr="005B5B17" w:rsidRDefault="00D243CD">
      <w:pPr>
        <w:pStyle w:val="TOC1"/>
        <w:rPr>
          <w:rFonts w:eastAsiaTheme="minorEastAsia" w:cstheme="minorBidi"/>
          <w:b w:val="0"/>
          <w:noProof/>
          <w:szCs w:val="22"/>
        </w:rPr>
      </w:pPr>
      <w:r w:rsidRPr="005B5B17">
        <w:rPr>
          <w:b w:val="0"/>
          <w:noProof/>
        </w:rPr>
        <w:t>3.</w:t>
      </w:r>
      <w:r w:rsidRPr="005B5B17">
        <w:rPr>
          <w:rFonts w:eastAsiaTheme="minorEastAsia" w:cstheme="minorBidi"/>
          <w:b w:val="0"/>
          <w:noProof/>
          <w:szCs w:val="22"/>
        </w:rPr>
        <w:tab/>
      </w:r>
      <w:r w:rsidRPr="005B5B17">
        <w:rPr>
          <w:b w:val="0"/>
          <w:noProof/>
        </w:rPr>
        <w:t>Characteristics of the 2012-2013 wet season.</w:t>
      </w:r>
      <w:r w:rsidRPr="005B5B17">
        <w:rPr>
          <w:b w:val="0"/>
          <w:noProof/>
        </w:rPr>
        <w:tab/>
      </w:r>
      <w:r w:rsidRPr="005B5B17">
        <w:rPr>
          <w:b w:val="0"/>
          <w:noProof/>
        </w:rPr>
        <w:fldChar w:fldCharType="begin"/>
      </w:r>
      <w:r w:rsidRPr="005B5B17">
        <w:rPr>
          <w:b w:val="0"/>
          <w:noProof/>
        </w:rPr>
        <w:instrText xml:space="preserve"> PAGEREF _Toc434207985 \h </w:instrText>
      </w:r>
      <w:r w:rsidRPr="005B5B17">
        <w:rPr>
          <w:b w:val="0"/>
          <w:noProof/>
        </w:rPr>
      </w:r>
      <w:r w:rsidRPr="005B5B17">
        <w:rPr>
          <w:b w:val="0"/>
          <w:noProof/>
        </w:rPr>
        <w:fldChar w:fldCharType="separate"/>
      </w:r>
      <w:r w:rsidR="00B62B50">
        <w:rPr>
          <w:b w:val="0"/>
          <w:noProof/>
        </w:rPr>
        <w:t>14</w:t>
      </w:r>
      <w:r w:rsidRPr="005B5B17">
        <w:rPr>
          <w:b w:val="0"/>
          <w:noProof/>
        </w:rPr>
        <w:fldChar w:fldCharType="end"/>
      </w:r>
    </w:p>
    <w:p w14:paraId="0C3F7A53"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3.1.</w:t>
      </w:r>
      <w:r w:rsidRPr="005B5B17">
        <w:rPr>
          <w:rFonts w:eastAsiaTheme="minorEastAsia" w:cstheme="minorBidi"/>
          <w:b w:val="0"/>
          <w:bCs w:val="0"/>
          <w:iCs w:val="0"/>
          <w:noProof/>
          <w:szCs w:val="22"/>
          <w:lang w:val="en-US"/>
        </w:rPr>
        <w:tab/>
      </w:r>
      <w:r w:rsidRPr="005B5B17">
        <w:rPr>
          <w:b w:val="0"/>
          <w:noProof/>
        </w:rPr>
        <w:t>Wet Season conditions</w:t>
      </w:r>
      <w:r w:rsidRPr="005B5B17">
        <w:rPr>
          <w:b w:val="0"/>
          <w:noProof/>
        </w:rPr>
        <w:tab/>
      </w:r>
      <w:r w:rsidRPr="005B5B17">
        <w:rPr>
          <w:b w:val="0"/>
          <w:noProof/>
        </w:rPr>
        <w:fldChar w:fldCharType="begin"/>
      </w:r>
      <w:r w:rsidRPr="005B5B17">
        <w:rPr>
          <w:b w:val="0"/>
          <w:noProof/>
        </w:rPr>
        <w:instrText xml:space="preserve"> PAGEREF _Toc434207986 \h </w:instrText>
      </w:r>
      <w:r w:rsidRPr="005B5B17">
        <w:rPr>
          <w:b w:val="0"/>
          <w:noProof/>
        </w:rPr>
      </w:r>
      <w:r w:rsidRPr="005B5B17">
        <w:rPr>
          <w:b w:val="0"/>
          <w:noProof/>
        </w:rPr>
        <w:fldChar w:fldCharType="separate"/>
      </w:r>
      <w:r w:rsidR="00B62B50">
        <w:rPr>
          <w:b w:val="0"/>
          <w:noProof/>
        </w:rPr>
        <w:t>14</w:t>
      </w:r>
      <w:r w:rsidRPr="005B5B17">
        <w:rPr>
          <w:b w:val="0"/>
          <w:noProof/>
        </w:rPr>
        <w:fldChar w:fldCharType="end"/>
      </w:r>
    </w:p>
    <w:p w14:paraId="0C3F7A54"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3.2.</w:t>
      </w:r>
      <w:r w:rsidRPr="005B5B17">
        <w:rPr>
          <w:rFonts w:eastAsiaTheme="minorEastAsia" w:cstheme="minorBidi"/>
          <w:b w:val="0"/>
          <w:bCs w:val="0"/>
          <w:iCs w:val="0"/>
          <w:noProof/>
          <w:szCs w:val="22"/>
          <w:lang w:val="en-US"/>
        </w:rPr>
        <w:tab/>
      </w:r>
      <w:r w:rsidRPr="005B5B17">
        <w:rPr>
          <w:b w:val="0"/>
          <w:noProof/>
        </w:rPr>
        <w:t>Extent of river plumes – 2012/2013 wet season</w:t>
      </w:r>
      <w:r w:rsidRPr="005B5B17">
        <w:rPr>
          <w:b w:val="0"/>
          <w:noProof/>
        </w:rPr>
        <w:tab/>
      </w:r>
      <w:r w:rsidRPr="005B5B17">
        <w:rPr>
          <w:b w:val="0"/>
          <w:noProof/>
        </w:rPr>
        <w:fldChar w:fldCharType="begin"/>
      </w:r>
      <w:r w:rsidRPr="005B5B17">
        <w:rPr>
          <w:b w:val="0"/>
          <w:noProof/>
        </w:rPr>
        <w:instrText xml:space="preserve"> PAGEREF _Toc434207987 \h </w:instrText>
      </w:r>
      <w:r w:rsidRPr="005B5B17">
        <w:rPr>
          <w:b w:val="0"/>
          <w:noProof/>
        </w:rPr>
      </w:r>
      <w:r w:rsidRPr="005B5B17">
        <w:rPr>
          <w:b w:val="0"/>
          <w:noProof/>
        </w:rPr>
        <w:fldChar w:fldCharType="separate"/>
      </w:r>
      <w:r w:rsidR="00B62B50">
        <w:rPr>
          <w:b w:val="0"/>
          <w:noProof/>
        </w:rPr>
        <w:t>16</w:t>
      </w:r>
      <w:r w:rsidRPr="005B5B17">
        <w:rPr>
          <w:b w:val="0"/>
          <w:noProof/>
        </w:rPr>
        <w:fldChar w:fldCharType="end"/>
      </w:r>
    </w:p>
    <w:p w14:paraId="0C3F7A55" w14:textId="77777777" w:rsidR="00D243CD" w:rsidRPr="005B5B17" w:rsidRDefault="00D243CD">
      <w:pPr>
        <w:pStyle w:val="TOC3"/>
        <w:rPr>
          <w:rFonts w:eastAsiaTheme="minorEastAsia" w:cstheme="minorBidi"/>
          <w:b w:val="0"/>
          <w:iCs w:val="0"/>
          <w:noProof/>
          <w:szCs w:val="22"/>
          <w:lang w:val="en-US"/>
        </w:rPr>
      </w:pPr>
      <w:r w:rsidRPr="005B5B17">
        <w:rPr>
          <w:b w:val="0"/>
          <w:noProof/>
        </w:rPr>
        <w:t>3.2.1.</w:t>
      </w:r>
      <w:r w:rsidRPr="005B5B17">
        <w:rPr>
          <w:rFonts w:eastAsiaTheme="minorEastAsia" w:cstheme="minorBidi"/>
          <w:b w:val="0"/>
          <w:iCs w:val="0"/>
          <w:noProof/>
          <w:szCs w:val="22"/>
          <w:lang w:val="en-US"/>
        </w:rPr>
        <w:tab/>
      </w:r>
      <w:r w:rsidRPr="005B5B17">
        <w:rPr>
          <w:b w:val="0"/>
          <w:noProof/>
        </w:rPr>
        <w:t>Wet Tropics NRM</w:t>
      </w:r>
      <w:r w:rsidRPr="005B5B17">
        <w:rPr>
          <w:b w:val="0"/>
          <w:noProof/>
        </w:rPr>
        <w:tab/>
      </w:r>
      <w:r w:rsidRPr="005B5B17">
        <w:rPr>
          <w:b w:val="0"/>
          <w:noProof/>
        </w:rPr>
        <w:fldChar w:fldCharType="begin"/>
      </w:r>
      <w:r w:rsidRPr="005B5B17">
        <w:rPr>
          <w:b w:val="0"/>
          <w:noProof/>
        </w:rPr>
        <w:instrText xml:space="preserve"> PAGEREF _Toc434207988 \h </w:instrText>
      </w:r>
      <w:r w:rsidRPr="005B5B17">
        <w:rPr>
          <w:b w:val="0"/>
          <w:noProof/>
        </w:rPr>
      </w:r>
      <w:r w:rsidRPr="005B5B17">
        <w:rPr>
          <w:b w:val="0"/>
          <w:noProof/>
        </w:rPr>
        <w:fldChar w:fldCharType="separate"/>
      </w:r>
      <w:r w:rsidR="00B62B50">
        <w:rPr>
          <w:b w:val="0"/>
          <w:noProof/>
        </w:rPr>
        <w:t>17</w:t>
      </w:r>
      <w:r w:rsidRPr="005B5B17">
        <w:rPr>
          <w:b w:val="0"/>
          <w:noProof/>
        </w:rPr>
        <w:fldChar w:fldCharType="end"/>
      </w:r>
    </w:p>
    <w:p w14:paraId="0C3F7A56" w14:textId="77777777" w:rsidR="00D243CD" w:rsidRPr="005B5B17" w:rsidRDefault="00D243CD">
      <w:pPr>
        <w:pStyle w:val="TOC3"/>
        <w:rPr>
          <w:rFonts w:eastAsiaTheme="minorEastAsia" w:cstheme="minorBidi"/>
          <w:b w:val="0"/>
          <w:iCs w:val="0"/>
          <w:noProof/>
          <w:szCs w:val="22"/>
          <w:lang w:val="en-US"/>
        </w:rPr>
      </w:pPr>
      <w:r w:rsidRPr="005B5B17">
        <w:rPr>
          <w:b w:val="0"/>
          <w:noProof/>
        </w:rPr>
        <w:t>3.2.2.</w:t>
      </w:r>
      <w:r w:rsidRPr="005B5B17">
        <w:rPr>
          <w:rFonts w:eastAsiaTheme="minorEastAsia" w:cstheme="minorBidi"/>
          <w:b w:val="0"/>
          <w:iCs w:val="0"/>
          <w:noProof/>
          <w:szCs w:val="22"/>
          <w:lang w:val="en-US"/>
        </w:rPr>
        <w:tab/>
      </w:r>
      <w:r w:rsidRPr="005B5B17">
        <w:rPr>
          <w:b w:val="0"/>
          <w:noProof/>
        </w:rPr>
        <w:t>Burdekin NRM: Burdekin River</w:t>
      </w:r>
      <w:r w:rsidRPr="005B5B17">
        <w:rPr>
          <w:b w:val="0"/>
          <w:noProof/>
        </w:rPr>
        <w:tab/>
      </w:r>
      <w:r w:rsidRPr="005B5B17">
        <w:rPr>
          <w:b w:val="0"/>
          <w:noProof/>
        </w:rPr>
        <w:fldChar w:fldCharType="begin"/>
      </w:r>
      <w:r w:rsidRPr="005B5B17">
        <w:rPr>
          <w:b w:val="0"/>
          <w:noProof/>
        </w:rPr>
        <w:instrText xml:space="preserve"> PAGEREF _Toc434207989 \h </w:instrText>
      </w:r>
      <w:r w:rsidRPr="005B5B17">
        <w:rPr>
          <w:b w:val="0"/>
          <w:noProof/>
        </w:rPr>
      </w:r>
      <w:r w:rsidRPr="005B5B17">
        <w:rPr>
          <w:b w:val="0"/>
          <w:noProof/>
        </w:rPr>
        <w:fldChar w:fldCharType="separate"/>
      </w:r>
      <w:r w:rsidR="00B62B50">
        <w:rPr>
          <w:b w:val="0"/>
          <w:noProof/>
        </w:rPr>
        <w:t>19</w:t>
      </w:r>
      <w:r w:rsidRPr="005B5B17">
        <w:rPr>
          <w:b w:val="0"/>
          <w:noProof/>
        </w:rPr>
        <w:fldChar w:fldCharType="end"/>
      </w:r>
    </w:p>
    <w:p w14:paraId="0C3F7A57" w14:textId="77777777" w:rsidR="00D243CD" w:rsidRPr="005B5B17" w:rsidRDefault="00D243CD">
      <w:pPr>
        <w:pStyle w:val="TOC3"/>
        <w:rPr>
          <w:rFonts w:eastAsiaTheme="minorEastAsia" w:cstheme="minorBidi"/>
          <w:b w:val="0"/>
          <w:iCs w:val="0"/>
          <w:noProof/>
          <w:szCs w:val="22"/>
          <w:lang w:val="en-US"/>
        </w:rPr>
      </w:pPr>
      <w:r w:rsidRPr="005B5B17">
        <w:rPr>
          <w:b w:val="0"/>
          <w:noProof/>
        </w:rPr>
        <w:t>3.2.3.</w:t>
      </w:r>
      <w:r w:rsidRPr="005B5B17">
        <w:rPr>
          <w:rFonts w:eastAsiaTheme="minorEastAsia" w:cstheme="minorBidi"/>
          <w:b w:val="0"/>
          <w:iCs w:val="0"/>
          <w:noProof/>
          <w:szCs w:val="22"/>
          <w:lang w:val="en-US"/>
        </w:rPr>
        <w:tab/>
      </w:r>
      <w:r w:rsidRPr="005B5B17">
        <w:rPr>
          <w:b w:val="0"/>
          <w:noProof/>
        </w:rPr>
        <w:t>Mackay-Whitsundays NRM: Pioneer River</w:t>
      </w:r>
      <w:r w:rsidRPr="005B5B17">
        <w:rPr>
          <w:b w:val="0"/>
          <w:noProof/>
        </w:rPr>
        <w:tab/>
      </w:r>
      <w:r w:rsidRPr="005B5B17">
        <w:rPr>
          <w:b w:val="0"/>
          <w:noProof/>
        </w:rPr>
        <w:fldChar w:fldCharType="begin"/>
      </w:r>
      <w:r w:rsidRPr="005B5B17">
        <w:rPr>
          <w:b w:val="0"/>
          <w:noProof/>
        </w:rPr>
        <w:instrText xml:space="preserve"> PAGEREF _Toc434207990 \h </w:instrText>
      </w:r>
      <w:r w:rsidRPr="005B5B17">
        <w:rPr>
          <w:b w:val="0"/>
          <w:noProof/>
        </w:rPr>
      </w:r>
      <w:r w:rsidRPr="005B5B17">
        <w:rPr>
          <w:b w:val="0"/>
          <w:noProof/>
        </w:rPr>
        <w:fldChar w:fldCharType="separate"/>
      </w:r>
      <w:r w:rsidR="00B62B50">
        <w:rPr>
          <w:b w:val="0"/>
          <w:noProof/>
        </w:rPr>
        <w:t>19</w:t>
      </w:r>
      <w:r w:rsidRPr="005B5B17">
        <w:rPr>
          <w:b w:val="0"/>
          <w:noProof/>
        </w:rPr>
        <w:fldChar w:fldCharType="end"/>
      </w:r>
    </w:p>
    <w:p w14:paraId="0C3F7A58" w14:textId="77777777" w:rsidR="00D243CD" w:rsidRPr="005B5B17" w:rsidRDefault="00D243CD">
      <w:pPr>
        <w:pStyle w:val="TOC3"/>
        <w:rPr>
          <w:rFonts w:eastAsiaTheme="minorEastAsia" w:cstheme="minorBidi"/>
          <w:b w:val="0"/>
          <w:iCs w:val="0"/>
          <w:noProof/>
          <w:szCs w:val="22"/>
          <w:lang w:val="en-US"/>
        </w:rPr>
      </w:pPr>
      <w:r w:rsidRPr="005B5B17">
        <w:rPr>
          <w:b w:val="0"/>
          <w:noProof/>
        </w:rPr>
        <w:t>3.2.4.</w:t>
      </w:r>
      <w:r w:rsidRPr="005B5B17">
        <w:rPr>
          <w:rFonts w:eastAsiaTheme="minorEastAsia" w:cstheme="minorBidi"/>
          <w:b w:val="0"/>
          <w:iCs w:val="0"/>
          <w:noProof/>
          <w:szCs w:val="22"/>
          <w:lang w:val="en-US"/>
        </w:rPr>
        <w:tab/>
      </w:r>
      <w:r w:rsidRPr="005B5B17">
        <w:rPr>
          <w:b w:val="0"/>
          <w:noProof/>
        </w:rPr>
        <w:t>Regional differences</w:t>
      </w:r>
      <w:r w:rsidRPr="005B5B17">
        <w:rPr>
          <w:b w:val="0"/>
          <w:noProof/>
        </w:rPr>
        <w:tab/>
      </w:r>
      <w:r w:rsidRPr="005B5B17">
        <w:rPr>
          <w:b w:val="0"/>
          <w:noProof/>
        </w:rPr>
        <w:fldChar w:fldCharType="begin"/>
      </w:r>
      <w:r w:rsidRPr="005B5B17">
        <w:rPr>
          <w:b w:val="0"/>
          <w:noProof/>
        </w:rPr>
        <w:instrText xml:space="preserve"> PAGEREF _Toc434207991 \h </w:instrText>
      </w:r>
      <w:r w:rsidRPr="005B5B17">
        <w:rPr>
          <w:b w:val="0"/>
          <w:noProof/>
        </w:rPr>
      </w:r>
      <w:r w:rsidRPr="005B5B17">
        <w:rPr>
          <w:b w:val="0"/>
          <w:noProof/>
        </w:rPr>
        <w:fldChar w:fldCharType="separate"/>
      </w:r>
      <w:r w:rsidR="00B62B50">
        <w:rPr>
          <w:b w:val="0"/>
          <w:noProof/>
        </w:rPr>
        <w:t>23</w:t>
      </w:r>
      <w:r w:rsidRPr="005B5B17">
        <w:rPr>
          <w:b w:val="0"/>
          <w:noProof/>
        </w:rPr>
        <w:fldChar w:fldCharType="end"/>
      </w:r>
    </w:p>
    <w:p w14:paraId="0C3F7A59" w14:textId="77777777" w:rsidR="00D243CD" w:rsidRPr="005B5B17" w:rsidRDefault="00D243CD">
      <w:pPr>
        <w:pStyle w:val="TOC1"/>
        <w:rPr>
          <w:rFonts w:eastAsiaTheme="minorEastAsia" w:cstheme="minorBidi"/>
          <w:b w:val="0"/>
          <w:noProof/>
          <w:szCs w:val="22"/>
        </w:rPr>
      </w:pPr>
      <w:r w:rsidRPr="005B5B17">
        <w:rPr>
          <w:b w:val="0"/>
          <w:noProof/>
        </w:rPr>
        <w:t>4.</w:t>
      </w:r>
      <w:r w:rsidRPr="005B5B17">
        <w:rPr>
          <w:rFonts w:eastAsiaTheme="minorEastAsia" w:cstheme="minorBidi"/>
          <w:b w:val="0"/>
          <w:noProof/>
          <w:szCs w:val="22"/>
        </w:rPr>
        <w:tab/>
      </w:r>
      <w:r w:rsidRPr="005B5B17">
        <w:rPr>
          <w:b w:val="0"/>
          <w:i/>
          <w:noProof/>
        </w:rPr>
        <w:t>In-situ</w:t>
      </w:r>
      <w:r w:rsidRPr="005B5B17">
        <w:rPr>
          <w:b w:val="0"/>
          <w:noProof/>
        </w:rPr>
        <w:t xml:space="preserve"> Water Quality</w:t>
      </w:r>
      <w:r w:rsidRPr="005B5B17">
        <w:rPr>
          <w:b w:val="0"/>
          <w:noProof/>
        </w:rPr>
        <w:tab/>
      </w:r>
      <w:r w:rsidRPr="005B5B17">
        <w:rPr>
          <w:b w:val="0"/>
          <w:noProof/>
        </w:rPr>
        <w:fldChar w:fldCharType="begin"/>
      </w:r>
      <w:r w:rsidRPr="005B5B17">
        <w:rPr>
          <w:b w:val="0"/>
          <w:noProof/>
        </w:rPr>
        <w:instrText xml:space="preserve"> PAGEREF _Toc434207992 \h </w:instrText>
      </w:r>
      <w:r w:rsidRPr="005B5B17">
        <w:rPr>
          <w:b w:val="0"/>
          <w:noProof/>
        </w:rPr>
      </w:r>
      <w:r w:rsidRPr="005B5B17">
        <w:rPr>
          <w:b w:val="0"/>
          <w:noProof/>
        </w:rPr>
        <w:fldChar w:fldCharType="separate"/>
      </w:r>
      <w:r w:rsidR="00B62B50">
        <w:rPr>
          <w:b w:val="0"/>
          <w:noProof/>
        </w:rPr>
        <w:t>25</w:t>
      </w:r>
      <w:r w:rsidRPr="005B5B17">
        <w:rPr>
          <w:b w:val="0"/>
          <w:noProof/>
        </w:rPr>
        <w:fldChar w:fldCharType="end"/>
      </w:r>
    </w:p>
    <w:p w14:paraId="0C3F7A5A"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4.1</w:t>
      </w:r>
      <w:r w:rsidRPr="005B5B17">
        <w:rPr>
          <w:rFonts w:eastAsiaTheme="minorEastAsia" w:cstheme="minorBidi"/>
          <w:b w:val="0"/>
          <w:bCs w:val="0"/>
          <w:iCs w:val="0"/>
          <w:noProof/>
          <w:szCs w:val="22"/>
          <w:lang w:val="en-US"/>
        </w:rPr>
        <w:tab/>
      </w:r>
      <w:r w:rsidRPr="005B5B17">
        <w:rPr>
          <w:b w:val="0"/>
          <w:noProof/>
        </w:rPr>
        <w:t>Sampling design – 2012-2013</w:t>
      </w:r>
      <w:r w:rsidRPr="005B5B17">
        <w:rPr>
          <w:b w:val="0"/>
          <w:noProof/>
        </w:rPr>
        <w:tab/>
      </w:r>
      <w:r w:rsidRPr="005B5B17">
        <w:rPr>
          <w:b w:val="0"/>
          <w:noProof/>
        </w:rPr>
        <w:fldChar w:fldCharType="begin"/>
      </w:r>
      <w:r w:rsidRPr="005B5B17">
        <w:rPr>
          <w:b w:val="0"/>
          <w:noProof/>
        </w:rPr>
        <w:instrText xml:space="preserve"> PAGEREF _Toc434207993 \h </w:instrText>
      </w:r>
      <w:r w:rsidRPr="005B5B17">
        <w:rPr>
          <w:b w:val="0"/>
          <w:noProof/>
        </w:rPr>
      </w:r>
      <w:r w:rsidRPr="005B5B17">
        <w:rPr>
          <w:b w:val="0"/>
          <w:noProof/>
        </w:rPr>
        <w:fldChar w:fldCharType="separate"/>
      </w:r>
      <w:r w:rsidR="00B62B50">
        <w:rPr>
          <w:b w:val="0"/>
          <w:noProof/>
        </w:rPr>
        <w:t>25</w:t>
      </w:r>
      <w:r w:rsidRPr="005B5B17">
        <w:rPr>
          <w:b w:val="0"/>
          <w:noProof/>
        </w:rPr>
        <w:fldChar w:fldCharType="end"/>
      </w:r>
    </w:p>
    <w:p w14:paraId="0C3F7A5B"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4.2</w:t>
      </w:r>
      <w:r w:rsidRPr="005B5B17">
        <w:rPr>
          <w:rFonts w:eastAsiaTheme="minorEastAsia" w:cstheme="minorBidi"/>
          <w:b w:val="0"/>
          <w:bCs w:val="0"/>
          <w:iCs w:val="0"/>
          <w:noProof/>
          <w:szCs w:val="22"/>
          <w:lang w:val="en-US"/>
        </w:rPr>
        <w:tab/>
      </w:r>
      <w:r w:rsidRPr="005B5B17">
        <w:rPr>
          <w:b w:val="0"/>
          <w:noProof/>
        </w:rPr>
        <w:t>Methodology – Water Quality</w:t>
      </w:r>
      <w:r w:rsidRPr="005B5B17">
        <w:rPr>
          <w:b w:val="0"/>
          <w:noProof/>
        </w:rPr>
        <w:tab/>
      </w:r>
      <w:r w:rsidRPr="005B5B17">
        <w:rPr>
          <w:b w:val="0"/>
          <w:noProof/>
        </w:rPr>
        <w:fldChar w:fldCharType="begin"/>
      </w:r>
      <w:r w:rsidRPr="005B5B17">
        <w:rPr>
          <w:b w:val="0"/>
          <w:noProof/>
        </w:rPr>
        <w:instrText xml:space="preserve"> PAGEREF _Toc434207994 \h </w:instrText>
      </w:r>
      <w:r w:rsidRPr="005B5B17">
        <w:rPr>
          <w:b w:val="0"/>
          <w:noProof/>
        </w:rPr>
      </w:r>
      <w:r w:rsidRPr="005B5B17">
        <w:rPr>
          <w:b w:val="0"/>
          <w:noProof/>
        </w:rPr>
        <w:fldChar w:fldCharType="separate"/>
      </w:r>
      <w:r w:rsidR="00B62B50">
        <w:rPr>
          <w:b w:val="0"/>
          <w:noProof/>
        </w:rPr>
        <w:t>29</w:t>
      </w:r>
      <w:r w:rsidRPr="005B5B17">
        <w:rPr>
          <w:b w:val="0"/>
          <w:noProof/>
        </w:rPr>
        <w:fldChar w:fldCharType="end"/>
      </w:r>
    </w:p>
    <w:p w14:paraId="0C3F7A5C"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4.2.1</w:t>
      </w:r>
      <w:r w:rsidRPr="005B5B17">
        <w:rPr>
          <w:rFonts w:eastAsiaTheme="minorEastAsia" w:cstheme="minorBidi"/>
          <w:b w:val="0"/>
          <w:bCs w:val="0"/>
          <w:iCs w:val="0"/>
          <w:noProof/>
          <w:szCs w:val="22"/>
          <w:lang w:val="en-US"/>
        </w:rPr>
        <w:tab/>
      </w:r>
      <w:r w:rsidRPr="005B5B17">
        <w:rPr>
          <w:b w:val="0"/>
          <w:noProof/>
        </w:rPr>
        <w:t>Water samples – 2012-2013</w:t>
      </w:r>
      <w:r w:rsidRPr="005B5B17">
        <w:rPr>
          <w:b w:val="0"/>
          <w:noProof/>
        </w:rPr>
        <w:tab/>
      </w:r>
      <w:r w:rsidRPr="005B5B17">
        <w:rPr>
          <w:b w:val="0"/>
          <w:noProof/>
        </w:rPr>
        <w:fldChar w:fldCharType="begin"/>
      </w:r>
      <w:r w:rsidRPr="005B5B17">
        <w:rPr>
          <w:b w:val="0"/>
          <w:noProof/>
        </w:rPr>
        <w:instrText xml:space="preserve"> PAGEREF _Toc434207995 \h </w:instrText>
      </w:r>
      <w:r w:rsidRPr="005B5B17">
        <w:rPr>
          <w:b w:val="0"/>
          <w:noProof/>
        </w:rPr>
      </w:r>
      <w:r w:rsidRPr="005B5B17">
        <w:rPr>
          <w:b w:val="0"/>
          <w:noProof/>
        </w:rPr>
        <w:fldChar w:fldCharType="separate"/>
      </w:r>
      <w:r w:rsidR="00B62B50">
        <w:rPr>
          <w:b w:val="0"/>
          <w:noProof/>
        </w:rPr>
        <w:t>29</w:t>
      </w:r>
      <w:r w:rsidRPr="005B5B17">
        <w:rPr>
          <w:b w:val="0"/>
          <w:noProof/>
        </w:rPr>
        <w:fldChar w:fldCharType="end"/>
      </w:r>
    </w:p>
    <w:p w14:paraId="0C3F7A5D"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4.2.2</w:t>
      </w:r>
      <w:r w:rsidRPr="005B5B17">
        <w:rPr>
          <w:rFonts w:eastAsiaTheme="minorEastAsia" w:cstheme="minorBidi"/>
          <w:b w:val="0"/>
          <w:bCs w:val="0"/>
          <w:iCs w:val="0"/>
          <w:noProof/>
          <w:szCs w:val="22"/>
          <w:lang w:val="en-US"/>
        </w:rPr>
        <w:tab/>
      </w:r>
      <w:r w:rsidRPr="005B5B17">
        <w:rPr>
          <w:b w:val="0"/>
          <w:noProof/>
        </w:rPr>
        <w:t>Data analysis - spatial</w:t>
      </w:r>
      <w:r w:rsidRPr="005B5B17">
        <w:rPr>
          <w:b w:val="0"/>
          <w:noProof/>
        </w:rPr>
        <w:tab/>
      </w:r>
      <w:r w:rsidRPr="005B5B17">
        <w:rPr>
          <w:b w:val="0"/>
          <w:noProof/>
        </w:rPr>
        <w:fldChar w:fldCharType="begin"/>
      </w:r>
      <w:r w:rsidRPr="005B5B17">
        <w:rPr>
          <w:b w:val="0"/>
          <w:noProof/>
        </w:rPr>
        <w:instrText xml:space="preserve"> PAGEREF _Toc434207996 \h </w:instrText>
      </w:r>
      <w:r w:rsidRPr="005B5B17">
        <w:rPr>
          <w:b w:val="0"/>
          <w:noProof/>
        </w:rPr>
      </w:r>
      <w:r w:rsidRPr="005B5B17">
        <w:rPr>
          <w:b w:val="0"/>
          <w:noProof/>
        </w:rPr>
        <w:fldChar w:fldCharType="separate"/>
      </w:r>
      <w:r w:rsidR="00B62B50">
        <w:rPr>
          <w:b w:val="0"/>
          <w:noProof/>
        </w:rPr>
        <w:t>29</w:t>
      </w:r>
      <w:r w:rsidRPr="005B5B17">
        <w:rPr>
          <w:b w:val="0"/>
          <w:noProof/>
        </w:rPr>
        <w:fldChar w:fldCharType="end"/>
      </w:r>
    </w:p>
    <w:p w14:paraId="0C3F7A5E"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4.2.3</w:t>
      </w:r>
      <w:r w:rsidRPr="005B5B17">
        <w:rPr>
          <w:rFonts w:eastAsiaTheme="minorEastAsia" w:cstheme="minorBidi"/>
          <w:b w:val="0"/>
          <w:bCs w:val="0"/>
          <w:iCs w:val="0"/>
          <w:noProof/>
          <w:szCs w:val="22"/>
          <w:lang w:val="en-US"/>
        </w:rPr>
        <w:tab/>
      </w:r>
      <w:r w:rsidRPr="005B5B17">
        <w:rPr>
          <w:b w:val="0"/>
          <w:noProof/>
        </w:rPr>
        <w:t>Data analysis – Temporal</w:t>
      </w:r>
      <w:r w:rsidRPr="005B5B17">
        <w:rPr>
          <w:b w:val="0"/>
          <w:noProof/>
        </w:rPr>
        <w:tab/>
      </w:r>
      <w:r w:rsidRPr="005B5B17">
        <w:rPr>
          <w:b w:val="0"/>
          <w:noProof/>
        </w:rPr>
        <w:fldChar w:fldCharType="begin"/>
      </w:r>
      <w:r w:rsidRPr="005B5B17">
        <w:rPr>
          <w:b w:val="0"/>
          <w:noProof/>
        </w:rPr>
        <w:instrText xml:space="preserve"> PAGEREF _Toc434207997 \h </w:instrText>
      </w:r>
      <w:r w:rsidRPr="005B5B17">
        <w:rPr>
          <w:b w:val="0"/>
          <w:noProof/>
        </w:rPr>
      </w:r>
      <w:r w:rsidRPr="005B5B17">
        <w:rPr>
          <w:b w:val="0"/>
          <w:noProof/>
        </w:rPr>
        <w:fldChar w:fldCharType="separate"/>
      </w:r>
      <w:r w:rsidR="00B62B50">
        <w:rPr>
          <w:b w:val="0"/>
          <w:noProof/>
        </w:rPr>
        <w:t>30</w:t>
      </w:r>
      <w:r w:rsidRPr="005B5B17">
        <w:rPr>
          <w:b w:val="0"/>
          <w:noProof/>
        </w:rPr>
        <w:fldChar w:fldCharType="end"/>
      </w:r>
    </w:p>
    <w:p w14:paraId="0C3F7A5F"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4.3</w:t>
      </w:r>
      <w:r w:rsidRPr="005B5B17">
        <w:rPr>
          <w:rFonts w:eastAsiaTheme="minorEastAsia" w:cstheme="minorBidi"/>
          <w:b w:val="0"/>
          <w:bCs w:val="0"/>
          <w:iCs w:val="0"/>
          <w:noProof/>
          <w:szCs w:val="22"/>
          <w:lang w:val="en-US"/>
        </w:rPr>
        <w:tab/>
      </w:r>
      <w:r w:rsidRPr="005B5B17">
        <w:rPr>
          <w:b w:val="0"/>
          <w:noProof/>
        </w:rPr>
        <w:t>Results</w:t>
      </w:r>
      <w:r w:rsidRPr="005B5B17">
        <w:rPr>
          <w:b w:val="0"/>
          <w:noProof/>
        </w:rPr>
        <w:tab/>
      </w:r>
      <w:r w:rsidRPr="005B5B17">
        <w:rPr>
          <w:b w:val="0"/>
          <w:noProof/>
        </w:rPr>
        <w:fldChar w:fldCharType="begin"/>
      </w:r>
      <w:r w:rsidRPr="005B5B17">
        <w:rPr>
          <w:b w:val="0"/>
          <w:noProof/>
        </w:rPr>
        <w:instrText xml:space="preserve"> PAGEREF _Toc434207998 \h </w:instrText>
      </w:r>
      <w:r w:rsidRPr="005B5B17">
        <w:rPr>
          <w:b w:val="0"/>
          <w:noProof/>
        </w:rPr>
      </w:r>
      <w:r w:rsidRPr="005B5B17">
        <w:rPr>
          <w:b w:val="0"/>
          <w:noProof/>
        </w:rPr>
        <w:fldChar w:fldCharType="separate"/>
      </w:r>
      <w:r w:rsidR="00B62B50">
        <w:rPr>
          <w:b w:val="0"/>
          <w:noProof/>
        </w:rPr>
        <w:t>32</w:t>
      </w:r>
      <w:r w:rsidRPr="005B5B17">
        <w:rPr>
          <w:b w:val="0"/>
          <w:noProof/>
        </w:rPr>
        <w:fldChar w:fldCharType="end"/>
      </w:r>
    </w:p>
    <w:p w14:paraId="0C3F7A60"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4.3.1</w:t>
      </w:r>
      <w:r w:rsidRPr="005B5B17">
        <w:rPr>
          <w:rFonts w:eastAsiaTheme="minorEastAsia" w:cstheme="minorBidi"/>
          <w:b w:val="0"/>
          <w:bCs w:val="0"/>
          <w:iCs w:val="0"/>
          <w:noProof/>
          <w:szCs w:val="22"/>
          <w:lang w:val="en-US"/>
        </w:rPr>
        <w:tab/>
      </w:r>
      <w:r w:rsidRPr="005B5B17">
        <w:rPr>
          <w:b w:val="0"/>
          <w:noProof/>
        </w:rPr>
        <w:t>Data analysis - spatial</w:t>
      </w:r>
      <w:r w:rsidRPr="005B5B17">
        <w:rPr>
          <w:b w:val="0"/>
          <w:noProof/>
        </w:rPr>
        <w:tab/>
      </w:r>
      <w:r w:rsidRPr="005B5B17">
        <w:rPr>
          <w:b w:val="0"/>
          <w:noProof/>
        </w:rPr>
        <w:fldChar w:fldCharType="begin"/>
      </w:r>
      <w:r w:rsidRPr="005B5B17">
        <w:rPr>
          <w:b w:val="0"/>
          <w:noProof/>
        </w:rPr>
        <w:instrText xml:space="preserve"> PAGEREF _Toc434207999 \h </w:instrText>
      </w:r>
      <w:r w:rsidRPr="005B5B17">
        <w:rPr>
          <w:b w:val="0"/>
          <w:noProof/>
        </w:rPr>
      </w:r>
      <w:r w:rsidRPr="005B5B17">
        <w:rPr>
          <w:b w:val="0"/>
          <w:noProof/>
        </w:rPr>
        <w:fldChar w:fldCharType="separate"/>
      </w:r>
      <w:r w:rsidR="00B62B50">
        <w:rPr>
          <w:b w:val="0"/>
          <w:noProof/>
        </w:rPr>
        <w:t>32</w:t>
      </w:r>
      <w:r w:rsidRPr="005B5B17">
        <w:rPr>
          <w:b w:val="0"/>
          <w:noProof/>
        </w:rPr>
        <w:fldChar w:fldCharType="end"/>
      </w:r>
    </w:p>
    <w:p w14:paraId="0C3F7A61" w14:textId="77777777" w:rsidR="00D243CD" w:rsidRPr="005B5B17" w:rsidRDefault="00D243CD">
      <w:pPr>
        <w:pStyle w:val="TOC2"/>
        <w:rPr>
          <w:rFonts w:eastAsiaTheme="minorEastAsia" w:cstheme="minorBidi"/>
          <w:b w:val="0"/>
          <w:bCs w:val="0"/>
          <w:iCs w:val="0"/>
          <w:noProof/>
          <w:szCs w:val="22"/>
          <w:lang w:val="en-US"/>
        </w:rPr>
      </w:pPr>
      <w:r w:rsidRPr="005B5B17">
        <w:rPr>
          <w:b w:val="0"/>
          <w:noProof/>
        </w:rPr>
        <w:t>4.2.1</w:t>
      </w:r>
      <w:r w:rsidRPr="005B5B17">
        <w:rPr>
          <w:rFonts w:eastAsiaTheme="minorEastAsia" w:cstheme="minorBidi"/>
          <w:b w:val="0"/>
          <w:bCs w:val="0"/>
          <w:iCs w:val="0"/>
          <w:noProof/>
          <w:szCs w:val="22"/>
          <w:lang w:val="en-US"/>
        </w:rPr>
        <w:tab/>
      </w:r>
      <w:r w:rsidRPr="005B5B17">
        <w:rPr>
          <w:b w:val="0"/>
          <w:noProof/>
        </w:rPr>
        <w:t>Data analysis - temporal</w:t>
      </w:r>
      <w:r w:rsidRPr="005B5B17">
        <w:rPr>
          <w:b w:val="0"/>
          <w:noProof/>
        </w:rPr>
        <w:tab/>
      </w:r>
      <w:r w:rsidRPr="005B5B17">
        <w:rPr>
          <w:b w:val="0"/>
          <w:noProof/>
        </w:rPr>
        <w:fldChar w:fldCharType="begin"/>
      </w:r>
      <w:r w:rsidRPr="005B5B17">
        <w:rPr>
          <w:b w:val="0"/>
          <w:noProof/>
        </w:rPr>
        <w:instrText xml:space="preserve"> PAGEREF _Toc434208000 \h </w:instrText>
      </w:r>
      <w:r w:rsidRPr="005B5B17">
        <w:rPr>
          <w:b w:val="0"/>
          <w:noProof/>
        </w:rPr>
      </w:r>
      <w:r w:rsidRPr="005B5B17">
        <w:rPr>
          <w:b w:val="0"/>
          <w:noProof/>
        </w:rPr>
        <w:fldChar w:fldCharType="separate"/>
      </w:r>
      <w:r w:rsidR="00B62B50">
        <w:rPr>
          <w:b w:val="0"/>
          <w:noProof/>
        </w:rPr>
        <w:t>47</w:t>
      </w:r>
      <w:r w:rsidRPr="005B5B17">
        <w:rPr>
          <w:b w:val="0"/>
          <w:noProof/>
        </w:rPr>
        <w:fldChar w:fldCharType="end"/>
      </w:r>
    </w:p>
    <w:p w14:paraId="0C3F7A62" w14:textId="77777777" w:rsidR="00D243CD" w:rsidRPr="005B5B17" w:rsidRDefault="00D243CD">
      <w:pPr>
        <w:pStyle w:val="TOC1"/>
        <w:rPr>
          <w:rFonts w:eastAsiaTheme="minorEastAsia" w:cstheme="minorBidi"/>
          <w:b w:val="0"/>
          <w:noProof/>
          <w:szCs w:val="22"/>
        </w:rPr>
      </w:pPr>
      <w:r w:rsidRPr="005B5B17">
        <w:rPr>
          <w:b w:val="0"/>
          <w:noProof/>
        </w:rPr>
        <w:t>5.</w:t>
      </w:r>
      <w:r w:rsidRPr="005B5B17">
        <w:rPr>
          <w:rFonts w:eastAsiaTheme="minorEastAsia" w:cstheme="minorBidi"/>
          <w:b w:val="0"/>
          <w:noProof/>
          <w:szCs w:val="22"/>
        </w:rPr>
        <w:tab/>
      </w:r>
      <w:r w:rsidRPr="005B5B17">
        <w:rPr>
          <w:b w:val="0"/>
          <w:noProof/>
        </w:rPr>
        <w:t>Mapping of river plumes</w:t>
      </w:r>
      <w:r w:rsidRPr="005B5B17">
        <w:rPr>
          <w:b w:val="0"/>
          <w:noProof/>
        </w:rPr>
        <w:tab/>
      </w:r>
      <w:r w:rsidRPr="005B5B17">
        <w:rPr>
          <w:b w:val="0"/>
          <w:noProof/>
        </w:rPr>
        <w:fldChar w:fldCharType="begin"/>
      </w:r>
      <w:r w:rsidRPr="005B5B17">
        <w:rPr>
          <w:b w:val="0"/>
          <w:noProof/>
        </w:rPr>
        <w:instrText xml:space="preserve"> PAGEREF _Toc434208001 \h </w:instrText>
      </w:r>
      <w:r w:rsidRPr="005B5B17">
        <w:rPr>
          <w:b w:val="0"/>
          <w:noProof/>
        </w:rPr>
      </w:r>
      <w:r w:rsidRPr="005B5B17">
        <w:rPr>
          <w:b w:val="0"/>
          <w:noProof/>
        </w:rPr>
        <w:fldChar w:fldCharType="separate"/>
      </w:r>
      <w:r w:rsidR="00B62B50">
        <w:rPr>
          <w:b w:val="0"/>
          <w:noProof/>
        </w:rPr>
        <w:t>55</w:t>
      </w:r>
      <w:r w:rsidRPr="005B5B17">
        <w:rPr>
          <w:b w:val="0"/>
          <w:noProof/>
        </w:rPr>
        <w:fldChar w:fldCharType="end"/>
      </w:r>
    </w:p>
    <w:p w14:paraId="0C3F7A63" w14:textId="77777777" w:rsidR="00D243CD" w:rsidRPr="005B5B17" w:rsidRDefault="00D243CD">
      <w:pPr>
        <w:pStyle w:val="TOC3"/>
        <w:rPr>
          <w:rFonts w:eastAsiaTheme="minorEastAsia" w:cstheme="minorBidi"/>
          <w:b w:val="0"/>
          <w:iCs w:val="0"/>
          <w:noProof/>
          <w:szCs w:val="22"/>
          <w:lang w:val="en-US"/>
        </w:rPr>
      </w:pPr>
      <w:r w:rsidRPr="005B5B17">
        <w:rPr>
          <w:rFonts w:ascii="Calibri" w:hAnsi="Calibri"/>
          <w:b w:val="0"/>
          <w:bCs/>
          <w:noProof/>
        </w:rPr>
        <w:t>5.1.</w:t>
      </w:r>
      <w:r w:rsidRPr="005B5B17">
        <w:rPr>
          <w:rFonts w:eastAsiaTheme="minorEastAsia" w:cstheme="minorBidi"/>
          <w:b w:val="0"/>
          <w:iCs w:val="0"/>
          <w:noProof/>
          <w:szCs w:val="22"/>
          <w:lang w:val="en-US"/>
        </w:rPr>
        <w:tab/>
      </w:r>
      <w:r w:rsidRPr="005B5B17">
        <w:rPr>
          <w:rFonts w:ascii="Calibri" w:hAnsi="Calibri"/>
          <w:b w:val="0"/>
          <w:bCs/>
          <w:noProof/>
        </w:rPr>
        <w:t>Introduction</w:t>
      </w:r>
      <w:r w:rsidRPr="005B5B17">
        <w:rPr>
          <w:b w:val="0"/>
          <w:noProof/>
        </w:rPr>
        <w:tab/>
      </w:r>
      <w:r w:rsidRPr="005B5B17">
        <w:rPr>
          <w:b w:val="0"/>
          <w:noProof/>
        </w:rPr>
        <w:fldChar w:fldCharType="begin"/>
      </w:r>
      <w:r w:rsidRPr="005B5B17">
        <w:rPr>
          <w:b w:val="0"/>
          <w:noProof/>
        </w:rPr>
        <w:instrText xml:space="preserve"> PAGEREF _Toc434208002 \h </w:instrText>
      </w:r>
      <w:r w:rsidRPr="005B5B17">
        <w:rPr>
          <w:b w:val="0"/>
          <w:noProof/>
        </w:rPr>
      </w:r>
      <w:r w:rsidRPr="005B5B17">
        <w:rPr>
          <w:b w:val="0"/>
          <w:noProof/>
        </w:rPr>
        <w:fldChar w:fldCharType="separate"/>
      </w:r>
      <w:r w:rsidR="00B62B50">
        <w:rPr>
          <w:b w:val="0"/>
          <w:noProof/>
        </w:rPr>
        <w:t>55</w:t>
      </w:r>
      <w:r w:rsidRPr="005B5B17">
        <w:rPr>
          <w:b w:val="0"/>
          <w:noProof/>
        </w:rPr>
        <w:fldChar w:fldCharType="end"/>
      </w:r>
    </w:p>
    <w:p w14:paraId="0C3F7A64" w14:textId="77777777" w:rsidR="00D243CD" w:rsidRPr="005B5B17" w:rsidRDefault="00D243CD">
      <w:pPr>
        <w:pStyle w:val="TOC3"/>
        <w:rPr>
          <w:rFonts w:eastAsiaTheme="minorEastAsia" w:cstheme="minorBidi"/>
          <w:b w:val="0"/>
          <w:iCs w:val="0"/>
          <w:noProof/>
          <w:szCs w:val="22"/>
          <w:lang w:val="en-US"/>
        </w:rPr>
      </w:pPr>
      <w:r w:rsidRPr="005B5B17">
        <w:rPr>
          <w:rFonts w:ascii="Calibri" w:hAnsi="Calibri"/>
          <w:b w:val="0"/>
          <w:bCs/>
          <w:noProof/>
        </w:rPr>
        <w:t>5.2.</w:t>
      </w:r>
      <w:r w:rsidRPr="005B5B17">
        <w:rPr>
          <w:rFonts w:eastAsiaTheme="minorEastAsia" w:cstheme="minorBidi"/>
          <w:b w:val="0"/>
          <w:iCs w:val="0"/>
          <w:noProof/>
          <w:szCs w:val="22"/>
          <w:lang w:val="en-US"/>
        </w:rPr>
        <w:tab/>
      </w:r>
      <w:r w:rsidRPr="005B5B17">
        <w:rPr>
          <w:rFonts w:ascii="Calibri" w:hAnsi="Calibri"/>
          <w:b w:val="0"/>
          <w:bCs/>
          <w:noProof/>
        </w:rPr>
        <w:t>Methods</w:t>
      </w:r>
      <w:r w:rsidRPr="005B5B17">
        <w:rPr>
          <w:b w:val="0"/>
          <w:noProof/>
        </w:rPr>
        <w:tab/>
      </w:r>
      <w:r w:rsidRPr="005B5B17">
        <w:rPr>
          <w:b w:val="0"/>
          <w:noProof/>
        </w:rPr>
        <w:fldChar w:fldCharType="begin"/>
      </w:r>
      <w:r w:rsidRPr="005B5B17">
        <w:rPr>
          <w:b w:val="0"/>
          <w:noProof/>
        </w:rPr>
        <w:instrText xml:space="preserve"> PAGEREF _Toc434208003 \h </w:instrText>
      </w:r>
      <w:r w:rsidRPr="005B5B17">
        <w:rPr>
          <w:b w:val="0"/>
          <w:noProof/>
        </w:rPr>
      </w:r>
      <w:r w:rsidRPr="005B5B17">
        <w:rPr>
          <w:b w:val="0"/>
          <w:noProof/>
        </w:rPr>
        <w:fldChar w:fldCharType="separate"/>
      </w:r>
      <w:r w:rsidR="00B62B50">
        <w:rPr>
          <w:b w:val="0"/>
          <w:noProof/>
        </w:rPr>
        <w:t>56</w:t>
      </w:r>
      <w:r w:rsidRPr="005B5B17">
        <w:rPr>
          <w:b w:val="0"/>
          <w:noProof/>
        </w:rPr>
        <w:fldChar w:fldCharType="end"/>
      </w:r>
    </w:p>
    <w:p w14:paraId="0C3F7A65" w14:textId="77777777" w:rsidR="00D243CD" w:rsidRPr="005B5B17" w:rsidRDefault="00D243CD">
      <w:pPr>
        <w:pStyle w:val="TOC3"/>
        <w:rPr>
          <w:rFonts w:eastAsiaTheme="minorEastAsia" w:cstheme="minorBidi"/>
          <w:b w:val="0"/>
          <w:iCs w:val="0"/>
          <w:noProof/>
          <w:szCs w:val="22"/>
          <w:lang w:val="en-US"/>
        </w:rPr>
      </w:pPr>
      <w:r w:rsidRPr="005B5B17">
        <w:rPr>
          <w:b w:val="0"/>
          <w:noProof/>
        </w:rPr>
        <w:t>5.2.1.</w:t>
      </w:r>
      <w:r w:rsidRPr="005B5B17">
        <w:rPr>
          <w:rFonts w:eastAsiaTheme="minorEastAsia" w:cstheme="minorBidi"/>
          <w:b w:val="0"/>
          <w:iCs w:val="0"/>
          <w:noProof/>
          <w:szCs w:val="22"/>
          <w:lang w:val="en-US"/>
        </w:rPr>
        <w:tab/>
      </w:r>
      <w:r w:rsidRPr="005B5B17">
        <w:rPr>
          <w:b w:val="0"/>
          <w:noProof/>
        </w:rPr>
        <w:t>GBR plumes water types</w:t>
      </w:r>
      <w:r w:rsidRPr="005B5B17">
        <w:rPr>
          <w:b w:val="0"/>
          <w:noProof/>
        </w:rPr>
        <w:tab/>
      </w:r>
      <w:r w:rsidRPr="005B5B17">
        <w:rPr>
          <w:b w:val="0"/>
          <w:noProof/>
        </w:rPr>
        <w:fldChar w:fldCharType="begin"/>
      </w:r>
      <w:r w:rsidRPr="005B5B17">
        <w:rPr>
          <w:b w:val="0"/>
          <w:noProof/>
        </w:rPr>
        <w:instrText xml:space="preserve"> PAGEREF _Toc434208004 \h </w:instrText>
      </w:r>
      <w:r w:rsidRPr="005B5B17">
        <w:rPr>
          <w:b w:val="0"/>
          <w:noProof/>
        </w:rPr>
      </w:r>
      <w:r w:rsidRPr="005B5B17">
        <w:rPr>
          <w:b w:val="0"/>
          <w:noProof/>
        </w:rPr>
        <w:fldChar w:fldCharType="separate"/>
      </w:r>
      <w:r w:rsidR="00B62B50">
        <w:rPr>
          <w:b w:val="0"/>
          <w:noProof/>
        </w:rPr>
        <w:t>56</w:t>
      </w:r>
      <w:r w:rsidRPr="005B5B17">
        <w:rPr>
          <w:b w:val="0"/>
          <w:noProof/>
        </w:rPr>
        <w:fldChar w:fldCharType="end"/>
      </w:r>
    </w:p>
    <w:p w14:paraId="0C3F7A66" w14:textId="77777777" w:rsidR="00D243CD" w:rsidRPr="005B5B17" w:rsidRDefault="00D243CD">
      <w:pPr>
        <w:pStyle w:val="TOC3"/>
        <w:rPr>
          <w:rFonts w:eastAsiaTheme="minorEastAsia" w:cstheme="minorBidi"/>
          <w:b w:val="0"/>
          <w:iCs w:val="0"/>
          <w:noProof/>
          <w:szCs w:val="22"/>
          <w:lang w:val="en-US"/>
        </w:rPr>
      </w:pPr>
      <w:r w:rsidRPr="005B5B17">
        <w:rPr>
          <w:b w:val="0"/>
          <w:noProof/>
        </w:rPr>
        <w:t>5.2.2.</w:t>
      </w:r>
      <w:r w:rsidRPr="005B5B17">
        <w:rPr>
          <w:rFonts w:eastAsiaTheme="minorEastAsia" w:cstheme="minorBidi"/>
          <w:b w:val="0"/>
          <w:iCs w:val="0"/>
          <w:noProof/>
          <w:szCs w:val="22"/>
          <w:lang w:val="en-US"/>
        </w:rPr>
        <w:tab/>
      </w:r>
      <w:r w:rsidRPr="005B5B17">
        <w:rPr>
          <w:b w:val="0"/>
          <w:noProof/>
        </w:rPr>
        <w:t>Mapping of the GBR River plumes, using MODIS images</w:t>
      </w:r>
      <w:r w:rsidRPr="005B5B17">
        <w:rPr>
          <w:b w:val="0"/>
          <w:noProof/>
        </w:rPr>
        <w:tab/>
      </w:r>
      <w:r w:rsidRPr="005B5B17">
        <w:rPr>
          <w:b w:val="0"/>
          <w:noProof/>
        </w:rPr>
        <w:fldChar w:fldCharType="begin"/>
      </w:r>
      <w:r w:rsidRPr="005B5B17">
        <w:rPr>
          <w:b w:val="0"/>
          <w:noProof/>
        </w:rPr>
        <w:instrText xml:space="preserve"> PAGEREF _Toc434208005 \h </w:instrText>
      </w:r>
      <w:r w:rsidRPr="005B5B17">
        <w:rPr>
          <w:b w:val="0"/>
          <w:noProof/>
        </w:rPr>
      </w:r>
      <w:r w:rsidRPr="005B5B17">
        <w:rPr>
          <w:b w:val="0"/>
          <w:noProof/>
        </w:rPr>
        <w:fldChar w:fldCharType="separate"/>
      </w:r>
      <w:r w:rsidR="00B62B50">
        <w:rPr>
          <w:b w:val="0"/>
          <w:noProof/>
        </w:rPr>
        <w:t>56</w:t>
      </w:r>
      <w:r w:rsidRPr="005B5B17">
        <w:rPr>
          <w:b w:val="0"/>
          <w:noProof/>
        </w:rPr>
        <w:fldChar w:fldCharType="end"/>
      </w:r>
    </w:p>
    <w:p w14:paraId="0C3F7A67" w14:textId="77777777" w:rsidR="00D243CD" w:rsidRPr="005B5B17" w:rsidRDefault="00D243CD">
      <w:pPr>
        <w:pStyle w:val="TOC3"/>
        <w:rPr>
          <w:rFonts w:eastAsiaTheme="minorEastAsia" w:cstheme="minorBidi"/>
          <w:b w:val="0"/>
          <w:iCs w:val="0"/>
          <w:noProof/>
          <w:szCs w:val="22"/>
          <w:lang w:val="en-US"/>
        </w:rPr>
      </w:pPr>
      <w:r w:rsidRPr="005B5B17">
        <w:rPr>
          <w:b w:val="0"/>
          <w:noProof/>
        </w:rPr>
        <w:t>5.2.3.</w:t>
      </w:r>
      <w:r w:rsidRPr="005B5B17">
        <w:rPr>
          <w:rFonts w:eastAsiaTheme="minorEastAsia" w:cstheme="minorBidi"/>
          <w:b w:val="0"/>
          <w:iCs w:val="0"/>
          <w:noProof/>
          <w:szCs w:val="22"/>
          <w:lang w:val="en-US"/>
        </w:rPr>
        <w:tab/>
      </w:r>
      <w:r w:rsidRPr="005B5B17">
        <w:rPr>
          <w:b w:val="0"/>
          <w:noProof/>
        </w:rPr>
        <w:t>Development of Remote sensing products</w:t>
      </w:r>
      <w:r w:rsidRPr="005B5B17">
        <w:rPr>
          <w:b w:val="0"/>
          <w:noProof/>
        </w:rPr>
        <w:tab/>
      </w:r>
      <w:r w:rsidRPr="005B5B17">
        <w:rPr>
          <w:b w:val="0"/>
          <w:noProof/>
        </w:rPr>
        <w:fldChar w:fldCharType="begin"/>
      </w:r>
      <w:r w:rsidRPr="005B5B17">
        <w:rPr>
          <w:b w:val="0"/>
          <w:noProof/>
        </w:rPr>
        <w:instrText xml:space="preserve"> PAGEREF _Toc434208006 \h </w:instrText>
      </w:r>
      <w:r w:rsidRPr="005B5B17">
        <w:rPr>
          <w:b w:val="0"/>
          <w:noProof/>
        </w:rPr>
      </w:r>
      <w:r w:rsidRPr="005B5B17">
        <w:rPr>
          <w:b w:val="0"/>
          <w:noProof/>
        </w:rPr>
        <w:fldChar w:fldCharType="separate"/>
      </w:r>
      <w:r w:rsidR="00B62B50">
        <w:rPr>
          <w:b w:val="0"/>
          <w:noProof/>
        </w:rPr>
        <w:t>56</w:t>
      </w:r>
      <w:r w:rsidRPr="005B5B17">
        <w:rPr>
          <w:b w:val="0"/>
          <w:noProof/>
        </w:rPr>
        <w:fldChar w:fldCharType="end"/>
      </w:r>
    </w:p>
    <w:p w14:paraId="0C3F7A68" w14:textId="77777777" w:rsidR="00D243CD" w:rsidRPr="005B5B17" w:rsidRDefault="00D243CD">
      <w:pPr>
        <w:pStyle w:val="TOC3"/>
        <w:rPr>
          <w:rFonts w:eastAsiaTheme="minorEastAsia" w:cstheme="minorBidi"/>
          <w:b w:val="0"/>
          <w:iCs w:val="0"/>
          <w:noProof/>
          <w:szCs w:val="22"/>
          <w:lang w:val="en-US"/>
        </w:rPr>
      </w:pPr>
      <w:r w:rsidRPr="005B5B17">
        <w:rPr>
          <w:b w:val="0"/>
          <w:bCs/>
          <w:noProof/>
        </w:rPr>
        <w:t>5.2.4.</w:t>
      </w:r>
      <w:r w:rsidRPr="005B5B17">
        <w:rPr>
          <w:rFonts w:eastAsiaTheme="minorEastAsia" w:cstheme="minorBidi"/>
          <w:b w:val="0"/>
          <w:iCs w:val="0"/>
          <w:noProof/>
          <w:szCs w:val="22"/>
          <w:lang w:val="en-US"/>
        </w:rPr>
        <w:tab/>
      </w:r>
      <w:r w:rsidRPr="005B5B17">
        <w:rPr>
          <w:b w:val="0"/>
          <w:bCs/>
          <w:noProof/>
        </w:rPr>
        <w:t>Remote sensing products: “potential risk” maps</w:t>
      </w:r>
      <w:r w:rsidRPr="005B5B17">
        <w:rPr>
          <w:b w:val="0"/>
          <w:noProof/>
        </w:rPr>
        <w:tab/>
      </w:r>
      <w:r w:rsidRPr="005B5B17">
        <w:rPr>
          <w:b w:val="0"/>
          <w:noProof/>
        </w:rPr>
        <w:fldChar w:fldCharType="begin"/>
      </w:r>
      <w:r w:rsidRPr="005B5B17">
        <w:rPr>
          <w:b w:val="0"/>
          <w:noProof/>
        </w:rPr>
        <w:instrText xml:space="preserve"> PAGEREF _Toc434208007 \h </w:instrText>
      </w:r>
      <w:r w:rsidRPr="005B5B17">
        <w:rPr>
          <w:b w:val="0"/>
          <w:noProof/>
        </w:rPr>
      </w:r>
      <w:r w:rsidRPr="005B5B17">
        <w:rPr>
          <w:b w:val="0"/>
          <w:noProof/>
        </w:rPr>
        <w:fldChar w:fldCharType="separate"/>
      </w:r>
      <w:r w:rsidR="00B62B50">
        <w:rPr>
          <w:b w:val="0"/>
          <w:noProof/>
        </w:rPr>
        <w:t>58</w:t>
      </w:r>
      <w:r w:rsidRPr="005B5B17">
        <w:rPr>
          <w:b w:val="0"/>
          <w:noProof/>
        </w:rPr>
        <w:fldChar w:fldCharType="end"/>
      </w:r>
    </w:p>
    <w:p w14:paraId="0C3F7A69" w14:textId="77777777" w:rsidR="00D243CD" w:rsidRPr="005B5B17" w:rsidRDefault="00D243CD">
      <w:pPr>
        <w:pStyle w:val="TOC3"/>
        <w:rPr>
          <w:rFonts w:eastAsiaTheme="minorEastAsia" w:cstheme="minorBidi"/>
          <w:b w:val="0"/>
          <w:iCs w:val="0"/>
          <w:noProof/>
          <w:szCs w:val="22"/>
          <w:lang w:val="en-US"/>
        </w:rPr>
      </w:pPr>
      <w:r w:rsidRPr="005B5B17">
        <w:rPr>
          <w:b w:val="0"/>
          <w:bCs/>
          <w:noProof/>
        </w:rPr>
        <w:t>5.2.5.</w:t>
      </w:r>
      <w:r w:rsidRPr="005B5B17">
        <w:rPr>
          <w:rFonts w:eastAsiaTheme="minorEastAsia" w:cstheme="minorBidi"/>
          <w:b w:val="0"/>
          <w:iCs w:val="0"/>
          <w:noProof/>
          <w:szCs w:val="22"/>
          <w:lang w:val="en-US"/>
        </w:rPr>
        <w:tab/>
      </w:r>
      <w:r w:rsidRPr="005B5B17">
        <w:rPr>
          <w:b w:val="0"/>
          <w:bCs/>
          <w:noProof/>
        </w:rPr>
        <w:t>Exposure of GBR ecosystems to river plumes</w:t>
      </w:r>
      <w:r w:rsidRPr="005B5B17">
        <w:rPr>
          <w:b w:val="0"/>
          <w:noProof/>
        </w:rPr>
        <w:tab/>
      </w:r>
      <w:r w:rsidRPr="005B5B17">
        <w:rPr>
          <w:b w:val="0"/>
          <w:noProof/>
        </w:rPr>
        <w:fldChar w:fldCharType="begin"/>
      </w:r>
      <w:r w:rsidRPr="005B5B17">
        <w:rPr>
          <w:b w:val="0"/>
          <w:noProof/>
        </w:rPr>
        <w:instrText xml:space="preserve"> PAGEREF _Toc434208008 \h </w:instrText>
      </w:r>
      <w:r w:rsidRPr="005B5B17">
        <w:rPr>
          <w:b w:val="0"/>
          <w:noProof/>
        </w:rPr>
      </w:r>
      <w:r w:rsidRPr="005B5B17">
        <w:rPr>
          <w:b w:val="0"/>
          <w:noProof/>
        </w:rPr>
        <w:fldChar w:fldCharType="separate"/>
      </w:r>
      <w:r w:rsidR="00B62B50">
        <w:rPr>
          <w:b w:val="0"/>
          <w:noProof/>
        </w:rPr>
        <w:t>60</w:t>
      </w:r>
      <w:r w:rsidRPr="005B5B17">
        <w:rPr>
          <w:b w:val="0"/>
          <w:noProof/>
        </w:rPr>
        <w:fldChar w:fldCharType="end"/>
      </w:r>
    </w:p>
    <w:p w14:paraId="0C3F7A6A" w14:textId="77777777" w:rsidR="00D243CD" w:rsidRPr="005B5B17" w:rsidRDefault="00D243CD">
      <w:pPr>
        <w:pStyle w:val="TOC3"/>
        <w:rPr>
          <w:rFonts w:eastAsiaTheme="minorEastAsia" w:cstheme="minorBidi"/>
          <w:b w:val="0"/>
          <w:iCs w:val="0"/>
          <w:noProof/>
          <w:szCs w:val="22"/>
          <w:lang w:val="en-US"/>
        </w:rPr>
      </w:pPr>
      <w:r w:rsidRPr="005B5B17">
        <w:rPr>
          <w:rFonts w:ascii="Calibri" w:hAnsi="Calibri"/>
          <w:b w:val="0"/>
          <w:bCs/>
          <w:noProof/>
        </w:rPr>
        <w:t>5.3.</w:t>
      </w:r>
      <w:r w:rsidRPr="005B5B17">
        <w:rPr>
          <w:rFonts w:eastAsiaTheme="minorEastAsia" w:cstheme="minorBidi"/>
          <w:b w:val="0"/>
          <w:iCs w:val="0"/>
          <w:noProof/>
          <w:szCs w:val="22"/>
          <w:lang w:val="en-US"/>
        </w:rPr>
        <w:tab/>
      </w:r>
      <w:r w:rsidRPr="005B5B17">
        <w:rPr>
          <w:rFonts w:ascii="Calibri" w:hAnsi="Calibri"/>
          <w:b w:val="0"/>
          <w:bCs/>
          <w:noProof/>
        </w:rPr>
        <w:t>Results</w:t>
      </w:r>
      <w:r w:rsidRPr="005B5B17">
        <w:rPr>
          <w:b w:val="0"/>
          <w:noProof/>
        </w:rPr>
        <w:tab/>
      </w:r>
      <w:r w:rsidRPr="005B5B17">
        <w:rPr>
          <w:b w:val="0"/>
          <w:noProof/>
        </w:rPr>
        <w:fldChar w:fldCharType="begin"/>
      </w:r>
      <w:r w:rsidRPr="005B5B17">
        <w:rPr>
          <w:b w:val="0"/>
          <w:noProof/>
        </w:rPr>
        <w:instrText xml:space="preserve"> PAGEREF _Toc434208009 \h </w:instrText>
      </w:r>
      <w:r w:rsidRPr="005B5B17">
        <w:rPr>
          <w:b w:val="0"/>
          <w:noProof/>
        </w:rPr>
      </w:r>
      <w:r w:rsidRPr="005B5B17">
        <w:rPr>
          <w:b w:val="0"/>
          <w:noProof/>
        </w:rPr>
        <w:fldChar w:fldCharType="separate"/>
      </w:r>
      <w:r w:rsidR="00B62B50">
        <w:rPr>
          <w:b w:val="0"/>
          <w:noProof/>
        </w:rPr>
        <w:t>62</w:t>
      </w:r>
      <w:r w:rsidRPr="005B5B17">
        <w:rPr>
          <w:b w:val="0"/>
          <w:noProof/>
        </w:rPr>
        <w:fldChar w:fldCharType="end"/>
      </w:r>
    </w:p>
    <w:p w14:paraId="0C3F7A6B" w14:textId="77777777" w:rsidR="00D243CD" w:rsidRPr="005B5B17" w:rsidRDefault="00D243CD">
      <w:pPr>
        <w:pStyle w:val="TOC3"/>
        <w:rPr>
          <w:rFonts w:eastAsiaTheme="minorEastAsia" w:cstheme="minorBidi"/>
          <w:b w:val="0"/>
          <w:iCs w:val="0"/>
          <w:noProof/>
          <w:szCs w:val="22"/>
          <w:lang w:val="en-US"/>
        </w:rPr>
      </w:pPr>
      <w:r w:rsidRPr="005B5B17">
        <w:rPr>
          <w:b w:val="0"/>
          <w:bCs/>
          <w:noProof/>
        </w:rPr>
        <w:t>5.3.1.</w:t>
      </w:r>
      <w:r w:rsidRPr="005B5B17">
        <w:rPr>
          <w:rFonts w:eastAsiaTheme="minorEastAsia" w:cstheme="minorBidi"/>
          <w:b w:val="0"/>
          <w:iCs w:val="0"/>
          <w:noProof/>
          <w:szCs w:val="22"/>
          <w:lang w:val="en-US"/>
        </w:rPr>
        <w:tab/>
      </w:r>
      <w:r w:rsidRPr="005B5B17">
        <w:rPr>
          <w:b w:val="0"/>
          <w:bCs/>
          <w:noProof/>
        </w:rPr>
        <w:t>Production maps (weekly composite maps of secondary water type)</w:t>
      </w:r>
      <w:r w:rsidRPr="005B5B17">
        <w:rPr>
          <w:b w:val="0"/>
          <w:noProof/>
        </w:rPr>
        <w:tab/>
      </w:r>
      <w:r w:rsidRPr="005B5B17">
        <w:rPr>
          <w:b w:val="0"/>
          <w:noProof/>
        </w:rPr>
        <w:fldChar w:fldCharType="begin"/>
      </w:r>
      <w:r w:rsidRPr="005B5B17">
        <w:rPr>
          <w:b w:val="0"/>
          <w:noProof/>
        </w:rPr>
        <w:instrText xml:space="preserve"> PAGEREF _Toc434208010 \h </w:instrText>
      </w:r>
      <w:r w:rsidRPr="005B5B17">
        <w:rPr>
          <w:b w:val="0"/>
          <w:noProof/>
        </w:rPr>
      </w:r>
      <w:r w:rsidRPr="005B5B17">
        <w:rPr>
          <w:b w:val="0"/>
          <w:noProof/>
        </w:rPr>
        <w:fldChar w:fldCharType="separate"/>
      </w:r>
      <w:r w:rsidR="00B62B50">
        <w:rPr>
          <w:b w:val="0"/>
          <w:noProof/>
        </w:rPr>
        <w:t>62</w:t>
      </w:r>
      <w:r w:rsidRPr="005B5B17">
        <w:rPr>
          <w:b w:val="0"/>
          <w:noProof/>
        </w:rPr>
        <w:fldChar w:fldCharType="end"/>
      </w:r>
    </w:p>
    <w:p w14:paraId="0C3F7A6C" w14:textId="77777777" w:rsidR="00D243CD" w:rsidRPr="005B5B17" w:rsidRDefault="00D243CD">
      <w:pPr>
        <w:pStyle w:val="TOC3"/>
        <w:rPr>
          <w:rFonts w:eastAsiaTheme="minorEastAsia" w:cstheme="minorBidi"/>
          <w:b w:val="0"/>
          <w:iCs w:val="0"/>
          <w:noProof/>
          <w:szCs w:val="22"/>
          <w:lang w:val="en-US"/>
        </w:rPr>
      </w:pPr>
      <w:r w:rsidRPr="005B5B17">
        <w:rPr>
          <w:b w:val="0"/>
          <w:bCs/>
          <w:noProof/>
        </w:rPr>
        <w:t>5.3.2.</w:t>
      </w:r>
      <w:r w:rsidRPr="005B5B17">
        <w:rPr>
          <w:rFonts w:eastAsiaTheme="minorEastAsia" w:cstheme="minorBidi"/>
          <w:b w:val="0"/>
          <w:iCs w:val="0"/>
          <w:noProof/>
          <w:szCs w:val="22"/>
          <w:lang w:val="en-US"/>
        </w:rPr>
        <w:tab/>
      </w:r>
      <w:r w:rsidRPr="005B5B17">
        <w:rPr>
          <w:b w:val="0"/>
          <w:bCs/>
          <w:noProof/>
        </w:rPr>
        <w:t>2012-13 frequency maps</w:t>
      </w:r>
      <w:r w:rsidRPr="005B5B17">
        <w:rPr>
          <w:b w:val="0"/>
          <w:noProof/>
        </w:rPr>
        <w:tab/>
      </w:r>
      <w:r w:rsidRPr="005B5B17">
        <w:rPr>
          <w:b w:val="0"/>
          <w:noProof/>
        </w:rPr>
        <w:fldChar w:fldCharType="begin"/>
      </w:r>
      <w:r w:rsidRPr="005B5B17">
        <w:rPr>
          <w:b w:val="0"/>
          <w:noProof/>
        </w:rPr>
        <w:instrText xml:space="preserve"> PAGEREF _Toc434208011 \h </w:instrText>
      </w:r>
      <w:r w:rsidRPr="005B5B17">
        <w:rPr>
          <w:b w:val="0"/>
          <w:noProof/>
        </w:rPr>
      </w:r>
      <w:r w:rsidRPr="005B5B17">
        <w:rPr>
          <w:b w:val="0"/>
          <w:noProof/>
        </w:rPr>
        <w:fldChar w:fldCharType="separate"/>
      </w:r>
      <w:r w:rsidR="00B62B50">
        <w:rPr>
          <w:b w:val="0"/>
          <w:noProof/>
        </w:rPr>
        <w:t>65</w:t>
      </w:r>
      <w:r w:rsidRPr="005B5B17">
        <w:rPr>
          <w:b w:val="0"/>
          <w:noProof/>
        </w:rPr>
        <w:fldChar w:fldCharType="end"/>
      </w:r>
    </w:p>
    <w:p w14:paraId="0C3F7A6D" w14:textId="77777777" w:rsidR="00D243CD" w:rsidRPr="005B5B17" w:rsidRDefault="00D243CD">
      <w:pPr>
        <w:pStyle w:val="TOC3"/>
        <w:rPr>
          <w:rFonts w:eastAsiaTheme="minorEastAsia" w:cstheme="minorBidi"/>
          <w:b w:val="0"/>
          <w:iCs w:val="0"/>
          <w:noProof/>
          <w:szCs w:val="22"/>
          <w:lang w:val="en-US"/>
        </w:rPr>
      </w:pPr>
      <w:r w:rsidRPr="005B5B17">
        <w:rPr>
          <w:b w:val="0"/>
          <w:bCs/>
          <w:noProof/>
        </w:rPr>
        <w:t>5.3.3.</w:t>
      </w:r>
      <w:r w:rsidRPr="005B5B17">
        <w:rPr>
          <w:rFonts w:eastAsiaTheme="minorEastAsia" w:cstheme="minorBidi"/>
          <w:b w:val="0"/>
          <w:iCs w:val="0"/>
          <w:noProof/>
          <w:szCs w:val="22"/>
          <w:lang w:val="en-US"/>
        </w:rPr>
        <w:tab/>
      </w:r>
      <w:r w:rsidRPr="005B5B17">
        <w:rPr>
          <w:b w:val="0"/>
          <w:bCs/>
          <w:noProof/>
        </w:rPr>
        <w:t>Water Quality concentration in river plumes</w:t>
      </w:r>
      <w:r w:rsidRPr="005B5B17">
        <w:rPr>
          <w:b w:val="0"/>
          <w:noProof/>
        </w:rPr>
        <w:tab/>
      </w:r>
      <w:r w:rsidRPr="005B5B17">
        <w:rPr>
          <w:b w:val="0"/>
          <w:noProof/>
        </w:rPr>
        <w:fldChar w:fldCharType="begin"/>
      </w:r>
      <w:r w:rsidRPr="005B5B17">
        <w:rPr>
          <w:b w:val="0"/>
          <w:noProof/>
        </w:rPr>
        <w:instrText xml:space="preserve"> PAGEREF _Toc434208012 \h </w:instrText>
      </w:r>
      <w:r w:rsidRPr="005B5B17">
        <w:rPr>
          <w:b w:val="0"/>
          <w:noProof/>
        </w:rPr>
      </w:r>
      <w:r w:rsidRPr="005B5B17">
        <w:rPr>
          <w:b w:val="0"/>
          <w:noProof/>
        </w:rPr>
        <w:fldChar w:fldCharType="separate"/>
      </w:r>
      <w:r w:rsidR="00B62B50">
        <w:rPr>
          <w:b w:val="0"/>
          <w:noProof/>
        </w:rPr>
        <w:t>74</w:t>
      </w:r>
      <w:r w:rsidRPr="005B5B17">
        <w:rPr>
          <w:b w:val="0"/>
          <w:noProof/>
        </w:rPr>
        <w:fldChar w:fldCharType="end"/>
      </w:r>
    </w:p>
    <w:p w14:paraId="0C3F7A6E" w14:textId="77777777" w:rsidR="00D243CD" w:rsidRPr="005B5B17" w:rsidRDefault="00D243CD">
      <w:pPr>
        <w:pStyle w:val="TOC3"/>
        <w:rPr>
          <w:rFonts w:eastAsiaTheme="minorEastAsia" w:cstheme="minorBidi"/>
          <w:b w:val="0"/>
          <w:iCs w:val="0"/>
          <w:noProof/>
          <w:szCs w:val="22"/>
          <w:lang w:val="en-US"/>
        </w:rPr>
      </w:pPr>
      <w:r w:rsidRPr="005B5B17">
        <w:rPr>
          <w:b w:val="0"/>
          <w:noProof/>
        </w:rPr>
        <w:t>5.3.4.</w:t>
      </w:r>
      <w:r w:rsidRPr="005B5B17">
        <w:rPr>
          <w:rFonts w:eastAsiaTheme="minorEastAsia" w:cstheme="minorBidi"/>
          <w:b w:val="0"/>
          <w:iCs w:val="0"/>
          <w:noProof/>
          <w:szCs w:val="22"/>
          <w:lang w:val="en-US"/>
        </w:rPr>
        <w:tab/>
      </w:r>
      <w:r w:rsidRPr="005B5B17">
        <w:rPr>
          <w:b w:val="0"/>
          <w:noProof/>
        </w:rPr>
        <w:t>Potential river plume risk maps – 2012/2013</w:t>
      </w:r>
      <w:r w:rsidRPr="005B5B17">
        <w:rPr>
          <w:b w:val="0"/>
          <w:noProof/>
        </w:rPr>
        <w:tab/>
      </w:r>
      <w:r w:rsidRPr="005B5B17">
        <w:rPr>
          <w:b w:val="0"/>
          <w:noProof/>
        </w:rPr>
        <w:fldChar w:fldCharType="begin"/>
      </w:r>
      <w:r w:rsidRPr="005B5B17">
        <w:rPr>
          <w:b w:val="0"/>
          <w:noProof/>
        </w:rPr>
        <w:instrText xml:space="preserve"> PAGEREF _Toc434208013 \h </w:instrText>
      </w:r>
      <w:r w:rsidRPr="005B5B17">
        <w:rPr>
          <w:b w:val="0"/>
          <w:noProof/>
        </w:rPr>
      </w:r>
      <w:r w:rsidRPr="005B5B17">
        <w:rPr>
          <w:b w:val="0"/>
          <w:noProof/>
        </w:rPr>
        <w:fldChar w:fldCharType="separate"/>
      </w:r>
      <w:r w:rsidR="00B62B50">
        <w:rPr>
          <w:b w:val="0"/>
          <w:noProof/>
        </w:rPr>
        <w:t>76</w:t>
      </w:r>
      <w:r w:rsidRPr="005B5B17">
        <w:rPr>
          <w:b w:val="0"/>
          <w:noProof/>
        </w:rPr>
        <w:fldChar w:fldCharType="end"/>
      </w:r>
    </w:p>
    <w:p w14:paraId="0C3F7A6F" w14:textId="77777777" w:rsidR="00D243CD" w:rsidRPr="005B5B17" w:rsidRDefault="00D243CD">
      <w:pPr>
        <w:pStyle w:val="TOC3"/>
        <w:rPr>
          <w:rFonts w:eastAsiaTheme="minorEastAsia" w:cstheme="minorBidi"/>
          <w:b w:val="0"/>
          <w:iCs w:val="0"/>
          <w:noProof/>
          <w:szCs w:val="22"/>
          <w:lang w:val="en-US"/>
        </w:rPr>
      </w:pPr>
      <w:r w:rsidRPr="005B5B17">
        <w:rPr>
          <w:b w:val="0"/>
          <w:noProof/>
        </w:rPr>
        <w:t>5.3.5.</w:t>
      </w:r>
      <w:r w:rsidRPr="005B5B17">
        <w:rPr>
          <w:rFonts w:eastAsiaTheme="minorEastAsia" w:cstheme="minorBidi"/>
          <w:b w:val="0"/>
          <w:iCs w:val="0"/>
          <w:noProof/>
          <w:szCs w:val="22"/>
          <w:lang w:val="en-US"/>
        </w:rPr>
        <w:tab/>
      </w:r>
      <w:r w:rsidRPr="005B5B17">
        <w:rPr>
          <w:b w:val="0"/>
          <w:noProof/>
        </w:rPr>
        <w:t>Comparison between RS outputs derived from the TC and L2 methods</w:t>
      </w:r>
      <w:r w:rsidRPr="005B5B17">
        <w:rPr>
          <w:b w:val="0"/>
          <w:noProof/>
        </w:rPr>
        <w:tab/>
      </w:r>
      <w:r w:rsidRPr="005B5B17">
        <w:rPr>
          <w:b w:val="0"/>
          <w:noProof/>
        </w:rPr>
        <w:fldChar w:fldCharType="begin"/>
      </w:r>
      <w:r w:rsidRPr="005B5B17">
        <w:rPr>
          <w:b w:val="0"/>
          <w:noProof/>
        </w:rPr>
        <w:instrText xml:space="preserve"> PAGEREF _Toc434208014 \h </w:instrText>
      </w:r>
      <w:r w:rsidRPr="005B5B17">
        <w:rPr>
          <w:b w:val="0"/>
          <w:noProof/>
        </w:rPr>
      </w:r>
      <w:r w:rsidRPr="005B5B17">
        <w:rPr>
          <w:b w:val="0"/>
          <w:noProof/>
        </w:rPr>
        <w:fldChar w:fldCharType="separate"/>
      </w:r>
      <w:r w:rsidR="00B62B50">
        <w:rPr>
          <w:b w:val="0"/>
          <w:noProof/>
        </w:rPr>
        <w:t>77</w:t>
      </w:r>
      <w:r w:rsidRPr="005B5B17">
        <w:rPr>
          <w:b w:val="0"/>
          <w:noProof/>
        </w:rPr>
        <w:fldChar w:fldCharType="end"/>
      </w:r>
    </w:p>
    <w:p w14:paraId="0C3F7A70" w14:textId="77777777" w:rsidR="00D243CD" w:rsidRPr="005B5B17" w:rsidRDefault="00D243CD">
      <w:pPr>
        <w:pStyle w:val="TOC3"/>
        <w:rPr>
          <w:rFonts w:eastAsiaTheme="minorEastAsia" w:cstheme="minorBidi"/>
          <w:b w:val="0"/>
          <w:iCs w:val="0"/>
          <w:noProof/>
          <w:szCs w:val="22"/>
          <w:lang w:val="en-US"/>
        </w:rPr>
      </w:pPr>
      <w:r w:rsidRPr="005B5B17">
        <w:rPr>
          <w:b w:val="0"/>
          <w:noProof/>
        </w:rPr>
        <w:t>5.3.6.</w:t>
      </w:r>
      <w:r w:rsidRPr="005B5B17">
        <w:rPr>
          <w:rFonts w:eastAsiaTheme="minorEastAsia" w:cstheme="minorBidi"/>
          <w:b w:val="0"/>
          <w:iCs w:val="0"/>
          <w:noProof/>
          <w:szCs w:val="22"/>
          <w:lang w:val="en-US"/>
        </w:rPr>
        <w:tab/>
      </w:r>
      <w:r w:rsidRPr="005B5B17">
        <w:rPr>
          <w:b w:val="0"/>
          <w:noProof/>
        </w:rPr>
        <w:t>Exposure of GBR ecosystems to river plumes and potential risk from river plume exposure in 2013</w:t>
      </w:r>
      <w:r w:rsidRPr="005B5B17">
        <w:rPr>
          <w:b w:val="0"/>
          <w:noProof/>
        </w:rPr>
        <w:tab/>
      </w:r>
      <w:r w:rsidRPr="005B5B17">
        <w:rPr>
          <w:b w:val="0"/>
          <w:noProof/>
        </w:rPr>
        <w:fldChar w:fldCharType="begin"/>
      </w:r>
      <w:r w:rsidRPr="005B5B17">
        <w:rPr>
          <w:b w:val="0"/>
          <w:noProof/>
        </w:rPr>
        <w:instrText xml:space="preserve"> PAGEREF _Toc434208015 \h </w:instrText>
      </w:r>
      <w:r w:rsidRPr="005B5B17">
        <w:rPr>
          <w:b w:val="0"/>
          <w:noProof/>
        </w:rPr>
      </w:r>
      <w:r w:rsidRPr="005B5B17">
        <w:rPr>
          <w:b w:val="0"/>
          <w:noProof/>
        </w:rPr>
        <w:fldChar w:fldCharType="separate"/>
      </w:r>
      <w:r w:rsidR="00B62B50">
        <w:rPr>
          <w:b w:val="0"/>
          <w:noProof/>
        </w:rPr>
        <w:t>79</w:t>
      </w:r>
      <w:r w:rsidRPr="005B5B17">
        <w:rPr>
          <w:b w:val="0"/>
          <w:noProof/>
        </w:rPr>
        <w:fldChar w:fldCharType="end"/>
      </w:r>
    </w:p>
    <w:p w14:paraId="0C3F7A71" w14:textId="77777777" w:rsidR="00D243CD" w:rsidRPr="005B5B17" w:rsidRDefault="00D243CD">
      <w:pPr>
        <w:pStyle w:val="TOC3"/>
        <w:rPr>
          <w:rFonts w:eastAsiaTheme="minorEastAsia" w:cstheme="minorBidi"/>
          <w:b w:val="0"/>
          <w:iCs w:val="0"/>
          <w:noProof/>
          <w:szCs w:val="22"/>
          <w:lang w:val="en-US"/>
        </w:rPr>
      </w:pPr>
      <w:r w:rsidRPr="005B5B17">
        <w:rPr>
          <w:b w:val="0"/>
          <w:noProof/>
        </w:rPr>
        <w:t>5.3.7.</w:t>
      </w:r>
      <w:r w:rsidRPr="005B5B17">
        <w:rPr>
          <w:rFonts w:eastAsiaTheme="minorEastAsia" w:cstheme="minorBidi"/>
          <w:b w:val="0"/>
          <w:iCs w:val="0"/>
          <w:noProof/>
          <w:szCs w:val="22"/>
          <w:lang w:val="en-US"/>
        </w:rPr>
        <w:tab/>
      </w:r>
      <w:r w:rsidRPr="005B5B17">
        <w:rPr>
          <w:b w:val="0"/>
          <w:noProof/>
        </w:rPr>
        <w:t>Potential river plume risk maps – 2007 - 2012</w:t>
      </w:r>
      <w:r w:rsidRPr="005B5B17">
        <w:rPr>
          <w:b w:val="0"/>
          <w:noProof/>
        </w:rPr>
        <w:tab/>
      </w:r>
      <w:r w:rsidRPr="005B5B17">
        <w:rPr>
          <w:b w:val="0"/>
          <w:noProof/>
        </w:rPr>
        <w:fldChar w:fldCharType="begin"/>
      </w:r>
      <w:r w:rsidRPr="005B5B17">
        <w:rPr>
          <w:b w:val="0"/>
          <w:noProof/>
        </w:rPr>
        <w:instrText xml:space="preserve"> PAGEREF _Toc434208016 \h </w:instrText>
      </w:r>
      <w:r w:rsidRPr="005B5B17">
        <w:rPr>
          <w:b w:val="0"/>
          <w:noProof/>
        </w:rPr>
      </w:r>
      <w:r w:rsidRPr="005B5B17">
        <w:rPr>
          <w:b w:val="0"/>
          <w:noProof/>
        </w:rPr>
        <w:fldChar w:fldCharType="separate"/>
      </w:r>
      <w:r w:rsidR="00B62B50">
        <w:rPr>
          <w:b w:val="0"/>
          <w:noProof/>
        </w:rPr>
        <w:t>81</w:t>
      </w:r>
      <w:r w:rsidRPr="005B5B17">
        <w:rPr>
          <w:b w:val="0"/>
          <w:noProof/>
        </w:rPr>
        <w:fldChar w:fldCharType="end"/>
      </w:r>
    </w:p>
    <w:p w14:paraId="0C3F7A72" w14:textId="77777777" w:rsidR="00D243CD" w:rsidRPr="005B5B17" w:rsidRDefault="00D243CD">
      <w:pPr>
        <w:pStyle w:val="TOC1"/>
        <w:rPr>
          <w:rFonts w:eastAsiaTheme="minorEastAsia" w:cstheme="minorBidi"/>
          <w:b w:val="0"/>
          <w:noProof/>
          <w:szCs w:val="22"/>
        </w:rPr>
      </w:pPr>
      <w:r w:rsidRPr="005B5B17">
        <w:rPr>
          <w:b w:val="0"/>
          <w:noProof/>
        </w:rPr>
        <w:t>6.</w:t>
      </w:r>
      <w:r w:rsidRPr="005B5B17">
        <w:rPr>
          <w:rFonts w:eastAsiaTheme="minorEastAsia" w:cstheme="minorBidi"/>
          <w:b w:val="0"/>
          <w:noProof/>
          <w:szCs w:val="22"/>
        </w:rPr>
        <w:tab/>
      </w:r>
      <w:r w:rsidRPr="005B5B17">
        <w:rPr>
          <w:b w:val="0"/>
          <w:noProof/>
        </w:rPr>
        <w:t>Discussion and conclusions</w:t>
      </w:r>
      <w:r w:rsidRPr="005B5B17">
        <w:rPr>
          <w:b w:val="0"/>
          <w:noProof/>
        </w:rPr>
        <w:tab/>
      </w:r>
      <w:r w:rsidRPr="005B5B17">
        <w:rPr>
          <w:b w:val="0"/>
          <w:noProof/>
        </w:rPr>
        <w:fldChar w:fldCharType="begin"/>
      </w:r>
      <w:r w:rsidRPr="005B5B17">
        <w:rPr>
          <w:b w:val="0"/>
          <w:noProof/>
        </w:rPr>
        <w:instrText xml:space="preserve"> PAGEREF _Toc434208017 \h </w:instrText>
      </w:r>
      <w:r w:rsidRPr="005B5B17">
        <w:rPr>
          <w:b w:val="0"/>
          <w:noProof/>
        </w:rPr>
      </w:r>
      <w:r w:rsidRPr="005B5B17">
        <w:rPr>
          <w:b w:val="0"/>
          <w:noProof/>
        </w:rPr>
        <w:fldChar w:fldCharType="separate"/>
      </w:r>
      <w:r w:rsidR="00B62B50">
        <w:rPr>
          <w:b w:val="0"/>
          <w:noProof/>
        </w:rPr>
        <w:t>87</w:t>
      </w:r>
      <w:r w:rsidRPr="005B5B17">
        <w:rPr>
          <w:b w:val="0"/>
          <w:noProof/>
        </w:rPr>
        <w:fldChar w:fldCharType="end"/>
      </w:r>
    </w:p>
    <w:p w14:paraId="0C3F7A73" w14:textId="77777777" w:rsidR="00D243CD" w:rsidRPr="005B5B17" w:rsidRDefault="00D243CD">
      <w:pPr>
        <w:pStyle w:val="TOC1"/>
        <w:rPr>
          <w:rFonts w:eastAsiaTheme="minorEastAsia" w:cstheme="minorBidi"/>
          <w:b w:val="0"/>
          <w:noProof/>
          <w:szCs w:val="22"/>
        </w:rPr>
      </w:pPr>
      <w:r w:rsidRPr="005B5B17">
        <w:rPr>
          <w:rFonts w:ascii="Myriad Pro" w:hAnsi="Myriad Pro" w:cs="Myriad Pro"/>
          <w:b w:val="0"/>
          <w:noProof/>
          <w:color w:val="000000"/>
        </w:rPr>
        <w:t>7.</w:t>
      </w:r>
      <w:r w:rsidRPr="005B5B17">
        <w:rPr>
          <w:rFonts w:eastAsiaTheme="minorEastAsia" w:cstheme="minorBidi"/>
          <w:b w:val="0"/>
          <w:noProof/>
          <w:szCs w:val="22"/>
        </w:rPr>
        <w:tab/>
      </w:r>
      <w:r w:rsidRPr="005B5B17">
        <w:rPr>
          <w:b w:val="0"/>
          <w:noProof/>
        </w:rPr>
        <w:t>Future developments</w:t>
      </w:r>
      <w:r w:rsidRPr="005B5B17">
        <w:rPr>
          <w:b w:val="0"/>
          <w:noProof/>
        </w:rPr>
        <w:tab/>
      </w:r>
      <w:r w:rsidRPr="005B5B17">
        <w:rPr>
          <w:b w:val="0"/>
          <w:noProof/>
        </w:rPr>
        <w:fldChar w:fldCharType="begin"/>
      </w:r>
      <w:r w:rsidRPr="005B5B17">
        <w:rPr>
          <w:b w:val="0"/>
          <w:noProof/>
        </w:rPr>
        <w:instrText xml:space="preserve"> PAGEREF _Toc434208018 \h </w:instrText>
      </w:r>
      <w:r w:rsidRPr="005B5B17">
        <w:rPr>
          <w:b w:val="0"/>
          <w:noProof/>
        </w:rPr>
      </w:r>
      <w:r w:rsidRPr="005B5B17">
        <w:rPr>
          <w:b w:val="0"/>
          <w:noProof/>
        </w:rPr>
        <w:fldChar w:fldCharType="separate"/>
      </w:r>
      <w:r w:rsidR="00B62B50">
        <w:rPr>
          <w:b w:val="0"/>
          <w:noProof/>
        </w:rPr>
        <w:t>92</w:t>
      </w:r>
      <w:r w:rsidRPr="005B5B17">
        <w:rPr>
          <w:b w:val="0"/>
          <w:noProof/>
        </w:rPr>
        <w:fldChar w:fldCharType="end"/>
      </w:r>
    </w:p>
    <w:p w14:paraId="0C3F7A74" w14:textId="77777777" w:rsidR="00D243CD" w:rsidRPr="005B5B17" w:rsidRDefault="00D243CD">
      <w:pPr>
        <w:pStyle w:val="TOC1"/>
        <w:rPr>
          <w:rFonts w:eastAsiaTheme="minorEastAsia" w:cstheme="minorBidi"/>
          <w:b w:val="0"/>
          <w:noProof/>
          <w:szCs w:val="22"/>
        </w:rPr>
      </w:pPr>
      <w:r w:rsidRPr="005B5B17">
        <w:rPr>
          <w:b w:val="0"/>
          <w:noProof/>
        </w:rPr>
        <w:t>7.</w:t>
      </w:r>
      <w:r w:rsidRPr="005B5B17">
        <w:rPr>
          <w:rFonts w:eastAsiaTheme="minorEastAsia" w:cstheme="minorBidi"/>
          <w:b w:val="0"/>
          <w:noProof/>
          <w:szCs w:val="22"/>
        </w:rPr>
        <w:tab/>
      </w:r>
      <w:r w:rsidRPr="005B5B17">
        <w:rPr>
          <w:b w:val="0"/>
          <w:noProof/>
        </w:rPr>
        <w:t>References</w:t>
      </w:r>
      <w:r w:rsidRPr="005B5B17">
        <w:rPr>
          <w:b w:val="0"/>
          <w:noProof/>
        </w:rPr>
        <w:tab/>
      </w:r>
      <w:r w:rsidRPr="005B5B17">
        <w:rPr>
          <w:b w:val="0"/>
          <w:noProof/>
        </w:rPr>
        <w:fldChar w:fldCharType="begin"/>
      </w:r>
      <w:r w:rsidRPr="005B5B17">
        <w:rPr>
          <w:b w:val="0"/>
          <w:noProof/>
        </w:rPr>
        <w:instrText xml:space="preserve"> PAGEREF _Toc434208019 \h </w:instrText>
      </w:r>
      <w:r w:rsidRPr="005B5B17">
        <w:rPr>
          <w:b w:val="0"/>
          <w:noProof/>
        </w:rPr>
      </w:r>
      <w:r w:rsidRPr="005B5B17">
        <w:rPr>
          <w:b w:val="0"/>
          <w:noProof/>
        </w:rPr>
        <w:fldChar w:fldCharType="separate"/>
      </w:r>
      <w:r w:rsidR="00B62B50">
        <w:rPr>
          <w:b w:val="0"/>
          <w:noProof/>
        </w:rPr>
        <w:t>94</w:t>
      </w:r>
      <w:r w:rsidRPr="005B5B17">
        <w:rPr>
          <w:b w:val="0"/>
          <w:noProof/>
        </w:rPr>
        <w:fldChar w:fldCharType="end"/>
      </w:r>
    </w:p>
    <w:p w14:paraId="0C3F7A75" w14:textId="77777777" w:rsidR="007315EF" w:rsidRDefault="007315EF" w:rsidP="007315EF">
      <w:pPr>
        <w:spacing w:before="0" w:after="0"/>
        <w:rPr>
          <w:b/>
          <w:sz w:val="28"/>
          <w:szCs w:val="28"/>
        </w:rPr>
      </w:pPr>
      <w:r w:rsidRPr="005B5B17">
        <w:rPr>
          <w:lang w:val="en-US" w:eastAsia="en-US"/>
        </w:rPr>
        <w:fldChar w:fldCharType="end"/>
      </w:r>
      <w:r>
        <w:rPr>
          <w:b/>
          <w:sz w:val="28"/>
          <w:szCs w:val="28"/>
        </w:rPr>
        <w:br w:type="page"/>
      </w:r>
      <w:r>
        <w:rPr>
          <w:b/>
          <w:sz w:val="28"/>
          <w:szCs w:val="28"/>
        </w:rPr>
        <w:lastRenderedPageBreak/>
        <w:t>LIST OF FIGURES</w:t>
      </w:r>
    </w:p>
    <w:p w14:paraId="0C3F7A76" w14:textId="77777777" w:rsidR="00D243CD" w:rsidRDefault="007315EF">
      <w:pPr>
        <w:pStyle w:val="TableofFigures"/>
        <w:tabs>
          <w:tab w:val="right" w:leader="dot" w:pos="9563"/>
        </w:tabs>
        <w:rPr>
          <w:rFonts w:eastAsiaTheme="minorEastAsia" w:cstheme="minorBidi"/>
          <w:noProof/>
          <w:lang w:val="en-US" w:eastAsia="en-US"/>
        </w:rPr>
      </w:pPr>
      <w:r>
        <w:rPr>
          <w:b/>
          <w:sz w:val="28"/>
          <w:szCs w:val="28"/>
        </w:rPr>
        <w:fldChar w:fldCharType="begin"/>
      </w:r>
      <w:r>
        <w:rPr>
          <w:b/>
          <w:sz w:val="28"/>
          <w:szCs w:val="28"/>
        </w:rPr>
        <w:instrText xml:space="preserve"> TOC \h \z \c "Figure" </w:instrText>
      </w:r>
      <w:r>
        <w:rPr>
          <w:b/>
          <w:sz w:val="28"/>
          <w:szCs w:val="28"/>
        </w:rPr>
        <w:fldChar w:fldCharType="separate"/>
      </w:r>
      <w:hyperlink w:anchor="_Toc434208020" w:history="1">
        <w:r w:rsidR="00D243CD" w:rsidRPr="001964B2">
          <w:rPr>
            <w:rStyle w:val="Hyperlink"/>
            <w:noProof/>
          </w:rPr>
          <w:t>Figure 1</w:t>
        </w:r>
        <w:r w:rsidR="00D243CD" w:rsidRPr="001964B2">
          <w:rPr>
            <w:rStyle w:val="Hyperlink"/>
            <w:noProof/>
          </w:rPr>
          <w:noBreakHyphen/>
          <w:t>1: Potential exposure of seagrass beds and coral reefs to the highest potential risk categories  (III and IV) from river plume exposure during the 2012-13 wet season.</w:t>
        </w:r>
        <w:r w:rsidR="00D243CD">
          <w:rPr>
            <w:noProof/>
            <w:webHidden/>
          </w:rPr>
          <w:tab/>
        </w:r>
        <w:r w:rsidR="00D243CD">
          <w:rPr>
            <w:noProof/>
            <w:webHidden/>
          </w:rPr>
          <w:fldChar w:fldCharType="begin"/>
        </w:r>
        <w:r w:rsidR="00D243CD">
          <w:rPr>
            <w:noProof/>
            <w:webHidden/>
          </w:rPr>
          <w:instrText xml:space="preserve"> PAGEREF _Toc434208020 \h </w:instrText>
        </w:r>
        <w:r w:rsidR="00D243CD">
          <w:rPr>
            <w:noProof/>
            <w:webHidden/>
          </w:rPr>
        </w:r>
        <w:r w:rsidR="00D243CD">
          <w:rPr>
            <w:noProof/>
            <w:webHidden/>
          </w:rPr>
          <w:fldChar w:fldCharType="separate"/>
        </w:r>
        <w:r w:rsidR="00B62B50">
          <w:rPr>
            <w:noProof/>
            <w:webHidden/>
          </w:rPr>
          <w:t>8</w:t>
        </w:r>
        <w:r w:rsidR="00D243CD">
          <w:rPr>
            <w:noProof/>
            <w:webHidden/>
          </w:rPr>
          <w:fldChar w:fldCharType="end"/>
        </w:r>
      </w:hyperlink>
    </w:p>
    <w:p w14:paraId="0C3F7A77" w14:textId="77777777" w:rsidR="00D243CD" w:rsidRDefault="00A2755C">
      <w:pPr>
        <w:pStyle w:val="TableofFigures"/>
        <w:tabs>
          <w:tab w:val="right" w:leader="dot" w:pos="9563"/>
        </w:tabs>
        <w:rPr>
          <w:rFonts w:eastAsiaTheme="minorEastAsia" w:cstheme="minorBidi"/>
          <w:noProof/>
          <w:lang w:val="en-US" w:eastAsia="en-US"/>
        </w:rPr>
      </w:pPr>
      <w:hyperlink w:anchor="_Toc434208021" w:history="1">
        <w:r w:rsidR="00D243CD" w:rsidRPr="001964B2">
          <w:rPr>
            <w:rStyle w:val="Hyperlink"/>
            <w:noProof/>
          </w:rPr>
          <w:t>Figure 2</w:t>
        </w:r>
        <w:r w:rsidR="00D243CD" w:rsidRPr="001964B2">
          <w:rPr>
            <w:rStyle w:val="Hyperlink"/>
            <w:noProof/>
          </w:rPr>
          <w:noBreakHyphen/>
          <w:t xml:space="preserve">1: </w:t>
        </w:r>
        <w:r w:rsidR="00D243CD" w:rsidRPr="001964B2">
          <w:rPr>
            <w:rStyle w:val="Hyperlink"/>
            <w:rFonts w:eastAsia="Calibri"/>
            <w:noProof/>
          </w:rPr>
          <w:t>The Great Barrier Reef Marine Park (light grey, Queensland, Australia), major marine ecosystems (coral reefs and seagrass beds), Natural Resource Management regions (red colour scale) and marine portions (delineated by dark grey liens) of the NRM regions and major rivers: Normanby (N), Barron (Ba), Johnstone (J), Tully (T), Herbert (H), Burdekin (Bu), Pioneer (P), Fitzroy (F), modified from Petus et al., in review.</w:t>
        </w:r>
        <w:r w:rsidR="00D243CD">
          <w:rPr>
            <w:noProof/>
            <w:webHidden/>
          </w:rPr>
          <w:tab/>
        </w:r>
        <w:r w:rsidR="00D243CD">
          <w:rPr>
            <w:noProof/>
            <w:webHidden/>
          </w:rPr>
          <w:fldChar w:fldCharType="begin"/>
        </w:r>
        <w:r w:rsidR="00D243CD">
          <w:rPr>
            <w:noProof/>
            <w:webHidden/>
          </w:rPr>
          <w:instrText xml:space="preserve"> PAGEREF _Toc434208021 \h </w:instrText>
        </w:r>
        <w:r w:rsidR="00D243CD">
          <w:rPr>
            <w:noProof/>
            <w:webHidden/>
          </w:rPr>
        </w:r>
        <w:r w:rsidR="00D243CD">
          <w:rPr>
            <w:noProof/>
            <w:webHidden/>
          </w:rPr>
          <w:fldChar w:fldCharType="separate"/>
        </w:r>
        <w:r w:rsidR="00B62B50">
          <w:rPr>
            <w:noProof/>
            <w:webHidden/>
          </w:rPr>
          <w:t>11</w:t>
        </w:r>
        <w:r w:rsidR="00D243CD">
          <w:rPr>
            <w:noProof/>
            <w:webHidden/>
          </w:rPr>
          <w:fldChar w:fldCharType="end"/>
        </w:r>
      </w:hyperlink>
    </w:p>
    <w:p w14:paraId="0C3F7A78" w14:textId="77777777" w:rsidR="00D243CD" w:rsidRDefault="00A2755C">
      <w:pPr>
        <w:pStyle w:val="TableofFigures"/>
        <w:tabs>
          <w:tab w:val="right" w:leader="dot" w:pos="9563"/>
        </w:tabs>
        <w:rPr>
          <w:rFonts w:eastAsiaTheme="minorEastAsia" w:cstheme="minorBidi"/>
          <w:noProof/>
          <w:lang w:val="en-US" w:eastAsia="en-US"/>
        </w:rPr>
      </w:pPr>
      <w:hyperlink w:anchor="_Toc434208022" w:history="1">
        <w:r w:rsidR="00D243CD" w:rsidRPr="001964B2">
          <w:rPr>
            <w:rStyle w:val="Hyperlink"/>
            <w:noProof/>
          </w:rPr>
          <w:t>Figure 3</w:t>
        </w:r>
        <w:r w:rsidR="00D243CD" w:rsidRPr="001964B2">
          <w:rPr>
            <w:rStyle w:val="Hyperlink"/>
            <w:noProof/>
          </w:rPr>
          <w:noBreakHyphen/>
          <w:t xml:space="preserve">1: Long-term total hydrological year discharge (c.a., Oct-1 to Sep-30) for the main GBR Rivers (Source: DNRM, </w:t>
        </w:r>
        <w:r w:rsidR="00D243CD" w:rsidRPr="001964B2">
          <w:rPr>
            <w:rStyle w:val="Hyperlink"/>
            <w:rFonts w:cs="Arial"/>
            <w:noProof/>
          </w:rPr>
          <w:t>http://watermonitoring.dnrm.qld.gov.au/host.htm</w:t>
        </w:r>
        <w:r w:rsidR="00D243CD" w:rsidRPr="001964B2">
          <w:rPr>
            <w:rStyle w:val="Hyperlink"/>
            <w:noProof/>
          </w:rPr>
          <w:t>).</w:t>
        </w:r>
        <w:r w:rsidR="00D243CD">
          <w:rPr>
            <w:noProof/>
            <w:webHidden/>
          </w:rPr>
          <w:tab/>
        </w:r>
        <w:r w:rsidR="00D243CD">
          <w:rPr>
            <w:noProof/>
            <w:webHidden/>
          </w:rPr>
          <w:fldChar w:fldCharType="begin"/>
        </w:r>
        <w:r w:rsidR="00D243CD">
          <w:rPr>
            <w:noProof/>
            <w:webHidden/>
          </w:rPr>
          <w:instrText xml:space="preserve"> PAGEREF _Toc434208022 \h </w:instrText>
        </w:r>
        <w:r w:rsidR="00D243CD">
          <w:rPr>
            <w:noProof/>
            <w:webHidden/>
          </w:rPr>
        </w:r>
        <w:r w:rsidR="00D243CD">
          <w:rPr>
            <w:noProof/>
            <w:webHidden/>
          </w:rPr>
          <w:fldChar w:fldCharType="separate"/>
        </w:r>
        <w:r w:rsidR="00B62B50">
          <w:rPr>
            <w:noProof/>
            <w:webHidden/>
          </w:rPr>
          <w:t>14</w:t>
        </w:r>
        <w:r w:rsidR="00D243CD">
          <w:rPr>
            <w:noProof/>
            <w:webHidden/>
          </w:rPr>
          <w:fldChar w:fldCharType="end"/>
        </w:r>
      </w:hyperlink>
    </w:p>
    <w:p w14:paraId="0C3F7A79" w14:textId="77777777" w:rsidR="00D243CD" w:rsidRDefault="00A2755C">
      <w:pPr>
        <w:pStyle w:val="TableofFigures"/>
        <w:tabs>
          <w:tab w:val="right" w:leader="dot" w:pos="9563"/>
        </w:tabs>
        <w:rPr>
          <w:rFonts w:eastAsiaTheme="minorEastAsia" w:cstheme="minorBidi"/>
          <w:noProof/>
          <w:lang w:val="en-US" w:eastAsia="en-US"/>
        </w:rPr>
      </w:pPr>
      <w:hyperlink w:anchor="_Toc434208023" w:history="1">
        <w:r w:rsidR="00D243CD" w:rsidRPr="001964B2">
          <w:rPr>
            <w:rStyle w:val="Hyperlink"/>
            <w:noProof/>
          </w:rPr>
          <w:t>Figure 3</w:t>
        </w:r>
        <w:r w:rsidR="00D243CD" w:rsidRPr="001964B2">
          <w:rPr>
            <w:rStyle w:val="Hyperlink"/>
            <w:noProof/>
          </w:rPr>
          <w:noBreakHyphen/>
          <w:t>2</w:t>
        </w:r>
        <w:r w:rsidR="00D243CD" w:rsidRPr="001964B2">
          <w:rPr>
            <w:rStyle w:val="Hyperlink"/>
            <w:rFonts w:eastAsia="Calibri"/>
            <w:noProof/>
          </w:rPr>
          <w:t>: a) True colour and b) plume waters mapped the 25</w:t>
        </w:r>
        <w:r w:rsidR="00D243CD" w:rsidRPr="001964B2">
          <w:rPr>
            <w:rStyle w:val="Hyperlink"/>
            <w:rFonts w:eastAsia="Calibri"/>
            <w:noProof/>
            <w:vertAlign w:val="superscript"/>
          </w:rPr>
          <w:t>th</w:t>
        </w:r>
        <w:r w:rsidR="00D243CD" w:rsidRPr="001964B2">
          <w:rPr>
            <w:rStyle w:val="Hyperlink"/>
            <w:rFonts w:eastAsia="Calibri"/>
            <w:noProof/>
          </w:rPr>
          <w:t xml:space="preserve"> and 29</w:t>
        </w:r>
        <w:r w:rsidR="00D243CD" w:rsidRPr="001964B2">
          <w:rPr>
            <w:rStyle w:val="Hyperlink"/>
            <w:rFonts w:eastAsia="Calibri"/>
            <w:noProof/>
            <w:vertAlign w:val="superscript"/>
          </w:rPr>
          <w:t>th</w:t>
        </w:r>
        <w:r w:rsidR="00D243CD" w:rsidRPr="001964B2">
          <w:rPr>
            <w:rStyle w:val="Hyperlink"/>
            <w:rFonts w:eastAsia="Calibri"/>
            <w:noProof/>
          </w:rPr>
          <w:t xml:space="preserve"> of January, 2013 in the Wet Tropics NRM using the method of Álvarez-Romero et al. (2013). These maps show Barron River plume waters deflected toward offshore by the NW winds. Wind direction measured at 12:00 am is indicated with black arrows.</w:t>
        </w:r>
        <w:r w:rsidR="00D243CD">
          <w:rPr>
            <w:noProof/>
            <w:webHidden/>
          </w:rPr>
          <w:tab/>
        </w:r>
        <w:r w:rsidR="00D243CD">
          <w:rPr>
            <w:noProof/>
            <w:webHidden/>
          </w:rPr>
          <w:fldChar w:fldCharType="begin"/>
        </w:r>
        <w:r w:rsidR="00D243CD">
          <w:rPr>
            <w:noProof/>
            <w:webHidden/>
          </w:rPr>
          <w:instrText xml:space="preserve"> PAGEREF _Toc434208023 \h </w:instrText>
        </w:r>
        <w:r w:rsidR="00D243CD">
          <w:rPr>
            <w:noProof/>
            <w:webHidden/>
          </w:rPr>
        </w:r>
        <w:r w:rsidR="00D243CD">
          <w:rPr>
            <w:noProof/>
            <w:webHidden/>
          </w:rPr>
          <w:fldChar w:fldCharType="separate"/>
        </w:r>
        <w:r w:rsidR="00B62B50">
          <w:rPr>
            <w:noProof/>
            <w:webHidden/>
          </w:rPr>
          <w:t>18</w:t>
        </w:r>
        <w:r w:rsidR="00D243CD">
          <w:rPr>
            <w:noProof/>
            <w:webHidden/>
          </w:rPr>
          <w:fldChar w:fldCharType="end"/>
        </w:r>
      </w:hyperlink>
    </w:p>
    <w:p w14:paraId="0C3F7A7A" w14:textId="77777777" w:rsidR="00D243CD" w:rsidRDefault="00A2755C">
      <w:pPr>
        <w:pStyle w:val="TableofFigures"/>
        <w:tabs>
          <w:tab w:val="right" w:leader="dot" w:pos="9563"/>
        </w:tabs>
        <w:rPr>
          <w:rFonts w:eastAsiaTheme="minorEastAsia" w:cstheme="minorBidi"/>
          <w:noProof/>
          <w:lang w:val="en-US" w:eastAsia="en-US"/>
        </w:rPr>
      </w:pPr>
      <w:hyperlink w:anchor="_Toc434208024" w:history="1">
        <w:r w:rsidR="00D243CD" w:rsidRPr="001964B2">
          <w:rPr>
            <w:rStyle w:val="Hyperlink"/>
            <w:rFonts w:eastAsia="Calibri"/>
            <w:noProof/>
          </w:rPr>
          <w:t>Figure 3</w:t>
        </w:r>
        <w:r w:rsidR="00D243CD" w:rsidRPr="001964B2">
          <w:rPr>
            <w:rStyle w:val="Hyperlink"/>
            <w:rFonts w:eastAsia="Calibri"/>
            <w:noProof/>
          </w:rPr>
          <w:noBreakHyphen/>
          <w:t>3: a) True colour and b) plume waters mapped from the 25th to the 31rd of January 2013 in the Wet Tropics NRM using the method of Álvarez-Romero et al. (2013). This series of maps illustrate high importance of river discharge rates modulations on the river plumes areas. Wind direction measured at 15:00 am is indicated with black arrows (data at 12:00 am are unavailable for the Ingham meteorological stations).</w:t>
        </w:r>
        <w:r w:rsidR="00D243CD">
          <w:rPr>
            <w:noProof/>
            <w:webHidden/>
          </w:rPr>
          <w:tab/>
        </w:r>
        <w:r w:rsidR="00D243CD">
          <w:rPr>
            <w:noProof/>
            <w:webHidden/>
          </w:rPr>
          <w:fldChar w:fldCharType="begin"/>
        </w:r>
        <w:r w:rsidR="00D243CD">
          <w:rPr>
            <w:noProof/>
            <w:webHidden/>
          </w:rPr>
          <w:instrText xml:space="preserve"> PAGEREF _Toc434208024 \h </w:instrText>
        </w:r>
        <w:r w:rsidR="00D243CD">
          <w:rPr>
            <w:noProof/>
            <w:webHidden/>
          </w:rPr>
        </w:r>
        <w:r w:rsidR="00D243CD">
          <w:rPr>
            <w:noProof/>
            <w:webHidden/>
          </w:rPr>
          <w:fldChar w:fldCharType="separate"/>
        </w:r>
        <w:r w:rsidR="00B62B50">
          <w:rPr>
            <w:noProof/>
            <w:webHidden/>
          </w:rPr>
          <w:t>19</w:t>
        </w:r>
        <w:r w:rsidR="00D243CD">
          <w:rPr>
            <w:noProof/>
            <w:webHidden/>
          </w:rPr>
          <w:fldChar w:fldCharType="end"/>
        </w:r>
      </w:hyperlink>
    </w:p>
    <w:p w14:paraId="0C3F7A7B" w14:textId="77777777" w:rsidR="00D243CD" w:rsidRDefault="00A2755C">
      <w:pPr>
        <w:pStyle w:val="TableofFigures"/>
        <w:tabs>
          <w:tab w:val="right" w:leader="dot" w:pos="9563"/>
        </w:tabs>
        <w:rPr>
          <w:rFonts w:eastAsiaTheme="minorEastAsia" w:cstheme="minorBidi"/>
          <w:noProof/>
          <w:lang w:val="en-US" w:eastAsia="en-US"/>
        </w:rPr>
      </w:pPr>
      <w:hyperlink w:anchor="_Toc434208025" w:history="1">
        <w:r w:rsidR="00D243CD" w:rsidRPr="001964B2">
          <w:rPr>
            <w:rStyle w:val="Hyperlink"/>
            <w:rFonts w:eastAsia="Calibri"/>
            <w:noProof/>
          </w:rPr>
          <w:t>Figure 3</w:t>
        </w:r>
        <w:r w:rsidR="00D243CD" w:rsidRPr="001964B2">
          <w:rPr>
            <w:rStyle w:val="Hyperlink"/>
            <w:rFonts w:eastAsia="Calibri"/>
            <w:noProof/>
          </w:rPr>
          <w:noBreakHyphen/>
          <w:t>4: a) True colour and b) plume waters mapped on the 27</w:t>
        </w:r>
        <w:r w:rsidR="00D243CD" w:rsidRPr="001964B2">
          <w:rPr>
            <w:rStyle w:val="Hyperlink"/>
            <w:rFonts w:eastAsia="Calibri"/>
            <w:noProof/>
            <w:vertAlign w:val="superscript"/>
          </w:rPr>
          <w:t>th</w:t>
        </w:r>
        <w:r w:rsidR="00D243CD" w:rsidRPr="001964B2">
          <w:rPr>
            <w:rStyle w:val="Hyperlink"/>
            <w:rFonts w:eastAsia="Calibri"/>
            <w:noProof/>
          </w:rPr>
          <w:t xml:space="preserve"> and 29</w:t>
        </w:r>
        <w:r w:rsidR="00D243CD" w:rsidRPr="001964B2">
          <w:rPr>
            <w:rStyle w:val="Hyperlink"/>
            <w:rFonts w:eastAsia="Calibri"/>
            <w:noProof/>
            <w:vertAlign w:val="superscript"/>
          </w:rPr>
          <w:t>th</w:t>
        </w:r>
        <w:r w:rsidR="00D243CD" w:rsidRPr="001964B2">
          <w:rPr>
            <w:rStyle w:val="Hyperlink"/>
            <w:rFonts w:eastAsia="Calibri"/>
            <w:noProof/>
          </w:rPr>
          <w:t xml:space="preserve"> of Jan 2013 in the Burdekin NRM using the method of Álvarez-Romero et al. (2013). Burdekin River plume waters are deflected offshore under strong western winds and reach the inner coral reefs on the 25</w:t>
        </w:r>
        <w:r w:rsidR="00D243CD" w:rsidRPr="001964B2">
          <w:rPr>
            <w:rStyle w:val="Hyperlink"/>
            <w:rFonts w:eastAsia="Calibri"/>
            <w:noProof/>
            <w:vertAlign w:val="superscript"/>
          </w:rPr>
          <w:t>th</w:t>
        </w:r>
        <w:r w:rsidR="00D243CD" w:rsidRPr="001964B2">
          <w:rPr>
            <w:rStyle w:val="Hyperlink"/>
            <w:rFonts w:eastAsia="Calibri"/>
            <w:noProof/>
          </w:rPr>
          <w:t xml:space="preserve"> of January. Wind direction measured at 12:00 am is indicated with black arrows.</w:t>
        </w:r>
        <w:r w:rsidR="00D243CD">
          <w:rPr>
            <w:noProof/>
            <w:webHidden/>
          </w:rPr>
          <w:tab/>
        </w:r>
        <w:r w:rsidR="00D243CD">
          <w:rPr>
            <w:noProof/>
            <w:webHidden/>
          </w:rPr>
          <w:fldChar w:fldCharType="begin"/>
        </w:r>
        <w:r w:rsidR="00D243CD">
          <w:rPr>
            <w:noProof/>
            <w:webHidden/>
          </w:rPr>
          <w:instrText xml:space="preserve"> PAGEREF _Toc434208025 \h </w:instrText>
        </w:r>
        <w:r w:rsidR="00D243CD">
          <w:rPr>
            <w:noProof/>
            <w:webHidden/>
          </w:rPr>
        </w:r>
        <w:r w:rsidR="00D243CD">
          <w:rPr>
            <w:noProof/>
            <w:webHidden/>
          </w:rPr>
          <w:fldChar w:fldCharType="separate"/>
        </w:r>
        <w:r w:rsidR="00B62B50">
          <w:rPr>
            <w:noProof/>
            <w:webHidden/>
          </w:rPr>
          <w:t>20</w:t>
        </w:r>
        <w:r w:rsidR="00D243CD">
          <w:rPr>
            <w:noProof/>
            <w:webHidden/>
          </w:rPr>
          <w:fldChar w:fldCharType="end"/>
        </w:r>
      </w:hyperlink>
    </w:p>
    <w:p w14:paraId="0C3F7A7C" w14:textId="77777777" w:rsidR="00D243CD" w:rsidRDefault="00A2755C">
      <w:pPr>
        <w:pStyle w:val="TableofFigures"/>
        <w:tabs>
          <w:tab w:val="right" w:leader="dot" w:pos="9563"/>
        </w:tabs>
        <w:rPr>
          <w:rFonts w:eastAsiaTheme="minorEastAsia" w:cstheme="minorBidi"/>
          <w:noProof/>
          <w:lang w:val="en-US" w:eastAsia="en-US"/>
        </w:rPr>
      </w:pPr>
      <w:hyperlink w:anchor="_Toc434208026" w:history="1">
        <w:r w:rsidR="00D243CD" w:rsidRPr="001964B2">
          <w:rPr>
            <w:rStyle w:val="Hyperlink"/>
            <w:rFonts w:eastAsia="Calibri"/>
            <w:noProof/>
          </w:rPr>
          <w:t>Figure 3</w:t>
        </w:r>
        <w:r w:rsidR="00D243CD" w:rsidRPr="001964B2">
          <w:rPr>
            <w:rStyle w:val="Hyperlink"/>
            <w:rFonts w:eastAsia="Calibri"/>
            <w:noProof/>
          </w:rPr>
          <w:noBreakHyphen/>
          <w:t>5: True colour (a and c) and plume waters (b and d) mapped from the 30th of January to the 01th of February and from the 2</w:t>
        </w:r>
        <w:r w:rsidR="00D243CD" w:rsidRPr="001964B2">
          <w:rPr>
            <w:rStyle w:val="Hyperlink"/>
            <w:rFonts w:eastAsia="Calibri"/>
            <w:noProof/>
            <w:vertAlign w:val="superscript"/>
          </w:rPr>
          <w:t>nd</w:t>
        </w:r>
        <w:r w:rsidR="00D243CD" w:rsidRPr="001964B2">
          <w:rPr>
            <w:rStyle w:val="Hyperlink"/>
            <w:rFonts w:eastAsia="Calibri"/>
            <w:noProof/>
          </w:rPr>
          <w:t xml:space="preserve"> to the 4</w:t>
        </w:r>
        <w:r w:rsidR="00D243CD" w:rsidRPr="001964B2">
          <w:rPr>
            <w:rStyle w:val="Hyperlink"/>
            <w:rFonts w:eastAsia="Calibri"/>
            <w:noProof/>
            <w:vertAlign w:val="superscript"/>
          </w:rPr>
          <w:t>th</w:t>
        </w:r>
        <w:r w:rsidR="00D243CD" w:rsidRPr="001964B2">
          <w:rPr>
            <w:rStyle w:val="Hyperlink"/>
            <w:rFonts w:eastAsia="Calibri"/>
            <w:noProof/>
          </w:rPr>
          <w:t xml:space="preserve"> of February in the Burdekin NRM using the method of Álvarez-Romero et al. (2013). Wind direction measured at 12:00 am is indicated with black arrows.</w:t>
        </w:r>
        <w:r w:rsidR="00D243CD">
          <w:rPr>
            <w:noProof/>
            <w:webHidden/>
          </w:rPr>
          <w:tab/>
        </w:r>
        <w:r w:rsidR="00D243CD">
          <w:rPr>
            <w:noProof/>
            <w:webHidden/>
          </w:rPr>
          <w:fldChar w:fldCharType="begin"/>
        </w:r>
        <w:r w:rsidR="00D243CD">
          <w:rPr>
            <w:noProof/>
            <w:webHidden/>
          </w:rPr>
          <w:instrText xml:space="preserve"> PAGEREF _Toc434208026 \h </w:instrText>
        </w:r>
        <w:r w:rsidR="00D243CD">
          <w:rPr>
            <w:noProof/>
            <w:webHidden/>
          </w:rPr>
        </w:r>
        <w:r w:rsidR="00D243CD">
          <w:rPr>
            <w:noProof/>
            <w:webHidden/>
          </w:rPr>
          <w:fldChar w:fldCharType="separate"/>
        </w:r>
        <w:r w:rsidR="00B62B50">
          <w:rPr>
            <w:noProof/>
            <w:webHidden/>
          </w:rPr>
          <w:t>21</w:t>
        </w:r>
        <w:r w:rsidR="00D243CD">
          <w:rPr>
            <w:noProof/>
            <w:webHidden/>
          </w:rPr>
          <w:fldChar w:fldCharType="end"/>
        </w:r>
      </w:hyperlink>
    </w:p>
    <w:p w14:paraId="0C3F7A7D" w14:textId="77777777" w:rsidR="00D243CD" w:rsidRDefault="00A2755C">
      <w:pPr>
        <w:pStyle w:val="TableofFigures"/>
        <w:tabs>
          <w:tab w:val="right" w:leader="dot" w:pos="9563"/>
        </w:tabs>
        <w:rPr>
          <w:rFonts w:eastAsiaTheme="minorEastAsia" w:cstheme="minorBidi"/>
          <w:noProof/>
          <w:lang w:val="en-US" w:eastAsia="en-US"/>
        </w:rPr>
      </w:pPr>
      <w:hyperlink w:anchor="_Toc434208027" w:history="1">
        <w:r w:rsidR="00D243CD" w:rsidRPr="001964B2">
          <w:rPr>
            <w:rStyle w:val="Hyperlink"/>
            <w:rFonts w:eastAsia="Calibri"/>
            <w:noProof/>
          </w:rPr>
          <w:t>Figure 3</w:t>
        </w:r>
        <w:r w:rsidR="00D243CD" w:rsidRPr="001964B2">
          <w:rPr>
            <w:rStyle w:val="Hyperlink"/>
            <w:rFonts w:eastAsia="Calibri"/>
            <w:noProof/>
          </w:rPr>
          <w:noBreakHyphen/>
          <w:t>6: a) True colour and b) plume waters mapped from the 7th of March to the 16th of March 2013 in the Mackay Whitsundays NRM using the method of Álvarez-Romero et al. (2013).. Wind direction measured at 12:00 am is indicated with black arrows.</w:t>
        </w:r>
        <w:r w:rsidR="00D243CD">
          <w:rPr>
            <w:noProof/>
            <w:webHidden/>
          </w:rPr>
          <w:tab/>
        </w:r>
        <w:r w:rsidR="00D243CD">
          <w:rPr>
            <w:noProof/>
            <w:webHidden/>
          </w:rPr>
          <w:fldChar w:fldCharType="begin"/>
        </w:r>
        <w:r w:rsidR="00D243CD">
          <w:rPr>
            <w:noProof/>
            <w:webHidden/>
          </w:rPr>
          <w:instrText xml:space="preserve"> PAGEREF _Toc434208027 \h </w:instrText>
        </w:r>
        <w:r w:rsidR="00D243CD">
          <w:rPr>
            <w:noProof/>
            <w:webHidden/>
          </w:rPr>
        </w:r>
        <w:r w:rsidR="00D243CD">
          <w:rPr>
            <w:noProof/>
            <w:webHidden/>
          </w:rPr>
          <w:fldChar w:fldCharType="separate"/>
        </w:r>
        <w:r w:rsidR="00B62B50">
          <w:rPr>
            <w:noProof/>
            <w:webHidden/>
          </w:rPr>
          <w:t>22</w:t>
        </w:r>
        <w:r w:rsidR="00D243CD">
          <w:rPr>
            <w:noProof/>
            <w:webHidden/>
          </w:rPr>
          <w:fldChar w:fldCharType="end"/>
        </w:r>
      </w:hyperlink>
    </w:p>
    <w:p w14:paraId="0C3F7A7E" w14:textId="77777777" w:rsidR="00D243CD" w:rsidRDefault="00A2755C">
      <w:pPr>
        <w:pStyle w:val="TableofFigures"/>
        <w:tabs>
          <w:tab w:val="right" w:leader="dot" w:pos="9563"/>
        </w:tabs>
        <w:rPr>
          <w:rFonts w:eastAsiaTheme="minorEastAsia" w:cstheme="minorBidi"/>
          <w:noProof/>
          <w:lang w:val="en-US" w:eastAsia="en-US"/>
        </w:rPr>
      </w:pPr>
      <w:hyperlink w:anchor="_Toc434208028" w:history="1">
        <w:r w:rsidR="00D243CD" w:rsidRPr="001964B2">
          <w:rPr>
            <w:rStyle w:val="Hyperlink"/>
            <w:rFonts w:eastAsia="Calibri"/>
            <w:noProof/>
          </w:rPr>
          <w:t>Figure 3</w:t>
        </w:r>
        <w:r w:rsidR="00D243CD" w:rsidRPr="001964B2">
          <w:rPr>
            <w:rStyle w:val="Hyperlink"/>
            <w:rFonts w:eastAsia="Calibri"/>
            <w:noProof/>
          </w:rPr>
          <w:noBreakHyphen/>
          <w:t>7: MODIS true colour image of the 16th of March 2013 showing waters from the Pioneer River deflected toward the south from their northern Coriolis-induced movement.</w:t>
        </w:r>
        <w:r w:rsidR="00D243CD">
          <w:rPr>
            <w:noProof/>
            <w:webHidden/>
          </w:rPr>
          <w:tab/>
        </w:r>
        <w:r w:rsidR="00D243CD">
          <w:rPr>
            <w:noProof/>
            <w:webHidden/>
          </w:rPr>
          <w:fldChar w:fldCharType="begin"/>
        </w:r>
        <w:r w:rsidR="00D243CD">
          <w:rPr>
            <w:noProof/>
            <w:webHidden/>
          </w:rPr>
          <w:instrText xml:space="preserve"> PAGEREF _Toc434208028 \h </w:instrText>
        </w:r>
        <w:r w:rsidR="00D243CD">
          <w:rPr>
            <w:noProof/>
            <w:webHidden/>
          </w:rPr>
        </w:r>
        <w:r w:rsidR="00D243CD">
          <w:rPr>
            <w:noProof/>
            <w:webHidden/>
          </w:rPr>
          <w:fldChar w:fldCharType="separate"/>
        </w:r>
        <w:r w:rsidR="00B62B50">
          <w:rPr>
            <w:noProof/>
            <w:webHidden/>
          </w:rPr>
          <w:t>23</w:t>
        </w:r>
        <w:r w:rsidR="00D243CD">
          <w:rPr>
            <w:noProof/>
            <w:webHidden/>
          </w:rPr>
          <w:fldChar w:fldCharType="end"/>
        </w:r>
      </w:hyperlink>
    </w:p>
    <w:p w14:paraId="0C3F7A7F" w14:textId="77777777" w:rsidR="00D243CD" w:rsidRDefault="00A2755C">
      <w:pPr>
        <w:pStyle w:val="TableofFigures"/>
        <w:tabs>
          <w:tab w:val="right" w:leader="dot" w:pos="9563"/>
        </w:tabs>
        <w:rPr>
          <w:rFonts w:eastAsiaTheme="minorEastAsia" w:cstheme="minorBidi"/>
          <w:noProof/>
          <w:lang w:val="en-US" w:eastAsia="en-US"/>
        </w:rPr>
      </w:pPr>
      <w:hyperlink w:anchor="_Toc434208029" w:history="1">
        <w:r w:rsidR="00D243CD" w:rsidRPr="001964B2">
          <w:rPr>
            <w:rStyle w:val="Hyperlink"/>
            <w:noProof/>
          </w:rPr>
          <w:t>Figure 4</w:t>
        </w:r>
        <w:r w:rsidR="00D243CD" w:rsidRPr="001964B2">
          <w:rPr>
            <w:rStyle w:val="Hyperlink"/>
            <w:noProof/>
          </w:rPr>
          <w:noBreakHyphen/>
          <w:t>1: Location of the Marine Monitoring Sites sampled in the 2012-2013 wet season under the MMP terrestrial discharge program. Site locations for the two regions sampled (Wet Tropics, Burdekin are identified by colours (see legend).</w:t>
        </w:r>
        <w:r w:rsidR="00D243CD">
          <w:rPr>
            <w:noProof/>
            <w:webHidden/>
          </w:rPr>
          <w:tab/>
        </w:r>
        <w:r w:rsidR="00D243CD">
          <w:rPr>
            <w:noProof/>
            <w:webHidden/>
          </w:rPr>
          <w:fldChar w:fldCharType="begin"/>
        </w:r>
        <w:r w:rsidR="00D243CD">
          <w:rPr>
            <w:noProof/>
            <w:webHidden/>
          </w:rPr>
          <w:instrText xml:space="preserve"> PAGEREF _Toc434208029 \h </w:instrText>
        </w:r>
        <w:r w:rsidR="00D243CD">
          <w:rPr>
            <w:noProof/>
            <w:webHidden/>
          </w:rPr>
        </w:r>
        <w:r w:rsidR="00D243CD">
          <w:rPr>
            <w:noProof/>
            <w:webHidden/>
          </w:rPr>
          <w:fldChar w:fldCharType="separate"/>
        </w:r>
        <w:r w:rsidR="00B62B50">
          <w:rPr>
            <w:noProof/>
            <w:webHidden/>
          </w:rPr>
          <w:t>26</w:t>
        </w:r>
        <w:r w:rsidR="00D243CD">
          <w:rPr>
            <w:noProof/>
            <w:webHidden/>
          </w:rPr>
          <w:fldChar w:fldCharType="end"/>
        </w:r>
      </w:hyperlink>
    </w:p>
    <w:p w14:paraId="0C3F7A80" w14:textId="77777777" w:rsidR="00D243CD" w:rsidRDefault="00A2755C">
      <w:pPr>
        <w:pStyle w:val="TableofFigures"/>
        <w:tabs>
          <w:tab w:val="right" w:leader="dot" w:pos="9563"/>
        </w:tabs>
        <w:rPr>
          <w:rFonts w:eastAsiaTheme="minorEastAsia" w:cstheme="minorBidi"/>
          <w:noProof/>
          <w:lang w:val="en-US" w:eastAsia="en-US"/>
        </w:rPr>
      </w:pPr>
      <w:hyperlink w:anchor="_Toc434208030" w:history="1">
        <w:r w:rsidR="00D243CD" w:rsidRPr="001964B2">
          <w:rPr>
            <w:rStyle w:val="Hyperlink"/>
            <w:noProof/>
          </w:rPr>
          <w:t>Figure 4</w:t>
        </w:r>
        <w:r w:rsidR="00D243CD" w:rsidRPr="001964B2">
          <w:rPr>
            <w:rStyle w:val="Hyperlink"/>
            <w:noProof/>
          </w:rPr>
          <w:noBreakHyphen/>
          <w:t xml:space="preserve">2: Total daily discharge (megalitres/day) for the main NRM Wet Tropics and Burdekin rivers for the 2012-2013 wet season (Source: DNRM, </w:t>
        </w:r>
        <w:r w:rsidR="00D243CD" w:rsidRPr="001964B2">
          <w:rPr>
            <w:rStyle w:val="Hyperlink"/>
            <w:rFonts w:cs="Arial"/>
            <w:noProof/>
          </w:rPr>
          <w:t>http://watermonitoring.dnrm.qld.gov.au/host.htm</w:t>
        </w:r>
        <w:r w:rsidR="00D243CD" w:rsidRPr="001964B2">
          <w:rPr>
            <w:rStyle w:val="Hyperlink"/>
            <w:noProof/>
          </w:rPr>
          <w:t>). Dots indicate the sampling dates and colours stand for sites close to or under influence of a particular river.</w:t>
        </w:r>
        <w:r w:rsidR="00D243CD">
          <w:rPr>
            <w:noProof/>
            <w:webHidden/>
          </w:rPr>
          <w:tab/>
        </w:r>
        <w:r w:rsidR="00D243CD">
          <w:rPr>
            <w:noProof/>
            <w:webHidden/>
          </w:rPr>
          <w:fldChar w:fldCharType="begin"/>
        </w:r>
        <w:r w:rsidR="00D243CD">
          <w:rPr>
            <w:noProof/>
            <w:webHidden/>
          </w:rPr>
          <w:instrText xml:space="preserve"> PAGEREF _Toc434208030 \h </w:instrText>
        </w:r>
        <w:r w:rsidR="00D243CD">
          <w:rPr>
            <w:noProof/>
            <w:webHidden/>
          </w:rPr>
        </w:r>
        <w:r w:rsidR="00D243CD">
          <w:rPr>
            <w:noProof/>
            <w:webHidden/>
          </w:rPr>
          <w:fldChar w:fldCharType="separate"/>
        </w:r>
        <w:r w:rsidR="00B62B50">
          <w:rPr>
            <w:noProof/>
            <w:webHidden/>
          </w:rPr>
          <w:t>27</w:t>
        </w:r>
        <w:r w:rsidR="00D243CD">
          <w:rPr>
            <w:noProof/>
            <w:webHidden/>
          </w:rPr>
          <w:fldChar w:fldCharType="end"/>
        </w:r>
      </w:hyperlink>
    </w:p>
    <w:p w14:paraId="0C3F7A81" w14:textId="77777777" w:rsidR="00D243CD" w:rsidRDefault="00A2755C">
      <w:pPr>
        <w:pStyle w:val="TableofFigures"/>
        <w:tabs>
          <w:tab w:val="right" w:leader="dot" w:pos="9563"/>
        </w:tabs>
        <w:rPr>
          <w:rFonts w:eastAsiaTheme="minorEastAsia" w:cstheme="minorBidi"/>
          <w:noProof/>
          <w:lang w:val="en-US" w:eastAsia="en-US"/>
        </w:rPr>
      </w:pPr>
      <w:hyperlink w:anchor="_Toc434208031" w:history="1">
        <w:r w:rsidR="00D243CD" w:rsidRPr="001964B2">
          <w:rPr>
            <w:rStyle w:val="Hyperlink"/>
            <w:noProof/>
          </w:rPr>
          <w:t>Figure 4</w:t>
        </w:r>
        <w:r w:rsidR="00D243CD" w:rsidRPr="001964B2">
          <w:rPr>
            <w:rStyle w:val="Hyperlink"/>
            <w:noProof/>
          </w:rPr>
          <w:noBreakHyphen/>
          <w:t>3:  Total annual discharge (ML, megalitres), calculated from October, 1</w:t>
        </w:r>
        <w:r w:rsidR="00D243CD" w:rsidRPr="001964B2">
          <w:rPr>
            <w:rStyle w:val="Hyperlink"/>
            <w:noProof/>
            <w:vertAlign w:val="superscript"/>
          </w:rPr>
          <w:t>st</w:t>
        </w:r>
        <w:r w:rsidR="00D243CD" w:rsidRPr="001964B2">
          <w:rPr>
            <w:rStyle w:val="Hyperlink"/>
            <w:noProof/>
          </w:rPr>
          <w:t xml:space="preserve"> to September, 30</w:t>
        </w:r>
        <w:r w:rsidR="00D243CD" w:rsidRPr="001964B2">
          <w:rPr>
            <w:rStyle w:val="Hyperlink"/>
            <w:noProof/>
            <w:vertAlign w:val="superscript"/>
          </w:rPr>
          <w:t>th</w:t>
        </w:r>
        <w:r w:rsidR="00D243CD" w:rsidRPr="001964B2">
          <w:rPr>
            <w:rStyle w:val="Hyperlink"/>
            <w:noProof/>
          </w:rPr>
          <w:t xml:space="preserve">, for the main NRM Wet Tropics and Burdekin rivers (Source: DNRM, </w:t>
        </w:r>
        <w:r w:rsidR="00D243CD" w:rsidRPr="001964B2">
          <w:rPr>
            <w:rStyle w:val="Hyperlink"/>
            <w:rFonts w:cs="Arial"/>
            <w:noProof/>
          </w:rPr>
          <w:t>http://watermonitoring.dnrm.qld.gov.au/host.htm</w:t>
        </w:r>
        <w:r w:rsidR="00D243CD" w:rsidRPr="001964B2">
          <w:rPr>
            <w:rStyle w:val="Hyperlink"/>
            <w:noProof/>
          </w:rPr>
          <w:t>).</w:t>
        </w:r>
        <w:r w:rsidR="00D243CD">
          <w:rPr>
            <w:noProof/>
            <w:webHidden/>
          </w:rPr>
          <w:tab/>
        </w:r>
        <w:r w:rsidR="00D243CD">
          <w:rPr>
            <w:noProof/>
            <w:webHidden/>
          </w:rPr>
          <w:fldChar w:fldCharType="begin"/>
        </w:r>
        <w:r w:rsidR="00D243CD">
          <w:rPr>
            <w:noProof/>
            <w:webHidden/>
          </w:rPr>
          <w:instrText xml:space="preserve"> PAGEREF _Toc434208031 \h </w:instrText>
        </w:r>
        <w:r w:rsidR="00D243CD">
          <w:rPr>
            <w:noProof/>
            <w:webHidden/>
          </w:rPr>
        </w:r>
        <w:r w:rsidR="00D243CD">
          <w:rPr>
            <w:noProof/>
            <w:webHidden/>
          </w:rPr>
          <w:fldChar w:fldCharType="separate"/>
        </w:r>
        <w:r w:rsidR="00B62B50">
          <w:rPr>
            <w:noProof/>
            <w:webHidden/>
          </w:rPr>
          <w:t>28</w:t>
        </w:r>
        <w:r w:rsidR="00D243CD">
          <w:rPr>
            <w:noProof/>
            <w:webHidden/>
          </w:rPr>
          <w:fldChar w:fldCharType="end"/>
        </w:r>
      </w:hyperlink>
    </w:p>
    <w:p w14:paraId="0C3F7A82" w14:textId="77777777" w:rsidR="00D243CD" w:rsidRDefault="00A2755C">
      <w:pPr>
        <w:pStyle w:val="TableofFigures"/>
        <w:tabs>
          <w:tab w:val="right" w:leader="dot" w:pos="9563"/>
        </w:tabs>
        <w:rPr>
          <w:rFonts w:eastAsiaTheme="minorEastAsia" w:cstheme="minorBidi"/>
          <w:noProof/>
          <w:lang w:val="en-US" w:eastAsia="en-US"/>
        </w:rPr>
      </w:pPr>
      <w:hyperlink r:id="rId23" w:anchor="_Toc434208032" w:history="1">
        <w:r w:rsidR="00D243CD" w:rsidRPr="001964B2">
          <w:rPr>
            <w:rStyle w:val="Hyperlink"/>
            <w:noProof/>
          </w:rPr>
          <w:t>Figure 4</w:t>
        </w:r>
        <w:r w:rsidR="00D243CD" w:rsidRPr="001964B2">
          <w:rPr>
            <w:rStyle w:val="Hyperlink"/>
            <w:noProof/>
          </w:rPr>
          <w:noBreakHyphen/>
          <w:t>4a: (i) Sites are colour coded to identify location on maps, (ii) date of sampling relative to river flow over wet season, (iii)mixing plots for DIN in the Burdekin, Herbert and Tully regions for 2012-13.  Freshwater end end were estimed from all samples collected below 5ppt.</w:t>
        </w:r>
        <w:r w:rsidR="00D243CD">
          <w:rPr>
            <w:noProof/>
            <w:webHidden/>
          </w:rPr>
          <w:tab/>
        </w:r>
        <w:r w:rsidR="00D243CD">
          <w:rPr>
            <w:noProof/>
            <w:webHidden/>
          </w:rPr>
          <w:fldChar w:fldCharType="begin"/>
        </w:r>
        <w:r w:rsidR="00D243CD">
          <w:rPr>
            <w:noProof/>
            <w:webHidden/>
          </w:rPr>
          <w:instrText xml:space="preserve"> PAGEREF _Toc434208032 \h </w:instrText>
        </w:r>
        <w:r w:rsidR="00D243CD">
          <w:rPr>
            <w:noProof/>
            <w:webHidden/>
          </w:rPr>
        </w:r>
        <w:r w:rsidR="00D243CD">
          <w:rPr>
            <w:noProof/>
            <w:webHidden/>
          </w:rPr>
          <w:fldChar w:fldCharType="separate"/>
        </w:r>
        <w:r w:rsidR="00B62B50">
          <w:rPr>
            <w:noProof/>
            <w:webHidden/>
          </w:rPr>
          <w:t>35</w:t>
        </w:r>
        <w:r w:rsidR="00D243CD">
          <w:rPr>
            <w:noProof/>
            <w:webHidden/>
          </w:rPr>
          <w:fldChar w:fldCharType="end"/>
        </w:r>
      </w:hyperlink>
    </w:p>
    <w:p w14:paraId="0C3F7A83" w14:textId="77777777" w:rsidR="00D243CD" w:rsidRDefault="00A2755C">
      <w:pPr>
        <w:pStyle w:val="TableofFigures"/>
        <w:tabs>
          <w:tab w:val="right" w:leader="dot" w:pos="9563"/>
        </w:tabs>
        <w:rPr>
          <w:rFonts w:eastAsiaTheme="minorEastAsia" w:cstheme="minorBidi"/>
          <w:noProof/>
          <w:lang w:val="en-US" w:eastAsia="en-US"/>
        </w:rPr>
      </w:pPr>
      <w:hyperlink w:anchor="_Toc434208033" w:history="1">
        <w:r w:rsidR="00D243CD" w:rsidRPr="001964B2">
          <w:rPr>
            <w:rStyle w:val="Hyperlink"/>
            <w:noProof/>
          </w:rPr>
          <w:t>Figure 4</w:t>
        </w:r>
        <w:r w:rsidR="00D243CD" w:rsidRPr="001964B2">
          <w:rPr>
            <w:rStyle w:val="Hyperlink"/>
            <w:noProof/>
          </w:rPr>
          <w:noBreakHyphen/>
          <w:t xml:space="preserve">5: Variation of selected WQ parameters sampled in the Tully region for Kd(PAR), CDOM, TSS, and chl-a, dissolved and particulate nutrients. All water quality parameters are plotted against (a) distance between the sampling site and nearest/influential river mouth (distance), (b) 5-day average river discharge </w:t>
        </w:r>
        <w:r w:rsidR="00D243CD" w:rsidRPr="001964B2">
          <w:rPr>
            <w:rStyle w:val="Hyperlink"/>
            <w:noProof/>
          </w:rPr>
          <w:lastRenderedPageBreak/>
          <w:t>calculated from the sampling date (discharge). Red solid line stands for a non-parametric fitting curve (</w:t>
        </w:r>
        <w:r w:rsidR="00D243CD" w:rsidRPr="001964B2">
          <w:rPr>
            <w:rStyle w:val="Hyperlink"/>
            <w:i/>
            <w:noProof/>
          </w:rPr>
          <w:t>loess</w:t>
        </w:r>
        <w:r w:rsidR="00D243CD" w:rsidRPr="001964B2">
          <w:rPr>
            <w:rStyle w:val="Hyperlink"/>
            <w:noProof/>
          </w:rPr>
          <w:t xml:space="preserve"> model, see Crawley, 2007) and red dashed lines stand for 2 SE.</w:t>
        </w:r>
        <w:r w:rsidR="00D243CD">
          <w:rPr>
            <w:noProof/>
            <w:webHidden/>
          </w:rPr>
          <w:tab/>
        </w:r>
        <w:r w:rsidR="00D243CD">
          <w:rPr>
            <w:noProof/>
            <w:webHidden/>
          </w:rPr>
          <w:fldChar w:fldCharType="begin"/>
        </w:r>
        <w:r w:rsidR="00D243CD">
          <w:rPr>
            <w:noProof/>
            <w:webHidden/>
          </w:rPr>
          <w:instrText xml:space="preserve"> PAGEREF _Toc434208033 \h </w:instrText>
        </w:r>
        <w:r w:rsidR="00D243CD">
          <w:rPr>
            <w:noProof/>
            <w:webHidden/>
          </w:rPr>
        </w:r>
        <w:r w:rsidR="00D243CD">
          <w:rPr>
            <w:noProof/>
            <w:webHidden/>
          </w:rPr>
          <w:fldChar w:fldCharType="separate"/>
        </w:r>
        <w:r w:rsidR="00B62B50">
          <w:rPr>
            <w:noProof/>
            <w:webHidden/>
          </w:rPr>
          <w:t>42</w:t>
        </w:r>
        <w:r w:rsidR="00D243CD">
          <w:rPr>
            <w:noProof/>
            <w:webHidden/>
          </w:rPr>
          <w:fldChar w:fldCharType="end"/>
        </w:r>
      </w:hyperlink>
    </w:p>
    <w:p w14:paraId="0C3F7A84" w14:textId="77777777" w:rsidR="00D243CD" w:rsidRDefault="00A2755C">
      <w:pPr>
        <w:pStyle w:val="TableofFigures"/>
        <w:tabs>
          <w:tab w:val="right" w:leader="dot" w:pos="9563"/>
        </w:tabs>
        <w:rPr>
          <w:rFonts w:eastAsiaTheme="minorEastAsia" w:cstheme="minorBidi"/>
          <w:noProof/>
          <w:lang w:val="en-US" w:eastAsia="en-US"/>
        </w:rPr>
      </w:pPr>
      <w:hyperlink w:anchor="_Toc434208034" w:history="1">
        <w:r w:rsidR="00D243CD" w:rsidRPr="001964B2">
          <w:rPr>
            <w:rStyle w:val="Hyperlink"/>
            <w:noProof/>
          </w:rPr>
          <w:t>Figure 4</w:t>
        </w:r>
        <w:r w:rsidR="00D243CD" w:rsidRPr="001964B2">
          <w:rPr>
            <w:rStyle w:val="Hyperlink"/>
            <w:noProof/>
          </w:rPr>
          <w:noBreakHyphen/>
          <w:t>6: Variation of selected WQ parameters sampled in the Herbert region for Kd(PAR), CDOM, TSS, and chl-a, dissolved and particulate nutrients. All water quality parameters are plotted against (a) distance between the sampling site and nearest/influential river mouth (distance), (b) 5-day average river discharge calculated from the sampling date (discharge). Red solid line stands for a non-parametric fitting curve (</w:t>
        </w:r>
        <w:r w:rsidR="00D243CD" w:rsidRPr="001964B2">
          <w:rPr>
            <w:rStyle w:val="Hyperlink"/>
            <w:i/>
            <w:noProof/>
          </w:rPr>
          <w:t>loess</w:t>
        </w:r>
        <w:r w:rsidR="00D243CD" w:rsidRPr="001964B2">
          <w:rPr>
            <w:rStyle w:val="Hyperlink"/>
            <w:noProof/>
          </w:rPr>
          <w:t xml:space="preserve"> model, see Crawley, 2007) and red dashed lines stand for 2 SE.</w:t>
        </w:r>
        <w:r w:rsidR="00D243CD">
          <w:rPr>
            <w:noProof/>
            <w:webHidden/>
          </w:rPr>
          <w:tab/>
        </w:r>
        <w:r w:rsidR="00D243CD">
          <w:rPr>
            <w:noProof/>
            <w:webHidden/>
          </w:rPr>
          <w:fldChar w:fldCharType="begin"/>
        </w:r>
        <w:r w:rsidR="00D243CD">
          <w:rPr>
            <w:noProof/>
            <w:webHidden/>
          </w:rPr>
          <w:instrText xml:space="preserve"> PAGEREF _Toc434208034 \h </w:instrText>
        </w:r>
        <w:r w:rsidR="00D243CD">
          <w:rPr>
            <w:noProof/>
            <w:webHidden/>
          </w:rPr>
        </w:r>
        <w:r w:rsidR="00D243CD">
          <w:rPr>
            <w:noProof/>
            <w:webHidden/>
          </w:rPr>
          <w:fldChar w:fldCharType="separate"/>
        </w:r>
        <w:r w:rsidR="00B62B50">
          <w:rPr>
            <w:noProof/>
            <w:webHidden/>
          </w:rPr>
          <w:t>43</w:t>
        </w:r>
        <w:r w:rsidR="00D243CD">
          <w:rPr>
            <w:noProof/>
            <w:webHidden/>
          </w:rPr>
          <w:fldChar w:fldCharType="end"/>
        </w:r>
      </w:hyperlink>
    </w:p>
    <w:p w14:paraId="0C3F7A85" w14:textId="77777777" w:rsidR="00D243CD" w:rsidRDefault="00A2755C">
      <w:pPr>
        <w:pStyle w:val="TableofFigures"/>
        <w:tabs>
          <w:tab w:val="right" w:leader="dot" w:pos="9563"/>
        </w:tabs>
        <w:rPr>
          <w:rFonts w:eastAsiaTheme="minorEastAsia" w:cstheme="minorBidi"/>
          <w:noProof/>
          <w:lang w:val="en-US" w:eastAsia="en-US"/>
        </w:rPr>
      </w:pPr>
      <w:hyperlink w:anchor="_Toc434208035" w:history="1">
        <w:r w:rsidR="00D243CD" w:rsidRPr="001964B2">
          <w:rPr>
            <w:rStyle w:val="Hyperlink"/>
            <w:noProof/>
          </w:rPr>
          <w:t>Figure 4</w:t>
        </w:r>
        <w:r w:rsidR="00D243CD" w:rsidRPr="001964B2">
          <w:rPr>
            <w:rStyle w:val="Hyperlink"/>
            <w:noProof/>
          </w:rPr>
          <w:noBreakHyphen/>
          <w:t>7: Variation of selected WQ parameters sampled in the Burdekin region for Kd(PAR), CDOM, TSS, and chl-a, dissolved and particulate nutrients. All water quality parameters are plotted against (a) distance between the sampling site and nearest/influential river mouth (distance), (b) 5-day average river discharge calculated from the sampling date (discharge). Red solid line stands for a non-parametric fitting curve (</w:t>
        </w:r>
        <w:r w:rsidR="00D243CD" w:rsidRPr="001964B2">
          <w:rPr>
            <w:rStyle w:val="Hyperlink"/>
            <w:i/>
            <w:noProof/>
          </w:rPr>
          <w:t>loess</w:t>
        </w:r>
        <w:r w:rsidR="00D243CD" w:rsidRPr="001964B2">
          <w:rPr>
            <w:rStyle w:val="Hyperlink"/>
            <w:noProof/>
          </w:rPr>
          <w:t xml:space="preserve"> model, see Crawley, 2007) and red dashed lines stand for 2 SE.</w:t>
        </w:r>
        <w:r w:rsidR="00D243CD">
          <w:rPr>
            <w:noProof/>
            <w:webHidden/>
          </w:rPr>
          <w:tab/>
        </w:r>
        <w:r w:rsidR="00D243CD">
          <w:rPr>
            <w:noProof/>
            <w:webHidden/>
          </w:rPr>
          <w:fldChar w:fldCharType="begin"/>
        </w:r>
        <w:r w:rsidR="00D243CD">
          <w:rPr>
            <w:noProof/>
            <w:webHidden/>
          </w:rPr>
          <w:instrText xml:space="preserve"> PAGEREF _Toc434208035 \h </w:instrText>
        </w:r>
        <w:r w:rsidR="00D243CD">
          <w:rPr>
            <w:noProof/>
            <w:webHidden/>
          </w:rPr>
        </w:r>
        <w:r w:rsidR="00D243CD">
          <w:rPr>
            <w:noProof/>
            <w:webHidden/>
          </w:rPr>
          <w:fldChar w:fldCharType="separate"/>
        </w:r>
        <w:r w:rsidR="00B62B50">
          <w:rPr>
            <w:noProof/>
            <w:webHidden/>
          </w:rPr>
          <w:t>45</w:t>
        </w:r>
        <w:r w:rsidR="00D243CD">
          <w:rPr>
            <w:noProof/>
            <w:webHidden/>
          </w:rPr>
          <w:fldChar w:fldCharType="end"/>
        </w:r>
      </w:hyperlink>
    </w:p>
    <w:p w14:paraId="0C3F7A86" w14:textId="77777777" w:rsidR="00D243CD" w:rsidRDefault="00A2755C">
      <w:pPr>
        <w:pStyle w:val="TableofFigures"/>
        <w:tabs>
          <w:tab w:val="right" w:leader="dot" w:pos="9563"/>
        </w:tabs>
        <w:rPr>
          <w:rFonts w:eastAsiaTheme="minorEastAsia" w:cstheme="minorBidi"/>
          <w:noProof/>
          <w:lang w:val="en-US" w:eastAsia="en-US"/>
        </w:rPr>
      </w:pPr>
      <w:hyperlink w:anchor="_Toc434208036" w:history="1">
        <w:r w:rsidR="00D243CD" w:rsidRPr="001964B2">
          <w:rPr>
            <w:rStyle w:val="Hyperlink"/>
            <w:noProof/>
          </w:rPr>
          <w:t>Figure 4</w:t>
        </w:r>
        <w:r w:rsidR="00D243CD" w:rsidRPr="001964B2">
          <w:rPr>
            <w:rStyle w:val="Hyperlink"/>
            <w:noProof/>
          </w:rPr>
          <w:noBreakHyphen/>
          <w:t>8a:</w:t>
        </w:r>
        <w:r w:rsidR="00D243CD" w:rsidRPr="001964B2">
          <w:rPr>
            <w:rStyle w:val="Hyperlink"/>
            <w:rFonts w:cs="Courier New"/>
            <w:noProof/>
          </w:rPr>
          <w:t>GAMM analysis for Kd, /m, left column), CDOM, /m, mid column) and TSS, mg/L, right column) collected from December, 2005 to April, 2013 (inclusive). First four plots in each column are for the partial effect plots and last pot is the temporal analysis (see text for explanation). Shade area stands for ±1 SE and rubs on x-axis stand for data density.</w:t>
        </w:r>
        <w:r w:rsidR="00D243CD">
          <w:rPr>
            <w:noProof/>
            <w:webHidden/>
          </w:rPr>
          <w:tab/>
        </w:r>
        <w:r w:rsidR="00D243CD">
          <w:rPr>
            <w:noProof/>
            <w:webHidden/>
          </w:rPr>
          <w:fldChar w:fldCharType="begin"/>
        </w:r>
        <w:r w:rsidR="00D243CD">
          <w:rPr>
            <w:noProof/>
            <w:webHidden/>
          </w:rPr>
          <w:instrText xml:space="preserve"> PAGEREF _Toc434208036 \h </w:instrText>
        </w:r>
        <w:r w:rsidR="00D243CD">
          <w:rPr>
            <w:noProof/>
            <w:webHidden/>
          </w:rPr>
        </w:r>
        <w:r w:rsidR="00D243CD">
          <w:rPr>
            <w:noProof/>
            <w:webHidden/>
          </w:rPr>
          <w:fldChar w:fldCharType="separate"/>
        </w:r>
        <w:r w:rsidR="00B62B50">
          <w:rPr>
            <w:noProof/>
            <w:webHidden/>
          </w:rPr>
          <w:t>52</w:t>
        </w:r>
        <w:r w:rsidR="00D243CD">
          <w:rPr>
            <w:noProof/>
            <w:webHidden/>
          </w:rPr>
          <w:fldChar w:fldCharType="end"/>
        </w:r>
      </w:hyperlink>
    </w:p>
    <w:p w14:paraId="0C3F7A87" w14:textId="77777777" w:rsidR="00D243CD" w:rsidRDefault="00A2755C">
      <w:pPr>
        <w:pStyle w:val="TableofFigures"/>
        <w:tabs>
          <w:tab w:val="right" w:leader="dot" w:pos="9563"/>
        </w:tabs>
        <w:rPr>
          <w:rFonts w:eastAsiaTheme="minorEastAsia" w:cstheme="minorBidi"/>
          <w:noProof/>
          <w:lang w:val="en-US" w:eastAsia="en-US"/>
        </w:rPr>
      </w:pPr>
      <w:hyperlink w:anchor="_Toc434208037" w:history="1">
        <w:r w:rsidR="00D243CD" w:rsidRPr="001964B2">
          <w:rPr>
            <w:rStyle w:val="Hyperlink"/>
            <w:noProof/>
          </w:rPr>
          <w:t>Figure 5</w:t>
        </w:r>
        <w:r w:rsidR="00D243CD" w:rsidRPr="001964B2">
          <w:rPr>
            <w:rStyle w:val="Hyperlink"/>
            <w:noProof/>
          </w:rPr>
          <w:noBreakHyphen/>
          <w:t xml:space="preserve">1: </w:t>
        </w:r>
        <w:r w:rsidR="00D243CD" w:rsidRPr="001964B2">
          <w:rPr>
            <w:rStyle w:val="Hyperlink"/>
            <w:rFonts w:eastAsia="Calibri"/>
            <w:noProof/>
          </w:rPr>
          <w:t>Remote sensing products designed in order to model the risk of GBR ecosystems due to river plumes during the wet season.</w:t>
        </w:r>
        <w:r w:rsidR="00D243CD">
          <w:rPr>
            <w:noProof/>
            <w:webHidden/>
          </w:rPr>
          <w:tab/>
        </w:r>
        <w:r w:rsidR="00D243CD">
          <w:rPr>
            <w:noProof/>
            <w:webHidden/>
          </w:rPr>
          <w:fldChar w:fldCharType="begin"/>
        </w:r>
        <w:r w:rsidR="00D243CD">
          <w:rPr>
            <w:noProof/>
            <w:webHidden/>
          </w:rPr>
          <w:instrText xml:space="preserve"> PAGEREF _Toc434208037 \h </w:instrText>
        </w:r>
        <w:r w:rsidR="00D243CD">
          <w:rPr>
            <w:noProof/>
            <w:webHidden/>
          </w:rPr>
        </w:r>
        <w:r w:rsidR="00D243CD">
          <w:rPr>
            <w:noProof/>
            <w:webHidden/>
          </w:rPr>
          <w:fldChar w:fldCharType="separate"/>
        </w:r>
        <w:r w:rsidR="00B62B50">
          <w:rPr>
            <w:noProof/>
            <w:webHidden/>
          </w:rPr>
          <w:t>58</w:t>
        </w:r>
        <w:r w:rsidR="00D243CD">
          <w:rPr>
            <w:noProof/>
            <w:webHidden/>
          </w:rPr>
          <w:fldChar w:fldCharType="end"/>
        </w:r>
      </w:hyperlink>
    </w:p>
    <w:p w14:paraId="0C3F7A88" w14:textId="77777777" w:rsidR="00D243CD" w:rsidRDefault="00A2755C">
      <w:pPr>
        <w:pStyle w:val="TableofFigures"/>
        <w:tabs>
          <w:tab w:val="right" w:leader="dot" w:pos="9563"/>
        </w:tabs>
        <w:rPr>
          <w:rFonts w:eastAsiaTheme="minorEastAsia" w:cstheme="minorBidi"/>
          <w:noProof/>
          <w:lang w:val="en-US" w:eastAsia="en-US"/>
        </w:rPr>
      </w:pPr>
      <w:hyperlink w:anchor="_Toc434208038" w:history="1">
        <w:r w:rsidR="00D243CD" w:rsidRPr="001964B2">
          <w:rPr>
            <w:rStyle w:val="Hyperlink"/>
            <w:noProof/>
          </w:rPr>
          <w:t>Figure 5</w:t>
        </w:r>
        <w:r w:rsidR="00D243CD" w:rsidRPr="001964B2">
          <w:rPr>
            <w:rStyle w:val="Hyperlink"/>
            <w:noProof/>
          </w:rPr>
          <w:noBreakHyphen/>
          <w:t xml:space="preserve">2: </w:t>
        </w:r>
        <w:r w:rsidR="00D243CD" w:rsidRPr="001964B2">
          <w:rPr>
            <w:rStyle w:val="Hyperlink"/>
            <w:rFonts w:eastAsia="Calibri"/>
            <w:noProof/>
          </w:rPr>
          <w:t>Marine boundaries used for the GBR Marine Park (a), each NRM region and the coral reefs ecosystems. Coral Reef and NRM layers derived from: GBRMPA, 2013, GBR feature shapefiles and enlargements around (b) the Tully-Herbert Rivers and (c) the Burdekin river.</w:t>
        </w:r>
        <w:r w:rsidR="00D243CD">
          <w:rPr>
            <w:noProof/>
            <w:webHidden/>
          </w:rPr>
          <w:tab/>
        </w:r>
        <w:r w:rsidR="00D243CD">
          <w:rPr>
            <w:noProof/>
            <w:webHidden/>
          </w:rPr>
          <w:fldChar w:fldCharType="begin"/>
        </w:r>
        <w:r w:rsidR="00D243CD">
          <w:rPr>
            <w:noProof/>
            <w:webHidden/>
          </w:rPr>
          <w:instrText xml:space="preserve"> PAGEREF _Toc434208038 \h </w:instrText>
        </w:r>
        <w:r w:rsidR="00D243CD">
          <w:rPr>
            <w:noProof/>
            <w:webHidden/>
          </w:rPr>
        </w:r>
        <w:r w:rsidR="00D243CD">
          <w:rPr>
            <w:noProof/>
            <w:webHidden/>
          </w:rPr>
          <w:fldChar w:fldCharType="separate"/>
        </w:r>
        <w:r w:rsidR="00B62B50">
          <w:rPr>
            <w:noProof/>
            <w:webHidden/>
          </w:rPr>
          <w:t>61</w:t>
        </w:r>
        <w:r w:rsidR="00D243CD">
          <w:rPr>
            <w:noProof/>
            <w:webHidden/>
          </w:rPr>
          <w:fldChar w:fldCharType="end"/>
        </w:r>
      </w:hyperlink>
    </w:p>
    <w:p w14:paraId="0C3F7A89" w14:textId="77777777" w:rsidR="00D243CD" w:rsidRDefault="00A2755C">
      <w:pPr>
        <w:pStyle w:val="TableofFigures"/>
        <w:tabs>
          <w:tab w:val="right" w:leader="dot" w:pos="9563"/>
        </w:tabs>
        <w:rPr>
          <w:rFonts w:eastAsiaTheme="minorEastAsia" w:cstheme="minorBidi"/>
          <w:noProof/>
          <w:lang w:val="en-US" w:eastAsia="en-US"/>
        </w:rPr>
      </w:pPr>
      <w:hyperlink w:anchor="_Toc434208039" w:history="1">
        <w:r w:rsidR="00D243CD" w:rsidRPr="001964B2">
          <w:rPr>
            <w:rStyle w:val="Hyperlink"/>
            <w:rFonts w:eastAsia="Calibri"/>
            <w:noProof/>
          </w:rPr>
          <w:t>Figure 5</w:t>
        </w:r>
        <w:r w:rsidR="00D243CD" w:rsidRPr="001964B2">
          <w:rPr>
            <w:rStyle w:val="Hyperlink"/>
            <w:rFonts w:eastAsia="Calibri"/>
            <w:noProof/>
          </w:rPr>
          <w:noBreakHyphen/>
          <w:t xml:space="preserve">3: Marine boundaries used for the GBR Marine Park (a), each NRM region and the coral reefs ecosystems. NRM layers derived from: GBRMPA, 2013, GBR feature shapefiles and seagrass layers from DAFF, Feb. 2013; and enlargements around (b) the Tully-Herbert rivers and (c) the Burdekin rivers. Spatial distribution of the surveyed seagrasses bed is an historical layer composed from all meadows examined between 1984 and 2008 (see reports at: </w:t>
        </w:r>
        <w:r w:rsidR="00D243CD" w:rsidRPr="001964B2">
          <w:rPr>
            <w:rStyle w:val="Hyperlink"/>
            <w:rFonts w:eastAsia="Calibri"/>
            <w:bCs/>
            <w:noProof/>
          </w:rPr>
          <w:t>http://www.seagrasswatch.org/meg.html</w:t>
        </w:r>
        <w:r w:rsidR="00D243CD" w:rsidRPr="001964B2">
          <w:rPr>
            <w:rStyle w:val="Hyperlink"/>
            <w:rFonts w:eastAsia="Calibri"/>
            <w:noProof/>
          </w:rPr>
          <w:t>).</w:t>
        </w:r>
        <w:r w:rsidR="00D243CD">
          <w:rPr>
            <w:noProof/>
            <w:webHidden/>
          </w:rPr>
          <w:tab/>
        </w:r>
        <w:r w:rsidR="00D243CD">
          <w:rPr>
            <w:noProof/>
            <w:webHidden/>
          </w:rPr>
          <w:fldChar w:fldCharType="begin"/>
        </w:r>
        <w:r w:rsidR="00D243CD">
          <w:rPr>
            <w:noProof/>
            <w:webHidden/>
          </w:rPr>
          <w:instrText xml:space="preserve"> PAGEREF _Toc434208039 \h </w:instrText>
        </w:r>
        <w:r w:rsidR="00D243CD">
          <w:rPr>
            <w:noProof/>
            <w:webHidden/>
          </w:rPr>
        </w:r>
        <w:r w:rsidR="00D243CD">
          <w:rPr>
            <w:noProof/>
            <w:webHidden/>
          </w:rPr>
          <w:fldChar w:fldCharType="separate"/>
        </w:r>
        <w:r w:rsidR="00B62B50">
          <w:rPr>
            <w:noProof/>
            <w:webHidden/>
          </w:rPr>
          <w:t>61</w:t>
        </w:r>
        <w:r w:rsidR="00D243CD">
          <w:rPr>
            <w:noProof/>
            <w:webHidden/>
          </w:rPr>
          <w:fldChar w:fldCharType="end"/>
        </w:r>
      </w:hyperlink>
    </w:p>
    <w:p w14:paraId="0C3F7A8A" w14:textId="77777777" w:rsidR="00D243CD" w:rsidRDefault="00A2755C">
      <w:pPr>
        <w:pStyle w:val="TableofFigures"/>
        <w:tabs>
          <w:tab w:val="right" w:leader="dot" w:pos="9563"/>
        </w:tabs>
        <w:rPr>
          <w:rFonts w:eastAsiaTheme="minorEastAsia" w:cstheme="minorBidi"/>
          <w:noProof/>
          <w:lang w:val="en-US" w:eastAsia="en-US"/>
        </w:rPr>
      </w:pPr>
      <w:hyperlink w:anchor="_Toc434208040" w:history="1">
        <w:r w:rsidR="00D243CD" w:rsidRPr="001964B2">
          <w:rPr>
            <w:rStyle w:val="Hyperlink"/>
            <w:rFonts w:eastAsia="Calibri"/>
            <w:noProof/>
          </w:rPr>
          <w:t>Figure 5</w:t>
        </w:r>
        <w:r w:rsidR="00D243CD" w:rsidRPr="001964B2">
          <w:rPr>
            <w:rStyle w:val="Hyperlink"/>
            <w:rFonts w:eastAsia="Calibri"/>
            <w:noProof/>
          </w:rPr>
          <w:noBreakHyphen/>
          <w:t>4: a) Secondary plume waters areas recorded for the GBR, the Tully-Herbert and the Burdekin subsets and b) cumulative weekly river discharge measured for the Tully-Herbert and Burdekin rivers.</w:t>
        </w:r>
        <w:r w:rsidR="00D243CD">
          <w:rPr>
            <w:noProof/>
            <w:webHidden/>
          </w:rPr>
          <w:tab/>
        </w:r>
        <w:r w:rsidR="00D243CD">
          <w:rPr>
            <w:noProof/>
            <w:webHidden/>
          </w:rPr>
          <w:fldChar w:fldCharType="begin"/>
        </w:r>
        <w:r w:rsidR="00D243CD">
          <w:rPr>
            <w:noProof/>
            <w:webHidden/>
          </w:rPr>
          <w:instrText xml:space="preserve"> PAGEREF _Toc434208040 \h </w:instrText>
        </w:r>
        <w:r w:rsidR="00D243CD">
          <w:rPr>
            <w:noProof/>
            <w:webHidden/>
          </w:rPr>
        </w:r>
        <w:r w:rsidR="00D243CD">
          <w:rPr>
            <w:noProof/>
            <w:webHidden/>
          </w:rPr>
          <w:fldChar w:fldCharType="separate"/>
        </w:r>
        <w:r w:rsidR="00B62B50">
          <w:rPr>
            <w:noProof/>
            <w:webHidden/>
          </w:rPr>
          <w:t>62</w:t>
        </w:r>
        <w:r w:rsidR="00D243CD">
          <w:rPr>
            <w:noProof/>
            <w:webHidden/>
          </w:rPr>
          <w:fldChar w:fldCharType="end"/>
        </w:r>
      </w:hyperlink>
    </w:p>
    <w:p w14:paraId="0C3F7A8B" w14:textId="77777777" w:rsidR="00D243CD" w:rsidRDefault="00A2755C">
      <w:pPr>
        <w:pStyle w:val="TableofFigures"/>
        <w:tabs>
          <w:tab w:val="right" w:leader="dot" w:pos="9563"/>
        </w:tabs>
        <w:rPr>
          <w:rFonts w:eastAsiaTheme="minorEastAsia" w:cstheme="minorBidi"/>
          <w:noProof/>
          <w:lang w:val="en-US" w:eastAsia="en-US"/>
        </w:rPr>
      </w:pPr>
      <w:hyperlink w:anchor="_Toc434208041" w:history="1">
        <w:r w:rsidR="00D243CD" w:rsidRPr="001964B2">
          <w:rPr>
            <w:rStyle w:val="Hyperlink"/>
            <w:rFonts w:eastAsia="Calibri"/>
            <w:noProof/>
          </w:rPr>
          <w:t>Figure 5</w:t>
        </w:r>
        <w:r w:rsidR="00D243CD" w:rsidRPr="001964B2">
          <w:rPr>
            <w:rStyle w:val="Hyperlink"/>
            <w:rFonts w:eastAsia="Calibri"/>
            <w:noProof/>
          </w:rPr>
          <w:noBreakHyphen/>
          <w:t>5: Secondary plume weekly composites of the Tully-Herbert marine region</w:t>
        </w:r>
        <w:r w:rsidR="00D243CD">
          <w:rPr>
            <w:noProof/>
            <w:webHidden/>
          </w:rPr>
          <w:tab/>
        </w:r>
        <w:r w:rsidR="00D243CD">
          <w:rPr>
            <w:noProof/>
            <w:webHidden/>
          </w:rPr>
          <w:fldChar w:fldCharType="begin"/>
        </w:r>
        <w:r w:rsidR="00D243CD">
          <w:rPr>
            <w:noProof/>
            <w:webHidden/>
          </w:rPr>
          <w:instrText xml:space="preserve"> PAGEREF _Toc434208041 \h </w:instrText>
        </w:r>
        <w:r w:rsidR="00D243CD">
          <w:rPr>
            <w:noProof/>
            <w:webHidden/>
          </w:rPr>
        </w:r>
        <w:r w:rsidR="00D243CD">
          <w:rPr>
            <w:noProof/>
            <w:webHidden/>
          </w:rPr>
          <w:fldChar w:fldCharType="separate"/>
        </w:r>
        <w:r w:rsidR="00B62B50">
          <w:rPr>
            <w:noProof/>
            <w:webHidden/>
          </w:rPr>
          <w:t>63</w:t>
        </w:r>
        <w:r w:rsidR="00D243CD">
          <w:rPr>
            <w:noProof/>
            <w:webHidden/>
          </w:rPr>
          <w:fldChar w:fldCharType="end"/>
        </w:r>
      </w:hyperlink>
    </w:p>
    <w:p w14:paraId="0C3F7A8C" w14:textId="77777777" w:rsidR="00D243CD" w:rsidRDefault="00A2755C">
      <w:pPr>
        <w:pStyle w:val="TableofFigures"/>
        <w:tabs>
          <w:tab w:val="right" w:leader="dot" w:pos="9563"/>
        </w:tabs>
        <w:rPr>
          <w:rFonts w:eastAsiaTheme="minorEastAsia" w:cstheme="minorBidi"/>
          <w:noProof/>
          <w:lang w:val="en-US" w:eastAsia="en-US"/>
        </w:rPr>
      </w:pPr>
      <w:hyperlink w:anchor="_Toc434208042" w:history="1">
        <w:r w:rsidR="00D243CD" w:rsidRPr="001964B2">
          <w:rPr>
            <w:rStyle w:val="Hyperlink"/>
            <w:rFonts w:eastAsia="Calibri"/>
            <w:noProof/>
          </w:rPr>
          <w:t>Figure 5</w:t>
        </w:r>
        <w:r w:rsidR="00D243CD" w:rsidRPr="001964B2">
          <w:rPr>
            <w:rStyle w:val="Hyperlink"/>
            <w:rFonts w:eastAsia="Calibri"/>
            <w:noProof/>
          </w:rPr>
          <w:noBreakHyphen/>
          <w:t>6: Secondary plume weekly composites of the Burdekin marine region</w:t>
        </w:r>
        <w:r w:rsidR="00D243CD">
          <w:rPr>
            <w:noProof/>
            <w:webHidden/>
          </w:rPr>
          <w:tab/>
        </w:r>
        <w:r w:rsidR="00D243CD">
          <w:rPr>
            <w:noProof/>
            <w:webHidden/>
          </w:rPr>
          <w:fldChar w:fldCharType="begin"/>
        </w:r>
        <w:r w:rsidR="00D243CD">
          <w:rPr>
            <w:noProof/>
            <w:webHidden/>
          </w:rPr>
          <w:instrText xml:space="preserve"> PAGEREF _Toc434208042 \h </w:instrText>
        </w:r>
        <w:r w:rsidR="00D243CD">
          <w:rPr>
            <w:noProof/>
            <w:webHidden/>
          </w:rPr>
        </w:r>
        <w:r w:rsidR="00D243CD">
          <w:rPr>
            <w:noProof/>
            <w:webHidden/>
          </w:rPr>
          <w:fldChar w:fldCharType="separate"/>
        </w:r>
        <w:r w:rsidR="00B62B50">
          <w:rPr>
            <w:noProof/>
            <w:webHidden/>
          </w:rPr>
          <w:t>64</w:t>
        </w:r>
        <w:r w:rsidR="00D243CD">
          <w:rPr>
            <w:noProof/>
            <w:webHidden/>
          </w:rPr>
          <w:fldChar w:fldCharType="end"/>
        </w:r>
      </w:hyperlink>
    </w:p>
    <w:p w14:paraId="0C3F7A8D" w14:textId="77777777" w:rsidR="00D243CD" w:rsidRDefault="00A2755C">
      <w:pPr>
        <w:pStyle w:val="TableofFigures"/>
        <w:tabs>
          <w:tab w:val="right" w:leader="dot" w:pos="9563"/>
        </w:tabs>
        <w:rPr>
          <w:rFonts w:eastAsiaTheme="minorEastAsia" w:cstheme="minorBidi"/>
          <w:noProof/>
          <w:lang w:val="en-US" w:eastAsia="en-US"/>
        </w:rPr>
      </w:pPr>
      <w:hyperlink w:anchor="_Toc434208043" w:history="1">
        <w:r w:rsidR="00D243CD" w:rsidRPr="001964B2">
          <w:rPr>
            <w:rStyle w:val="Hyperlink"/>
            <w:rFonts w:eastAsia="Calibri"/>
            <w:noProof/>
          </w:rPr>
          <w:t>Figure 5</w:t>
        </w:r>
        <w:r w:rsidR="00D243CD" w:rsidRPr="001964B2">
          <w:rPr>
            <w:rStyle w:val="Hyperlink"/>
            <w:rFonts w:eastAsia="Calibri"/>
            <w:noProof/>
          </w:rPr>
          <w:noBreakHyphen/>
          <w:t>7: Frequency of occurrence of river plume recorded in 2013 in the Tully-Herbert region by a) and b) the TC method and c) and d) the L2 method. Maps a) and c) show all areas that have been classified as least one day over the wet season 2012-13 as river plume waters.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_Toc434208043 \h </w:instrText>
        </w:r>
        <w:r w:rsidR="00D243CD">
          <w:rPr>
            <w:noProof/>
            <w:webHidden/>
          </w:rPr>
        </w:r>
        <w:r w:rsidR="00D243CD">
          <w:rPr>
            <w:noProof/>
            <w:webHidden/>
          </w:rPr>
          <w:fldChar w:fldCharType="separate"/>
        </w:r>
        <w:r w:rsidR="00B62B50">
          <w:rPr>
            <w:noProof/>
            <w:webHidden/>
          </w:rPr>
          <w:t>66</w:t>
        </w:r>
        <w:r w:rsidR="00D243CD">
          <w:rPr>
            <w:noProof/>
            <w:webHidden/>
          </w:rPr>
          <w:fldChar w:fldCharType="end"/>
        </w:r>
      </w:hyperlink>
    </w:p>
    <w:p w14:paraId="0C3F7A8E" w14:textId="77777777" w:rsidR="00D243CD" w:rsidRDefault="00A2755C">
      <w:pPr>
        <w:pStyle w:val="TableofFigures"/>
        <w:tabs>
          <w:tab w:val="right" w:leader="dot" w:pos="9563"/>
        </w:tabs>
        <w:rPr>
          <w:rFonts w:eastAsiaTheme="minorEastAsia" w:cstheme="minorBidi"/>
          <w:noProof/>
          <w:lang w:val="en-US" w:eastAsia="en-US"/>
        </w:rPr>
      </w:pPr>
      <w:hyperlink w:anchor="_Toc434208044" w:history="1">
        <w:r w:rsidR="00D243CD" w:rsidRPr="001964B2">
          <w:rPr>
            <w:rStyle w:val="Hyperlink"/>
            <w:rFonts w:eastAsia="Calibri"/>
            <w:noProof/>
          </w:rPr>
          <w:t>Figure 5</w:t>
        </w:r>
        <w:r w:rsidR="00D243CD" w:rsidRPr="001964B2">
          <w:rPr>
            <w:rStyle w:val="Hyperlink"/>
            <w:rFonts w:eastAsia="Calibri"/>
            <w:noProof/>
          </w:rPr>
          <w:noBreakHyphen/>
          <w:t>8: Frequency of occurrence of river plume recorded in 2013 in the Burdekin region by a) and b) the TC method and c) and d) the L2 method. Maps a) and c) show all areas that have been classified as least one day over the wet season 2012-13 as river plume waters.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_Toc434208044 \h </w:instrText>
        </w:r>
        <w:r w:rsidR="00D243CD">
          <w:rPr>
            <w:noProof/>
            <w:webHidden/>
          </w:rPr>
        </w:r>
        <w:r w:rsidR="00D243CD">
          <w:rPr>
            <w:noProof/>
            <w:webHidden/>
          </w:rPr>
          <w:fldChar w:fldCharType="separate"/>
        </w:r>
        <w:r w:rsidR="00B62B50">
          <w:rPr>
            <w:noProof/>
            <w:webHidden/>
          </w:rPr>
          <w:t>67</w:t>
        </w:r>
        <w:r w:rsidR="00D243CD">
          <w:rPr>
            <w:noProof/>
            <w:webHidden/>
          </w:rPr>
          <w:fldChar w:fldCharType="end"/>
        </w:r>
      </w:hyperlink>
    </w:p>
    <w:p w14:paraId="0C3F7A8F" w14:textId="77777777" w:rsidR="00D243CD" w:rsidRDefault="00A2755C">
      <w:pPr>
        <w:pStyle w:val="TableofFigures"/>
        <w:tabs>
          <w:tab w:val="right" w:leader="dot" w:pos="9563"/>
        </w:tabs>
        <w:rPr>
          <w:rFonts w:eastAsiaTheme="minorEastAsia" w:cstheme="minorBidi"/>
          <w:noProof/>
          <w:lang w:val="en-US" w:eastAsia="en-US"/>
        </w:rPr>
      </w:pPr>
      <w:hyperlink w:anchor="_Toc434208045" w:history="1">
        <w:r w:rsidR="00D243CD" w:rsidRPr="001964B2">
          <w:rPr>
            <w:rStyle w:val="Hyperlink"/>
            <w:rFonts w:eastAsia="Calibri"/>
            <w:noProof/>
          </w:rPr>
          <w:t>Figure 5</w:t>
        </w:r>
        <w:r w:rsidR="00D243CD" w:rsidRPr="001964B2">
          <w:rPr>
            <w:rStyle w:val="Hyperlink"/>
            <w:rFonts w:eastAsia="Calibri"/>
            <w:noProof/>
          </w:rPr>
          <w:noBreakHyphen/>
          <w:t>9: Frequency of occurrence of Primary plume waters recorded in 2013 in the Tully-Herbert region by a) and b) the TC method and c) and d) the L2 method. Maps a) and c) show all areas that have been classified as least one day over the wet season 2012-13 as Primary plume waters.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_Toc434208045 \h </w:instrText>
        </w:r>
        <w:r w:rsidR="00D243CD">
          <w:rPr>
            <w:noProof/>
            <w:webHidden/>
          </w:rPr>
        </w:r>
        <w:r w:rsidR="00D243CD">
          <w:rPr>
            <w:noProof/>
            <w:webHidden/>
          </w:rPr>
          <w:fldChar w:fldCharType="separate"/>
        </w:r>
        <w:r w:rsidR="00B62B50">
          <w:rPr>
            <w:noProof/>
            <w:webHidden/>
          </w:rPr>
          <w:t>68</w:t>
        </w:r>
        <w:r w:rsidR="00D243CD">
          <w:rPr>
            <w:noProof/>
            <w:webHidden/>
          </w:rPr>
          <w:fldChar w:fldCharType="end"/>
        </w:r>
      </w:hyperlink>
    </w:p>
    <w:p w14:paraId="0C3F7A90" w14:textId="77777777" w:rsidR="00D243CD" w:rsidRDefault="00A2755C">
      <w:pPr>
        <w:pStyle w:val="TableofFigures"/>
        <w:tabs>
          <w:tab w:val="right" w:leader="dot" w:pos="9563"/>
        </w:tabs>
        <w:rPr>
          <w:rFonts w:eastAsiaTheme="minorEastAsia" w:cstheme="minorBidi"/>
          <w:noProof/>
          <w:lang w:val="en-US" w:eastAsia="en-US"/>
        </w:rPr>
      </w:pPr>
      <w:hyperlink w:anchor="_Toc434208046" w:history="1">
        <w:r w:rsidR="00D243CD" w:rsidRPr="001964B2">
          <w:rPr>
            <w:rStyle w:val="Hyperlink"/>
            <w:rFonts w:eastAsia="Calibri"/>
            <w:noProof/>
          </w:rPr>
          <w:t>Figure 5</w:t>
        </w:r>
        <w:r w:rsidR="00D243CD" w:rsidRPr="001964B2">
          <w:rPr>
            <w:rStyle w:val="Hyperlink"/>
            <w:rFonts w:eastAsia="Calibri"/>
            <w:noProof/>
          </w:rPr>
          <w:noBreakHyphen/>
          <w:t>10: Frequency of occurrence of Primary plume waters recorded in 2013 in the Burdekin region by a) and b) the TC method and c) and d) the L2 method. Maps a) and c) show all areas that have been classified as least one day over the wet season 2012-13 as Primary plume waters.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_Toc434208046 \h </w:instrText>
        </w:r>
        <w:r w:rsidR="00D243CD">
          <w:rPr>
            <w:noProof/>
            <w:webHidden/>
          </w:rPr>
        </w:r>
        <w:r w:rsidR="00D243CD">
          <w:rPr>
            <w:noProof/>
            <w:webHidden/>
          </w:rPr>
          <w:fldChar w:fldCharType="separate"/>
        </w:r>
        <w:r w:rsidR="00B62B50">
          <w:rPr>
            <w:noProof/>
            <w:webHidden/>
          </w:rPr>
          <w:t>69</w:t>
        </w:r>
        <w:r w:rsidR="00D243CD">
          <w:rPr>
            <w:noProof/>
            <w:webHidden/>
          </w:rPr>
          <w:fldChar w:fldCharType="end"/>
        </w:r>
      </w:hyperlink>
    </w:p>
    <w:p w14:paraId="0C3F7A91" w14:textId="77777777" w:rsidR="00D243CD" w:rsidRDefault="00A2755C">
      <w:pPr>
        <w:pStyle w:val="TableofFigures"/>
        <w:tabs>
          <w:tab w:val="right" w:leader="dot" w:pos="9563"/>
        </w:tabs>
        <w:rPr>
          <w:rFonts w:eastAsiaTheme="minorEastAsia" w:cstheme="minorBidi"/>
          <w:noProof/>
          <w:lang w:val="en-US" w:eastAsia="en-US"/>
        </w:rPr>
      </w:pPr>
      <w:hyperlink w:anchor="_Toc434208047" w:history="1">
        <w:r w:rsidR="00D243CD" w:rsidRPr="001964B2">
          <w:rPr>
            <w:rStyle w:val="Hyperlink"/>
            <w:rFonts w:eastAsia="Calibri"/>
            <w:noProof/>
          </w:rPr>
          <w:t>Figure 5</w:t>
        </w:r>
        <w:r w:rsidR="00D243CD" w:rsidRPr="001964B2">
          <w:rPr>
            <w:rStyle w:val="Hyperlink"/>
            <w:rFonts w:eastAsia="Calibri"/>
            <w:noProof/>
          </w:rPr>
          <w:noBreakHyphen/>
          <w:t>11: Frequency of occurrence of Secondary plume waters recorded in 2013 in the Tully-Herbert region by a) and b) the TC method and c) and d) the L2 method. Maps a) and c) show all areas that have been classified as least one day over the wet season 2012-13 as Secondary plume waters.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_Toc434208047 \h </w:instrText>
        </w:r>
        <w:r w:rsidR="00D243CD">
          <w:rPr>
            <w:noProof/>
            <w:webHidden/>
          </w:rPr>
        </w:r>
        <w:r w:rsidR="00D243CD">
          <w:rPr>
            <w:noProof/>
            <w:webHidden/>
          </w:rPr>
          <w:fldChar w:fldCharType="separate"/>
        </w:r>
        <w:r w:rsidR="00B62B50">
          <w:rPr>
            <w:noProof/>
            <w:webHidden/>
          </w:rPr>
          <w:t>70</w:t>
        </w:r>
        <w:r w:rsidR="00D243CD">
          <w:rPr>
            <w:noProof/>
            <w:webHidden/>
          </w:rPr>
          <w:fldChar w:fldCharType="end"/>
        </w:r>
      </w:hyperlink>
    </w:p>
    <w:p w14:paraId="0C3F7A92" w14:textId="77777777" w:rsidR="00D243CD" w:rsidRDefault="00A2755C">
      <w:pPr>
        <w:pStyle w:val="TableofFigures"/>
        <w:tabs>
          <w:tab w:val="right" w:leader="dot" w:pos="9563"/>
        </w:tabs>
        <w:rPr>
          <w:rFonts w:eastAsiaTheme="minorEastAsia" w:cstheme="minorBidi"/>
          <w:noProof/>
          <w:lang w:val="en-US" w:eastAsia="en-US"/>
        </w:rPr>
      </w:pPr>
      <w:hyperlink w:anchor="_Toc434208048" w:history="1">
        <w:r w:rsidR="00D243CD" w:rsidRPr="001964B2">
          <w:rPr>
            <w:rStyle w:val="Hyperlink"/>
            <w:rFonts w:eastAsia="Calibri"/>
            <w:noProof/>
          </w:rPr>
          <w:t>Figure 5</w:t>
        </w:r>
        <w:r w:rsidR="00D243CD" w:rsidRPr="001964B2">
          <w:rPr>
            <w:rStyle w:val="Hyperlink"/>
            <w:rFonts w:eastAsia="Calibri"/>
            <w:noProof/>
          </w:rPr>
          <w:noBreakHyphen/>
          <w:t>12: Frequency of occurrence of Secondary plume waters recorded in 2013 in the Burdekin region by a) and b) the TC method and c) and d) the L2 method. Maps a) and c) show all areas that have been classified as least one day over the wet season 2012-13 as Secondary plume waters.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_Toc434208048 \h </w:instrText>
        </w:r>
        <w:r w:rsidR="00D243CD">
          <w:rPr>
            <w:noProof/>
            <w:webHidden/>
          </w:rPr>
        </w:r>
        <w:r w:rsidR="00D243CD">
          <w:rPr>
            <w:noProof/>
            <w:webHidden/>
          </w:rPr>
          <w:fldChar w:fldCharType="separate"/>
        </w:r>
        <w:r w:rsidR="00B62B50">
          <w:rPr>
            <w:noProof/>
            <w:webHidden/>
          </w:rPr>
          <w:t>71</w:t>
        </w:r>
        <w:r w:rsidR="00D243CD">
          <w:rPr>
            <w:noProof/>
            <w:webHidden/>
          </w:rPr>
          <w:fldChar w:fldCharType="end"/>
        </w:r>
      </w:hyperlink>
    </w:p>
    <w:p w14:paraId="0C3F7A93" w14:textId="77777777" w:rsidR="00D243CD" w:rsidRDefault="00A2755C">
      <w:pPr>
        <w:pStyle w:val="TableofFigures"/>
        <w:tabs>
          <w:tab w:val="right" w:leader="dot" w:pos="9563"/>
        </w:tabs>
        <w:rPr>
          <w:rFonts w:eastAsiaTheme="minorEastAsia" w:cstheme="minorBidi"/>
          <w:noProof/>
          <w:lang w:val="en-US" w:eastAsia="en-US"/>
        </w:rPr>
      </w:pPr>
      <w:hyperlink w:anchor="_Toc434208049" w:history="1">
        <w:r w:rsidR="00D243CD" w:rsidRPr="001964B2">
          <w:rPr>
            <w:rStyle w:val="Hyperlink"/>
            <w:rFonts w:eastAsia="Calibri"/>
            <w:noProof/>
          </w:rPr>
          <w:t>Figure 5</w:t>
        </w:r>
        <w:r w:rsidR="00D243CD" w:rsidRPr="001964B2">
          <w:rPr>
            <w:rStyle w:val="Hyperlink"/>
            <w:rFonts w:eastAsia="Calibri"/>
            <w:noProof/>
          </w:rPr>
          <w:noBreakHyphen/>
          <w:t>13: Frequency of occurrence of Tertiary plume waters recorded in 2013 in the Tully-Herbert region by a) and b) the TC method and c) and d) the L2 method. Maps a) and c) show all areas that have been classified as least one day over the wet season 2012-13 as Tertiary plume water.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_Toc434208049 \h </w:instrText>
        </w:r>
        <w:r w:rsidR="00D243CD">
          <w:rPr>
            <w:noProof/>
            <w:webHidden/>
          </w:rPr>
        </w:r>
        <w:r w:rsidR="00D243CD">
          <w:rPr>
            <w:noProof/>
            <w:webHidden/>
          </w:rPr>
          <w:fldChar w:fldCharType="separate"/>
        </w:r>
        <w:r w:rsidR="00B62B50">
          <w:rPr>
            <w:noProof/>
            <w:webHidden/>
          </w:rPr>
          <w:t>72</w:t>
        </w:r>
        <w:r w:rsidR="00D243CD">
          <w:rPr>
            <w:noProof/>
            <w:webHidden/>
          </w:rPr>
          <w:fldChar w:fldCharType="end"/>
        </w:r>
      </w:hyperlink>
    </w:p>
    <w:p w14:paraId="0C3F7A94" w14:textId="77777777" w:rsidR="00D243CD" w:rsidRDefault="00A2755C">
      <w:pPr>
        <w:pStyle w:val="TableofFigures"/>
        <w:tabs>
          <w:tab w:val="right" w:leader="dot" w:pos="9563"/>
        </w:tabs>
        <w:rPr>
          <w:rFonts w:eastAsiaTheme="minorEastAsia" w:cstheme="minorBidi"/>
          <w:noProof/>
          <w:lang w:val="en-US" w:eastAsia="en-US"/>
        </w:rPr>
      </w:pPr>
      <w:hyperlink w:anchor="_Toc434208050" w:history="1">
        <w:r w:rsidR="00D243CD" w:rsidRPr="001964B2">
          <w:rPr>
            <w:rStyle w:val="Hyperlink"/>
            <w:rFonts w:eastAsia="Calibri"/>
            <w:noProof/>
          </w:rPr>
          <w:t>Figure 5</w:t>
        </w:r>
        <w:r w:rsidR="00D243CD" w:rsidRPr="001964B2">
          <w:rPr>
            <w:rStyle w:val="Hyperlink"/>
            <w:rFonts w:eastAsia="Calibri"/>
            <w:noProof/>
          </w:rPr>
          <w:noBreakHyphen/>
          <w:t>14: Frequency of occurrence of Tertiary plume waters recorded in 2013 in the Burdekin region by a) and b) the TC method and c) and d) the L2 method. Maps a) and c) show all areas that have been classified as least one day over the wet season 2012-13 as Tertiary plume water. Maps b) and d) show same maps reclassified into frequency breaks.</w:t>
        </w:r>
        <w:r w:rsidR="00D243CD">
          <w:rPr>
            <w:noProof/>
            <w:webHidden/>
          </w:rPr>
          <w:tab/>
        </w:r>
        <w:r w:rsidR="00D243CD">
          <w:rPr>
            <w:noProof/>
            <w:webHidden/>
          </w:rPr>
          <w:fldChar w:fldCharType="begin"/>
        </w:r>
        <w:r w:rsidR="00D243CD">
          <w:rPr>
            <w:noProof/>
            <w:webHidden/>
          </w:rPr>
          <w:instrText xml:space="preserve"> PAGEREF _Toc434208050 \h </w:instrText>
        </w:r>
        <w:r w:rsidR="00D243CD">
          <w:rPr>
            <w:noProof/>
            <w:webHidden/>
          </w:rPr>
        </w:r>
        <w:r w:rsidR="00D243CD">
          <w:rPr>
            <w:noProof/>
            <w:webHidden/>
          </w:rPr>
          <w:fldChar w:fldCharType="separate"/>
        </w:r>
        <w:r w:rsidR="00B62B50">
          <w:rPr>
            <w:noProof/>
            <w:webHidden/>
          </w:rPr>
          <w:t>73</w:t>
        </w:r>
        <w:r w:rsidR="00D243CD">
          <w:rPr>
            <w:noProof/>
            <w:webHidden/>
          </w:rPr>
          <w:fldChar w:fldCharType="end"/>
        </w:r>
      </w:hyperlink>
    </w:p>
    <w:p w14:paraId="0C3F7A95" w14:textId="77777777" w:rsidR="00D243CD" w:rsidRDefault="00A2755C">
      <w:pPr>
        <w:pStyle w:val="TableofFigures"/>
        <w:tabs>
          <w:tab w:val="right" w:leader="dot" w:pos="9563"/>
        </w:tabs>
        <w:rPr>
          <w:rFonts w:eastAsiaTheme="minorEastAsia" w:cstheme="minorBidi"/>
          <w:noProof/>
          <w:lang w:val="en-US" w:eastAsia="en-US"/>
        </w:rPr>
      </w:pPr>
      <w:hyperlink w:anchor="_Toc434208051" w:history="1">
        <w:r w:rsidR="00D243CD" w:rsidRPr="001964B2">
          <w:rPr>
            <w:rStyle w:val="Hyperlink"/>
            <w:rFonts w:eastAsia="Calibri"/>
            <w:noProof/>
          </w:rPr>
          <w:t>Figure 5</w:t>
        </w:r>
        <w:r w:rsidR="00D243CD" w:rsidRPr="001964B2">
          <w:rPr>
            <w:rStyle w:val="Hyperlink"/>
            <w:rFonts w:eastAsia="Calibri"/>
            <w:noProof/>
          </w:rPr>
          <w:noBreakHyphen/>
          <w:t>15: Mean concentrations of in-situ WQ measurements within each plume type. WQ data were assigned to plume water type based on dominant frequency (frequency &gt; 0.5). Data are reported for (a) total suspended solids (TSS), with higher values in the Primary plume zone, (b) KdPAR, with higher values in the Primary plume zone, and (c) chl-a, with highest values in the Secondary plume zone (modified from Devlin et al., 2013b).</w:t>
        </w:r>
        <w:r w:rsidR="00D243CD">
          <w:rPr>
            <w:noProof/>
            <w:webHidden/>
          </w:rPr>
          <w:tab/>
        </w:r>
        <w:r w:rsidR="00D243CD">
          <w:rPr>
            <w:noProof/>
            <w:webHidden/>
          </w:rPr>
          <w:fldChar w:fldCharType="begin"/>
        </w:r>
        <w:r w:rsidR="00D243CD">
          <w:rPr>
            <w:noProof/>
            <w:webHidden/>
          </w:rPr>
          <w:instrText xml:space="preserve"> PAGEREF _Toc434208051 \h </w:instrText>
        </w:r>
        <w:r w:rsidR="00D243CD">
          <w:rPr>
            <w:noProof/>
            <w:webHidden/>
          </w:rPr>
        </w:r>
        <w:r w:rsidR="00D243CD">
          <w:rPr>
            <w:noProof/>
            <w:webHidden/>
          </w:rPr>
          <w:fldChar w:fldCharType="separate"/>
        </w:r>
        <w:r w:rsidR="00B62B50">
          <w:rPr>
            <w:noProof/>
            <w:webHidden/>
          </w:rPr>
          <w:t>74</w:t>
        </w:r>
        <w:r w:rsidR="00D243CD">
          <w:rPr>
            <w:noProof/>
            <w:webHidden/>
          </w:rPr>
          <w:fldChar w:fldCharType="end"/>
        </w:r>
      </w:hyperlink>
    </w:p>
    <w:p w14:paraId="0C3F7A96" w14:textId="77777777" w:rsidR="00D243CD" w:rsidRDefault="00A2755C">
      <w:pPr>
        <w:pStyle w:val="TableofFigures"/>
        <w:tabs>
          <w:tab w:val="right" w:leader="dot" w:pos="9563"/>
        </w:tabs>
        <w:rPr>
          <w:rFonts w:eastAsiaTheme="minorEastAsia" w:cstheme="minorBidi"/>
          <w:noProof/>
          <w:lang w:val="en-US" w:eastAsia="en-US"/>
        </w:rPr>
      </w:pPr>
      <w:hyperlink w:anchor="_Toc434208052" w:history="1">
        <w:r w:rsidR="00D243CD" w:rsidRPr="001964B2">
          <w:rPr>
            <w:rStyle w:val="Hyperlink"/>
            <w:rFonts w:eastAsia="Calibri"/>
            <w:bCs/>
            <w:noProof/>
          </w:rPr>
          <w:t>Figure 5</w:t>
        </w:r>
        <w:r w:rsidR="00D243CD" w:rsidRPr="001964B2">
          <w:rPr>
            <w:rStyle w:val="Hyperlink"/>
            <w:rFonts w:eastAsia="Calibri"/>
            <w:bCs/>
            <w:noProof/>
          </w:rPr>
          <w:noBreakHyphen/>
          <w:t>16</w:t>
        </w:r>
        <w:r w:rsidR="00D243CD" w:rsidRPr="001964B2">
          <w:rPr>
            <w:rStyle w:val="Hyperlink"/>
            <w:rFonts w:eastAsia="Calibri"/>
            <w:noProof/>
          </w:rPr>
          <w:t>: mean concentrations of in-situ WQ measurements (CDOM, TSS, Chl-a and Kd(PAR)) within each plume water type. WQ data assigned to plume water when the difference between in-situ collection and the satellite over passes is within ±2 h. Number of data is indicated in italic (modified from Petus et al., in press).</w:t>
        </w:r>
        <w:r w:rsidR="00D243CD">
          <w:rPr>
            <w:noProof/>
            <w:webHidden/>
          </w:rPr>
          <w:tab/>
        </w:r>
        <w:r w:rsidR="00D243CD">
          <w:rPr>
            <w:noProof/>
            <w:webHidden/>
          </w:rPr>
          <w:fldChar w:fldCharType="begin"/>
        </w:r>
        <w:r w:rsidR="00D243CD">
          <w:rPr>
            <w:noProof/>
            <w:webHidden/>
          </w:rPr>
          <w:instrText xml:space="preserve"> PAGEREF _Toc434208052 \h </w:instrText>
        </w:r>
        <w:r w:rsidR="00D243CD">
          <w:rPr>
            <w:noProof/>
            <w:webHidden/>
          </w:rPr>
        </w:r>
        <w:r w:rsidR="00D243CD">
          <w:rPr>
            <w:noProof/>
            <w:webHidden/>
          </w:rPr>
          <w:fldChar w:fldCharType="separate"/>
        </w:r>
        <w:r w:rsidR="00B62B50">
          <w:rPr>
            <w:noProof/>
            <w:webHidden/>
          </w:rPr>
          <w:t>75</w:t>
        </w:r>
        <w:r w:rsidR="00D243CD">
          <w:rPr>
            <w:noProof/>
            <w:webHidden/>
          </w:rPr>
          <w:fldChar w:fldCharType="end"/>
        </w:r>
      </w:hyperlink>
    </w:p>
    <w:p w14:paraId="0C3F7A97" w14:textId="77777777" w:rsidR="00D243CD" w:rsidRDefault="00A2755C">
      <w:pPr>
        <w:pStyle w:val="TableofFigures"/>
        <w:tabs>
          <w:tab w:val="right" w:leader="dot" w:pos="9563"/>
        </w:tabs>
        <w:rPr>
          <w:rFonts w:eastAsiaTheme="minorEastAsia" w:cstheme="minorBidi"/>
          <w:noProof/>
          <w:lang w:val="en-US" w:eastAsia="en-US"/>
        </w:rPr>
      </w:pPr>
      <w:hyperlink w:anchor="_Toc434208053" w:history="1">
        <w:r w:rsidR="00D243CD" w:rsidRPr="001964B2">
          <w:rPr>
            <w:rStyle w:val="Hyperlink"/>
            <w:rFonts w:eastAsia="Calibri"/>
            <w:noProof/>
          </w:rPr>
          <w:t>Figure 5</w:t>
        </w:r>
        <w:r w:rsidR="00D243CD" w:rsidRPr="001964B2">
          <w:rPr>
            <w:rStyle w:val="Hyperlink"/>
            <w:rFonts w:eastAsia="Calibri"/>
            <w:noProof/>
          </w:rPr>
          <w:noBreakHyphen/>
          <w:t>17: 2012-13 “potential” river plume risk maps of (left) the GBR; (middle) the Tully Herbert region and (right) the Burdekin region produced by a) the TC method and b) the L2 method. Maps have been smoothed twice with a 4 pixel majority filter (ArcGIS).</w:t>
        </w:r>
        <w:r w:rsidR="00D243CD">
          <w:rPr>
            <w:noProof/>
            <w:webHidden/>
          </w:rPr>
          <w:tab/>
        </w:r>
        <w:r w:rsidR="00D243CD">
          <w:rPr>
            <w:noProof/>
            <w:webHidden/>
          </w:rPr>
          <w:fldChar w:fldCharType="begin"/>
        </w:r>
        <w:r w:rsidR="00D243CD">
          <w:rPr>
            <w:noProof/>
            <w:webHidden/>
          </w:rPr>
          <w:instrText xml:space="preserve"> PAGEREF _Toc434208053 \h </w:instrText>
        </w:r>
        <w:r w:rsidR="00D243CD">
          <w:rPr>
            <w:noProof/>
            <w:webHidden/>
          </w:rPr>
        </w:r>
        <w:r w:rsidR="00D243CD">
          <w:rPr>
            <w:noProof/>
            <w:webHidden/>
          </w:rPr>
          <w:fldChar w:fldCharType="separate"/>
        </w:r>
        <w:r w:rsidR="00B62B50">
          <w:rPr>
            <w:noProof/>
            <w:webHidden/>
          </w:rPr>
          <w:t>77</w:t>
        </w:r>
        <w:r w:rsidR="00D243CD">
          <w:rPr>
            <w:noProof/>
            <w:webHidden/>
          </w:rPr>
          <w:fldChar w:fldCharType="end"/>
        </w:r>
      </w:hyperlink>
    </w:p>
    <w:p w14:paraId="0C3F7A98" w14:textId="77777777" w:rsidR="00D243CD" w:rsidRDefault="00A2755C">
      <w:pPr>
        <w:pStyle w:val="TableofFigures"/>
        <w:tabs>
          <w:tab w:val="right" w:leader="dot" w:pos="9563"/>
        </w:tabs>
        <w:rPr>
          <w:rFonts w:eastAsiaTheme="minorEastAsia" w:cstheme="minorBidi"/>
          <w:noProof/>
          <w:lang w:val="en-US" w:eastAsia="en-US"/>
        </w:rPr>
      </w:pPr>
      <w:hyperlink w:anchor="_Toc434208054" w:history="1">
        <w:r w:rsidR="00D243CD" w:rsidRPr="001964B2">
          <w:rPr>
            <w:rStyle w:val="Hyperlink"/>
            <w:rFonts w:eastAsia="Calibri"/>
            <w:noProof/>
          </w:rPr>
          <w:t>Figure 5</w:t>
        </w:r>
        <w:r w:rsidR="00D243CD" w:rsidRPr="001964B2">
          <w:rPr>
            <w:rStyle w:val="Hyperlink"/>
            <w:rFonts w:eastAsia="Calibri"/>
            <w:noProof/>
          </w:rPr>
          <w:noBreakHyphen/>
          <w:t>18: Areas (km</w:t>
        </w:r>
        <w:r w:rsidR="00D243CD" w:rsidRPr="001964B2">
          <w:rPr>
            <w:rStyle w:val="Hyperlink"/>
            <w:rFonts w:eastAsia="Calibri"/>
            <w:noProof/>
            <w:vertAlign w:val="superscript"/>
          </w:rPr>
          <w:t>2</w:t>
        </w:r>
        <w:r w:rsidR="00D243CD" w:rsidRPr="001964B2">
          <w:rPr>
            <w:rStyle w:val="Hyperlink"/>
            <w:rFonts w:eastAsia="Calibri"/>
            <w:noProof/>
          </w:rPr>
          <w:t>) and percentage (%) of the a) GBR lagoon, b) coral reefs and c) seagrass beds (c1: surveyed; c2: deep and c3) total (surveyed + deep) seagrass beds) exposed to different categories of river plume risk within each NRM and during the wet season 2012-13.</w:t>
        </w:r>
        <w:r w:rsidR="00D243CD">
          <w:rPr>
            <w:noProof/>
            <w:webHidden/>
          </w:rPr>
          <w:tab/>
        </w:r>
        <w:r w:rsidR="00D243CD">
          <w:rPr>
            <w:noProof/>
            <w:webHidden/>
          </w:rPr>
          <w:fldChar w:fldCharType="begin"/>
        </w:r>
        <w:r w:rsidR="00D243CD">
          <w:rPr>
            <w:noProof/>
            <w:webHidden/>
          </w:rPr>
          <w:instrText xml:space="preserve"> PAGEREF _Toc434208054 \h </w:instrText>
        </w:r>
        <w:r w:rsidR="00D243CD">
          <w:rPr>
            <w:noProof/>
            <w:webHidden/>
          </w:rPr>
        </w:r>
        <w:r w:rsidR="00D243CD">
          <w:rPr>
            <w:noProof/>
            <w:webHidden/>
          </w:rPr>
          <w:fldChar w:fldCharType="separate"/>
        </w:r>
        <w:r w:rsidR="00B62B50">
          <w:rPr>
            <w:noProof/>
            <w:webHidden/>
          </w:rPr>
          <w:t>81</w:t>
        </w:r>
        <w:r w:rsidR="00D243CD">
          <w:rPr>
            <w:noProof/>
            <w:webHidden/>
          </w:rPr>
          <w:fldChar w:fldCharType="end"/>
        </w:r>
      </w:hyperlink>
    </w:p>
    <w:p w14:paraId="0C3F7A99" w14:textId="77777777" w:rsidR="00D243CD" w:rsidRDefault="00A2755C">
      <w:pPr>
        <w:pStyle w:val="TableofFigures"/>
        <w:tabs>
          <w:tab w:val="right" w:leader="dot" w:pos="9563"/>
        </w:tabs>
        <w:rPr>
          <w:rFonts w:eastAsiaTheme="minorEastAsia" w:cstheme="minorBidi"/>
          <w:noProof/>
          <w:lang w:val="en-US" w:eastAsia="en-US"/>
        </w:rPr>
      </w:pPr>
      <w:hyperlink w:anchor="_Toc434208055" w:history="1">
        <w:r w:rsidR="00D243CD" w:rsidRPr="001964B2">
          <w:rPr>
            <w:rStyle w:val="Hyperlink"/>
            <w:rFonts w:eastAsia="Calibri"/>
            <w:noProof/>
          </w:rPr>
          <w:t>Figure 5</w:t>
        </w:r>
        <w:r w:rsidR="00D243CD" w:rsidRPr="001964B2">
          <w:rPr>
            <w:rStyle w:val="Hyperlink"/>
            <w:rFonts w:eastAsia="Calibri"/>
            <w:noProof/>
          </w:rPr>
          <w:noBreakHyphen/>
          <w:t>19: “potential” river plume risk maps of (left) the GBR; (middle) the Tully Herbert region and (right) the Burdekin region produced by a) the TC method in a) 2007, b) 2008, c) 2009. Maps have been smoothed twice with a 4 pixel majority filter (ArcGIS).</w:t>
        </w:r>
        <w:r w:rsidR="00D243CD">
          <w:rPr>
            <w:noProof/>
            <w:webHidden/>
          </w:rPr>
          <w:tab/>
        </w:r>
        <w:r w:rsidR="00D243CD">
          <w:rPr>
            <w:noProof/>
            <w:webHidden/>
          </w:rPr>
          <w:fldChar w:fldCharType="begin"/>
        </w:r>
        <w:r w:rsidR="00D243CD">
          <w:rPr>
            <w:noProof/>
            <w:webHidden/>
          </w:rPr>
          <w:instrText xml:space="preserve"> PAGEREF _Toc434208055 \h </w:instrText>
        </w:r>
        <w:r w:rsidR="00D243CD">
          <w:rPr>
            <w:noProof/>
            <w:webHidden/>
          </w:rPr>
        </w:r>
        <w:r w:rsidR="00D243CD">
          <w:rPr>
            <w:noProof/>
            <w:webHidden/>
          </w:rPr>
          <w:fldChar w:fldCharType="separate"/>
        </w:r>
        <w:r w:rsidR="00B62B50">
          <w:rPr>
            <w:noProof/>
            <w:webHidden/>
          </w:rPr>
          <w:t>83</w:t>
        </w:r>
        <w:r w:rsidR="00D243CD">
          <w:rPr>
            <w:noProof/>
            <w:webHidden/>
          </w:rPr>
          <w:fldChar w:fldCharType="end"/>
        </w:r>
      </w:hyperlink>
    </w:p>
    <w:p w14:paraId="0C3F7A9A" w14:textId="77777777" w:rsidR="00D243CD" w:rsidRDefault="00A2755C">
      <w:pPr>
        <w:pStyle w:val="TableofFigures"/>
        <w:tabs>
          <w:tab w:val="right" w:leader="dot" w:pos="9563"/>
        </w:tabs>
        <w:rPr>
          <w:rFonts w:eastAsiaTheme="minorEastAsia" w:cstheme="minorBidi"/>
          <w:noProof/>
          <w:lang w:val="en-US" w:eastAsia="en-US"/>
        </w:rPr>
      </w:pPr>
      <w:hyperlink w:anchor="_Toc434208056" w:history="1">
        <w:r w:rsidR="00D243CD" w:rsidRPr="001964B2">
          <w:rPr>
            <w:rStyle w:val="Hyperlink"/>
            <w:rFonts w:eastAsia="Calibri"/>
            <w:noProof/>
          </w:rPr>
          <w:t>Figure 5</w:t>
        </w:r>
        <w:r w:rsidR="00D243CD" w:rsidRPr="001964B2">
          <w:rPr>
            <w:rStyle w:val="Hyperlink"/>
            <w:rFonts w:eastAsia="Calibri"/>
            <w:noProof/>
          </w:rPr>
          <w:noBreakHyphen/>
          <w:t>20: “Potential” river plume risk maps of (left) the GBR; (middle) the Tully Herbert region and (right) the Burdekin region produced by a) the TC method in a) 2010, b) 2011, c) 2012. Maps have been smoothed twice with a 4 pixel majority filter (ArcGIS).</w:t>
        </w:r>
        <w:r w:rsidR="00D243CD">
          <w:rPr>
            <w:noProof/>
            <w:webHidden/>
          </w:rPr>
          <w:tab/>
        </w:r>
        <w:r w:rsidR="00D243CD">
          <w:rPr>
            <w:noProof/>
            <w:webHidden/>
          </w:rPr>
          <w:fldChar w:fldCharType="begin"/>
        </w:r>
        <w:r w:rsidR="00D243CD">
          <w:rPr>
            <w:noProof/>
            <w:webHidden/>
          </w:rPr>
          <w:instrText xml:space="preserve"> PAGEREF _Toc434208056 \h </w:instrText>
        </w:r>
        <w:r w:rsidR="00D243CD">
          <w:rPr>
            <w:noProof/>
            <w:webHidden/>
          </w:rPr>
        </w:r>
        <w:r w:rsidR="00D243CD">
          <w:rPr>
            <w:noProof/>
            <w:webHidden/>
          </w:rPr>
          <w:fldChar w:fldCharType="separate"/>
        </w:r>
        <w:r w:rsidR="00B62B50">
          <w:rPr>
            <w:noProof/>
            <w:webHidden/>
          </w:rPr>
          <w:t>84</w:t>
        </w:r>
        <w:r w:rsidR="00D243CD">
          <w:rPr>
            <w:noProof/>
            <w:webHidden/>
          </w:rPr>
          <w:fldChar w:fldCharType="end"/>
        </w:r>
      </w:hyperlink>
    </w:p>
    <w:p w14:paraId="0C3F7A9B" w14:textId="77777777" w:rsidR="00D243CD" w:rsidRDefault="00A2755C">
      <w:pPr>
        <w:pStyle w:val="TableofFigures"/>
        <w:tabs>
          <w:tab w:val="right" w:leader="dot" w:pos="9563"/>
        </w:tabs>
        <w:rPr>
          <w:rFonts w:eastAsiaTheme="minorEastAsia" w:cstheme="minorBidi"/>
          <w:noProof/>
          <w:lang w:val="en-US" w:eastAsia="en-US"/>
        </w:rPr>
      </w:pPr>
      <w:hyperlink w:anchor="_Toc434208057" w:history="1">
        <w:r w:rsidR="00D243CD" w:rsidRPr="001964B2">
          <w:rPr>
            <w:rStyle w:val="Hyperlink"/>
            <w:rFonts w:eastAsia="Calibri"/>
            <w:noProof/>
          </w:rPr>
          <w:t>Figure 5</w:t>
        </w:r>
        <w:r w:rsidR="00D243CD" w:rsidRPr="001964B2">
          <w:rPr>
            <w:rStyle w:val="Hyperlink"/>
            <w:rFonts w:eastAsia="Calibri"/>
            <w:noProof/>
          </w:rPr>
          <w:noBreakHyphen/>
          <w:t>21: relationships between the total GBR areas exposed to to the highest potential risk categories (III and IV, red line) to river plume and the total GBR river discharge (blue line, calculated as the sum of the Normanby, Daintree, Barron, Russell, Mulgrave, North Johnstone, South Johnstone, Tully, Herbert, Burdekin, O'Connell, Pioneer, Proserpine, Plane, Fitzroy, Burnett and Mary-river discharges for the whole hydrological year (i.e., from Oct-1 to Sep-30).</w:t>
        </w:r>
        <w:r w:rsidR="00D243CD">
          <w:rPr>
            <w:noProof/>
            <w:webHidden/>
          </w:rPr>
          <w:tab/>
        </w:r>
        <w:r w:rsidR="00D243CD">
          <w:rPr>
            <w:noProof/>
            <w:webHidden/>
          </w:rPr>
          <w:fldChar w:fldCharType="begin"/>
        </w:r>
        <w:r w:rsidR="00D243CD">
          <w:rPr>
            <w:noProof/>
            <w:webHidden/>
          </w:rPr>
          <w:instrText xml:space="preserve"> PAGEREF _Toc434208057 \h </w:instrText>
        </w:r>
        <w:r w:rsidR="00D243CD">
          <w:rPr>
            <w:noProof/>
            <w:webHidden/>
          </w:rPr>
        </w:r>
        <w:r w:rsidR="00D243CD">
          <w:rPr>
            <w:noProof/>
            <w:webHidden/>
          </w:rPr>
          <w:fldChar w:fldCharType="separate"/>
        </w:r>
        <w:r w:rsidR="00B62B50">
          <w:rPr>
            <w:noProof/>
            <w:webHidden/>
          </w:rPr>
          <w:t>84</w:t>
        </w:r>
        <w:r w:rsidR="00D243CD">
          <w:rPr>
            <w:noProof/>
            <w:webHidden/>
          </w:rPr>
          <w:fldChar w:fldCharType="end"/>
        </w:r>
      </w:hyperlink>
    </w:p>
    <w:p w14:paraId="0C3F7A9C" w14:textId="77777777" w:rsidR="00D243CD" w:rsidRDefault="00A2755C">
      <w:pPr>
        <w:pStyle w:val="TableofFigures"/>
        <w:tabs>
          <w:tab w:val="right" w:leader="dot" w:pos="9563"/>
        </w:tabs>
        <w:rPr>
          <w:rFonts w:eastAsiaTheme="minorEastAsia" w:cstheme="minorBidi"/>
          <w:noProof/>
          <w:lang w:val="en-US" w:eastAsia="en-US"/>
        </w:rPr>
      </w:pPr>
      <w:hyperlink w:anchor="_Toc434208058" w:history="1">
        <w:r w:rsidR="00D243CD" w:rsidRPr="001964B2">
          <w:rPr>
            <w:rStyle w:val="Hyperlink"/>
            <w:rFonts w:eastAsia="Calibri"/>
            <w:noProof/>
          </w:rPr>
          <w:t>Figure 5</w:t>
        </w:r>
        <w:r w:rsidR="00D243CD" w:rsidRPr="001964B2">
          <w:rPr>
            <w:rStyle w:val="Hyperlink"/>
            <w:rFonts w:eastAsia="Calibri"/>
            <w:noProof/>
          </w:rPr>
          <w:noBreakHyphen/>
          <w:t>22: Multi-annual (2007-2013) “potential” river plume risk maps of (left) the GBR; (middle) the Tully Herbert region and (right) the Burdekin region produced by a) the TC method. Maps have been smoothed twice with a 4 pixel majority filter (ArcGIS).</w:t>
        </w:r>
        <w:r w:rsidR="00D243CD">
          <w:rPr>
            <w:noProof/>
            <w:webHidden/>
          </w:rPr>
          <w:tab/>
        </w:r>
        <w:r w:rsidR="00D243CD">
          <w:rPr>
            <w:noProof/>
            <w:webHidden/>
          </w:rPr>
          <w:fldChar w:fldCharType="begin"/>
        </w:r>
        <w:r w:rsidR="00D243CD">
          <w:rPr>
            <w:noProof/>
            <w:webHidden/>
          </w:rPr>
          <w:instrText xml:space="preserve"> PAGEREF _Toc434208058 \h </w:instrText>
        </w:r>
        <w:r w:rsidR="00D243CD">
          <w:rPr>
            <w:noProof/>
            <w:webHidden/>
          </w:rPr>
        </w:r>
        <w:r w:rsidR="00D243CD">
          <w:rPr>
            <w:noProof/>
            <w:webHidden/>
          </w:rPr>
          <w:fldChar w:fldCharType="separate"/>
        </w:r>
        <w:r w:rsidR="00B62B50">
          <w:rPr>
            <w:noProof/>
            <w:webHidden/>
          </w:rPr>
          <w:t>85</w:t>
        </w:r>
        <w:r w:rsidR="00D243CD">
          <w:rPr>
            <w:noProof/>
            <w:webHidden/>
          </w:rPr>
          <w:fldChar w:fldCharType="end"/>
        </w:r>
      </w:hyperlink>
    </w:p>
    <w:p w14:paraId="0C3F7A9D" w14:textId="77777777" w:rsidR="00D243CD" w:rsidRDefault="00A2755C">
      <w:pPr>
        <w:pStyle w:val="TableofFigures"/>
        <w:tabs>
          <w:tab w:val="right" w:leader="dot" w:pos="9563"/>
        </w:tabs>
        <w:rPr>
          <w:rFonts w:eastAsiaTheme="minorEastAsia" w:cstheme="minorBidi"/>
          <w:noProof/>
          <w:lang w:val="en-US" w:eastAsia="en-US"/>
        </w:rPr>
      </w:pPr>
      <w:hyperlink w:anchor="_Toc434208059" w:history="1">
        <w:r w:rsidR="00D243CD" w:rsidRPr="001964B2">
          <w:rPr>
            <w:rStyle w:val="Hyperlink"/>
            <w:rFonts w:eastAsia="Calibri"/>
            <w:noProof/>
          </w:rPr>
          <w:t>Figure 5</w:t>
        </w:r>
        <w:r w:rsidR="00D243CD" w:rsidRPr="001964B2">
          <w:rPr>
            <w:rStyle w:val="Hyperlink"/>
            <w:rFonts w:eastAsia="Calibri"/>
            <w:noProof/>
          </w:rPr>
          <w:noBreakHyphen/>
          <w:t>23: mean multiannual (2007-2013) percentage (%, in grey) and areas (km</w:t>
        </w:r>
        <w:r w:rsidR="00D243CD" w:rsidRPr="001964B2">
          <w:rPr>
            <w:rStyle w:val="Hyperlink"/>
            <w:rFonts w:eastAsia="Calibri"/>
            <w:noProof/>
            <w:vertAlign w:val="superscript"/>
          </w:rPr>
          <w:t>2</w:t>
        </w:r>
        <w:r w:rsidR="00D243CD" w:rsidRPr="001964B2">
          <w:rPr>
            <w:rStyle w:val="Hyperlink"/>
            <w:rFonts w:eastAsia="Calibri"/>
            <w:noProof/>
          </w:rPr>
          <w:t>, in black) of a) coral reefs and b) total seagrass exposed to potential risk categories I</w:t>
        </w:r>
        <w:r w:rsidR="00D243CD">
          <w:rPr>
            <w:noProof/>
            <w:webHidden/>
          </w:rPr>
          <w:tab/>
        </w:r>
        <w:r w:rsidR="00D243CD">
          <w:rPr>
            <w:noProof/>
            <w:webHidden/>
          </w:rPr>
          <w:fldChar w:fldCharType="begin"/>
        </w:r>
        <w:r w:rsidR="00D243CD">
          <w:rPr>
            <w:noProof/>
            <w:webHidden/>
          </w:rPr>
          <w:instrText xml:space="preserve"> PAGEREF _Toc434208059 \h </w:instrText>
        </w:r>
        <w:r w:rsidR="00D243CD">
          <w:rPr>
            <w:noProof/>
            <w:webHidden/>
          </w:rPr>
        </w:r>
        <w:r w:rsidR="00D243CD">
          <w:rPr>
            <w:noProof/>
            <w:webHidden/>
          </w:rPr>
          <w:fldChar w:fldCharType="separate"/>
        </w:r>
        <w:r w:rsidR="00B62B50">
          <w:rPr>
            <w:noProof/>
            <w:webHidden/>
          </w:rPr>
          <w:t>86</w:t>
        </w:r>
        <w:r w:rsidR="00D243CD">
          <w:rPr>
            <w:noProof/>
            <w:webHidden/>
          </w:rPr>
          <w:fldChar w:fldCharType="end"/>
        </w:r>
      </w:hyperlink>
    </w:p>
    <w:p w14:paraId="0C3F7A9E" w14:textId="77777777" w:rsidR="007315EF" w:rsidRDefault="007315EF" w:rsidP="003D35D0">
      <w:pPr>
        <w:jc w:val="left"/>
        <w:rPr>
          <w:b/>
          <w:sz w:val="28"/>
          <w:szCs w:val="28"/>
        </w:rPr>
      </w:pPr>
      <w:r>
        <w:rPr>
          <w:b/>
          <w:sz w:val="28"/>
          <w:szCs w:val="28"/>
        </w:rPr>
        <w:fldChar w:fldCharType="end"/>
      </w:r>
      <w:r>
        <w:rPr>
          <w:b/>
          <w:sz w:val="28"/>
          <w:szCs w:val="28"/>
        </w:rPr>
        <w:br w:type="page"/>
      </w:r>
      <w:r>
        <w:rPr>
          <w:b/>
          <w:sz w:val="28"/>
          <w:szCs w:val="28"/>
        </w:rPr>
        <w:lastRenderedPageBreak/>
        <w:t>LIST OF TABLES</w:t>
      </w:r>
    </w:p>
    <w:p w14:paraId="0C3F7A9F" w14:textId="77777777" w:rsidR="00D243CD" w:rsidRDefault="007315EF">
      <w:pPr>
        <w:pStyle w:val="TableofFigures"/>
        <w:tabs>
          <w:tab w:val="right" w:leader="dot" w:pos="9563"/>
        </w:tabs>
        <w:rPr>
          <w:rFonts w:eastAsiaTheme="minorEastAsia" w:cstheme="minorBidi"/>
          <w:noProof/>
          <w:lang w:val="en-US" w:eastAsia="en-US"/>
        </w:rPr>
      </w:pPr>
      <w:r>
        <w:rPr>
          <w:b/>
          <w:sz w:val="28"/>
          <w:szCs w:val="28"/>
        </w:rPr>
        <w:fldChar w:fldCharType="begin"/>
      </w:r>
      <w:r>
        <w:rPr>
          <w:b/>
          <w:sz w:val="28"/>
          <w:szCs w:val="28"/>
        </w:rPr>
        <w:instrText xml:space="preserve"> TOC \h \z \c "Table" </w:instrText>
      </w:r>
      <w:r>
        <w:rPr>
          <w:b/>
          <w:sz w:val="28"/>
          <w:szCs w:val="28"/>
        </w:rPr>
        <w:fldChar w:fldCharType="separate"/>
      </w:r>
      <w:hyperlink w:anchor="_Toc434208060" w:history="1">
        <w:r w:rsidR="00D243CD" w:rsidRPr="00AE5AB4">
          <w:rPr>
            <w:rStyle w:val="Hyperlink"/>
            <w:noProof/>
          </w:rPr>
          <w:t>Table 1</w:t>
        </w:r>
        <w:r w:rsidR="00D243CD" w:rsidRPr="00AE5AB4">
          <w:rPr>
            <w:rStyle w:val="Hyperlink"/>
            <w:noProof/>
          </w:rPr>
          <w:noBreakHyphen/>
          <w:t>1: Summary of the sampling effort carried out in the 2012-13 wet season campaign by NRM, presenting the number of field trips per River/transect, sites sampled and the sampling period. Data in italics (Daintree – Mossman, Barron,Cape York, Burnett Mary) are not described in this report.</w:t>
        </w:r>
        <w:r w:rsidR="00D243CD">
          <w:rPr>
            <w:noProof/>
            <w:webHidden/>
          </w:rPr>
          <w:tab/>
        </w:r>
        <w:r w:rsidR="00D243CD">
          <w:rPr>
            <w:noProof/>
            <w:webHidden/>
          </w:rPr>
          <w:fldChar w:fldCharType="begin"/>
        </w:r>
        <w:r w:rsidR="00D243CD">
          <w:rPr>
            <w:noProof/>
            <w:webHidden/>
          </w:rPr>
          <w:instrText xml:space="preserve"> PAGEREF _Toc434208060 \h </w:instrText>
        </w:r>
        <w:r w:rsidR="00D243CD">
          <w:rPr>
            <w:noProof/>
            <w:webHidden/>
          </w:rPr>
        </w:r>
        <w:r w:rsidR="00D243CD">
          <w:rPr>
            <w:noProof/>
            <w:webHidden/>
          </w:rPr>
          <w:fldChar w:fldCharType="separate"/>
        </w:r>
        <w:r w:rsidR="00B62B50">
          <w:rPr>
            <w:noProof/>
            <w:webHidden/>
          </w:rPr>
          <w:t>2</w:t>
        </w:r>
        <w:r w:rsidR="00D243CD">
          <w:rPr>
            <w:noProof/>
            <w:webHidden/>
          </w:rPr>
          <w:fldChar w:fldCharType="end"/>
        </w:r>
      </w:hyperlink>
    </w:p>
    <w:p w14:paraId="0C3F7AA0" w14:textId="77777777" w:rsidR="00D243CD" w:rsidRDefault="00A2755C">
      <w:pPr>
        <w:pStyle w:val="TableofFigures"/>
        <w:tabs>
          <w:tab w:val="right" w:leader="dot" w:pos="9563"/>
        </w:tabs>
        <w:rPr>
          <w:rFonts w:eastAsiaTheme="minorEastAsia" w:cstheme="minorBidi"/>
          <w:noProof/>
          <w:lang w:val="en-US" w:eastAsia="en-US"/>
        </w:rPr>
      </w:pPr>
      <w:hyperlink w:anchor="_Toc434208061" w:history="1">
        <w:r w:rsidR="00D243CD" w:rsidRPr="00AE5AB4">
          <w:rPr>
            <w:rStyle w:val="Hyperlink"/>
            <w:noProof/>
          </w:rPr>
          <w:t>Table 1</w:t>
        </w:r>
        <w:r w:rsidR="00D243CD" w:rsidRPr="00AE5AB4">
          <w:rPr>
            <w:rStyle w:val="Hyperlink"/>
            <w:noProof/>
          </w:rPr>
          <w:noBreakHyphen/>
          <w:t>2: List of all water quality parameters collected as part of the MMP wet season water quality program.</w:t>
        </w:r>
        <w:r w:rsidR="00D243CD">
          <w:rPr>
            <w:noProof/>
            <w:webHidden/>
          </w:rPr>
          <w:tab/>
        </w:r>
        <w:r w:rsidR="00D243CD">
          <w:rPr>
            <w:noProof/>
            <w:webHidden/>
          </w:rPr>
          <w:fldChar w:fldCharType="begin"/>
        </w:r>
        <w:r w:rsidR="00D243CD">
          <w:rPr>
            <w:noProof/>
            <w:webHidden/>
          </w:rPr>
          <w:instrText xml:space="preserve"> PAGEREF _Toc434208061 \h </w:instrText>
        </w:r>
        <w:r w:rsidR="00D243CD">
          <w:rPr>
            <w:noProof/>
            <w:webHidden/>
          </w:rPr>
        </w:r>
        <w:r w:rsidR="00D243CD">
          <w:rPr>
            <w:noProof/>
            <w:webHidden/>
          </w:rPr>
          <w:fldChar w:fldCharType="separate"/>
        </w:r>
        <w:r w:rsidR="00B62B50">
          <w:rPr>
            <w:noProof/>
            <w:webHidden/>
          </w:rPr>
          <w:t>2</w:t>
        </w:r>
        <w:r w:rsidR="00D243CD">
          <w:rPr>
            <w:noProof/>
            <w:webHidden/>
          </w:rPr>
          <w:fldChar w:fldCharType="end"/>
        </w:r>
      </w:hyperlink>
    </w:p>
    <w:p w14:paraId="0C3F7AA1" w14:textId="77777777" w:rsidR="00D243CD" w:rsidRDefault="00A2755C">
      <w:pPr>
        <w:pStyle w:val="TableofFigures"/>
        <w:tabs>
          <w:tab w:val="right" w:leader="dot" w:pos="9563"/>
        </w:tabs>
        <w:rPr>
          <w:rFonts w:eastAsiaTheme="minorEastAsia" w:cstheme="minorBidi"/>
          <w:noProof/>
          <w:lang w:val="en-US" w:eastAsia="en-US"/>
        </w:rPr>
      </w:pPr>
      <w:hyperlink w:anchor="_Toc434208062" w:history="1">
        <w:r w:rsidR="00D243CD" w:rsidRPr="00AE5AB4">
          <w:rPr>
            <w:rStyle w:val="Hyperlink"/>
            <w:noProof/>
          </w:rPr>
          <w:t>Table 1</w:t>
        </w:r>
        <w:r w:rsidR="00D243CD" w:rsidRPr="00AE5AB4">
          <w:rPr>
            <w:rStyle w:val="Hyperlink"/>
            <w:noProof/>
          </w:rPr>
          <w:noBreakHyphen/>
          <w:t>3: Spearman’s rank correlation coefficients for the parameters for the Wet Tropics, Burdekin. All highlighted values are significant at p &lt; 0.01 and represent a correlation &gt;0.6 or &lt;-.06. Parameters listed in the table are surface salinity (Sal.), 5-day average discharge (Disch.), distance between the river mouth and the sampling site (Dist.), TSS, chlorophyll-a, TN, TDN, DIN, TP, TDP, DIP, PN, PP and Si.</w:t>
        </w:r>
        <w:r w:rsidR="00D243CD">
          <w:rPr>
            <w:noProof/>
            <w:webHidden/>
          </w:rPr>
          <w:tab/>
        </w:r>
        <w:r w:rsidR="00D243CD">
          <w:rPr>
            <w:noProof/>
            <w:webHidden/>
          </w:rPr>
          <w:fldChar w:fldCharType="begin"/>
        </w:r>
        <w:r w:rsidR="00D243CD">
          <w:rPr>
            <w:noProof/>
            <w:webHidden/>
          </w:rPr>
          <w:instrText xml:space="preserve"> PAGEREF _Toc434208062 \h </w:instrText>
        </w:r>
        <w:r w:rsidR="00D243CD">
          <w:rPr>
            <w:noProof/>
            <w:webHidden/>
          </w:rPr>
        </w:r>
        <w:r w:rsidR="00D243CD">
          <w:rPr>
            <w:noProof/>
            <w:webHidden/>
          </w:rPr>
          <w:fldChar w:fldCharType="separate"/>
        </w:r>
        <w:r w:rsidR="00B62B50">
          <w:rPr>
            <w:noProof/>
            <w:webHidden/>
          </w:rPr>
          <w:t>3</w:t>
        </w:r>
        <w:r w:rsidR="00D243CD">
          <w:rPr>
            <w:noProof/>
            <w:webHidden/>
          </w:rPr>
          <w:fldChar w:fldCharType="end"/>
        </w:r>
      </w:hyperlink>
    </w:p>
    <w:p w14:paraId="0C3F7AA2" w14:textId="77777777" w:rsidR="00D243CD" w:rsidRDefault="00A2755C">
      <w:pPr>
        <w:pStyle w:val="TableofFigures"/>
        <w:tabs>
          <w:tab w:val="right" w:leader="dot" w:pos="9563"/>
        </w:tabs>
        <w:rPr>
          <w:rFonts w:eastAsiaTheme="minorEastAsia" w:cstheme="minorBidi"/>
          <w:noProof/>
          <w:lang w:val="en-US" w:eastAsia="en-US"/>
        </w:rPr>
      </w:pPr>
      <w:hyperlink w:anchor="_Toc434208063" w:history="1">
        <w:r w:rsidR="00D243CD" w:rsidRPr="00AE5AB4">
          <w:rPr>
            <w:rStyle w:val="Hyperlink"/>
            <w:noProof/>
          </w:rPr>
          <w:t>Table 1</w:t>
        </w:r>
        <w:r w:rsidR="00D243CD" w:rsidRPr="00AE5AB4">
          <w:rPr>
            <w:rStyle w:val="Hyperlink"/>
            <w:noProof/>
          </w:rPr>
          <w:noBreakHyphen/>
          <w:t>4: Characteristics of Remote sensed products developed partly through MMP funding described against management outcomes.</w:t>
        </w:r>
        <w:r w:rsidR="00D243CD">
          <w:rPr>
            <w:noProof/>
            <w:webHidden/>
          </w:rPr>
          <w:tab/>
        </w:r>
        <w:r w:rsidR="00D243CD">
          <w:rPr>
            <w:noProof/>
            <w:webHidden/>
          </w:rPr>
          <w:fldChar w:fldCharType="begin"/>
        </w:r>
        <w:r w:rsidR="00D243CD">
          <w:rPr>
            <w:noProof/>
            <w:webHidden/>
          </w:rPr>
          <w:instrText xml:space="preserve"> PAGEREF _Toc434208063 \h </w:instrText>
        </w:r>
        <w:r w:rsidR="00D243CD">
          <w:rPr>
            <w:noProof/>
            <w:webHidden/>
          </w:rPr>
        </w:r>
        <w:r w:rsidR="00D243CD">
          <w:rPr>
            <w:noProof/>
            <w:webHidden/>
          </w:rPr>
          <w:fldChar w:fldCharType="separate"/>
        </w:r>
        <w:r w:rsidR="00B62B50">
          <w:rPr>
            <w:noProof/>
            <w:webHidden/>
          </w:rPr>
          <w:t>4</w:t>
        </w:r>
        <w:r w:rsidR="00D243CD">
          <w:rPr>
            <w:noProof/>
            <w:webHidden/>
          </w:rPr>
          <w:fldChar w:fldCharType="end"/>
        </w:r>
      </w:hyperlink>
    </w:p>
    <w:p w14:paraId="0C3F7AA3" w14:textId="77777777" w:rsidR="00D243CD" w:rsidRDefault="00A2755C">
      <w:pPr>
        <w:pStyle w:val="TableofFigures"/>
        <w:tabs>
          <w:tab w:val="right" w:leader="dot" w:pos="9563"/>
        </w:tabs>
        <w:rPr>
          <w:rFonts w:eastAsiaTheme="minorEastAsia" w:cstheme="minorBidi"/>
          <w:noProof/>
          <w:lang w:val="en-US" w:eastAsia="en-US"/>
        </w:rPr>
      </w:pPr>
      <w:hyperlink w:anchor="_Toc434208064" w:history="1">
        <w:r w:rsidR="00D243CD" w:rsidRPr="00AE5AB4">
          <w:rPr>
            <w:rStyle w:val="Hyperlink"/>
            <w:noProof/>
          </w:rPr>
          <w:t>Table 1</w:t>
        </w:r>
        <w:r w:rsidR="00D243CD" w:rsidRPr="00AE5AB4">
          <w:rPr>
            <w:rStyle w:val="Hyperlink"/>
            <w:noProof/>
          </w:rPr>
          <w:noBreakHyphen/>
          <w:t>5: Risk matrix in function of the magnitude and the likelihood of the river plume risk. Risk categories (I, II, III, IV, V)</w:t>
        </w:r>
        <w:r w:rsidR="00D243CD">
          <w:rPr>
            <w:noProof/>
            <w:webHidden/>
          </w:rPr>
          <w:tab/>
        </w:r>
        <w:r w:rsidR="00D243CD">
          <w:rPr>
            <w:noProof/>
            <w:webHidden/>
          </w:rPr>
          <w:fldChar w:fldCharType="begin"/>
        </w:r>
        <w:r w:rsidR="00D243CD">
          <w:rPr>
            <w:noProof/>
            <w:webHidden/>
          </w:rPr>
          <w:instrText xml:space="preserve"> PAGEREF _Toc434208064 \h </w:instrText>
        </w:r>
        <w:r w:rsidR="00D243CD">
          <w:rPr>
            <w:noProof/>
            <w:webHidden/>
          </w:rPr>
        </w:r>
        <w:r w:rsidR="00D243CD">
          <w:rPr>
            <w:noProof/>
            <w:webHidden/>
          </w:rPr>
          <w:fldChar w:fldCharType="separate"/>
        </w:r>
        <w:r w:rsidR="00B62B50">
          <w:rPr>
            <w:noProof/>
            <w:webHidden/>
          </w:rPr>
          <w:t>5</w:t>
        </w:r>
        <w:r w:rsidR="00D243CD">
          <w:rPr>
            <w:noProof/>
            <w:webHidden/>
          </w:rPr>
          <w:fldChar w:fldCharType="end"/>
        </w:r>
      </w:hyperlink>
    </w:p>
    <w:p w14:paraId="0C3F7AA4" w14:textId="77777777" w:rsidR="00D243CD" w:rsidRDefault="00A2755C">
      <w:pPr>
        <w:pStyle w:val="TableofFigures"/>
        <w:tabs>
          <w:tab w:val="right" w:leader="dot" w:pos="9563"/>
        </w:tabs>
        <w:rPr>
          <w:rFonts w:eastAsiaTheme="minorEastAsia" w:cstheme="minorBidi"/>
          <w:noProof/>
          <w:lang w:val="en-US" w:eastAsia="en-US"/>
        </w:rPr>
      </w:pPr>
      <w:hyperlink w:anchor="_Toc434208065" w:history="1">
        <w:r w:rsidR="00D243CD" w:rsidRPr="00AE5AB4">
          <w:rPr>
            <w:rStyle w:val="Hyperlink"/>
            <w:noProof/>
          </w:rPr>
          <w:t>Table 2</w:t>
        </w:r>
        <w:r w:rsidR="00D243CD" w:rsidRPr="00AE5AB4">
          <w:rPr>
            <w:rStyle w:val="Hyperlink"/>
            <w:noProof/>
          </w:rPr>
          <w:noBreakHyphen/>
          <w:t>1: Description of outputs related to the aims of the MMP wet season monitoring program.</w:t>
        </w:r>
        <w:r w:rsidR="00D243CD">
          <w:rPr>
            <w:noProof/>
            <w:webHidden/>
          </w:rPr>
          <w:tab/>
        </w:r>
        <w:r w:rsidR="00D243CD">
          <w:rPr>
            <w:noProof/>
            <w:webHidden/>
          </w:rPr>
          <w:fldChar w:fldCharType="begin"/>
        </w:r>
        <w:r w:rsidR="00D243CD">
          <w:rPr>
            <w:noProof/>
            <w:webHidden/>
          </w:rPr>
          <w:instrText xml:space="preserve"> PAGEREF _Toc434208065 \h </w:instrText>
        </w:r>
        <w:r w:rsidR="00D243CD">
          <w:rPr>
            <w:noProof/>
            <w:webHidden/>
          </w:rPr>
        </w:r>
        <w:r w:rsidR="00D243CD">
          <w:rPr>
            <w:noProof/>
            <w:webHidden/>
          </w:rPr>
          <w:fldChar w:fldCharType="separate"/>
        </w:r>
        <w:r w:rsidR="00B62B50">
          <w:rPr>
            <w:noProof/>
            <w:webHidden/>
          </w:rPr>
          <w:t>12</w:t>
        </w:r>
        <w:r w:rsidR="00D243CD">
          <w:rPr>
            <w:noProof/>
            <w:webHidden/>
          </w:rPr>
          <w:fldChar w:fldCharType="end"/>
        </w:r>
      </w:hyperlink>
    </w:p>
    <w:p w14:paraId="0C3F7AA5" w14:textId="77777777" w:rsidR="00D243CD" w:rsidRDefault="00A2755C">
      <w:pPr>
        <w:pStyle w:val="TableofFigures"/>
        <w:tabs>
          <w:tab w:val="right" w:leader="dot" w:pos="9563"/>
        </w:tabs>
        <w:rPr>
          <w:rFonts w:eastAsiaTheme="minorEastAsia" w:cstheme="minorBidi"/>
          <w:noProof/>
          <w:lang w:val="en-US" w:eastAsia="en-US"/>
        </w:rPr>
      </w:pPr>
      <w:hyperlink w:anchor="_Toc434208066" w:history="1">
        <w:r w:rsidR="00D243CD" w:rsidRPr="00AE5AB4">
          <w:rPr>
            <w:rStyle w:val="Hyperlink"/>
            <w:noProof/>
          </w:rPr>
          <w:t>Table 3</w:t>
        </w:r>
        <w:r w:rsidR="00D243CD" w:rsidRPr="00AE5AB4">
          <w:rPr>
            <w:rStyle w:val="Hyperlink"/>
            <w:noProof/>
          </w:rPr>
          <w:noBreakHyphen/>
          <w:t xml:space="preserve">1: Long term river discharge (ML) statistics of GBR rivers for the 2012-2013 hydrological year (c.a., Oct-1 to Sep-30), compared against the previous three hydrological years, and long-term (LT) medians, means and standard deviations (SD). Colours indicate levels above the long-term median: yellow for 1.5 to 2 times; orange for 2 to 3 times, and red for greater than 3 times. Long term statistics were calculated based on a hydrological year taking into account measurements from 1915 to 2000. (Data source: DNRM). </w:t>
        </w:r>
        <w:r w:rsidR="00D243CD" w:rsidRPr="00AE5AB4">
          <w:rPr>
            <w:rStyle w:val="Hyperlink"/>
            <w:rFonts w:cs="Arial"/>
            <w:noProof/>
          </w:rPr>
          <w:t>Discharge for Tully at Euramo station (113006A) for the dry season was estimated as 3.5941 times the Tully discharge at Gorge National Park station (113015A), based on a long-term discharge comparison for flows &lt; 20,000 ML/day (r-sq = 0.802).</w:t>
        </w:r>
        <w:r w:rsidR="00D243CD">
          <w:rPr>
            <w:noProof/>
            <w:webHidden/>
          </w:rPr>
          <w:tab/>
        </w:r>
        <w:r w:rsidR="00D243CD">
          <w:rPr>
            <w:noProof/>
            <w:webHidden/>
          </w:rPr>
          <w:fldChar w:fldCharType="begin"/>
        </w:r>
        <w:r w:rsidR="00D243CD">
          <w:rPr>
            <w:noProof/>
            <w:webHidden/>
          </w:rPr>
          <w:instrText xml:space="preserve"> PAGEREF _Toc434208066 \h </w:instrText>
        </w:r>
        <w:r w:rsidR="00D243CD">
          <w:rPr>
            <w:noProof/>
            <w:webHidden/>
          </w:rPr>
        </w:r>
        <w:r w:rsidR="00D243CD">
          <w:rPr>
            <w:noProof/>
            <w:webHidden/>
          </w:rPr>
          <w:fldChar w:fldCharType="separate"/>
        </w:r>
        <w:r w:rsidR="00B62B50">
          <w:rPr>
            <w:noProof/>
            <w:webHidden/>
          </w:rPr>
          <w:t>15</w:t>
        </w:r>
        <w:r w:rsidR="00D243CD">
          <w:rPr>
            <w:noProof/>
            <w:webHidden/>
          </w:rPr>
          <w:fldChar w:fldCharType="end"/>
        </w:r>
      </w:hyperlink>
    </w:p>
    <w:p w14:paraId="0C3F7AA6" w14:textId="77777777" w:rsidR="00D243CD" w:rsidRDefault="00A2755C">
      <w:pPr>
        <w:pStyle w:val="TableofFigures"/>
        <w:tabs>
          <w:tab w:val="right" w:leader="dot" w:pos="9563"/>
        </w:tabs>
        <w:rPr>
          <w:rFonts w:eastAsiaTheme="minorEastAsia" w:cstheme="minorBidi"/>
          <w:noProof/>
          <w:lang w:val="en-US" w:eastAsia="en-US"/>
        </w:rPr>
      </w:pPr>
      <w:hyperlink w:anchor="_Toc434208067" w:history="1">
        <w:r w:rsidR="00D243CD" w:rsidRPr="00AE5AB4">
          <w:rPr>
            <w:rStyle w:val="Hyperlink"/>
            <w:noProof/>
          </w:rPr>
          <w:t>Table 3</w:t>
        </w:r>
        <w:r w:rsidR="00D243CD" w:rsidRPr="00AE5AB4">
          <w:rPr>
            <w:rStyle w:val="Hyperlink"/>
            <w:noProof/>
          </w:rPr>
          <w:noBreakHyphen/>
          <w:t>2: The 75</w:t>
        </w:r>
        <w:r w:rsidR="00D243CD" w:rsidRPr="00AE5AB4">
          <w:rPr>
            <w:rStyle w:val="Hyperlink"/>
            <w:noProof/>
            <w:vertAlign w:val="superscript"/>
          </w:rPr>
          <w:t>th</w:t>
        </w:r>
        <w:r w:rsidR="00D243CD" w:rsidRPr="00AE5AB4">
          <w:rPr>
            <w:rStyle w:val="Hyperlink"/>
            <w:noProof/>
          </w:rPr>
          <w:t xml:space="preserve"> and 95</w:t>
        </w:r>
        <w:r w:rsidR="00D243CD" w:rsidRPr="00AE5AB4">
          <w:rPr>
            <w:rStyle w:val="Hyperlink"/>
            <w:noProof/>
            <w:vertAlign w:val="superscript"/>
          </w:rPr>
          <w:t>th</w:t>
        </w:r>
        <w:r w:rsidR="00D243CD" w:rsidRPr="00AE5AB4">
          <w:rPr>
            <w:rStyle w:val="Hyperlink"/>
            <w:noProof/>
          </w:rPr>
          <w:t xml:space="preserve"> percentile flow (ML/day) for the major GBR rivers (based on flow between the beginning of the station to 2012-09-30 obtained from DNRM).</w:t>
        </w:r>
        <w:r w:rsidR="00D243CD">
          <w:rPr>
            <w:noProof/>
            <w:webHidden/>
          </w:rPr>
          <w:tab/>
        </w:r>
        <w:r w:rsidR="00D243CD">
          <w:rPr>
            <w:noProof/>
            <w:webHidden/>
          </w:rPr>
          <w:fldChar w:fldCharType="begin"/>
        </w:r>
        <w:r w:rsidR="00D243CD">
          <w:rPr>
            <w:noProof/>
            <w:webHidden/>
          </w:rPr>
          <w:instrText xml:space="preserve"> PAGEREF _Toc434208067 \h </w:instrText>
        </w:r>
        <w:r w:rsidR="00D243CD">
          <w:rPr>
            <w:noProof/>
            <w:webHidden/>
          </w:rPr>
        </w:r>
        <w:r w:rsidR="00D243CD">
          <w:rPr>
            <w:noProof/>
            <w:webHidden/>
          </w:rPr>
          <w:fldChar w:fldCharType="separate"/>
        </w:r>
        <w:r w:rsidR="00B62B50">
          <w:rPr>
            <w:noProof/>
            <w:webHidden/>
          </w:rPr>
          <w:t>16</w:t>
        </w:r>
        <w:r w:rsidR="00D243CD">
          <w:rPr>
            <w:noProof/>
            <w:webHidden/>
          </w:rPr>
          <w:fldChar w:fldCharType="end"/>
        </w:r>
      </w:hyperlink>
    </w:p>
    <w:p w14:paraId="0C3F7AA7" w14:textId="77777777" w:rsidR="00D243CD" w:rsidRDefault="00A2755C">
      <w:pPr>
        <w:pStyle w:val="TableofFigures"/>
        <w:tabs>
          <w:tab w:val="right" w:leader="dot" w:pos="9563"/>
        </w:tabs>
        <w:rPr>
          <w:rFonts w:eastAsiaTheme="minorEastAsia" w:cstheme="minorBidi"/>
          <w:noProof/>
          <w:lang w:val="en-US" w:eastAsia="en-US"/>
        </w:rPr>
      </w:pPr>
      <w:hyperlink w:anchor="_Toc434208068" w:history="1">
        <w:r w:rsidR="00D243CD" w:rsidRPr="00AE5AB4">
          <w:rPr>
            <w:rStyle w:val="Hyperlink"/>
            <w:noProof/>
          </w:rPr>
          <w:t>Table 4</w:t>
        </w:r>
        <w:r w:rsidR="00D243CD" w:rsidRPr="00AE5AB4">
          <w:rPr>
            <w:rStyle w:val="Hyperlink"/>
            <w:noProof/>
          </w:rPr>
          <w:noBreakHyphen/>
          <w:t>1: Summary of the sampling effort carried out in the 2012-13 wet season campaign by NRM, presenting the number of field trips, sites sampled and the sampling period for each river visited within each NRMs.</w:t>
        </w:r>
        <w:r w:rsidR="00D243CD">
          <w:rPr>
            <w:noProof/>
            <w:webHidden/>
          </w:rPr>
          <w:tab/>
        </w:r>
        <w:r w:rsidR="00D243CD">
          <w:rPr>
            <w:noProof/>
            <w:webHidden/>
          </w:rPr>
          <w:fldChar w:fldCharType="begin"/>
        </w:r>
        <w:r w:rsidR="00D243CD">
          <w:rPr>
            <w:noProof/>
            <w:webHidden/>
          </w:rPr>
          <w:instrText xml:space="preserve"> PAGEREF _Toc434208068 \h </w:instrText>
        </w:r>
        <w:r w:rsidR="00D243CD">
          <w:rPr>
            <w:noProof/>
            <w:webHidden/>
          </w:rPr>
        </w:r>
        <w:r w:rsidR="00D243CD">
          <w:rPr>
            <w:noProof/>
            <w:webHidden/>
          </w:rPr>
          <w:fldChar w:fldCharType="separate"/>
        </w:r>
        <w:r w:rsidR="00B62B50">
          <w:rPr>
            <w:noProof/>
            <w:webHidden/>
          </w:rPr>
          <w:t>25</w:t>
        </w:r>
        <w:r w:rsidR="00D243CD">
          <w:rPr>
            <w:noProof/>
            <w:webHidden/>
          </w:rPr>
          <w:fldChar w:fldCharType="end"/>
        </w:r>
      </w:hyperlink>
    </w:p>
    <w:p w14:paraId="0C3F7AA8" w14:textId="77777777" w:rsidR="00D243CD" w:rsidRDefault="00A2755C">
      <w:pPr>
        <w:pStyle w:val="TableofFigures"/>
        <w:tabs>
          <w:tab w:val="right" w:leader="dot" w:pos="9563"/>
        </w:tabs>
        <w:rPr>
          <w:rFonts w:eastAsiaTheme="minorEastAsia" w:cstheme="minorBidi"/>
          <w:noProof/>
          <w:lang w:val="en-US" w:eastAsia="en-US"/>
        </w:rPr>
      </w:pPr>
      <w:hyperlink w:anchor="_Toc434208069" w:history="1">
        <w:r w:rsidR="00D243CD" w:rsidRPr="00AE5AB4">
          <w:rPr>
            <w:rStyle w:val="Hyperlink"/>
            <w:noProof/>
          </w:rPr>
          <w:t>Table 4</w:t>
        </w:r>
        <w:r w:rsidR="00D243CD" w:rsidRPr="00AE5AB4">
          <w:rPr>
            <w:rStyle w:val="Hyperlink"/>
            <w:noProof/>
          </w:rPr>
          <w:noBreakHyphen/>
          <w:t>2: Summary of chemical and biological parameters sampled for the MMP flood plume monitoring.</w:t>
        </w:r>
        <w:r w:rsidR="00D243CD">
          <w:rPr>
            <w:noProof/>
            <w:webHidden/>
          </w:rPr>
          <w:tab/>
        </w:r>
        <w:r w:rsidR="00D243CD">
          <w:rPr>
            <w:noProof/>
            <w:webHidden/>
          </w:rPr>
          <w:fldChar w:fldCharType="begin"/>
        </w:r>
        <w:r w:rsidR="00D243CD">
          <w:rPr>
            <w:noProof/>
            <w:webHidden/>
          </w:rPr>
          <w:instrText xml:space="preserve"> PAGEREF _Toc434208069 \h </w:instrText>
        </w:r>
        <w:r w:rsidR="00D243CD">
          <w:rPr>
            <w:noProof/>
            <w:webHidden/>
          </w:rPr>
        </w:r>
        <w:r w:rsidR="00D243CD">
          <w:rPr>
            <w:noProof/>
            <w:webHidden/>
          </w:rPr>
          <w:fldChar w:fldCharType="separate"/>
        </w:r>
        <w:r w:rsidR="00B62B50">
          <w:rPr>
            <w:noProof/>
            <w:webHidden/>
          </w:rPr>
          <w:t>29</w:t>
        </w:r>
        <w:r w:rsidR="00D243CD">
          <w:rPr>
            <w:noProof/>
            <w:webHidden/>
          </w:rPr>
          <w:fldChar w:fldCharType="end"/>
        </w:r>
      </w:hyperlink>
    </w:p>
    <w:p w14:paraId="0C3F7AA9" w14:textId="77777777" w:rsidR="00D243CD" w:rsidRDefault="00A2755C">
      <w:pPr>
        <w:pStyle w:val="TableofFigures"/>
        <w:tabs>
          <w:tab w:val="right" w:leader="dot" w:pos="9563"/>
        </w:tabs>
        <w:rPr>
          <w:rFonts w:eastAsiaTheme="minorEastAsia" w:cstheme="minorBidi"/>
          <w:noProof/>
          <w:lang w:val="en-US" w:eastAsia="en-US"/>
        </w:rPr>
      </w:pPr>
      <w:hyperlink w:anchor="_Toc434208070" w:history="1">
        <w:r w:rsidR="00D243CD" w:rsidRPr="00AE5AB4">
          <w:rPr>
            <w:rStyle w:val="Hyperlink"/>
            <w:noProof/>
          </w:rPr>
          <w:t>Table 4</w:t>
        </w:r>
        <w:r w:rsidR="00D243CD" w:rsidRPr="00AE5AB4">
          <w:rPr>
            <w:rStyle w:val="Hyperlink"/>
            <w:noProof/>
          </w:rPr>
          <w:noBreakHyphen/>
          <w:t>3: Summary of statistical analysis techniques exploring spatial variation applied to the WQ parameters sampled within the wet 2012-2013 wet season.</w:t>
        </w:r>
        <w:r w:rsidR="00D243CD">
          <w:rPr>
            <w:noProof/>
            <w:webHidden/>
          </w:rPr>
          <w:tab/>
        </w:r>
        <w:r w:rsidR="00D243CD">
          <w:rPr>
            <w:noProof/>
            <w:webHidden/>
          </w:rPr>
          <w:fldChar w:fldCharType="begin"/>
        </w:r>
        <w:r w:rsidR="00D243CD">
          <w:rPr>
            <w:noProof/>
            <w:webHidden/>
          </w:rPr>
          <w:instrText xml:space="preserve"> PAGEREF _Toc434208070 \h </w:instrText>
        </w:r>
        <w:r w:rsidR="00D243CD">
          <w:rPr>
            <w:noProof/>
            <w:webHidden/>
          </w:rPr>
        </w:r>
        <w:r w:rsidR="00D243CD">
          <w:rPr>
            <w:noProof/>
            <w:webHidden/>
          </w:rPr>
          <w:fldChar w:fldCharType="separate"/>
        </w:r>
        <w:r w:rsidR="00B62B50">
          <w:rPr>
            <w:noProof/>
            <w:webHidden/>
          </w:rPr>
          <w:t>30</w:t>
        </w:r>
        <w:r w:rsidR="00D243CD">
          <w:rPr>
            <w:noProof/>
            <w:webHidden/>
          </w:rPr>
          <w:fldChar w:fldCharType="end"/>
        </w:r>
      </w:hyperlink>
    </w:p>
    <w:p w14:paraId="0C3F7AAA" w14:textId="77777777" w:rsidR="00D243CD" w:rsidRDefault="00A2755C">
      <w:pPr>
        <w:pStyle w:val="TableofFigures"/>
        <w:tabs>
          <w:tab w:val="right" w:leader="dot" w:pos="9563"/>
        </w:tabs>
        <w:rPr>
          <w:rFonts w:eastAsiaTheme="minorEastAsia" w:cstheme="minorBidi"/>
          <w:noProof/>
          <w:lang w:val="en-US" w:eastAsia="en-US"/>
        </w:rPr>
      </w:pPr>
      <w:hyperlink w:anchor="_Toc434208071" w:history="1">
        <w:r w:rsidR="00D243CD" w:rsidRPr="00AE5AB4">
          <w:rPr>
            <w:rStyle w:val="Hyperlink"/>
            <w:noProof/>
          </w:rPr>
          <w:t>Table 4</w:t>
        </w:r>
        <w:r w:rsidR="00D243CD" w:rsidRPr="00AE5AB4">
          <w:rPr>
            <w:rStyle w:val="Hyperlink"/>
            <w:noProof/>
          </w:rPr>
          <w:noBreakHyphen/>
          <w:t>4: Long term wet season river discharge (ML, megalitre) statistics of five GBR rivers for the last 8 years (c.a., Nov-1 to Apr-30), compared against their long-term (LT) median. Colours indicate levels above the long term median: yellow for 1.5 to 2 times; orange for 2 to 3 times, and red for greater than 3 times. Long term statistics were calculated based on a hydrological year taking into account measurements from 1915 to 2000 (where data available). (Data source: DNRM).</w:t>
        </w:r>
        <w:r w:rsidR="00D243CD">
          <w:rPr>
            <w:noProof/>
            <w:webHidden/>
          </w:rPr>
          <w:tab/>
        </w:r>
        <w:r w:rsidR="00D243CD">
          <w:rPr>
            <w:noProof/>
            <w:webHidden/>
          </w:rPr>
          <w:fldChar w:fldCharType="begin"/>
        </w:r>
        <w:r w:rsidR="00D243CD">
          <w:rPr>
            <w:noProof/>
            <w:webHidden/>
          </w:rPr>
          <w:instrText xml:space="preserve"> PAGEREF _Toc434208071 \h </w:instrText>
        </w:r>
        <w:r w:rsidR="00D243CD">
          <w:rPr>
            <w:noProof/>
            <w:webHidden/>
          </w:rPr>
        </w:r>
        <w:r w:rsidR="00D243CD">
          <w:rPr>
            <w:noProof/>
            <w:webHidden/>
          </w:rPr>
          <w:fldChar w:fldCharType="separate"/>
        </w:r>
        <w:r w:rsidR="00B62B50">
          <w:rPr>
            <w:noProof/>
            <w:webHidden/>
          </w:rPr>
          <w:t>31</w:t>
        </w:r>
        <w:r w:rsidR="00D243CD">
          <w:rPr>
            <w:noProof/>
            <w:webHidden/>
          </w:rPr>
          <w:fldChar w:fldCharType="end"/>
        </w:r>
      </w:hyperlink>
    </w:p>
    <w:p w14:paraId="0C3F7AAB" w14:textId="77777777" w:rsidR="00D243CD" w:rsidRDefault="00A2755C">
      <w:pPr>
        <w:pStyle w:val="TableofFigures"/>
        <w:tabs>
          <w:tab w:val="right" w:leader="dot" w:pos="9563"/>
        </w:tabs>
        <w:rPr>
          <w:rFonts w:eastAsiaTheme="minorEastAsia" w:cstheme="minorBidi"/>
          <w:noProof/>
          <w:lang w:val="en-US" w:eastAsia="en-US"/>
        </w:rPr>
      </w:pPr>
      <w:hyperlink w:anchor="_Toc434208072" w:history="1">
        <w:r w:rsidR="00D243CD" w:rsidRPr="00AE5AB4">
          <w:rPr>
            <w:rStyle w:val="Hyperlink"/>
            <w:noProof/>
          </w:rPr>
          <w:t>Table 4</w:t>
        </w:r>
        <w:r w:rsidR="00D243CD" w:rsidRPr="00AE5AB4">
          <w:rPr>
            <w:rStyle w:val="Hyperlink"/>
            <w:noProof/>
          </w:rPr>
          <w:noBreakHyphen/>
          <w:t>5: Summary of transects that were completed and including in this report during the 2012-2013 wet season under the MMP program. Minimum (min), maximum (max), mean, standard deviation (SD) and the number of samples are calculated over multiple sites and multiple dates within each river plume water surface and are provided as a guidance of the range of values within each sampling transect.</w:t>
        </w:r>
        <w:r w:rsidR="00D243CD">
          <w:rPr>
            <w:noProof/>
            <w:webHidden/>
          </w:rPr>
          <w:tab/>
        </w:r>
        <w:r w:rsidR="00D243CD">
          <w:rPr>
            <w:noProof/>
            <w:webHidden/>
          </w:rPr>
          <w:fldChar w:fldCharType="begin"/>
        </w:r>
        <w:r w:rsidR="00D243CD">
          <w:rPr>
            <w:noProof/>
            <w:webHidden/>
          </w:rPr>
          <w:instrText xml:space="preserve"> PAGEREF _Toc434208072 \h </w:instrText>
        </w:r>
        <w:r w:rsidR="00D243CD">
          <w:rPr>
            <w:noProof/>
            <w:webHidden/>
          </w:rPr>
        </w:r>
        <w:r w:rsidR="00D243CD">
          <w:rPr>
            <w:noProof/>
            <w:webHidden/>
          </w:rPr>
          <w:fldChar w:fldCharType="separate"/>
        </w:r>
        <w:r w:rsidR="00B62B50">
          <w:rPr>
            <w:noProof/>
            <w:webHidden/>
          </w:rPr>
          <w:t>33</w:t>
        </w:r>
        <w:r w:rsidR="00D243CD">
          <w:rPr>
            <w:noProof/>
            <w:webHidden/>
          </w:rPr>
          <w:fldChar w:fldCharType="end"/>
        </w:r>
      </w:hyperlink>
    </w:p>
    <w:p w14:paraId="0C3F7AAC" w14:textId="77777777" w:rsidR="00D243CD" w:rsidRDefault="00A2755C">
      <w:pPr>
        <w:pStyle w:val="TableofFigures"/>
        <w:tabs>
          <w:tab w:val="right" w:leader="dot" w:pos="9563"/>
        </w:tabs>
        <w:rPr>
          <w:rFonts w:eastAsiaTheme="minorEastAsia" w:cstheme="minorBidi"/>
          <w:noProof/>
          <w:lang w:val="en-US" w:eastAsia="en-US"/>
        </w:rPr>
      </w:pPr>
      <w:hyperlink w:anchor="_Toc434208073" w:history="1">
        <w:r w:rsidR="00D243CD" w:rsidRPr="00AE5AB4">
          <w:rPr>
            <w:rStyle w:val="Hyperlink"/>
            <w:noProof/>
          </w:rPr>
          <w:t>Table 4</w:t>
        </w:r>
        <w:r w:rsidR="00D243CD" w:rsidRPr="00AE5AB4">
          <w:rPr>
            <w:rStyle w:val="Hyperlink"/>
            <w:noProof/>
          </w:rPr>
          <w:noBreakHyphen/>
          <w:t>6: Spearman’s rank correlation coefficients for the parameters from the Wet Tropics region. All highlighted values are significant at p &lt; 0.01 and represent a correlation &gt;0.6 or &lt;-.06. Parameter on the table are surface salinity (Sal.), 5-day average discharge (Disch.), distance between the river mouth and the sampling site (Dist.), TSS, chl-a TN, TDN, DIN, TP, TDP, DIP, PN, PP and Si.</w:t>
        </w:r>
        <w:r w:rsidR="00D243CD">
          <w:rPr>
            <w:noProof/>
            <w:webHidden/>
          </w:rPr>
          <w:tab/>
        </w:r>
        <w:r w:rsidR="00D243CD">
          <w:rPr>
            <w:noProof/>
            <w:webHidden/>
          </w:rPr>
          <w:fldChar w:fldCharType="begin"/>
        </w:r>
        <w:r w:rsidR="00D243CD">
          <w:rPr>
            <w:noProof/>
            <w:webHidden/>
          </w:rPr>
          <w:instrText xml:space="preserve"> PAGEREF _Toc434208073 \h </w:instrText>
        </w:r>
        <w:r w:rsidR="00D243CD">
          <w:rPr>
            <w:noProof/>
            <w:webHidden/>
          </w:rPr>
        </w:r>
        <w:r w:rsidR="00D243CD">
          <w:rPr>
            <w:noProof/>
            <w:webHidden/>
          </w:rPr>
          <w:fldChar w:fldCharType="separate"/>
        </w:r>
        <w:r w:rsidR="00B62B50">
          <w:rPr>
            <w:noProof/>
            <w:webHidden/>
          </w:rPr>
          <w:t>46</w:t>
        </w:r>
        <w:r w:rsidR="00D243CD">
          <w:rPr>
            <w:noProof/>
            <w:webHidden/>
          </w:rPr>
          <w:fldChar w:fldCharType="end"/>
        </w:r>
      </w:hyperlink>
    </w:p>
    <w:p w14:paraId="0C3F7AAD" w14:textId="77777777" w:rsidR="00D243CD" w:rsidRDefault="00A2755C">
      <w:pPr>
        <w:pStyle w:val="TableofFigures"/>
        <w:tabs>
          <w:tab w:val="right" w:leader="dot" w:pos="9563"/>
        </w:tabs>
        <w:rPr>
          <w:rFonts w:eastAsiaTheme="minorEastAsia" w:cstheme="minorBidi"/>
          <w:noProof/>
          <w:lang w:val="en-US" w:eastAsia="en-US"/>
        </w:rPr>
      </w:pPr>
      <w:hyperlink w:anchor="_Toc434208074" w:history="1">
        <w:r w:rsidR="00D243CD" w:rsidRPr="00AE5AB4">
          <w:rPr>
            <w:rStyle w:val="Hyperlink"/>
            <w:noProof/>
          </w:rPr>
          <w:t>Table 4</w:t>
        </w:r>
        <w:r w:rsidR="00D243CD" w:rsidRPr="00AE5AB4">
          <w:rPr>
            <w:rStyle w:val="Hyperlink"/>
            <w:noProof/>
          </w:rPr>
          <w:noBreakHyphen/>
          <w:t>7:  Spearman’s rank correlation coefficients for the parameters from Tully and Herbert rivers sampled more than 20 times in the Wet Tropics in the 2012-2013 wet season. All highlighted values are significant at p &lt; 0.01 and represent a correlation &gt;0.6 or &lt;-.06. Parameters listed in the table are surface salinity (Sal.), 5-day average discharge (Disch.), distance between the river mouth and the sampling site Dist.), TSS, chl-a TN, TDN, DIN, TP, TDP, DIP, PN, PP and Si.</w:t>
        </w:r>
        <w:r w:rsidR="00D243CD">
          <w:rPr>
            <w:noProof/>
            <w:webHidden/>
          </w:rPr>
          <w:tab/>
        </w:r>
        <w:r w:rsidR="00D243CD">
          <w:rPr>
            <w:noProof/>
            <w:webHidden/>
          </w:rPr>
          <w:fldChar w:fldCharType="begin"/>
        </w:r>
        <w:r w:rsidR="00D243CD">
          <w:rPr>
            <w:noProof/>
            <w:webHidden/>
          </w:rPr>
          <w:instrText xml:space="preserve"> PAGEREF _Toc434208074 \h </w:instrText>
        </w:r>
        <w:r w:rsidR="00D243CD">
          <w:rPr>
            <w:noProof/>
            <w:webHidden/>
          </w:rPr>
        </w:r>
        <w:r w:rsidR="00D243CD">
          <w:rPr>
            <w:noProof/>
            <w:webHidden/>
          </w:rPr>
          <w:fldChar w:fldCharType="separate"/>
        </w:r>
        <w:r w:rsidR="00B62B50">
          <w:rPr>
            <w:noProof/>
            <w:webHidden/>
          </w:rPr>
          <w:t>46</w:t>
        </w:r>
        <w:r w:rsidR="00D243CD">
          <w:rPr>
            <w:noProof/>
            <w:webHidden/>
          </w:rPr>
          <w:fldChar w:fldCharType="end"/>
        </w:r>
      </w:hyperlink>
    </w:p>
    <w:p w14:paraId="0C3F7AAE" w14:textId="77777777" w:rsidR="00D243CD" w:rsidRDefault="00A2755C">
      <w:pPr>
        <w:pStyle w:val="TableofFigures"/>
        <w:tabs>
          <w:tab w:val="right" w:leader="dot" w:pos="9563"/>
        </w:tabs>
        <w:rPr>
          <w:rFonts w:eastAsiaTheme="minorEastAsia" w:cstheme="minorBidi"/>
          <w:noProof/>
          <w:lang w:val="en-US" w:eastAsia="en-US"/>
        </w:rPr>
      </w:pPr>
      <w:hyperlink w:anchor="_Toc434208075" w:history="1">
        <w:r w:rsidR="00D243CD" w:rsidRPr="00AE5AB4">
          <w:rPr>
            <w:rStyle w:val="Hyperlink"/>
            <w:noProof/>
          </w:rPr>
          <w:t>Table 4</w:t>
        </w:r>
        <w:r w:rsidR="00D243CD" w:rsidRPr="00AE5AB4">
          <w:rPr>
            <w:rStyle w:val="Hyperlink"/>
            <w:noProof/>
          </w:rPr>
          <w:noBreakHyphen/>
          <w:t>8: Spearman’s rank correlation coefficients for the parameters from the Burdekin region. All highlighted values are significant at p &lt; 0.01 and represent a correlation &gt;0.6 or &lt;-.06. Parameter on the table are surface salinity (Sal.), 5-day average discharge (Disch.), distance between the river mouth and the sampling site (Dist.), TSS, chl-a, TN, TDN), DIN, TP, TDP, DIP, PN, PP and Si.</w:t>
        </w:r>
        <w:r w:rsidR="00D243CD">
          <w:rPr>
            <w:noProof/>
            <w:webHidden/>
          </w:rPr>
          <w:tab/>
        </w:r>
        <w:r w:rsidR="00D243CD">
          <w:rPr>
            <w:noProof/>
            <w:webHidden/>
          </w:rPr>
          <w:fldChar w:fldCharType="begin"/>
        </w:r>
        <w:r w:rsidR="00D243CD">
          <w:rPr>
            <w:noProof/>
            <w:webHidden/>
          </w:rPr>
          <w:instrText xml:space="preserve"> PAGEREF _Toc434208075 \h </w:instrText>
        </w:r>
        <w:r w:rsidR="00D243CD">
          <w:rPr>
            <w:noProof/>
            <w:webHidden/>
          </w:rPr>
        </w:r>
        <w:r w:rsidR="00D243CD">
          <w:rPr>
            <w:noProof/>
            <w:webHidden/>
          </w:rPr>
          <w:fldChar w:fldCharType="separate"/>
        </w:r>
        <w:r w:rsidR="00B62B50">
          <w:rPr>
            <w:noProof/>
            <w:webHidden/>
          </w:rPr>
          <w:t>47</w:t>
        </w:r>
        <w:r w:rsidR="00D243CD">
          <w:rPr>
            <w:noProof/>
            <w:webHidden/>
          </w:rPr>
          <w:fldChar w:fldCharType="end"/>
        </w:r>
      </w:hyperlink>
    </w:p>
    <w:p w14:paraId="0C3F7AAF" w14:textId="77777777" w:rsidR="00D243CD" w:rsidRDefault="00A2755C">
      <w:pPr>
        <w:pStyle w:val="TableofFigures"/>
        <w:tabs>
          <w:tab w:val="right" w:leader="dot" w:pos="9563"/>
        </w:tabs>
        <w:rPr>
          <w:rFonts w:eastAsiaTheme="minorEastAsia" w:cstheme="minorBidi"/>
          <w:noProof/>
          <w:lang w:val="en-US" w:eastAsia="en-US"/>
        </w:rPr>
      </w:pPr>
      <w:hyperlink w:anchor="_Toc434208076" w:history="1">
        <w:r w:rsidR="00D243CD" w:rsidRPr="00AE5AB4">
          <w:rPr>
            <w:rStyle w:val="Hyperlink"/>
            <w:noProof/>
          </w:rPr>
          <w:t>Table 4</w:t>
        </w:r>
        <w:r w:rsidR="00D243CD" w:rsidRPr="00AE5AB4">
          <w:rPr>
            <w:rStyle w:val="Hyperlink"/>
            <w:noProof/>
          </w:rPr>
          <w:noBreakHyphen/>
          <w:t>9: Mean, maximum and minimum WQ parameters concentrations measured at 4 of the most often sampled transects (i.e., Franklins, Tully to Sisters, Burdekin to Palm Island, and Fitzroy to Keppels) over the last 8 wet seasons (2006 – 2013). WQ parameters include TSS, chl-a TN, TP, DIN, DIP, PN, PP.</w:t>
        </w:r>
        <w:r w:rsidR="00D243CD">
          <w:rPr>
            <w:noProof/>
            <w:webHidden/>
          </w:rPr>
          <w:tab/>
        </w:r>
        <w:r w:rsidR="00D243CD">
          <w:rPr>
            <w:noProof/>
            <w:webHidden/>
          </w:rPr>
          <w:fldChar w:fldCharType="begin"/>
        </w:r>
        <w:r w:rsidR="00D243CD">
          <w:rPr>
            <w:noProof/>
            <w:webHidden/>
          </w:rPr>
          <w:instrText xml:space="preserve"> PAGEREF _Toc434208076 \h </w:instrText>
        </w:r>
        <w:r w:rsidR="00D243CD">
          <w:rPr>
            <w:noProof/>
            <w:webHidden/>
          </w:rPr>
        </w:r>
        <w:r w:rsidR="00D243CD">
          <w:rPr>
            <w:noProof/>
            <w:webHidden/>
          </w:rPr>
          <w:fldChar w:fldCharType="separate"/>
        </w:r>
        <w:r w:rsidR="00B62B50">
          <w:rPr>
            <w:noProof/>
            <w:webHidden/>
          </w:rPr>
          <w:t>48</w:t>
        </w:r>
        <w:r w:rsidR="00D243CD">
          <w:rPr>
            <w:noProof/>
            <w:webHidden/>
          </w:rPr>
          <w:fldChar w:fldCharType="end"/>
        </w:r>
      </w:hyperlink>
    </w:p>
    <w:p w14:paraId="0C3F7AB0" w14:textId="77777777" w:rsidR="00D243CD" w:rsidRDefault="00A2755C">
      <w:pPr>
        <w:pStyle w:val="TableofFigures"/>
        <w:tabs>
          <w:tab w:val="right" w:leader="dot" w:pos="9563"/>
        </w:tabs>
        <w:rPr>
          <w:rFonts w:eastAsiaTheme="minorEastAsia" w:cstheme="minorBidi"/>
          <w:noProof/>
          <w:lang w:val="en-US" w:eastAsia="en-US"/>
        </w:rPr>
      </w:pPr>
      <w:hyperlink w:anchor="_Toc434208077" w:history="1">
        <w:r w:rsidR="00D243CD" w:rsidRPr="00AE5AB4">
          <w:rPr>
            <w:rStyle w:val="Hyperlink"/>
            <w:noProof/>
          </w:rPr>
          <w:t>Table 4</w:t>
        </w:r>
        <w:r w:rsidR="00D243CD" w:rsidRPr="00AE5AB4">
          <w:rPr>
            <w:rStyle w:val="Hyperlink"/>
            <w:noProof/>
          </w:rPr>
          <w:noBreakHyphen/>
          <w:t>10: Spearman’s rank correlation coefficients form the four most frequent sampled transects over the GRB wide in the last 8 wet seasons. Values stand for correlation coefficient between the total wet season river discharge and the WQ parameters: include TSS, chl-a TN, TP, DIN, DIP, PN, PP. Highlighted values are significant at p &lt; 0.01.</w:t>
        </w:r>
        <w:r w:rsidR="00D243CD">
          <w:rPr>
            <w:noProof/>
            <w:webHidden/>
          </w:rPr>
          <w:tab/>
        </w:r>
        <w:r w:rsidR="00D243CD">
          <w:rPr>
            <w:noProof/>
            <w:webHidden/>
          </w:rPr>
          <w:fldChar w:fldCharType="begin"/>
        </w:r>
        <w:r w:rsidR="00D243CD">
          <w:rPr>
            <w:noProof/>
            <w:webHidden/>
          </w:rPr>
          <w:instrText xml:space="preserve"> PAGEREF _Toc434208077 \h </w:instrText>
        </w:r>
        <w:r w:rsidR="00D243CD">
          <w:rPr>
            <w:noProof/>
            <w:webHidden/>
          </w:rPr>
        </w:r>
        <w:r w:rsidR="00D243CD">
          <w:rPr>
            <w:noProof/>
            <w:webHidden/>
          </w:rPr>
          <w:fldChar w:fldCharType="separate"/>
        </w:r>
        <w:r w:rsidR="00B62B50">
          <w:rPr>
            <w:noProof/>
            <w:webHidden/>
          </w:rPr>
          <w:t>49</w:t>
        </w:r>
        <w:r w:rsidR="00D243CD">
          <w:rPr>
            <w:noProof/>
            <w:webHidden/>
          </w:rPr>
          <w:fldChar w:fldCharType="end"/>
        </w:r>
      </w:hyperlink>
    </w:p>
    <w:p w14:paraId="0C3F7AB1" w14:textId="77777777" w:rsidR="00D243CD" w:rsidRDefault="00A2755C">
      <w:pPr>
        <w:pStyle w:val="TableofFigures"/>
        <w:tabs>
          <w:tab w:val="right" w:leader="dot" w:pos="9563"/>
        </w:tabs>
        <w:rPr>
          <w:rFonts w:eastAsiaTheme="minorEastAsia" w:cstheme="minorBidi"/>
          <w:noProof/>
          <w:lang w:val="en-US" w:eastAsia="en-US"/>
        </w:rPr>
      </w:pPr>
      <w:hyperlink w:anchor="_Toc434208078" w:history="1">
        <w:r w:rsidR="00D243CD" w:rsidRPr="00AE5AB4">
          <w:rPr>
            <w:rStyle w:val="Hyperlink"/>
            <w:noProof/>
          </w:rPr>
          <w:t>Table 4</w:t>
        </w:r>
        <w:r w:rsidR="00D243CD" w:rsidRPr="00AE5AB4">
          <w:rPr>
            <w:rStyle w:val="Hyperlink"/>
            <w:noProof/>
          </w:rPr>
          <w:noBreakHyphen/>
          <w:t xml:space="preserve">11: </w:t>
        </w:r>
        <w:r w:rsidR="00D243CD" w:rsidRPr="00AE5AB4">
          <w:rPr>
            <w:rStyle w:val="Hyperlink"/>
            <w:rFonts w:cs="Courier New"/>
            <w:noProof/>
          </w:rPr>
          <w:t>Statistical summary of the multiple regression analysis. Number of data points, the general model r-squared and its p-value for each WQ component are shown in the left site of the table. The p-value and the percentage of contribution to the total r-squared for each predictor from the relative importance (number in brackets) are in the right side of the table. WQ components are sorted by general model r-squared, and numbers in bold stand for predictors not included in the GAMM analysis.</w:t>
        </w:r>
        <w:r w:rsidR="00D243CD">
          <w:rPr>
            <w:noProof/>
            <w:webHidden/>
          </w:rPr>
          <w:tab/>
        </w:r>
        <w:r w:rsidR="00D243CD">
          <w:rPr>
            <w:noProof/>
            <w:webHidden/>
          </w:rPr>
          <w:fldChar w:fldCharType="begin"/>
        </w:r>
        <w:r w:rsidR="00D243CD">
          <w:rPr>
            <w:noProof/>
            <w:webHidden/>
          </w:rPr>
          <w:instrText xml:space="preserve"> PAGEREF _Toc434208078 \h </w:instrText>
        </w:r>
        <w:r w:rsidR="00D243CD">
          <w:rPr>
            <w:noProof/>
            <w:webHidden/>
          </w:rPr>
        </w:r>
        <w:r w:rsidR="00D243CD">
          <w:rPr>
            <w:noProof/>
            <w:webHidden/>
          </w:rPr>
          <w:fldChar w:fldCharType="separate"/>
        </w:r>
        <w:r w:rsidR="00B62B50">
          <w:rPr>
            <w:noProof/>
            <w:webHidden/>
          </w:rPr>
          <w:t>51</w:t>
        </w:r>
        <w:r w:rsidR="00D243CD">
          <w:rPr>
            <w:noProof/>
            <w:webHidden/>
          </w:rPr>
          <w:fldChar w:fldCharType="end"/>
        </w:r>
      </w:hyperlink>
    </w:p>
    <w:p w14:paraId="0C3F7AB2" w14:textId="77777777" w:rsidR="00D243CD" w:rsidRDefault="00A2755C">
      <w:pPr>
        <w:pStyle w:val="TableofFigures"/>
        <w:tabs>
          <w:tab w:val="right" w:leader="dot" w:pos="9563"/>
        </w:tabs>
        <w:rPr>
          <w:rFonts w:eastAsiaTheme="minorEastAsia" w:cstheme="minorBidi"/>
          <w:noProof/>
          <w:lang w:val="en-US" w:eastAsia="en-US"/>
        </w:rPr>
      </w:pPr>
      <w:hyperlink w:anchor="_Toc434208079" w:history="1">
        <w:r w:rsidR="00D243CD" w:rsidRPr="00AE5AB4">
          <w:rPr>
            <w:rStyle w:val="Hyperlink"/>
            <w:noProof/>
          </w:rPr>
          <w:t>Table 5</w:t>
        </w:r>
        <w:r w:rsidR="00D243CD" w:rsidRPr="00AE5AB4">
          <w:rPr>
            <w:rStyle w:val="Hyperlink"/>
            <w:noProof/>
          </w:rPr>
          <w:noBreakHyphen/>
          <w:t xml:space="preserve">1: </w:t>
        </w:r>
        <w:r w:rsidR="00D243CD" w:rsidRPr="00AE5AB4">
          <w:rPr>
            <w:rStyle w:val="Hyperlink"/>
            <w:rFonts w:eastAsia="Calibri"/>
            <w:noProof/>
          </w:rPr>
          <w:t>Risk categories (I, II, III, and IV) in function of the magnitude and the likelihood of the river plume risk (modified from Petus et al., 2014b).</w:t>
        </w:r>
        <w:r w:rsidR="00D243CD">
          <w:rPr>
            <w:noProof/>
            <w:webHidden/>
          </w:rPr>
          <w:tab/>
        </w:r>
        <w:r w:rsidR="00D243CD">
          <w:rPr>
            <w:noProof/>
            <w:webHidden/>
          </w:rPr>
          <w:fldChar w:fldCharType="begin"/>
        </w:r>
        <w:r w:rsidR="00D243CD">
          <w:rPr>
            <w:noProof/>
            <w:webHidden/>
          </w:rPr>
          <w:instrText xml:space="preserve"> PAGEREF _Toc434208079 \h </w:instrText>
        </w:r>
        <w:r w:rsidR="00D243CD">
          <w:rPr>
            <w:noProof/>
            <w:webHidden/>
          </w:rPr>
        </w:r>
        <w:r w:rsidR="00D243CD">
          <w:rPr>
            <w:noProof/>
            <w:webHidden/>
          </w:rPr>
          <w:fldChar w:fldCharType="separate"/>
        </w:r>
        <w:r w:rsidR="00B62B50">
          <w:rPr>
            <w:noProof/>
            <w:webHidden/>
          </w:rPr>
          <w:t>59</w:t>
        </w:r>
        <w:r w:rsidR="00D243CD">
          <w:rPr>
            <w:noProof/>
            <w:webHidden/>
          </w:rPr>
          <w:fldChar w:fldCharType="end"/>
        </w:r>
      </w:hyperlink>
    </w:p>
    <w:p w14:paraId="0C3F7AB3" w14:textId="77777777" w:rsidR="00D243CD" w:rsidRDefault="00A2755C">
      <w:pPr>
        <w:pStyle w:val="TableofFigures"/>
        <w:tabs>
          <w:tab w:val="right" w:leader="dot" w:pos="9563"/>
        </w:tabs>
        <w:rPr>
          <w:rFonts w:eastAsiaTheme="minorEastAsia" w:cstheme="minorBidi"/>
          <w:noProof/>
          <w:lang w:val="en-US" w:eastAsia="en-US"/>
        </w:rPr>
      </w:pPr>
      <w:hyperlink w:anchor="_Toc434208080" w:history="1">
        <w:r w:rsidR="00D243CD" w:rsidRPr="00AE5AB4">
          <w:rPr>
            <w:rStyle w:val="Hyperlink"/>
            <w:noProof/>
          </w:rPr>
          <w:t>Table 5</w:t>
        </w:r>
        <w:r w:rsidR="00D243CD" w:rsidRPr="00AE5AB4">
          <w:rPr>
            <w:rStyle w:val="Hyperlink"/>
            <w:noProof/>
          </w:rPr>
          <w:noBreakHyphen/>
          <w:t xml:space="preserve">2: </w:t>
        </w:r>
        <w:r w:rsidR="00D243CD" w:rsidRPr="00AE5AB4">
          <w:rPr>
            <w:rStyle w:val="Hyperlink"/>
            <w:rFonts w:eastAsia="Calibri"/>
            <w:noProof/>
          </w:rPr>
          <w:t>inter-annual (2007-2012) areas (km</w:t>
        </w:r>
        <w:r w:rsidR="00D243CD" w:rsidRPr="00AE5AB4">
          <w:rPr>
            <w:rStyle w:val="Hyperlink"/>
            <w:rFonts w:eastAsia="Calibri"/>
            <w:noProof/>
            <w:vertAlign w:val="superscript"/>
          </w:rPr>
          <w:t>2</w:t>
        </w:r>
        <w:r w:rsidR="00D243CD" w:rsidRPr="00AE5AB4">
          <w:rPr>
            <w:rStyle w:val="Hyperlink"/>
            <w:rFonts w:eastAsia="Calibri"/>
            <w:noProof/>
          </w:rPr>
          <w:t>, left table) and percentage (%, right table) of the GBR under potential risk from river plume exposure.</w:t>
        </w:r>
        <w:r w:rsidR="00D243CD">
          <w:rPr>
            <w:noProof/>
            <w:webHidden/>
          </w:rPr>
          <w:tab/>
        </w:r>
        <w:r w:rsidR="00D243CD">
          <w:rPr>
            <w:noProof/>
            <w:webHidden/>
          </w:rPr>
          <w:fldChar w:fldCharType="begin"/>
        </w:r>
        <w:r w:rsidR="00D243CD">
          <w:rPr>
            <w:noProof/>
            <w:webHidden/>
          </w:rPr>
          <w:instrText xml:space="preserve"> PAGEREF _Toc434208080 \h </w:instrText>
        </w:r>
        <w:r w:rsidR="00D243CD">
          <w:rPr>
            <w:noProof/>
            <w:webHidden/>
          </w:rPr>
        </w:r>
        <w:r w:rsidR="00D243CD">
          <w:rPr>
            <w:noProof/>
            <w:webHidden/>
          </w:rPr>
          <w:fldChar w:fldCharType="separate"/>
        </w:r>
        <w:r w:rsidR="00B62B50">
          <w:rPr>
            <w:noProof/>
            <w:webHidden/>
          </w:rPr>
          <w:t>84</w:t>
        </w:r>
        <w:r w:rsidR="00D243CD">
          <w:rPr>
            <w:noProof/>
            <w:webHidden/>
          </w:rPr>
          <w:fldChar w:fldCharType="end"/>
        </w:r>
      </w:hyperlink>
    </w:p>
    <w:p w14:paraId="0C3F7AB4" w14:textId="77777777" w:rsidR="008F76C2" w:rsidRDefault="007315EF" w:rsidP="007315EF">
      <w:pPr>
        <w:sectPr w:rsidR="008F76C2" w:rsidSect="00571B6D">
          <w:headerReference w:type="first" r:id="rId24"/>
          <w:footerReference w:type="first" r:id="rId25"/>
          <w:pgSz w:w="11907" w:h="16840" w:code="9"/>
          <w:pgMar w:top="1418" w:right="1134" w:bottom="1134" w:left="1200" w:header="680" w:footer="851" w:gutter="0"/>
          <w:pgNumType w:fmt="lowerRoman" w:start="1"/>
          <w:cols w:space="708"/>
          <w:docGrid w:linePitch="326"/>
        </w:sectPr>
      </w:pPr>
      <w:r>
        <w:rPr>
          <w:b/>
          <w:sz w:val="28"/>
          <w:szCs w:val="28"/>
        </w:rPr>
        <w:fldChar w:fldCharType="end"/>
      </w:r>
    </w:p>
    <w:p w14:paraId="0C3F7AB5" w14:textId="77777777" w:rsidR="001758C6" w:rsidRPr="001758C6" w:rsidRDefault="001758C6" w:rsidP="001758C6">
      <w:pPr>
        <w:rPr>
          <w:b/>
          <w:sz w:val="32"/>
          <w:szCs w:val="32"/>
        </w:rPr>
      </w:pPr>
      <w:r w:rsidRPr="001758C6">
        <w:rPr>
          <w:b/>
          <w:sz w:val="32"/>
          <w:szCs w:val="32"/>
        </w:rPr>
        <w:lastRenderedPageBreak/>
        <w:t>Acronyms and Abbreviations</w:t>
      </w:r>
    </w:p>
    <w:p w14:paraId="0C3F7AB6" w14:textId="77777777" w:rsidR="001758C6" w:rsidRPr="00F339E7" w:rsidRDefault="001758C6" w:rsidP="001758C6">
      <w:r w:rsidRPr="00F339E7">
        <w:t xml:space="preserve">AIMS </w:t>
      </w:r>
      <w:r w:rsidRPr="00F339E7">
        <w:tab/>
        <w:t xml:space="preserve"> Australian Institute of Marine Science</w:t>
      </w:r>
    </w:p>
    <w:p w14:paraId="0C3F7AB7" w14:textId="77777777" w:rsidR="001758C6" w:rsidRPr="00F339E7" w:rsidRDefault="001758C6" w:rsidP="001758C6">
      <w:r w:rsidRPr="00F339E7">
        <w:t xml:space="preserve">CDOM </w:t>
      </w:r>
      <w:r w:rsidRPr="00F339E7">
        <w:tab/>
        <w:t xml:space="preserve"> Coloured Dissolved Organic Matter</w:t>
      </w:r>
    </w:p>
    <w:p w14:paraId="0C3F7AB8" w14:textId="77777777" w:rsidR="001758C6" w:rsidRPr="00F339E7" w:rsidRDefault="001758C6" w:rsidP="001758C6">
      <w:r w:rsidRPr="00F339E7">
        <w:t xml:space="preserve">Chl a </w:t>
      </w:r>
      <w:r w:rsidRPr="00F339E7">
        <w:tab/>
        <w:t xml:space="preserve">  a</w:t>
      </w:r>
    </w:p>
    <w:p w14:paraId="0C3F7AB9" w14:textId="77777777" w:rsidR="001758C6" w:rsidRPr="00F339E7" w:rsidRDefault="001758C6" w:rsidP="001758C6">
      <w:r w:rsidRPr="00F339E7">
        <w:t xml:space="preserve">CSIRO </w:t>
      </w:r>
      <w:r w:rsidRPr="00F339E7">
        <w:tab/>
        <w:t xml:space="preserve"> Commonwealth Scientific and Industrial Research Organisation</w:t>
      </w:r>
    </w:p>
    <w:p w14:paraId="0C3F7ABA" w14:textId="77777777" w:rsidR="001758C6" w:rsidRPr="00F339E7" w:rsidRDefault="001758C6" w:rsidP="001758C6">
      <w:r w:rsidRPr="00F339E7">
        <w:t xml:space="preserve">DNRM </w:t>
      </w:r>
      <w:r w:rsidRPr="00F339E7">
        <w:tab/>
        <w:t xml:space="preserve"> Queensland Department of Natural Resources and Mines</w:t>
      </w:r>
    </w:p>
    <w:p w14:paraId="0C3F7ABB" w14:textId="77777777" w:rsidR="001758C6" w:rsidRPr="00F339E7" w:rsidRDefault="001758C6" w:rsidP="001758C6">
      <w:r w:rsidRPr="00F339E7">
        <w:t xml:space="preserve">DIN </w:t>
      </w:r>
      <w:r w:rsidRPr="00F339E7">
        <w:tab/>
        <w:t xml:space="preserve"> Dissolved inorganic nitrogen</w:t>
      </w:r>
    </w:p>
    <w:p w14:paraId="0C3F7ABC" w14:textId="77777777" w:rsidR="001758C6" w:rsidRPr="00F339E7" w:rsidRDefault="001758C6" w:rsidP="001758C6">
      <w:r w:rsidRPr="00F339E7">
        <w:t xml:space="preserve">DIP </w:t>
      </w:r>
      <w:r w:rsidRPr="00F339E7">
        <w:tab/>
        <w:t xml:space="preserve"> Dissolved inorganic phosphorus</w:t>
      </w:r>
    </w:p>
    <w:p w14:paraId="0C3F7ABD" w14:textId="77777777" w:rsidR="001758C6" w:rsidRPr="00F339E7" w:rsidRDefault="001758C6" w:rsidP="001758C6">
      <w:r w:rsidRPr="00F339E7">
        <w:t xml:space="preserve">EnTox </w:t>
      </w:r>
      <w:r w:rsidRPr="00F339E7">
        <w:tab/>
        <w:t xml:space="preserve"> National Research Centre for Environmental Toxicology, University of Queensland</w:t>
      </w:r>
    </w:p>
    <w:p w14:paraId="0C3F7ABE" w14:textId="77777777" w:rsidR="001758C6" w:rsidRPr="00F339E7" w:rsidRDefault="001758C6" w:rsidP="001758C6">
      <w:r w:rsidRPr="00F339E7">
        <w:t xml:space="preserve">GBR </w:t>
      </w:r>
      <w:r w:rsidRPr="00F339E7">
        <w:tab/>
        <w:t xml:space="preserve"> Great Barrier Reef</w:t>
      </w:r>
    </w:p>
    <w:p w14:paraId="0C3F7ABF" w14:textId="77777777" w:rsidR="001758C6" w:rsidRPr="00F339E7" w:rsidRDefault="001758C6" w:rsidP="001758C6">
      <w:r w:rsidRPr="00F339E7">
        <w:t xml:space="preserve">GBRMPA </w:t>
      </w:r>
      <w:r w:rsidRPr="00F339E7">
        <w:tab/>
        <w:t xml:space="preserve"> Great Barrier Reef Marine Park Authority</w:t>
      </w:r>
    </w:p>
    <w:p w14:paraId="0C3F7AC0" w14:textId="77777777" w:rsidR="001758C6" w:rsidRPr="00F339E7" w:rsidRDefault="001758C6" w:rsidP="001758C6">
      <w:r w:rsidRPr="00F339E7">
        <w:t xml:space="preserve">JCU </w:t>
      </w:r>
      <w:r w:rsidRPr="00F339E7">
        <w:tab/>
        <w:t xml:space="preserve"> James Cook University</w:t>
      </w:r>
    </w:p>
    <w:p w14:paraId="0C3F7AC1" w14:textId="77777777" w:rsidR="00F339E7" w:rsidRPr="00F339E7" w:rsidRDefault="00F339E7" w:rsidP="00F339E7">
      <w:r w:rsidRPr="00F339E7">
        <w:t>Kd(PAR)</w:t>
      </w:r>
      <w:r w:rsidRPr="00F339E7">
        <w:tab/>
        <w:t>Diffuse vertical light attenuation coefficient in the Photosynthetically Active Radiation</w:t>
      </w:r>
    </w:p>
    <w:p w14:paraId="0C3F7AC2" w14:textId="77777777" w:rsidR="001758C6" w:rsidRPr="00F339E7" w:rsidRDefault="001758C6" w:rsidP="001758C6">
      <w:r w:rsidRPr="00F339E7">
        <w:t xml:space="preserve">ML </w:t>
      </w:r>
      <w:r w:rsidRPr="00F339E7">
        <w:tab/>
        <w:t xml:space="preserve"> Mega-litres</w:t>
      </w:r>
    </w:p>
    <w:p w14:paraId="0C3F7AC3" w14:textId="77777777" w:rsidR="001758C6" w:rsidRPr="00F339E7" w:rsidRDefault="001758C6" w:rsidP="001758C6">
      <w:r w:rsidRPr="00F339E7">
        <w:t xml:space="preserve">NASA </w:t>
      </w:r>
      <w:r w:rsidRPr="00F339E7">
        <w:tab/>
        <w:t xml:space="preserve"> National Aeronautics and Space Administration</w:t>
      </w:r>
    </w:p>
    <w:p w14:paraId="0C3F7AC4" w14:textId="77777777" w:rsidR="001758C6" w:rsidRPr="00F339E7" w:rsidRDefault="001758C6" w:rsidP="001758C6">
      <w:r w:rsidRPr="00F339E7">
        <w:t xml:space="preserve">NRM </w:t>
      </w:r>
      <w:r w:rsidRPr="00F339E7">
        <w:tab/>
        <w:t xml:space="preserve"> Natural Resource Management</w:t>
      </w:r>
    </w:p>
    <w:p w14:paraId="0C3F7AC5" w14:textId="77777777" w:rsidR="001758C6" w:rsidRPr="00F339E7" w:rsidRDefault="001758C6" w:rsidP="001758C6">
      <w:r w:rsidRPr="00F339E7">
        <w:t xml:space="preserve">NTU </w:t>
      </w:r>
      <w:r w:rsidRPr="00F339E7">
        <w:tab/>
        <w:t xml:space="preserve"> Nephelometric Turbidity Units</w:t>
      </w:r>
    </w:p>
    <w:p w14:paraId="0C3F7AC6" w14:textId="77777777" w:rsidR="001758C6" w:rsidRPr="00F339E7" w:rsidRDefault="001758C6" w:rsidP="001758C6">
      <w:r w:rsidRPr="00F339E7">
        <w:t xml:space="preserve">PN </w:t>
      </w:r>
      <w:r w:rsidRPr="00F339E7">
        <w:tab/>
        <w:t xml:space="preserve"> Particulate Nitrogen</w:t>
      </w:r>
    </w:p>
    <w:p w14:paraId="0C3F7AC7" w14:textId="77777777" w:rsidR="001758C6" w:rsidRPr="00F339E7" w:rsidRDefault="001758C6" w:rsidP="001758C6">
      <w:r w:rsidRPr="00F339E7">
        <w:t xml:space="preserve">PP </w:t>
      </w:r>
      <w:r w:rsidRPr="00F339E7">
        <w:tab/>
        <w:t xml:space="preserve"> Particulate Phosphorous</w:t>
      </w:r>
    </w:p>
    <w:p w14:paraId="0C3F7AC8" w14:textId="77777777" w:rsidR="001758C6" w:rsidRPr="00F339E7" w:rsidRDefault="001758C6" w:rsidP="001758C6">
      <w:r w:rsidRPr="00F339E7">
        <w:t xml:space="preserve">PSII herbicide </w:t>
      </w:r>
      <w:r w:rsidRPr="00F339E7">
        <w:tab/>
        <w:t xml:space="preserve"> Photosystem II inhibiting herbicide</w:t>
      </w:r>
    </w:p>
    <w:p w14:paraId="0C3F7AC9" w14:textId="77777777" w:rsidR="001758C6" w:rsidRPr="00F339E7" w:rsidRDefault="001758C6" w:rsidP="001758C6">
      <w:r w:rsidRPr="00F339E7">
        <w:t xml:space="preserve">PSII-HEq </w:t>
      </w:r>
      <w:r w:rsidRPr="00F339E7">
        <w:tab/>
        <w:t xml:space="preserve"> PSII – Herbicide Equivalent</w:t>
      </w:r>
    </w:p>
    <w:p w14:paraId="0C3F7ACA" w14:textId="77777777" w:rsidR="001758C6" w:rsidRPr="00F339E7" w:rsidRDefault="001758C6" w:rsidP="001758C6">
      <w:r w:rsidRPr="00F339E7">
        <w:t xml:space="preserve">QLD </w:t>
      </w:r>
      <w:r w:rsidRPr="00F339E7">
        <w:tab/>
        <w:t xml:space="preserve"> Queensland</w:t>
      </w:r>
    </w:p>
    <w:p w14:paraId="0C3F7ACB" w14:textId="77777777" w:rsidR="001758C6" w:rsidRPr="00F339E7" w:rsidRDefault="001758C6" w:rsidP="001758C6">
      <w:r w:rsidRPr="00F339E7">
        <w:t xml:space="preserve">SE </w:t>
      </w:r>
      <w:r w:rsidRPr="00F339E7">
        <w:tab/>
        <w:t xml:space="preserve"> Standard Error</w:t>
      </w:r>
    </w:p>
    <w:p w14:paraId="0C3F7ACC" w14:textId="77777777" w:rsidR="001758C6" w:rsidRPr="00F339E7" w:rsidRDefault="001758C6" w:rsidP="001758C6">
      <w:r w:rsidRPr="00F339E7">
        <w:t xml:space="preserve">SPM </w:t>
      </w:r>
      <w:r w:rsidRPr="00F339E7">
        <w:tab/>
        <w:t xml:space="preserve"> Suspended particulate matter</w:t>
      </w:r>
    </w:p>
    <w:p w14:paraId="0C3F7ACD" w14:textId="77777777" w:rsidR="001758C6" w:rsidRPr="00F339E7" w:rsidRDefault="001758C6" w:rsidP="001758C6">
      <w:r w:rsidRPr="00F339E7">
        <w:t xml:space="preserve">TSS </w:t>
      </w:r>
      <w:r w:rsidRPr="00F339E7">
        <w:tab/>
        <w:t xml:space="preserve"> Total suspended solids</w:t>
      </w:r>
    </w:p>
    <w:p w14:paraId="0C3F7ACE" w14:textId="77777777" w:rsidR="001758C6" w:rsidRPr="00F339E7" w:rsidRDefault="001758C6" w:rsidP="001758C6">
      <w:r w:rsidRPr="00F339E7">
        <w:t xml:space="preserve">OAC’s </w:t>
      </w:r>
      <w:r w:rsidRPr="00F339E7">
        <w:tab/>
        <w:t xml:space="preserve"> Optically active components</w:t>
      </w:r>
    </w:p>
    <w:p w14:paraId="0C3F7ACF" w14:textId="77777777" w:rsidR="008D3A01" w:rsidRPr="002C6A6F" w:rsidRDefault="008D3A01" w:rsidP="008D3A01">
      <w:pPr>
        <w:pStyle w:val="Heading1"/>
        <w:spacing w:after="240" w:line="80" w:lineRule="atLeast"/>
        <w:ind w:left="431" w:hanging="431"/>
      </w:pPr>
      <w:bookmarkStart w:id="1" w:name="_Toc410584186"/>
      <w:bookmarkStart w:id="2" w:name="_Toc416533837"/>
      <w:bookmarkStart w:id="3" w:name="_Toc434207975"/>
      <w:r>
        <w:lastRenderedPageBreak/>
        <w:t>About this Report</w:t>
      </w:r>
      <w:bookmarkEnd w:id="1"/>
      <w:bookmarkEnd w:id="2"/>
      <w:bookmarkEnd w:id="3"/>
    </w:p>
    <w:p w14:paraId="0C3F7AD0" w14:textId="77777777" w:rsidR="008D3A01" w:rsidRPr="002C6A6F" w:rsidRDefault="008D3A01" w:rsidP="008D3A01">
      <w:r w:rsidRPr="00F339E7">
        <w:t>This report</w:t>
      </w:r>
      <w:r w:rsidR="002453C9" w:rsidRPr="00F339E7">
        <w:t xml:space="preserve"> provides a </w:t>
      </w:r>
      <w:r w:rsidRPr="00F339E7">
        <w:t>synthesis of the key findings of research conducted</w:t>
      </w:r>
      <w:r w:rsidR="002453C9" w:rsidRPr="00F339E7">
        <w:t xml:space="preserve"> on </w:t>
      </w:r>
      <w:r w:rsidR="00F339E7" w:rsidRPr="00F339E7">
        <w:t xml:space="preserve">water quality collected through the 2012/20-13 wet season </w:t>
      </w:r>
      <w:r w:rsidR="002453C9" w:rsidRPr="00F339E7">
        <w:t xml:space="preserve">s in the Great Barrier Reef </w:t>
      </w:r>
      <w:r w:rsidR="00DC1820" w:rsidRPr="00F339E7">
        <w:t xml:space="preserve">(GBR) </w:t>
      </w:r>
      <w:r w:rsidR="002453C9" w:rsidRPr="00F339E7">
        <w:t>and is designed</w:t>
      </w:r>
      <w:r w:rsidR="00A01C78" w:rsidRPr="00F339E7">
        <w:t xml:space="preserve"> to update the previous </w:t>
      </w:r>
      <w:r w:rsidR="00F339E7" w:rsidRPr="00F339E7">
        <w:t>reports submitted under the Marine Monitoring Program.</w:t>
      </w:r>
      <w:r w:rsidR="002453C9" w:rsidRPr="00F339E7">
        <w:t xml:space="preserve"> The report was commissioned and supported by </w:t>
      </w:r>
      <w:r w:rsidR="00F339E7" w:rsidRPr="00F339E7">
        <w:t>Government funding under the Australian Government Reef Program and m</w:t>
      </w:r>
      <w:r w:rsidR="00F339E7">
        <w:t>anaged by</w:t>
      </w:r>
      <w:r w:rsidR="00F339E7" w:rsidRPr="00F339E7">
        <w:t xml:space="preserve"> the Great Barrier Reef Marine Park Authority.</w:t>
      </w:r>
      <w:r w:rsidR="00F339E7">
        <w:t xml:space="preserve"> </w:t>
      </w:r>
    </w:p>
    <w:p w14:paraId="0C3F7AD1" w14:textId="77777777" w:rsidR="008D3A01" w:rsidRPr="00FD22CB" w:rsidRDefault="008D3A01" w:rsidP="008D3A01">
      <w:pPr>
        <w:pStyle w:val="Heading1"/>
        <w:sectPr w:rsidR="008D3A01" w:rsidRPr="00FD22CB" w:rsidSect="00F40529">
          <w:footerReference w:type="even" r:id="rId26"/>
          <w:footerReference w:type="default" r:id="rId27"/>
          <w:pgSz w:w="11907" w:h="16840" w:code="9"/>
          <w:pgMar w:top="1418" w:right="1418" w:bottom="1418" w:left="1418" w:header="720" w:footer="720" w:gutter="0"/>
          <w:pgNumType w:fmt="lowerRoman"/>
          <w:cols w:space="720"/>
          <w:docGrid w:linePitch="360"/>
        </w:sectPr>
      </w:pPr>
    </w:p>
    <w:p w14:paraId="0C3F7AD2" w14:textId="77777777" w:rsidR="008D3A01" w:rsidRDefault="008D3A01" w:rsidP="00A76577">
      <w:pPr>
        <w:pStyle w:val="Heading1"/>
        <w:numPr>
          <w:ilvl w:val="0"/>
          <w:numId w:val="3"/>
        </w:numPr>
        <w:spacing w:after="240" w:line="80" w:lineRule="atLeast"/>
      </w:pPr>
      <w:bookmarkStart w:id="4" w:name="_Toc410584187"/>
      <w:bookmarkStart w:id="5" w:name="_Toc416533838"/>
      <w:bookmarkStart w:id="6" w:name="_Toc434207976"/>
      <w:r>
        <w:lastRenderedPageBreak/>
        <w:t>Executive summary</w:t>
      </w:r>
      <w:bookmarkEnd w:id="4"/>
      <w:bookmarkEnd w:id="5"/>
      <w:bookmarkEnd w:id="6"/>
    </w:p>
    <w:p w14:paraId="0C3F7AD3" w14:textId="77777777" w:rsidR="008D3A01" w:rsidRPr="008D3A01" w:rsidRDefault="008D3A01" w:rsidP="00A76577">
      <w:pPr>
        <w:pStyle w:val="Heading2"/>
        <w:keepNext/>
        <w:numPr>
          <w:ilvl w:val="1"/>
          <w:numId w:val="3"/>
        </w:numPr>
        <w:spacing w:line="80" w:lineRule="atLeast"/>
      </w:pPr>
      <w:bookmarkStart w:id="7" w:name="_Toc416533839"/>
      <w:bookmarkStart w:id="8" w:name="_Toc434207977"/>
      <w:r>
        <w:t>Scope of report</w:t>
      </w:r>
      <w:bookmarkEnd w:id="7"/>
      <w:bookmarkEnd w:id="8"/>
    </w:p>
    <w:p w14:paraId="0C3F7AD4" w14:textId="77777777" w:rsidR="00E838DF" w:rsidRPr="008926B3" w:rsidRDefault="00E838DF" w:rsidP="00E838DF">
      <w:bookmarkStart w:id="9" w:name="_Toc410584188"/>
      <w:r w:rsidRPr="008926B3">
        <w:t xml:space="preserve">The </w:t>
      </w:r>
      <w:r w:rsidR="00F339E7" w:rsidRPr="00F339E7">
        <w:t xml:space="preserve">Australian Government Reef Program </w:t>
      </w:r>
      <w:r w:rsidRPr="008926B3">
        <w:t xml:space="preserve">Marine Monitoring Program (herein referred to as the MMP) undertaken in the Great Barrier Reef (GBR) lagoon assesses the long-term effectiveness of the Australian and Queensland Government’s Reef Water Quality Protection Plan and the Australian Government Reef </w:t>
      </w:r>
      <w:r w:rsidR="007E5BBF">
        <w:t>Programme</w:t>
      </w:r>
      <w:r w:rsidRPr="008926B3">
        <w:t xml:space="preserve"> 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supported through Reef Plan. This report details the sampling that has taken place under the Marine Monitoring Program: Terrestrial dischar</w:t>
      </w:r>
      <w:r w:rsidR="007E5614">
        <w:t xml:space="preserve">ge into the Great Barrier Reef </w:t>
      </w:r>
      <w:r w:rsidRPr="008926B3">
        <w:t>for the 2012/13 sampling year, led by James Cook University (JCU). The sampling in the 2012-2013 wet season was carried out in conjunction with CSIRO and</w:t>
      </w:r>
      <w:r w:rsidR="007E5614">
        <w:t xml:space="preserve"> the</w:t>
      </w:r>
      <w:r w:rsidRPr="008926B3">
        <w:t xml:space="preserve"> eReefs</w:t>
      </w:r>
      <w:r w:rsidR="007E5614">
        <w:t xml:space="preserve"> program </w:t>
      </w:r>
      <w:r w:rsidRPr="008926B3">
        <w:t xml:space="preserve">which allowed us to sample with increased frequency over much larger spatial scales </w:t>
      </w:r>
    </w:p>
    <w:p w14:paraId="0C3F7AD5" w14:textId="77777777" w:rsidR="00E838DF" w:rsidRPr="003B4D09" w:rsidRDefault="00E838DF" w:rsidP="00E838DF">
      <w:r w:rsidRPr="003B4D09">
        <w:t>The main objective of wet season monitoring under the Marine Monitoring Program (MMP) is to describe water quality (WQ) concentrations within wet season conditions</w:t>
      </w:r>
      <w:r>
        <w:t xml:space="preserve">, characterise the spatial and temporal variability associated with flood plumes and </w:t>
      </w:r>
      <w:r w:rsidRPr="003B4D09">
        <w:t>produce maps of river plumes</w:t>
      </w:r>
      <w:r>
        <w:t xml:space="preserve"> and </w:t>
      </w:r>
      <w:r w:rsidRPr="003B4D09">
        <w:t>models that summarize land-sourced contaminants transport</w:t>
      </w:r>
      <w:r>
        <w:t>. Ultimately the integration of all these methods in a</w:t>
      </w:r>
      <w:r w:rsidRPr="003B4D09">
        <w:t xml:space="preserve"> single risk assessment framework </w:t>
      </w:r>
      <w:r>
        <w:t>would provide a baseline to</w:t>
      </w:r>
      <w:r w:rsidRPr="003B4D09">
        <w:t xml:space="preserve"> evaluate the susceptibility of GBR key ecosystems to the river plume/pollutants exposure i.e., to model the risk of GBR ecosystem due to exposure to river plumes</w:t>
      </w:r>
      <w:r>
        <w:t xml:space="preserve"> and acute water quality conditions</w:t>
      </w:r>
      <w:r w:rsidRPr="003B4D09">
        <w:t>.</w:t>
      </w:r>
    </w:p>
    <w:p w14:paraId="0C3F7AD6" w14:textId="77777777" w:rsidR="008D3A01" w:rsidRDefault="007315EF" w:rsidP="00A76577">
      <w:pPr>
        <w:pStyle w:val="Heading2"/>
        <w:keepNext/>
        <w:numPr>
          <w:ilvl w:val="1"/>
          <w:numId w:val="3"/>
        </w:numPr>
        <w:spacing w:line="80" w:lineRule="atLeast"/>
      </w:pPr>
      <w:bookmarkStart w:id="10" w:name="_Toc434207978"/>
      <w:bookmarkEnd w:id="9"/>
      <w:r>
        <w:t>Characteristics of the 2012-2013 Wet Season</w:t>
      </w:r>
      <w:bookmarkEnd w:id="10"/>
    </w:p>
    <w:p w14:paraId="0C3F7AD7" w14:textId="77777777" w:rsidR="00E838DF" w:rsidRPr="00FE18E3" w:rsidRDefault="00E838DF" w:rsidP="00E838DF">
      <w:r w:rsidRPr="00FE18E3">
        <w:t>The wet season 2013 was characterised by neutral (neither El Niño nor La Niña) to borderline El Niño climatic conditions and tropical cyclone activity for the 2012-12 wet season was slightly below the typical cyclone season activity of Queensland. Two main flood periods were recorded in the river hydrographs: around the 25</w:t>
      </w:r>
      <w:r w:rsidRPr="00E838DF">
        <w:rPr>
          <w:vertAlign w:val="superscript"/>
        </w:rPr>
        <w:t>th</w:t>
      </w:r>
      <w:r w:rsidRPr="00FE18E3">
        <w:t xml:space="preserve"> of January and the 11</w:t>
      </w:r>
      <w:r w:rsidRPr="00E838DF">
        <w:rPr>
          <w:vertAlign w:val="superscript"/>
        </w:rPr>
        <w:t>th</w:t>
      </w:r>
      <w:r w:rsidRPr="00FE18E3">
        <w:t xml:space="preserve"> of February under the influence of Tropical Cyclone Oswald and around the 24th of February and 18</w:t>
      </w:r>
      <w:r w:rsidRPr="00E838DF">
        <w:rPr>
          <w:vertAlign w:val="superscript"/>
        </w:rPr>
        <w:t>th</w:t>
      </w:r>
      <w:r w:rsidRPr="00FE18E3">
        <w:t xml:space="preserve"> of March. Maximum river plume aerial extents were recorded between these dates.</w:t>
      </w:r>
    </w:p>
    <w:p w14:paraId="0C3F7AD8" w14:textId="77777777" w:rsidR="008D3A01" w:rsidRDefault="008D3A01" w:rsidP="00A76577">
      <w:pPr>
        <w:pStyle w:val="Heading2"/>
        <w:keepNext/>
        <w:numPr>
          <w:ilvl w:val="1"/>
          <w:numId w:val="3"/>
        </w:numPr>
        <w:spacing w:line="80" w:lineRule="atLeast"/>
      </w:pPr>
      <w:r>
        <w:rPr>
          <w:rFonts w:ascii="Arial" w:hAnsi="Arial" w:cs="Arial"/>
        </w:rPr>
        <w:t xml:space="preserve"> </w:t>
      </w:r>
      <w:bookmarkStart w:id="11" w:name="_Toc434207979"/>
      <w:r w:rsidR="00E838DF" w:rsidRPr="00E838DF">
        <w:rPr>
          <w:i/>
        </w:rPr>
        <w:t>In-Situ</w:t>
      </w:r>
      <w:r w:rsidR="00E838DF">
        <w:t xml:space="preserve"> Water Quality</w:t>
      </w:r>
      <w:bookmarkEnd w:id="11"/>
    </w:p>
    <w:p w14:paraId="0C3F7AD9" w14:textId="77777777" w:rsidR="00E838DF" w:rsidRDefault="00E838DF" w:rsidP="00E838DF">
      <w:r w:rsidRPr="007E554A">
        <w:t>Sampling of flood plumes was successfully conducted during the 201</w:t>
      </w:r>
      <w:r>
        <w:t>2</w:t>
      </w:r>
      <w:r w:rsidRPr="007E554A">
        <w:t>-1</w:t>
      </w:r>
      <w:r>
        <w:t>3</w:t>
      </w:r>
      <w:r w:rsidRPr="007E554A">
        <w:t xml:space="preserve"> wet season </w:t>
      </w:r>
      <w:r>
        <w:t xml:space="preserve">with four </w:t>
      </w:r>
      <w:r w:rsidRPr="007E5614">
        <w:rPr>
          <w:rStyle w:val="Emphasis"/>
          <w:i w:val="0"/>
        </w:rPr>
        <w:t>Natural Resource Management</w:t>
      </w:r>
      <w:r w:rsidRPr="007E5614">
        <w:rPr>
          <w:rStyle w:val="st"/>
          <w:i/>
        </w:rPr>
        <w:t xml:space="preserve"> (</w:t>
      </w:r>
      <w:r w:rsidRPr="007E5614">
        <w:rPr>
          <w:rStyle w:val="Emphasis"/>
          <w:i w:val="0"/>
        </w:rPr>
        <w:t>NRM</w:t>
      </w:r>
      <w:r w:rsidRPr="007E5614">
        <w:rPr>
          <w:rStyle w:val="st"/>
        </w:rPr>
        <w:t xml:space="preserve">) areas sampled </w:t>
      </w:r>
      <w:r w:rsidRPr="007E5614">
        <w:t xml:space="preserve">over the GBR: Cape York, Wet Tropics, Burdekin and Burnett-Mary. A total of 201 sites were visited in the 2012-13 wet season with 63 sampled in the Cape York, 90 in the Wet Tropics, 36 in the Burdekin and 12 sites in the Burnett-Mary region (Table </w:t>
      </w:r>
      <w:r w:rsidR="005F5C7F">
        <w:t>1</w:t>
      </w:r>
      <w:r w:rsidRPr="007E5614">
        <w:t xml:space="preserve">-1). The data from the Wet Tropics and Burdekin are described in this report, with data collected in Cape York analysed and reported in a </w:t>
      </w:r>
      <w:r w:rsidR="00362A9F" w:rsidRPr="007E5614">
        <w:t>standalone</w:t>
      </w:r>
      <w:r w:rsidRPr="007E5614">
        <w:t xml:space="preserve"> report </w:t>
      </w:r>
      <w:r w:rsidR="00F339E7" w:rsidRPr="007E5614">
        <w:t>(Howley et al., 2015</w:t>
      </w:r>
      <w:r w:rsidRPr="007E5614">
        <w:t>) and the Burnett-Mary data collected and reported to the Burnett Mary Regional Group (da Silva et al., 2015).</w:t>
      </w:r>
    </w:p>
    <w:p w14:paraId="0C3F7ADA" w14:textId="77777777" w:rsidR="00E838DF" w:rsidRDefault="00E838DF" w:rsidP="00E838DF">
      <w:r w:rsidRPr="007E554A">
        <w:t xml:space="preserve">Sampling within water associated with </w:t>
      </w:r>
      <w:r>
        <w:t>the formation and transport of river</w:t>
      </w:r>
      <w:r w:rsidRPr="007E554A">
        <w:t xml:space="preserve"> flood plumes included the collection of water samples</w:t>
      </w:r>
      <w:r>
        <w:t xml:space="preserve"> listed in Table </w:t>
      </w:r>
      <w:r w:rsidR="005F5C7F">
        <w:t>1-2</w:t>
      </w:r>
      <w:r>
        <w:t>. Terminology for each parameter is listed in this table and will be used for the remainder of the report. Some parameters listed in Table</w:t>
      </w:r>
      <w:r w:rsidR="009C4D9F">
        <w:t xml:space="preserve"> 1-2</w:t>
      </w:r>
      <w:r>
        <w:t xml:space="preserve"> were not reported on in this </w:t>
      </w:r>
      <w:r w:rsidR="007E5614">
        <w:t>report, including phytoplankton</w:t>
      </w:r>
      <w:r w:rsidR="009C4D9F">
        <w:t>,</w:t>
      </w:r>
      <w:r>
        <w:t xml:space="preserve"> due to limited number of samples</w:t>
      </w:r>
      <w:r w:rsidR="009C4D9F">
        <w:t>,</w:t>
      </w:r>
      <w:r w:rsidR="007E5614">
        <w:t xml:space="preserve"> and </w:t>
      </w:r>
      <w:r>
        <w:t xml:space="preserve">PSII </w:t>
      </w:r>
      <w:r w:rsidRPr="005F5C7F">
        <w:t>herbicides, reported in</w:t>
      </w:r>
      <w:r w:rsidR="007E5614" w:rsidRPr="005F5C7F">
        <w:t xml:space="preserve"> detail in </w:t>
      </w:r>
      <w:r w:rsidR="005F5C7F">
        <w:t>Gallen</w:t>
      </w:r>
      <w:r w:rsidR="005031BD" w:rsidRPr="005F5C7F">
        <w:t xml:space="preserve"> et al.</w:t>
      </w:r>
      <w:r w:rsidR="00D23397">
        <w:t xml:space="preserve"> (</w:t>
      </w:r>
      <w:r w:rsidR="005031BD" w:rsidRPr="005F5C7F">
        <w:t>201</w:t>
      </w:r>
      <w:r w:rsidR="005F5C7F" w:rsidRPr="005F5C7F">
        <w:t>3</w:t>
      </w:r>
      <w:r w:rsidR="00D23397">
        <w:t>).</w:t>
      </w:r>
    </w:p>
    <w:p w14:paraId="0C3F7ADB" w14:textId="77777777" w:rsidR="00110A7F" w:rsidRDefault="00110A7F" w:rsidP="00110A7F">
      <w:pPr>
        <w:pStyle w:val="Caption"/>
      </w:pPr>
      <w:bookmarkStart w:id="12" w:name="_Toc434208060"/>
      <w:r w:rsidRPr="00E838DF">
        <w:lastRenderedPageBreak/>
        <w:t xml:space="preserve">Table </w:t>
      </w:r>
      <w:r w:rsidR="00AE4287">
        <w:fldChar w:fldCharType="begin"/>
      </w:r>
      <w:r w:rsidR="00AE4287">
        <w:instrText xml:space="preserve"> STYLEREF 1 \s </w:instrText>
      </w:r>
      <w:r w:rsidR="00AE4287">
        <w:fldChar w:fldCharType="separate"/>
      </w:r>
      <w:r w:rsidR="00B62B50">
        <w:rPr>
          <w:noProof/>
        </w:rPr>
        <w:t>1</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1</w:t>
      </w:r>
      <w:r w:rsidR="00AE4287">
        <w:fldChar w:fldCharType="end"/>
      </w:r>
      <w:r w:rsidRPr="00E838DF">
        <w:t>: Summary of the sampling effort carried out in the 2012-13 wet season campaign by NRM, presenting the number of field trips per River/transect, sites sampled and the sampling period. Data in italics (</w:t>
      </w:r>
      <w:r w:rsidR="009C4D9F">
        <w:t>Daintree – Mossman, Barron,</w:t>
      </w:r>
      <w:r w:rsidRPr="00E838DF">
        <w:t>Cape York, Burnett Mary</w:t>
      </w:r>
      <w:r w:rsidR="009C4D9F">
        <w:t>)</w:t>
      </w:r>
      <w:r w:rsidRPr="00E838DF">
        <w:t xml:space="preserve"> are not described in this report</w:t>
      </w:r>
      <w:r w:rsidR="009C4D9F">
        <w:t>.</w:t>
      </w:r>
      <w:bookmarkEnd w:id="12"/>
    </w:p>
    <w:tbl>
      <w:tblPr>
        <w:tblW w:w="9306" w:type="dxa"/>
        <w:tblInd w:w="93" w:type="dxa"/>
        <w:tblLook w:val="04A0" w:firstRow="1" w:lastRow="0" w:firstColumn="1" w:lastColumn="0" w:noHBand="0" w:noVBand="1"/>
      </w:tblPr>
      <w:tblGrid>
        <w:gridCol w:w="1240"/>
        <w:gridCol w:w="2678"/>
        <w:gridCol w:w="1120"/>
        <w:gridCol w:w="1189"/>
        <w:gridCol w:w="1618"/>
        <w:gridCol w:w="1461"/>
      </w:tblGrid>
      <w:tr w:rsidR="00E838DF" w:rsidRPr="00E838DF" w14:paraId="0C3F7AE2" w14:textId="77777777" w:rsidTr="00E838DF">
        <w:trPr>
          <w:trHeight w:val="20"/>
        </w:trPr>
        <w:tc>
          <w:tcPr>
            <w:tcW w:w="1240" w:type="dxa"/>
            <w:tcBorders>
              <w:top w:val="single" w:sz="4" w:space="0" w:color="auto"/>
              <w:left w:val="nil"/>
              <w:bottom w:val="single" w:sz="4" w:space="0" w:color="auto"/>
              <w:right w:val="nil"/>
            </w:tcBorders>
            <w:shd w:val="clear" w:color="auto" w:fill="auto"/>
            <w:noWrap/>
            <w:vAlign w:val="center"/>
            <w:hideMark/>
          </w:tcPr>
          <w:p w14:paraId="0C3F7ADC" w14:textId="77777777" w:rsidR="00E838DF" w:rsidRPr="00E838DF" w:rsidRDefault="00E838DF" w:rsidP="00E838DF">
            <w:pPr>
              <w:spacing w:before="0" w:after="0"/>
              <w:rPr>
                <w:rStyle w:val="BookTitle"/>
              </w:rPr>
            </w:pPr>
            <w:r w:rsidRPr="00E838DF">
              <w:rPr>
                <w:rStyle w:val="BookTitle"/>
              </w:rPr>
              <w:t>NRM</w:t>
            </w:r>
          </w:p>
        </w:tc>
        <w:tc>
          <w:tcPr>
            <w:tcW w:w="2678" w:type="dxa"/>
            <w:tcBorders>
              <w:top w:val="single" w:sz="4" w:space="0" w:color="auto"/>
              <w:left w:val="nil"/>
              <w:bottom w:val="single" w:sz="4" w:space="0" w:color="auto"/>
              <w:right w:val="nil"/>
            </w:tcBorders>
            <w:shd w:val="clear" w:color="auto" w:fill="auto"/>
            <w:noWrap/>
            <w:vAlign w:val="center"/>
            <w:hideMark/>
          </w:tcPr>
          <w:p w14:paraId="0C3F7ADD" w14:textId="77777777" w:rsidR="00E838DF" w:rsidRPr="00E838DF" w:rsidRDefault="00E838DF" w:rsidP="00E838DF">
            <w:pPr>
              <w:spacing w:before="0" w:after="0"/>
              <w:rPr>
                <w:rStyle w:val="BookTitle"/>
              </w:rPr>
            </w:pPr>
            <w:r w:rsidRPr="00E838DF">
              <w:rPr>
                <w:rStyle w:val="BookTitle"/>
              </w:rPr>
              <w:t>River/transect</w:t>
            </w:r>
          </w:p>
        </w:tc>
        <w:tc>
          <w:tcPr>
            <w:tcW w:w="1120" w:type="dxa"/>
            <w:tcBorders>
              <w:top w:val="single" w:sz="4" w:space="0" w:color="auto"/>
              <w:left w:val="nil"/>
              <w:bottom w:val="single" w:sz="4" w:space="0" w:color="auto"/>
              <w:right w:val="nil"/>
            </w:tcBorders>
            <w:shd w:val="clear" w:color="auto" w:fill="auto"/>
            <w:vAlign w:val="center"/>
            <w:hideMark/>
          </w:tcPr>
          <w:p w14:paraId="0C3F7ADE" w14:textId="77777777" w:rsidR="00E838DF" w:rsidRPr="00E838DF" w:rsidRDefault="00E838DF" w:rsidP="00E838DF">
            <w:pPr>
              <w:spacing w:before="0" w:after="0"/>
              <w:rPr>
                <w:rStyle w:val="BookTitle"/>
              </w:rPr>
            </w:pPr>
            <w:r w:rsidRPr="00E838DF">
              <w:rPr>
                <w:rStyle w:val="BookTitle"/>
              </w:rPr>
              <w:t>No. of Field Trips</w:t>
            </w:r>
          </w:p>
        </w:tc>
        <w:tc>
          <w:tcPr>
            <w:tcW w:w="1189" w:type="dxa"/>
            <w:tcBorders>
              <w:top w:val="single" w:sz="4" w:space="0" w:color="auto"/>
              <w:left w:val="nil"/>
              <w:bottom w:val="single" w:sz="4" w:space="0" w:color="auto"/>
              <w:right w:val="nil"/>
            </w:tcBorders>
            <w:shd w:val="clear" w:color="auto" w:fill="auto"/>
            <w:vAlign w:val="center"/>
            <w:hideMark/>
          </w:tcPr>
          <w:p w14:paraId="0C3F7ADF" w14:textId="77777777" w:rsidR="00E838DF" w:rsidRPr="00E838DF" w:rsidRDefault="00E838DF" w:rsidP="00E838DF">
            <w:pPr>
              <w:spacing w:before="0" w:after="0"/>
              <w:rPr>
                <w:rStyle w:val="BookTitle"/>
              </w:rPr>
            </w:pPr>
            <w:r w:rsidRPr="00E838DF">
              <w:rPr>
                <w:rStyle w:val="BookTitle"/>
              </w:rPr>
              <w:t>Total No. of Samples</w:t>
            </w:r>
          </w:p>
        </w:tc>
        <w:tc>
          <w:tcPr>
            <w:tcW w:w="1618" w:type="dxa"/>
            <w:tcBorders>
              <w:top w:val="single" w:sz="4" w:space="0" w:color="auto"/>
              <w:left w:val="nil"/>
              <w:bottom w:val="single" w:sz="4" w:space="0" w:color="auto"/>
              <w:right w:val="nil"/>
            </w:tcBorders>
            <w:shd w:val="clear" w:color="auto" w:fill="auto"/>
            <w:vAlign w:val="center"/>
            <w:hideMark/>
          </w:tcPr>
          <w:p w14:paraId="0C3F7AE0" w14:textId="77777777" w:rsidR="00E838DF" w:rsidRPr="00E838DF" w:rsidRDefault="00E838DF" w:rsidP="00E838DF">
            <w:pPr>
              <w:spacing w:before="0" w:after="0"/>
              <w:rPr>
                <w:rStyle w:val="BookTitle"/>
              </w:rPr>
            </w:pPr>
            <w:r w:rsidRPr="00E838DF">
              <w:rPr>
                <w:rStyle w:val="BookTitle"/>
              </w:rPr>
              <w:t>Start Date</w:t>
            </w:r>
          </w:p>
        </w:tc>
        <w:tc>
          <w:tcPr>
            <w:tcW w:w="1461" w:type="dxa"/>
            <w:tcBorders>
              <w:top w:val="single" w:sz="4" w:space="0" w:color="auto"/>
              <w:left w:val="nil"/>
              <w:bottom w:val="single" w:sz="4" w:space="0" w:color="auto"/>
              <w:right w:val="nil"/>
            </w:tcBorders>
            <w:shd w:val="clear" w:color="auto" w:fill="auto"/>
            <w:vAlign w:val="center"/>
            <w:hideMark/>
          </w:tcPr>
          <w:p w14:paraId="0C3F7AE1" w14:textId="77777777" w:rsidR="00E838DF" w:rsidRPr="00E838DF" w:rsidRDefault="00E838DF" w:rsidP="00E838DF">
            <w:pPr>
              <w:spacing w:before="0" w:after="0"/>
              <w:rPr>
                <w:rStyle w:val="BookTitle"/>
              </w:rPr>
            </w:pPr>
            <w:r w:rsidRPr="00E838DF">
              <w:rPr>
                <w:rStyle w:val="BookTitle"/>
              </w:rPr>
              <w:t>End Date</w:t>
            </w:r>
          </w:p>
        </w:tc>
      </w:tr>
      <w:tr w:rsidR="00E838DF" w:rsidRPr="00E838DF" w14:paraId="0C3F7AE9" w14:textId="77777777" w:rsidTr="00E838DF">
        <w:trPr>
          <w:trHeight w:val="20"/>
        </w:trPr>
        <w:tc>
          <w:tcPr>
            <w:tcW w:w="1240" w:type="dxa"/>
            <w:vMerge w:val="restart"/>
            <w:tcBorders>
              <w:top w:val="nil"/>
              <w:left w:val="nil"/>
              <w:right w:val="nil"/>
            </w:tcBorders>
            <w:shd w:val="clear" w:color="auto" w:fill="auto"/>
            <w:noWrap/>
            <w:vAlign w:val="center"/>
            <w:hideMark/>
          </w:tcPr>
          <w:p w14:paraId="0C3F7AE3" w14:textId="77777777" w:rsidR="00E838DF" w:rsidRPr="009C4D9F" w:rsidRDefault="00E838DF" w:rsidP="00E838DF">
            <w:pPr>
              <w:spacing w:before="0" w:after="0"/>
              <w:rPr>
                <w:rStyle w:val="BookTitle"/>
                <w:i/>
              </w:rPr>
            </w:pPr>
            <w:r w:rsidRPr="009C4D9F">
              <w:rPr>
                <w:rStyle w:val="BookTitle"/>
                <w:i/>
              </w:rPr>
              <w:t>Cape York</w:t>
            </w:r>
          </w:p>
        </w:tc>
        <w:tc>
          <w:tcPr>
            <w:tcW w:w="2678" w:type="dxa"/>
            <w:tcBorders>
              <w:top w:val="nil"/>
              <w:left w:val="nil"/>
              <w:right w:val="nil"/>
            </w:tcBorders>
            <w:shd w:val="clear" w:color="auto" w:fill="auto"/>
            <w:noWrap/>
            <w:vAlign w:val="center"/>
            <w:hideMark/>
          </w:tcPr>
          <w:p w14:paraId="0C3F7AE4" w14:textId="77777777" w:rsidR="00E838DF" w:rsidRPr="009C4D9F" w:rsidRDefault="00E838DF" w:rsidP="00E838DF">
            <w:pPr>
              <w:spacing w:before="0" w:after="0"/>
              <w:rPr>
                <w:rStyle w:val="BookTitle"/>
                <w:i/>
              </w:rPr>
            </w:pPr>
            <w:r w:rsidRPr="009C4D9F">
              <w:rPr>
                <w:rStyle w:val="BookTitle"/>
                <w:i/>
              </w:rPr>
              <w:t>Pascoe</w:t>
            </w:r>
          </w:p>
        </w:tc>
        <w:tc>
          <w:tcPr>
            <w:tcW w:w="1120" w:type="dxa"/>
            <w:tcBorders>
              <w:top w:val="nil"/>
              <w:left w:val="nil"/>
              <w:right w:val="nil"/>
            </w:tcBorders>
            <w:shd w:val="clear" w:color="auto" w:fill="auto"/>
            <w:noWrap/>
            <w:vAlign w:val="center"/>
            <w:hideMark/>
          </w:tcPr>
          <w:p w14:paraId="0C3F7AE5" w14:textId="77777777" w:rsidR="00E838DF" w:rsidRPr="009C4D9F" w:rsidRDefault="00E838DF" w:rsidP="00E838DF">
            <w:pPr>
              <w:spacing w:before="0" w:after="0"/>
              <w:rPr>
                <w:rStyle w:val="BookTitle"/>
                <w:i/>
              </w:rPr>
            </w:pPr>
            <w:r w:rsidRPr="009C4D9F">
              <w:rPr>
                <w:rStyle w:val="BookTitle"/>
                <w:i/>
              </w:rPr>
              <w:t>1</w:t>
            </w:r>
          </w:p>
        </w:tc>
        <w:tc>
          <w:tcPr>
            <w:tcW w:w="1189" w:type="dxa"/>
            <w:tcBorders>
              <w:top w:val="nil"/>
              <w:left w:val="nil"/>
              <w:right w:val="nil"/>
            </w:tcBorders>
            <w:shd w:val="clear" w:color="auto" w:fill="auto"/>
            <w:noWrap/>
            <w:vAlign w:val="center"/>
            <w:hideMark/>
          </w:tcPr>
          <w:p w14:paraId="0C3F7AE6" w14:textId="77777777" w:rsidR="00E838DF" w:rsidRPr="009C4D9F" w:rsidRDefault="00593896" w:rsidP="00E838DF">
            <w:pPr>
              <w:spacing w:before="0" w:after="0"/>
              <w:rPr>
                <w:rStyle w:val="BookTitle"/>
                <w:i/>
              </w:rPr>
            </w:pPr>
            <w:r>
              <w:rPr>
                <w:rStyle w:val="BookTitle"/>
                <w:i/>
              </w:rPr>
              <w:t>9</w:t>
            </w:r>
          </w:p>
        </w:tc>
        <w:tc>
          <w:tcPr>
            <w:tcW w:w="1618" w:type="dxa"/>
            <w:tcBorders>
              <w:top w:val="nil"/>
              <w:left w:val="nil"/>
              <w:right w:val="nil"/>
            </w:tcBorders>
            <w:shd w:val="clear" w:color="auto" w:fill="auto"/>
            <w:noWrap/>
            <w:vAlign w:val="center"/>
            <w:hideMark/>
          </w:tcPr>
          <w:p w14:paraId="0C3F7AE7" w14:textId="77777777" w:rsidR="00E838DF" w:rsidRPr="009C4D9F" w:rsidRDefault="00E838DF" w:rsidP="00E838DF">
            <w:pPr>
              <w:spacing w:before="0" w:after="0"/>
              <w:rPr>
                <w:rStyle w:val="BookTitle"/>
                <w:i/>
              </w:rPr>
            </w:pPr>
            <w:r w:rsidRPr="009C4D9F">
              <w:rPr>
                <w:rStyle w:val="BookTitle"/>
                <w:i/>
              </w:rPr>
              <w:t>01/12/2012</w:t>
            </w:r>
          </w:p>
        </w:tc>
        <w:tc>
          <w:tcPr>
            <w:tcW w:w="1461" w:type="dxa"/>
            <w:tcBorders>
              <w:top w:val="nil"/>
              <w:left w:val="nil"/>
              <w:right w:val="nil"/>
            </w:tcBorders>
            <w:shd w:val="clear" w:color="auto" w:fill="auto"/>
            <w:noWrap/>
            <w:vAlign w:val="center"/>
            <w:hideMark/>
          </w:tcPr>
          <w:p w14:paraId="0C3F7AE8" w14:textId="77777777" w:rsidR="00E838DF" w:rsidRPr="009C4D9F" w:rsidRDefault="00E838DF" w:rsidP="00E838DF">
            <w:pPr>
              <w:spacing w:before="0" w:after="0"/>
              <w:rPr>
                <w:rStyle w:val="BookTitle"/>
                <w:i/>
              </w:rPr>
            </w:pPr>
            <w:r w:rsidRPr="009C4D9F">
              <w:rPr>
                <w:rStyle w:val="BookTitle"/>
                <w:i/>
              </w:rPr>
              <w:t>04/12/2012</w:t>
            </w:r>
          </w:p>
        </w:tc>
      </w:tr>
      <w:tr w:rsidR="00E838DF" w:rsidRPr="00E838DF" w14:paraId="0C3F7AF0" w14:textId="77777777" w:rsidTr="00E838DF">
        <w:trPr>
          <w:trHeight w:val="20"/>
        </w:trPr>
        <w:tc>
          <w:tcPr>
            <w:tcW w:w="1240" w:type="dxa"/>
            <w:vMerge/>
            <w:tcBorders>
              <w:left w:val="nil"/>
              <w:right w:val="nil"/>
            </w:tcBorders>
            <w:vAlign w:val="center"/>
            <w:hideMark/>
          </w:tcPr>
          <w:p w14:paraId="0C3F7AEA" w14:textId="77777777" w:rsidR="00E838DF" w:rsidRPr="009C4D9F" w:rsidRDefault="00E838DF" w:rsidP="00E838DF">
            <w:pPr>
              <w:spacing w:before="0" w:after="0"/>
              <w:rPr>
                <w:rStyle w:val="BookTitle"/>
                <w:i/>
              </w:rPr>
            </w:pPr>
          </w:p>
        </w:tc>
        <w:tc>
          <w:tcPr>
            <w:tcW w:w="2678" w:type="dxa"/>
            <w:tcBorders>
              <w:top w:val="nil"/>
              <w:left w:val="nil"/>
              <w:right w:val="nil"/>
            </w:tcBorders>
            <w:shd w:val="clear" w:color="auto" w:fill="auto"/>
            <w:noWrap/>
            <w:vAlign w:val="center"/>
            <w:hideMark/>
          </w:tcPr>
          <w:p w14:paraId="0C3F7AEB" w14:textId="77777777" w:rsidR="00E838DF" w:rsidRPr="009C4D9F" w:rsidRDefault="00E838DF" w:rsidP="00E838DF">
            <w:pPr>
              <w:spacing w:before="0" w:after="0"/>
              <w:rPr>
                <w:rStyle w:val="BookTitle"/>
                <w:i/>
              </w:rPr>
            </w:pPr>
            <w:r w:rsidRPr="009C4D9F">
              <w:rPr>
                <w:rStyle w:val="BookTitle"/>
                <w:i/>
              </w:rPr>
              <w:t>Stewart/Normanby</w:t>
            </w:r>
          </w:p>
        </w:tc>
        <w:tc>
          <w:tcPr>
            <w:tcW w:w="1120" w:type="dxa"/>
            <w:tcBorders>
              <w:top w:val="nil"/>
              <w:left w:val="nil"/>
              <w:right w:val="nil"/>
            </w:tcBorders>
            <w:shd w:val="clear" w:color="auto" w:fill="auto"/>
            <w:noWrap/>
            <w:vAlign w:val="center"/>
            <w:hideMark/>
          </w:tcPr>
          <w:p w14:paraId="0C3F7AEC" w14:textId="77777777" w:rsidR="00E838DF" w:rsidRPr="009C4D9F" w:rsidRDefault="00E838DF" w:rsidP="00E838DF">
            <w:pPr>
              <w:spacing w:before="0" w:after="0"/>
              <w:rPr>
                <w:rStyle w:val="BookTitle"/>
                <w:i/>
              </w:rPr>
            </w:pPr>
            <w:r w:rsidRPr="009C4D9F">
              <w:rPr>
                <w:rStyle w:val="BookTitle"/>
                <w:i/>
              </w:rPr>
              <w:t>2</w:t>
            </w:r>
          </w:p>
        </w:tc>
        <w:tc>
          <w:tcPr>
            <w:tcW w:w="1189" w:type="dxa"/>
            <w:tcBorders>
              <w:top w:val="nil"/>
              <w:left w:val="nil"/>
              <w:right w:val="nil"/>
            </w:tcBorders>
            <w:shd w:val="clear" w:color="auto" w:fill="auto"/>
            <w:noWrap/>
            <w:vAlign w:val="center"/>
            <w:hideMark/>
          </w:tcPr>
          <w:p w14:paraId="0C3F7AED" w14:textId="77777777" w:rsidR="00E838DF" w:rsidRPr="009C4D9F" w:rsidRDefault="00593896" w:rsidP="00E838DF">
            <w:pPr>
              <w:spacing w:before="0" w:after="0"/>
              <w:rPr>
                <w:rStyle w:val="BookTitle"/>
                <w:i/>
              </w:rPr>
            </w:pPr>
            <w:r>
              <w:rPr>
                <w:rStyle w:val="BookTitle"/>
                <w:i/>
              </w:rPr>
              <w:t>23</w:t>
            </w:r>
          </w:p>
        </w:tc>
        <w:tc>
          <w:tcPr>
            <w:tcW w:w="1618" w:type="dxa"/>
            <w:tcBorders>
              <w:top w:val="nil"/>
              <w:left w:val="nil"/>
              <w:right w:val="nil"/>
            </w:tcBorders>
            <w:shd w:val="clear" w:color="auto" w:fill="auto"/>
            <w:noWrap/>
            <w:vAlign w:val="center"/>
            <w:hideMark/>
          </w:tcPr>
          <w:p w14:paraId="0C3F7AEE" w14:textId="77777777" w:rsidR="00E838DF" w:rsidRPr="009C4D9F" w:rsidRDefault="00E838DF" w:rsidP="00E838DF">
            <w:pPr>
              <w:spacing w:before="0" w:after="0"/>
              <w:rPr>
                <w:rStyle w:val="BookTitle"/>
                <w:i/>
              </w:rPr>
            </w:pPr>
            <w:r w:rsidRPr="009C4D9F">
              <w:rPr>
                <w:rStyle w:val="BookTitle"/>
                <w:i/>
              </w:rPr>
              <w:t>01/12/2012</w:t>
            </w:r>
          </w:p>
        </w:tc>
        <w:tc>
          <w:tcPr>
            <w:tcW w:w="1461" w:type="dxa"/>
            <w:tcBorders>
              <w:top w:val="nil"/>
              <w:left w:val="nil"/>
              <w:right w:val="nil"/>
            </w:tcBorders>
            <w:shd w:val="clear" w:color="auto" w:fill="auto"/>
            <w:noWrap/>
            <w:vAlign w:val="center"/>
            <w:hideMark/>
          </w:tcPr>
          <w:p w14:paraId="0C3F7AEF" w14:textId="77777777" w:rsidR="00E838DF" w:rsidRPr="009C4D9F" w:rsidRDefault="00E838DF" w:rsidP="00E838DF">
            <w:pPr>
              <w:spacing w:before="0" w:after="0"/>
              <w:rPr>
                <w:rStyle w:val="BookTitle"/>
                <w:i/>
              </w:rPr>
            </w:pPr>
            <w:r w:rsidRPr="009C4D9F">
              <w:rPr>
                <w:rStyle w:val="BookTitle"/>
                <w:i/>
              </w:rPr>
              <w:t>01/02/2013</w:t>
            </w:r>
          </w:p>
        </w:tc>
      </w:tr>
      <w:tr w:rsidR="00E838DF" w:rsidRPr="00E838DF" w14:paraId="0C3F7AF7" w14:textId="77777777" w:rsidTr="00E838DF">
        <w:trPr>
          <w:trHeight w:val="20"/>
        </w:trPr>
        <w:tc>
          <w:tcPr>
            <w:tcW w:w="1240" w:type="dxa"/>
            <w:vMerge/>
            <w:tcBorders>
              <w:left w:val="nil"/>
              <w:bottom w:val="single" w:sz="4" w:space="0" w:color="000000"/>
              <w:right w:val="nil"/>
            </w:tcBorders>
            <w:vAlign w:val="center"/>
          </w:tcPr>
          <w:p w14:paraId="0C3F7AF1" w14:textId="77777777" w:rsidR="00E838DF" w:rsidRPr="009C4D9F" w:rsidRDefault="00E838DF" w:rsidP="00E838DF">
            <w:pPr>
              <w:spacing w:before="0" w:after="0"/>
              <w:rPr>
                <w:rStyle w:val="BookTitle"/>
                <w:i/>
              </w:rPr>
            </w:pPr>
          </w:p>
        </w:tc>
        <w:tc>
          <w:tcPr>
            <w:tcW w:w="2678" w:type="dxa"/>
            <w:tcBorders>
              <w:left w:val="nil"/>
              <w:bottom w:val="single" w:sz="4" w:space="0" w:color="auto"/>
              <w:right w:val="nil"/>
            </w:tcBorders>
            <w:shd w:val="clear" w:color="auto" w:fill="auto"/>
            <w:noWrap/>
            <w:vAlign w:val="center"/>
          </w:tcPr>
          <w:p w14:paraId="0C3F7AF2" w14:textId="77777777" w:rsidR="00E838DF" w:rsidRPr="009C4D9F" w:rsidRDefault="00E838DF" w:rsidP="00E838DF">
            <w:pPr>
              <w:spacing w:before="0" w:after="0"/>
              <w:rPr>
                <w:rStyle w:val="BookTitle"/>
                <w:i/>
              </w:rPr>
            </w:pPr>
          </w:p>
        </w:tc>
        <w:tc>
          <w:tcPr>
            <w:tcW w:w="1120" w:type="dxa"/>
            <w:tcBorders>
              <w:left w:val="nil"/>
              <w:bottom w:val="single" w:sz="4" w:space="0" w:color="auto"/>
              <w:right w:val="nil"/>
            </w:tcBorders>
            <w:shd w:val="clear" w:color="auto" w:fill="auto"/>
            <w:noWrap/>
            <w:vAlign w:val="center"/>
          </w:tcPr>
          <w:p w14:paraId="0C3F7AF3" w14:textId="77777777" w:rsidR="00E838DF" w:rsidRPr="009C4D9F" w:rsidRDefault="00E838DF" w:rsidP="00E838DF">
            <w:pPr>
              <w:spacing w:before="0" w:after="0"/>
              <w:rPr>
                <w:rStyle w:val="BookTitle"/>
                <w:i/>
              </w:rPr>
            </w:pPr>
          </w:p>
        </w:tc>
        <w:tc>
          <w:tcPr>
            <w:tcW w:w="1189" w:type="dxa"/>
            <w:tcBorders>
              <w:left w:val="nil"/>
              <w:bottom w:val="single" w:sz="4" w:space="0" w:color="auto"/>
              <w:right w:val="nil"/>
            </w:tcBorders>
            <w:shd w:val="clear" w:color="auto" w:fill="auto"/>
            <w:noWrap/>
            <w:vAlign w:val="center"/>
          </w:tcPr>
          <w:p w14:paraId="0C3F7AF4" w14:textId="77777777" w:rsidR="00E838DF" w:rsidRPr="009C4D9F" w:rsidRDefault="00E838DF" w:rsidP="00E838DF">
            <w:pPr>
              <w:spacing w:before="0" w:after="0"/>
              <w:rPr>
                <w:rStyle w:val="BookTitle"/>
                <w:i/>
              </w:rPr>
            </w:pPr>
          </w:p>
        </w:tc>
        <w:tc>
          <w:tcPr>
            <w:tcW w:w="1618" w:type="dxa"/>
            <w:tcBorders>
              <w:left w:val="nil"/>
              <w:bottom w:val="single" w:sz="4" w:space="0" w:color="auto"/>
              <w:right w:val="nil"/>
            </w:tcBorders>
            <w:shd w:val="clear" w:color="auto" w:fill="auto"/>
            <w:noWrap/>
            <w:vAlign w:val="center"/>
          </w:tcPr>
          <w:p w14:paraId="0C3F7AF5" w14:textId="77777777" w:rsidR="00E838DF" w:rsidRPr="009C4D9F" w:rsidRDefault="00E838DF" w:rsidP="00E838DF">
            <w:pPr>
              <w:spacing w:before="0" w:after="0"/>
              <w:rPr>
                <w:rStyle w:val="BookTitle"/>
                <w:i/>
              </w:rPr>
            </w:pPr>
          </w:p>
        </w:tc>
        <w:tc>
          <w:tcPr>
            <w:tcW w:w="1461" w:type="dxa"/>
            <w:tcBorders>
              <w:left w:val="nil"/>
              <w:bottom w:val="single" w:sz="4" w:space="0" w:color="auto"/>
              <w:right w:val="nil"/>
            </w:tcBorders>
            <w:shd w:val="clear" w:color="auto" w:fill="auto"/>
            <w:noWrap/>
            <w:vAlign w:val="center"/>
          </w:tcPr>
          <w:p w14:paraId="0C3F7AF6" w14:textId="77777777" w:rsidR="00E838DF" w:rsidRPr="009C4D9F" w:rsidRDefault="00E838DF" w:rsidP="00E838DF">
            <w:pPr>
              <w:spacing w:before="0" w:after="0"/>
              <w:rPr>
                <w:rStyle w:val="BookTitle"/>
                <w:i/>
              </w:rPr>
            </w:pPr>
          </w:p>
        </w:tc>
      </w:tr>
      <w:tr w:rsidR="00E838DF" w:rsidRPr="00E838DF" w14:paraId="0C3F7AFE" w14:textId="77777777" w:rsidTr="00E838DF">
        <w:trPr>
          <w:trHeight w:val="20"/>
        </w:trPr>
        <w:tc>
          <w:tcPr>
            <w:tcW w:w="1240" w:type="dxa"/>
            <w:vMerge w:val="restart"/>
            <w:tcBorders>
              <w:top w:val="nil"/>
              <w:left w:val="nil"/>
              <w:bottom w:val="single" w:sz="4" w:space="0" w:color="000000"/>
              <w:right w:val="nil"/>
            </w:tcBorders>
            <w:shd w:val="clear" w:color="auto" w:fill="auto"/>
            <w:noWrap/>
            <w:vAlign w:val="center"/>
            <w:hideMark/>
          </w:tcPr>
          <w:p w14:paraId="0C3F7AF8" w14:textId="77777777" w:rsidR="00E838DF" w:rsidRPr="00E838DF" w:rsidRDefault="00E838DF" w:rsidP="00E838DF">
            <w:pPr>
              <w:spacing w:before="0" w:after="0"/>
              <w:rPr>
                <w:rStyle w:val="BookTitle"/>
              </w:rPr>
            </w:pPr>
            <w:r w:rsidRPr="00E838DF">
              <w:rPr>
                <w:rStyle w:val="BookTitle"/>
              </w:rPr>
              <w:t>Wet Tropics</w:t>
            </w:r>
          </w:p>
        </w:tc>
        <w:tc>
          <w:tcPr>
            <w:tcW w:w="2678" w:type="dxa"/>
            <w:tcBorders>
              <w:top w:val="nil"/>
              <w:left w:val="nil"/>
              <w:bottom w:val="nil"/>
              <w:right w:val="nil"/>
            </w:tcBorders>
            <w:shd w:val="clear" w:color="auto" w:fill="auto"/>
            <w:noWrap/>
            <w:vAlign w:val="center"/>
            <w:hideMark/>
          </w:tcPr>
          <w:p w14:paraId="0C3F7AF9" w14:textId="77777777" w:rsidR="00E838DF" w:rsidRPr="009C4D9F" w:rsidRDefault="00E838DF" w:rsidP="00E838DF">
            <w:pPr>
              <w:spacing w:before="0" w:after="0"/>
              <w:rPr>
                <w:rStyle w:val="BookTitle"/>
                <w:i/>
              </w:rPr>
            </w:pPr>
            <w:r w:rsidRPr="009C4D9F">
              <w:rPr>
                <w:rStyle w:val="BookTitle"/>
                <w:i/>
              </w:rPr>
              <w:t>Daintree/Mossman</w:t>
            </w:r>
          </w:p>
        </w:tc>
        <w:tc>
          <w:tcPr>
            <w:tcW w:w="1120" w:type="dxa"/>
            <w:tcBorders>
              <w:top w:val="nil"/>
              <w:left w:val="nil"/>
              <w:bottom w:val="nil"/>
              <w:right w:val="nil"/>
            </w:tcBorders>
            <w:shd w:val="clear" w:color="auto" w:fill="auto"/>
            <w:noWrap/>
            <w:vAlign w:val="center"/>
            <w:hideMark/>
          </w:tcPr>
          <w:p w14:paraId="0C3F7AFA" w14:textId="77777777" w:rsidR="00E838DF" w:rsidRPr="009C4D9F" w:rsidRDefault="00E838DF" w:rsidP="00E838DF">
            <w:pPr>
              <w:spacing w:before="0" w:after="0"/>
              <w:rPr>
                <w:rStyle w:val="BookTitle"/>
                <w:i/>
              </w:rPr>
            </w:pPr>
            <w:r w:rsidRPr="009C4D9F">
              <w:rPr>
                <w:rStyle w:val="BookTitle"/>
                <w:i/>
              </w:rPr>
              <w:t>1</w:t>
            </w:r>
          </w:p>
        </w:tc>
        <w:tc>
          <w:tcPr>
            <w:tcW w:w="1189" w:type="dxa"/>
            <w:tcBorders>
              <w:top w:val="nil"/>
              <w:left w:val="nil"/>
              <w:bottom w:val="nil"/>
              <w:right w:val="nil"/>
            </w:tcBorders>
            <w:shd w:val="clear" w:color="auto" w:fill="auto"/>
            <w:noWrap/>
            <w:vAlign w:val="center"/>
            <w:hideMark/>
          </w:tcPr>
          <w:p w14:paraId="0C3F7AFB" w14:textId="77777777" w:rsidR="00E838DF" w:rsidRPr="009C4D9F" w:rsidRDefault="00E838DF" w:rsidP="00E838DF">
            <w:pPr>
              <w:spacing w:before="0" w:after="0"/>
              <w:rPr>
                <w:rStyle w:val="BookTitle"/>
                <w:i/>
              </w:rPr>
            </w:pPr>
            <w:r w:rsidRPr="009C4D9F">
              <w:rPr>
                <w:rStyle w:val="BookTitle"/>
                <w:i/>
              </w:rPr>
              <w:t>5</w:t>
            </w:r>
          </w:p>
        </w:tc>
        <w:tc>
          <w:tcPr>
            <w:tcW w:w="1618" w:type="dxa"/>
            <w:tcBorders>
              <w:top w:val="nil"/>
              <w:left w:val="nil"/>
              <w:bottom w:val="nil"/>
              <w:right w:val="nil"/>
            </w:tcBorders>
            <w:shd w:val="clear" w:color="auto" w:fill="auto"/>
            <w:noWrap/>
            <w:vAlign w:val="center"/>
            <w:hideMark/>
          </w:tcPr>
          <w:p w14:paraId="0C3F7AFC" w14:textId="77777777" w:rsidR="00E838DF" w:rsidRPr="009C4D9F" w:rsidRDefault="00E838DF" w:rsidP="00E838DF">
            <w:pPr>
              <w:spacing w:before="0" w:after="0"/>
              <w:rPr>
                <w:rStyle w:val="BookTitle"/>
                <w:i/>
              </w:rPr>
            </w:pPr>
            <w:r w:rsidRPr="009C4D9F">
              <w:rPr>
                <w:rStyle w:val="BookTitle"/>
                <w:i/>
              </w:rPr>
              <w:t>30/11/2012</w:t>
            </w:r>
          </w:p>
        </w:tc>
        <w:tc>
          <w:tcPr>
            <w:tcW w:w="1461" w:type="dxa"/>
            <w:tcBorders>
              <w:top w:val="nil"/>
              <w:left w:val="nil"/>
              <w:bottom w:val="nil"/>
              <w:right w:val="nil"/>
            </w:tcBorders>
            <w:shd w:val="clear" w:color="auto" w:fill="auto"/>
            <w:noWrap/>
            <w:vAlign w:val="center"/>
            <w:hideMark/>
          </w:tcPr>
          <w:p w14:paraId="0C3F7AFD" w14:textId="77777777" w:rsidR="00E838DF" w:rsidRPr="009C4D9F" w:rsidRDefault="00E838DF" w:rsidP="00E838DF">
            <w:pPr>
              <w:spacing w:before="0" w:after="0"/>
              <w:rPr>
                <w:rStyle w:val="BookTitle"/>
                <w:i/>
              </w:rPr>
            </w:pPr>
            <w:r w:rsidRPr="009C4D9F">
              <w:rPr>
                <w:rStyle w:val="BookTitle"/>
                <w:i/>
              </w:rPr>
              <w:t>02/02/2013</w:t>
            </w:r>
          </w:p>
        </w:tc>
      </w:tr>
      <w:tr w:rsidR="00E838DF" w:rsidRPr="00E838DF" w14:paraId="0C3F7B05" w14:textId="77777777" w:rsidTr="00E838DF">
        <w:trPr>
          <w:trHeight w:val="20"/>
        </w:trPr>
        <w:tc>
          <w:tcPr>
            <w:tcW w:w="1240" w:type="dxa"/>
            <w:vMerge/>
            <w:tcBorders>
              <w:top w:val="nil"/>
              <w:left w:val="nil"/>
              <w:bottom w:val="single" w:sz="4" w:space="0" w:color="000000"/>
              <w:right w:val="nil"/>
            </w:tcBorders>
            <w:vAlign w:val="center"/>
            <w:hideMark/>
          </w:tcPr>
          <w:p w14:paraId="0C3F7AFF" w14:textId="77777777" w:rsidR="00E838DF" w:rsidRPr="00E838DF" w:rsidRDefault="00E838DF" w:rsidP="00E838DF">
            <w:pPr>
              <w:spacing w:before="0" w:after="0"/>
              <w:rPr>
                <w:rStyle w:val="BookTitle"/>
              </w:rPr>
            </w:pPr>
          </w:p>
        </w:tc>
        <w:tc>
          <w:tcPr>
            <w:tcW w:w="2678" w:type="dxa"/>
            <w:tcBorders>
              <w:top w:val="nil"/>
              <w:left w:val="nil"/>
              <w:bottom w:val="nil"/>
              <w:right w:val="nil"/>
            </w:tcBorders>
            <w:shd w:val="clear" w:color="auto" w:fill="auto"/>
            <w:noWrap/>
            <w:vAlign w:val="center"/>
            <w:hideMark/>
          </w:tcPr>
          <w:p w14:paraId="0C3F7B00" w14:textId="77777777" w:rsidR="00E838DF" w:rsidRPr="009C4D9F" w:rsidRDefault="00E838DF" w:rsidP="00E838DF">
            <w:pPr>
              <w:spacing w:before="0" w:after="0"/>
              <w:rPr>
                <w:rStyle w:val="BookTitle"/>
                <w:i/>
              </w:rPr>
            </w:pPr>
            <w:r w:rsidRPr="009C4D9F">
              <w:rPr>
                <w:rStyle w:val="BookTitle"/>
                <w:i/>
              </w:rPr>
              <w:t>Barron</w:t>
            </w:r>
          </w:p>
        </w:tc>
        <w:tc>
          <w:tcPr>
            <w:tcW w:w="1120" w:type="dxa"/>
            <w:tcBorders>
              <w:top w:val="nil"/>
              <w:left w:val="nil"/>
              <w:bottom w:val="nil"/>
              <w:right w:val="nil"/>
            </w:tcBorders>
            <w:shd w:val="clear" w:color="auto" w:fill="auto"/>
            <w:noWrap/>
            <w:vAlign w:val="center"/>
            <w:hideMark/>
          </w:tcPr>
          <w:p w14:paraId="0C3F7B01" w14:textId="77777777" w:rsidR="00E838DF" w:rsidRPr="009C4D9F" w:rsidRDefault="00E838DF" w:rsidP="00E838DF">
            <w:pPr>
              <w:spacing w:before="0" w:after="0"/>
              <w:rPr>
                <w:rStyle w:val="BookTitle"/>
                <w:i/>
              </w:rPr>
            </w:pPr>
            <w:r w:rsidRPr="009C4D9F">
              <w:rPr>
                <w:rStyle w:val="BookTitle"/>
                <w:i/>
              </w:rPr>
              <w:t>1</w:t>
            </w:r>
          </w:p>
        </w:tc>
        <w:tc>
          <w:tcPr>
            <w:tcW w:w="1189" w:type="dxa"/>
            <w:tcBorders>
              <w:top w:val="nil"/>
              <w:left w:val="nil"/>
              <w:bottom w:val="nil"/>
              <w:right w:val="nil"/>
            </w:tcBorders>
            <w:shd w:val="clear" w:color="auto" w:fill="auto"/>
            <w:noWrap/>
            <w:vAlign w:val="center"/>
            <w:hideMark/>
          </w:tcPr>
          <w:p w14:paraId="0C3F7B02" w14:textId="77777777" w:rsidR="00E838DF" w:rsidRPr="009C4D9F" w:rsidRDefault="00E838DF" w:rsidP="00E838DF">
            <w:pPr>
              <w:spacing w:before="0" w:after="0"/>
              <w:rPr>
                <w:rStyle w:val="BookTitle"/>
                <w:i/>
              </w:rPr>
            </w:pPr>
            <w:r w:rsidRPr="009C4D9F">
              <w:rPr>
                <w:rStyle w:val="BookTitle"/>
                <w:i/>
              </w:rPr>
              <w:t>5</w:t>
            </w:r>
          </w:p>
        </w:tc>
        <w:tc>
          <w:tcPr>
            <w:tcW w:w="1618" w:type="dxa"/>
            <w:tcBorders>
              <w:top w:val="nil"/>
              <w:left w:val="nil"/>
              <w:bottom w:val="nil"/>
              <w:right w:val="nil"/>
            </w:tcBorders>
            <w:shd w:val="clear" w:color="auto" w:fill="auto"/>
            <w:noWrap/>
            <w:vAlign w:val="center"/>
            <w:hideMark/>
          </w:tcPr>
          <w:p w14:paraId="0C3F7B03" w14:textId="77777777" w:rsidR="00E838DF" w:rsidRPr="009C4D9F" w:rsidRDefault="00E838DF" w:rsidP="00E838DF">
            <w:pPr>
              <w:spacing w:before="0" w:after="0"/>
              <w:rPr>
                <w:rStyle w:val="BookTitle"/>
                <w:i/>
              </w:rPr>
            </w:pPr>
            <w:r w:rsidRPr="009C4D9F">
              <w:rPr>
                <w:rStyle w:val="BookTitle"/>
                <w:i/>
              </w:rPr>
              <w:t>05/12/2012</w:t>
            </w:r>
          </w:p>
        </w:tc>
        <w:tc>
          <w:tcPr>
            <w:tcW w:w="1461" w:type="dxa"/>
            <w:tcBorders>
              <w:top w:val="nil"/>
              <w:left w:val="nil"/>
              <w:bottom w:val="nil"/>
              <w:right w:val="nil"/>
            </w:tcBorders>
            <w:shd w:val="clear" w:color="auto" w:fill="auto"/>
            <w:noWrap/>
            <w:vAlign w:val="center"/>
            <w:hideMark/>
          </w:tcPr>
          <w:p w14:paraId="0C3F7B04" w14:textId="77777777" w:rsidR="00E838DF" w:rsidRPr="009C4D9F" w:rsidRDefault="00E838DF" w:rsidP="00E838DF">
            <w:pPr>
              <w:spacing w:before="0" w:after="0"/>
              <w:rPr>
                <w:rStyle w:val="BookTitle"/>
                <w:i/>
              </w:rPr>
            </w:pPr>
            <w:r w:rsidRPr="009C4D9F">
              <w:rPr>
                <w:rStyle w:val="BookTitle"/>
                <w:i/>
              </w:rPr>
              <w:t>03/02/2013</w:t>
            </w:r>
          </w:p>
        </w:tc>
      </w:tr>
      <w:tr w:rsidR="00E838DF" w:rsidRPr="00E838DF" w14:paraId="0C3F7B0C" w14:textId="77777777" w:rsidTr="00E838DF">
        <w:trPr>
          <w:trHeight w:val="20"/>
        </w:trPr>
        <w:tc>
          <w:tcPr>
            <w:tcW w:w="1240" w:type="dxa"/>
            <w:vMerge/>
            <w:tcBorders>
              <w:top w:val="nil"/>
              <w:left w:val="nil"/>
              <w:bottom w:val="single" w:sz="4" w:space="0" w:color="000000"/>
              <w:right w:val="nil"/>
            </w:tcBorders>
            <w:vAlign w:val="center"/>
            <w:hideMark/>
          </w:tcPr>
          <w:p w14:paraId="0C3F7B06" w14:textId="77777777" w:rsidR="00E838DF" w:rsidRPr="00E838DF" w:rsidRDefault="00E838DF" w:rsidP="00E838DF">
            <w:pPr>
              <w:spacing w:before="0" w:after="0"/>
              <w:rPr>
                <w:rStyle w:val="BookTitle"/>
              </w:rPr>
            </w:pPr>
          </w:p>
        </w:tc>
        <w:tc>
          <w:tcPr>
            <w:tcW w:w="2678" w:type="dxa"/>
            <w:tcBorders>
              <w:top w:val="nil"/>
              <w:left w:val="nil"/>
              <w:bottom w:val="nil"/>
              <w:right w:val="nil"/>
            </w:tcBorders>
            <w:shd w:val="clear" w:color="auto" w:fill="auto"/>
            <w:noWrap/>
            <w:vAlign w:val="center"/>
            <w:hideMark/>
          </w:tcPr>
          <w:p w14:paraId="0C3F7B07" w14:textId="77777777" w:rsidR="00E838DF" w:rsidRPr="00E838DF" w:rsidRDefault="00E838DF" w:rsidP="00E838DF">
            <w:pPr>
              <w:spacing w:before="0" w:after="0"/>
              <w:rPr>
                <w:rStyle w:val="BookTitle"/>
              </w:rPr>
            </w:pPr>
            <w:r w:rsidRPr="00E838DF">
              <w:rPr>
                <w:rStyle w:val="BookTitle"/>
              </w:rPr>
              <w:t>Russell/Mulgrave</w:t>
            </w:r>
          </w:p>
        </w:tc>
        <w:tc>
          <w:tcPr>
            <w:tcW w:w="1120" w:type="dxa"/>
            <w:tcBorders>
              <w:top w:val="nil"/>
              <w:left w:val="nil"/>
              <w:bottom w:val="nil"/>
              <w:right w:val="nil"/>
            </w:tcBorders>
            <w:shd w:val="clear" w:color="auto" w:fill="auto"/>
            <w:noWrap/>
            <w:vAlign w:val="center"/>
            <w:hideMark/>
          </w:tcPr>
          <w:p w14:paraId="0C3F7B08" w14:textId="77777777" w:rsidR="00E838DF" w:rsidRPr="00E838DF" w:rsidRDefault="00E838DF" w:rsidP="00E838DF">
            <w:pPr>
              <w:spacing w:before="0" w:after="0"/>
              <w:rPr>
                <w:rStyle w:val="BookTitle"/>
              </w:rPr>
            </w:pPr>
            <w:r w:rsidRPr="00E838DF">
              <w:rPr>
                <w:rStyle w:val="BookTitle"/>
              </w:rPr>
              <w:t>1</w:t>
            </w:r>
          </w:p>
        </w:tc>
        <w:tc>
          <w:tcPr>
            <w:tcW w:w="1189" w:type="dxa"/>
            <w:tcBorders>
              <w:top w:val="nil"/>
              <w:left w:val="nil"/>
              <w:bottom w:val="nil"/>
              <w:right w:val="nil"/>
            </w:tcBorders>
            <w:shd w:val="clear" w:color="auto" w:fill="auto"/>
            <w:noWrap/>
            <w:vAlign w:val="center"/>
            <w:hideMark/>
          </w:tcPr>
          <w:p w14:paraId="0C3F7B09" w14:textId="77777777" w:rsidR="00E838DF" w:rsidRPr="00E838DF" w:rsidRDefault="00D23397" w:rsidP="00E838DF">
            <w:pPr>
              <w:spacing w:before="0" w:after="0"/>
              <w:rPr>
                <w:rStyle w:val="BookTitle"/>
              </w:rPr>
            </w:pPr>
            <w:r>
              <w:rPr>
                <w:rStyle w:val="BookTitle"/>
              </w:rPr>
              <w:t>7</w:t>
            </w:r>
          </w:p>
        </w:tc>
        <w:tc>
          <w:tcPr>
            <w:tcW w:w="1618" w:type="dxa"/>
            <w:tcBorders>
              <w:top w:val="nil"/>
              <w:left w:val="nil"/>
              <w:bottom w:val="nil"/>
              <w:right w:val="nil"/>
            </w:tcBorders>
            <w:shd w:val="clear" w:color="auto" w:fill="auto"/>
            <w:noWrap/>
            <w:vAlign w:val="center"/>
            <w:hideMark/>
          </w:tcPr>
          <w:p w14:paraId="0C3F7B0A" w14:textId="77777777" w:rsidR="00E838DF" w:rsidRPr="00E838DF" w:rsidRDefault="00E838DF" w:rsidP="00E838DF">
            <w:pPr>
              <w:spacing w:before="0" w:after="0"/>
              <w:rPr>
                <w:rStyle w:val="BookTitle"/>
              </w:rPr>
            </w:pPr>
            <w:r w:rsidRPr="00E838DF">
              <w:rPr>
                <w:rStyle w:val="BookTitle"/>
              </w:rPr>
              <w:t>10/12/2012</w:t>
            </w:r>
          </w:p>
        </w:tc>
        <w:tc>
          <w:tcPr>
            <w:tcW w:w="1461" w:type="dxa"/>
            <w:tcBorders>
              <w:top w:val="nil"/>
              <w:left w:val="nil"/>
              <w:bottom w:val="nil"/>
              <w:right w:val="nil"/>
            </w:tcBorders>
            <w:shd w:val="clear" w:color="auto" w:fill="auto"/>
            <w:noWrap/>
            <w:vAlign w:val="center"/>
            <w:hideMark/>
          </w:tcPr>
          <w:p w14:paraId="0C3F7B0B" w14:textId="77777777" w:rsidR="00E838DF" w:rsidRPr="00E838DF" w:rsidRDefault="00E838DF" w:rsidP="00E838DF">
            <w:pPr>
              <w:spacing w:before="0" w:after="0"/>
              <w:rPr>
                <w:rStyle w:val="BookTitle"/>
              </w:rPr>
            </w:pPr>
            <w:r w:rsidRPr="00E838DF">
              <w:rPr>
                <w:rStyle w:val="BookTitle"/>
              </w:rPr>
              <w:t>03/02/2013</w:t>
            </w:r>
          </w:p>
        </w:tc>
      </w:tr>
      <w:tr w:rsidR="00E838DF" w:rsidRPr="00E838DF" w14:paraId="0C3F7B13" w14:textId="77777777" w:rsidTr="00E838DF">
        <w:trPr>
          <w:trHeight w:val="20"/>
        </w:trPr>
        <w:tc>
          <w:tcPr>
            <w:tcW w:w="1240" w:type="dxa"/>
            <w:vMerge/>
            <w:tcBorders>
              <w:top w:val="nil"/>
              <w:left w:val="nil"/>
              <w:bottom w:val="single" w:sz="4" w:space="0" w:color="000000"/>
              <w:right w:val="nil"/>
            </w:tcBorders>
            <w:vAlign w:val="center"/>
            <w:hideMark/>
          </w:tcPr>
          <w:p w14:paraId="0C3F7B0D" w14:textId="77777777" w:rsidR="00E838DF" w:rsidRPr="00E838DF" w:rsidRDefault="00E838DF" w:rsidP="00E838DF">
            <w:pPr>
              <w:spacing w:before="0" w:after="0"/>
              <w:rPr>
                <w:rStyle w:val="BookTitle"/>
              </w:rPr>
            </w:pPr>
          </w:p>
        </w:tc>
        <w:tc>
          <w:tcPr>
            <w:tcW w:w="2678" w:type="dxa"/>
            <w:tcBorders>
              <w:top w:val="nil"/>
              <w:left w:val="nil"/>
              <w:bottom w:val="nil"/>
              <w:right w:val="nil"/>
            </w:tcBorders>
            <w:shd w:val="clear" w:color="auto" w:fill="auto"/>
            <w:noWrap/>
            <w:vAlign w:val="center"/>
            <w:hideMark/>
          </w:tcPr>
          <w:p w14:paraId="0C3F7B0E" w14:textId="77777777" w:rsidR="00E838DF" w:rsidRPr="00E838DF" w:rsidRDefault="00E838DF" w:rsidP="00E838DF">
            <w:pPr>
              <w:spacing w:before="0" w:after="0"/>
              <w:rPr>
                <w:rStyle w:val="BookTitle"/>
              </w:rPr>
            </w:pPr>
            <w:r w:rsidRPr="00E838DF">
              <w:rPr>
                <w:rStyle w:val="BookTitle"/>
              </w:rPr>
              <w:t>Tully</w:t>
            </w:r>
          </w:p>
        </w:tc>
        <w:tc>
          <w:tcPr>
            <w:tcW w:w="1120" w:type="dxa"/>
            <w:tcBorders>
              <w:top w:val="nil"/>
              <w:left w:val="nil"/>
              <w:bottom w:val="nil"/>
              <w:right w:val="nil"/>
            </w:tcBorders>
            <w:shd w:val="clear" w:color="auto" w:fill="auto"/>
            <w:noWrap/>
            <w:vAlign w:val="center"/>
            <w:hideMark/>
          </w:tcPr>
          <w:p w14:paraId="0C3F7B0F" w14:textId="77777777" w:rsidR="00E838DF" w:rsidRPr="00E838DF" w:rsidRDefault="00E838DF" w:rsidP="00E838DF">
            <w:pPr>
              <w:spacing w:before="0" w:after="0"/>
              <w:rPr>
                <w:rStyle w:val="BookTitle"/>
              </w:rPr>
            </w:pPr>
            <w:r w:rsidRPr="00E838DF">
              <w:rPr>
                <w:rStyle w:val="BookTitle"/>
              </w:rPr>
              <w:t>4</w:t>
            </w:r>
          </w:p>
        </w:tc>
        <w:tc>
          <w:tcPr>
            <w:tcW w:w="1189" w:type="dxa"/>
            <w:tcBorders>
              <w:top w:val="nil"/>
              <w:left w:val="nil"/>
              <w:bottom w:val="nil"/>
              <w:right w:val="nil"/>
            </w:tcBorders>
            <w:shd w:val="clear" w:color="auto" w:fill="auto"/>
            <w:noWrap/>
            <w:vAlign w:val="center"/>
            <w:hideMark/>
          </w:tcPr>
          <w:p w14:paraId="0C3F7B10" w14:textId="77777777" w:rsidR="00E838DF" w:rsidRPr="00E838DF" w:rsidRDefault="00D23397" w:rsidP="00D23397">
            <w:pPr>
              <w:spacing w:before="0" w:after="0"/>
              <w:rPr>
                <w:rStyle w:val="BookTitle"/>
              </w:rPr>
            </w:pPr>
            <w:r w:rsidRPr="00E838DF">
              <w:rPr>
                <w:rStyle w:val="BookTitle"/>
              </w:rPr>
              <w:t>4</w:t>
            </w:r>
            <w:r>
              <w:rPr>
                <w:rStyle w:val="BookTitle"/>
              </w:rPr>
              <w:t>3</w:t>
            </w:r>
          </w:p>
        </w:tc>
        <w:tc>
          <w:tcPr>
            <w:tcW w:w="1618" w:type="dxa"/>
            <w:tcBorders>
              <w:top w:val="nil"/>
              <w:left w:val="nil"/>
              <w:bottom w:val="nil"/>
              <w:right w:val="nil"/>
            </w:tcBorders>
            <w:shd w:val="clear" w:color="auto" w:fill="auto"/>
            <w:noWrap/>
            <w:vAlign w:val="center"/>
            <w:hideMark/>
          </w:tcPr>
          <w:p w14:paraId="0C3F7B11" w14:textId="77777777" w:rsidR="00E838DF" w:rsidRPr="00E838DF" w:rsidRDefault="00E838DF" w:rsidP="00E838DF">
            <w:pPr>
              <w:spacing w:before="0" w:after="0"/>
              <w:rPr>
                <w:rStyle w:val="BookTitle"/>
              </w:rPr>
            </w:pPr>
            <w:r w:rsidRPr="00E838DF">
              <w:rPr>
                <w:rStyle w:val="BookTitle"/>
              </w:rPr>
              <w:t>10/11/2012</w:t>
            </w:r>
          </w:p>
        </w:tc>
        <w:tc>
          <w:tcPr>
            <w:tcW w:w="1461" w:type="dxa"/>
            <w:tcBorders>
              <w:top w:val="nil"/>
              <w:left w:val="nil"/>
              <w:bottom w:val="nil"/>
              <w:right w:val="nil"/>
            </w:tcBorders>
            <w:shd w:val="clear" w:color="auto" w:fill="auto"/>
            <w:noWrap/>
            <w:vAlign w:val="center"/>
            <w:hideMark/>
          </w:tcPr>
          <w:p w14:paraId="0C3F7B12" w14:textId="77777777" w:rsidR="00E838DF" w:rsidRPr="00E838DF" w:rsidRDefault="00E838DF" w:rsidP="00E838DF">
            <w:pPr>
              <w:spacing w:before="0" w:after="0"/>
              <w:rPr>
                <w:rStyle w:val="BookTitle"/>
              </w:rPr>
            </w:pPr>
            <w:r w:rsidRPr="00E838DF">
              <w:rPr>
                <w:rStyle w:val="BookTitle"/>
              </w:rPr>
              <w:t>16/04/2013</w:t>
            </w:r>
          </w:p>
        </w:tc>
      </w:tr>
      <w:tr w:rsidR="00E838DF" w:rsidRPr="00E838DF" w14:paraId="0C3F7B1A" w14:textId="77777777" w:rsidTr="00E838DF">
        <w:trPr>
          <w:trHeight w:val="20"/>
        </w:trPr>
        <w:tc>
          <w:tcPr>
            <w:tcW w:w="1240" w:type="dxa"/>
            <w:vMerge/>
            <w:tcBorders>
              <w:top w:val="nil"/>
              <w:left w:val="nil"/>
              <w:bottom w:val="single" w:sz="4" w:space="0" w:color="000000"/>
              <w:right w:val="nil"/>
            </w:tcBorders>
            <w:vAlign w:val="center"/>
            <w:hideMark/>
          </w:tcPr>
          <w:p w14:paraId="0C3F7B14" w14:textId="77777777" w:rsidR="00E838DF" w:rsidRPr="00E838DF" w:rsidRDefault="00E838DF" w:rsidP="00E838DF">
            <w:pPr>
              <w:spacing w:before="0" w:after="0"/>
              <w:rPr>
                <w:rStyle w:val="BookTitle"/>
              </w:rPr>
            </w:pPr>
          </w:p>
        </w:tc>
        <w:tc>
          <w:tcPr>
            <w:tcW w:w="2678" w:type="dxa"/>
            <w:tcBorders>
              <w:top w:val="nil"/>
              <w:left w:val="nil"/>
              <w:right w:val="nil"/>
            </w:tcBorders>
            <w:shd w:val="clear" w:color="auto" w:fill="auto"/>
            <w:noWrap/>
            <w:vAlign w:val="center"/>
            <w:hideMark/>
          </w:tcPr>
          <w:p w14:paraId="0C3F7B15" w14:textId="77777777" w:rsidR="00E838DF" w:rsidRPr="00E838DF" w:rsidRDefault="00E838DF" w:rsidP="00E838DF">
            <w:pPr>
              <w:spacing w:before="0" w:after="0"/>
              <w:rPr>
                <w:rStyle w:val="BookTitle"/>
              </w:rPr>
            </w:pPr>
            <w:r w:rsidRPr="00E838DF">
              <w:rPr>
                <w:rStyle w:val="BookTitle"/>
              </w:rPr>
              <w:t>Northern Herbert</w:t>
            </w:r>
          </w:p>
        </w:tc>
        <w:tc>
          <w:tcPr>
            <w:tcW w:w="1120" w:type="dxa"/>
            <w:tcBorders>
              <w:top w:val="nil"/>
              <w:left w:val="nil"/>
              <w:right w:val="nil"/>
            </w:tcBorders>
            <w:shd w:val="clear" w:color="auto" w:fill="auto"/>
            <w:noWrap/>
            <w:vAlign w:val="center"/>
            <w:hideMark/>
          </w:tcPr>
          <w:p w14:paraId="0C3F7B16" w14:textId="77777777" w:rsidR="00E838DF" w:rsidRPr="00E838DF" w:rsidRDefault="00E838DF" w:rsidP="00E838DF">
            <w:pPr>
              <w:spacing w:before="0" w:after="0"/>
              <w:rPr>
                <w:rStyle w:val="BookTitle"/>
              </w:rPr>
            </w:pPr>
            <w:r w:rsidRPr="00E838DF">
              <w:rPr>
                <w:rStyle w:val="BookTitle"/>
              </w:rPr>
              <w:t>2</w:t>
            </w:r>
          </w:p>
        </w:tc>
        <w:tc>
          <w:tcPr>
            <w:tcW w:w="1189" w:type="dxa"/>
            <w:tcBorders>
              <w:top w:val="nil"/>
              <w:left w:val="nil"/>
              <w:right w:val="nil"/>
            </w:tcBorders>
            <w:shd w:val="clear" w:color="auto" w:fill="auto"/>
            <w:noWrap/>
            <w:vAlign w:val="center"/>
            <w:hideMark/>
          </w:tcPr>
          <w:p w14:paraId="0C3F7B17" w14:textId="77777777" w:rsidR="00E838DF" w:rsidRPr="00E838DF" w:rsidRDefault="00E838DF" w:rsidP="00E838DF">
            <w:pPr>
              <w:spacing w:before="0" w:after="0"/>
              <w:rPr>
                <w:rStyle w:val="BookTitle"/>
              </w:rPr>
            </w:pPr>
            <w:r w:rsidRPr="00E838DF">
              <w:rPr>
                <w:rStyle w:val="BookTitle"/>
              </w:rPr>
              <w:t>12</w:t>
            </w:r>
          </w:p>
        </w:tc>
        <w:tc>
          <w:tcPr>
            <w:tcW w:w="1618" w:type="dxa"/>
            <w:tcBorders>
              <w:top w:val="nil"/>
              <w:left w:val="nil"/>
              <w:right w:val="nil"/>
            </w:tcBorders>
            <w:shd w:val="clear" w:color="auto" w:fill="auto"/>
            <w:noWrap/>
            <w:vAlign w:val="center"/>
            <w:hideMark/>
          </w:tcPr>
          <w:p w14:paraId="0C3F7B18" w14:textId="77777777" w:rsidR="00E838DF" w:rsidRPr="00E838DF" w:rsidRDefault="00E838DF" w:rsidP="00E838DF">
            <w:pPr>
              <w:spacing w:before="0" w:after="0"/>
              <w:rPr>
                <w:rStyle w:val="BookTitle"/>
              </w:rPr>
            </w:pPr>
            <w:r w:rsidRPr="00E838DF">
              <w:rPr>
                <w:rStyle w:val="BookTitle"/>
              </w:rPr>
              <w:t>16/01/2013</w:t>
            </w:r>
          </w:p>
        </w:tc>
        <w:tc>
          <w:tcPr>
            <w:tcW w:w="1461" w:type="dxa"/>
            <w:tcBorders>
              <w:top w:val="nil"/>
              <w:left w:val="nil"/>
              <w:right w:val="nil"/>
            </w:tcBorders>
            <w:shd w:val="clear" w:color="auto" w:fill="auto"/>
            <w:noWrap/>
            <w:vAlign w:val="center"/>
            <w:hideMark/>
          </w:tcPr>
          <w:p w14:paraId="0C3F7B19" w14:textId="77777777" w:rsidR="00E838DF" w:rsidRPr="00E838DF" w:rsidRDefault="00E838DF" w:rsidP="00E838DF">
            <w:pPr>
              <w:spacing w:before="0" w:after="0"/>
              <w:rPr>
                <w:rStyle w:val="BookTitle"/>
              </w:rPr>
            </w:pPr>
            <w:r w:rsidRPr="00E838DF">
              <w:rPr>
                <w:rStyle w:val="BookTitle"/>
              </w:rPr>
              <w:t>25/03/2013</w:t>
            </w:r>
          </w:p>
        </w:tc>
      </w:tr>
      <w:tr w:rsidR="00E838DF" w:rsidRPr="00E838DF" w14:paraId="0C3F7B21" w14:textId="77777777" w:rsidTr="00E838DF">
        <w:trPr>
          <w:trHeight w:val="20"/>
        </w:trPr>
        <w:tc>
          <w:tcPr>
            <w:tcW w:w="1240" w:type="dxa"/>
            <w:vMerge/>
            <w:tcBorders>
              <w:top w:val="nil"/>
              <w:left w:val="nil"/>
              <w:bottom w:val="single" w:sz="4" w:space="0" w:color="000000"/>
              <w:right w:val="nil"/>
            </w:tcBorders>
            <w:vAlign w:val="center"/>
            <w:hideMark/>
          </w:tcPr>
          <w:p w14:paraId="0C3F7B1B" w14:textId="77777777" w:rsidR="00E838DF" w:rsidRPr="00E838DF" w:rsidRDefault="00E838DF" w:rsidP="00E838DF">
            <w:pPr>
              <w:spacing w:before="0" w:after="0"/>
              <w:rPr>
                <w:rStyle w:val="BookTitle"/>
              </w:rPr>
            </w:pPr>
          </w:p>
        </w:tc>
        <w:tc>
          <w:tcPr>
            <w:tcW w:w="2678" w:type="dxa"/>
            <w:tcBorders>
              <w:top w:val="nil"/>
              <w:left w:val="nil"/>
              <w:bottom w:val="single" w:sz="4" w:space="0" w:color="auto"/>
              <w:right w:val="nil"/>
            </w:tcBorders>
            <w:shd w:val="clear" w:color="auto" w:fill="auto"/>
            <w:noWrap/>
            <w:vAlign w:val="center"/>
            <w:hideMark/>
          </w:tcPr>
          <w:p w14:paraId="0C3F7B1C" w14:textId="77777777" w:rsidR="00E838DF" w:rsidRPr="00E838DF" w:rsidRDefault="00E838DF" w:rsidP="00E838DF">
            <w:pPr>
              <w:spacing w:before="0" w:after="0"/>
              <w:rPr>
                <w:rStyle w:val="BookTitle"/>
              </w:rPr>
            </w:pPr>
            <w:r w:rsidRPr="00E838DF">
              <w:rPr>
                <w:rStyle w:val="BookTitle"/>
              </w:rPr>
              <w:t>Southern Herbert</w:t>
            </w:r>
          </w:p>
        </w:tc>
        <w:tc>
          <w:tcPr>
            <w:tcW w:w="1120" w:type="dxa"/>
            <w:tcBorders>
              <w:top w:val="nil"/>
              <w:left w:val="nil"/>
              <w:bottom w:val="single" w:sz="4" w:space="0" w:color="auto"/>
              <w:right w:val="nil"/>
            </w:tcBorders>
            <w:shd w:val="clear" w:color="auto" w:fill="auto"/>
            <w:noWrap/>
            <w:vAlign w:val="center"/>
            <w:hideMark/>
          </w:tcPr>
          <w:p w14:paraId="0C3F7B1D" w14:textId="77777777" w:rsidR="00E838DF" w:rsidRPr="00E838DF" w:rsidRDefault="00E838DF" w:rsidP="00E838DF">
            <w:pPr>
              <w:spacing w:before="0" w:after="0"/>
              <w:rPr>
                <w:rStyle w:val="BookTitle"/>
              </w:rPr>
            </w:pPr>
            <w:r w:rsidRPr="00E838DF">
              <w:rPr>
                <w:rStyle w:val="BookTitle"/>
              </w:rPr>
              <w:t>2</w:t>
            </w:r>
          </w:p>
        </w:tc>
        <w:tc>
          <w:tcPr>
            <w:tcW w:w="1189" w:type="dxa"/>
            <w:tcBorders>
              <w:top w:val="nil"/>
              <w:left w:val="nil"/>
              <w:bottom w:val="single" w:sz="4" w:space="0" w:color="auto"/>
              <w:right w:val="nil"/>
            </w:tcBorders>
            <w:shd w:val="clear" w:color="auto" w:fill="auto"/>
            <w:noWrap/>
            <w:vAlign w:val="center"/>
            <w:hideMark/>
          </w:tcPr>
          <w:p w14:paraId="0C3F7B1E" w14:textId="77777777" w:rsidR="00E838DF" w:rsidRPr="00E838DF" w:rsidRDefault="00E838DF" w:rsidP="00E838DF">
            <w:pPr>
              <w:spacing w:before="0" w:after="0"/>
              <w:rPr>
                <w:rStyle w:val="BookTitle"/>
              </w:rPr>
            </w:pPr>
            <w:r w:rsidRPr="00E838DF">
              <w:rPr>
                <w:rStyle w:val="BookTitle"/>
              </w:rPr>
              <w:t>14</w:t>
            </w:r>
          </w:p>
        </w:tc>
        <w:tc>
          <w:tcPr>
            <w:tcW w:w="1618" w:type="dxa"/>
            <w:tcBorders>
              <w:top w:val="nil"/>
              <w:left w:val="nil"/>
              <w:bottom w:val="single" w:sz="4" w:space="0" w:color="auto"/>
              <w:right w:val="nil"/>
            </w:tcBorders>
            <w:shd w:val="clear" w:color="auto" w:fill="auto"/>
            <w:noWrap/>
            <w:vAlign w:val="center"/>
            <w:hideMark/>
          </w:tcPr>
          <w:p w14:paraId="0C3F7B1F" w14:textId="77777777" w:rsidR="00E838DF" w:rsidRPr="00E838DF" w:rsidRDefault="00E838DF" w:rsidP="00E838DF">
            <w:pPr>
              <w:spacing w:before="0" w:after="0"/>
              <w:rPr>
                <w:rStyle w:val="BookTitle"/>
              </w:rPr>
            </w:pPr>
            <w:r w:rsidRPr="00E838DF">
              <w:rPr>
                <w:rStyle w:val="BookTitle"/>
              </w:rPr>
              <w:t>17/01/2013</w:t>
            </w:r>
          </w:p>
        </w:tc>
        <w:tc>
          <w:tcPr>
            <w:tcW w:w="1461" w:type="dxa"/>
            <w:tcBorders>
              <w:top w:val="nil"/>
              <w:left w:val="nil"/>
              <w:bottom w:val="single" w:sz="4" w:space="0" w:color="auto"/>
              <w:right w:val="nil"/>
            </w:tcBorders>
            <w:shd w:val="clear" w:color="auto" w:fill="auto"/>
            <w:noWrap/>
            <w:vAlign w:val="center"/>
            <w:hideMark/>
          </w:tcPr>
          <w:p w14:paraId="0C3F7B20" w14:textId="77777777" w:rsidR="00E838DF" w:rsidRPr="00E838DF" w:rsidRDefault="00E838DF" w:rsidP="00E838DF">
            <w:pPr>
              <w:spacing w:before="0" w:after="0"/>
              <w:rPr>
                <w:rStyle w:val="BookTitle"/>
              </w:rPr>
            </w:pPr>
            <w:r w:rsidRPr="00E838DF">
              <w:rPr>
                <w:rStyle w:val="BookTitle"/>
              </w:rPr>
              <w:t>25/03/2013</w:t>
            </w:r>
          </w:p>
        </w:tc>
      </w:tr>
      <w:tr w:rsidR="00E838DF" w:rsidRPr="00E838DF" w14:paraId="0C3F7B28" w14:textId="77777777" w:rsidTr="00E838DF">
        <w:trPr>
          <w:trHeight w:val="20"/>
        </w:trPr>
        <w:tc>
          <w:tcPr>
            <w:tcW w:w="1240" w:type="dxa"/>
            <w:vMerge w:val="restart"/>
            <w:tcBorders>
              <w:top w:val="nil"/>
              <w:left w:val="nil"/>
              <w:right w:val="nil"/>
            </w:tcBorders>
            <w:shd w:val="clear" w:color="auto" w:fill="auto"/>
            <w:noWrap/>
            <w:vAlign w:val="center"/>
            <w:hideMark/>
          </w:tcPr>
          <w:p w14:paraId="0C3F7B22" w14:textId="77777777" w:rsidR="00E838DF" w:rsidRPr="00E838DF" w:rsidRDefault="00E838DF" w:rsidP="00E838DF">
            <w:pPr>
              <w:spacing w:before="0" w:after="0"/>
              <w:rPr>
                <w:rStyle w:val="BookTitle"/>
              </w:rPr>
            </w:pPr>
            <w:r w:rsidRPr="00E838DF">
              <w:rPr>
                <w:rStyle w:val="BookTitle"/>
              </w:rPr>
              <w:t>Burdekin</w:t>
            </w:r>
          </w:p>
        </w:tc>
        <w:tc>
          <w:tcPr>
            <w:tcW w:w="2678" w:type="dxa"/>
            <w:tcBorders>
              <w:top w:val="single" w:sz="4" w:space="0" w:color="auto"/>
              <w:left w:val="nil"/>
              <w:right w:val="nil"/>
            </w:tcBorders>
            <w:shd w:val="clear" w:color="auto" w:fill="auto"/>
            <w:noWrap/>
            <w:vAlign w:val="center"/>
            <w:hideMark/>
          </w:tcPr>
          <w:p w14:paraId="0C3F7B23" w14:textId="77777777" w:rsidR="00E838DF" w:rsidRPr="00E838DF" w:rsidRDefault="00E838DF" w:rsidP="00E838DF">
            <w:pPr>
              <w:spacing w:before="0" w:after="0"/>
              <w:rPr>
                <w:rStyle w:val="BookTitle"/>
              </w:rPr>
            </w:pPr>
            <w:r w:rsidRPr="00E838DF">
              <w:rPr>
                <w:rStyle w:val="BookTitle"/>
              </w:rPr>
              <w:t>Burdekin</w:t>
            </w:r>
          </w:p>
        </w:tc>
        <w:tc>
          <w:tcPr>
            <w:tcW w:w="1120" w:type="dxa"/>
            <w:tcBorders>
              <w:top w:val="single" w:sz="4" w:space="0" w:color="auto"/>
              <w:left w:val="nil"/>
              <w:right w:val="nil"/>
            </w:tcBorders>
            <w:shd w:val="clear" w:color="auto" w:fill="auto"/>
            <w:noWrap/>
            <w:vAlign w:val="center"/>
            <w:hideMark/>
          </w:tcPr>
          <w:p w14:paraId="0C3F7B24" w14:textId="77777777" w:rsidR="00E838DF" w:rsidRPr="00E838DF" w:rsidRDefault="00E838DF" w:rsidP="00E838DF">
            <w:pPr>
              <w:spacing w:before="0" w:after="0"/>
              <w:rPr>
                <w:rStyle w:val="BookTitle"/>
              </w:rPr>
            </w:pPr>
            <w:r w:rsidRPr="00E838DF">
              <w:rPr>
                <w:rStyle w:val="BookTitle"/>
              </w:rPr>
              <w:t>1</w:t>
            </w:r>
          </w:p>
        </w:tc>
        <w:tc>
          <w:tcPr>
            <w:tcW w:w="1189" w:type="dxa"/>
            <w:tcBorders>
              <w:top w:val="single" w:sz="4" w:space="0" w:color="auto"/>
              <w:left w:val="nil"/>
              <w:right w:val="nil"/>
            </w:tcBorders>
            <w:shd w:val="clear" w:color="auto" w:fill="auto"/>
            <w:noWrap/>
            <w:vAlign w:val="center"/>
            <w:hideMark/>
          </w:tcPr>
          <w:p w14:paraId="0C3F7B25" w14:textId="77777777" w:rsidR="00E838DF" w:rsidRPr="00E838DF" w:rsidRDefault="00E838DF" w:rsidP="00E838DF">
            <w:pPr>
              <w:spacing w:before="0" w:after="0"/>
              <w:rPr>
                <w:rStyle w:val="BookTitle"/>
              </w:rPr>
            </w:pPr>
            <w:r w:rsidRPr="00E838DF">
              <w:rPr>
                <w:rStyle w:val="BookTitle"/>
              </w:rPr>
              <w:t>36</w:t>
            </w:r>
          </w:p>
        </w:tc>
        <w:tc>
          <w:tcPr>
            <w:tcW w:w="1618" w:type="dxa"/>
            <w:tcBorders>
              <w:top w:val="single" w:sz="4" w:space="0" w:color="auto"/>
              <w:left w:val="nil"/>
              <w:right w:val="nil"/>
            </w:tcBorders>
            <w:shd w:val="clear" w:color="auto" w:fill="auto"/>
            <w:noWrap/>
            <w:vAlign w:val="center"/>
            <w:hideMark/>
          </w:tcPr>
          <w:p w14:paraId="0C3F7B26" w14:textId="77777777" w:rsidR="00E838DF" w:rsidRPr="00E838DF" w:rsidRDefault="00E838DF" w:rsidP="00E838DF">
            <w:pPr>
              <w:spacing w:before="0" w:after="0"/>
              <w:rPr>
                <w:rStyle w:val="BookTitle"/>
              </w:rPr>
            </w:pPr>
            <w:r w:rsidRPr="00E838DF">
              <w:rPr>
                <w:rStyle w:val="BookTitle"/>
              </w:rPr>
              <w:t>13/03/2013</w:t>
            </w:r>
          </w:p>
        </w:tc>
        <w:tc>
          <w:tcPr>
            <w:tcW w:w="1461" w:type="dxa"/>
            <w:tcBorders>
              <w:top w:val="single" w:sz="4" w:space="0" w:color="auto"/>
              <w:left w:val="nil"/>
              <w:right w:val="nil"/>
            </w:tcBorders>
            <w:shd w:val="clear" w:color="auto" w:fill="auto"/>
            <w:noWrap/>
            <w:vAlign w:val="center"/>
            <w:hideMark/>
          </w:tcPr>
          <w:p w14:paraId="0C3F7B27" w14:textId="77777777" w:rsidR="00E838DF" w:rsidRPr="00E838DF" w:rsidRDefault="00E838DF" w:rsidP="00E838DF">
            <w:pPr>
              <w:spacing w:before="0" w:after="0"/>
              <w:rPr>
                <w:rStyle w:val="BookTitle"/>
              </w:rPr>
            </w:pPr>
            <w:r w:rsidRPr="00E838DF">
              <w:rPr>
                <w:rStyle w:val="BookTitle"/>
              </w:rPr>
              <w:t>18/03/2013</w:t>
            </w:r>
          </w:p>
        </w:tc>
      </w:tr>
      <w:tr w:rsidR="00E838DF" w:rsidRPr="00E838DF" w14:paraId="0C3F7B2F" w14:textId="77777777" w:rsidTr="00E838DF">
        <w:trPr>
          <w:trHeight w:val="20"/>
        </w:trPr>
        <w:tc>
          <w:tcPr>
            <w:tcW w:w="1240" w:type="dxa"/>
            <w:vMerge/>
            <w:tcBorders>
              <w:left w:val="nil"/>
              <w:bottom w:val="single" w:sz="4" w:space="0" w:color="auto"/>
              <w:right w:val="nil"/>
            </w:tcBorders>
            <w:shd w:val="clear" w:color="auto" w:fill="auto"/>
            <w:noWrap/>
            <w:vAlign w:val="center"/>
          </w:tcPr>
          <w:p w14:paraId="0C3F7B29" w14:textId="77777777" w:rsidR="00E838DF" w:rsidRPr="00E838DF" w:rsidRDefault="00E838DF" w:rsidP="00E838DF">
            <w:pPr>
              <w:spacing w:before="0" w:after="0"/>
              <w:rPr>
                <w:rStyle w:val="BookTitle"/>
              </w:rPr>
            </w:pPr>
          </w:p>
        </w:tc>
        <w:tc>
          <w:tcPr>
            <w:tcW w:w="2678" w:type="dxa"/>
            <w:tcBorders>
              <w:top w:val="nil"/>
              <w:left w:val="nil"/>
              <w:bottom w:val="single" w:sz="4" w:space="0" w:color="auto"/>
              <w:right w:val="nil"/>
            </w:tcBorders>
            <w:shd w:val="clear" w:color="auto" w:fill="auto"/>
            <w:noWrap/>
            <w:vAlign w:val="center"/>
          </w:tcPr>
          <w:p w14:paraId="0C3F7B2A" w14:textId="77777777" w:rsidR="00E838DF" w:rsidRPr="00E838DF" w:rsidRDefault="00E838DF" w:rsidP="00E838DF">
            <w:pPr>
              <w:spacing w:before="0" w:after="0"/>
              <w:rPr>
                <w:rStyle w:val="BookTitle"/>
              </w:rPr>
            </w:pPr>
            <w:r w:rsidRPr="00E838DF">
              <w:rPr>
                <w:rStyle w:val="BookTitle"/>
              </w:rPr>
              <w:t>Don</w:t>
            </w:r>
          </w:p>
        </w:tc>
        <w:tc>
          <w:tcPr>
            <w:tcW w:w="1120" w:type="dxa"/>
            <w:tcBorders>
              <w:top w:val="nil"/>
              <w:left w:val="nil"/>
              <w:bottom w:val="single" w:sz="4" w:space="0" w:color="auto"/>
              <w:right w:val="nil"/>
            </w:tcBorders>
            <w:shd w:val="clear" w:color="auto" w:fill="auto"/>
            <w:noWrap/>
            <w:vAlign w:val="center"/>
          </w:tcPr>
          <w:p w14:paraId="0C3F7B2B" w14:textId="77777777" w:rsidR="00E838DF" w:rsidRPr="00E838DF" w:rsidRDefault="00E838DF" w:rsidP="00E838DF">
            <w:pPr>
              <w:spacing w:before="0" w:after="0"/>
              <w:rPr>
                <w:rStyle w:val="BookTitle"/>
              </w:rPr>
            </w:pPr>
            <w:r w:rsidRPr="00E838DF">
              <w:rPr>
                <w:rStyle w:val="BookTitle"/>
              </w:rPr>
              <w:t>1</w:t>
            </w:r>
          </w:p>
        </w:tc>
        <w:tc>
          <w:tcPr>
            <w:tcW w:w="1189" w:type="dxa"/>
            <w:tcBorders>
              <w:top w:val="nil"/>
              <w:left w:val="nil"/>
              <w:bottom w:val="single" w:sz="4" w:space="0" w:color="auto"/>
              <w:right w:val="nil"/>
            </w:tcBorders>
            <w:shd w:val="clear" w:color="auto" w:fill="auto"/>
            <w:noWrap/>
            <w:vAlign w:val="center"/>
          </w:tcPr>
          <w:p w14:paraId="0C3F7B2C" w14:textId="77777777" w:rsidR="00E838DF" w:rsidRPr="00E838DF" w:rsidRDefault="00E838DF" w:rsidP="00E838DF">
            <w:pPr>
              <w:spacing w:before="0" w:after="0"/>
              <w:rPr>
                <w:rStyle w:val="BookTitle"/>
              </w:rPr>
            </w:pPr>
            <w:r w:rsidRPr="00E838DF">
              <w:rPr>
                <w:rStyle w:val="BookTitle"/>
              </w:rPr>
              <w:t>11</w:t>
            </w:r>
          </w:p>
        </w:tc>
        <w:tc>
          <w:tcPr>
            <w:tcW w:w="1618" w:type="dxa"/>
            <w:tcBorders>
              <w:top w:val="nil"/>
              <w:left w:val="nil"/>
              <w:bottom w:val="single" w:sz="4" w:space="0" w:color="auto"/>
              <w:right w:val="nil"/>
            </w:tcBorders>
            <w:shd w:val="clear" w:color="auto" w:fill="auto"/>
            <w:noWrap/>
            <w:vAlign w:val="center"/>
          </w:tcPr>
          <w:p w14:paraId="0C3F7B2D" w14:textId="77777777" w:rsidR="00E838DF" w:rsidRPr="00E838DF" w:rsidRDefault="00E838DF" w:rsidP="00E838DF">
            <w:pPr>
              <w:spacing w:before="0" w:after="0"/>
              <w:rPr>
                <w:rStyle w:val="BookTitle"/>
              </w:rPr>
            </w:pPr>
            <w:r w:rsidRPr="00E838DF">
              <w:rPr>
                <w:rStyle w:val="BookTitle"/>
              </w:rPr>
              <w:t>14/03/2013</w:t>
            </w:r>
          </w:p>
        </w:tc>
        <w:tc>
          <w:tcPr>
            <w:tcW w:w="1461" w:type="dxa"/>
            <w:tcBorders>
              <w:top w:val="nil"/>
              <w:left w:val="nil"/>
              <w:bottom w:val="single" w:sz="4" w:space="0" w:color="auto"/>
              <w:right w:val="nil"/>
            </w:tcBorders>
            <w:shd w:val="clear" w:color="auto" w:fill="auto"/>
            <w:noWrap/>
            <w:vAlign w:val="center"/>
          </w:tcPr>
          <w:p w14:paraId="0C3F7B2E" w14:textId="77777777" w:rsidR="00E838DF" w:rsidRPr="00E838DF" w:rsidRDefault="00E838DF" w:rsidP="00E838DF">
            <w:pPr>
              <w:spacing w:before="0" w:after="0"/>
              <w:rPr>
                <w:rStyle w:val="BookTitle"/>
              </w:rPr>
            </w:pPr>
            <w:r w:rsidRPr="00E838DF">
              <w:rPr>
                <w:rStyle w:val="BookTitle"/>
              </w:rPr>
              <w:t>16/03/2013</w:t>
            </w:r>
          </w:p>
        </w:tc>
      </w:tr>
      <w:tr w:rsidR="00E838DF" w:rsidRPr="00E838DF" w14:paraId="0C3F7B36" w14:textId="77777777" w:rsidTr="00E838DF">
        <w:trPr>
          <w:trHeight w:val="20"/>
        </w:trPr>
        <w:tc>
          <w:tcPr>
            <w:tcW w:w="1240" w:type="dxa"/>
            <w:tcBorders>
              <w:top w:val="nil"/>
              <w:left w:val="nil"/>
              <w:bottom w:val="single" w:sz="4" w:space="0" w:color="auto"/>
              <w:right w:val="nil"/>
            </w:tcBorders>
            <w:shd w:val="clear" w:color="auto" w:fill="auto"/>
            <w:noWrap/>
            <w:vAlign w:val="center"/>
            <w:hideMark/>
          </w:tcPr>
          <w:p w14:paraId="0C3F7B30" w14:textId="77777777" w:rsidR="00E838DF" w:rsidRPr="009C4D9F" w:rsidRDefault="00E838DF" w:rsidP="00E838DF">
            <w:pPr>
              <w:spacing w:before="0" w:after="0"/>
              <w:rPr>
                <w:rStyle w:val="BookTitle"/>
                <w:i/>
              </w:rPr>
            </w:pPr>
            <w:r w:rsidRPr="009C4D9F">
              <w:rPr>
                <w:rStyle w:val="BookTitle"/>
                <w:i/>
              </w:rPr>
              <w:t>Burnet-Mary</w:t>
            </w:r>
          </w:p>
        </w:tc>
        <w:tc>
          <w:tcPr>
            <w:tcW w:w="2678" w:type="dxa"/>
            <w:tcBorders>
              <w:top w:val="single" w:sz="4" w:space="0" w:color="auto"/>
              <w:left w:val="nil"/>
              <w:bottom w:val="single" w:sz="4" w:space="0" w:color="auto"/>
              <w:right w:val="nil"/>
            </w:tcBorders>
            <w:shd w:val="clear" w:color="auto" w:fill="auto"/>
            <w:noWrap/>
            <w:vAlign w:val="center"/>
            <w:hideMark/>
          </w:tcPr>
          <w:p w14:paraId="0C3F7B31" w14:textId="77777777" w:rsidR="00E838DF" w:rsidRPr="009C4D9F" w:rsidRDefault="00E838DF" w:rsidP="00E838DF">
            <w:pPr>
              <w:spacing w:before="0" w:after="0"/>
              <w:rPr>
                <w:rStyle w:val="BookTitle"/>
                <w:i/>
              </w:rPr>
            </w:pPr>
            <w:r w:rsidRPr="009C4D9F">
              <w:rPr>
                <w:rStyle w:val="BookTitle"/>
                <w:i/>
              </w:rPr>
              <w:t>Mary</w:t>
            </w:r>
          </w:p>
        </w:tc>
        <w:tc>
          <w:tcPr>
            <w:tcW w:w="1120" w:type="dxa"/>
            <w:tcBorders>
              <w:top w:val="single" w:sz="4" w:space="0" w:color="auto"/>
              <w:left w:val="nil"/>
              <w:bottom w:val="single" w:sz="4" w:space="0" w:color="auto"/>
              <w:right w:val="nil"/>
            </w:tcBorders>
            <w:shd w:val="clear" w:color="auto" w:fill="auto"/>
            <w:noWrap/>
            <w:vAlign w:val="center"/>
            <w:hideMark/>
          </w:tcPr>
          <w:p w14:paraId="0C3F7B32" w14:textId="77777777" w:rsidR="00E838DF" w:rsidRPr="009C4D9F" w:rsidRDefault="00E838DF" w:rsidP="00E838DF">
            <w:pPr>
              <w:spacing w:before="0" w:after="0"/>
              <w:rPr>
                <w:rStyle w:val="BookTitle"/>
                <w:i/>
              </w:rPr>
            </w:pPr>
            <w:r w:rsidRPr="009C4D9F">
              <w:rPr>
                <w:rStyle w:val="BookTitle"/>
                <w:i/>
              </w:rPr>
              <w:t>1</w:t>
            </w:r>
          </w:p>
        </w:tc>
        <w:tc>
          <w:tcPr>
            <w:tcW w:w="1189" w:type="dxa"/>
            <w:tcBorders>
              <w:top w:val="single" w:sz="4" w:space="0" w:color="auto"/>
              <w:left w:val="nil"/>
              <w:bottom w:val="single" w:sz="4" w:space="0" w:color="auto"/>
              <w:right w:val="nil"/>
            </w:tcBorders>
            <w:shd w:val="clear" w:color="auto" w:fill="auto"/>
            <w:noWrap/>
            <w:vAlign w:val="center"/>
            <w:hideMark/>
          </w:tcPr>
          <w:p w14:paraId="0C3F7B33" w14:textId="77777777" w:rsidR="00E838DF" w:rsidRPr="009C4D9F" w:rsidRDefault="00E838DF" w:rsidP="00E838DF">
            <w:pPr>
              <w:spacing w:before="0" w:after="0"/>
              <w:rPr>
                <w:rStyle w:val="BookTitle"/>
                <w:i/>
              </w:rPr>
            </w:pPr>
            <w:r w:rsidRPr="009C4D9F">
              <w:rPr>
                <w:rStyle w:val="BookTitle"/>
                <w:i/>
              </w:rPr>
              <w:t>12</w:t>
            </w:r>
          </w:p>
        </w:tc>
        <w:tc>
          <w:tcPr>
            <w:tcW w:w="1618" w:type="dxa"/>
            <w:tcBorders>
              <w:top w:val="single" w:sz="4" w:space="0" w:color="auto"/>
              <w:left w:val="nil"/>
              <w:bottom w:val="single" w:sz="4" w:space="0" w:color="auto"/>
              <w:right w:val="nil"/>
            </w:tcBorders>
            <w:shd w:val="clear" w:color="auto" w:fill="auto"/>
            <w:noWrap/>
            <w:vAlign w:val="center"/>
            <w:hideMark/>
          </w:tcPr>
          <w:p w14:paraId="0C3F7B34" w14:textId="77777777" w:rsidR="00E838DF" w:rsidRPr="009C4D9F" w:rsidRDefault="00E838DF" w:rsidP="00E838DF">
            <w:pPr>
              <w:spacing w:before="0" w:after="0"/>
              <w:rPr>
                <w:rStyle w:val="BookTitle"/>
                <w:i/>
              </w:rPr>
            </w:pPr>
            <w:r w:rsidRPr="009C4D9F">
              <w:rPr>
                <w:rStyle w:val="BookTitle"/>
                <w:i/>
              </w:rPr>
              <w:t>08/02/2013</w:t>
            </w:r>
          </w:p>
        </w:tc>
        <w:tc>
          <w:tcPr>
            <w:tcW w:w="1461" w:type="dxa"/>
            <w:tcBorders>
              <w:top w:val="single" w:sz="4" w:space="0" w:color="auto"/>
              <w:left w:val="nil"/>
              <w:bottom w:val="single" w:sz="4" w:space="0" w:color="auto"/>
              <w:right w:val="nil"/>
            </w:tcBorders>
            <w:shd w:val="clear" w:color="auto" w:fill="auto"/>
            <w:noWrap/>
            <w:vAlign w:val="center"/>
            <w:hideMark/>
          </w:tcPr>
          <w:p w14:paraId="0C3F7B35" w14:textId="77777777" w:rsidR="00E838DF" w:rsidRPr="009C4D9F" w:rsidRDefault="00E838DF" w:rsidP="00E838DF">
            <w:pPr>
              <w:spacing w:before="0" w:after="0"/>
              <w:rPr>
                <w:rStyle w:val="BookTitle"/>
                <w:i/>
              </w:rPr>
            </w:pPr>
            <w:r w:rsidRPr="009C4D9F">
              <w:rPr>
                <w:rStyle w:val="BookTitle"/>
                <w:i/>
              </w:rPr>
              <w:t>09/02/2013</w:t>
            </w:r>
          </w:p>
        </w:tc>
      </w:tr>
    </w:tbl>
    <w:p w14:paraId="0C3F7B37" w14:textId="77777777" w:rsidR="00E838DF" w:rsidRDefault="00E838DF" w:rsidP="00E838DF"/>
    <w:p w14:paraId="0C3F7B38" w14:textId="77777777" w:rsidR="00E838DF" w:rsidRDefault="00110A7F" w:rsidP="00110A7F">
      <w:pPr>
        <w:pStyle w:val="Caption"/>
      </w:pPr>
      <w:bookmarkStart w:id="13" w:name="_Toc434208061"/>
      <w:r>
        <w:t xml:space="preserve">Table </w:t>
      </w:r>
      <w:r w:rsidR="00AE4287">
        <w:fldChar w:fldCharType="begin"/>
      </w:r>
      <w:r w:rsidR="00AE4287">
        <w:instrText xml:space="preserve"> STYLEREF 1 \s </w:instrText>
      </w:r>
      <w:r w:rsidR="00AE4287">
        <w:fldChar w:fldCharType="separate"/>
      </w:r>
      <w:r w:rsidR="00B62B50">
        <w:rPr>
          <w:noProof/>
        </w:rPr>
        <w:t>1</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2</w:t>
      </w:r>
      <w:r w:rsidR="00AE4287">
        <w:fldChar w:fldCharType="end"/>
      </w:r>
      <w:r>
        <w:t xml:space="preserve">: </w:t>
      </w:r>
      <w:r w:rsidR="00E838DF">
        <w:t>List of all water quality parameters collected as part of the MMP wet season water quality program</w:t>
      </w:r>
      <w:r w:rsidR="00D23397">
        <w:t>.</w:t>
      </w:r>
      <w:bookmarkEnd w:id="13"/>
    </w:p>
    <w:tbl>
      <w:tblPr>
        <w:tblStyle w:val="TableGrid"/>
        <w:tblW w:w="9198" w:type="dxa"/>
        <w:tblLook w:val="04A0" w:firstRow="1" w:lastRow="0" w:firstColumn="1" w:lastColumn="0" w:noHBand="0" w:noVBand="1"/>
        <w:tblCaption w:val="List of all water quality parameters collected as part of the MMP wet season water quality program."/>
        <w:tblDescription w:val="List of all water quality parameters collected as part of the MMP wet season water quality program."/>
      </w:tblPr>
      <w:tblGrid>
        <w:gridCol w:w="1908"/>
        <w:gridCol w:w="3780"/>
        <w:gridCol w:w="1620"/>
        <w:gridCol w:w="1890"/>
      </w:tblGrid>
      <w:tr w:rsidR="00E838DF" w:rsidRPr="00E838DF" w14:paraId="0C3F7B3D" w14:textId="77777777" w:rsidTr="00110A7F">
        <w:tc>
          <w:tcPr>
            <w:tcW w:w="1908" w:type="dxa"/>
            <w:tcBorders>
              <w:top w:val="single" w:sz="4" w:space="0" w:color="auto"/>
              <w:left w:val="nil"/>
              <w:bottom w:val="single" w:sz="4" w:space="0" w:color="auto"/>
              <w:right w:val="nil"/>
            </w:tcBorders>
          </w:tcPr>
          <w:p w14:paraId="0C3F7B39" w14:textId="77777777" w:rsidR="00E838DF" w:rsidRPr="00E838DF" w:rsidRDefault="00E838DF" w:rsidP="00E838DF">
            <w:pPr>
              <w:spacing w:before="0" w:after="0"/>
              <w:rPr>
                <w:rStyle w:val="BookTitle"/>
              </w:rPr>
            </w:pPr>
            <w:r w:rsidRPr="00E838DF">
              <w:rPr>
                <w:rStyle w:val="BookTitle"/>
              </w:rPr>
              <w:t>Condition</w:t>
            </w:r>
          </w:p>
        </w:tc>
        <w:tc>
          <w:tcPr>
            <w:tcW w:w="3780" w:type="dxa"/>
            <w:tcBorders>
              <w:top w:val="single" w:sz="4" w:space="0" w:color="auto"/>
              <w:left w:val="nil"/>
              <w:bottom w:val="single" w:sz="4" w:space="0" w:color="auto"/>
              <w:right w:val="nil"/>
            </w:tcBorders>
          </w:tcPr>
          <w:p w14:paraId="0C3F7B3A" w14:textId="77777777" w:rsidR="00E838DF" w:rsidRPr="00E838DF" w:rsidRDefault="00E838DF" w:rsidP="00E838DF">
            <w:pPr>
              <w:spacing w:before="0" w:after="0"/>
              <w:rPr>
                <w:rStyle w:val="BookTitle"/>
              </w:rPr>
            </w:pPr>
            <w:r w:rsidRPr="00E838DF">
              <w:rPr>
                <w:rStyle w:val="BookTitle"/>
              </w:rPr>
              <w:t>Parameter</w:t>
            </w:r>
          </w:p>
        </w:tc>
        <w:tc>
          <w:tcPr>
            <w:tcW w:w="1620" w:type="dxa"/>
            <w:tcBorders>
              <w:top w:val="single" w:sz="4" w:space="0" w:color="auto"/>
              <w:left w:val="nil"/>
              <w:bottom w:val="single" w:sz="4" w:space="0" w:color="auto"/>
              <w:right w:val="nil"/>
            </w:tcBorders>
          </w:tcPr>
          <w:p w14:paraId="0C3F7B3B" w14:textId="77777777" w:rsidR="00E838DF" w:rsidRPr="00E838DF" w:rsidRDefault="00E838DF" w:rsidP="00E838DF">
            <w:pPr>
              <w:spacing w:before="0" w:after="0"/>
              <w:rPr>
                <w:rStyle w:val="BookTitle"/>
              </w:rPr>
            </w:pPr>
            <w:r w:rsidRPr="00E838DF">
              <w:rPr>
                <w:rStyle w:val="BookTitle"/>
              </w:rPr>
              <w:t>Terminology</w:t>
            </w:r>
          </w:p>
        </w:tc>
        <w:tc>
          <w:tcPr>
            <w:tcW w:w="1890" w:type="dxa"/>
            <w:tcBorders>
              <w:top w:val="single" w:sz="4" w:space="0" w:color="auto"/>
              <w:left w:val="nil"/>
              <w:bottom w:val="single" w:sz="4" w:space="0" w:color="auto"/>
              <w:right w:val="nil"/>
            </w:tcBorders>
          </w:tcPr>
          <w:p w14:paraId="0C3F7B3C" w14:textId="77777777" w:rsidR="00E838DF" w:rsidRPr="00E838DF" w:rsidRDefault="00E838DF" w:rsidP="00E838DF">
            <w:pPr>
              <w:spacing w:before="0" w:after="0"/>
              <w:rPr>
                <w:rStyle w:val="BookTitle"/>
              </w:rPr>
            </w:pPr>
            <w:r w:rsidRPr="00E838DF">
              <w:rPr>
                <w:rStyle w:val="BookTitle"/>
              </w:rPr>
              <w:t>Units of Measure</w:t>
            </w:r>
          </w:p>
        </w:tc>
      </w:tr>
      <w:tr w:rsidR="00E838DF" w:rsidRPr="00E838DF" w14:paraId="0C3F7B42" w14:textId="77777777" w:rsidTr="00110A7F">
        <w:tc>
          <w:tcPr>
            <w:tcW w:w="1908" w:type="dxa"/>
            <w:tcBorders>
              <w:top w:val="single" w:sz="4" w:space="0" w:color="auto"/>
              <w:left w:val="nil"/>
              <w:bottom w:val="nil"/>
              <w:right w:val="nil"/>
            </w:tcBorders>
          </w:tcPr>
          <w:p w14:paraId="0C3F7B3E" w14:textId="77777777" w:rsidR="00E838DF" w:rsidRPr="00E838DF" w:rsidRDefault="00E838DF" w:rsidP="00E838DF">
            <w:pPr>
              <w:spacing w:before="0" w:after="0"/>
              <w:rPr>
                <w:rStyle w:val="BookTitle"/>
              </w:rPr>
            </w:pPr>
            <w:r w:rsidRPr="00E838DF">
              <w:rPr>
                <w:rStyle w:val="BookTitle"/>
              </w:rPr>
              <w:t>Physico-chemical</w:t>
            </w:r>
          </w:p>
        </w:tc>
        <w:tc>
          <w:tcPr>
            <w:tcW w:w="3780" w:type="dxa"/>
            <w:tcBorders>
              <w:top w:val="single" w:sz="4" w:space="0" w:color="auto"/>
              <w:left w:val="nil"/>
              <w:bottom w:val="nil"/>
              <w:right w:val="nil"/>
            </w:tcBorders>
          </w:tcPr>
          <w:p w14:paraId="0C3F7B3F" w14:textId="77777777" w:rsidR="00E838DF" w:rsidRPr="00E838DF" w:rsidRDefault="00E838DF" w:rsidP="00E838DF">
            <w:pPr>
              <w:spacing w:before="0" w:after="0"/>
              <w:rPr>
                <w:rStyle w:val="BookTitle"/>
              </w:rPr>
            </w:pPr>
            <w:r w:rsidRPr="00E838DF">
              <w:rPr>
                <w:rStyle w:val="BookTitle"/>
              </w:rPr>
              <w:t>Salinity</w:t>
            </w:r>
          </w:p>
        </w:tc>
        <w:tc>
          <w:tcPr>
            <w:tcW w:w="1620" w:type="dxa"/>
            <w:tcBorders>
              <w:top w:val="single" w:sz="4" w:space="0" w:color="auto"/>
              <w:left w:val="nil"/>
              <w:bottom w:val="nil"/>
              <w:right w:val="nil"/>
            </w:tcBorders>
          </w:tcPr>
          <w:p w14:paraId="0C3F7B40" w14:textId="77777777" w:rsidR="00E838DF" w:rsidRPr="00E838DF" w:rsidRDefault="00E838DF" w:rsidP="00E838DF">
            <w:pPr>
              <w:spacing w:before="0" w:after="0"/>
              <w:rPr>
                <w:rStyle w:val="BookTitle"/>
              </w:rPr>
            </w:pPr>
            <w:r w:rsidRPr="00E838DF">
              <w:rPr>
                <w:rStyle w:val="BookTitle"/>
              </w:rPr>
              <w:t>Salinity</w:t>
            </w:r>
          </w:p>
        </w:tc>
        <w:tc>
          <w:tcPr>
            <w:tcW w:w="1890" w:type="dxa"/>
            <w:tcBorders>
              <w:top w:val="single" w:sz="4" w:space="0" w:color="auto"/>
              <w:left w:val="nil"/>
              <w:bottom w:val="nil"/>
              <w:right w:val="nil"/>
            </w:tcBorders>
          </w:tcPr>
          <w:p w14:paraId="0C3F7B41" w14:textId="77777777" w:rsidR="00E838DF" w:rsidRPr="00E838DF" w:rsidRDefault="00D23397" w:rsidP="00E838DF">
            <w:pPr>
              <w:spacing w:before="0" w:after="0"/>
              <w:rPr>
                <w:rStyle w:val="BookTitle"/>
              </w:rPr>
            </w:pPr>
            <w:r>
              <w:rPr>
                <w:rStyle w:val="BookTitle"/>
              </w:rPr>
              <w:t>PSU</w:t>
            </w:r>
          </w:p>
        </w:tc>
      </w:tr>
      <w:tr w:rsidR="00E838DF" w:rsidRPr="00E838DF" w14:paraId="0C3F7B47" w14:textId="77777777" w:rsidTr="00E838DF">
        <w:trPr>
          <w:trHeight w:val="233"/>
        </w:trPr>
        <w:tc>
          <w:tcPr>
            <w:tcW w:w="1908" w:type="dxa"/>
            <w:tcBorders>
              <w:top w:val="nil"/>
              <w:left w:val="nil"/>
              <w:bottom w:val="nil"/>
              <w:right w:val="nil"/>
            </w:tcBorders>
          </w:tcPr>
          <w:p w14:paraId="0C3F7B43" w14:textId="77777777" w:rsidR="00E838DF" w:rsidRPr="00E838DF" w:rsidRDefault="00E838DF" w:rsidP="00E838DF">
            <w:pPr>
              <w:spacing w:before="0" w:after="0"/>
              <w:rPr>
                <w:rStyle w:val="BookTitle"/>
              </w:rPr>
            </w:pPr>
          </w:p>
        </w:tc>
        <w:tc>
          <w:tcPr>
            <w:tcW w:w="3780" w:type="dxa"/>
            <w:tcBorders>
              <w:top w:val="nil"/>
              <w:left w:val="nil"/>
              <w:bottom w:val="nil"/>
              <w:right w:val="nil"/>
            </w:tcBorders>
          </w:tcPr>
          <w:p w14:paraId="0C3F7B44" w14:textId="77777777" w:rsidR="00E838DF" w:rsidRPr="00E838DF" w:rsidRDefault="00E838DF" w:rsidP="00E838DF">
            <w:pPr>
              <w:spacing w:before="0" w:after="0"/>
              <w:rPr>
                <w:rStyle w:val="BookTitle"/>
              </w:rPr>
            </w:pPr>
            <w:r w:rsidRPr="00E838DF">
              <w:rPr>
                <w:rStyle w:val="BookTitle"/>
              </w:rPr>
              <w:t>Temperature</w:t>
            </w:r>
          </w:p>
        </w:tc>
        <w:tc>
          <w:tcPr>
            <w:tcW w:w="1620" w:type="dxa"/>
            <w:tcBorders>
              <w:top w:val="nil"/>
              <w:left w:val="nil"/>
              <w:bottom w:val="nil"/>
              <w:right w:val="nil"/>
            </w:tcBorders>
          </w:tcPr>
          <w:p w14:paraId="0C3F7B45" w14:textId="77777777" w:rsidR="00E838DF" w:rsidRPr="00E838DF" w:rsidRDefault="00E838DF" w:rsidP="00E838DF">
            <w:pPr>
              <w:spacing w:before="0" w:after="0"/>
              <w:rPr>
                <w:rStyle w:val="BookTitle"/>
              </w:rPr>
            </w:pPr>
            <w:r w:rsidRPr="00E838DF">
              <w:rPr>
                <w:rStyle w:val="BookTitle"/>
              </w:rPr>
              <w:t>Temperature</w:t>
            </w:r>
          </w:p>
        </w:tc>
        <w:tc>
          <w:tcPr>
            <w:tcW w:w="1890" w:type="dxa"/>
            <w:tcBorders>
              <w:top w:val="nil"/>
              <w:left w:val="nil"/>
              <w:bottom w:val="nil"/>
              <w:right w:val="nil"/>
            </w:tcBorders>
          </w:tcPr>
          <w:p w14:paraId="0C3F7B46" w14:textId="77777777" w:rsidR="00E838DF" w:rsidRPr="00E838DF" w:rsidRDefault="00D23397" w:rsidP="00E838DF">
            <w:pPr>
              <w:spacing w:before="0" w:after="0"/>
              <w:rPr>
                <w:rStyle w:val="BookTitle"/>
              </w:rPr>
            </w:pPr>
            <w:r>
              <w:rPr>
                <w:rStyle w:val="BookTitle"/>
              </w:rPr>
              <w:t>Celsius degree</w:t>
            </w:r>
          </w:p>
        </w:tc>
      </w:tr>
      <w:tr w:rsidR="00E838DF" w:rsidRPr="00E838DF" w14:paraId="0C3F7B4C" w14:textId="77777777" w:rsidTr="00110A7F">
        <w:tc>
          <w:tcPr>
            <w:tcW w:w="1908" w:type="dxa"/>
            <w:tcBorders>
              <w:top w:val="nil"/>
              <w:left w:val="nil"/>
              <w:bottom w:val="single" w:sz="4" w:space="0" w:color="auto"/>
              <w:right w:val="nil"/>
            </w:tcBorders>
          </w:tcPr>
          <w:p w14:paraId="0C3F7B48" w14:textId="77777777" w:rsidR="00E838DF" w:rsidRPr="00E838DF" w:rsidRDefault="00E838DF" w:rsidP="00E838DF">
            <w:pPr>
              <w:spacing w:before="0" w:after="0"/>
              <w:rPr>
                <w:rStyle w:val="BookTitle"/>
              </w:rPr>
            </w:pPr>
          </w:p>
        </w:tc>
        <w:tc>
          <w:tcPr>
            <w:tcW w:w="3780" w:type="dxa"/>
            <w:tcBorders>
              <w:top w:val="nil"/>
              <w:left w:val="nil"/>
              <w:bottom w:val="single" w:sz="4" w:space="0" w:color="auto"/>
              <w:right w:val="nil"/>
            </w:tcBorders>
          </w:tcPr>
          <w:p w14:paraId="0C3F7B49" w14:textId="77777777" w:rsidR="00E838DF" w:rsidRPr="00E838DF" w:rsidRDefault="00E838DF" w:rsidP="00E838DF">
            <w:pPr>
              <w:spacing w:before="0" w:after="0"/>
              <w:rPr>
                <w:rStyle w:val="BookTitle"/>
              </w:rPr>
            </w:pPr>
            <w:r w:rsidRPr="00E838DF">
              <w:rPr>
                <w:rStyle w:val="BookTitle"/>
              </w:rPr>
              <w:t>Dissolved Oxygen</w:t>
            </w:r>
          </w:p>
        </w:tc>
        <w:tc>
          <w:tcPr>
            <w:tcW w:w="1620" w:type="dxa"/>
            <w:tcBorders>
              <w:top w:val="nil"/>
              <w:left w:val="nil"/>
              <w:bottom w:val="single" w:sz="4" w:space="0" w:color="auto"/>
              <w:right w:val="nil"/>
            </w:tcBorders>
          </w:tcPr>
          <w:p w14:paraId="0C3F7B4A" w14:textId="77777777" w:rsidR="00E838DF" w:rsidRPr="00E838DF" w:rsidRDefault="00E838DF" w:rsidP="00E838DF">
            <w:pPr>
              <w:spacing w:before="0" w:after="0"/>
              <w:rPr>
                <w:rStyle w:val="BookTitle"/>
              </w:rPr>
            </w:pPr>
            <w:r w:rsidRPr="00E838DF">
              <w:rPr>
                <w:rStyle w:val="BookTitle"/>
              </w:rPr>
              <w:t>DO</w:t>
            </w:r>
          </w:p>
        </w:tc>
        <w:tc>
          <w:tcPr>
            <w:tcW w:w="1890" w:type="dxa"/>
            <w:tcBorders>
              <w:top w:val="nil"/>
              <w:left w:val="nil"/>
              <w:bottom w:val="single" w:sz="4" w:space="0" w:color="auto"/>
              <w:right w:val="nil"/>
            </w:tcBorders>
          </w:tcPr>
          <w:p w14:paraId="0C3F7B4B" w14:textId="77777777" w:rsidR="00E838DF" w:rsidRPr="00E838DF" w:rsidRDefault="00D23397" w:rsidP="00E838DF">
            <w:pPr>
              <w:spacing w:before="0" w:after="0"/>
              <w:rPr>
                <w:rStyle w:val="BookTitle"/>
              </w:rPr>
            </w:pPr>
            <w:r>
              <w:rPr>
                <w:rStyle w:val="BookTitle"/>
              </w:rPr>
              <w:t>m</w:t>
            </w:r>
            <w:r w:rsidRPr="00E838DF">
              <w:rPr>
                <w:rStyle w:val="BookTitle"/>
              </w:rPr>
              <w:t>g/L</w:t>
            </w:r>
          </w:p>
        </w:tc>
      </w:tr>
      <w:tr w:rsidR="00E838DF" w:rsidRPr="00E838DF" w14:paraId="0C3F7B51" w14:textId="77777777" w:rsidTr="00110A7F">
        <w:tc>
          <w:tcPr>
            <w:tcW w:w="1908" w:type="dxa"/>
            <w:tcBorders>
              <w:top w:val="single" w:sz="4" w:space="0" w:color="auto"/>
              <w:left w:val="nil"/>
              <w:bottom w:val="nil"/>
              <w:right w:val="nil"/>
            </w:tcBorders>
          </w:tcPr>
          <w:p w14:paraId="0C3F7B4D" w14:textId="77777777" w:rsidR="00E838DF" w:rsidRPr="00E838DF" w:rsidRDefault="00E838DF" w:rsidP="00E838DF">
            <w:pPr>
              <w:spacing w:before="0" w:after="0"/>
              <w:rPr>
                <w:rStyle w:val="BookTitle"/>
              </w:rPr>
            </w:pPr>
            <w:r w:rsidRPr="00E838DF">
              <w:rPr>
                <w:rStyle w:val="BookTitle"/>
              </w:rPr>
              <w:t>Turbidity</w:t>
            </w:r>
          </w:p>
        </w:tc>
        <w:tc>
          <w:tcPr>
            <w:tcW w:w="3780" w:type="dxa"/>
            <w:tcBorders>
              <w:top w:val="single" w:sz="4" w:space="0" w:color="auto"/>
              <w:left w:val="nil"/>
              <w:bottom w:val="nil"/>
              <w:right w:val="nil"/>
            </w:tcBorders>
          </w:tcPr>
          <w:p w14:paraId="0C3F7B4E" w14:textId="77777777" w:rsidR="00E838DF" w:rsidRPr="00E838DF" w:rsidRDefault="00E838DF" w:rsidP="00E838DF">
            <w:pPr>
              <w:spacing w:before="0" w:after="0"/>
              <w:rPr>
                <w:rStyle w:val="BookTitle"/>
              </w:rPr>
            </w:pPr>
            <w:r w:rsidRPr="00E838DF">
              <w:rPr>
                <w:rStyle w:val="BookTitle"/>
              </w:rPr>
              <w:t xml:space="preserve">Total Suspended Sediment </w:t>
            </w:r>
          </w:p>
        </w:tc>
        <w:tc>
          <w:tcPr>
            <w:tcW w:w="1620" w:type="dxa"/>
            <w:tcBorders>
              <w:top w:val="single" w:sz="4" w:space="0" w:color="auto"/>
              <w:left w:val="nil"/>
              <w:bottom w:val="nil"/>
              <w:right w:val="nil"/>
            </w:tcBorders>
          </w:tcPr>
          <w:p w14:paraId="0C3F7B4F" w14:textId="77777777" w:rsidR="00E838DF" w:rsidRPr="00E838DF" w:rsidRDefault="00E838DF" w:rsidP="00E838DF">
            <w:pPr>
              <w:spacing w:before="0" w:after="0"/>
              <w:rPr>
                <w:rStyle w:val="BookTitle"/>
              </w:rPr>
            </w:pPr>
            <w:r w:rsidRPr="00E838DF">
              <w:rPr>
                <w:rStyle w:val="BookTitle"/>
              </w:rPr>
              <w:t>TSS</w:t>
            </w:r>
          </w:p>
        </w:tc>
        <w:tc>
          <w:tcPr>
            <w:tcW w:w="1890" w:type="dxa"/>
            <w:tcBorders>
              <w:top w:val="single" w:sz="4" w:space="0" w:color="auto"/>
              <w:left w:val="nil"/>
              <w:bottom w:val="nil"/>
              <w:right w:val="nil"/>
            </w:tcBorders>
          </w:tcPr>
          <w:p w14:paraId="0C3F7B50" w14:textId="77777777" w:rsidR="00E838DF" w:rsidRPr="00E838DF" w:rsidRDefault="00E838DF" w:rsidP="00E838DF">
            <w:pPr>
              <w:spacing w:before="0" w:after="0"/>
              <w:rPr>
                <w:rStyle w:val="BookTitle"/>
              </w:rPr>
            </w:pPr>
            <w:r w:rsidRPr="00E838DF">
              <w:rPr>
                <w:rStyle w:val="BookTitle"/>
              </w:rPr>
              <w:t>mg/L</w:t>
            </w:r>
          </w:p>
        </w:tc>
      </w:tr>
      <w:tr w:rsidR="00E838DF" w:rsidRPr="00E838DF" w14:paraId="0C3F7B56" w14:textId="77777777" w:rsidTr="00110A7F">
        <w:tc>
          <w:tcPr>
            <w:tcW w:w="1908" w:type="dxa"/>
            <w:tcBorders>
              <w:top w:val="nil"/>
              <w:left w:val="nil"/>
              <w:bottom w:val="nil"/>
              <w:right w:val="nil"/>
            </w:tcBorders>
          </w:tcPr>
          <w:p w14:paraId="0C3F7B52" w14:textId="77777777" w:rsidR="00E838DF" w:rsidRPr="00E838DF" w:rsidRDefault="00E838DF" w:rsidP="00E838DF">
            <w:pPr>
              <w:spacing w:before="0" w:after="0"/>
              <w:rPr>
                <w:rStyle w:val="BookTitle"/>
              </w:rPr>
            </w:pPr>
          </w:p>
        </w:tc>
        <w:tc>
          <w:tcPr>
            <w:tcW w:w="3780" w:type="dxa"/>
            <w:tcBorders>
              <w:top w:val="nil"/>
              <w:left w:val="nil"/>
              <w:bottom w:val="nil"/>
              <w:right w:val="nil"/>
            </w:tcBorders>
          </w:tcPr>
          <w:p w14:paraId="0C3F7B53" w14:textId="77777777" w:rsidR="00E838DF" w:rsidRPr="00E838DF" w:rsidRDefault="00E838DF" w:rsidP="00E838DF">
            <w:pPr>
              <w:spacing w:before="0" w:after="0"/>
              <w:rPr>
                <w:rStyle w:val="BookTitle"/>
              </w:rPr>
            </w:pPr>
            <w:r w:rsidRPr="00E838DF">
              <w:rPr>
                <w:rStyle w:val="BookTitle"/>
              </w:rPr>
              <w:t>Light Attenuation</w:t>
            </w:r>
          </w:p>
        </w:tc>
        <w:tc>
          <w:tcPr>
            <w:tcW w:w="1620" w:type="dxa"/>
            <w:tcBorders>
              <w:top w:val="nil"/>
              <w:left w:val="nil"/>
              <w:bottom w:val="nil"/>
              <w:right w:val="nil"/>
            </w:tcBorders>
          </w:tcPr>
          <w:p w14:paraId="0C3F7B54" w14:textId="77777777" w:rsidR="00E838DF" w:rsidRPr="00E838DF" w:rsidRDefault="00362A9F" w:rsidP="00E838DF">
            <w:pPr>
              <w:spacing w:before="0" w:after="0"/>
              <w:rPr>
                <w:rStyle w:val="BookTitle"/>
              </w:rPr>
            </w:pPr>
            <w:r>
              <w:rPr>
                <w:rStyle w:val="BookTitle"/>
              </w:rPr>
              <w:t>Kd(PAR)</w:t>
            </w:r>
          </w:p>
        </w:tc>
        <w:tc>
          <w:tcPr>
            <w:tcW w:w="1890" w:type="dxa"/>
            <w:tcBorders>
              <w:top w:val="nil"/>
              <w:left w:val="nil"/>
              <w:bottom w:val="nil"/>
              <w:right w:val="nil"/>
            </w:tcBorders>
          </w:tcPr>
          <w:p w14:paraId="0C3F7B55" w14:textId="77777777" w:rsidR="00E838DF" w:rsidRPr="00E838DF" w:rsidRDefault="00E838DF" w:rsidP="00E838DF">
            <w:pPr>
              <w:spacing w:before="0" w:after="0"/>
              <w:rPr>
                <w:rStyle w:val="BookTitle"/>
              </w:rPr>
            </w:pPr>
            <w:r w:rsidRPr="00E838DF">
              <w:rPr>
                <w:rStyle w:val="BookTitle"/>
              </w:rPr>
              <w:t>m</w:t>
            </w:r>
            <w:r w:rsidRPr="00935052">
              <w:rPr>
                <w:rStyle w:val="BookTitle"/>
                <w:vertAlign w:val="superscript"/>
              </w:rPr>
              <w:t>-1</w:t>
            </w:r>
          </w:p>
        </w:tc>
      </w:tr>
      <w:tr w:rsidR="00E838DF" w:rsidRPr="00E838DF" w14:paraId="0C3F7B5B" w14:textId="77777777" w:rsidTr="00110A7F">
        <w:tc>
          <w:tcPr>
            <w:tcW w:w="1908" w:type="dxa"/>
            <w:tcBorders>
              <w:top w:val="nil"/>
              <w:left w:val="nil"/>
              <w:bottom w:val="single" w:sz="4" w:space="0" w:color="auto"/>
              <w:right w:val="nil"/>
            </w:tcBorders>
          </w:tcPr>
          <w:p w14:paraId="0C3F7B57" w14:textId="77777777" w:rsidR="00E838DF" w:rsidRPr="00E838DF" w:rsidRDefault="00E838DF" w:rsidP="00E838DF">
            <w:pPr>
              <w:spacing w:before="0" w:after="0"/>
              <w:rPr>
                <w:rStyle w:val="BookTitle"/>
              </w:rPr>
            </w:pPr>
          </w:p>
        </w:tc>
        <w:tc>
          <w:tcPr>
            <w:tcW w:w="3780" w:type="dxa"/>
            <w:tcBorders>
              <w:top w:val="nil"/>
              <w:left w:val="nil"/>
              <w:bottom w:val="single" w:sz="4" w:space="0" w:color="auto"/>
              <w:right w:val="nil"/>
            </w:tcBorders>
          </w:tcPr>
          <w:p w14:paraId="0C3F7B58" w14:textId="77777777" w:rsidR="00E838DF" w:rsidRPr="00E838DF" w:rsidRDefault="00E838DF" w:rsidP="00E838DF">
            <w:pPr>
              <w:spacing w:before="0" w:after="0"/>
              <w:rPr>
                <w:rStyle w:val="BookTitle"/>
              </w:rPr>
            </w:pPr>
            <w:r w:rsidRPr="00E838DF">
              <w:rPr>
                <w:rStyle w:val="BookTitle"/>
              </w:rPr>
              <w:t>Coloured Dissolved Organic Matter</w:t>
            </w:r>
          </w:p>
        </w:tc>
        <w:tc>
          <w:tcPr>
            <w:tcW w:w="1620" w:type="dxa"/>
            <w:tcBorders>
              <w:top w:val="nil"/>
              <w:left w:val="nil"/>
              <w:bottom w:val="single" w:sz="4" w:space="0" w:color="auto"/>
              <w:right w:val="nil"/>
            </w:tcBorders>
          </w:tcPr>
          <w:p w14:paraId="0C3F7B59" w14:textId="77777777" w:rsidR="00E838DF" w:rsidRPr="00E838DF" w:rsidRDefault="00E838DF" w:rsidP="00E838DF">
            <w:pPr>
              <w:spacing w:before="0" w:after="0"/>
              <w:rPr>
                <w:rStyle w:val="BookTitle"/>
              </w:rPr>
            </w:pPr>
            <w:r w:rsidRPr="00E838DF">
              <w:rPr>
                <w:rStyle w:val="BookTitle"/>
              </w:rPr>
              <w:t>CDOM</w:t>
            </w:r>
          </w:p>
        </w:tc>
        <w:tc>
          <w:tcPr>
            <w:tcW w:w="1890" w:type="dxa"/>
            <w:tcBorders>
              <w:top w:val="nil"/>
              <w:left w:val="nil"/>
              <w:bottom w:val="single" w:sz="4" w:space="0" w:color="auto"/>
              <w:right w:val="nil"/>
            </w:tcBorders>
          </w:tcPr>
          <w:p w14:paraId="0C3F7B5A" w14:textId="77777777" w:rsidR="00E838DF" w:rsidRPr="00E838DF" w:rsidRDefault="00D23397" w:rsidP="00E838DF">
            <w:pPr>
              <w:spacing w:before="0" w:after="0"/>
              <w:rPr>
                <w:rStyle w:val="BookTitle"/>
              </w:rPr>
            </w:pPr>
            <w:r>
              <w:rPr>
                <w:rStyle w:val="BookTitle"/>
              </w:rPr>
              <w:t>m</w:t>
            </w:r>
            <w:r w:rsidR="00E838DF" w:rsidRPr="00935052">
              <w:rPr>
                <w:rStyle w:val="BookTitle"/>
                <w:vertAlign w:val="superscript"/>
              </w:rPr>
              <w:t>-1</w:t>
            </w:r>
          </w:p>
        </w:tc>
      </w:tr>
      <w:tr w:rsidR="00E838DF" w:rsidRPr="00E838DF" w14:paraId="0C3F7B60" w14:textId="77777777" w:rsidTr="00110A7F">
        <w:tc>
          <w:tcPr>
            <w:tcW w:w="1908" w:type="dxa"/>
            <w:tcBorders>
              <w:top w:val="single" w:sz="4" w:space="0" w:color="auto"/>
              <w:left w:val="nil"/>
              <w:bottom w:val="nil"/>
              <w:right w:val="nil"/>
            </w:tcBorders>
          </w:tcPr>
          <w:p w14:paraId="0C3F7B5C" w14:textId="77777777" w:rsidR="00E838DF" w:rsidRPr="00E838DF" w:rsidRDefault="00E838DF" w:rsidP="00E838DF">
            <w:pPr>
              <w:spacing w:before="0" w:after="0"/>
              <w:rPr>
                <w:rStyle w:val="BookTitle"/>
              </w:rPr>
            </w:pPr>
            <w:r w:rsidRPr="00E838DF">
              <w:rPr>
                <w:rStyle w:val="BookTitle"/>
              </w:rPr>
              <w:t>Nutrients</w:t>
            </w:r>
          </w:p>
        </w:tc>
        <w:tc>
          <w:tcPr>
            <w:tcW w:w="3780" w:type="dxa"/>
            <w:tcBorders>
              <w:top w:val="single" w:sz="4" w:space="0" w:color="auto"/>
              <w:left w:val="nil"/>
              <w:bottom w:val="nil"/>
              <w:right w:val="nil"/>
            </w:tcBorders>
          </w:tcPr>
          <w:p w14:paraId="0C3F7B5D" w14:textId="77777777" w:rsidR="00E838DF" w:rsidRPr="00E838DF" w:rsidRDefault="00E838DF" w:rsidP="00E838DF">
            <w:pPr>
              <w:spacing w:before="0" w:after="0"/>
              <w:rPr>
                <w:rStyle w:val="BookTitle"/>
              </w:rPr>
            </w:pPr>
            <w:r w:rsidRPr="00E838DF">
              <w:rPr>
                <w:rStyle w:val="BookTitle"/>
              </w:rPr>
              <w:t>Ammonia as N</w:t>
            </w:r>
          </w:p>
        </w:tc>
        <w:tc>
          <w:tcPr>
            <w:tcW w:w="1620" w:type="dxa"/>
            <w:tcBorders>
              <w:top w:val="single" w:sz="4" w:space="0" w:color="auto"/>
              <w:left w:val="nil"/>
              <w:bottom w:val="nil"/>
              <w:right w:val="nil"/>
            </w:tcBorders>
          </w:tcPr>
          <w:p w14:paraId="0C3F7B5E" w14:textId="77777777" w:rsidR="00E838DF" w:rsidRPr="00E838DF" w:rsidRDefault="00E838DF" w:rsidP="00E838DF">
            <w:pPr>
              <w:spacing w:before="0" w:after="0"/>
              <w:rPr>
                <w:rStyle w:val="BookTitle"/>
              </w:rPr>
            </w:pPr>
            <w:r w:rsidRPr="00E838DF">
              <w:rPr>
                <w:rStyle w:val="BookTitle"/>
              </w:rPr>
              <w:t>NH4</w:t>
            </w:r>
          </w:p>
        </w:tc>
        <w:tc>
          <w:tcPr>
            <w:tcW w:w="1890" w:type="dxa"/>
            <w:tcBorders>
              <w:top w:val="single" w:sz="4" w:space="0" w:color="auto"/>
              <w:left w:val="nil"/>
              <w:bottom w:val="nil"/>
              <w:right w:val="nil"/>
            </w:tcBorders>
          </w:tcPr>
          <w:p w14:paraId="0C3F7B5F" w14:textId="77777777" w:rsidR="00E838DF" w:rsidRPr="00E838DF" w:rsidRDefault="00E838DF" w:rsidP="00E838DF">
            <w:pPr>
              <w:spacing w:before="0" w:after="0"/>
              <w:rPr>
                <w:rStyle w:val="BookTitle"/>
              </w:rPr>
            </w:pPr>
            <w:r w:rsidRPr="00E838DF">
              <w:rPr>
                <w:rStyle w:val="BookTitle"/>
              </w:rPr>
              <w:t>µM</w:t>
            </w:r>
          </w:p>
        </w:tc>
      </w:tr>
      <w:tr w:rsidR="00E838DF" w:rsidRPr="00E838DF" w14:paraId="0C3F7B65" w14:textId="77777777" w:rsidTr="00110A7F">
        <w:tc>
          <w:tcPr>
            <w:tcW w:w="1908" w:type="dxa"/>
            <w:tcBorders>
              <w:top w:val="nil"/>
              <w:left w:val="nil"/>
              <w:bottom w:val="nil"/>
              <w:right w:val="nil"/>
            </w:tcBorders>
          </w:tcPr>
          <w:p w14:paraId="0C3F7B61" w14:textId="77777777" w:rsidR="00E838DF" w:rsidRPr="00E838DF" w:rsidRDefault="00E838DF" w:rsidP="00E838DF">
            <w:pPr>
              <w:spacing w:before="0" w:after="0"/>
              <w:rPr>
                <w:rStyle w:val="BookTitle"/>
              </w:rPr>
            </w:pPr>
          </w:p>
        </w:tc>
        <w:tc>
          <w:tcPr>
            <w:tcW w:w="3780" w:type="dxa"/>
            <w:tcBorders>
              <w:top w:val="nil"/>
              <w:left w:val="nil"/>
              <w:bottom w:val="nil"/>
              <w:right w:val="nil"/>
            </w:tcBorders>
          </w:tcPr>
          <w:p w14:paraId="0C3F7B62" w14:textId="77777777" w:rsidR="00E838DF" w:rsidRPr="00E838DF" w:rsidRDefault="00E838DF" w:rsidP="00E838DF">
            <w:pPr>
              <w:spacing w:before="0" w:after="0"/>
              <w:rPr>
                <w:rStyle w:val="BookTitle"/>
              </w:rPr>
            </w:pPr>
            <w:r w:rsidRPr="00E838DF">
              <w:rPr>
                <w:rStyle w:val="BookTitle"/>
              </w:rPr>
              <w:t>Nitrate</w:t>
            </w:r>
          </w:p>
        </w:tc>
        <w:tc>
          <w:tcPr>
            <w:tcW w:w="1620" w:type="dxa"/>
            <w:tcBorders>
              <w:top w:val="nil"/>
              <w:left w:val="nil"/>
              <w:bottom w:val="nil"/>
              <w:right w:val="nil"/>
            </w:tcBorders>
          </w:tcPr>
          <w:p w14:paraId="0C3F7B63" w14:textId="77777777" w:rsidR="00E838DF" w:rsidRPr="00E838DF" w:rsidRDefault="00E838DF" w:rsidP="00E838DF">
            <w:pPr>
              <w:spacing w:before="0" w:after="0"/>
              <w:rPr>
                <w:rStyle w:val="BookTitle"/>
              </w:rPr>
            </w:pPr>
            <w:r w:rsidRPr="00E838DF">
              <w:rPr>
                <w:rStyle w:val="BookTitle"/>
              </w:rPr>
              <w:t>N03</w:t>
            </w:r>
          </w:p>
        </w:tc>
        <w:tc>
          <w:tcPr>
            <w:tcW w:w="1890" w:type="dxa"/>
            <w:tcBorders>
              <w:top w:val="nil"/>
              <w:left w:val="nil"/>
              <w:bottom w:val="nil"/>
              <w:right w:val="nil"/>
            </w:tcBorders>
          </w:tcPr>
          <w:p w14:paraId="0C3F7B64" w14:textId="77777777" w:rsidR="00E838DF" w:rsidRPr="00E838DF" w:rsidRDefault="00E838DF" w:rsidP="00E838DF">
            <w:pPr>
              <w:spacing w:before="0" w:after="0"/>
              <w:rPr>
                <w:rStyle w:val="BookTitle"/>
              </w:rPr>
            </w:pPr>
            <w:r w:rsidRPr="00E838DF">
              <w:rPr>
                <w:rStyle w:val="BookTitle"/>
              </w:rPr>
              <w:t>µM</w:t>
            </w:r>
          </w:p>
        </w:tc>
      </w:tr>
      <w:tr w:rsidR="00E838DF" w:rsidRPr="00E838DF" w14:paraId="0C3F7B6A" w14:textId="77777777" w:rsidTr="00110A7F">
        <w:tc>
          <w:tcPr>
            <w:tcW w:w="1908" w:type="dxa"/>
            <w:tcBorders>
              <w:top w:val="nil"/>
              <w:left w:val="nil"/>
              <w:bottom w:val="nil"/>
              <w:right w:val="nil"/>
            </w:tcBorders>
          </w:tcPr>
          <w:p w14:paraId="0C3F7B66" w14:textId="77777777" w:rsidR="00E838DF" w:rsidRPr="00E838DF" w:rsidRDefault="00E838DF" w:rsidP="00E838DF">
            <w:pPr>
              <w:spacing w:before="0" w:after="0"/>
              <w:rPr>
                <w:rStyle w:val="BookTitle"/>
              </w:rPr>
            </w:pPr>
          </w:p>
        </w:tc>
        <w:tc>
          <w:tcPr>
            <w:tcW w:w="3780" w:type="dxa"/>
            <w:tcBorders>
              <w:top w:val="nil"/>
              <w:left w:val="nil"/>
              <w:bottom w:val="nil"/>
              <w:right w:val="nil"/>
            </w:tcBorders>
          </w:tcPr>
          <w:p w14:paraId="0C3F7B67" w14:textId="77777777" w:rsidR="00E838DF" w:rsidRPr="00E838DF" w:rsidRDefault="00E838DF" w:rsidP="00E838DF">
            <w:pPr>
              <w:spacing w:before="0" w:after="0"/>
              <w:rPr>
                <w:rStyle w:val="BookTitle"/>
              </w:rPr>
            </w:pPr>
            <w:r w:rsidRPr="00E838DF">
              <w:rPr>
                <w:rStyle w:val="BookTitle"/>
              </w:rPr>
              <w:t>Nitrite</w:t>
            </w:r>
          </w:p>
        </w:tc>
        <w:tc>
          <w:tcPr>
            <w:tcW w:w="1620" w:type="dxa"/>
            <w:tcBorders>
              <w:top w:val="nil"/>
              <w:left w:val="nil"/>
              <w:bottom w:val="nil"/>
              <w:right w:val="nil"/>
            </w:tcBorders>
          </w:tcPr>
          <w:p w14:paraId="0C3F7B68" w14:textId="77777777" w:rsidR="00E838DF" w:rsidRPr="00E838DF" w:rsidRDefault="00E838DF" w:rsidP="00E838DF">
            <w:pPr>
              <w:spacing w:before="0" w:after="0"/>
              <w:rPr>
                <w:rStyle w:val="BookTitle"/>
              </w:rPr>
            </w:pPr>
            <w:r w:rsidRPr="00E838DF">
              <w:rPr>
                <w:rStyle w:val="BookTitle"/>
              </w:rPr>
              <w:t>NO2</w:t>
            </w:r>
          </w:p>
        </w:tc>
        <w:tc>
          <w:tcPr>
            <w:tcW w:w="1890" w:type="dxa"/>
            <w:tcBorders>
              <w:top w:val="nil"/>
              <w:left w:val="nil"/>
              <w:bottom w:val="nil"/>
              <w:right w:val="nil"/>
            </w:tcBorders>
          </w:tcPr>
          <w:p w14:paraId="0C3F7B69" w14:textId="77777777" w:rsidR="00E838DF" w:rsidRPr="00E838DF" w:rsidRDefault="00E838DF" w:rsidP="00E838DF">
            <w:pPr>
              <w:spacing w:before="0" w:after="0"/>
              <w:rPr>
                <w:rStyle w:val="BookTitle"/>
              </w:rPr>
            </w:pPr>
            <w:r w:rsidRPr="00E838DF">
              <w:rPr>
                <w:rStyle w:val="BookTitle"/>
              </w:rPr>
              <w:t>µM</w:t>
            </w:r>
          </w:p>
        </w:tc>
      </w:tr>
      <w:tr w:rsidR="00E838DF" w:rsidRPr="00E838DF" w14:paraId="0C3F7B6F" w14:textId="77777777" w:rsidTr="00110A7F">
        <w:tc>
          <w:tcPr>
            <w:tcW w:w="1908" w:type="dxa"/>
            <w:tcBorders>
              <w:top w:val="nil"/>
              <w:left w:val="nil"/>
              <w:bottom w:val="nil"/>
              <w:right w:val="nil"/>
            </w:tcBorders>
          </w:tcPr>
          <w:p w14:paraId="0C3F7B6B" w14:textId="77777777" w:rsidR="00E838DF" w:rsidRPr="00E838DF" w:rsidRDefault="00E838DF" w:rsidP="00E838DF">
            <w:pPr>
              <w:spacing w:before="0" w:after="0"/>
              <w:rPr>
                <w:rStyle w:val="BookTitle"/>
              </w:rPr>
            </w:pPr>
          </w:p>
        </w:tc>
        <w:tc>
          <w:tcPr>
            <w:tcW w:w="3780" w:type="dxa"/>
            <w:tcBorders>
              <w:top w:val="nil"/>
              <w:left w:val="nil"/>
              <w:bottom w:val="nil"/>
              <w:right w:val="nil"/>
            </w:tcBorders>
          </w:tcPr>
          <w:p w14:paraId="0C3F7B6C" w14:textId="77777777" w:rsidR="00E838DF" w:rsidRPr="00E838DF" w:rsidRDefault="00E838DF" w:rsidP="00E838DF">
            <w:pPr>
              <w:spacing w:before="0" w:after="0"/>
              <w:rPr>
                <w:rStyle w:val="BookTitle"/>
              </w:rPr>
            </w:pPr>
            <w:r w:rsidRPr="00E838DF">
              <w:rPr>
                <w:rStyle w:val="BookTitle"/>
              </w:rPr>
              <w:t>Dissolved Inorganic Nitrogen</w:t>
            </w:r>
          </w:p>
        </w:tc>
        <w:tc>
          <w:tcPr>
            <w:tcW w:w="1620" w:type="dxa"/>
            <w:tcBorders>
              <w:top w:val="nil"/>
              <w:left w:val="nil"/>
              <w:bottom w:val="nil"/>
              <w:right w:val="nil"/>
            </w:tcBorders>
          </w:tcPr>
          <w:p w14:paraId="0C3F7B6D" w14:textId="77777777" w:rsidR="00E838DF" w:rsidRPr="00E838DF" w:rsidRDefault="00E838DF" w:rsidP="00E838DF">
            <w:pPr>
              <w:spacing w:before="0" w:after="0"/>
              <w:rPr>
                <w:rStyle w:val="BookTitle"/>
              </w:rPr>
            </w:pPr>
            <w:r w:rsidRPr="00E838DF">
              <w:rPr>
                <w:rStyle w:val="BookTitle"/>
              </w:rPr>
              <w:t>DIN</w:t>
            </w:r>
          </w:p>
        </w:tc>
        <w:tc>
          <w:tcPr>
            <w:tcW w:w="1890" w:type="dxa"/>
            <w:tcBorders>
              <w:top w:val="nil"/>
              <w:left w:val="nil"/>
              <w:bottom w:val="nil"/>
              <w:right w:val="nil"/>
            </w:tcBorders>
          </w:tcPr>
          <w:p w14:paraId="0C3F7B6E" w14:textId="77777777" w:rsidR="00E838DF" w:rsidRPr="00E838DF" w:rsidRDefault="00E838DF" w:rsidP="00E838DF">
            <w:pPr>
              <w:spacing w:before="0" w:after="0"/>
              <w:rPr>
                <w:rStyle w:val="BookTitle"/>
              </w:rPr>
            </w:pPr>
            <w:r w:rsidRPr="00E838DF">
              <w:rPr>
                <w:rStyle w:val="BookTitle"/>
              </w:rPr>
              <w:t>µM</w:t>
            </w:r>
          </w:p>
        </w:tc>
      </w:tr>
      <w:tr w:rsidR="00E838DF" w:rsidRPr="00E838DF" w14:paraId="0C3F7B74" w14:textId="77777777" w:rsidTr="00110A7F">
        <w:tc>
          <w:tcPr>
            <w:tcW w:w="1908" w:type="dxa"/>
            <w:tcBorders>
              <w:top w:val="nil"/>
              <w:left w:val="nil"/>
              <w:bottom w:val="single" w:sz="4" w:space="0" w:color="auto"/>
              <w:right w:val="nil"/>
            </w:tcBorders>
          </w:tcPr>
          <w:p w14:paraId="0C3F7B70" w14:textId="77777777" w:rsidR="00E838DF" w:rsidRPr="00E838DF" w:rsidRDefault="00E838DF" w:rsidP="00E838DF">
            <w:pPr>
              <w:spacing w:before="0" w:after="0"/>
              <w:rPr>
                <w:rStyle w:val="BookTitle"/>
              </w:rPr>
            </w:pPr>
          </w:p>
        </w:tc>
        <w:tc>
          <w:tcPr>
            <w:tcW w:w="3780" w:type="dxa"/>
            <w:tcBorders>
              <w:top w:val="nil"/>
              <w:left w:val="nil"/>
              <w:bottom w:val="single" w:sz="4" w:space="0" w:color="auto"/>
              <w:right w:val="nil"/>
            </w:tcBorders>
          </w:tcPr>
          <w:p w14:paraId="0C3F7B71" w14:textId="77777777" w:rsidR="00E838DF" w:rsidRPr="00E838DF" w:rsidRDefault="00E838DF" w:rsidP="00E838DF">
            <w:pPr>
              <w:spacing w:before="0" w:after="0"/>
              <w:rPr>
                <w:rStyle w:val="BookTitle"/>
              </w:rPr>
            </w:pPr>
            <w:r w:rsidRPr="00E838DF">
              <w:rPr>
                <w:rStyle w:val="BookTitle"/>
              </w:rPr>
              <w:t>Dissolved Inorganic Phosphate</w:t>
            </w:r>
          </w:p>
        </w:tc>
        <w:tc>
          <w:tcPr>
            <w:tcW w:w="1620" w:type="dxa"/>
            <w:tcBorders>
              <w:top w:val="nil"/>
              <w:left w:val="nil"/>
              <w:bottom w:val="single" w:sz="4" w:space="0" w:color="auto"/>
              <w:right w:val="nil"/>
            </w:tcBorders>
          </w:tcPr>
          <w:p w14:paraId="0C3F7B72" w14:textId="77777777" w:rsidR="00E838DF" w:rsidRPr="00E838DF" w:rsidRDefault="00E838DF" w:rsidP="00E838DF">
            <w:pPr>
              <w:spacing w:before="0" w:after="0"/>
              <w:rPr>
                <w:rStyle w:val="BookTitle"/>
              </w:rPr>
            </w:pPr>
            <w:r w:rsidRPr="00E838DF">
              <w:rPr>
                <w:rStyle w:val="BookTitle"/>
              </w:rPr>
              <w:t>DIP</w:t>
            </w:r>
          </w:p>
        </w:tc>
        <w:tc>
          <w:tcPr>
            <w:tcW w:w="1890" w:type="dxa"/>
            <w:tcBorders>
              <w:top w:val="nil"/>
              <w:left w:val="nil"/>
              <w:bottom w:val="single" w:sz="4" w:space="0" w:color="auto"/>
              <w:right w:val="nil"/>
            </w:tcBorders>
          </w:tcPr>
          <w:p w14:paraId="0C3F7B73" w14:textId="77777777" w:rsidR="00E838DF" w:rsidRPr="00E838DF" w:rsidRDefault="00E838DF" w:rsidP="00E838DF">
            <w:pPr>
              <w:spacing w:before="0" w:after="0"/>
              <w:rPr>
                <w:rStyle w:val="BookTitle"/>
              </w:rPr>
            </w:pPr>
            <w:r w:rsidRPr="00E838DF">
              <w:rPr>
                <w:rStyle w:val="BookTitle"/>
              </w:rPr>
              <w:t>µM</w:t>
            </w:r>
          </w:p>
        </w:tc>
      </w:tr>
      <w:tr w:rsidR="00E838DF" w:rsidRPr="00E838DF" w14:paraId="0C3F7B79" w14:textId="77777777" w:rsidTr="00110A7F">
        <w:tc>
          <w:tcPr>
            <w:tcW w:w="1908" w:type="dxa"/>
            <w:tcBorders>
              <w:top w:val="single" w:sz="4" w:space="0" w:color="auto"/>
              <w:left w:val="nil"/>
              <w:bottom w:val="nil"/>
              <w:right w:val="nil"/>
            </w:tcBorders>
          </w:tcPr>
          <w:p w14:paraId="0C3F7B75" w14:textId="77777777" w:rsidR="00E838DF" w:rsidRPr="00E838DF" w:rsidRDefault="00E838DF" w:rsidP="00E838DF">
            <w:pPr>
              <w:spacing w:before="0" w:after="0"/>
              <w:rPr>
                <w:rStyle w:val="BookTitle"/>
              </w:rPr>
            </w:pPr>
            <w:r w:rsidRPr="00E838DF">
              <w:rPr>
                <w:rStyle w:val="BookTitle"/>
              </w:rPr>
              <w:t>Productivity</w:t>
            </w:r>
          </w:p>
        </w:tc>
        <w:tc>
          <w:tcPr>
            <w:tcW w:w="3780" w:type="dxa"/>
            <w:tcBorders>
              <w:top w:val="single" w:sz="4" w:space="0" w:color="auto"/>
              <w:left w:val="nil"/>
              <w:bottom w:val="nil"/>
              <w:right w:val="nil"/>
            </w:tcBorders>
          </w:tcPr>
          <w:p w14:paraId="0C3F7B76" w14:textId="77777777" w:rsidR="00E838DF" w:rsidRPr="00E838DF" w:rsidRDefault="00D23397" w:rsidP="00E838DF">
            <w:pPr>
              <w:spacing w:before="0" w:after="0"/>
              <w:rPr>
                <w:rStyle w:val="BookTitle"/>
              </w:rPr>
            </w:pPr>
            <w:r>
              <w:rPr>
                <w:rStyle w:val="BookTitle"/>
              </w:rPr>
              <w:t>Chlorophyll</w:t>
            </w:r>
            <w:r w:rsidR="00E838DF" w:rsidRPr="00E838DF">
              <w:rPr>
                <w:rStyle w:val="BookTitle"/>
              </w:rPr>
              <w:t>-a</w:t>
            </w:r>
          </w:p>
        </w:tc>
        <w:tc>
          <w:tcPr>
            <w:tcW w:w="1620" w:type="dxa"/>
            <w:tcBorders>
              <w:top w:val="single" w:sz="4" w:space="0" w:color="auto"/>
              <w:left w:val="nil"/>
              <w:bottom w:val="nil"/>
              <w:right w:val="nil"/>
            </w:tcBorders>
          </w:tcPr>
          <w:p w14:paraId="0C3F7B77" w14:textId="77777777" w:rsidR="00E838DF" w:rsidRPr="00E838DF" w:rsidRDefault="00D23397" w:rsidP="00E838DF">
            <w:pPr>
              <w:spacing w:before="0" w:after="0"/>
              <w:rPr>
                <w:rStyle w:val="BookTitle"/>
              </w:rPr>
            </w:pPr>
            <w:r>
              <w:rPr>
                <w:rStyle w:val="BookTitle"/>
              </w:rPr>
              <w:t>Chl</w:t>
            </w:r>
            <w:r w:rsidR="00E838DF" w:rsidRPr="00E838DF">
              <w:rPr>
                <w:rStyle w:val="BookTitle"/>
              </w:rPr>
              <w:t>-a</w:t>
            </w:r>
          </w:p>
        </w:tc>
        <w:tc>
          <w:tcPr>
            <w:tcW w:w="1890" w:type="dxa"/>
            <w:tcBorders>
              <w:top w:val="single" w:sz="4" w:space="0" w:color="auto"/>
              <w:left w:val="nil"/>
              <w:bottom w:val="nil"/>
              <w:right w:val="nil"/>
            </w:tcBorders>
          </w:tcPr>
          <w:p w14:paraId="0C3F7B78" w14:textId="77777777" w:rsidR="00E838DF" w:rsidRPr="00E838DF" w:rsidRDefault="00E838DF" w:rsidP="00E838DF">
            <w:pPr>
              <w:spacing w:before="0" w:after="0"/>
              <w:rPr>
                <w:rStyle w:val="BookTitle"/>
              </w:rPr>
            </w:pPr>
            <w:r w:rsidRPr="00E838DF">
              <w:rPr>
                <w:rStyle w:val="BookTitle"/>
              </w:rPr>
              <w:t>µg/L</w:t>
            </w:r>
          </w:p>
        </w:tc>
      </w:tr>
      <w:tr w:rsidR="00E838DF" w:rsidRPr="00E838DF" w14:paraId="0C3F7B7E" w14:textId="77777777" w:rsidTr="00110A7F">
        <w:tc>
          <w:tcPr>
            <w:tcW w:w="1908" w:type="dxa"/>
            <w:tcBorders>
              <w:top w:val="nil"/>
              <w:left w:val="nil"/>
              <w:bottom w:val="single" w:sz="4" w:space="0" w:color="auto"/>
              <w:right w:val="nil"/>
            </w:tcBorders>
          </w:tcPr>
          <w:p w14:paraId="0C3F7B7A" w14:textId="77777777" w:rsidR="00E838DF" w:rsidRPr="00E838DF" w:rsidRDefault="00E838DF" w:rsidP="00E838DF">
            <w:pPr>
              <w:spacing w:before="0" w:after="0"/>
              <w:rPr>
                <w:rStyle w:val="BookTitle"/>
              </w:rPr>
            </w:pPr>
          </w:p>
        </w:tc>
        <w:tc>
          <w:tcPr>
            <w:tcW w:w="3780" w:type="dxa"/>
            <w:tcBorders>
              <w:top w:val="nil"/>
              <w:left w:val="nil"/>
              <w:bottom w:val="single" w:sz="4" w:space="0" w:color="auto"/>
              <w:right w:val="nil"/>
            </w:tcBorders>
          </w:tcPr>
          <w:p w14:paraId="0C3F7B7B" w14:textId="77777777" w:rsidR="00E838DF" w:rsidRPr="00E838DF" w:rsidRDefault="00E838DF" w:rsidP="00E838DF">
            <w:pPr>
              <w:spacing w:before="0" w:after="0"/>
              <w:rPr>
                <w:rStyle w:val="BookTitle"/>
              </w:rPr>
            </w:pPr>
            <w:r w:rsidRPr="00E838DF">
              <w:rPr>
                <w:rStyle w:val="BookTitle"/>
              </w:rPr>
              <w:t>Phytoplankton counts</w:t>
            </w:r>
          </w:p>
        </w:tc>
        <w:tc>
          <w:tcPr>
            <w:tcW w:w="1620" w:type="dxa"/>
            <w:tcBorders>
              <w:top w:val="nil"/>
              <w:left w:val="nil"/>
              <w:bottom w:val="single" w:sz="4" w:space="0" w:color="auto"/>
              <w:right w:val="nil"/>
            </w:tcBorders>
          </w:tcPr>
          <w:p w14:paraId="0C3F7B7C" w14:textId="77777777" w:rsidR="00E838DF" w:rsidRPr="00E838DF" w:rsidRDefault="00E838DF" w:rsidP="00E838DF">
            <w:pPr>
              <w:spacing w:before="0" w:after="0"/>
              <w:rPr>
                <w:rStyle w:val="BookTitle"/>
              </w:rPr>
            </w:pPr>
            <w:r w:rsidRPr="00E838DF">
              <w:rPr>
                <w:rStyle w:val="BookTitle"/>
              </w:rPr>
              <w:t>PP</w:t>
            </w:r>
          </w:p>
        </w:tc>
        <w:tc>
          <w:tcPr>
            <w:tcW w:w="1890" w:type="dxa"/>
            <w:tcBorders>
              <w:top w:val="nil"/>
              <w:left w:val="nil"/>
              <w:bottom w:val="single" w:sz="4" w:space="0" w:color="auto"/>
              <w:right w:val="nil"/>
            </w:tcBorders>
          </w:tcPr>
          <w:p w14:paraId="0C3F7B7D" w14:textId="77777777" w:rsidR="00E838DF" w:rsidRPr="00E838DF" w:rsidRDefault="00E838DF" w:rsidP="00E838DF">
            <w:pPr>
              <w:spacing w:before="0" w:after="0"/>
              <w:rPr>
                <w:rStyle w:val="BookTitle"/>
              </w:rPr>
            </w:pPr>
            <w:r w:rsidRPr="00E838DF">
              <w:rPr>
                <w:rStyle w:val="BookTitle"/>
              </w:rPr>
              <w:t>Cells/L</w:t>
            </w:r>
          </w:p>
        </w:tc>
      </w:tr>
      <w:tr w:rsidR="00E838DF" w:rsidRPr="00E838DF" w14:paraId="0C3F7B83" w14:textId="77777777" w:rsidTr="00110A7F">
        <w:tc>
          <w:tcPr>
            <w:tcW w:w="1908" w:type="dxa"/>
            <w:tcBorders>
              <w:top w:val="single" w:sz="4" w:space="0" w:color="auto"/>
              <w:left w:val="nil"/>
              <w:bottom w:val="nil"/>
              <w:right w:val="nil"/>
            </w:tcBorders>
          </w:tcPr>
          <w:p w14:paraId="0C3F7B7F" w14:textId="77777777" w:rsidR="00E838DF" w:rsidRPr="00E838DF" w:rsidRDefault="00E838DF" w:rsidP="00E838DF">
            <w:pPr>
              <w:spacing w:before="0" w:after="0"/>
              <w:rPr>
                <w:rStyle w:val="BookTitle"/>
              </w:rPr>
            </w:pPr>
            <w:r w:rsidRPr="00E838DF">
              <w:rPr>
                <w:rStyle w:val="BookTitle"/>
              </w:rPr>
              <w:t>Pesticides</w:t>
            </w:r>
          </w:p>
        </w:tc>
        <w:tc>
          <w:tcPr>
            <w:tcW w:w="3780" w:type="dxa"/>
            <w:tcBorders>
              <w:top w:val="single" w:sz="4" w:space="0" w:color="auto"/>
              <w:left w:val="nil"/>
              <w:bottom w:val="nil"/>
              <w:right w:val="nil"/>
            </w:tcBorders>
          </w:tcPr>
          <w:p w14:paraId="0C3F7B80" w14:textId="77777777" w:rsidR="00E838DF" w:rsidRPr="00E838DF" w:rsidRDefault="00E838DF" w:rsidP="00E838DF">
            <w:pPr>
              <w:spacing w:before="0" w:after="0"/>
              <w:rPr>
                <w:rStyle w:val="BookTitle"/>
              </w:rPr>
            </w:pPr>
            <w:r w:rsidRPr="00E838DF">
              <w:rPr>
                <w:rStyle w:val="BookTitle"/>
              </w:rPr>
              <w:t>photosystem II inhibiting herbicide</w:t>
            </w:r>
          </w:p>
        </w:tc>
        <w:tc>
          <w:tcPr>
            <w:tcW w:w="1620" w:type="dxa"/>
            <w:tcBorders>
              <w:top w:val="single" w:sz="4" w:space="0" w:color="auto"/>
              <w:left w:val="nil"/>
              <w:bottom w:val="nil"/>
              <w:right w:val="nil"/>
            </w:tcBorders>
          </w:tcPr>
          <w:p w14:paraId="0C3F7B81" w14:textId="77777777" w:rsidR="00E838DF" w:rsidRPr="00E838DF" w:rsidRDefault="00E838DF" w:rsidP="00E838DF">
            <w:pPr>
              <w:spacing w:before="0" w:after="0"/>
              <w:rPr>
                <w:rStyle w:val="BookTitle"/>
              </w:rPr>
            </w:pPr>
            <w:r w:rsidRPr="00E838DF">
              <w:rPr>
                <w:rStyle w:val="BookTitle"/>
              </w:rPr>
              <w:t>PSII herbicides</w:t>
            </w:r>
          </w:p>
        </w:tc>
        <w:tc>
          <w:tcPr>
            <w:tcW w:w="1890" w:type="dxa"/>
            <w:tcBorders>
              <w:top w:val="single" w:sz="4" w:space="0" w:color="auto"/>
              <w:left w:val="nil"/>
              <w:bottom w:val="nil"/>
              <w:right w:val="nil"/>
            </w:tcBorders>
          </w:tcPr>
          <w:p w14:paraId="0C3F7B82" w14:textId="77777777" w:rsidR="00E838DF" w:rsidRPr="00E838DF" w:rsidRDefault="00D23397" w:rsidP="00E838DF">
            <w:pPr>
              <w:spacing w:before="0" w:after="0"/>
              <w:rPr>
                <w:rStyle w:val="BookTitle"/>
              </w:rPr>
            </w:pPr>
            <w:r>
              <w:rPr>
                <w:rStyle w:val="BookTitle"/>
              </w:rPr>
              <w:t>ng/L</w:t>
            </w:r>
          </w:p>
        </w:tc>
      </w:tr>
      <w:tr w:rsidR="00E838DF" w:rsidRPr="00E838DF" w14:paraId="0C3F7B88" w14:textId="77777777" w:rsidTr="00110A7F">
        <w:tc>
          <w:tcPr>
            <w:tcW w:w="1908" w:type="dxa"/>
            <w:tcBorders>
              <w:top w:val="nil"/>
              <w:left w:val="nil"/>
              <w:bottom w:val="single" w:sz="4" w:space="0" w:color="auto"/>
              <w:right w:val="nil"/>
            </w:tcBorders>
          </w:tcPr>
          <w:p w14:paraId="0C3F7B84" w14:textId="77777777" w:rsidR="00E838DF" w:rsidRPr="00E838DF" w:rsidRDefault="00E838DF" w:rsidP="00E838DF">
            <w:pPr>
              <w:spacing w:before="0" w:after="0"/>
              <w:rPr>
                <w:rStyle w:val="BookTitle"/>
              </w:rPr>
            </w:pPr>
          </w:p>
        </w:tc>
        <w:tc>
          <w:tcPr>
            <w:tcW w:w="3780" w:type="dxa"/>
            <w:tcBorders>
              <w:top w:val="nil"/>
              <w:left w:val="nil"/>
              <w:bottom w:val="single" w:sz="4" w:space="0" w:color="auto"/>
              <w:right w:val="nil"/>
            </w:tcBorders>
          </w:tcPr>
          <w:p w14:paraId="0C3F7B85" w14:textId="77777777" w:rsidR="00E838DF" w:rsidRPr="00E838DF" w:rsidRDefault="00E838DF" w:rsidP="00E838DF">
            <w:pPr>
              <w:spacing w:before="0" w:after="0"/>
              <w:rPr>
                <w:rStyle w:val="BookTitle"/>
              </w:rPr>
            </w:pPr>
          </w:p>
        </w:tc>
        <w:tc>
          <w:tcPr>
            <w:tcW w:w="1620" w:type="dxa"/>
            <w:tcBorders>
              <w:top w:val="nil"/>
              <w:left w:val="nil"/>
              <w:bottom w:val="single" w:sz="4" w:space="0" w:color="auto"/>
              <w:right w:val="nil"/>
            </w:tcBorders>
          </w:tcPr>
          <w:p w14:paraId="0C3F7B86" w14:textId="77777777" w:rsidR="00E838DF" w:rsidRPr="00E838DF" w:rsidRDefault="00E838DF" w:rsidP="00E838DF">
            <w:pPr>
              <w:spacing w:before="0" w:after="0"/>
              <w:rPr>
                <w:rStyle w:val="BookTitle"/>
              </w:rPr>
            </w:pPr>
          </w:p>
        </w:tc>
        <w:tc>
          <w:tcPr>
            <w:tcW w:w="1890" w:type="dxa"/>
            <w:tcBorders>
              <w:top w:val="nil"/>
              <w:left w:val="nil"/>
              <w:bottom w:val="single" w:sz="4" w:space="0" w:color="auto"/>
              <w:right w:val="nil"/>
            </w:tcBorders>
          </w:tcPr>
          <w:p w14:paraId="0C3F7B87" w14:textId="77777777" w:rsidR="00E838DF" w:rsidRPr="00E838DF" w:rsidRDefault="00E838DF" w:rsidP="00E838DF">
            <w:pPr>
              <w:spacing w:before="0" w:after="0"/>
              <w:rPr>
                <w:rStyle w:val="BookTitle"/>
              </w:rPr>
            </w:pPr>
          </w:p>
        </w:tc>
      </w:tr>
    </w:tbl>
    <w:p w14:paraId="0C3F7B89" w14:textId="77777777" w:rsidR="00E838DF" w:rsidRDefault="00E838DF" w:rsidP="00E838DF">
      <w:pPr>
        <w:rPr>
          <w:lang w:eastAsia="en-US"/>
        </w:rPr>
      </w:pPr>
    </w:p>
    <w:p w14:paraId="0C3F7B8A" w14:textId="77777777" w:rsidR="00E838DF" w:rsidRDefault="0064679C" w:rsidP="00E838DF">
      <w:r>
        <w:t>Analysis of s</w:t>
      </w:r>
      <w:r w:rsidR="00E838DF">
        <w:t xml:space="preserve">patial variation across all WQ parameters, considering the factors of salinity, distance and </w:t>
      </w:r>
      <w:r w:rsidR="00D23397">
        <w:t>5-</w:t>
      </w:r>
      <w:r w:rsidR="00E838DF">
        <w:t xml:space="preserve">day </w:t>
      </w:r>
      <w:r>
        <w:t xml:space="preserve">average flow was performed on </w:t>
      </w:r>
      <w:r w:rsidR="00E838DF" w:rsidRPr="0064679C">
        <w:t xml:space="preserve">Tully and Herbert in the Wet Tropics; </w:t>
      </w:r>
      <w:r>
        <w:t xml:space="preserve">and the </w:t>
      </w:r>
      <w:r w:rsidR="00E838DF" w:rsidRPr="0064679C">
        <w:t>Burdekin region</w:t>
      </w:r>
      <w:r>
        <w:t>.</w:t>
      </w:r>
      <w:r w:rsidR="00E838DF" w:rsidRPr="0064679C">
        <w:t xml:space="preserve"> Table </w:t>
      </w:r>
      <w:r w:rsidRPr="0064679C">
        <w:t>1-3</w:t>
      </w:r>
      <w:r w:rsidR="00E838DF" w:rsidRPr="0064679C">
        <w:t xml:space="preserve"> presents the outputs of the Spearman’s analysis on correlative co-factors for rivers sampled more than 20 times in the 2012-2013 wet season. Highlighted cells identify variables which are positively or negatively correlated with each other.  Salinity in the Tully and</w:t>
      </w:r>
      <w:r w:rsidR="00E838DF">
        <w:t xml:space="preserve"> Herbert is correlated with most of the forms of nitrogen and phosphorous, excluding the dissolved forms. River discharge correlates with DIN and Si for the Tully River samples and with TP for the Herbert. Distance did not presented any significant correlation, indicating that linear dilution processes are not occurring in these regions. Dissolved nutrients are not </w:t>
      </w:r>
      <w:r>
        <w:t xml:space="preserve">strongly </w:t>
      </w:r>
      <w:r w:rsidR="00E838DF">
        <w:t>correlated with any factor, indicating th</w:t>
      </w:r>
      <w:r>
        <w:t xml:space="preserve">at both coastal hydrodynamic, </w:t>
      </w:r>
      <w:r w:rsidR="00E838DF">
        <w:t>biological processes</w:t>
      </w:r>
      <w:r>
        <w:t xml:space="preserve"> and </w:t>
      </w:r>
      <w:r w:rsidR="00D23397">
        <w:t>dilution</w:t>
      </w:r>
      <w:r w:rsidR="00E838DF">
        <w:t xml:space="preserve"> are influencing the transport and uptake of </w:t>
      </w:r>
      <w:r w:rsidR="00E838DF">
        <w:lastRenderedPageBreak/>
        <w:t xml:space="preserve">the WQ parameters in these regions. </w:t>
      </w:r>
      <w:r>
        <w:t>Note that these processes are examined over the whole of the wet season and individual events over single dates show a greater correlation with distance and salinity.</w:t>
      </w:r>
    </w:p>
    <w:p w14:paraId="0C3F7B8B" w14:textId="77777777" w:rsidR="00E838DF" w:rsidRDefault="0064679C" w:rsidP="00E838DF">
      <w:r>
        <w:t>The water quality</w:t>
      </w:r>
      <w:r w:rsidR="00E838DF">
        <w:t xml:space="preserve"> samples form the Burdekin River exhibit </w:t>
      </w:r>
      <w:r>
        <w:t>little</w:t>
      </w:r>
      <w:r w:rsidR="00E838DF">
        <w:t xml:space="preserve"> correlation with the three factors. This may relate more to the low flow conditions for central GBR for 2012/2013, with flow being confounded by other condition</w:t>
      </w:r>
      <w:r>
        <w:t>s such as tidal factors, wind resuspension and wind direction</w:t>
      </w:r>
      <w:r w:rsidR="00E838DF">
        <w:t xml:space="preserve">. </w:t>
      </w:r>
    </w:p>
    <w:p w14:paraId="0C3F7B8C" w14:textId="77777777" w:rsidR="00E838DF" w:rsidRDefault="00110A7F" w:rsidP="00110A7F">
      <w:pPr>
        <w:pStyle w:val="Caption"/>
      </w:pPr>
      <w:bookmarkStart w:id="14" w:name="_Toc434208062"/>
      <w:r>
        <w:t xml:space="preserve">Table </w:t>
      </w:r>
      <w:r w:rsidR="00AE4287">
        <w:fldChar w:fldCharType="begin"/>
      </w:r>
      <w:r w:rsidR="00AE4287">
        <w:instrText xml:space="preserve"> STYLEREF 1 \s </w:instrText>
      </w:r>
      <w:r w:rsidR="00AE4287">
        <w:fldChar w:fldCharType="separate"/>
      </w:r>
      <w:r w:rsidR="00B62B50">
        <w:rPr>
          <w:noProof/>
        </w:rPr>
        <w:t>1</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3</w:t>
      </w:r>
      <w:r w:rsidR="00AE4287">
        <w:fldChar w:fldCharType="end"/>
      </w:r>
      <w:r>
        <w:t xml:space="preserve">: </w:t>
      </w:r>
      <w:r w:rsidR="00E838DF" w:rsidRPr="0089419E">
        <w:t xml:space="preserve">Spearman’s </w:t>
      </w:r>
      <w:r w:rsidR="00E838DF">
        <w:t xml:space="preserve">rank </w:t>
      </w:r>
      <w:r w:rsidR="00E838DF" w:rsidRPr="0089419E">
        <w:t xml:space="preserve">correlation coefficients </w:t>
      </w:r>
      <w:r w:rsidR="00E838DF">
        <w:t xml:space="preserve">for the parameters for </w:t>
      </w:r>
      <w:r w:rsidR="00D23397">
        <w:t>the</w:t>
      </w:r>
      <w:r w:rsidR="00E838DF">
        <w:t xml:space="preserve"> Wet Tropics, Burdekin. A</w:t>
      </w:r>
      <w:r w:rsidR="00E838DF" w:rsidRPr="0089419E">
        <w:t xml:space="preserve">ll </w:t>
      </w:r>
      <w:r w:rsidR="00E838DF">
        <w:t xml:space="preserve">highlighted values </w:t>
      </w:r>
      <w:r w:rsidR="00E838DF" w:rsidRPr="0089419E">
        <w:t xml:space="preserve">are </w:t>
      </w:r>
      <w:r w:rsidR="00D23397">
        <w:t>significant</w:t>
      </w:r>
      <w:r w:rsidR="00D23397" w:rsidRPr="0089419E">
        <w:t xml:space="preserve"> </w:t>
      </w:r>
      <w:r w:rsidR="00E838DF" w:rsidRPr="0089419E">
        <w:t>at p &lt; 0.01</w:t>
      </w:r>
      <w:r w:rsidR="00E838DF">
        <w:t xml:space="preserve"> and represent a correlation &gt;0.6 or &lt;-.06</w:t>
      </w:r>
      <w:r w:rsidR="00E838DF" w:rsidRPr="0089419E">
        <w:t>.</w:t>
      </w:r>
      <w:r w:rsidR="00E838DF">
        <w:t xml:space="preserve"> Parameters listed in</w:t>
      </w:r>
      <w:r w:rsidR="00D23397">
        <w:t xml:space="preserve"> </w:t>
      </w:r>
      <w:r w:rsidR="00E838DF">
        <w:t xml:space="preserve">the table are surface salinity (Sal.), 5-day average discharge (Disch.), distance between the river mouth and the sampling site (Dist.), TSS, </w:t>
      </w:r>
      <w:r w:rsidR="00D23397">
        <w:t>chlorophyll</w:t>
      </w:r>
      <w:r w:rsidR="00E838DF">
        <w:t>-a</w:t>
      </w:r>
      <w:r w:rsidR="00D23397">
        <w:t xml:space="preserve">, </w:t>
      </w:r>
      <w:r w:rsidR="00E838DF">
        <w:t>TN, TDN, DIN,</w:t>
      </w:r>
      <w:r w:rsidR="00E838DF" w:rsidRPr="00405A8D">
        <w:t xml:space="preserve"> </w:t>
      </w:r>
      <w:r w:rsidR="00E838DF">
        <w:t xml:space="preserve">TP, TDP, DIP, PN, PP </w:t>
      </w:r>
      <w:r w:rsidR="00D23397">
        <w:t>and Si.</w:t>
      </w:r>
      <w:bookmarkEnd w:id="14"/>
    </w:p>
    <w:p w14:paraId="0C3F7B8D" w14:textId="77777777" w:rsidR="00E838DF" w:rsidRPr="00070A26" w:rsidRDefault="00E838DF" w:rsidP="00E838DF">
      <w:pPr>
        <w:rPr>
          <w:rFonts w:ascii="Calibri" w:hAnsi="Calibri" w:cs="Times New Roman"/>
          <w:color w:val="000000"/>
          <w:sz w:val="18"/>
          <w:szCs w:val="18"/>
        </w:rPr>
      </w:pPr>
    </w:p>
    <w:tbl>
      <w:tblPr>
        <w:tblW w:w="5000" w:type="pct"/>
        <w:tblLook w:val="04A0" w:firstRow="1" w:lastRow="0" w:firstColumn="1" w:lastColumn="0" w:noHBand="0" w:noVBand="1"/>
      </w:tblPr>
      <w:tblGrid>
        <w:gridCol w:w="740"/>
        <w:gridCol w:w="597"/>
        <w:gridCol w:w="739"/>
        <w:gridCol w:w="606"/>
        <w:gridCol w:w="597"/>
        <w:gridCol w:w="597"/>
        <w:gridCol w:w="597"/>
        <w:gridCol w:w="597"/>
        <w:gridCol w:w="597"/>
        <w:gridCol w:w="597"/>
        <w:gridCol w:w="597"/>
        <w:gridCol w:w="597"/>
        <w:gridCol w:w="597"/>
        <w:gridCol w:w="597"/>
        <w:gridCol w:w="590"/>
      </w:tblGrid>
      <w:tr w:rsidR="00E838DF" w:rsidRPr="002E2F6B" w14:paraId="0C3F7B8F" w14:textId="77777777" w:rsidTr="00E838DF">
        <w:trPr>
          <w:trHeight w:val="20"/>
        </w:trPr>
        <w:tc>
          <w:tcPr>
            <w:tcW w:w="5000" w:type="pct"/>
            <w:gridSpan w:val="15"/>
            <w:tcBorders>
              <w:top w:val="single" w:sz="4" w:space="0" w:color="auto"/>
              <w:left w:val="nil"/>
              <w:bottom w:val="single" w:sz="4" w:space="0" w:color="auto"/>
              <w:right w:val="nil"/>
            </w:tcBorders>
            <w:shd w:val="clear" w:color="auto" w:fill="auto"/>
            <w:noWrap/>
            <w:vAlign w:val="center"/>
          </w:tcPr>
          <w:p w14:paraId="0C3F7B8E" w14:textId="77777777" w:rsidR="00E838DF" w:rsidRPr="002E2F6B" w:rsidRDefault="00E838DF" w:rsidP="00110A7F">
            <w:pPr>
              <w:spacing w:before="0" w:after="0"/>
              <w:rPr>
                <w:sz w:val="16"/>
                <w:szCs w:val="16"/>
              </w:rPr>
            </w:pPr>
            <w:r w:rsidRPr="002E2F6B">
              <w:rPr>
                <w:sz w:val="16"/>
                <w:szCs w:val="16"/>
              </w:rPr>
              <w:t>Wet Tropics</w:t>
            </w:r>
          </w:p>
        </w:tc>
      </w:tr>
      <w:tr w:rsidR="00E838DF" w:rsidRPr="002E2F6B" w14:paraId="0C3F7B9F" w14:textId="77777777" w:rsidTr="00E838DF">
        <w:trPr>
          <w:trHeight w:val="20"/>
        </w:trPr>
        <w:tc>
          <w:tcPr>
            <w:tcW w:w="400" w:type="pct"/>
            <w:tcBorders>
              <w:top w:val="single" w:sz="4" w:space="0" w:color="auto"/>
              <w:left w:val="nil"/>
              <w:bottom w:val="single" w:sz="4" w:space="0" w:color="auto"/>
              <w:right w:val="nil"/>
            </w:tcBorders>
            <w:shd w:val="clear" w:color="auto" w:fill="auto"/>
            <w:noWrap/>
            <w:vAlign w:val="center"/>
            <w:hideMark/>
          </w:tcPr>
          <w:p w14:paraId="0C3F7B90" w14:textId="77777777" w:rsidR="00E838DF" w:rsidRPr="002E2F6B" w:rsidRDefault="00E838DF" w:rsidP="00110A7F">
            <w:pPr>
              <w:spacing w:before="0" w:after="0"/>
              <w:rPr>
                <w:bCs/>
                <w:sz w:val="16"/>
                <w:szCs w:val="16"/>
              </w:rPr>
            </w:pPr>
            <w:r w:rsidRPr="002E2F6B">
              <w:rPr>
                <w:bCs/>
                <w:sz w:val="16"/>
                <w:szCs w:val="16"/>
              </w:rPr>
              <w:t> </w:t>
            </w:r>
          </w:p>
        </w:tc>
        <w:tc>
          <w:tcPr>
            <w:tcW w:w="323" w:type="pct"/>
            <w:tcBorders>
              <w:top w:val="single" w:sz="4" w:space="0" w:color="auto"/>
              <w:left w:val="nil"/>
              <w:bottom w:val="single" w:sz="4" w:space="0" w:color="auto"/>
              <w:right w:val="nil"/>
            </w:tcBorders>
            <w:shd w:val="clear" w:color="auto" w:fill="auto"/>
            <w:noWrap/>
            <w:vAlign w:val="center"/>
            <w:hideMark/>
          </w:tcPr>
          <w:p w14:paraId="0C3F7B91" w14:textId="77777777" w:rsidR="00E838DF" w:rsidRPr="002E2F6B" w:rsidRDefault="00E838DF" w:rsidP="00110A7F">
            <w:pPr>
              <w:spacing w:before="0" w:after="0"/>
              <w:rPr>
                <w:sz w:val="16"/>
                <w:szCs w:val="16"/>
              </w:rPr>
            </w:pPr>
            <w:r w:rsidRPr="002E2F6B">
              <w:rPr>
                <w:sz w:val="16"/>
                <w:szCs w:val="16"/>
              </w:rPr>
              <w:t>Sal.</w:t>
            </w:r>
          </w:p>
        </w:tc>
        <w:tc>
          <w:tcPr>
            <w:tcW w:w="400" w:type="pct"/>
            <w:tcBorders>
              <w:top w:val="single" w:sz="4" w:space="0" w:color="auto"/>
              <w:left w:val="nil"/>
              <w:bottom w:val="single" w:sz="4" w:space="0" w:color="auto"/>
              <w:right w:val="nil"/>
            </w:tcBorders>
            <w:shd w:val="clear" w:color="auto" w:fill="auto"/>
            <w:noWrap/>
            <w:vAlign w:val="center"/>
            <w:hideMark/>
          </w:tcPr>
          <w:p w14:paraId="0C3F7B92" w14:textId="77777777" w:rsidR="00E838DF" w:rsidRPr="002E2F6B" w:rsidRDefault="00E838DF" w:rsidP="00110A7F">
            <w:pPr>
              <w:spacing w:before="0" w:after="0"/>
              <w:rPr>
                <w:sz w:val="16"/>
                <w:szCs w:val="16"/>
              </w:rPr>
            </w:pPr>
            <w:r w:rsidRPr="002E2F6B">
              <w:rPr>
                <w:sz w:val="16"/>
                <w:szCs w:val="16"/>
              </w:rPr>
              <w:t>Disch.</w:t>
            </w:r>
          </w:p>
        </w:tc>
        <w:tc>
          <w:tcPr>
            <w:tcW w:w="328" w:type="pct"/>
            <w:tcBorders>
              <w:top w:val="single" w:sz="4" w:space="0" w:color="auto"/>
              <w:left w:val="nil"/>
              <w:bottom w:val="single" w:sz="4" w:space="0" w:color="auto"/>
              <w:right w:val="nil"/>
            </w:tcBorders>
            <w:shd w:val="clear" w:color="auto" w:fill="auto"/>
            <w:noWrap/>
            <w:vAlign w:val="center"/>
            <w:hideMark/>
          </w:tcPr>
          <w:p w14:paraId="0C3F7B93" w14:textId="77777777" w:rsidR="00E838DF" w:rsidRPr="002E2F6B" w:rsidRDefault="00E838DF" w:rsidP="00110A7F">
            <w:pPr>
              <w:spacing w:before="0" w:after="0"/>
              <w:rPr>
                <w:sz w:val="16"/>
                <w:szCs w:val="16"/>
              </w:rPr>
            </w:pPr>
            <w:r w:rsidRPr="002E2F6B">
              <w:rPr>
                <w:sz w:val="16"/>
                <w:szCs w:val="16"/>
              </w:rPr>
              <w:t>Dist.</w:t>
            </w:r>
          </w:p>
        </w:tc>
        <w:tc>
          <w:tcPr>
            <w:tcW w:w="323" w:type="pct"/>
            <w:tcBorders>
              <w:top w:val="single" w:sz="4" w:space="0" w:color="auto"/>
              <w:left w:val="nil"/>
              <w:bottom w:val="single" w:sz="4" w:space="0" w:color="auto"/>
              <w:right w:val="nil"/>
            </w:tcBorders>
            <w:shd w:val="clear" w:color="auto" w:fill="auto"/>
            <w:noWrap/>
            <w:vAlign w:val="center"/>
            <w:hideMark/>
          </w:tcPr>
          <w:p w14:paraId="0C3F7B94" w14:textId="77777777" w:rsidR="00E838DF" w:rsidRPr="002E2F6B" w:rsidRDefault="00E838DF" w:rsidP="00110A7F">
            <w:pPr>
              <w:spacing w:before="0" w:after="0"/>
              <w:rPr>
                <w:sz w:val="16"/>
                <w:szCs w:val="16"/>
              </w:rPr>
            </w:pPr>
            <w:r w:rsidRPr="002E2F6B">
              <w:rPr>
                <w:sz w:val="16"/>
                <w:szCs w:val="16"/>
              </w:rPr>
              <w:t>TSS</w:t>
            </w:r>
          </w:p>
        </w:tc>
        <w:tc>
          <w:tcPr>
            <w:tcW w:w="323" w:type="pct"/>
            <w:tcBorders>
              <w:top w:val="single" w:sz="4" w:space="0" w:color="auto"/>
              <w:left w:val="nil"/>
              <w:bottom w:val="single" w:sz="4" w:space="0" w:color="auto"/>
              <w:right w:val="nil"/>
            </w:tcBorders>
            <w:shd w:val="clear" w:color="auto" w:fill="auto"/>
            <w:noWrap/>
            <w:vAlign w:val="center"/>
            <w:hideMark/>
          </w:tcPr>
          <w:p w14:paraId="0C3F7B95" w14:textId="77777777" w:rsidR="00E838DF" w:rsidRPr="002E2F6B" w:rsidRDefault="00E838DF" w:rsidP="00110A7F">
            <w:pPr>
              <w:spacing w:before="0" w:after="0"/>
              <w:rPr>
                <w:sz w:val="16"/>
                <w:szCs w:val="16"/>
              </w:rPr>
            </w:pPr>
            <w:r w:rsidRPr="002E2F6B">
              <w:rPr>
                <w:sz w:val="16"/>
                <w:szCs w:val="16"/>
              </w:rPr>
              <w:t>chl-a</w:t>
            </w:r>
          </w:p>
        </w:tc>
        <w:tc>
          <w:tcPr>
            <w:tcW w:w="323" w:type="pct"/>
            <w:tcBorders>
              <w:top w:val="single" w:sz="4" w:space="0" w:color="auto"/>
              <w:left w:val="nil"/>
              <w:bottom w:val="single" w:sz="4" w:space="0" w:color="auto"/>
              <w:right w:val="nil"/>
            </w:tcBorders>
            <w:shd w:val="clear" w:color="auto" w:fill="auto"/>
            <w:noWrap/>
            <w:vAlign w:val="center"/>
            <w:hideMark/>
          </w:tcPr>
          <w:p w14:paraId="0C3F7B96" w14:textId="77777777" w:rsidR="00E838DF" w:rsidRPr="002E2F6B" w:rsidRDefault="00E838DF" w:rsidP="00110A7F">
            <w:pPr>
              <w:spacing w:before="0" w:after="0"/>
              <w:rPr>
                <w:sz w:val="16"/>
                <w:szCs w:val="16"/>
              </w:rPr>
            </w:pPr>
            <w:r w:rsidRPr="002E2F6B">
              <w:rPr>
                <w:sz w:val="16"/>
                <w:szCs w:val="16"/>
              </w:rPr>
              <w:t>TN</w:t>
            </w:r>
          </w:p>
        </w:tc>
        <w:tc>
          <w:tcPr>
            <w:tcW w:w="323" w:type="pct"/>
            <w:tcBorders>
              <w:top w:val="single" w:sz="4" w:space="0" w:color="auto"/>
              <w:left w:val="nil"/>
              <w:bottom w:val="single" w:sz="4" w:space="0" w:color="auto"/>
              <w:right w:val="nil"/>
            </w:tcBorders>
            <w:shd w:val="clear" w:color="auto" w:fill="auto"/>
            <w:noWrap/>
            <w:vAlign w:val="center"/>
            <w:hideMark/>
          </w:tcPr>
          <w:p w14:paraId="0C3F7B97" w14:textId="77777777" w:rsidR="00E838DF" w:rsidRPr="002E2F6B" w:rsidRDefault="00E838DF" w:rsidP="00110A7F">
            <w:pPr>
              <w:spacing w:before="0" w:after="0"/>
              <w:rPr>
                <w:sz w:val="16"/>
                <w:szCs w:val="16"/>
              </w:rPr>
            </w:pPr>
            <w:r w:rsidRPr="002E2F6B">
              <w:rPr>
                <w:sz w:val="16"/>
                <w:szCs w:val="16"/>
              </w:rPr>
              <w:t>TDN</w:t>
            </w:r>
          </w:p>
        </w:tc>
        <w:tc>
          <w:tcPr>
            <w:tcW w:w="323" w:type="pct"/>
            <w:tcBorders>
              <w:top w:val="single" w:sz="4" w:space="0" w:color="auto"/>
              <w:left w:val="nil"/>
              <w:bottom w:val="single" w:sz="4" w:space="0" w:color="auto"/>
              <w:right w:val="nil"/>
            </w:tcBorders>
            <w:shd w:val="clear" w:color="auto" w:fill="auto"/>
            <w:noWrap/>
            <w:vAlign w:val="center"/>
            <w:hideMark/>
          </w:tcPr>
          <w:p w14:paraId="0C3F7B98" w14:textId="77777777" w:rsidR="00E838DF" w:rsidRPr="002E2F6B" w:rsidRDefault="00E838DF" w:rsidP="00110A7F">
            <w:pPr>
              <w:spacing w:before="0" w:after="0"/>
              <w:rPr>
                <w:sz w:val="16"/>
                <w:szCs w:val="16"/>
              </w:rPr>
            </w:pPr>
            <w:r w:rsidRPr="002E2F6B">
              <w:rPr>
                <w:sz w:val="16"/>
                <w:szCs w:val="16"/>
              </w:rPr>
              <w:t>DIN</w:t>
            </w:r>
          </w:p>
        </w:tc>
        <w:tc>
          <w:tcPr>
            <w:tcW w:w="323" w:type="pct"/>
            <w:tcBorders>
              <w:top w:val="single" w:sz="4" w:space="0" w:color="auto"/>
              <w:left w:val="nil"/>
              <w:bottom w:val="single" w:sz="4" w:space="0" w:color="auto"/>
              <w:right w:val="nil"/>
            </w:tcBorders>
            <w:shd w:val="clear" w:color="auto" w:fill="auto"/>
            <w:noWrap/>
            <w:vAlign w:val="center"/>
            <w:hideMark/>
          </w:tcPr>
          <w:p w14:paraId="0C3F7B99" w14:textId="77777777" w:rsidR="00E838DF" w:rsidRPr="002E2F6B" w:rsidRDefault="00E838DF" w:rsidP="00110A7F">
            <w:pPr>
              <w:spacing w:before="0" w:after="0"/>
              <w:rPr>
                <w:sz w:val="16"/>
                <w:szCs w:val="16"/>
              </w:rPr>
            </w:pPr>
            <w:r w:rsidRPr="002E2F6B">
              <w:rPr>
                <w:sz w:val="16"/>
                <w:szCs w:val="16"/>
              </w:rPr>
              <w:t>TP</w:t>
            </w:r>
          </w:p>
        </w:tc>
        <w:tc>
          <w:tcPr>
            <w:tcW w:w="323" w:type="pct"/>
            <w:tcBorders>
              <w:top w:val="single" w:sz="4" w:space="0" w:color="auto"/>
              <w:left w:val="nil"/>
              <w:bottom w:val="single" w:sz="4" w:space="0" w:color="auto"/>
              <w:right w:val="nil"/>
            </w:tcBorders>
            <w:shd w:val="clear" w:color="auto" w:fill="auto"/>
            <w:noWrap/>
            <w:vAlign w:val="center"/>
            <w:hideMark/>
          </w:tcPr>
          <w:p w14:paraId="0C3F7B9A" w14:textId="77777777" w:rsidR="00E838DF" w:rsidRPr="002E2F6B" w:rsidRDefault="00E838DF" w:rsidP="00110A7F">
            <w:pPr>
              <w:spacing w:before="0" w:after="0"/>
              <w:rPr>
                <w:sz w:val="16"/>
                <w:szCs w:val="16"/>
              </w:rPr>
            </w:pPr>
            <w:r w:rsidRPr="002E2F6B">
              <w:rPr>
                <w:sz w:val="16"/>
                <w:szCs w:val="16"/>
              </w:rPr>
              <w:t>TDP</w:t>
            </w:r>
          </w:p>
        </w:tc>
        <w:tc>
          <w:tcPr>
            <w:tcW w:w="323" w:type="pct"/>
            <w:tcBorders>
              <w:top w:val="single" w:sz="4" w:space="0" w:color="auto"/>
              <w:left w:val="nil"/>
              <w:bottom w:val="single" w:sz="4" w:space="0" w:color="auto"/>
              <w:right w:val="nil"/>
            </w:tcBorders>
            <w:shd w:val="clear" w:color="auto" w:fill="auto"/>
            <w:noWrap/>
            <w:vAlign w:val="center"/>
            <w:hideMark/>
          </w:tcPr>
          <w:p w14:paraId="0C3F7B9B" w14:textId="77777777" w:rsidR="00E838DF" w:rsidRPr="002E2F6B" w:rsidRDefault="00E838DF" w:rsidP="00110A7F">
            <w:pPr>
              <w:spacing w:before="0" w:after="0"/>
              <w:rPr>
                <w:sz w:val="16"/>
                <w:szCs w:val="16"/>
              </w:rPr>
            </w:pPr>
            <w:r w:rsidRPr="002E2F6B">
              <w:rPr>
                <w:sz w:val="16"/>
                <w:szCs w:val="16"/>
              </w:rPr>
              <w:t>DIP</w:t>
            </w:r>
          </w:p>
        </w:tc>
        <w:tc>
          <w:tcPr>
            <w:tcW w:w="323" w:type="pct"/>
            <w:tcBorders>
              <w:top w:val="single" w:sz="4" w:space="0" w:color="auto"/>
              <w:left w:val="nil"/>
              <w:bottom w:val="single" w:sz="4" w:space="0" w:color="auto"/>
              <w:right w:val="nil"/>
            </w:tcBorders>
            <w:shd w:val="clear" w:color="auto" w:fill="auto"/>
            <w:noWrap/>
            <w:vAlign w:val="center"/>
            <w:hideMark/>
          </w:tcPr>
          <w:p w14:paraId="0C3F7B9C" w14:textId="77777777" w:rsidR="00E838DF" w:rsidRPr="002E2F6B" w:rsidRDefault="00E838DF" w:rsidP="00110A7F">
            <w:pPr>
              <w:spacing w:before="0" w:after="0"/>
              <w:rPr>
                <w:sz w:val="16"/>
                <w:szCs w:val="16"/>
              </w:rPr>
            </w:pPr>
            <w:r w:rsidRPr="002E2F6B">
              <w:rPr>
                <w:sz w:val="16"/>
                <w:szCs w:val="16"/>
              </w:rPr>
              <w:t>PN</w:t>
            </w:r>
          </w:p>
        </w:tc>
        <w:tc>
          <w:tcPr>
            <w:tcW w:w="323" w:type="pct"/>
            <w:tcBorders>
              <w:top w:val="single" w:sz="4" w:space="0" w:color="auto"/>
              <w:left w:val="nil"/>
              <w:bottom w:val="single" w:sz="4" w:space="0" w:color="auto"/>
              <w:right w:val="nil"/>
            </w:tcBorders>
            <w:shd w:val="clear" w:color="auto" w:fill="auto"/>
            <w:noWrap/>
            <w:vAlign w:val="center"/>
            <w:hideMark/>
          </w:tcPr>
          <w:p w14:paraId="0C3F7B9D" w14:textId="77777777" w:rsidR="00E838DF" w:rsidRPr="002E2F6B" w:rsidRDefault="00E838DF" w:rsidP="00110A7F">
            <w:pPr>
              <w:spacing w:before="0" w:after="0"/>
              <w:rPr>
                <w:sz w:val="16"/>
                <w:szCs w:val="16"/>
              </w:rPr>
            </w:pPr>
            <w:r w:rsidRPr="002E2F6B">
              <w:rPr>
                <w:sz w:val="16"/>
                <w:szCs w:val="16"/>
              </w:rPr>
              <w:t>PP</w:t>
            </w:r>
          </w:p>
        </w:tc>
        <w:tc>
          <w:tcPr>
            <w:tcW w:w="320" w:type="pct"/>
            <w:tcBorders>
              <w:top w:val="single" w:sz="4" w:space="0" w:color="auto"/>
              <w:left w:val="nil"/>
              <w:bottom w:val="single" w:sz="4" w:space="0" w:color="auto"/>
              <w:right w:val="nil"/>
            </w:tcBorders>
            <w:shd w:val="clear" w:color="auto" w:fill="auto"/>
            <w:noWrap/>
            <w:vAlign w:val="center"/>
            <w:hideMark/>
          </w:tcPr>
          <w:p w14:paraId="0C3F7B9E" w14:textId="77777777" w:rsidR="00E838DF" w:rsidRPr="002E2F6B" w:rsidRDefault="00E838DF" w:rsidP="00110A7F">
            <w:pPr>
              <w:spacing w:before="0" w:after="0"/>
              <w:rPr>
                <w:sz w:val="16"/>
                <w:szCs w:val="16"/>
              </w:rPr>
            </w:pPr>
            <w:r w:rsidRPr="002E2F6B">
              <w:rPr>
                <w:sz w:val="16"/>
                <w:szCs w:val="16"/>
              </w:rPr>
              <w:t>Si</w:t>
            </w:r>
          </w:p>
        </w:tc>
      </w:tr>
      <w:tr w:rsidR="00E838DF" w:rsidRPr="002E2F6B" w14:paraId="0C3F7BAF" w14:textId="77777777" w:rsidTr="00E838DF">
        <w:trPr>
          <w:trHeight w:val="20"/>
        </w:trPr>
        <w:tc>
          <w:tcPr>
            <w:tcW w:w="400" w:type="pct"/>
            <w:tcBorders>
              <w:top w:val="nil"/>
              <w:left w:val="nil"/>
              <w:bottom w:val="nil"/>
              <w:right w:val="nil"/>
            </w:tcBorders>
            <w:shd w:val="clear" w:color="auto" w:fill="auto"/>
            <w:noWrap/>
            <w:vAlign w:val="center"/>
            <w:hideMark/>
          </w:tcPr>
          <w:p w14:paraId="0C3F7BA0" w14:textId="77777777" w:rsidR="00E838DF" w:rsidRPr="002E2F6B" w:rsidRDefault="00E838DF" w:rsidP="00110A7F">
            <w:pPr>
              <w:spacing w:before="0" w:after="0"/>
              <w:rPr>
                <w:sz w:val="16"/>
                <w:szCs w:val="16"/>
              </w:rPr>
            </w:pPr>
            <w:r w:rsidRPr="002E2F6B">
              <w:rPr>
                <w:sz w:val="16"/>
                <w:szCs w:val="16"/>
              </w:rPr>
              <w:t>Sal.</w:t>
            </w:r>
          </w:p>
        </w:tc>
        <w:tc>
          <w:tcPr>
            <w:tcW w:w="323" w:type="pct"/>
            <w:tcBorders>
              <w:top w:val="nil"/>
              <w:left w:val="nil"/>
              <w:bottom w:val="nil"/>
              <w:right w:val="nil"/>
            </w:tcBorders>
            <w:shd w:val="clear" w:color="auto" w:fill="auto"/>
            <w:noWrap/>
            <w:vAlign w:val="center"/>
            <w:hideMark/>
          </w:tcPr>
          <w:p w14:paraId="0C3F7BA1" w14:textId="77777777" w:rsidR="00E838DF" w:rsidRPr="002E2F6B" w:rsidRDefault="00E838DF" w:rsidP="00110A7F">
            <w:pPr>
              <w:spacing w:before="0" w:after="0"/>
              <w:rPr>
                <w:sz w:val="16"/>
                <w:szCs w:val="16"/>
              </w:rPr>
            </w:pPr>
            <w:r w:rsidRPr="002E2F6B">
              <w:rPr>
                <w:sz w:val="16"/>
                <w:szCs w:val="16"/>
              </w:rPr>
              <w:t>1</w:t>
            </w:r>
          </w:p>
        </w:tc>
        <w:tc>
          <w:tcPr>
            <w:tcW w:w="400" w:type="pct"/>
            <w:tcBorders>
              <w:top w:val="nil"/>
              <w:left w:val="nil"/>
              <w:bottom w:val="nil"/>
              <w:right w:val="nil"/>
            </w:tcBorders>
            <w:shd w:val="clear" w:color="auto" w:fill="auto"/>
            <w:noWrap/>
            <w:vAlign w:val="center"/>
            <w:hideMark/>
          </w:tcPr>
          <w:p w14:paraId="0C3F7BA2" w14:textId="77777777" w:rsidR="00E838DF" w:rsidRPr="002E2F6B" w:rsidRDefault="00E838DF" w:rsidP="00110A7F">
            <w:pPr>
              <w:spacing w:before="0" w:after="0"/>
              <w:rPr>
                <w:sz w:val="16"/>
                <w:szCs w:val="16"/>
              </w:rPr>
            </w:pPr>
            <w:r w:rsidRPr="002E2F6B">
              <w:rPr>
                <w:sz w:val="16"/>
                <w:szCs w:val="16"/>
              </w:rPr>
              <w:t>-0.58</w:t>
            </w:r>
          </w:p>
        </w:tc>
        <w:tc>
          <w:tcPr>
            <w:tcW w:w="328" w:type="pct"/>
            <w:tcBorders>
              <w:top w:val="nil"/>
              <w:left w:val="nil"/>
              <w:bottom w:val="nil"/>
              <w:right w:val="nil"/>
            </w:tcBorders>
            <w:shd w:val="clear" w:color="auto" w:fill="auto"/>
            <w:noWrap/>
            <w:vAlign w:val="center"/>
            <w:hideMark/>
          </w:tcPr>
          <w:p w14:paraId="0C3F7BA3"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BA4" w14:textId="77777777" w:rsidR="00E838DF" w:rsidRPr="002E2F6B" w:rsidRDefault="00E838DF" w:rsidP="00110A7F">
            <w:pPr>
              <w:spacing w:before="0" w:after="0"/>
              <w:rPr>
                <w:sz w:val="16"/>
                <w:szCs w:val="16"/>
              </w:rPr>
            </w:pPr>
            <w:r w:rsidRPr="002E2F6B">
              <w:rPr>
                <w:sz w:val="16"/>
                <w:szCs w:val="16"/>
              </w:rPr>
              <w:t>-0.30</w:t>
            </w:r>
          </w:p>
        </w:tc>
        <w:tc>
          <w:tcPr>
            <w:tcW w:w="323" w:type="pct"/>
            <w:tcBorders>
              <w:top w:val="nil"/>
              <w:left w:val="nil"/>
              <w:bottom w:val="nil"/>
              <w:right w:val="nil"/>
            </w:tcBorders>
            <w:shd w:val="clear" w:color="auto" w:fill="auto"/>
            <w:noWrap/>
            <w:vAlign w:val="center"/>
            <w:hideMark/>
          </w:tcPr>
          <w:p w14:paraId="0C3F7BA5"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BA6" w14:textId="77777777" w:rsidR="00E838DF" w:rsidRPr="002E2F6B" w:rsidRDefault="00E838DF" w:rsidP="00110A7F">
            <w:pPr>
              <w:spacing w:before="0" w:after="0"/>
              <w:rPr>
                <w:sz w:val="16"/>
                <w:szCs w:val="16"/>
              </w:rPr>
            </w:pPr>
            <w:r w:rsidRPr="002E2F6B">
              <w:rPr>
                <w:sz w:val="16"/>
                <w:szCs w:val="16"/>
              </w:rPr>
              <w:t>-0.41</w:t>
            </w:r>
          </w:p>
        </w:tc>
        <w:tc>
          <w:tcPr>
            <w:tcW w:w="323" w:type="pct"/>
            <w:tcBorders>
              <w:top w:val="nil"/>
              <w:left w:val="nil"/>
              <w:bottom w:val="nil"/>
              <w:right w:val="nil"/>
            </w:tcBorders>
            <w:shd w:val="clear" w:color="auto" w:fill="auto"/>
            <w:noWrap/>
            <w:vAlign w:val="center"/>
            <w:hideMark/>
          </w:tcPr>
          <w:p w14:paraId="0C3F7BA7" w14:textId="77777777" w:rsidR="00E838DF" w:rsidRPr="002E2F6B" w:rsidRDefault="00E838DF" w:rsidP="00110A7F">
            <w:pPr>
              <w:spacing w:before="0" w:after="0"/>
              <w:rPr>
                <w:sz w:val="16"/>
                <w:szCs w:val="16"/>
              </w:rPr>
            </w:pPr>
            <w:r w:rsidRPr="002E2F6B">
              <w:rPr>
                <w:sz w:val="16"/>
                <w:szCs w:val="16"/>
              </w:rPr>
              <w:t>-0.57</w:t>
            </w:r>
          </w:p>
        </w:tc>
        <w:tc>
          <w:tcPr>
            <w:tcW w:w="323" w:type="pct"/>
            <w:tcBorders>
              <w:top w:val="nil"/>
              <w:left w:val="nil"/>
              <w:bottom w:val="nil"/>
              <w:right w:val="nil"/>
            </w:tcBorders>
            <w:shd w:val="clear" w:color="auto" w:fill="auto"/>
            <w:noWrap/>
            <w:vAlign w:val="center"/>
            <w:hideMark/>
          </w:tcPr>
          <w:p w14:paraId="0C3F7BA8" w14:textId="77777777" w:rsidR="00E838DF" w:rsidRPr="002E2F6B" w:rsidRDefault="00E838DF" w:rsidP="00110A7F">
            <w:pPr>
              <w:spacing w:before="0" w:after="0"/>
              <w:rPr>
                <w:sz w:val="16"/>
                <w:szCs w:val="16"/>
              </w:rPr>
            </w:pPr>
            <w:r w:rsidRPr="002E2F6B">
              <w:rPr>
                <w:sz w:val="16"/>
                <w:szCs w:val="16"/>
              </w:rPr>
              <w:t>-0.46</w:t>
            </w:r>
          </w:p>
        </w:tc>
        <w:tc>
          <w:tcPr>
            <w:tcW w:w="323" w:type="pct"/>
            <w:tcBorders>
              <w:top w:val="nil"/>
              <w:left w:val="nil"/>
              <w:bottom w:val="nil"/>
              <w:right w:val="nil"/>
            </w:tcBorders>
            <w:shd w:val="clear" w:color="auto" w:fill="auto"/>
            <w:noWrap/>
            <w:vAlign w:val="center"/>
            <w:hideMark/>
          </w:tcPr>
          <w:p w14:paraId="0C3F7BA9" w14:textId="77777777" w:rsidR="00E838DF" w:rsidRPr="002E2F6B" w:rsidRDefault="00E838DF" w:rsidP="00110A7F">
            <w:pPr>
              <w:spacing w:before="0" w:after="0"/>
              <w:rPr>
                <w:sz w:val="16"/>
                <w:szCs w:val="16"/>
              </w:rPr>
            </w:pPr>
            <w:r w:rsidRPr="002E2F6B">
              <w:rPr>
                <w:sz w:val="16"/>
                <w:szCs w:val="16"/>
              </w:rPr>
              <w:t>-0.59</w:t>
            </w:r>
          </w:p>
        </w:tc>
        <w:tc>
          <w:tcPr>
            <w:tcW w:w="323" w:type="pct"/>
            <w:tcBorders>
              <w:top w:val="nil"/>
              <w:left w:val="nil"/>
              <w:bottom w:val="nil"/>
              <w:right w:val="nil"/>
            </w:tcBorders>
            <w:shd w:val="clear" w:color="000000" w:fill="FFFF00"/>
            <w:noWrap/>
            <w:vAlign w:val="center"/>
            <w:hideMark/>
          </w:tcPr>
          <w:p w14:paraId="0C3F7BAA" w14:textId="77777777" w:rsidR="00E838DF" w:rsidRPr="002E2F6B" w:rsidRDefault="00E838DF" w:rsidP="00110A7F">
            <w:pPr>
              <w:spacing w:before="0" w:after="0"/>
              <w:rPr>
                <w:sz w:val="16"/>
                <w:szCs w:val="16"/>
              </w:rPr>
            </w:pPr>
            <w:r w:rsidRPr="002E2F6B">
              <w:rPr>
                <w:sz w:val="16"/>
                <w:szCs w:val="16"/>
              </w:rPr>
              <w:t>-0.61</w:t>
            </w:r>
          </w:p>
        </w:tc>
        <w:tc>
          <w:tcPr>
            <w:tcW w:w="323" w:type="pct"/>
            <w:tcBorders>
              <w:top w:val="nil"/>
              <w:left w:val="nil"/>
              <w:bottom w:val="nil"/>
              <w:right w:val="nil"/>
            </w:tcBorders>
            <w:shd w:val="clear" w:color="auto" w:fill="auto"/>
            <w:noWrap/>
            <w:vAlign w:val="center"/>
            <w:hideMark/>
          </w:tcPr>
          <w:p w14:paraId="0C3F7BAB" w14:textId="77777777" w:rsidR="00E838DF" w:rsidRPr="002E2F6B" w:rsidRDefault="00E838DF" w:rsidP="00110A7F">
            <w:pPr>
              <w:spacing w:before="0" w:after="0"/>
              <w:rPr>
                <w:sz w:val="16"/>
                <w:szCs w:val="16"/>
              </w:rPr>
            </w:pPr>
            <w:r w:rsidRPr="002E2F6B">
              <w:rPr>
                <w:sz w:val="16"/>
                <w:szCs w:val="16"/>
              </w:rPr>
              <w:t>-0.40</w:t>
            </w:r>
          </w:p>
        </w:tc>
        <w:tc>
          <w:tcPr>
            <w:tcW w:w="323" w:type="pct"/>
            <w:tcBorders>
              <w:top w:val="nil"/>
              <w:left w:val="nil"/>
              <w:bottom w:val="nil"/>
              <w:right w:val="nil"/>
            </w:tcBorders>
            <w:shd w:val="clear" w:color="auto" w:fill="auto"/>
            <w:noWrap/>
            <w:vAlign w:val="center"/>
            <w:hideMark/>
          </w:tcPr>
          <w:p w14:paraId="0C3F7BAC"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BAD" w14:textId="77777777" w:rsidR="00E838DF" w:rsidRPr="002E2F6B" w:rsidRDefault="00E838DF" w:rsidP="00110A7F">
            <w:pPr>
              <w:spacing w:before="0" w:after="0"/>
              <w:rPr>
                <w:sz w:val="16"/>
                <w:szCs w:val="16"/>
              </w:rPr>
            </w:pPr>
            <w:r w:rsidRPr="002E2F6B">
              <w:rPr>
                <w:sz w:val="16"/>
                <w:szCs w:val="16"/>
              </w:rPr>
              <w:t>-0.33</w:t>
            </w:r>
          </w:p>
        </w:tc>
        <w:tc>
          <w:tcPr>
            <w:tcW w:w="320" w:type="pct"/>
            <w:tcBorders>
              <w:top w:val="nil"/>
              <w:left w:val="nil"/>
              <w:bottom w:val="nil"/>
              <w:right w:val="nil"/>
            </w:tcBorders>
            <w:shd w:val="clear" w:color="000000" w:fill="FFFF00"/>
            <w:noWrap/>
            <w:vAlign w:val="center"/>
            <w:hideMark/>
          </w:tcPr>
          <w:p w14:paraId="0C3F7BAE" w14:textId="77777777" w:rsidR="00E838DF" w:rsidRPr="002E2F6B" w:rsidRDefault="00E838DF" w:rsidP="00110A7F">
            <w:pPr>
              <w:spacing w:before="0" w:after="0"/>
              <w:rPr>
                <w:sz w:val="16"/>
                <w:szCs w:val="16"/>
              </w:rPr>
            </w:pPr>
            <w:r w:rsidRPr="002E2F6B">
              <w:rPr>
                <w:sz w:val="16"/>
                <w:szCs w:val="16"/>
              </w:rPr>
              <w:t>-0.67</w:t>
            </w:r>
          </w:p>
        </w:tc>
      </w:tr>
      <w:tr w:rsidR="00E838DF" w:rsidRPr="002E2F6B" w14:paraId="0C3F7BBF" w14:textId="77777777" w:rsidTr="00E838DF">
        <w:trPr>
          <w:trHeight w:val="20"/>
        </w:trPr>
        <w:tc>
          <w:tcPr>
            <w:tcW w:w="400" w:type="pct"/>
            <w:tcBorders>
              <w:top w:val="nil"/>
              <w:left w:val="nil"/>
              <w:bottom w:val="nil"/>
              <w:right w:val="nil"/>
            </w:tcBorders>
            <w:shd w:val="clear" w:color="auto" w:fill="auto"/>
            <w:noWrap/>
            <w:vAlign w:val="center"/>
            <w:hideMark/>
          </w:tcPr>
          <w:p w14:paraId="0C3F7BB0" w14:textId="77777777" w:rsidR="00E838DF" w:rsidRPr="002E2F6B" w:rsidRDefault="00E838DF" w:rsidP="00110A7F">
            <w:pPr>
              <w:spacing w:before="0" w:after="0"/>
              <w:rPr>
                <w:sz w:val="16"/>
                <w:szCs w:val="16"/>
              </w:rPr>
            </w:pPr>
            <w:r w:rsidRPr="002E2F6B">
              <w:rPr>
                <w:sz w:val="16"/>
                <w:szCs w:val="16"/>
              </w:rPr>
              <w:t>Disch.</w:t>
            </w:r>
          </w:p>
        </w:tc>
        <w:tc>
          <w:tcPr>
            <w:tcW w:w="323" w:type="pct"/>
            <w:tcBorders>
              <w:top w:val="nil"/>
              <w:left w:val="nil"/>
              <w:bottom w:val="nil"/>
              <w:right w:val="nil"/>
            </w:tcBorders>
            <w:shd w:val="clear" w:color="auto" w:fill="auto"/>
            <w:noWrap/>
            <w:vAlign w:val="center"/>
            <w:hideMark/>
          </w:tcPr>
          <w:p w14:paraId="0C3F7BB1" w14:textId="77777777" w:rsidR="00E838DF" w:rsidRPr="002E2F6B" w:rsidRDefault="00E838DF" w:rsidP="00110A7F">
            <w:pPr>
              <w:spacing w:before="0" w:after="0"/>
              <w:rPr>
                <w:sz w:val="16"/>
                <w:szCs w:val="16"/>
              </w:rPr>
            </w:pPr>
            <w:r w:rsidRPr="002E2F6B">
              <w:rPr>
                <w:sz w:val="16"/>
                <w:szCs w:val="16"/>
              </w:rPr>
              <w:t>-0.58</w:t>
            </w:r>
          </w:p>
        </w:tc>
        <w:tc>
          <w:tcPr>
            <w:tcW w:w="400" w:type="pct"/>
            <w:tcBorders>
              <w:top w:val="nil"/>
              <w:left w:val="nil"/>
              <w:bottom w:val="nil"/>
              <w:right w:val="nil"/>
            </w:tcBorders>
            <w:shd w:val="clear" w:color="auto" w:fill="auto"/>
            <w:noWrap/>
            <w:vAlign w:val="center"/>
            <w:hideMark/>
          </w:tcPr>
          <w:p w14:paraId="0C3F7BB2" w14:textId="77777777" w:rsidR="00E838DF" w:rsidRPr="002E2F6B" w:rsidRDefault="00E838DF" w:rsidP="00110A7F">
            <w:pPr>
              <w:spacing w:before="0" w:after="0"/>
              <w:rPr>
                <w:sz w:val="16"/>
                <w:szCs w:val="16"/>
              </w:rPr>
            </w:pPr>
            <w:r w:rsidRPr="002E2F6B">
              <w:rPr>
                <w:sz w:val="16"/>
                <w:szCs w:val="16"/>
              </w:rPr>
              <w:t>1</w:t>
            </w:r>
          </w:p>
        </w:tc>
        <w:tc>
          <w:tcPr>
            <w:tcW w:w="328" w:type="pct"/>
            <w:tcBorders>
              <w:top w:val="nil"/>
              <w:left w:val="nil"/>
              <w:bottom w:val="nil"/>
              <w:right w:val="nil"/>
            </w:tcBorders>
            <w:shd w:val="clear" w:color="auto" w:fill="auto"/>
            <w:noWrap/>
            <w:vAlign w:val="center"/>
            <w:hideMark/>
          </w:tcPr>
          <w:p w14:paraId="0C3F7BB3"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BB4"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BB5"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BB6" w14:textId="77777777" w:rsidR="00E838DF" w:rsidRPr="002E2F6B" w:rsidRDefault="00E838DF" w:rsidP="00110A7F">
            <w:pPr>
              <w:spacing w:before="0" w:after="0"/>
              <w:rPr>
                <w:sz w:val="16"/>
                <w:szCs w:val="16"/>
              </w:rPr>
            </w:pPr>
            <w:r w:rsidRPr="002E2F6B">
              <w:rPr>
                <w:sz w:val="16"/>
                <w:szCs w:val="16"/>
              </w:rPr>
              <w:t>-0.03</w:t>
            </w:r>
          </w:p>
        </w:tc>
        <w:tc>
          <w:tcPr>
            <w:tcW w:w="323" w:type="pct"/>
            <w:tcBorders>
              <w:top w:val="nil"/>
              <w:left w:val="nil"/>
              <w:bottom w:val="nil"/>
              <w:right w:val="nil"/>
            </w:tcBorders>
            <w:shd w:val="clear" w:color="auto" w:fill="auto"/>
            <w:noWrap/>
            <w:vAlign w:val="center"/>
            <w:hideMark/>
          </w:tcPr>
          <w:p w14:paraId="0C3F7BB7"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BB8" w14:textId="77777777" w:rsidR="00E838DF" w:rsidRPr="002E2F6B" w:rsidRDefault="00E838DF" w:rsidP="00110A7F">
            <w:pPr>
              <w:spacing w:before="0" w:after="0"/>
              <w:rPr>
                <w:sz w:val="16"/>
                <w:szCs w:val="16"/>
              </w:rPr>
            </w:pPr>
            <w:r w:rsidRPr="002E2F6B">
              <w:rPr>
                <w:sz w:val="16"/>
                <w:szCs w:val="16"/>
              </w:rPr>
              <w:t>0.48</w:t>
            </w:r>
          </w:p>
        </w:tc>
        <w:tc>
          <w:tcPr>
            <w:tcW w:w="323" w:type="pct"/>
            <w:tcBorders>
              <w:top w:val="nil"/>
              <w:left w:val="nil"/>
              <w:bottom w:val="nil"/>
              <w:right w:val="nil"/>
            </w:tcBorders>
            <w:shd w:val="clear" w:color="auto" w:fill="auto"/>
            <w:noWrap/>
            <w:vAlign w:val="center"/>
            <w:hideMark/>
          </w:tcPr>
          <w:p w14:paraId="0C3F7BB9" w14:textId="77777777" w:rsidR="00E838DF" w:rsidRPr="002E2F6B" w:rsidRDefault="00E838DF" w:rsidP="00110A7F">
            <w:pPr>
              <w:spacing w:before="0" w:after="0"/>
              <w:rPr>
                <w:sz w:val="16"/>
                <w:szCs w:val="16"/>
              </w:rPr>
            </w:pPr>
            <w:r w:rsidRPr="002E2F6B">
              <w:rPr>
                <w:sz w:val="16"/>
                <w:szCs w:val="16"/>
              </w:rPr>
              <w:t>0.28</w:t>
            </w:r>
          </w:p>
        </w:tc>
        <w:tc>
          <w:tcPr>
            <w:tcW w:w="323" w:type="pct"/>
            <w:tcBorders>
              <w:top w:val="nil"/>
              <w:left w:val="nil"/>
              <w:bottom w:val="nil"/>
              <w:right w:val="nil"/>
            </w:tcBorders>
            <w:shd w:val="clear" w:color="auto" w:fill="auto"/>
            <w:noWrap/>
            <w:vAlign w:val="center"/>
            <w:hideMark/>
          </w:tcPr>
          <w:p w14:paraId="0C3F7BBA" w14:textId="77777777" w:rsidR="00E838DF" w:rsidRPr="002E2F6B" w:rsidRDefault="00E838DF" w:rsidP="00110A7F">
            <w:pPr>
              <w:spacing w:before="0" w:after="0"/>
              <w:rPr>
                <w:sz w:val="16"/>
                <w:szCs w:val="16"/>
              </w:rPr>
            </w:pPr>
            <w:r w:rsidRPr="002E2F6B">
              <w:rPr>
                <w:sz w:val="16"/>
                <w:szCs w:val="16"/>
              </w:rPr>
              <w:t>0.28</w:t>
            </w:r>
          </w:p>
        </w:tc>
        <w:tc>
          <w:tcPr>
            <w:tcW w:w="323" w:type="pct"/>
            <w:tcBorders>
              <w:top w:val="nil"/>
              <w:left w:val="nil"/>
              <w:bottom w:val="nil"/>
              <w:right w:val="nil"/>
            </w:tcBorders>
            <w:shd w:val="clear" w:color="auto" w:fill="auto"/>
            <w:noWrap/>
            <w:vAlign w:val="center"/>
            <w:hideMark/>
          </w:tcPr>
          <w:p w14:paraId="0C3F7BBB"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BBC" w14:textId="77777777" w:rsidR="00E838DF" w:rsidRPr="002E2F6B" w:rsidRDefault="00E838DF" w:rsidP="00110A7F">
            <w:pPr>
              <w:spacing w:before="0" w:after="0"/>
              <w:rPr>
                <w:sz w:val="16"/>
                <w:szCs w:val="16"/>
              </w:rPr>
            </w:pPr>
            <w:r w:rsidRPr="002E2F6B">
              <w:rPr>
                <w:sz w:val="16"/>
                <w:szCs w:val="16"/>
              </w:rPr>
              <w:t>-0.39</w:t>
            </w:r>
          </w:p>
        </w:tc>
        <w:tc>
          <w:tcPr>
            <w:tcW w:w="323" w:type="pct"/>
            <w:tcBorders>
              <w:top w:val="nil"/>
              <w:left w:val="nil"/>
              <w:bottom w:val="nil"/>
              <w:right w:val="nil"/>
            </w:tcBorders>
            <w:shd w:val="clear" w:color="auto" w:fill="auto"/>
            <w:noWrap/>
            <w:vAlign w:val="center"/>
            <w:hideMark/>
          </w:tcPr>
          <w:p w14:paraId="0C3F7BBD" w14:textId="77777777" w:rsidR="00E838DF" w:rsidRPr="002E2F6B" w:rsidRDefault="00E838DF" w:rsidP="00110A7F">
            <w:pPr>
              <w:spacing w:before="0" w:after="0"/>
              <w:rPr>
                <w:sz w:val="16"/>
                <w:szCs w:val="16"/>
              </w:rPr>
            </w:pPr>
            <w:r w:rsidRPr="002E2F6B">
              <w:rPr>
                <w:sz w:val="16"/>
                <w:szCs w:val="16"/>
              </w:rPr>
              <w:t>0.10</w:t>
            </w:r>
          </w:p>
        </w:tc>
        <w:tc>
          <w:tcPr>
            <w:tcW w:w="320" w:type="pct"/>
            <w:tcBorders>
              <w:top w:val="nil"/>
              <w:left w:val="nil"/>
              <w:bottom w:val="nil"/>
              <w:right w:val="nil"/>
            </w:tcBorders>
            <w:shd w:val="clear" w:color="000000" w:fill="FFFF00"/>
            <w:noWrap/>
            <w:vAlign w:val="center"/>
            <w:hideMark/>
          </w:tcPr>
          <w:p w14:paraId="0C3F7BBE" w14:textId="77777777" w:rsidR="00E838DF" w:rsidRPr="002E2F6B" w:rsidRDefault="00E838DF" w:rsidP="00110A7F">
            <w:pPr>
              <w:spacing w:before="0" w:after="0"/>
              <w:rPr>
                <w:sz w:val="16"/>
                <w:szCs w:val="16"/>
              </w:rPr>
            </w:pPr>
            <w:r w:rsidRPr="002E2F6B">
              <w:rPr>
                <w:sz w:val="16"/>
                <w:szCs w:val="16"/>
              </w:rPr>
              <w:t>0.68</w:t>
            </w:r>
          </w:p>
        </w:tc>
      </w:tr>
      <w:tr w:rsidR="00E838DF" w:rsidRPr="002E2F6B" w14:paraId="0C3F7BCF" w14:textId="77777777" w:rsidTr="00E838DF">
        <w:trPr>
          <w:trHeight w:val="20"/>
        </w:trPr>
        <w:tc>
          <w:tcPr>
            <w:tcW w:w="400" w:type="pct"/>
            <w:tcBorders>
              <w:top w:val="nil"/>
              <w:left w:val="nil"/>
              <w:bottom w:val="nil"/>
              <w:right w:val="nil"/>
            </w:tcBorders>
            <w:shd w:val="clear" w:color="auto" w:fill="auto"/>
            <w:noWrap/>
            <w:vAlign w:val="center"/>
            <w:hideMark/>
          </w:tcPr>
          <w:p w14:paraId="0C3F7BC0" w14:textId="77777777" w:rsidR="00E838DF" w:rsidRPr="002E2F6B" w:rsidRDefault="00E838DF" w:rsidP="00110A7F">
            <w:pPr>
              <w:spacing w:before="0" w:after="0"/>
              <w:rPr>
                <w:sz w:val="16"/>
                <w:szCs w:val="16"/>
              </w:rPr>
            </w:pPr>
            <w:r w:rsidRPr="002E2F6B">
              <w:rPr>
                <w:sz w:val="16"/>
                <w:szCs w:val="16"/>
              </w:rPr>
              <w:t>Dist.</w:t>
            </w:r>
          </w:p>
        </w:tc>
        <w:tc>
          <w:tcPr>
            <w:tcW w:w="323" w:type="pct"/>
            <w:tcBorders>
              <w:top w:val="nil"/>
              <w:left w:val="nil"/>
              <w:bottom w:val="nil"/>
              <w:right w:val="nil"/>
            </w:tcBorders>
            <w:shd w:val="clear" w:color="auto" w:fill="auto"/>
            <w:noWrap/>
            <w:vAlign w:val="center"/>
            <w:hideMark/>
          </w:tcPr>
          <w:p w14:paraId="0C3F7BC1" w14:textId="77777777" w:rsidR="00E838DF" w:rsidRPr="002E2F6B" w:rsidRDefault="00E838DF" w:rsidP="00110A7F">
            <w:pPr>
              <w:spacing w:before="0" w:after="0"/>
              <w:rPr>
                <w:sz w:val="16"/>
                <w:szCs w:val="16"/>
              </w:rPr>
            </w:pPr>
            <w:r w:rsidRPr="002E2F6B">
              <w:rPr>
                <w:sz w:val="16"/>
                <w:szCs w:val="16"/>
              </w:rPr>
              <w:t>0.11</w:t>
            </w:r>
          </w:p>
        </w:tc>
        <w:tc>
          <w:tcPr>
            <w:tcW w:w="400" w:type="pct"/>
            <w:tcBorders>
              <w:top w:val="nil"/>
              <w:left w:val="nil"/>
              <w:bottom w:val="nil"/>
              <w:right w:val="nil"/>
            </w:tcBorders>
            <w:shd w:val="clear" w:color="auto" w:fill="auto"/>
            <w:noWrap/>
            <w:vAlign w:val="center"/>
            <w:hideMark/>
          </w:tcPr>
          <w:p w14:paraId="0C3F7BC2" w14:textId="77777777" w:rsidR="00E838DF" w:rsidRPr="002E2F6B" w:rsidRDefault="00E838DF" w:rsidP="00110A7F">
            <w:pPr>
              <w:spacing w:before="0" w:after="0"/>
              <w:rPr>
                <w:sz w:val="16"/>
                <w:szCs w:val="16"/>
              </w:rPr>
            </w:pPr>
            <w:r w:rsidRPr="002E2F6B">
              <w:rPr>
                <w:sz w:val="16"/>
                <w:szCs w:val="16"/>
              </w:rPr>
              <w:t>0.11</w:t>
            </w:r>
          </w:p>
        </w:tc>
        <w:tc>
          <w:tcPr>
            <w:tcW w:w="328" w:type="pct"/>
            <w:tcBorders>
              <w:top w:val="nil"/>
              <w:left w:val="nil"/>
              <w:bottom w:val="nil"/>
              <w:right w:val="nil"/>
            </w:tcBorders>
            <w:shd w:val="clear" w:color="auto" w:fill="auto"/>
            <w:noWrap/>
            <w:vAlign w:val="center"/>
            <w:hideMark/>
          </w:tcPr>
          <w:p w14:paraId="0C3F7BC3"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BC4"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BC5" w14:textId="77777777" w:rsidR="00E838DF" w:rsidRPr="002E2F6B" w:rsidRDefault="00E838DF" w:rsidP="00110A7F">
            <w:pPr>
              <w:spacing w:before="0" w:after="0"/>
              <w:rPr>
                <w:sz w:val="16"/>
                <w:szCs w:val="16"/>
              </w:rPr>
            </w:pPr>
            <w:r w:rsidRPr="002E2F6B">
              <w:rPr>
                <w:sz w:val="16"/>
                <w:szCs w:val="16"/>
              </w:rPr>
              <w:t>-0.08</w:t>
            </w:r>
          </w:p>
        </w:tc>
        <w:tc>
          <w:tcPr>
            <w:tcW w:w="323" w:type="pct"/>
            <w:tcBorders>
              <w:top w:val="nil"/>
              <w:left w:val="nil"/>
              <w:bottom w:val="nil"/>
              <w:right w:val="nil"/>
            </w:tcBorders>
            <w:shd w:val="clear" w:color="auto" w:fill="auto"/>
            <w:noWrap/>
            <w:vAlign w:val="center"/>
            <w:hideMark/>
          </w:tcPr>
          <w:p w14:paraId="0C3F7BC6" w14:textId="77777777" w:rsidR="00E838DF" w:rsidRPr="002E2F6B" w:rsidRDefault="00E838DF" w:rsidP="00110A7F">
            <w:pPr>
              <w:spacing w:before="0" w:after="0"/>
              <w:rPr>
                <w:sz w:val="16"/>
                <w:szCs w:val="16"/>
              </w:rPr>
            </w:pPr>
            <w:r w:rsidRPr="002E2F6B">
              <w:rPr>
                <w:sz w:val="16"/>
                <w:szCs w:val="16"/>
              </w:rPr>
              <w:t>-0.39</w:t>
            </w:r>
          </w:p>
        </w:tc>
        <w:tc>
          <w:tcPr>
            <w:tcW w:w="323" w:type="pct"/>
            <w:tcBorders>
              <w:top w:val="nil"/>
              <w:left w:val="nil"/>
              <w:bottom w:val="nil"/>
              <w:right w:val="nil"/>
            </w:tcBorders>
            <w:shd w:val="clear" w:color="auto" w:fill="auto"/>
            <w:noWrap/>
            <w:vAlign w:val="center"/>
            <w:hideMark/>
          </w:tcPr>
          <w:p w14:paraId="0C3F7BC7"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BC8"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BC9"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BCA"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BCB"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BCC"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BCD" w14:textId="77777777" w:rsidR="00E838DF" w:rsidRPr="002E2F6B" w:rsidRDefault="00E838DF" w:rsidP="00110A7F">
            <w:pPr>
              <w:spacing w:before="0" w:after="0"/>
              <w:rPr>
                <w:sz w:val="16"/>
                <w:szCs w:val="16"/>
              </w:rPr>
            </w:pPr>
            <w:r w:rsidRPr="002E2F6B">
              <w:rPr>
                <w:sz w:val="16"/>
                <w:szCs w:val="16"/>
              </w:rPr>
              <w:t>-0.25</w:t>
            </w:r>
          </w:p>
        </w:tc>
        <w:tc>
          <w:tcPr>
            <w:tcW w:w="320" w:type="pct"/>
            <w:tcBorders>
              <w:top w:val="nil"/>
              <w:left w:val="nil"/>
              <w:bottom w:val="nil"/>
              <w:right w:val="nil"/>
            </w:tcBorders>
            <w:shd w:val="clear" w:color="auto" w:fill="auto"/>
            <w:noWrap/>
            <w:vAlign w:val="center"/>
            <w:hideMark/>
          </w:tcPr>
          <w:p w14:paraId="0C3F7BCE" w14:textId="77777777" w:rsidR="00E838DF" w:rsidRPr="002E2F6B" w:rsidRDefault="00E838DF" w:rsidP="00110A7F">
            <w:pPr>
              <w:spacing w:before="0" w:after="0"/>
              <w:rPr>
                <w:sz w:val="16"/>
                <w:szCs w:val="16"/>
              </w:rPr>
            </w:pPr>
            <w:r w:rsidRPr="002E2F6B">
              <w:rPr>
                <w:sz w:val="16"/>
                <w:szCs w:val="16"/>
              </w:rPr>
              <w:t>-0.32</w:t>
            </w:r>
          </w:p>
        </w:tc>
      </w:tr>
      <w:tr w:rsidR="00E838DF" w:rsidRPr="002E2F6B" w14:paraId="0C3F7BDF" w14:textId="77777777" w:rsidTr="00E838DF">
        <w:trPr>
          <w:trHeight w:val="20"/>
        </w:trPr>
        <w:tc>
          <w:tcPr>
            <w:tcW w:w="400" w:type="pct"/>
            <w:tcBorders>
              <w:top w:val="nil"/>
              <w:left w:val="nil"/>
              <w:bottom w:val="nil"/>
              <w:right w:val="nil"/>
            </w:tcBorders>
            <w:shd w:val="clear" w:color="auto" w:fill="auto"/>
            <w:noWrap/>
            <w:vAlign w:val="center"/>
            <w:hideMark/>
          </w:tcPr>
          <w:p w14:paraId="0C3F7BD0" w14:textId="77777777" w:rsidR="00E838DF" w:rsidRPr="002E2F6B" w:rsidRDefault="00E838DF" w:rsidP="00110A7F">
            <w:pPr>
              <w:spacing w:before="0" w:after="0"/>
              <w:rPr>
                <w:sz w:val="16"/>
                <w:szCs w:val="16"/>
              </w:rPr>
            </w:pPr>
            <w:r w:rsidRPr="002E2F6B">
              <w:rPr>
                <w:sz w:val="16"/>
                <w:szCs w:val="16"/>
              </w:rPr>
              <w:t>TSS</w:t>
            </w:r>
          </w:p>
        </w:tc>
        <w:tc>
          <w:tcPr>
            <w:tcW w:w="323" w:type="pct"/>
            <w:tcBorders>
              <w:top w:val="nil"/>
              <w:left w:val="nil"/>
              <w:bottom w:val="nil"/>
              <w:right w:val="nil"/>
            </w:tcBorders>
            <w:shd w:val="clear" w:color="auto" w:fill="auto"/>
            <w:noWrap/>
            <w:vAlign w:val="center"/>
            <w:hideMark/>
          </w:tcPr>
          <w:p w14:paraId="0C3F7BD1" w14:textId="77777777" w:rsidR="00E838DF" w:rsidRPr="002E2F6B" w:rsidRDefault="00E838DF" w:rsidP="00110A7F">
            <w:pPr>
              <w:spacing w:before="0" w:after="0"/>
              <w:rPr>
                <w:sz w:val="16"/>
                <w:szCs w:val="16"/>
              </w:rPr>
            </w:pPr>
            <w:r w:rsidRPr="002E2F6B">
              <w:rPr>
                <w:sz w:val="16"/>
                <w:szCs w:val="16"/>
              </w:rPr>
              <w:t>-0.30</w:t>
            </w:r>
          </w:p>
        </w:tc>
        <w:tc>
          <w:tcPr>
            <w:tcW w:w="400" w:type="pct"/>
            <w:tcBorders>
              <w:top w:val="nil"/>
              <w:left w:val="nil"/>
              <w:bottom w:val="nil"/>
              <w:right w:val="nil"/>
            </w:tcBorders>
            <w:shd w:val="clear" w:color="auto" w:fill="auto"/>
            <w:noWrap/>
            <w:vAlign w:val="center"/>
            <w:hideMark/>
          </w:tcPr>
          <w:p w14:paraId="0C3F7BD2" w14:textId="77777777" w:rsidR="00E838DF" w:rsidRPr="002E2F6B" w:rsidRDefault="00E838DF" w:rsidP="00110A7F">
            <w:pPr>
              <w:spacing w:before="0" w:after="0"/>
              <w:rPr>
                <w:sz w:val="16"/>
                <w:szCs w:val="16"/>
              </w:rPr>
            </w:pPr>
            <w:r w:rsidRPr="002E2F6B">
              <w:rPr>
                <w:sz w:val="16"/>
                <w:szCs w:val="16"/>
              </w:rPr>
              <w:t>0.15</w:t>
            </w:r>
          </w:p>
        </w:tc>
        <w:tc>
          <w:tcPr>
            <w:tcW w:w="328" w:type="pct"/>
            <w:tcBorders>
              <w:top w:val="nil"/>
              <w:left w:val="nil"/>
              <w:bottom w:val="nil"/>
              <w:right w:val="nil"/>
            </w:tcBorders>
            <w:shd w:val="clear" w:color="auto" w:fill="auto"/>
            <w:noWrap/>
            <w:vAlign w:val="center"/>
            <w:hideMark/>
          </w:tcPr>
          <w:p w14:paraId="0C3F7BD3"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BD4"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BD5" w14:textId="77777777" w:rsidR="00E838DF" w:rsidRPr="002E2F6B" w:rsidRDefault="00E838DF" w:rsidP="00110A7F">
            <w:pPr>
              <w:spacing w:before="0" w:after="0"/>
              <w:rPr>
                <w:sz w:val="16"/>
                <w:szCs w:val="16"/>
              </w:rPr>
            </w:pPr>
            <w:r w:rsidRPr="002E2F6B">
              <w:rPr>
                <w:sz w:val="16"/>
                <w:szCs w:val="16"/>
              </w:rPr>
              <w:t>0.52</w:t>
            </w:r>
          </w:p>
        </w:tc>
        <w:tc>
          <w:tcPr>
            <w:tcW w:w="323" w:type="pct"/>
            <w:tcBorders>
              <w:top w:val="nil"/>
              <w:left w:val="nil"/>
              <w:bottom w:val="nil"/>
              <w:right w:val="nil"/>
            </w:tcBorders>
            <w:shd w:val="clear" w:color="auto" w:fill="auto"/>
            <w:noWrap/>
            <w:vAlign w:val="center"/>
            <w:hideMark/>
          </w:tcPr>
          <w:p w14:paraId="0C3F7BD6" w14:textId="77777777" w:rsidR="00E838DF" w:rsidRPr="002E2F6B" w:rsidRDefault="00E838DF" w:rsidP="00110A7F">
            <w:pPr>
              <w:spacing w:before="0" w:after="0"/>
              <w:rPr>
                <w:sz w:val="16"/>
                <w:szCs w:val="16"/>
              </w:rPr>
            </w:pPr>
            <w:r w:rsidRPr="002E2F6B">
              <w:rPr>
                <w:sz w:val="16"/>
                <w:szCs w:val="16"/>
              </w:rPr>
              <w:t>0.31</w:t>
            </w:r>
          </w:p>
        </w:tc>
        <w:tc>
          <w:tcPr>
            <w:tcW w:w="323" w:type="pct"/>
            <w:tcBorders>
              <w:top w:val="nil"/>
              <w:left w:val="nil"/>
              <w:bottom w:val="nil"/>
              <w:right w:val="nil"/>
            </w:tcBorders>
            <w:shd w:val="clear" w:color="auto" w:fill="auto"/>
            <w:noWrap/>
            <w:vAlign w:val="center"/>
            <w:hideMark/>
          </w:tcPr>
          <w:p w14:paraId="0C3F7BD7"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BD8"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BD9"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BDA"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BDB" w14:textId="77777777" w:rsidR="00E838DF" w:rsidRPr="002E2F6B" w:rsidRDefault="00E838DF" w:rsidP="00110A7F">
            <w:pPr>
              <w:spacing w:before="0" w:after="0"/>
              <w:rPr>
                <w:sz w:val="16"/>
                <w:szCs w:val="16"/>
              </w:rPr>
            </w:pPr>
            <w:r w:rsidRPr="002E2F6B">
              <w:rPr>
                <w:sz w:val="16"/>
                <w:szCs w:val="16"/>
              </w:rPr>
              <w:t>-0.08</w:t>
            </w:r>
          </w:p>
        </w:tc>
        <w:tc>
          <w:tcPr>
            <w:tcW w:w="323" w:type="pct"/>
            <w:tcBorders>
              <w:top w:val="nil"/>
              <w:left w:val="nil"/>
              <w:bottom w:val="nil"/>
              <w:right w:val="nil"/>
            </w:tcBorders>
            <w:shd w:val="clear" w:color="auto" w:fill="auto"/>
            <w:noWrap/>
            <w:vAlign w:val="center"/>
            <w:hideMark/>
          </w:tcPr>
          <w:p w14:paraId="0C3F7BDC"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BDD" w14:textId="77777777" w:rsidR="00E838DF" w:rsidRPr="002E2F6B" w:rsidRDefault="00E838DF" w:rsidP="00110A7F">
            <w:pPr>
              <w:spacing w:before="0" w:after="0"/>
              <w:rPr>
                <w:sz w:val="16"/>
                <w:szCs w:val="16"/>
              </w:rPr>
            </w:pPr>
            <w:r w:rsidRPr="002E2F6B">
              <w:rPr>
                <w:sz w:val="16"/>
                <w:szCs w:val="16"/>
              </w:rPr>
              <w:t>0.15</w:t>
            </w:r>
          </w:p>
        </w:tc>
        <w:tc>
          <w:tcPr>
            <w:tcW w:w="320" w:type="pct"/>
            <w:tcBorders>
              <w:top w:val="nil"/>
              <w:left w:val="nil"/>
              <w:bottom w:val="nil"/>
              <w:right w:val="nil"/>
            </w:tcBorders>
            <w:shd w:val="clear" w:color="auto" w:fill="auto"/>
            <w:noWrap/>
            <w:vAlign w:val="center"/>
            <w:hideMark/>
          </w:tcPr>
          <w:p w14:paraId="0C3F7BDE" w14:textId="77777777" w:rsidR="00E838DF" w:rsidRPr="002E2F6B" w:rsidRDefault="00E838DF" w:rsidP="00110A7F">
            <w:pPr>
              <w:spacing w:before="0" w:after="0"/>
              <w:rPr>
                <w:sz w:val="16"/>
                <w:szCs w:val="16"/>
              </w:rPr>
            </w:pPr>
            <w:r w:rsidRPr="002E2F6B">
              <w:rPr>
                <w:sz w:val="16"/>
                <w:szCs w:val="16"/>
              </w:rPr>
              <w:t>0.27</w:t>
            </w:r>
          </w:p>
        </w:tc>
      </w:tr>
      <w:tr w:rsidR="00E838DF" w:rsidRPr="002E2F6B" w14:paraId="0C3F7BEF" w14:textId="77777777" w:rsidTr="00E838DF">
        <w:trPr>
          <w:trHeight w:val="20"/>
        </w:trPr>
        <w:tc>
          <w:tcPr>
            <w:tcW w:w="400" w:type="pct"/>
            <w:tcBorders>
              <w:top w:val="nil"/>
              <w:left w:val="nil"/>
              <w:bottom w:val="nil"/>
              <w:right w:val="nil"/>
            </w:tcBorders>
            <w:shd w:val="clear" w:color="auto" w:fill="auto"/>
            <w:noWrap/>
            <w:vAlign w:val="center"/>
            <w:hideMark/>
          </w:tcPr>
          <w:p w14:paraId="0C3F7BE0" w14:textId="77777777" w:rsidR="00E838DF" w:rsidRPr="002E2F6B" w:rsidRDefault="00E838DF" w:rsidP="00110A7F">
            <w:pPr>
              <w:spacing w:before="0" w:after="0"/>
              <w:rPr>
                <w:sz w:val="16"/>
                <w:szCs w:val="16"/>
              </w:rPr>
            </w:pPr>
            <w:r w:rsidRPr="002E2F6B">
              <w:rPr>
                <w:sz w:val="16"/>
                <w:szCs w:val="16"/>
              </w:rPr>
              <w:t>chl-a</w:t>
            </w:r>
          </w:p>
        </w:tc>
        <w:tc>
          <w:tcPr>
            <w:tcW w:w="323" w:type="pct"/>
            <w:tcBorders>
              <w:top w:val="nil"/>
              <w:left w:val="nil"/>
              <w:bottom w:val="nil"/>
              <w:right w:val="nil"/>
            </w:tcBorders>
            <w:shd w:val="clear" w:color="auto" w:fill="auto"/>
            <w:noWrap/>
            <w:vAlign w:val="center"/>
            <w:hideMark/>
          </w:tcPr>
          <w:p w14:paraId="0C3F7BE1" w14:textId="77777777" w:rsidR="00E838DF" w:rsidRPr="002E2F6B" w:rsidRDefault="00E838DF" w:rsidP="00110A7F">
            <w:pPr>
              <w:spacing w:before="0" w:after="0"/>
              <w:rPr>
                <w:sz w:val="16"/>
                <w:szCs w:val="16"/>
              </w:rPr>
            </w:pPr>
            <w:r w:rsidRPr="002E2F6B">
              <w:rPr>
                <w:sz w:val="16"/>
                <w:szCs w:val="16"/>
              </w:rPr>
              <w:t>-0.15</w:t>
            </w:r>
          </w:p>
        </w:tc>
        <w:tc>
          <w:tcPr>
            <w:tcW w:w="400" w:type="pct"/>
            <w:tcBorders>
              <w:top w:val="nil"/>
              <w:left w:val="nil"/>
              <w:bottom w:val="nil"/>
              <w:right w:val="nil"/>
            </w:tcBorders>
            <w:shd w:val="clear" w:color="auto" w:fill="auto"/>
            <w:noWrap/>
            <w:vAlign w:val="center"/>
            <w:hideMark/>
          </w:tcPr>
          <w:p w14:paraId="0C3F7BE2" w14:textId="77777777" w:rsidR="00E838DF" w:rsidRPr="002E2F6B" w:rsidRDefault="00E838DF" w:rsidP="00110A7F">
            <w:pPr>
              <w:spacing w:before="0" w:after="0"/>
              <w:rPr>
                <w:sz w:val="16"/>
                <w:szCs w:val="16"/>
              </w:rPr>
            </w:pPr>
            <w:r w:rsidRPr="002E2F6B">
              <w:rPr>
                <w:sz w:val="16"/>
                <w:szCs w:val="16"/>
              </w:rPr>
              <w:t>0.18</w:t>
            </w:r>
          </w:p>
        </w:tc>
        <w:tc>
          <w:tcPr>
            <w:tcW w:w="328" w:type="pct"/>
            <w:tcBorders>
              <w:top w:val="nil"/>
              <w:left w:val="nil"/>
              <w:bottom w:val="nil"/>
              <w:right w:val="nil"/>
            </w:tcBorders>
            <w:shd w:val="clear" w:color="auto" w:fill="auto"/>
            <w:noWrap/>
            <w:vAlign w:val="center"/>
            <w:hideMark/>
          </w:tcPr>
          <w:p w14:paraId="0C3F7BE3" w14:textId="77777777" w:rsidR="00E838DF" w:rsidRPr="002E2F6B" w:rsidRDefault="00E838DF" w:rsidP="00110A7F">
            <w:pPr>
              <w:spacing w:before="0" w:after="0"/>
              <w:rPr>
                <w:sz w:val="16"/>
                <w:szCs w:val="16"/>
              </w:rPr>
            </w:pPr>
            <w:r w:rsidRPr="002E2F6B">
              <w:rPr>
                <w:sz w:val="16"/>
                <w:szCs w:val="16"/>
              </w:rPr>
              <w:t>-0.08</w:t>
            </w:r>
          </w:p>
        </w:tc>
        <w:tc>
          <w:tcPr>
            <w:tcW w:w="323" w:type="pct"/>
            <w:tcBorders>
              <w:top w:val="nil"/>
              <w:left w:val="nil"/>
              <w:bottom w:val="nil"/>
              <w:right w:val="nil"/>
            </w:tcBorders>
            <w:shd w:val="clear" w:color="auto" w:fill="auto"/>
            <w:noWrap/>
            <w:vAlign w:val="center"/>
            <w:hideMark/>
          </w:tcPr>
          <w:p w14:paraId="0C3F7BE4" w14:textId="77777777" w:rsidR="00E838DF" w:rsidRPr="002E2F6B" w:rsidRDefault="00E838DF" w:rsidP="00110A7F">
            <w:pPr>
              <w:spacing w:before="0" w:after="0"/>
              <w:rPr>
                <w:sz w:val="16"/>
                <w:szCs w:val="16"/>
              </w:rPr>
            </w:pPr>
            <w:r w:rsidRPr="002E2F6B">
              <w:rPr>
                <w:sz w:val="16"/>
                <w:szCs w:val="16"/>
              </w:rPr>
              <w:t>0.52</w:t>
            </w:r>
          </w:p>
        </w:tc>
        <w:tc>
          <w:tcPr>
            <w:tcW w:w="323" w:type="pct"/>
            <w:tcBorders>
              <w:top w:val="nil"/>
              <w:left w:val="nil"/>
              <w:bottom w:val="nil"/>
              <w:right w:val="nil"/>
            </w:tcBorders>
            <w:shd w:val="clear" w:color="auto" w:fill="auto"/>
            <w:noWrap/>
            <w:vAlign w:val="center"/>
            <w:hideMark/>
          </w:tcPr>
          <w:p w14:paraId="0C3F7BE5"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BE6"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BE7"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BE8" w14:textId="77777777" w:rsidR="00E838DF" w:rsidRPr="002E2F6B" w:rsidRDefault="00E838DF" w:rsidP="00110A7F">
            <w:pPr>
              <w:spacing w:before="0" w:after="0"/>
              <w:rPr>
                <w:sz w:val="16"/>
                <w:szCs w:val="16"/>
              </w:rPr>
            </w:pPr>
            <w:r w:rsidRPr="002E2F6B">
              <w:rPr>
                <w:sz w:val="16"/>
                <w:szCs w:val="16"/>
              </w:rPr>
              <w:t>0.06</w:t>
            </w:r>
          </w:p>
        </w:tc>
        <w:tc>
          <w:tcPr>
            <w:tcW w:w="323" w:type="pct"/>
            <w:tcBorders>
              <w:top w:val="nil"/>
              <w:left w:val="nil"/>
              <w:bottom w:val="nil"/>
              <w:right w:val="nil"/>
            </w:tcBorders>
            <w:shd w:val="clear" w:color="auto" w:fill="auto"/>
            <w:noWrap/>
            <w:vAlign w:val="center"/>
            <w:hideMark/>
          </w:tcPr>
          <w:p w14:paraId="0C3F7BE9"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auto" w:fill="auto"/>
            <w:noWrap/>
            <w:vAlign w:val="center"/>
            <w:hideMark/>
          </w:tcPr>
          <w:p w14:paraId="0C3F7BEA"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BEB"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BEC" w14:textId="77777777" w:rsidR="00E838DF" w:rsidRPr="002E2F6B" w:rsidRDefault="00E838DF" w:rsidP="00110A7F">
            <w:pPr>
              <w:spacing w:before="0" w:after="0"/>
              <w:rPr>
                <w:sz w:val="16"/>
                <w:szCs w:val="16"/>
              </w:rPr>
            </w:pPr>
            <w:r w:rsidRPr="002E2F6B">
              <w:rPr>
                <w:sz w:val="16"/>
                <w:szCs w:val="16"/>
              </w:rPr>
              <w:t>0.23</w:t>
            </w:r>
          </w:p>
        </w:tc>
        <w:tc>
          <w:tcPr>
            <w:tcW w:w="323" w:type="pct"/>
            <w:tcBorders>
              <w:top w:val="nil"/>
              <w:left w:val="nil"/>
              <w:bottom w:val="nil"/>
              <w:right w:val="nil"/>
            </w:tcBorders>
            <w:shd w:val="clear" w:color="auto" w:fill="auto"/>
            <w:noWrap/>
            <w:vAlign w:val="center"/>
            <w:hideMark/>
          </w:tcPr>
          <w:p w14:paraId="0C3F7BED" w14:textId="77777777" w:rsidR="00E838DF" w:rsidRPr="002E2F6B" w:rsidRDefault="00E838DF" w:rsidP="00110A7F">
            <w:pPr>
              <w:spacing w:before="0" w:after="0"/>
              <w:rPr>
                <w:sz w:val="16"/>
                <w:szCs w:val="16"/>
              </w:rPr>
            </w:pPr>
            <w:r w:rsidRPr="002E2F6B">
              <w:rPr>
                <w:sz w:val="16"/>
                <w:szCs w:val="16"/>
              </w:rPr>
              <w:t>0.18</w:t>
            </w:r>
          </w:p>
        </w:tc>
        <w:tc>
          <w:tcPr>
            <w:tcW w:w="320" w:type="pct"/>
            <w:tcBorders>
              <w:top w:val="nil"/>
              <w:left w:val="nil"/>
              <w:bottom w:val="nil"/>
              <w:right w:val="nil"/>
            </w:tcBorders>
            <w:shd w:val="clear" w:color="auto" w:fill="auto"/>
            <w:noWrap/>
            <w:vAlign w:val="center"/>
            <w:hideMark/>
          </w:tcPr>
          <w:p w14:paraId="0C3F7BEE" w14:textId="77777777" w:rsidR="00E838DF" w:rsidRPr="002E2F6B" w:rsidRDefault="00E838DF" w:rsidP="00110A7F">
            <w:pPr>
              <w:spacing w:before="0" w:after="0"/>
              <w:rPr>
                <w:sz w:val="16"/>
                <w:szCs w:val="16"/>
              </w:rPr>
            </w:pPr>
            <w:r w:rsidRPr="002E2F6B">
              <w:rPr>
                <w:sz w:val="16"/>
                <w:szCs w:val="16"/>
              </w:rPr>
              <w:t>0.21</w:t>
            </w:r>
          </w:p>
        </w:tc>
      </w:tr>
      <w:tr w:rsidR="00E838DF" w:rsidRPr="002E2F6B" w14:paraId="0C3F7BFF" w14:textId="77777777" w:rsidTr="00E838DF">
        <w:trPr>
          <w:trHeight w:val="20"/>
        </w:trPr>
        <w:tc>
          <w:tcPr>
            <w:tcW w:w="400" w:type="pct"/>
            <w:tcBorders>
              <w:top w:val="nil"/>
              <w:left w:val="nil"/>
              <w:bottom w:val="nil"/>
              <w:right w:val="nil"/>
            </w:tcBorders>
            <w:shd w:val="clear" w:color="auto" w:fill="auto"/>
            <w:noWrap/>
            <w:vAlign w:val="center"/>
            <w:hideMark/>
          </w:tcPr>
          <w:p w14:paraId="0C3F7BF0" w14:textId="77777777" w:rsidR="00E838DF" w:rsidRPr="002E2F6B" w:rsidRDefault="00E838DF" w:rsidP="00110A7F">
            <w:pPr>
              <w:spacing w:before="0" w:after="0"/>
              <w:rPr>
                <w:sz w:val="16"/>
                <w:szCs w:val="16"/>
              </w:rPr>
            </w:pPr>
            <w:r w:rsidRPr="002E2F6B">
              <w:rPr>
                <w:sz w:val="16"/>
                <w:szCs w:val="16"/>
              </w:rPr>
              <w:t>TN</w:t>
            </w:r>
          </w:p>
        </w:tc>
        <w:tc>
          <w:tcPr>
            <w:tcW w:w="323" w:type="pct"/>
            <w:tcBorders>
              <w:top w:val="nil"/>
              <w:left w:val="nil"/>
              <w:bottom w:val="nil"/>
              <w:right w:val="nil"/>
            </w:tcBorders>
            <w:shd w:val="clear" w:color="auto" w:fill="auto"/>
            <w:noWrap/>
            <w:vAlign w:val="center"/>
            <w:hideMark/>
          </w:tcPr>
          <w:p w14:paraId="0C3F7BF1" w14:textId="77777777" w:rsidR="00E838DF" w:rsidRPr="002E2F6B" w:rsidRDefault="00E838DF" w:rsidP="00110A7F">
            <w:pPr>
              <w:spacing w:before="0" w:after="0"/>
              <w:rPr>
                <w:sz w:val="16"/>
                <w:szCs w:val="16"/>
              </w:rPr>
            </w:pPr>
            <w:r w:rsidRPr="002E2F6B">
              <w:rPr>
                <w:sz w:val="16"/>
                <w:szCs w:val="16"/>
              </w:rPr>
              <w:t>-0.41</w:t>
            </w:r>
          </w:p>
        </w:tc>
        <w:tc>
          <w:tcPr>
            <w:tcW w:w="400" w:type="pct"/>
            <w:tcBorders>
              <w:top w:val="nil"/>
              <w:left w:val="nil"/>
              <w:bottom w:val="nil"/>
              <w:right w:val="nil"/>
            </w:tcBorders>
            <w:shd w:val="clear" w:color="auto" w:fill="auto"/>
            <w:noWrap/>
            <w:vAlign w:val="center"/>
            <w:hideMark/>
          </w:tcPr>
          <w:p w14:paraId="0C3F7BF2" w14:textId="77777777" w:rsidR="00E838DF" w:rsidRPr="002E2F6B" w:rsidRDefault="00E838DF" w:rsidP="00110A7F">
            <w:pPr>
              <w:spacing w:before="0" w:after="0"/>
              <w:rPr>
                <w:sz w:val="16"/>
                <w:szCs w:val="16"/>
              </w:rPr>
            </w:pPr>
            <w:r w:rsidRPr="002E2F6B">
              <w:rPr>
                <w:sz w:val="16"/>
                <w:szCs w:val="16"/>
              </w:rPr>
              <w:t>-0.03</w:t>
            </w:r>
          </w:p>
        </w:tc>
        <w:tc>
          <w:tcPr>
            <w:tcW w:w="328" w:type="pct"/>
            <w:tcBorders>
              <w:top w:val="nil"/>
              <w:left w:val="nil"/>
              <w:bottom w:val="nil"/>
              <w:right w:val="nil"/>
            </w:tcBorders>
            <w:shd w:val="clear" w:color="auto" w:fill="auto"/>
            <w:noWrap/>
            <w:vAlign w:val="center"/>
            <w:hideMark/>
          </w:tcPr>
          <w:p w14:paraId="0C3F7BF3" w14:textId="77777777" w:rsidR="00E838DF" w:rsidRPr="002E2F6B" w:rsidRDefault="00E838DF" w:rsidP="00110A7F">
            <w:pPr>
              <w:spacing w:before="0" w:after="0"/>
              <w:rPr>
                <w:sz w:val="16"/>
                <w:szCs w:val="16"/>
              </w:rPr>
            </w:pPr>
            <w:r w:rsidRPr="002E2F6B">
              <w:rPr>
                <w:sz w:val="16"/>
                <w:szCs w:val="16"/>
              </w:rPr>
              <w:t>-0.39</w:t>
            </w:r>
          </w:p>
        </w:tc>
        <w:tc>
          <w:tcPr>
            <w:tcW w:w="323" w:type="pct"/>
            <w:tcBorders>
              <w:top w:val="nil"/>
              <w:left w:val="nil"/>
              <w:bottom w:val="nil"/>
              <w:right w:val="nil"/>
            </w:tcBorders>
            <w:shd w:val="clear" w:color="auto" w:fill="auto"/>
            <w:noWrap/>
            <w:vAlign w:val="center"/>
            <w:hideMark/>
          </w:tcPr>
          <w:p w14:paraId="0C3F7BF4" w14:textId="77777777" w:rsidR="00E838DF" w:rsidRPr="002E2F6B" w:rsidRDefault="00E838DF" w:rsidP="00110A7F">
            <w:pPr>
              <w:spacing w:before="0" w:after="0"/>
              <w:rPr>
                <w:sz w:val="16"/>
                <w:szCs w:val="16"/>
              </w:rPr>
            </w:pPr>
            <w:r w:rsidRPr="002E2F6B">
              <w:rPr>
                <w:sz w:val="16"/>
                <w:szCs w:val="16"/>
              </w:rPr>
              <w:t>0.31</w:t>
            </w:r>
          </w:p>
        </w:tc>
        <w:tc>
          <w:tcPr>
            <w:tcW w:w="323" w:type="pct"/>
            <w:tcBorders>
              <w:top w:val="nil"/>
              <w:left w:val="nil"/>
              <w:bottom w:val="nil"/>
              <w:right w:val="nil"/>
            </w:tcBorders>
            <w:shd w:val="clear" w:color="auto" w:fill="auto"/>
            <w:noWrap/>
            <w:vAlign w:val="center"/>
            <w:hideMark/>
          </w:tcPr>
          <w:p w14:paraId="0C3F7BF5"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BF6"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000000" w:fill="FFFF00"/>
            <w:noWrap/>
            <w:vAlign w:val="center"/>
            <w:hideMark/>
          </w:tcPr>
          <w:p w14:paraId="0C3F7BF7" w14:textId="77777777" w:rsidR="00E838DF" w:rsidRPr="002E2F6B" w:rsidRDefault="00E838DF" w:rsidP="00110A7F">
            <w:pPr>
              <w:spacing w:before="0" w:after="0"/>
              <w:rPr>
                <w:sz w:val="16"/>
                <w:szCs w:val="16"/>
              </w:rPr>
            </w:pPr>
            <w:r w:rsidRPr="002E2F6B">
              <w:rPr>
                <w:sz w:val="16"/>
                <w:szCs w:val="16"/>
              </w:rPr>
              <w:t>0.79</w:t>
            </w:r>
          </w:p>
        </w:tc>
        <w:tc>
          <w:tcPr>
            <w:tcW w:w="323" w:type="pct"/>
            <w:tcBorders>
              <w:top w:val="nil"/>
              <w:left w:val="nil"/>
              <w:bottom w:val="nil"/>
              <w:right w:val="nil"/>
            </w:tcBorders>
            <w:shd w:val="clear" w:color="auto" w:fill="auto"/>
            <w:noWrap/>
            <w:vAlign w:val="center"/>
            <w:hideMark/>
          </w:tcPr>
          <w:p w14:paraId="0C3F7BF8"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000000" w:fill="FFFF00"/>
            <w:noWrap/>
            <w:vAlign w:val="center"/>
            <w:hideMark/>
          </w:tcPr>
          <w:p w14:paraId="0C3F7BF9" w14:textId="77777777" w:rsidR="00E838DF" w:rsidRPr="002E2F6B" w:rsidRDefault="00E838DF" w:rsidP="00110A7F">
            <w:pPr>
              <w:spacing w:before="0" w:after="0"/>
              <w:rPr>
                <w:sz w:val="16"/>
                <w:szCs w:val="16"/>
              </w:rPr>
            </w:pPr>
            <w:r w:rsidRPr="002E2F6B">
              <w:rPr>
                <w:sz w:val="16"/>
                <w:szCs w:val="16"/>
              </w:rPr>
              <w:t>0.65</w:t>
            </w:r>
          </w:p>
        </w:tc>
        <w:tc>
          <w:tcPr>
            <w:tcW w:w="323" w:type="pct"/>
            <w:tcBorders>
              <w:top w:val="nil"/>
              <w:left w:val="nil"/>
              <w:bottom w:val="nil"/>
              <w:right w:val="nil"/>
            </w:tcBorders>
            <w:shd w:val="clear" w:color="auto" w:fill="auto"/>
            <w:noWrap/>
            <w:vAlign w:val="center"/>
            <w:hideMark/>
          </w:tcPr>
          <w:p w14:paraId="0C3F7BFA" w14:textId="77777777" w:rsidR="00E838DF" w:rsidRPr="002E2F6B" w:rsidRDefault="00E838DF" w:rsidP="00110A7F">
            <w:pPr>
              <w:spacing w:before="0" w:after="0"/>
              <w:rPr>
                <w:sz w:val="16"/>
                <w:szCs w:val="16"/>
              </w:rPr>
            </w:pPr>
            <w:r w:rsidRPr="002E2F6B">
              <w:rPr>
                <w:sz w:val="16"/>
                <w:szCs w:val="16"/>
              </w:rPr>
              <w:t>0.54</w:t>
            </w:r>
          </w:p>
        </w:tc>
        <w:tc>
          <w:tcPr>
            <w:tcW w:w="323" w:type="pct"/>
            <w:tcBorders>
              <w:top w:val="nil"/>
              <w:left w:val="nil"/>
              <w:bottom w:val="nil"/>
              <w:right w:val="nil"/>
            </w:tcBorders>
            <w:shd w:val="clear" w:color="auto" w:fill="auto"/>
            <w:noWrap/>
            <w:vAlign w:val="center"/>
            <w:hideMark/>
          </w:tcPr>
          <w:p w14:paraId="0C3F7BFB" w14:textId="77777777" w:rsidR="00E838DF" w:rsidRPr="002E2F6B" w:rsidRDefault="00E838DF" w:rsidP="00110A7F">
            <w:pPr>
              <w:spacing w:before="0" w:after="0"/>
              <w:rPr>
                <w:sz w:val="16"/>
                <w:szCs w:val="16"/>
              </w:rPr>
            </w:pPr>
            <w:r w:rsidRPr="002E2F6B">
              <w:rPr>
                <w:sz w:val="16"/>
                <w:szCs w:val="16"/>
              </w:rPr>
              <w:t>0.36</w:t>
            </w:r>
          </w:p>
        </w:tc>
        <w:tc>
          <w:tcPr>
            <w:tcW w:w="323" w:type="pct"/>
            <w:tcBorders>
              <w:top w:val="nil"/>
              <w:left w:val="nil"/>
              <w:bottom w:val="nil"/>
              <w:right w:val="nil"/>
            </w:tcBorders>
            <w:shd w:val="clear" w:color="auto" w:fill="auto"/>
            <w:noWrap/>
            <w:vAlign w:val="center"/>
            <w:hideMark/>
          </w:tcPr>
          <w:p w14:paraId="0C3F7BFC"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BFD" w14:textId="77777777" w:rsidR="00E838DF" w:rsidRPr="002E2F6B" w:rsidRDefault="00E838DF" w:rsidP="00110A7F">
            <w:pPr>
              <w:spacing w:before="0" w:after="0"/>
              <w:rPr>
                <w:sz w:val="16"/>
                <w:szCs w:val="16"/>
              </w:rPr>
            </w:pPr>
            <w:r w:rsidRPr="002E2F6B">
              <w:rPr>
                <w:sz w:val="16"/>
                <w:szCs w:val="16"/>
              </w:rPr>
              <w:t>0.44</w:t>
            </w:r>
          </w:p>
        </w:tc>
        <w:tc>
          <w:tcPr>
            <w:tcW w:w="320" w:type="pct"/>
            <w:tcBorders>
              <w:top w:val="nil"/>
              <w:left w:val="nil"/>
              <w:bottom w:val="nil"/>
              <w:right w:val="nil"/>
            </w:tcBorders>
            <w:shd w:val="clear" w:color="auto" w:fill="auto"/>
            <w:noWrap/>
            <w:vAlign w:val="center"/>
            <w:hideMark/>
          </w:tcPr>
          <w:p w14:paraId="0C3F7BFE" w14:textId="77777777" w:rsidR="00E838DF" w:rsidRPr="002E2F6B" w:rsidRDefault="00E838DF" w:rsidP="00110A7F">
            <w:pPr>
              <w:spacing w:before="0" w:after="0"/>
              <w:rPr>
                <w:sz w:val="16"/>
                <w:szCs w:val="16"/>
              </w:rPr>
            </w:pPr>
            <w:r w:rsidRPr="002E2F6B">
              <w:rPr>
                <w:sz w:val="16"/>
                <w:szCs w:val="16"/>
              </w:rPr>
              <w:t>0.20</w:t>
            </w:r>
          </w:p>
        </w:tc>
      </w:tr>
      <w:tr w:rsidR="00E838DF" w:rsidRPr="002E2F6B" w14:paraId="0C3F7C0F" w14:textId="77777777" w:rsidTr="00E838DF">
        <w:trPr>
          <w:trHeight w:val="20"/>
        </w:trPr>
        <w:tc>
          <w:tcPr>
            <w:tcW w:w="400" w:type="pct"/>
            <w:tcBorders>
              <w:top w:val="nil"/>
              <w:left w:val="nil"/>
              <w:bottom w:val="nil"/>
              <w:right w:val="nil"/>
            </w:tcBorders>
            <w:shd w:val="clear" w:color="auto" w:fill="auto"/>
            <w:noWrap/>
            <w:vAlign w:val="center"/>
            <w:hideMark/>
          </w:tcPr>
          <w:p w14:paraId="0C3F7C00" w14:textId="77777777" w:rsidR="00E838DF" w:rsidRPr="002E2F6B" w:rsidRDefault="00E838DF" w:rsidP="00110A7F">
            <w:pPr>
              <w:spacing w:before="0" w:after="0"/>
              <w:rPr>
                <w:sz w:val="16"/>
                <w:szCs w:val="16"/>
              </w:rPr>
            </w:pPr>
            <w:r w:rsidRPr="002E2F6B">
              <w:rPr>
                <w:sz w:val="16"/>
                <w:szCs w:val="16"/>
              </w:rPr>
              <w:t>TDN</w:t>
            </w:r>
          </w:p>
        </w:tc>
        <w:tc>
          <w:tcPr>
            <w:tcW w:w="323" w:type="pct"/>
            <w:tcBorders>
              <w:top w:val="nil"/>
              <w:left w:val="nil"/>
              <w:bottom w:val="nil"/>
              <w:right w:val="nil"/>
            </w:tcBorders>
            <w:shd w:val="clear" w:color="auto" w:fill="auto"/>
            <w:noWrap/>
            <w:vAlign w:val="center"/>
            <w:hideMark/>
          </w:tcPr>
          <w:p w14:paraId="0C3F7C01" w14:textId="77777777" w:rsidR="00E838DF" w:rsidRPr="002E2F6B" w:rsidRDefault="00E838DF" w:rsidP="00110A7F">
            <w:pPr>
              <w:spacing w:before="0" w:after="0"/>
              <w:rPr>
                <w:sz w:val="16"/>
                <w:szCs w:val="16"/>
              </w:rPr>
            </w:pPr>
            <w:r w:rsidRPr="002E2F6B">
              <w:rPr>
                <w:sz w:val="16"/>
                <w:szCs w:val="16"/>
              </w:rPr>
              <w:t>-0.57</w:t>
            </w:r>
          </w:p>
        </w:tc>
        <w:tc>
          <w:tcPr>
            <w:tcW w:w="400" w:type="pct"/>
            <w:tcBorders>
              <w:top w:val="nil"/>
              <w:left w:val="nil"/>
              <w:bottom w:val="nil"/>
              <w:right w:val="nil"/>
            </w:tcBorders>
            <w:shd w:val="clear" w:color="auto" w:fill="auto"/>
            <w:noWrap/>
            <w:vAlign w:val="center"/>
            <w:hideMark/>
          </w:tcPr>
          <w:p w14:paraId="0C3F7C02" w14:textId="77777777" w:rsidR="00E838DF" w:rsidRPr="002E2F6B" w:rsidRDefault="00E838DF" w:rsidP="00110A7F">
            <w:pPr>
              <w:spacing w:before="0" w:after="0"/>
              <w:rPr>
                <w:sz w:val="16"/>
                <w:szCs w:val="16"/>
              </w:rPr>
            </w:pPr>
            <w:r w:rsidRPr="002E2F6B">
              <w:rPr>
                <w:sz w:val="16"/>
                <w:szCs w:val="16"/>
              </w:rPr>
              <w:t>0.25</w:t>
            </w:r>
          </w:p>
        </w:tc>
        <w:tc>
          <w:tcPr>
            <w:tcW w:w="328" w:type="pct"/>
            <w:tcBorders>
              <w:top w:val="nil"/>
              <w:left w:val="nil"/>
              <w:bottom w:val="nil"/>
              <w:right w:val="nil"/>
            </w:tcBorders>
            <w:shd w:val="clear" w:color="auto" w:fill="auto"/>
            <w:noWrap/>
            <w:vAlign w:val="center"/>
            <w:hideMark/>
          </w:tcPr>
          <w:p w14:paraId="0C3F7C03"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C04"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C05"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000000" w:fill="FFFF00"/>
            <w:noWrap/>
            <w:vAlign w:val="center"/>
            <w:hideMark/>
          </w:tcPr>
          <w:p w14:paraId="0C3F7C06" w14:textId="77777777" w:rsidR="00E838DF" w:rsidRPr="002E2F6B" w:rsidRDefault="00E838DF" w:rsidP="00110A7F">
            <w:pPr>
              <w:spacing w:before="0" w:after="0"/>
              <w:rPr>
                <w:sz w:val="16"/>
                <w:szCs w:val="16"/>
              </w:rPr>
            </w:pPr>
            <w:r w:rsidRPr="002E2F6B">
              <w:rPr>
                <w:sz w:val="16"/>
                <w:szCs w:val="16"/>
              </w:rPr>
              <w:t>0.79</w:t>
            </w:r>
          </w:p>
        </w:tc>
        <w:tc>
          <w:tcPr>
            <w:tcW w:w="323" w:type="pct"/>
            <w:tcBorders>
              <w:top w:val="nil"/>
              <w:left w:val="nil"/>
              <w:bottom w:val="nil"/>
              <w:right w:val="nil"/>
            </w:tcBorders>
            <w:shd w:val="clear" w:color="auto" w:fill="auto"/>
            <w:noWrap/>
            <w:vAlign w:val="center"/>
            <w:hideMark/>
          </w:tcPr>
          <w:p w14:paraId="0C3F7C07"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08"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000000" w:fill="FFFF00"/>
            <w:noWrap/>
            <w:vAlign w:val="center"/>
            <w:hideMark/>
          </w:tcPr>
          <w:p w14:paraId="0C3F7C09" w14:textId="77777777" w:rsidR="00E838DF" w:rsidRPr="002E2F6B" w:rsidRDefault="00E838DF" w:rsidP="00110A7F">
            <w:pPr>
              <w:spacing w:before="0" w:after="0"/>
              <w:rPr>
                <w:sz w:val="16"/>
                <w:szCs w:val="16"/>
              </w:rPr>
            </w:pPr>
            <w:r w:rsidRPr="002E2F6B">
              <w:rPr>
                <w:sz w:val="16"/>
                <w:szCs w:val="16"/>
              </w:rPr>
              <w:t>0.60</w:t>
            </w:r>
          </w:p>
        </w:tc>
        <w:tc>
          <w:tcPr>
            <w:tcW w:w="323" w:type="pct"/>
            <w:tcBorders>
              <w:top w:val="nil"/>
              <w:left w:val="nil"/>
              <w:bottom w:val="nil"/>
              <w:right w:val="nil"/>
            </w:tcBorders>
            <w:shd w:val="clear" w:color="auto" w:fill="auto"/>
            <w:noWrap/>
            <w:vAlign w:val="center"/>
            <w:hideMark/>
          </w:tcPr>
          <w:p w14:paraId="0C3F7C0A" w14:textId="77777777" w:rsidR="00E838DF" w:rsidRPr="002E2F6B" w:rsidRDefault="00E838DF" w:rsidP="00110A7F">
            <w:pPr>
              <w:spacing w:before="0" w:after="0"/>
              <w:rPr>
                <w:sz w:val="16"/>
                <w:szCs w:val="16"/>
              </w:rPr>
            </w:pPr>
            <w:r w:rsidRPr="002E2F6B">
              <w:rPr>
                <w:sz w:val="16"/>
                <w:szCs w:val="16"/>
              </w:rPr>
              <w:t>0.57</w:t>
            </w:r>
          </w:p>
        </w:tc>
        <w:tc>
          <w:tcPr>
            <w:tcW w:w="323" w:type="pct"/>
            <w:tcBorders>
              <w:top w:val="nil"/>
              <w:left w:val="nil"/>
              <w:bottom w:val="nil"/>
              <w:right w:val="nil"/>
            </w:tcBorders>
            <w:shd w:val="clear" w:color="auto" w:fill="auto"/>
            <w:noWrap/>
            <w:vAlign w:val="center"/>
            <w:hideMark/>
          </w:tcPr>
          <w:p w14:paraId="0C3F7C0B" w14:textId="77777777" w:rsidR="00E838DF" w:rsidRPr="002E2F6B" w:rsidRDefault="00E838DF" w:rsidP="00110A7F">
            <w:pPr>
              <w:spacing w:before="0" w:after="0"/>
              <w:rPr>
                <w:sz w:val="16"/>
                <w:szCs w:val="16"/>
              </w:rPr>
            </w:pPr>
            <w:r w:rsidRPr="002E2F6B">
              <w:rPr>
                <w:sz w:val="16"/>
                <w:szCs w:val="16"/>
              </w:rPr>
              <w:t>0.43</w:t>
            </w:r>
          </w:p>
        </w:tc>
        <w:tc>
          <w:tcPr>
            <w:tcW w:w="323" w:type="pct"/>
            <w:tcBorders>
              <w:top w:val="nil"/>
              <w:left w:val="nil"/>
              <w:bottom w:val="nil"/>
              <w:right w:val="nil"/>
            </w:tcBorders>
            <w:shd w:val="clear" w:color="auto" w:fill="auto"/>
            <w:noWrap/>
            <w:vAlign w:val="center"/>
            <w:hideMark/>
          </w:tcPr>
          <w:p w14:paraId="0C3F7C0C" w14:textId="77777777" w:rsidR="00E838DF" w:rsidRPr="002E2F6B" w:rsidRDefault="00E838DF" w:rsidP="00110A7F">
            <w:pPr>
              <w:spacing w:before="0" w:after="0"/>
              <w:rPr>
                <w:sz w:val="16"/>
                <w:szCs w:val="16"/>
              </w:rPr>
            </w:pPr>
            <w:r w:rsidRPr="002E2F6B">
              <w:rPr>
                <w:sz w:val="16"/>
                <w:szCs w:val="16"/>
              </w:rPr>
              <w:t>-0.33</w:t>
            </w:r>
          </w:p>
        </w:tc>
        <w:tc>
          <w:tcPr>
            <w:tcW w:w="323" w:type="pct"/>
            <w:tcBorders>
              <w:top w:val="nil"/>
              <w:left w:val="nil"/>
              <w:bottom w:val="nil"/>
              <w:right w:val="nil"/>
            </w:tcBorders>
            <w:shd w:val="clear" w:color="auto" w:fill="auto"/>
            <w:noWrap/>
            <w:vAlign w:val="center"/>
            <w:hideMark/>
          </w:tcPr>
          <w:p w14:paraId="0C3F7C0D" w14:textId="77777777" w:rsidR="00E838DF" w:rsidRPr="002E2F6B" w:rsidRDefault="00E838DF" w:rsidP="00110A7F">
            <w:pPr>
              <w:spacing w:before="0" w:after="0"/>
              <w:rPr>
                <w:sz w:val="16"/>
                <w:szCs w:val="16"/>
              </w:rPr>
            </w:pPr>
            <w:r w:rsidRPr="002E2F6B">
              <w:rPr>
                <w:sz w:val="16"/>
                <w:szCs w:val="16"/>
              </w:rPr>
              <w:t>0.33</w:t>
            </w:r>
          </w:p>
        </w:tc>
        <w:tc>
          <w:tcPr>
            <w:tcW w:w="320" w:type="pct"/>
            <w:tcBorders>
              <w:top w:val="nil"/>
              <w:left w:val="nil"/>
              <w:bottom w:val="nil"/>
              <w:right w:val="nil"/>
            </w:tcBorders>
            <w:shd w:val="clear" w:color="auto" w:fill="auto"/>
            <w:noWrap/>
            <w:vAlign w:val="center"/>
            <w:hideMark/>
          </w:tcPr>
          <w:p w14:paraId="0C3F7C0E" w14:textId="77777777" w:rsidR="00E838DF" w:rsidRPr="002E2F6B" w:rsidRDefault="00E838DF" w:rsidP="00110A7F">
            <w:pPr>
              <w:spacing w:before="0" w:after="0"/>
              <w:rPr>
                <w:sz w:val="16"/>
                <w:szCs w:val="16"/>
              </w:rPr>
            </w:pPr>
            <w:r w:rsidRPr="002E2F6B">
              <w:rPr>
                <w:sz w:val="16"/>
                <w:szCs w:val="16"/>
              </w:rPr>
              <w:t>0.31</w:t>
            </w:r>
          </w:p>
        </w:tc>
      </w:tr>
      <w:tr w:rsidR="00E838DF" w:rsidRPr="002E2F6B" w14:paraId="0C3F7C1F" w14:textId="77777777" w:rsidTr="00E838DF">
        <w:trPr>
          <w:trHeight w:val="20"/>
        </w:trPr>
        <w:tc>
          <w:tcPr>
            <w:tcW w:w="400" w:type="pct"/>
            <w:tcBorders>
              <w:top w:val="nil"/>
              <w:left w:val="nil"/>
              <w:bottom w:val="nil"/>
              <w:right w:val="nil"/>
            </w:tcBorders>
            <w:shd w:val="clear" w:color="auto" w:fill="auto"/>
            <w:noWrap/>
            <w:vAlign w:val="center"/>
            <w:hideMark/>
          </w:tcPr>
          <w:p w14:paraId="0C3F7C10" w14:textId="77777777" w:rsidR="00E838DF" w:rsidRPr="002E2F6B" w:rsidRDefault="00E838DF" w:rsidP="00110A7F">
            <w:pPr>
              <w:spacing w:before="0" w:after="0"/>
              <w:rPr>
                <w:sz w:val="16"/>
                <w:szCs w:val="16"/>
              </w:rPr>
            </w:pPr>
            <w:r w:rsidRPr="002E2F6B">
              <w:rPr>
                <w:sz w:val="16"/>
                <w:szCs w:val="16"/>
              </w:rPr>
              <w:t>DIN</w:t>
            </w:r>
          </w:p>
        </w:tc>
        <w:tc>
          <w:tcPr>
            <w:tcW w:w="323" w:type="pct"/>
            <w:tcBorders>
              <w:top w:val="nil"/>
              <w:left w:val="nil"/>
              <w:bottom w:val="nil"/>
              <w:right w:val="nil"/>
            </w:tcBorders>
            <w:shd w:val="clear" w:color="auto" w:fill="auto"/>
            <w:noWrap/>
            <w:vAlign w:val="center"/>
            <w:hideMark/>
          </w:tcPr>
          <w:p w14:paraId="0C3F7C11" w14:textId="77777777" w:rsidR="00E838DF" w:rsidRPr="002E2F6B" w:rsidRDefault="00E838DF" w:rsidP="00110A7F">
            <w:pPr>
              <w:spacing w:before="0" w:after="0"/>
              <w:rPr>
                <w:sz w:val="16"/>
                <w:szCs w:val="16"/>
              </w:rPr>
            </w:pPr>
            <w:r w:rsidRPr="002E2F6B">
              <w:rPr>
                <w:sz w:val="16"/>
                <w:szCs w:val="16"/>
              </w:rPr>
              <w:t>-0.46</w:t>
            </w:r>
          </w:p>
        </w:tc>
        <w:tc>
          <w:tcPr>
            <w:tcW w:w="400" w:type="pct"/>
            <w:tcBorders>
              <w:top w:val="nil"/>
              <w:left w:val="nil"/>
              <w:bottom w:val="nil"/>
              <w:right w:val="nil"/>
            </w:tcBorders>
            <w:shd w:val="clear" w:color="auto" w:fill="auto"/>
            <w:noWrap/>
            <w:vAlign w:val="center"/>
            <w:hideMark/>
          </w:tcPr>
          <w:p w14:paraId="0C3F7C12" w14:textId="77777777" w:rsidR="00E838DF" w:rsidRPr="002E2F6B" w:rsidRDefault="00E838DF" w:rsidP="00110A7F">
            <w:pPr>
              <w:spacing w:before="0" w:after="0"/>
              <w:rPr>
                <w:sz w:val="16"/>
                <w:szCs w:val="16"/>
              </w:rPr>
            </w:pPr>
            <w:r w:rsidRPr="002E2F6B">
              <w:rPr>
                <w:sz w:val="16"/>
                <w:szCs w:val="16"/>
              </w:rPr>
              <w:t>0.48</w:t>
            </w:r>
          </w:p>
        </w:tc>
        <w:tc>
          <w:tcPr>
            <w:tcW w:w="328" w:type="pct"/>
            <w:tcBorders>
              <w:top w:val="nil"/>
              <w:left w:val="nil"/>
              <w:bottom w:val="nil"/>
              <w:right w:val="nil"/>
            </w:tcBorders>
            <w:shd w:val="clear" w:color="auto" w:fill="auto"/>
            <w:noWrap/>
            <w:vAlign w:val="center"/>
            <w:hideMark/>
          </w:tcPr>
          <w:p w14:paraId="0C3F7C13"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C14"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C15" w14:textId="77777777" w:rsidR="00E838DF" w:rsidRPr="002E2F6B" w:rsidRDefault="00E838DF" w:rsidP="00110A7F">
            <w:pPr>
              <w:spacing w:before="0" w:after="0"/>
              <w:rPr>
                <w:sz w:val="16"/>
                <w:szCs w:val="16"/>
              </w:rPr>
            </w:pPr>
            <w:r w:rsidRPr="002E2F6B">
              <w:rPr>
                <w:sz w:val="16"/>
                <w:szCs w:val="16"/>
              </w:rPr>
              <w:t>0.06</w:t>
            </w:r>
          </w:p>
        </w:tc>
        <w:tc>
          <w:tcPr>
            <w:tcW w:w="323" w:type="pct"/>
            <w:tcBorders>
              <w:top w:val="nil"/>
              <w:left w:val="nil"/>
              <w:bottom w:val="nil"/>
              <w:right w:val="nil"/>
            </w:tcBorders>
            <w:shd w:val="clear" w:color="auto" w:fill="auto"/>
            <w:noWrap/>
            <w:vAlign w:val="center"/>
            <w:hideMark/>
          </w:tcPr>
          <w:p w14:paraId="0C3F7C16"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C17"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C18"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19"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nil"/>
              <w:right w:val="nil"/>
            </w:tcBorders>
            <w:shd w:val="clear" w:color="auto" w:fill="auto"/>
            <w:noWrap/>
            <w:vAlign w:val="center"/>
            <w:hideMark/>
          </w:tcPr>
          <w:p w14:paraId="0C3F7C1A" w14:textId="77777777" w:rsidR="00E838DF" w:rsidRPr="002E2F6B" w:rsidRDefault="00E838DF" w:rsidP="00110A7F">
            <w:pPr>
              <w:spacing w:before="0" w:after="0"/>
              <w:rPr>
                <w:sz w:val="16"/>
                <w:szCs w:val="16"/>
              </w:rPr>
            </w:pPr>
            <w:r w:rsidRPr="002E2F6B">
              <w:rPr>
                <w:sz w:val="16"/>
                <w:szCs w:val="16"/>
              </w:rPr>
              <w:t>0.26</w:t>
            </w:r>
          </w:p>
        </w:tc>
        <w:tc>
          <w:tcPr>
            <w:tcW w:w="323" w:type="pct"/>
            <w:tcBorders>
              <w:top w:val="nil"/>
              <w:left w:val="nil"/>
              <w:bottom w:val="nil"/>
              <w:right w:val="nil"/>
            </w:tcBorders>
            <w:shd w:val="clear" w:color="auto" w:fill="auto"/>
            <w:noWrap/>
            <w:vAlign w:val="center"/>
            <w:hideMark/>
          </w:tcPr>
          <w:p w14:paraId="0C3F7C1B" w14:textId="77777777" w:rsidR="00E838DF" w:rsidRPr="002E2F6B" w:rsidRDefault="00E838DF" w:rsidP="00110A7F">
            <w:pPr>
              <w:spacing w:before="0" w:after="0"/>
              <w:rPr>
                <w:sz w:val="16"/>
                <w:szCs w:val="16"/>
              </w:rPr>
            </w:pPr>
            <w:r w:rsidRPr="002E2F6B">
              <w:rPr>
                <w:sz w:val="16"/>
                <w:szCs w:val="16"/>
              </w:rPr>
              <w:t>0.37</w:t>
            </w:r>
          </w:p>
        </w:tc>
        <w:tc>
          <w:tcPr>
            <w:tcW w:w="323" w:type="pct"/>
            <w:tcBorders>
              <w:top w:val="nil"/>
              <w:left w:val="nil"/>
              <w:bottom w:val="nil"/>
              <w:right w:val="nil"/>
            </w:tcBorders>
            <w:shd w:val="clear" w:color="auto" w:fill="auto"/>
            <w:noWrap/>
            <w:vAlign w:val="center"/>
            <w:hideMark/>
          </w:tcPr>
          <w:p w14:paraId="0C3F7C1C"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C1D" w14:textId="77777777" w:rsidR="00E838DF" w:rsidRPr="002E2F6B" w:rsidRDefault="00E838DF" w:rsidP="00110A7F">
            <w:pPr>
              <w:spacing w:before="0" w:after="0"/>
              <w:rPr>
                <w:sz w:val="16"/>
                <w:szCs w:val="16"/>
              </w:rPr>
            </w:pPr>
            <w:r w:rsidRPr="002E2F6B">
              <w:rPr>
                <w:sz w:val="16"/>
                <w:szCs w:val="16"/>
              </w:rPr>
              <w:t>0.13</w:t>
            </w:r>
          </w:p>
        </w:tc>
        <w:tc>
          <w:tcPr>
            <w:tcW w:w="320" w:type="pct"/>
            <w:tcBorders>
              <w:top w:val="nil"/>
              <w:left w:val="nil"/>
              <w:bottom w:val="nil"/>
              <w:right w:val="nil"/>
            </w:tcBorders>
            <w:shd w:val="clear" w:color="auto" w:fill="auto"/>
            <w:noWrap/>
            <w:vAlign w:val="center"/>
            <w:hideMark/>
          </w:tcPr>
          <w:p w14:paraId="0C3F7C1E" w14:textId="77777777" w:rsidR="00E838DF" w:rsidRPr="002E2F6B" w:rsidRDefault="00E838DF" w:rsidP="00110A7F">
            <w:pPr>
              <w:spacing w:before="0" w:after="0"/>
              <w:rPr>
                <w:sz w:val="16"/>
                <w:szCs w:val="16"/>
              </w:rPr>
            </w:pPr>
            <w:r w:rsidRPr="002E2F6B">
              <w:rPr>
                <w:sz w:val="16"/>
                <w:szCs w:val="16"/>
              </w:rPr>
              <w:t>0.56</w:t>
            </w:r>
          </w:p>
        </w:tc>
      </w:tr>
      <w:tr w:rsidR="00E838DF" w:rsidRPr="002E2F6B" w14:paraId="0C3F7C2F" w14:textId="77777777" w:rsidTr="00E838DF">
        <w:trPr>
          <w:trHeight w:val="20"/>
        </w:trPr>
        <w:tc>
          <w:tcPr>
            <w:tcW w:w="400" w:type="pct"/>
            <w:tcBorders>
              <w:top w:val="nil"/>
              <w:left w:val="nil"/>
              <w:bottom w:val="nil"/>
              <w:right w:val="nil"/>
            </w:tcBorders>
            <w:shd w:val="clear" w:color="auto" w:fill="auto"/>
            <w:noWrap/>
            <w:vAlign w:val="center"/>
            <w:hideMark/>
          </w:tcPr>
          <w:p w14:paraId="0C3F7C20" w14:textId="77777777" w:rsidR="00E838DF" w:rsidRPr="002E2F6B" w:rsidRDefault="00E838DF" w:rsidP="00110A7F">
            <w:pPr>
              <w:spacing w:before="0" w:after="0"/>
              <w:rPr>
                <w:sz w:val="16"/>
                <w:szCs w:val="16"/>
              </w:rPr>
            </w:pPr>
            <w:r w:rsidRPr="002E2F6B">
              <w:rPr>
                <w:sz w:val="16"/>
                <w:szCs w:val="16"/>
              </w:rPr>
              <w:t>TP</w:t>
            </w:r>
          </w:p>
        </w:tc>
        <w:tc>
          <w:tcPr>
            <w:tcW w:w="323" w:type="pct"/>
            <w:tcBorders>
              <w:top w:val="nil"/>
              <w:left w:val="nil"/>
              <w:bottom w:val="nil"/>
              <w:right w:val="nil"/>
            </w:tcBorders>
            <w:shd w:val="clear" w:color="auto" w:fill="auto"/>
            <w:noWrap/>
            <w:vAlign w:val="center"/>
            <w:hideMark/>
          </w:tcPr>
          <w:p w14:paraId="0C3F7C21" w14:textId="77777777" w:rsidR="00E838DF" w:rsidRPr="002E2F6B" w:rsidRDefault="00E838DF" w:rsidP="00110A7F">
            <w:pPr>
              <w:spacing w:before="0" w:after="0"/>
              <w:rPr>
                <w:sz w:val="16"/>
                <w:szCs w:val="16"/>
              </w:rPr>
            </w:pPr>
            <w:r w:rsidRPr="002E2F6B">
              <w:rPr>
                <w:sz w:val="16"/>
                <w:szCs w:val="16"/>
              </w:rPr>
              <w:t>-0.59</w:t>
            </w:r>
          </w:p>
        </w:tc>
        <w:tc>
          <w:tcPr>
            <w:tcW w:w="400" w:type="pct"/>
            <w:tcBorders>
              <w:top w:val="nil"/>
              <w:left w:val="nil"/>
              <w:bottom w:val="nil"/>
              <w:right w:val="nil"/>
            </w:tcBorders>
            <w:shd w:val="clear" w:color="auto" w:fill="auto"/>
            <w:noWrap/>
            <w:vAlign w:val="center"/>
            <w:hideMark/>
          </w:tcPr>
          <w:p w14:paraId="0C3F7C22" w14:textId="77777777" w:rsidR="00E838DF" w:rsidRPr="002E2F6B" w:rsidRDefault="00E838DF" w:rsidP="00110A7F">
            <w:pPr>
              <w:spacing w:before="0" w:after="0"/>
              <w:rPr>
                <w:sz w:val="16"/>
                <w:szCs w:val="16"/>
              </w:rPr>
            </w:pPr>
            <w:r w:rsidRPr="002E2F6B">
              <w:rPr>
                <w:sz w:val="16"/>
                <w:szCs w:val="16"/>
              </w:rPr>
              <w:t>0.28</w:t>
            </w:r>
          </w:p>
        </w:tc>
        <w:tc>
          <w:tcPr>
            <w:tcW w:w="328" w:type="pct"/>
            <w:tcBorders>
              <w:top w:val="nil"/>
              <w:left w:val="nil"/>
              <w:bottom w:val="nil"/>
              <w:right w:val="nil"/>
            </w:tcBorders>
            <w:shd w:val="clear" w:color="auto" w:fill="auto"/>
            <w:noWrap/>
            <w:vAlign w:val="center"/>
            <w:hideMark/>
          </w:tcPr>
          <w:p w14:paraId="0C3F7C23"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C24"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C25"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000000" w:fill="FFFF00"/>
            <w:noWrap/>
            <w:vAlign w:val="center"/>
            <w:hideMark/>
          </w:tcPr>
          <w:p w14:paraId="0C3F7C26" w14:textId="77777777" w:rsidR="00E838DF" w:rsidRPr="002E2F6B" w:rsidRDefault="00E838DF" w:rsidP="00110A7F">
            <w:pPr>
              <w:spacing w:before="0" w:after="0"/>
              <w:rPr>
                <w:sz w:val="16"/>
                <w:szCs w:val="16"/>
              </w:rPr>
            </w:pPr>
            <w:r w:rsidRPr="002E2F6B">
              <w:rPr>
                <w:sz w:val="16"/>
                <w:szCs w:val="16"/>
              </w:rPr>
              <w:t>0.65</w:t>
            </w:r>
          </w:p>
        </w:tc>
        <w:tc>
          <w:tcPr>
            <w:tcW w:w="323" w:type="pct"/>
            <w:tcBorders>
              <w:top w:val="nil"/>
              <w:left w:val="nil"/>
              <w:bottom w:val="nil"/>
              <w:right w:val="nil"/>
            </w:tcBorders>
            <w:shd w:val="clear" w:color="000000" w:fill="FFFF00"/>
            <w:noWrap/>
            <w:vAlign w:val="center"/>
            <w:hideMark/>
          </w:tcPr>
          <w:p w14:paraId="0C3F7C27" w14:textId="77777777" w:rsidR="00E838DF" w:rsidRPr="002E2F6B" w:rsidRDefault="00E838DF" w:rsidP="00110A7F">
            <w:pPr>
              <w:spacing w:before="0" w:after="0"/>
              <w:rPr>
                <w:sz w:val="16"/>
                <w:szCs w:val="16"/>
              </w:rPr>
            </w:pPr>
            <w:r w:rsidRPr="002E2F6B">
              <w:rPr>
                <w:sz w:val="16"/>
                <w:szCs w:val="16"/>
              </w:rPr>
              <w:t>0.60</w:t>
            </w:r>
          </w:p>
        </w:tc>
        <w:tc>
          <w:tcPr>
            <w:tcW w:w="323" w:type="pct"/>
            <w:tcBorders>
              <w:top w:val="nil"/>
              <w:left w:val="nil"/>
              <w:bottom w:val="nil"/>
              <w:right w:val="nil"/>
            </w:tcBorders>
            <w:shd w:val="clear" w:color="auto" w:fill="auto"/>
            <w:noWrap/>
            <w:vAlign w:val="center"/>
            <w:hideMark/>
          </w:tcPr>
          <w:p w14:paraId="0C3F7C28"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nil"/>
              <w:right w:val="nil"/>
            </w:tcBorders>
            <w:shd w:val="clear" w:color="auto" w:fill="auto"/>
            <w:noWrap/>
            <w:vAlign w:val="center"/>
            <w:hideMark/>
          </w:tcPr>
          <w:p w14:paraId="0C3F7C29"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000000" w:fill="FFFF00"/>
            <w:noWrap/>
            <w:vAlign w:val="center"/>
            <w:hideMark/>
          </w:tcPr>
          <w:p w14:paraId="0C3F7C2A" w14:textId="77777777" w:rsidR="00E838DF" w:rsidRPr="002E2F6B" w:rsidRDefault="00E838DF" w:rsidP="00110A7F">
            <w:pPr>
              <w:spacing w:before="0" w:after="0"/>
              <w:rPr>
                <w:sz w:val="16"/>
                <w:szCs w:val="16"/>
              </w:rPr>
            </w:pPr>
            <w:r w:rsidRPr="002E2F6B">
              <w:rPr>
                <w:sz w:val="16"/>
                <w:szCs w:val="16"/>
              </w:rPr>
              <w:t>0.82</w:t>
            </w:r>
          </w:p>
        </w:tc>
        <w:tc>
          <w:tcPr>
            <w:tcW w:w="323" w:type="pct"/>
            <w:tcBorders>
              <w:top w:val="nil"/>
              <w:left w:val="nil"/>
              <w:bottom w:val="nil"/>
              <w:right w:val="nil"/>
            </w:tcBorders>
            <w:shd w:val="clear" w:color="auto" w:fill="auto"/>
            <w:noWrap/>
            <w:vAlign w:val="center"/>
            <w:hideMark/>
          </w:tcPr>
          <w:p w14:paraId="0C3F7C2B" w14:textId="77777777" w:rsidR="00E838DF" w:rsidRPr="002E2F6B" w:rsidRDefault="00E838DF" w:rsidP="00110A7F">
            <w:pPr>
              <w:spacing w:before="0" w:after="0"/>
              <w:rPr>
                <w:sz w:val="16"/>
                <w:szCs w:val="16"/>
              </w:rPr>
            </w:pPr>
            <w:r w:rsidRPr="002E2F6B">
              <w:rPr>
                <w:sz w:val="16"/>
                <w:szCs w:val="16"/>
              </w:rPr>
              <w:t>0.49</w:t>
            </w:r>
          </w:p>
        </w:tc>
        <w:tc>
          <w:tcPr>
            <w:tcW w:w="323" w:type="pct"/>
            <w:tcBorders>
              <w:top w:val="nil"/>
              <w:left w:val="nil"/>
              <w:bottom w:val="nil"/>
              <w:right w:val="nil"/>
            </w:tcBorders>
            <w:shd w:val="clear" w:color="auto" w:fill="auto"/>
            <w:noWrap/>
            <w:vAlign w:val="center"/>
            <w:hideMark/>
          </w:tcPr>
          <w:p w14:paraId="0C3F7C2C"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000000" w:fill="FFFF00"/>
            <w:noWrap/>
            <w:vAlign w:val="center"/>
            <w:hideMark/>
          </w:tcPr>
          <w:p w14:paraId="0C3F7C2D" w14:textId="77777777" w:rsidR="00E838DF" w:rsidRPr="002E2F6B" w:rsidRDefault="00E838DF" w:rsidP="00110A7F">
            <w:pPr>
              <w:spacing w:before="0" w:after="0"/>
              <w:rPr>
                <w:sz w:val="16"/>
                <w:szCs w:val="16"/>
              </w:rPr>
            </w:pPr>
            <w:r w:rsidRPr="002E2F6B">
              <w:rPr>
                <w:sz w:val="16"/>
                <w:szCs w:val="16"/>
              </w:rPr>
              <w:t>0.75</w:t>
            </w:r>
          </w:p>
        </w:tc>
        <w:tc>
          <w:tcPr>
            <w:tcW w:w="320" w:type="pct"/>
            <w:tcBorders>
              <w:top w:val="nil"/>
              <w:left w:val="nil"/>
              <w:bottom w:val="nil"/>
              <w:right w:val="nil"/>
            </w:tcBorders>
            <w:shd w:val="clear" w:color="auto" w:fill="auto"/>
            <w:noWrap/>
            <w:vAlign w:val="center"/>
            <w:hideMark/>
          </w:tcPr>
          <w:p w14:paraId="0C3F7C2E" w14:textId="77777777" w:rsidR="00E838DF" w:rsidRPr="002E2F6B" w:rsidRDefault="00E838DF" w:rsidP="00110A7F">
            <w:pPr>
              <w:spacing w:before="0" w:after="0"/>
              <w:rPr>
                <w:sz w:val="16"/>
                <w:szCs w:val="16"/>
              </w:rPr>
            </w:pPr>
            <w:r w:rsidRPr="002E2F6B">
              <w:rPr>
                <w:sz w:val="16"/>
                <w:szCs w:val="16"/>
              </w:rPr>
              <w:t>0.41</w:t>
            </w:r>
          </w:p>
        </w:tc>
      </w:tr>
      <w:tr w:rsidR="00E838DF" w:rsidRPr="002E2F6B" w14:paraId="0C3F7C3F" w14:textId="77777777" w:rsidTr="00E838DF">
        <w:trPr>
          <w:trHeight w:val="20"/>
        </w:trPr>
        <w:tc>
          <w:tcPr>
            <w:tcW w:w="400" w:type="pct"/>
            <w:tcBorders>
              <w:top w:val="nil"/>
              <w:left w:val="nil"/>
              <w:bottom w:val="nil"/>
              <w:right w:val="nil"/>
            </w:tcBorders>
            <w:shd w:val="clear" w:color="auto" w:fill="auto"/>
            <w:noWrap/>
            <w:vAlign w:val="center"/>
            <w:hideMark/>
          </w:tcPr>
          <w:p w14:paraId="0C3F7C30" w14:textId="77777777" w:rsidR="00E838DF" w:rsidRPr="002E2F6B" w:rsidRDefault="00E838DF" w:rsidP="00110A7F">
            <w:pPr>
              <w:spacing w:before="0" w:after="0"/>
              <w:rPr>
                <w:sz w:val="16"/>
                <w:szCs w:val="16"/>
              </w:rPr>
            </w:pPr>
            <w:r w:rsidRPr="002E2F6B">
              <w:rPr>
                <w:sz w:val="16"/>
                <w:szCs w:val="16"/>
              </w:rPr>
              <w:t>TDP</w:t>
            </w:r>
          </w:p>
        </w:tc>
        <w:tc>
          <w:tcPr>
            <w:tcW w:w="323" w:type="pct"/>
            <w:tcBorders>
              <w:top w:val="nil"/>
              <w:left w:val="nil"/>
              <w:bottom w:val="nil"/>
              <w:right w:val="nil"/>
            </w:tcBorders>
            <w:shd w:val="clear" w:color="000000" w:fill="FFFF00"/>
            <w:noWrap/>
            <w:vAlign w:val="center"/>
            <w:hideMark/>
          </w:tcPr>
          <w:p w14:paraId="0C3F7C31" w14:textId="77777777" w:rsidR="00E838DF" w:rsidRPr="002E2F6B" w:rsidRDefault="00E838DF" w:rsidP="00110A7F">
            <w:pPr>
              <w:spacing w:before="0" w:after="0"/>
              <w:rPr>
                <w:sz w:val="16"/>
                <w:szCs w:val="16"/>
              </w:rPr>
            </w:pPr>
            <w:r w:rsidRPr="002E2F6B">
              <w:rPr>
                <w:sz w:val="16"/>
                <w:szCs w:val="16"/>
              </w:rPr>
              <w:t>-0.61</w:t>
            </w:r>
          </w:p>
        </w:tc>
        <w:tc>
          <w:tcPr>
            <w:tcW w:w="400" w:type="pct"/>
            <w:tcBorders>
              <w:top w:val="nil"/>
              <w:left w:val="nil"/>
              <w:bottom w:val="nil"/>
              <w:right w:val="nil"/>
            </w:tcBorders>
            <w:shd w:val="clear" w:color="auto" w:fill="auto"/>
            <w:noWrap/>
            <w:vAlign w:val="center"/>
            <w:hideMark/>
          </w:tcPr>
          <w:p w14:paraId="0C3F7C32" w14:textId="77777777" w:rsidR="00E838DF" w:rsidRPr="002E2F6B" w:rsidRDefault="00E838DF" w:rsidP="00110A7F">
            <w:pPr>
              <w:spacing w:before="0" w:after="0"/>
              <w:rPr>
                <w:sz w:val="16"/>
                <w:szCs w:val="16"/>
              </w:rPr>
            </w:pPr>
            <w:r w:rsidRPr="002E2F6B">
              <w:rPr>
                <w:sz w:val="16"/>
                <w:szCs w:val="16"/>
              </w:rPr>
              <w:t>0.28</w:t>
            </w:r>
          </w:p>
        </w:tc>
        <w:tc>
          <w:tcPr>
            <w:tcW w:w="328" w:type="pct"/>
            <w:tcBorders>
              <w:top w:val="nil"/>
              <w:left w:val="nil"/>
              <w:bottom w:val="nil"/>
              <w:right w:val="nil"/>
            </w:tcBorders>
            <w:shd w:val="clear" w:color="auto" w:fill="auto"/>
            <w:noWrap/>
            <w:vAlign w:val="center"/>
            <w:hideMark/>
          </w:tcPr>
          <w:p w14:paraId="0C3F7C33"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C34"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35"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C36" w14:textId="77777777" w:rsidR="00E838DF" w:rsidRPr="002E2F6B" w:rsidRDefault="00E838DF" w:rsidP="00110A7F">
            <w:pPr>
              <w:spacing w:before="0" w:after="0"/>
              <w:rPr>
                <w:sz w:val="16"/>
                <w:szCs w:val="16"/>
              </w:rPr>
            </w:pPr>
            <w:r w:rsidRPr="002E2F6B">
              <w:rPr>
                <w:sz w:val="16"/>
                <w:szCs w:val="16"/>
              </w:rPr>
              <w:t>0.54</w:t>
            </w:r>
          </w:p>
        </w:tc>
        <w:tc>
          <w:tcPr>
            <w:tcW w:w="323" w:type="pct"/>
            <w:tcBorders>
              <w:top w:val="nil"/>
              <w:left w:val="nil"/>
              <w:bottom w:val="nil"/>
              <w:right w:val="nil"/>
            </w:tcBorders>
            <w:shd w:val="clear" w:color="auto" w:fill="auto"/>
            <w:noWrap/>
            <w:vAlign w:val="center"/>
            <w:hideMark/>
          </w:tcPr>
          <w:p w14:paraId="0C3F7C37" w14:textId="77777777" w:rsidR="00E838DF" w:rsidRPr="002E2F6B" w:rsidRDefault="00E838DF" w:rsidP="00110A7F">
            <w:pPr>
              <w:spacing w:before="0" w:after="0"/>
              <w:rPr>
                <w:sz w:val="16"/>
                <w:szCs w:val="16"/>
              </w:rPr>
            </w:pPr>
            <w:r w:rsidRPr="002E2F6B">
              <w:rPr>
                <w:sz w:val="16"/>
                <w:szCs w:val="16"/>
              </w:rPr>
              <w:t>0.57</w:t>
            </w:r>
          </w:p>
        </w:tc>
        <w:tc>
          <w:tcPr>
            <w:tcW w:w="323" w:type="pct"/>
            <w:tcBorders>
              <w:top w:val="nil"/>
              <w:left w:val="nil"/>
              <w:bottom w:val="nil"/>
              <w:right w:val="nil"/>
            </w:tcBorders>
            <w:shd w:val="clear" w:color="auto" w:fill="auto"/>
            <w:noWrap/>
            <w:vAlign w:val="center"/>
            <w:hideMark/>
          </w:tcPr>
          <w:p w14:paraId="0C3F7C38" w14:textId="77777777" w:rsidR="00E838DF" w:rsidRPr="002E2F6B" w:rsidRDefault="00E838DF" w:rsidP="00110A7F">
            <w:pPr>
              <w:spacing w:before="0" w:after="0"/>
              <w:rPr>
                <w:sz w:val="16"/>
                <w:szCs w:val="16"/>
              </w:rPr>
            </w:pPr>
            <w:r w:rsidRPr="002E2F6B">
              <w:rPr>
                <w:sz w:val="16"/>
                <w:szCs w:val="16"/>
              </w:rPr>
              <w:t>0.26</w:t>
            </w:r>
          </w:p>
        </w:tc>
        <w:tc>
          <w:tcPr>
            <w:tcW w:w="323" w:type="pct"/>
            <w:tcBorders>
              <w:top w:val="nil"/>
              <w:left w:val="nil"/>
              <w:bottom w:val="nil"/>
              <w:right w:val="nil"/>
            </w:tcBorders>
            <w:shd w:val="clear" w:color="000000" w:fill="FFFF00"/>
            <w:noWrap/>
            <w:vAlign w:val="center"/>
            <w:hideMark/>
          </w:tcPr>
          <w:p w14:paraId="0C3F7C39" w14:textId="77777777" w:rsidR="00E838DF" w:rsidRPr="002E2F6B" w:rsidRDefault="00E838DF" w:rsidP="00110A7F">
            <w:pPr>
              <w:spacing w:before="0" w:after="0"/>
              <w:rPr>
                <w:sz w:val="16"/>
                <w:szCs w:val="16"/>
              </w:rPr>
            </w:pPr>
            <w:r w:rsidRPr="002E2F6B">
              <w:rPr>
                <w:sz w:val="16"/>
                <w:szCs w:val="16"/>
              </w:rPr>
              <w:t>0.82</w:t>
            </w:r>
          </w:p>
        </w:tc>
        <w:tc>
          <w:tcPr>
            <w:tcW w:w="323" w:type="pct"/>
            <w:tcBorders>
              <w:top w:val="nil"/>
              <w:left w:val="nil"/>
              <w:bottom w:val="nil"/>
              <w:right w:val="nil"/>
            </w:tcBorders>
            <w:shd w:val="clear" w:color="auto" w:fill="auto"/>
            <w:noWrap/>
            <w:vAlign w:val="center"/>
            <w:hideMark/>
          </w:tcPr>
          <w:p w14:paraId="0C3F7C3A"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3B" w14:textId="77777777" w:rsidR="00E838DF" w:rsidRPr="002E2F6B" w:rsidRDefault="00E838DF" w:rsidP="00110A7F">
            <w:pPr>
              <w:spacing w:before="0" w:after="0"/>
              <w:rPr>
                <w:sz w:val="16"/>
                <w:szCs w:val="16"/>
              </w:rPr>
            </w:pPr>
            <w:r w:rsidRPr="002E2F6B">
              <w:rPr>
                <w:sz w:val="16"/>
                <w:szCs w:val="16"/>
              </w:rPr>
              <w:t>0.57</w:t>
            </w:r>
          </w:p>
        </w:tc>
        <w:tc>
          <w:tcPr>
            <w:tcW w:w="323" w:type="pct"/>
            <w:tcBorders>
              <w:top w:val="nil"/>
              <w:left w:val="nil"/>
              <w:bottom w:val="nil"/>
              <w:right w:val="nil"/>
            </w:tcBorders>
            <w:shd w:val="clear" w:color="auto" w:fill="auto"/>
            <w:noWrap/>
            <w:vAlign w:val="center"/>
            <w:hideMark/>
          </w:tcPr>
          <w:p w14:paraId="0C3F7C3C" w14:textId="77777777" w:rsidR="00E838DF" w:rsidRPr="002E2F6B" w:rsidRDefault="00E838DF" w:rsidP="00110A7F">
            <w:pPr>
              <w:spacing w:before="0" w:after="0"/>
              <w:rPr>
                <w:sz w:val="16"/>
                <w:szCs w:val="16"/>
              </w:rPr>
            </w:pPr>
            <w:r w:rsidRPr="002E2F6B">
              <w:rPr>
                <w:sz w:val="16"/>
                <w:szCs w:val="16"/>
              </w:rPr>
              <w:t>-0.26</w:t>
            </w:r>
          </w:p>
        </w:tc>
        <w:tc>
          <w:tcPr>
            <w:tcW w:w="323" w:type="pct"/>
            <w:tcBorders>
              <w:top w:val="nil"/>
              <w:left w:val="nil"/>
              <w:bottom w:val="nil"/>
              <w:right w:val="nil"/>
            </w:tcBorders>
            <w:shd w:val="clear" w:color="auto" w:fill="auto"/>
            <w:noWrap/>
            <w:vAlign w:val="center"/>
            <w:hideMark/>
          </w:tcPr>
          <w:p w14:paraId="0C3F7C3D" w14:textId="77777777" w:rsidR="00E838DF" w:rsidRPr="002E2F6B" w:rsidRDefault="00E838DF" w:rsidP="00110A7F">
            <w:pPr>
              <w:spacing w:before="0" w:after="0"/>
              <w:rPr>
                <w:sz w:val="16"/>
                <w:szCs w:val="16"/>
              </w:rPr>
            </w:pPr>
            <w:r w:rsidRPr="002E2F6B">
              <w:rPr>
                <w:sz w:val="16"/>
                <w:szCs w:val="16"/>
              </w:rPr>
              <w:t>0.30</w:t>
            </w:r>
          </w:p>
        </w:tc>
        <w:tc>
          <w:tcPr>
            <w:tcW w:w="320" w:type="pct"/>
            <w:tcBorders>
              <w:top w:val="nil"/>
              <w:left w:val="nil"/>
              <w:bottom w:val="nil"/>
              <w:right w:val="nil"/>
            </w:tcBorders>
            <w:shd w:val="clear" w:color="auto" w:fill="auto"/>
            <w:noWrap/>
            <w:vAlign w:val="center"/>
            <w:hideMark/>
          </w:tcPr>
          <w:p w14:paraId="0C3F7C3E" w14:textId="77777777" w:rsidR="00E838DF" w:rsidRPr="002E2F6B" w:rsidRDefault="00E838DF" w:rsidP="00110A7F">
            <w:pPr>
              <w:spacing w:before="0" w:after="0"/>
              <w:rPr>
                <w:sz w:val="16"/>
                <w:szCs w:val="16"/>
              </w:rPr>
            </w:pPr>
            <w:r w:rsidRPr="002E2F6B">
              <w:rPr>
                <w:sz w:val="16"/>
                <w:szCs w:val="16"/>
              </w:rPr>
              <w:t>0.47</w:t>
            </w:r>
          </w:p>
        </w:tc>
      </w:tr>
      <w:tr w:rsidR="00E838DF" w:rsidRPr="002E2F6B" w14:paraId="0C3F7C4F" w14:textId="77777777" w:rsidTr="00E838DF">
        <w:trPr>
          <w:trHeight w:val="20"/>
        </w:trPr>
        <w:tc>
          <w:tcPr>
            <w:tcW w:w="400" w:type="pct"/>
            <w:tcBorders>
              <w:top w:val="nil"/>
              <w:left w:val="nil"/>
              <w:bottom w:val="nil"/>
              <w:right w:val="nil"/>
            </w:tcBorders>
            <w:shd w:val="clear" w:color="auto" w:fill="auto"/>
            <w:noWrap/>
            <w:vAlign w:val="center"/>
            <w:hideMark/>
          </w:tcPr>
          <w:p w14:paraId="0C3F7C40" w14:textId="77777777" w:rsidR="00E838DF" w:rsidRPr="002E2F6B" w:rsidRDefault="00E838DF" w:rsidP="00110A7F">
            <w:pPr>
              <w:spacing w:before="0" w:after="0"/>
              <w:rPr>
                <w:sz w:val="16"/>
                <w:szCs w:val="16"/>
              </w:rPr>
            </w:pPr>
            <w:r w:rsidRPr="002E2F6B">
              <w:rPr>
                <w:sz w:val="16"/>
                <w:szCs w:val="16"/>
              </w:rPr>
              <w:t>DIP</w:t>
            </w:r>
          </w:p>
        </w:tc>
        <w:tc>
          <w:tcPr>
            <w:tcW w:w="323" w:type="pct"/>
            <w:tcBorders>
              <w:top w:val="nil"/>
              <w:left w:val="nil"/>
              <w:bottom w:val="nil"/>
              <w:right w:val="nil"/>
            </w:tcBorders>
            <w:shd w:val="clear" w:color="auto" w:fill="auto"/>
            <w:noWrap/>
            <w:vAlign w:val="center"/>
            <w:hideMark/>
          </w:tcPr>
          <w:p w14:paraId="0C3F7C41" w14:textId="77777777" w:rsidR="00E838DF" w:rsidRPr="002E2F6B" w:rsidRDefault="00E838DF" w:rsidP="00110A7F">
            <w:pPr>
              <w:spacing w:before="0" w:after="0"/>
              <w:rPr>
                <w:sz w:val="16"/>
                <w:szCs w:val="16"/>
              </w:rPr>
            </w:pPr>
            <w:r w:rsidRPr="002E2F6B">
              <w:rPr>
                <w:sz w:val="16"/>
                <w:szCs w:val="16"/>
              </w:rPr>
              <w:t>-0.40</w:t>
            </w:r>
          </w:p>
        </w:tc>
        <w:tc>
          <w:tcPr>
            <w:tcW w:w="400" w:type="pct"/>
            <w:tcBorders>
              <w:top w:val="nil"/>
              <w:left w:val="nil"/>
              <w:bottom w:val="nil"/>
              <w:right w:val="nil"/>
            </w:tcBorders>
            <w:shd w:val="clear" w:color="auto" w:fill="auto"/>
            <w:noWrap/>
            <w:vAlign w:val="center"/>
            <w:hideMark/>
          </w:tcPr>
          <w:p w14:paraId="0C3F7C42" w14:textId="77777777" w:rsidR="00E838DF" w:rsidRPr="002E2F6B" w:rsidRDefault="00E838DF" w:rsidP="00110A7F">
            <w:pPr>
              <w:spacing w:before="0" w:after="0"/>
              <w:rPr>
                <w:sz w:val="16"/>
                <w:szCs w:val="16"/>
              </w:rPr>
            </w:pPr>
            <w:r w:rsidRPr="002E2F6B">
              <w:rPr>
                <w:sz w:val="16"/>
                <w:szCs w:val="16"/>
              </w:rPr>
              <w:t>0.27</w:t>
            </w:r>
          </w:p>
        </w:tc>
        <w:tc>
          <w:tcPr>
            <w:tcW w:w="328" w:type="pct"/>
            <w:tcBorders>
              <w:top w:val="nil"/>
              <w:left w:val="nil"/>
              <w:bottom w:val="nil"/>
              <w:right w:val="nil"/>
            </w:tcBorders>
            <w:shd w:val="clear" w:color="auto" w:fill="auto"/>
            <w:noWrap/>
            <w:vAlign w:val="center"/>
            <w:hideMark/>
          </w:tcPr>
          <w:p w14:paraId="0C3F7C43"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C44" w14:textId="77777777" w:rsidR="00E838DF" w:rsidRPr="002E2F6B" w:rsidRDefault="00E838DF" w:rsidP="00110A7F">
            <w:pPr>
              <w:spacing w:before="0" w:after="0"/>
              <w:rPr>
                <w:sz w:val="16"/>
                <w:szCs w:val="16"/>
              </w:rPr>
            </w:pPr>
            <w:r w:rsidRPr="002E2F6B">
              <w:rPr>
                <w:sz w:val="16"/>
                <w:szCs w:val="16"/>
              </w:rPr>
              <w:t>-0.08</w:t>
            </w:r>
          </w:p>
        </w:tc>
        <w:tc>
          <w:tcPr>
            <w:tcW w:w="323" w:type="pct"/>
            <w:tcBorders>
              <w:top w:val="nil"/>
              <w:left w:val="nil"/>
              <w:bottom w:val="nil"/>
              <w:right w:val="nil"/>
            </w:tcBorders>
            <w:shd w:val="clear" w:color="auto" w:fill="auto"/>
            <w:noWrap/>
            <w:vAlign w:val="center"/>
            <w:hideMark/>
          </w:tcPr>
          <w:p w14:paraId="0C3F7C45"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C46" w14:textId="77777777" w:rsidR="00E838DF" w:rsidRPr="002E2F6B" w:rsidRDefault="00E838DF" w:rsidP="00110A7F">
            <w:pPr>
              <w:spacing w:before="0" w:after="0"/>
              <w:rPr>
                <w:sz w:val="16"/>
                <w:szCs w:val="16"/>
              </w:rPr>
            </w:pPr>
            <w:r w:rsidRPr="002E2F6B">
              <w:rPr>
                <w:sz w:val="16"/>
                <w:szCs w:val="16"/>
              </w:rPr>
              <w:t>0.36</w:t>
            </w:r>
          </w:p>
        </w:tc>
        <w:tc>
          <w:tcPr>
            <w:tcW w:w="323" w:type="pct"/>
            <w:tcBorders>
              <w:top w:val="nil"/>
              <w:left w:val="nil"/>
              <w:bottom w:val="nil"/>
              <w:right w:val="nil"/>
            </w:tcBorders>
            <w:shd w:val="clear" w:color="auto" w:fill="auto"/>
            <w:noWrap/>
            <w:vAlign w:val="center"/>
            <w:hideMark/>
          </w:tcPr>
          <w:p w14:paraId="0C3F7C47" w14:textId="77777777" w:rsidR="00E838DF" w:rsidRPr="002E2F6B" w:rsidRDefault="00E838DF" w:rsidP="00110A7F">
            <w:pPr>
              <w:spacing w:before="0" w:after="0"/>
              <w:rPr>
                <w:sz w:val="16"/>
                <w:szCs w:val="16"/>
              </w:rPr>
            </w:pPr>
            <w:r w:rsidRPr="002E2F6B">
              <w:rPr>
                <w:sz w:val="16"/>
                <w:szCs w:val="16"/>
              </w:rPr>
              <w:t>0.43</w:t>
            </w:r>
          </w:p>
        </w:tc>
        <w:tc>
          <w:tcPr>
            <w:tcW w:w="323" w:type="pct"/>
            <w:tcBorders>
              <w:top w:val="nil"/>
              <w:left w:val="nil"/>
              <w:bottom w:val="nil"/>
              <w:right w:val="nil"/>
            </w:tcBorders>
            <w:shd w:val="clear" w:color="auto" w:fill="auto"/>
            <w:noWrap/>
            <w:vAlign w:val="center"/>
            <w:hideMark/>
          </w:tcPr>
          <w:p w14:paraId="0C3F7C48" w14:textId="77777777" w:rsidR="00E838DF" w:rsidRPr="002E2F6B" w:rsidRDefault="00E838DF" w:rsidP="00110A7F">
            <w:pPr>
              <w:spacing w:before="0" w:after="0"/>
              <w:rPr>
                <w:sz w:val="16"/>
                <w:szCs w:val="16"/>
              </w:rPr>
            </w:pPr>
            <w:r w:rsidRPr="002E2F6B">
              <w:rPr>
                <w:sz w:val="16"/>
                <w:szCs w:val="16"/>
              </w:rPr>
              <w:t>0.37</w:t>
            </w:r>
          </w:p>
        </w:tc>
        <w:tc>
          <w:tcPr>
            <w:tcW w:w="323" w:type="pct"/>
            <w:tcBorders>
              <w:top w:val="nil"/>
              <w:left w:val="nil"/>
              <w:bottom w:val="nil"/>
              <w:right w:val="nil"/>
            </w:tcBorders>
            <w:shd w:val="clear" w:color="auto" w:fill="auto"/>
            <w:noWrap/>
            <w:vAlign w:val="center"/>
            <w:hideMark/>
          </w:tcPr>
          <w:p w14:paraId="0C3F7C49" w14:textId="77777777" w:rsidR="00E838DF" w:rsidRPr="002E2F6B" w:rsidRDefault="00E838DF" w:rsidP="00110A7F">
            <w:pPr>
              <w:spacing w:before="0" w:after="0"/>
              <w:rPr>
                <w:sz w:val="16"/>
                <w:szCs w:val="16"/>
              </w:rPr>
            </w:pPr>
            <w:r w:rsidRPr="002E2F6B">
              <w:rPr>
                <w:sz w:val="16"/>
                <w:szCs w:val="16"/>
              </w:rPr>
              <w:t>0.49</w:t>
            </w:r>
          </w:p>
        </w:tc>
        <w:tc>
          <w:tcPr>
            <w:tcW w:w="323" w:type="pct"/>
            <w:tcBorders>
              <w:top w:val="nil"/>
              <w:left w:val="nil"/>
              <w:bottom w:val="nil"/>
              <w:right w:val="nil"/>
            </w:tcBorders>
            <w:shd w:val="clear" w:color="auto" w:fill="auto"/>
            <w:noWrap/>
            <w:vAlign w:val="center"/>
            <w:hideMark/>
          </w:tcPr>
          <w:p w14:paraId="0C3F7C4A" w14:textId="77777777" w:rsidR="00E838DF" w:rsidRPr="002E2F6B" w:rsidRDefault="00E838DF" w:rsidP="00110A7F">
            <w:pPr>
              <w:spacing w:before="0" w:after="0"/>
              <w:rPr>
                <w:sz w:val="16"/>
                <w:szCs w:val="16"/>
              </w:rPr>
            </w:pPr>
            <w:r w:rsidRPr="002E2F6B">
              <w:rPr>
                <w:sz w:val="16"/>
                <w:szCs w:val="16"/>
              </w:rPr>
              <w:t>0.57</w:t>
            </w:r>
          </w:p>
        </w:tc>
        <w:tc>
          <w:tcPr>
            <w:tcW w:w="323" w:type="pct"/>
            <w:tcBorders>
              <w:top w:val="nil"/>
              <w:left w:val="nil"/>
              <w:bottom w:val="nil"/>
              <w:right w:val="nil"/>
            </w:tcBorders>
            <w:shd w:val="clear" w:color="auto" w:fill="auto"/>
            <w:noWrap/>
            <w:vAlign w:val="center"/>
            <w:hideMark/>
          </w:tcPr>
          <w:p w14:paraId="0C3F7C4B"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4C"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nil"/>
              <w:right w:val="nil"/>
            </w:tcBorders>
            <w:shd w:val="clear" w:color="auto" w:fill="auto"/>
            <w:noWrap/>
            <w:vAlign w:val="center"/>
            <w:hideMark/>
          </w:tcPr>
          <w:p w14:paraId="0C3F7C4D" w14:textId="77777777" w:rsidR="00E838DF" w:rsidRPr="002E2F6B" w:rsidRDefault="00E838DF" w:rsidP="00110A7F">
            <w:pPr>
              <w:spacing w:before="0" w:after="0"/>
              <w:rPr>
                <w:sz w:val="16"/>
                <w:szCs w:val="16"/>
              </w:rPr>
            </w:pPr>
            <w:r w:rsidRPr="002E2F6B">
              <w:rPr>
                <w:sz w:val="16"/>
                <w:szCs w:val="16"/>
              </w:rPr>
              <w:t>0.16</w:t>
            </w:r>
          </w:p>
        </w:tc>
        <w:tc>
          <w:tcPr>
            <w:tcW w:w="320" w:type="pct"/>
            <w:tcBorders>
              <w:top w:val="nil"/>
              <w:left w:val="nil"/>
              <w:bottom w:val="nil"/>
              <w:right w:val="nil"/>
            </w:tcBorders>
            <w:shd w:val="clear" w:color="auto" w:fill="auto"/>
            <w:noWrap/>
            <w:vAlign w:val="center"/>
            <w:hideMark/>
          </w:tcPr>
          <w:p w14:paraId="0C3F7C4E" w14:textId="77777777" w:rsidR="00E838DF" w:rsidRPr="002E2F6B" w:rsidRDefault="00E838DF" w:rsidP="00110A7F">
            <w:pPr>
              <w:spacing w:before="0" w:after="0"/>
              <w:rPr>
                <w:sz w:val="16"/>
                <w:szCs w:val="16"/>
              </w:rPr>
            </w:pPr>
            <w:r w:rsidRPr="002E2F6B">
              <w:rPr>
                <w:sz w:val="16"/>
                <w:szCs w:val="16"/>
              </w:rPr>
              <w:t>0.55</w:t>
            </w:r>
          </w:p>
        </w:tc>
      </w:tr>
      <w:tr w:rsidR="00E838DF" w:rsidRPr="002E2F6B" w14:paraId="0C3F7C5F" w14:textId="77777777" w:rsidTr="00E838DF">
        <w:trPr>
          <w:trHeight w:val="20"/>
        </w:trPr>
        <w:tc>
          <w:tcPr>
            <w:tcW w:w="400" w:type="pct"/>
            <w:tcBorders>
              <w:top w:val="nil"/>
              <w:left w:val="nil"/>
              <w:bottom w:val="nil"/>
              <w:right w:val="nil"/>
            </w:tcBorders>
            <w:shd w:val="clear" w:color="auto" w:fill="auto"/>
            <w:noWrap/>
            <w:vAlign w:val="center"/>
            <w:hideMark/>
          </w:tcPr>
          <w:p w14:paraId="0C3F7C50" w14:textId="77777777" w:rsidR="00E838DF" w:rsidRPr="002E2F6B" w:rsidRDefault="00E838DF" w:rsidP="00110A7F">
            <w:pPr>
              <w:spacing w:before="0" w:after="0"/>
              <w:rPr>
                <w:sz w:val="16"/>
                <w:szCs w:val="16"/>
              </w:rPr>
            </w:pPr>
            <w:r w:rsidRPr="002E2F6B">
              <w:rPr>
                <w:sz w:val="16"/>
                <w:szCs w:val="16"/>
              </w:rPr>
              <w:t>PN</w:t>
            </w:r>
          </w:p>
        </w:tc>
        <w:tc>
          <w:tcPr>
            <w:tcW w:w="323" w:type="pct"/>
            <w:tcBorders>
              <w:top w:val="nil"/>
              <w:left w:val="nil"/>
              <w:bottom w:val="nil"/>
              <w:right w:val="nil"/>
            </w:tcBorders>
            <w:shd w:val="clear" w:color="auto" w:fill="auto"/>
            <w:noWrap/>
            <w:vAlign w:val="center"/>
            <w:hideMark/>
          </w:tcPr>
          <w:p w14:paraId="0C3F7C51" w14:textId="77777777" w:rsidR="00E838DF" w:rsidRPr="002E2F6B" w:rsidRDefault="00E838DF" w:rsidP="00110A7F">
            <w:pPr>
              <w:spacing w:before="0" w:after="0"/>
              <w:rPr>
                <w:sz w:val="16"/>
                <w:szCs w:val="16"/>
              </w:rPr>
            </w:pPr>
            <w:r w:rsidRPr="002E2F6B">
              <w:rPr>
                <w:sz w:val="16"/>
                <w:szCs w:val="16"/>
              </w:rPr>
              <w:t>0.29</w:t>
            </w:r>
          </w:p>
        </w:tc>
        <w:tc>
          <w:tcPr>
            <w:tcW w:w="400" w:type="pct"/>
            <w:tcBorders>
              <w:top w:val="nil"/>
              <w:left w:val="nil"/>
              <w:bottom w:val="nil"/>
              <w:right w:val="nil"/>
            </w:tcBorders>
            <w:shd w:val="clear" w:color="auto" w:fill="auto"/>
            <w:noWrap/>
            <w:vAlign w:val="center"/>
            <w:hideMark/>
          </w:tcPr>
          <w:p w14:paraId="0C3F7C52" w14:textId="77777777" w:rsidR="00E838DF" w:rsidRPr="002E2F6B" w:rsidRDefault="00E838DF" w:rsidP="00110A7F">
            <w:pPr>
              <w:spacing w:before="0" w:after="0"/>
              <w:rPr>
                <w:sz w:val="16"/>
                <w:szCs w:val="16"/>
              </w:rPr>
            </w:pPr>
            <w:r w:rsidRPr="002E2F6B">
              <w:rPr>
                <w:sz w:val="16"/>
                <w:szCs w:val="16"/>
              </w:rPr>
              <w:t>-0.39</w:t>
            </w:r>
          </w:p>
        </w:tc>
        <w:tc>
          <w:tcPr>
            <w:tcW w:w="328" w:type="pct"/>
            <w:tcBorders>
              <w:top w:val="nil"/>
              <w:left w:val="nil"/>
              <w:bottom w:val="nil"/>
              <w:right w:val="nil"/>
            </w:tcBorders>
            <w:shd w:val="clear" w:color="auto" w:fill="auto"/>
            <w:noWrap/>
            <w:vAlign w:val="center"/>
            <w:hideMark/>
          </w:tcPr>
          <w:p w14:paraId="0C3F7C53"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C54"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C55" w14:textId="77777777" w:rsidR="00E838DF" w:rsidRPr="002E2F6B" w:rsidRDefault="00E838DF" w:rsidP="00110A7F">
            <w:pPr>
              <w:spacing w:before="0" w:after="0"/>
              <w:rPr>
                <w:sz w:val="16"/>
                <w:szCs w:val="16"/>
              </w:rPr>
            </w:pPr>
            <w:r w:rsidRPr="002E2F6B">
              <w:rPr>
                <w:sz w:val="16"/>
                <w:szCs w:val="16"/>
              </w:rPr>
              <w:t>0.23</w:t>
            </w:r>
          </w:p>
        </w:tc>
        <w:tc>
          <w:tcPr>
            <w:tcW w:w="323" w:type="pct"/>
            <w:tcBorders>
              <w:top w:val="nil"/>
              <w:left w:val="nil"/>
              <w:bottom w:val="nil"/>
              <w:right w:val="nil"/>
            </w:tcBorders>
            <w:shd w:val="clear" w:color="auto" w:fill="auto"/>
            <w:noWrap/>
            <w:vAlign w:val="center"/>
            <w:hideMark/>
          </w:tcPr>
          <w:p w14:paraId="0C3F7C56"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C57" w14:textId="77777777" w:rsidR="00E838DF" w:rsidRPr="002E2F6B" w:rsidRDefault="00E838DF" w:rsidP="00110A7F">
            <w:pPr>
              <w:spacing w:before="0" w:after="0"/>
              <w:rPr>
                <w:sz w:val="16"/>
                <w:szCs w:val="16"/>
              </w:rPr>
            </w:pPr>
            <w:r w:rsidRPr="002E2F6B">
              <w:rPr>
                <w:sz w:val="16"/>
                <w:szCs w:val="16"/>
              </w:rPr>
              <w:t>-0.33</w:t>
            </w:r>
          </w:p>
        </w:tc>
        <w:tc>
          <w:tcPr>
            <w:tcW w:w="323" w:type="pct"/>
            <w:tcBorders>
              <w:top w:val="nil"/>
              <w:left w:val="nil"/>
              <w:bottom w:val="nil"/>
              <w:right w:val="nil"/>
            </w:tcBorders>
            <w:shd w:val="clear" w:color="auto" w:fill="auto"/>
            <w:noWrap/>
            <w:vAlign w:val="center"/>
            <w:hideMark/>
          </w:tcPr>
          <w:p w14:paraId="0C3F7C58"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nil"/>
              <w:right w:val="nil"/>
            </w:tcBorders>
            <w:shd w:val="clear" w:color="auto" w:fill="auto"/>
            <w:noWrap/>
            <w:vAlign w:val="center"/>
            <w:hideMark/>
          </w:tcPr>
          <w:p w14:paraId="0C3F7C59"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C5A" w14:textId="77777777" w:rsidR="00E838DF" w:rsidRPr="002E2F6B" w:rsidRDefault="00E838DF" w:rsidP="00110A7F">
            <w:pPr>
              <w:spacing w:before="0" w:after="0"/>
              <w:rPr>
                <w:sz w:val="16"/>
                <w:szCs w:val="16"/>
              </w:rPr>
            </w:pPr>
            <w:r w:rsidRPr="002E2F6B">
              <w:rPr>
                <w:sz w:val="16"/>
                <w:szCs w:val="16"/>
              </w:rPr>
              <w:t>-0.26</w:t>
            </w:r>
          </w:p>
        </w:tc>
        <w:tc>
          <w:tcPr>
            <w:tcW w:w="323" w:type="pct"/>
            <w:tcBorders>
              <w:top w:val="nil"/>
              <w:left w:val="nil"/>
              <w:bottom w:val="nil"/>
              <w:right w:val="nil"/>
            </w:tcBorders>
            <w:shd w:val="clear" w:color="auto" w:fill="auto"/>
            <w:noWrap/>
            <w:vAlign w:val="center"/>
            <w:hideMark/>
          </w:tcPr>
          <w:p w14:paraId="0C3F7C5B"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nil"/>
              <w:right w:val="nil"/>
            </w:tcBorders>
            <w:shd w:val="clear" w:color="auto" w:fill="auto"/>
            <w:noWrap/>
            <w:vAlign w:val="center"/>
            <w:hideMark/>
          </w:tcPr>
          <w:p w14:paraId="0C3F7C5C"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5D" w14:textId="77777777" w:rsidR="00E838DF" w:rsidRPr="002E2F6B" w:rsidRDefault="00E838DF" w:rsidP="00110A7F">
            <w:pPr>
              <w:spacing w:before="0" w:after="0"/>
              <w:rPr>
                <w:sz w:val="16"/>
                <w:szCs w:val="16"/>
              </w:rPr>
            </w:pPr>
            <w:r w:rsidRPr="002E2F6B">
              <w:rPr>
                <w:sz w:val="16"/>
                <w:szCs w:val="16"/>
              </w:rPr>
              <w:t>0.06</w:t>
            </w:r>
          </w:p>
        </w:tc>
        <w:tc>
          <w:tcPr>
            <w:tcW w:w="320" w:type="pct"/>
            <w:tcBorders>
              <w:top w:val="nil"/>
              <w:left w:val="nil"/>
              <w:bottom w:val="nil"/>
              <w:right w:val="nil"/>
            </w:tcBorders>
            <w:shd w:val="clear" w:color="auto" w:fill="auto"/>
            <w:noWrap/>
            <w:vAlign w:val="center"/>
            <w:hideMark/>
          </w:tcPr>
          <w:p w14:paraId="0C3F7C5E" w14:textId="77777777" w:rsidR="00E838DF" w:rsidRPr="002E2F6B" w:rsidRDefault="00E838DF" w:rsidP="00110A7F">
            <w:pPr>
              <w:spacing w:before="0" w:after="0"/>
              <w:rPr>
                <w:sz w:val="16"/>
                <w:szCs w:val="16"/>
              </w:rPr>
            </w:pPr>
            <w:r w:rsidRPr="002E2F6B">
              <w:rPr>
                <w:sz w:val="16"/>
                <w:szCs w:val="16"/>
              </w:rPr>
              <w:t>-0.20</w:t>
            </w:r>
          </w:p>
        </w:tc>
      </w:tr>
      <w:tr w:rsidR="00E838DF" w:rsidRPr="002E2F6B" w14:paraId="0C3F7C6F" w14:textId="77777777" w:rsidTr="00E838DF">
        <w:trPr>
          <w:trHeight w:val="20"/>
        </w:trPr>
        <w:tc>
          <w:tcPr>
            <w:tcW w:w="400" w:type="pct"/>
            <w:tcBorders>
              <w:top w:val="nil"/>
              <w:left w:val="nil"/>
              <w:bottom w:val="nil"/>
              <w:right w:val="nil"/>
            </w:tcBorders>
            <w:shd w:val="clear" w:color="auto" w:fill="auto"/>
            <w:noWrap/>
            <w:vAlign w:val="center"/>
            <w:hideMark/>
          </w:tcPr>
          <w:p w14:paraId="0C3F7C60" w14:textId="77777777" w:rsidR="00E838DF" w:rsidRPr="002E2F6B" w:rsidRDefault="00E838DF" w:rsidP="00110A7F">
            <w:pPr>
              <w:spacing w:before="0" w:after="0"/>
              <w:rPr>
                <w:sz w:val="16"/>
                <w:szCs w:val="16"/>
              </w:rPr>
            </w:pPr>
            <w:r w:rsidRPr="002E2F6B">
              <w:rPr>
                <w:sz w:val="16"/>
                <w:szCs w:val="16"/>
              </w:rPr>
              <w:t>PP</w:t>
            </w:r>
          </w:p>
        </w:tc>
        <w:tc>
          <w:tcPr>
            <w:tcW w:w="323" w:type="pct"/>
            <w:tcBorders>
              <w:top w:val="nil"/>
              <w:left w:val="nil"/>
              <w:bottom w:val="nil"/>
              <w:right w:val="nil"/>
            </w:tcBorders>
            <w:shd w:val="clear" w:color="auto" w:fill="auto"/>
            <w:noWrap/>
            <w:vAlign w:val="center"/>
            <w:hideMark/>
          </w:tcPr>
          <w:p w14:paraId="0C3F7C61" w14:textId="77777777" w:rsidR="00E838DF" w:rsidRPr="002E2F6B" w:rsidRDefault="00E838DF" w:rsidP="00110A7F">
            <w:pPr>
              <w:spacing w:before="0" w:after="0"/>
              <w:rPr>
                <w:sz w:val="16"/>
                <w:szCs w:val="16"/>
              </w:rPr>
            </w:pPr>
            <w:r w:rsidRPr="002E2F6B">
              <w:rPr>
                <w:sz w:val="16"/>
                <w:szCs w:val="16"/>
              </w:rPr>
              <w:t>-0.33</w:t>
            </w:r>
          </w:p>
        </w:tc>
        <w:tc>
          <w:tcPr>
            <w:tcW w:w="400" w:type="pct"/>
            <w:tcBorders>
              <w:top w:val="nil"/>
              <w:left w:val="nil"/>
              <w:bottom w:val="nil"/>
              <w:right w:val="nil"/>
            </w:tcBorders>
            <w:shd w:val="clear" w:color="auto" w:fill="auto"/>
            <w:noWrap/>
            <w:vAlign w:val="center"/>
            <w:hideMark/>
          </w:tcPr>
          <w:p w14:paraId="0C3F7C62" w14:textId="77777777" w:rsidR="00E838DF" w:rsidRPr="002E2F6B" w:rsidRDefault="00E838DF" w:rsidP="00110A7F">
            <w:pPr>
              <w:spacing w:before="0" w:after="0"/>
              <w:rPr>
                <w:sz w:val="16"/>
                <w:szCs w:val="16"/>
              </w:rPr>
            </w:pPr>
            <w:r w:rsidRPr="002E2F6B">
              <w:rPr>
                <w:sz w:val="16"/>
                <w:szCs w:val="16"/>
              </w:rPr>
              <w:t>0.10</w:t>
            </w:r>
          </w:p>
        </w:tc>
        <w:tc>
          <w:tcPr>
            <w:tcW w:w="328" w:type="pct"/>
            <w:tcBorders>
              <w:top w:val="nil"/>
              <w:left w:val="nil"/>
              <w:bottom w:val="nil"/>
              <w:right w:val="nil"/>
            </w:tcBorders>
            <w:shd w:val="clear" w:color="auto" w:fill="auto"/>
            <w:noWrap/>
            <w:vAlign w:val="center"/>
            <w:hideMark/>
          </w:tcPr>
          <w:p w14:paraId="0C3F7C63"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C64"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C65"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C66" w14:textId="77777777" w:rsidR="00E838DF" w:rsidRPr="002E2F6B" w:rsidRDefault="00E838DF" w:rsidP="00110A7F">
            <w:pPr>
              <w:spacing w:before="0" w:after="0"/>
              <w:rPr>
                <w:sz w:val="16"/>
                <w:szCs w:val="16"/>
              </w:rPr>
            </w:pPr>
            <w:r w:rsidRPr="002E2F6B">
              <w:rPr>
                <w:sz w:val="16"/>
                <w:szCs w:val="16"/>
              </w:rPr>
              <w:t>0.44</w:t>
            </w:r>
          </w:p>
        </w:tc>
        <w:tc>
          <w:tcPr>
            <w:tcW w:w="323" w:type="pct"/>
            <w:tcBorders>
              <w:top w:val="nil"/>
              <w:left w:val="nil"/>
              <w:bottom w:val="nil"/>
              <w:right w:val="nil"/>
            </w:tcBorders>
            <w:shd w:val="clear" w:color="auto" w:fill="auto"/>
            <w:noWrap/>
            <w:vAlign w:val="center"/>
            <w:hideMark/>
          </w:tcPr>
          <w:p w14:paraId="0C3F7C67" w14:textId="77777777" w:rsidR="00E838DF" w:rsidRPr="002E2F6B" w:rsidRDefault="00E838DF" w:rsidP="00110A7F">
            <w:pPr>
              <w:spacing w:before="0" w:after="0"/>
              <w:rPr>
                <w:sz w:val="16"/>
                <w:szCs w:val="16"/>
              </w:rPr>
            </w:pPr>
            <w:r w:rsidRPr="002E2F6B">
              <w:rPr>
                <w:sz w:val="16"/>
                <w:szCs w:val="16"/>
              </w:rPr>
              <w:t>0.33</w:t>
            </w:r>
          </w:p>
        </w:tc>
        <w:tc>
          <w:tcPr>
            <w:tcW w:w="323" w:type="pct"/>
            <w:tcBorders>
              <w:top w:val="nil"/>
              <w:left w:val="nil"/>
              <w:bottom w:val="nil"/>
              <w:right w:val="nil"/>
            </w:tcBorders>
            <w:shd w:val="clear" w:color="auto" w:fill="auto"/>
            <w:noWrap/>
            <w:vAlign w:val="center"/>
            <w:hideMark/>
          </w:tcPr>
          <w:p w14:paraId="0C3F7C68"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000000" w:fill="FFFF00"/>
            <w:noWrap/>
            <w:vAlign w:val="center"/>
            <w:hideMark/>
          </w:tcPr>
          <w:p w14:paraId="0C3F7C69" w14:textId="77777777" w:rsidR="00E838DF" w:rsidRPr="002E2F6B" w:rsidRDefault="00E838DF" w:rsidP="00110A7F">
            <w:pPr>
              <w:spacing w:before="0" w:after="0"/>
              <w:rPr>
                <w:sz w:val="16"/>
                <w:szCs w:val="16"/>
              </w:rPr>
            </w:pPr>
            <w:r w:rsidRPr="002E2F6B">
              <w:rPr>
                <w:sz w:val="16"/>
                <w:szCs w:val="16"/>
              </w:rPr>
              <w:t>0.75</w:t>
            </w:r>
          </w:p>
        </w:tc>
        <w:tc>
          <w:tcPr>
            <w:tcW w:w="323" w:type="pct"/>
            <w:tcBorders>
              <w:top w:val="nil"/>
              <w:left w:val="nil"/>
              <w:bottom w:val="nil"/>
              <w:right w:val="nil"/>
            </w:tcBorders>
            <w:shd w:val="clear" w:color="auto" w:fill="auto"/>
            <w:noWrap/>
            <w:vAlign w:val="center"/>
            <w:hideMark/>
          </w:tcPr>
          <w:p w14:paraId="0C3F7C6A" w14:textId="77777777" w:rsidR="00E838DF" w:rsidRPr="002E2F6B" w:rsidRDefault="00E838DF" w:rsidP="00110A7F">
            <w:pPr>
              <w:spacing w:before="0" w:after="0"/>
              <w:rPr>
                <w:sz w:val="16"/>
                <w:szCs w:val="16"/>
              </w:rPr>
            </w:pPr>
            <w:r w:rsidRPr="002E2F6B">
              <w:rPr>
                <w:sz w:val="16"/>
                <w:szCs w:val="16"/>
              </w:rPr>
              <w:t>0.30</w:t>
            </w:r>
          </w:p>
        </w:tc>
        <w:tc>
          <w:tcPr>
            <w:tcW w:w="323" w:type="pct"/>
            <w:tcBorders>
              <w:top w:val="nil"/>
              <w:left w:val="nil"/>
              <w:bottom w:val="nil"/>
              <w:right w:val="nil"/>
            </w:tcBorders>
            <w:shd w:val="clear" w:color="auto" w:fill="auto"/>
            <w:noWrap/>
            <w:vAlign w:val="center"/>
            <w:hideMark/>
          </w:tcPr>
          <w:p w14:paraId="0C3F7C6B"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6C" w14:textId="77777777" w:rsidR="00E838DF" w:rsidRPr="002E2F6B" w:rsidRDefault="00E838DF" w:rsidP="00110A7F">
            <w:pPr>
              <w:spacing w:before="0" w:after="0"/>
              <w:rPr>
                <w:sz w:val="16"/>
                <w:szCs w:val="16"/>
              </w:rPr>
            </w:pPr>
            <w:r w:rsidRPr="002E2F6B">
              <w:rPr>
                <w:sz w:val="16"/>
                <w:szCs w:val="16"/>
              </w:rPr>
              <w:t>0.06</w:t>
            </w:r>
          </w:p>
        </w:tc>
        <w:tc>
          <w:tcPr>
            <w:tcW w:w="323" w:type="pct"/>
            <w:tcBorders>
              <w:top w:val="nil"/>
              <w:left w:val="nil"/>
              <w:bottom w:val="nil"/>
              <w:right w:val="nil"/>
            </w:tcBorders>
            <w:shd w:val="clear" w:color="auto" w:fill="auto"/>
            <w:noWrap/>
            <w:vAlign w:val="center"/>
            <w:hideMark/>
          </w:tcPr>
          <w:p w14:paraId="0C3F7C6D" w14:textId="77777777" w:rsidR="00E838DF" w:rsidRPr="002E2F6B" w:rsidRDefault="00E838DF" w:rsidP="00110A7F">
            <w:pPr>
              <w:spacing w:before="0" w:after="0"/>
              <w:rPr>
                <w:sz w:val="16"/>
                <w:szCs w:val="16"/>
              </w:rPr>
            </w:pPr>
            <w:r w:rsidRPr="002E2F6B">
              <w:rPr>
                <w:sz w:val="16"/>
                <w:szCs w:val="16"/>
              </w:rPr>
              <w:t>1</w:t>
            </w:r>
          </w:p>
        </w:tc>
        <w:tc>
          <w:tcPr>
            <w:tcW w:w="320" w:type="pct"/>
            <w:tcBorders>
              <w:top w:val="nil"/>
              <w:left w:val="nil"/>
              <w:bottom w:val="nil"/>
              <w:right w:val="nil"/>
            </w:tcBorders>
            <w:shd w:val="clear" w:color="auto" w:fill="auto"/>
            <w:noWrap/>
            <w:vAlign w:val="center"/>
            <w:hideMark/>
          </w:tcPr>
          <w:p w14:paraId="0C3F7C6E" w14:textId="77777777" w:rsidR="00E838DF" w:rsidRPr="002E2F6B" w:rsidRDefault="00E838DF" w:rsidP="00110A7F">
            <w:pPr>
              <w:spacing w:before="0" w:after="0"/>
              <w:rPr>
                <w:sz w:val="16"/>
                <w:szCs w:val="16"/>
              </w:rPr>
            </w:pPr>
            <w:r w:rsidRPr="002E2F6B">
              <w:rPr>
                <w:sz w:val="16"/>
                <w:szCs w:val="16"/>
              </w:rPr>
              <w:t>0.18</w:t>
            </w:r>
          </w:p>
        </w:tc>
      </w:tr>
      <w:tr w:rsidR="00E838DF" w:rsidRPr="002E2F6B" w14:paraId="0C3F7C7F" w14:textId="77777777" w:rsidTr="00E838DF">
        <w:trPr>
          <w:trHeight w:val="20"/>
        </w:trPr>
        <w:tc>
          <w:tcPr>
            <w:tcW w:w="400" w:type="pct"/>
            <w:tcBorders>
              <w:top w:val="nil"/>
              <w:left w:val="nil"/>
              <w:bottom w:val="single" w:sz="4" w:space="0" w:color="auto"/>
              <w:right w:val="nil"/>
            </w:tcBorders>
            <w:shd w:val="clear" w:color="auto" w:fill="auto"/>
            <w:noWrap/>
            <w:vAlign w:val="center"/>
            <w:hideMark/>
          </w:tcPr>
          <w:p w14:paraId="0C3F7C70" w14:textId="77777777" w:rsidR="00E838DF" w:rsidRPr="002E2F6B" w:rsidRDefault="00E838DF" w:rsidP="00110A7F">
            <w:pPr>
              <w:spacing w:before="0" w:after="0"/>
              <w:rPr>
                <w:sz w:val="16"/>
                <w:szCs w:val="16"/>
              </w:rPr>
            </w:pPr>
            <w:r w:rsidRPr="002E2F6B">
              <w:rPr>
                <w:sz w:val="16"/>
                <w:szCs w:val="16"/>
              </w:rPr>
              <w:t>Si</w:t>
            </w:r>
          </w:p>
        </w:tc>
        <w:tc>
          <w:tcPr>
            <w:tcW w:w="323" w:type="pct"/>
            <w:tcBorders>
              <w:top w:val="nil"/>
              <w:left w:val="nil"/>
              <w:bottom w:val="single" w:sz="4" w:space="0" w:color="auto"/>
              <w:right w:val="nil"/>
            </w:tcBorders>
            <w:shd w:val="clear" w:color="000000" w:fill="FFFF00"/>
            <w:noWrap/>
            <w:vAlign w:val="center"/>
            <w:hideMark/>
          </w:tcPr>
          <w:p w14:paraId="0C3F7C71" w14:textId="77777777" w:rsidR="00E838DF" w:rsidRPr="002E2F6B" w:rsidRDefault="00E838DF" w:rsidP="00110A7F">
            <w:pPr>
              <w:spacing w:before="0" w:after="0"/>
              <w:rPr>
                <w:sz w:val="16"/>
                <w:szCs w:val="16"/>
              </w:rPr>
            </w:pPr>
            <w:r w:rsidRPr="002E2F6B">
              <w:rPr>
                <w:sz w:val="16"/>
                <w:szCs w:val="16"/>
              </w:rPr>
              <w:t>-0.67</w:t>
            </w:r>
          </w:p>
        </w:tc>
        <w:tc>
          <w:tcPr>
            <w:tcW w:w="400" w:type="pct"/>
            <w:tcBorders>
              <w:top w:val="nil"/>
              <w:left w:val="nil"/>
              <w:bottom w:val="single" w:sz="4" w:space="0" w:color="auto"/>
              <w:right w:val="nil"/>
            </w:tcBorders>
            <w:shd w:val="clear" w:color="000000" w:fill="FFFF00"/>
            <w:noWrap/>
            <w:vAlign w:val="center"/>
            <w:hideMark/>
          </w:tcPr>
          <w:p w14:paraId="0C3F7C72" w14:textId="77777777" w:rsidR="00E838DF" w:rsidRPr="002E2F6B" w:rsidRDefault="00E838DF" w:rsidP="00110A7F">
            <w:pPr>
              <w:spacing w:before="0" w:after="0"/>
              <w:rPr>
                <w:sz w:val="16"/>
                <w:szCs w:val="16"/>
              </w:rPr>
            </w:pPr>
            <w:r w:rsidRPr="002E2F6B">
              <w:rPr>
                <w:sz w:val="16"/>
                <w:szCs w:val="16"/>
              </w:rPr>
              <w:t>0.68</w:t>
            </w:r>
          </w:p>
        </w:tc>
        <w:tc>
          <w:tcPr>
            <w:tcW w:w="328" w:type="pct"/>
            <w:tcBorders>
              <w:top w:val="nil"/>
              <w:left w:val="nil"/>
              <w:bottom w:val="single" w:sz="4" w:space="0" w:color="auto"/>
              <w:right w:val="nil"/>
            </w:tcBorders>
            <w:shd w:val="clear" w:color="auto" w:fill="auto"/>
            <w:noWrap/>
            <w:vAlign w:val="center"/>
            <w:hideMark/>
          </w:tcPr>
          <w:p w14:paraId="0C3F7C73" w14:textId="77777777" w:rsidR="00E838DF" w:rsidRPr="002E2F6B" w:rsidRDefault="00E838DF" w:rsidP="00110A7F">
            <w:pPr>
              <w:spacing w:before="0" w:after="0"/>
              <w:rPr>
                <w:sz w:val="16"/>
                <w:szCs w:val="16"/>
              </w:rPr>
            </w:pPr>
            <w:r w:rsidRPr="002E2F6B">
              <w:rPr>
                <w:sz w:val="16"/>
                <w:szCs w:val="16"/>
              </w:rPr>
              <w:t>-0.32</w:t>
            </w:r>
          </w:p>
        </w:tc>
        <w:tc>
          <w:tcPr>
            <w:tcW w:w="323" w:type="pct"/>
            <w:tcBorders>
              <w:top w:val="nil"/>
              <w:left w:val="nil"/>
              <w:bottom w:val="single" w:sz="4" w:space="0" w:color="auto"/>
              <w:right w:val="nil"/>
            </w:tcBorders>
            <w:shd w:val="clear" w:color="auto" w:fill="auto"/>
            <w:noWrap/>
            <w:vAlign w:val="center"/>
            <w:hideMark/>
          </w:tcPr>
          <w:p w14:paraId="0C3F7C74"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single" w:sz="4" w:space="0" w:color="auto"/>
              <w:right w:val="nil"/>
            </w:tcBorders>
            <w:shd w:val="clear" w:color="auto" w:fill="auto"/>
            <w:noWrap/>
            <w:vAlign w:val="center"/>
            <w:hideMark/>
          </w:tcPr>
          <w:p w14:paraId="0C3F7C75"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single" w:sz="4" w:space="0" w:color="auto"/>
              <w:right w:val="nil"/>
            </w:tcBorders>
            <w:shd w:val="clear" w:color="auto" w:fill="auto"/>
            <w:noWrap/>
            <w:vAlign w:val="center"/>
            <w:hideMark/>
          </w:tcPr>
          <w:p w14:paraId="0C3F7C76"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single" w:sz="4" w:space="0" w:color="auto"/>
              <w:right w:val="nil"/>
            </w:tcBorders>
            <w:shd w:val="clear" w:color="auto" w:fill="auto"/>
            <w:noWrap/>
            <w:vAlign w:val="center"/>
            <w:hideMark/>
          </w:tcPr>
          <w:p w14:paraId="0C3F7C77" w14:textId="77777777" w:rsidR="00E838DF" w:rsidRPr="002E2F6B" w:rsidRDefault="00E838DF" w:rsidP="00110A7F">
            <w:pPr>
              <w:spacing w:before="0" w:after="0"/>
              <w:rPr>
                <w:sz w:val="16"/>
                <w:szCs w:val="16"/>
              </w:rPr>
            </w:pPr>
            <w:r w:rsidRPr="002E2F6B">
              <w:rPr>
                <w:sz w:val="16"/>
                <w:szCs w:val="16"/>
              </w:rPr>
              <w:t>0.31</w:t>
            </w:r>
          </w:p>
        </w:tc>
        <w:tc>
          <w:tcPr>
            <w:tcW w:w="323" w:type="pct"/>
            <w:tcBorders>
              <w:top w:val="nil"/>
              <w:left w:val="nil"/>
              <w:bottom w:val="single" w:sz="4" w:space="0" w:color="auto"/>
              <w:right w:val="nil"/>
            </w:tcBorders>
            <w:shd w:val="clear" w:color="auto" w:fill="auto"/>
            <w:noWrap/>
            <w:vAlign w:val="center"/>
            <w:hideMark/>
          </w:tcPr>
          <w:p w14:paraId="0C3F7C78" w14:textId="77777777" w:rsidR="00E838DF" w:rsidRPr="002E2F6B" w:rsidRDefault="00E838DF" w:rsidP="00110A7F">
            <w:pPr>
              <w:spacing w:before="0" w:after="0"/>
              <w:rPr>
                <w:sz w:val="16"/>
                <w:szCs w:val="16"/>
              </w:rPr>
            </w:pPr>
            <w:r w:rsidRPr="002E2F6B">
              <w:rPr>
                <w:sz w:val="16"/>
                <w:szCs w:val="16"/>
              </w:rPr>
              <w:t>0.56</w:t>
            </w:r>
          </w:p>
        </w:tc>
        <w:tc>
          <w:tcPr>
            <w:tcW w:w="323" w:type="pct"/>
            <w:tcBorders>
              <w:top w:val="nil"/>
              <w:left w:val="nil"/>
              <w:bottom w:val="single" w:sz="4" w:space="0" w:color="auto"/>
              <w:right w:val="nil"/>
            </w:tcBorders>
            <w:shd w:val="clear" w:color="auto" w:fill="auto"/>
            <w:noWrap/>
            <w:vAlign w:val="center"/>
            <w:hideMark/>
          </w:tcPr>
          <w:p w14:paraId="0C3F7C79" w14:textId="77777777" w:rsidR="00E838DF" w:rsidRPr="002E2F6B" w:rsidRDefault="00E838DF" w:rsidP="00110A7F">
            <w:pPr>
              <w:spacing w:before="0" w:after="0"/>
              <w:rPr>
                <w:sz w:val="16"/>
                <w:szCs w:val="16"/>
              </w:rPr>
            </w:pPr>
            <w:r w:rsidRPr="002E2F6B">
              <w:rPr>
                <w:sz w:val="16"/>
                <w:szCs w:val="16"/>
              </w:rPr>
              <w:t>0.41</w:t>
            </w:r>
          </w:p>
        </w:tc>
        <w:tc>
          <w:tcPr>
            <w:tcW w:w="323" w:type="pct"/>
            <w:tcBorders>
              <w:top w:val="nil"/>
              <w:left w:val="nil"/>
              <w:bottom w:val="single" w:sz="4" w:space="0" w:color="auto"/>
              <w:right w:val="nil"/>
            </w:tcBorders>
            <w:shd w:val="clear" w:color="auto" w:fill="auto"/>
            <w:noWrap/>
            <w:vAlign w:val="center"/>
            <w:hideMark/>
          </w:tcPr>
          <w:p w14:paraId="0C3F7C7A" w14:textId="77777777" w:rsidR="00E838DF" w:rsidRPr="002E2F6B" w:rsidRDefault="00E838DF" w:rsidP="00110A7F">
            <w:pPr>
              <w:spacing w:before="0" w:after="0"/>
              <w:rPr>
                <w:sz w:val="16"/>
                <w:szCs w:val="16"/>
              </w:rPr>
            </w:pPr>
            <w:r w:rsidRPr="002E2F6B">
              <w:rPr>
                <w:sz w:val="16"/>
                <w:szCs w:val="16"/>
              </w:rPr>
              <w:t>0.47</w:t>
            </w:r>
          </w:p>
        </w:tc>
        <w:tc>
          <w:tcPr>
            <w:tcW w:w="323" w:type="pct"/>
            <w:tcBorders>
              <w:top w:val="nil"/>
              <w:left w:val="nil"/>
              <w:bottom w:val="single" w:sz="4" w:space="0" w:color="auto"/>
              <w:right w:val="nil"/>
            </w:tcBorders>
            <w:shd w:val="clear" w:color="auto" w:fill="auto"/>
            <w:noWrap/>
            <w:vAlign w:val="center"/>
            <w:hideMark/>
          </w:tcPr>
          <w:p w14:paraId="0C3F7C7B" w14:textId="77777777" w:rsidR="00E838DF" w:rsidRPr="002E2F6B" w:rsidRDefault="00E838DF" w:rsidP="00110A7F">
            <w:pPr>
              <w:spacing w:before="0" w:after="0"/>
              <w:rPr>
                <w:sz w:val="16"/>
                <w:szCs w:val="16"/>
              </w:rPr>
            </w:pPr>
            <w:r w:rsidRPr="002E2F6B">
              <w:rPr>
                <w:sz w:val="16"/>
                <w:szCs w:val="16"/>
              </w:rPr>
              <w:t>0.55</w:t>
            </w:r>
          </w:p>
        </w:tc>
        <w:tc>
          <w:tcPr>
            <w:tcW w:w="323" w:type="pct"/>
            <w:tcBorders>
              <w:top w:val="nil"/>
              <w:left w:val="nil"/>
              <w:bottom w:val="single" w:sz="4" w:space="0" w:color="auto"/>
              <w:right w:val="nil"/>
            </w:tcBorders>
            <w:shd w:val="clear" w:color="auto" w:fill="auto"/>
            <w:noWrap/>
            <w:vAlign w:val="center"/>
            <w:hideMark/>
          </w:tcPr>
          <w:p w14:paraId="0C3F7C7C" w14:textId="77777777" w:rsidR="00E838DF" w:rsidRPr="002E2F6B" w:rsidRDefault="00E838DF" w:rsidP="00110A7F">
            <w:pPr>
              <w:spacing w:before="0" w:after="0"/>
              <w:rPr>
                <w:sz w:val="16"/>
                <w:szCs w:val="16"/>
              </w:rPr>
            </w:pPr>
            <w:r w:rsidRPr="002E2F6B">
              <w:rPr>
                <w:sz w:val="16"/>
                <w:szCs w:val="16"/>
              </w:rPr>
              <w:t>-0.20</w:t>
            </w:r>
          </w:p>
        </w:tc>
        <w:tc>
          <w:tcPr>
            <w:tcW w:w="323" w:type="pct"/>
            <w:tcBorders>
              <w:top w:val="nil"/>
              <w:left w:val="nil"/>
              <w:bottom w:val="single" w:sz="4" w:space="0" w:color="auto"/>
              <w:right w:val="nil"/>
            </w:tcBorders>
            <w:shd w:val="clear" w:color="auto" w:fill="auto"/>
            <w:noWrap/>
            <w:vAlign w:val="center"/>
            <w:hideMark/>
          </w:tcPr>
          <w:p w14:paraId="0C3F7C7D" w14:textId="77777777" w:rsidR="00E838DF" w:rsidRPr="002E2F6B" w:rsidRDefault="00E838DF" w:rsidP="00110A7F">
            <w:pPr>
              <w:spacing w:before="0" w:after="0"/>
              <w:rPr>
                <w:sz w:val="16"/>
                <w:szCs w:val="16"/>
              </w:rPr>
            </w:pPr>
            <w:r w:rsidRPr="002E2F6B">
              <w:rPr>
                <w:sz w:val="16"/>
                <w:szCs w:val="16"/>
              </w:rPr>
              <w:t>0.18</w:t>
            </w:r>
          </w:p>
        </w:tc>
        <w:tc>
          <w:tcPr>
            <w:tcW w:w="320" w:type="pct"/>
            <w:tcBorders>
              <w:top w:val="nil"/>
              <w:left w:val="nil"/>
              <w:bottom w:val="single" w:sz="4" w:space="0" w:color="auto"/>
              <w:right w:val="nil"/>
            </w:tcBorders>
            <w:shd w:val="clear" w:color="auto" w:fill="auto"/>
            <w:noWrap/>
            <w:vAlign w:val="center"/>
            <w:hideMark/>
          </w:tcPr>
          <w:p w14:paraId="0C3F7C7E" w14:textId="77777777" w:rsidR="00E838DF" w:rsidRPr="002E2F6B" w:rsidRDefault="00E838DF" w:rsidP="00110A7F">
            <w:pPr>
              <w:spacing w:before="0" w:after="0"/>
              <w:rPr>
                <w:sz w:val="16"/>
                <w:szCs w:val="16"/>
              </w:rPr>
            </w:pPr>
            <w:r w:rsidRPr="002E2F6B">
              <w:rPr>
                <w:sz w:val="16"/>
                <w:szCs w:val="16"/>
              </w:rPr>
              <w:t>1</w:t>
            </w:r>
          </w:p>
        </w:tc>
      </w:tr>
      <w:tr w:rsidR="00E838DF" w:rsidRPr="002E2F6B" w14:paraId="0C3F7C81" w14:textId="77777777" w:rsidTr="00E838DF">
        <w:trPr>
          <w:trHeight w:val="20"/>
        </w:trPr>
        <w:tc>
          <w:tcPr>
            <w:tcW w:w="5000" w:type="pct"/>
            <w:gridSpan w:val="15"/>
            <w:tcBorders>
              <w:top w:val="single" w:sz="4" w:space="0" w:color="auto"/>
              <w:left w:val="nil"/>
              <w:bottom w:val="single" w:sz="4" w:space="0" w:color="auto"/>
              <w:right w:val="nil"/>
            </w:tcBorders>
            <w:shd w:val="clear" w:color="auto" w:fill="D9D9D9" w:themeFill="background1" w:themeFillShade="D9"/>
            <w:noWrap/>
            <w:vAlign w:val="center"/>
          </w:tcPr>
          <w:p w14:paraId="0C3F7C80" w14:textId="77777777" w:rsidR="00E838DF" w:rsidRPr="002E2F6B" w:rsidRDefault="00E838DF" w:rsidP="00110A7F">
            <w:pPr>
              <w:spacing w:before="0" w:after="0"/>
              <w:rPr>
                <w:sz w:val="16"/>
                <w:szCs w:val="16"/>
              </w:rPr>
            </w:pPr>
            <w:r w:rsidRPr="002E2F6B">
              <w:rPr>
                <w:sz w:val="16"/>
                <w:szCs w:val="16"/>
              </w:rPr>
              <w:t>Burdekin</w:t>
            </w:r>
          </w:p>
        </w:tc>
      </w:tr>
      <w:tr w:rsidR="00E838DF" w:rsidRPr="002E2F6B" w14:paraId="0C3F7C91" w14:textId="77777777" w:rsidTr="00E838DF">
        <w:trPr>
          <w:trHeight w:val="20"/>
        </w:trPr>
        <w:tc>
          <w:tcPr>
            <w:tcW w:w="400" w:type="pct"/>
            <w:tcBorders>
              <w:top w:val="single" w:sz="4" w:space="0" w:color="auto"/>
              <w:left w:val="nil"/>
              <w:bottom w:val="single" w:sz="4" w:space="0" w:color="auto"/>
              <w:right w:val="nil"/>
            </w:tcBorders>
            <w:shd w:val="clear" w:color="auto" w:fill="auto"/>
            <w:noWrap/>
            <w:vAlign w:val="center"/>
            <w:hideMark/>
          </w:tcPr>
          <w:p w14:paraId="0C3F7C82" w14:textId="77777777" w:rsidR="00E838DF" w:rsidRPr="002E2F6B" w:rsidRDefault="00E838DF" w:rsidP="00110A7F">
            <w:pPr>
              <w:spacing w:before="0" w:after="0"/>
              <w:rPr>
                <w:bCs/>
                <w:sz w:val="16"/>
                <w:szCs w:val="16"/>
              </w:rPr>
            </w:pPr>
            <w:r w:rsidRPr="002E2F6B">
              <w:rPr>
                <w:bCs/>
                <w:sz w:val="16"/>
                <w:szCs w:val="16"/>
              </w:rPr>
              <w:t> </w:t>
            </w:r>
          </w:p>
        </w:tc>
        <w:tc>
          <w:tcPr>
            <w:tcW w:w="323" w:type="pct"/>
            <w:tcBorders>
              <w:top w:val="single" w:sz="4" w:space="0" w:color="auto"/>
              <w:left w:val="nil"/>
              <w:bottom w:val="single" w:sz="4" w:space="0" w:color="auto"/>
              <w:right w:val="nil"/>
            </w:tcBorders>
            <w:shd w:val="clear" w:color="auto" w:fill="auto"/>
            <w:noWrap/>
            <w:vAlign w:val="center"/>
            <w:hideMark/>
          </w:tcPr>
          <w:p w14:paraId="0C3F7C83" w14:textId="77777777" w:rsidR="00E838DF" w:rsidRPr="002E2F6B" w:rsidRDefault="00E838DF" w:rsidP="00110A7F">
            <w:pPr>
              <w:spacing w:before="0" w:after="0"/>
              <w:rPr>
                <w:sz w:val="16"/>
                <w:szCs w:val="16"/>
              </w:rPr>
            </w:pPr>
            <w:r w:rsidRPr="002E2F6B">
              <w:rPr>
                <w:sz w:val="16"/>
                <w:szCs w:val="16"/>
              </w:rPr>
              <w:t>Sal.</w:t>
            </w:r>
          </w:p>
        </w:tc>
        <w:tc>
          <w:tcPr>
            <w:tcW w:w="400" w:type="pct"/>
            <w:tcBorders>
              <w:top w:val="single" w:sz="4" w:space="0" w:color="auto"/>
              <w:left w:val="nil"/>
              <w:bottom w:val="single" w:sz="4" w:space="0" w:color="auto"/>
              <w:right w:val="nil"/>
            </w:tcBorders>
            <w:shd w:val="clear" w:color="auto" w:fill="auto"/>
            <w:noWrap/>
            <w:vAlign w:val="center"/>
            <w:hideMark/>
          </w:tcPr>
          <w:p w14:paraId="0C3F7C84" w14:textId="77777777" w:rsidR="00E838DF" w:rsidRPr="002E2F6B" w:rsidRDefault="00E838DF" w:rsidP="00110A7F">
            <w:pPr>
              <w:spacing w:before="0" w:after="0"/>
              <w:rPr>
                <w:sz w:val="16"/>
                <w:szCs w:val="16"/>
              </w:rPr>
            </w:pPr>
            <w:r w:rsidRPr="002E2F6B">
              <w:rPr>
                <w:sz w:val="16"/>
                <w:szCs w:val="16"/>
              </w:rPr>
              <w:t>Disch.</w:t>
            </w:r>
          </w:p>
        </w:tc>
        <w:tc>
          <w:tcPr>
            <w:tcW w:w="328" w:type="pct"/>
            <w:tcBorders>
              <w:top w:val="single" w:sz="4" w:space="0" w:color="auto"/>
              <w:left w:val="nil"/>
              <w:bottom w:val="single" w:sz="4" w:space="0" w:color="auto"/>
              <w:right w:val="nil"/>
            </w:tcBorders>
            <w:shd w:val="clear" w:color="auto" w:fill="auto"/>
            <w:noWrap/>
            <w:vAlign w:val="center"/>
            <w:hideMark/>
          </w:tcPr>
          <w:p w14:paraId="0C3F7C85" w14:textId="77777777" w:rsidR="00E838DF" w:rsidRPr="002E2F6B" w:rsidRDefault="00E838DF" w:rsidP="00110A7F">
            <w:pPr>
              <w:spacing w:before="0" w:after="0"/>
              <w:rPr>
                <w:sz w:val="16"/>
                <w:szCs w:val="16"/>
              </w:rPr>
            </w:pPr>
            <w:r w:rsidRPr="002E2F6B">
              <w:rPr>
                <w:sz w:val="16"/>
                <w:szCs w:val="16"/>
              </w:rPr>
              <w:t>Dist.</w:t>
            </w:r>
          </w:p>
        </w:tc>
        <w:tc>
          <w:tcPr>
            <w:tcW w:w="323" w:type="pct"/>
            <w:tcBorders>
              <w:top w:val="single" w:sz="4" w:space="0" w:color="auto"/>
              <w:left w:val="nil"/>
              <w:bottom w:val="single" w:sz="4" w:space="0" w:color="auto"/>
              <w:right w:val="nil"/>
            </w:tcBorders>
            <w:shd w:val="clear" w:color="auto" w:fill="auto"/>
            <w:noWrap/>
            <w:vAlign w:val="center"/>
            <w:hideMark/>
          </w:tcPr>
          <w:p w14:paraId="0C3F7C86" w14:textId="77777777" w:rsidR="00E838DF" w:rsidRPr="002E2F6B" w:rsidRDefault="00E838DF" w:rsidP="00110A7F">
            <w:pPr>
              <w:spacing w:before="0" w:after="0"/>
              <w:rPr>
                <w:sz w:val="16"/>
                <w:szCs w:val="16"/>
              </w:rPr>
            </w:pPr>
            <w:r w:rsidRPr="002E2F6B">
              <w:rPr>
                <w:sz w:val="16"/>
                <w:szCs w:val="16"/>
              </w:rPr>
              <w:t>TSS</w:t>
            </w:r>
          </w:p>
        </w:tc>
        <w:tc>
          <w:tcPr>
            <w:tcW w:w="323" w:type="pct"/>
            <w:tcBorders>
              <w:top w:val="single" w:sz="4" w:space="0" w:color="auto"/>
              <w:left w:val="nil"/>
              <w:bottom w:val="single" w:sz="4" w:space="0" w:color="auto"/>
              <w:right w:val="nil"/>
            </w:tcBorders>
            <w:shd w:val="clear" w:color="auto" w:fill="auto"/>
            <w:noWrap/>
            <w:vAlign w:val="center"/>
            <w:hideMark/>
          </w:tcPr>
          <w:p w14:paraId="0C3F7C87" w14:textId="77777777" w:rsidR="00E838DF" w:rsidRPr="002E2F6B" w:rsidRDefault="00E838DF" w:rsidP="00110A7F">
            <w:pPr>
              <w:spacing w:before="0" w:after="0"/>
              <w:rPr>
                <w:sz w:val="16"/>
                <w:szCs w:val="16"/>
              </w:rPr>
            </w:pPr>
            <w:r w:rsidRPr="002E2F6B">
              <w:rPr>
                <w:sz w:val="16"/>
                <w:szCs w:val="16"/>
              </w:rPr>
              <w:t>chl-a</w:t>
            </w:r>
          </w:p>
        </w:tc>
        <w:tc>
          <w:tcPr>
            <w:tcW w:w="323" w:type="pct"/>
            <w:tcBorders>
              <w:top w:val="single" w:sz="4" w:space="0" w:color="auto"/>
              <w:left w:val="nil"/>
              <w:bottom w:val="single" w:sz="4" w:space="0" w:color="auto"/>
              <w:right w:val="nil"/>
            </w:tcBorders>
            <w:shd w:val="clear" w:color="auto" w:fill="auto"/>
            <w:noWrap/>
            <w:vAlign w:val="center"/>
            <w:hideMark/>
          </w:tcPr>
          <w:p w14:paraId="0C3F7C88" w14:textId="77777777" w:rsidR="00E838DF" w:rsidRPr="002E2F6B" w:rsidRDefault="00E838DF" w:rsidP="00110A7F">
            <w:pPr>
              <w:spacing w:before="0" w:after="0"/>
              <w:rPr>
                <w:sz w:val="16"/>
                <w:szCs w:val="16"/>
              </w:rPr>
            </w:pPr>
            <w:r w:rsidRPr="002E2F6B">
              <w:rPr>
                <w:sz w:val="16"/>
                <w:szCs w:val="16"/>
              </w:rPr>
              <w:t>TN</w:t>
            </w:r>
          </w:p>
        </w:tc>
        <w:tc>
          <w:tcPr>
            <w:tcW w:w="323" w:type="pct"/>
            <w:tcBorders>
              <w:top w:val="single" w:sz="4" w:space="0" w:color="auto"/>
              <w:left w:val="nil"/>
              <w:bottom w:val="single" w:sz="4" w:space="0" w:color="auto"/>
              <w:right w:val="nil"/>
            </w:tcBorders>
            <w:shd w:val="clear" w:color="auto" w:fill="auto"/>
            <w:noWrap/>
            <w:vAlign w:val="center"/>
            <w:hideMark/>
          </w:tcPr>
          <w:p w14:paraId="0C3F7C89" w14:textId="77777777" w:rsidR="00E838DF" w:rsidRPr="002E2F6B" w:rsidRDefault="00E838DF" w:rsidP="00110A7F">
            <w:pPr>
              <w:spacing w:before="0" w:after="0"/>
              <w:rPr>
                <w:sz w:val="16"/>
                <w:szCs w:val="16"/>
              </w:rPr>
            </w:pPr>
            <w:r w:rsidRPr="002E2F6B">
              <w:rPr>
                <w:sz w:val="16"/>
                <w:szCs w:val="16"/>
              </w:rPr>
              <w:t>TDN</w:t>
            </w:r>
          </w:p>
        </w:tc>
        <w:tc>
          <w:tcPr>
            <w:tcW w:w="323" w:type="pct"/>
            <w:tcBorders>
              <w:top w:val="single" w:sz="4" w:space="0" w:color="auto"/>
              <w:left w:val="nil"/>
              <w:bottom w:val="single" w:sz="4" w:space="0" w:color="auto"/>
              <w:right w:val="nil"/>
            </w:tcBorders>
            <w:shd w:val="clear" w:color="auto" w:fill="auto"/>
            <w:noWrap/>
            <w:vAlign w:val="center"/>
            <w:hideMark/>
          </w:tcPr>
          <w:p w14:paraId="0C3F7C8A" w14:textId="77777777" w:rsidR="00E838DF" w:rsidRPr="002E2F6B" w:rsidRDefault="00E838DF" w:rsidP="00110A7F">
            <w:pPr>
              <w:spacing w:before="0" w:after="0"/>
              <w:rPr>
                <w:sz w:val="16"/>
                <w:szCs w:val="16"/>
              </w:rPr>
            </w:pPr>
            <w:r w:rsidRPr="002E2F6B">
              <w:rPr>
                <w:sz w:val="16"/>
                <w:szCs w:val="16"/>
              </w:rPr>
              <w:t>DIN</w:t>
            </w:r>
          </w:p>
        </w:tc>
        <w:tc>
          <w:tcPr>
            <w:tcW w:w="323" w:type="pct"/>
            <w:tcBorders>
              <w:top w:val="single" w:sz="4" w:space="0" w:color="auto"/>
              <w:left w:val="nil"/>
              <w:bottom w:val="single" w:sz="4" w:space="0" w:color="auto"/>
              <w:right w:val="nil"/>
            </w:tcBorders>
            <w:shd w:val="clear" w:color="auto" w:fill="auto"/>
            <w:noWrap/>
            <w:vAlign w:val="center"/>
            <w:hideMark/>
          </w:tcPr>
          <w:p w14:paraId="0C3F7C8B" w14:textId="77777777" w:rsidR="00E838DF" w:rsidRPr="002E2F6B" w:rsidRDefault="00E838DF" w:rsidP="00110A7F">
            <w:pPr>
              <w:spacing w:before="0" w:after="0"/>
              <w:rPr>
                <w:sz w:val="16"/>
                <w:szCs w:val="16"/>
              </w:rPr>
            </w:pPr>
            <w:r w:rsidRPr="002E2F6B">
              <w:rPr>
                <w:sz w:val="16"/>
                <w:szCs w:val="16"/>
              </w:rPr>
              <w:t>TP</w:t>
            </w:r>
          </w:p>
        </w:tc>
        <w:tc>
          <w:tcPr>
            <w:tcW w:w="323" w:type="pct"/>
            <w:tcBorders>
              <w:top w:val="single" w:sz="4" w:space="0" w:color="auto"/>
              <w:left w:val="nil"/>
              <w:bottom w:val="single" w:sz="4" w:space="0" w:color="auto"/>
              <w:right w:val="nil"/>
            </w:tcBorders>
            <w:shd w:val="clear" w:color="auto" w:fill="auto"/>
            <w:noWrap/>
            <w:vAlign w:val="center"/>
            <w:hideMark/>
          </w:tcPr>
          <w:p w14:paraId="0C3F7C8C" w14:textId="77777777" w:rsidR="00E838DF" w:rsidRPr="002E2F6B" w:rsidRDefault="00E838DF" w:rsidP="00110A7F">
            <w:pPr>
              <w:spacing w:before="0" w:after="0"/>
              <w:rPr>
                <w:sz w:val="16"/>
                <w:szCs w:val="16"/>
              </w:rPr>
            </w:pPr>
            <w:r w:rsidRPr="002E2F6B">
              <w:rPr>
                <w:sz w:val="16"/>
                <w:szCs w:val="16"/>
              </w:rPr>
              <w:t>TDP</w:t>
            </w:r>
          </w:p>
        </w:tc>
        <w:tc>
          <w:tcPr>
            <w:tcW w:w="323" w:type="pct"/>
            <w:tcBorders>
              <w:top w:val="single" w:sz="4" w:space="0" w:color="auto"/>
              <w:left w:val="nil"/>
              <w:bottom w:val="single" w:sz="4" w:space="0" w:color="auto"/>
              <w:right w:val="nil"/>
            </w:tcBorders>
            <w:shd w:val="clear" w:color="auto" w:fill="auto"/>
            <w:noWrap/>
            <w:vAlign w:val="center"/>
            <w:hideMark/>
          </w:tcPr>
          <w:p w14:paraId="0C3F7C8D" w14:textId="77777777" w:rsidR="00E838DF" w:rsidRPr="002E2F6B" w:rsidRDefault="00E838DF" w:rsidP="00110A7F">
            <w:pPr>
              <w:spacing w:before="0" w:after="0"/>
              <w:rPr>
                <w:sz w:val="16"/>
                <w:szCs w:val="16"/>
              </w:rPr>
            </w:pPr>
            <w:r w:rsidRPr="002E2F6B">
              <w:rPr>
                <w:sz w:val="16"/>
                <w:szCs w:val="16"/>
              </w:rPr>
              <w:t>DIP</w:t>
            </w:r>
          </w:p>
        </w:tc>
        <w:tc>
          <w:tcPr>
            <w:tcW w:w="323" w:type="pct"/>
            <w:tcBorders>
              <w:top w:val="single" w:sz="4" w:space="0" w:color="auto"/>
              <w:left w:val="nil"/>
              <w:bottom w:val="single" w:sz="4" w:space="0" w:color="auto"/>
              <w:right w:val="nil"/>
            </w:tcBorders>
            <w:shd w:val="clear" w:color="auto" w:fill="auto"/>
            <w:noWrap/>
            <w:vAlign w:val="center"/>
            <w:hideMark/>
          </w:tcPr>
          <w:p w14:paraId="0C3F7C8E" w14:textId="77777777" w:rsidR="00E838DF" w:rsidRPr="002E2F6B" w:rsidRDefault="00E838DF" w:rsidP="00110A7F">
            <w:pPr>
              <w:spacing w:before="0" w:after="0"/>
              <w:rPr>
                <w:sz w:val="16"/>
                <w:szCs w:val="16"/>
              </w:rPr>
            </w:pPr>
            <w:r w:rsidRPr="002E2F6B">
              <w:rPr>
                <w:sz w:val="16"/>
                <w:szCs w:val="16"/>
              </w:rPr>
              <w:t>PN</w:t>
            </w:r>
          </w:p>
        </w:tc>
        <w:tc>
          <w:tcPr>
            <w:tcW w:w="323" w:type="pct"/>
            <w:tcBorders>
              <w:top w:val="single" w:sz="4" w:space="0" w:color="auto"/>
              <w:left w:val="nil"/>
              <w:bottom w:val="single" w:sz="4" w:space="0" w:color="auto"/>
              <w:right w:val="nil"/>
            </w:tcBorders>
            <w:shd w:val="clear" w:color="auto" w:fill="auto"/>
            <w:noWrap/>
            <w:vAlign w:val="center"/>
            <w:hideMark/>
          </w:tcPr>
          <w:p w14:paraId="0C3F7C8F" w14:textId="77777777" w:rsidR="00E838DF" w:rsidRPr="002E2F6B" w:rsidRDefault="00E838DF" w:rsidP="00110A7F">
            <w:pPr>
              <w:spacing w:before="0" w:after="0"/>
              <w:rPr>
                <w:sz w:val="16"/>
                <w:szCs w:val="16"/>
              </w:rPr>
            </w:pPr>
            <w:r w:rsidRPr="002E2F6B">
              <w:rPr>
                <w:sz w:val="16"/>
                <w:szCs w:val="16"/>
              </w:rPr>
              <w:t>PP</w:t>
            </w:r>
          </w:p>
        </w:tc>
        <w:tc>
          <w:tcPr>
            <w:tcW w:w="320" w:type="pct"/>
            <w:tcBorders>
              <w:top w:val="single" w:sz="4" w:space="0" w:color="auto"/>
              <w:left w:val="nil"/>
              <w:bottom w:val="single" w:sz="4" w:space="0" w:color="auto"/>
              <w:right w:val="nil"/>
            </w:tcBorders>
            <w:shd w:val="clear" w:color="auto" w:fill="auto"/>
            <w:noWrap/>
            <w:vAlign w:val="center"/>
            <w:hideMark/>
          </w:tcPr>
          <w:p w14:paraId="0C3F7C90" w14:textId="77777777" w:rsidR="00E838DF" w:rsidRPr="002E2F6B" w:rsidRDefault="00E838DF" w:rsidP="00110A7F">
            <w:pPr>
              <w:spacing w:before="0" w:after="0"/>
              <w:rPr>
                <w:sz w:val="16"/>
                <w:szCs w:val="16"/>
              </w:rPr>
            </w:pPr>
            <w:r w:rsidRPr="002E2F6B">
              <w:rPr>
                <w:sz w:val="16"/>
                <w:szCs w:val="16"/>
              </w:rPr>
              <w:t>Si</w:t>
            </w:r>
          </w:p>
        </w:tc>
      </w:tr>
      <w:tr w:rsidR="00E838DF" w:rsidRPr="002E2F6B" w14:paraId="0C3F7CA1" w14:textId="77777777" w:rsidTr="00E838DF">
        <w:trPr>
          <w:trHeight w:val="20"/>
        </w:trPr>
        <w:tc>
          <w:tcPr>
            <w:tcW w:w="400" w:type="pct"/>
            <w:tcBorders>
              <w:top w:val="nil"/>
              <w:left w:val="nil"/>
              <w:bottom w:val="nil"/>
              <w:right w:val="nil"/>
            </w:tcBorders>
            <w:shd w:val="clear" w:color="auto" w:fill="auto"/>
            <w:noWrap/>
            <w:vAlign w:val="center"/>
            <w:hideMark/>
          </w:tcPr>
          <w:p w14:paraId="0C3F7C92" w14:textId="77777777" w:rsidR="00E838DF" w:rsidRPr="002E2F6B" w:rsidRDefault="00E838DF" w:rsidP="00110A7F">
            <w:pPr>
              <w:spacing w:before="0" w:after="0"/>
              <w:rPr>
                <w:sz w:val="16"/>
                <w:szCs w:val="16"/>
              </w:rPr>
            </w:pPr>
            <w:r w:rsidRPr="002E2F6B">
              <w:rPr>
                <w:sz w:val="16"/>
                <w:szCs w:val="16"/>
              </w:rPr>
              <w:t>Sal.</w:t>
            </w:r>
          </w:p>
        </w:tc>
        <w:tc>
          <w:tcPr>
            <w:tcW w:w="323" w:type="pct"/>
            <w:tcBorders>
              <w:top w:val="nil"/>
              <w:left w:val="nil"/>
              <w:bottom w:val="nil"/>
              <w:right w:val="nil"/>
            </w:tcBorders>
            <w:shd w:val="clear" w:color="auto" w:fill="auto"/>
            <w:noWrap/>
            <w:vAlign w:val="center"/>
            <w:hideMark/>
          </w:tcPr>
          <w:p w14:paraId="0C3F7C93" w14:textId="77777777" w:rsidR="00E838DF" w:rsidRPr="002E2F6B" w:rsidRDefault="00E838DF" w:rsidP="00110A7F">
            <w:pPr>
              <w:spacing w:before="0" w:after="0"/>
              <w:rPr>
                <w:sz w:val="16"/>
                <w:szCs w:val="16"/>
              </w:rPr>
            </w:pPr>
            <w:r w:rsidRPr="002E2F6B">
              <w:rPr>
                <w:sz w:val="16"/>
                <w:szCs w:val="16"/>
              </w:rPr>
              <w:t>1</w:t>
            </w:r>
          </w:p>
        </w:tc>
        <w:tc>
          <w:tcPr>
            <w:tcW w:w="400" w:type="pct"/>
            <w:tcBorders>
              <w:top w:val="nil"/>
              <w:left w:val="nil"/>
              <w:bottom w:val="nil"/>
              <w:right w:val="nil"/>
            </w:tcBorders>
            <w:shd w:val="clear" w:color="auto" w:fill="auto"/>
            <w:noWrap/>
            <w:vAlign w:val="center"/>
            <w:hideMark/>
          </w:tcPr>
          <w:p w14:paraId="0C3F7C94" w14:textId="77777777" w:rsidR="00E838DF" w:rsidRPr="002E2F6B" w:rsidRDefault="00E838DF" w:rsidP="00110A7F">
            <w:pPr>
              <w:spacing w:before="0" w:after="0"/>
              <w:rPr>
                <w:sz w:val="16"/>
                <w:szCs w:val="16"/>
              </w:rPr>
            </w:pPr>
            <w:r w:rsidRPr="002E2F6B">
              <w:rPr>
                <w:sz w:val="16"/>
                <w:szCs w:val="16"/>
              </w:rPr>
              <w:t>0.19</w:t>
            </w:r>
          </w:p>
        </w:tc>
        <w:tc>
          <w:tcPr>
            <w:tcW w:w="328" w:type="pct"/>
            <w:tcBorders>
              <w:top w:val="nil"/>
              <w:left w:val="nil"/>
              <w:bottom w:val="nil"/>
              <w:right w:val="nil"/>
            </w:tcBorders>
            <w:shd w:val="clear" w:color="auto" w:fill="auto"/>
            <w:noWrap/>
            <w:vAlign w:val="center"/>
            <w:hideMark/>
          </w:tcPr>
          <w:p w14:paraId="0C3F7C95"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C96"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C97"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C98"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C99" w14:textId="77777777" w:rsidR="00E838DF" w:rsidRPr="002E2F6B" w:rsidRDefault="00E838DF" w:rsidP="00110A7F">
            <w:pPr>
              <w:spacing w:before="0" w:after="0"/>
              <w:rPr>
                <w:sz w:val="16"/>
                <w:szCs w:val="16"/>
              </w:rPr>
            </w:pPr>
            <w:r w:rsidRPr="002E2F6B">
              <w:rPr>
                <w:sz w:val="16"/>
                <w:szCs w:val="16"/>
              </w:rPr>
              <w:t>-0.17</w:t>
            </w:r>
          </w:p>
        </w:tc>
        <w:tc>
          <w:tcPr>
            <w:tcW w:w="323" w:type="pct"/>
            <w:tcBorders>
              <w:top w:val="nil"/>
              <w:left w:val="nil"/>
              <w:bottom w:val="nil"/>
              <w:right w:val="nil"/>
            </w:tcBorders>
            <w:shd w:val="clear" w:color="auto" w:fill="auto"/>
            <w:noWrap/>
            <w:vAlign w:val="center"/>
            <w:hideMark/>
          </w:tcPr>
          <w:p w14:paraId="0C3F7C9A"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C9B" w14:textId="77777777" w:rsidR="00E838DF" w:rsidRPr="002E2F6B" w:rsidRDefault="00E838DF" w:rsidP="00110A7F">
            <w:pPr>
              <w:spacing w:before="0" w:after="0"/>
              <w:rPr>
                <w:sz w:val="16"/>
                <w:szCs w:val="16"/>
              </w:rPr>
            </w:pPr>
            <w:r w:rsidRPr="002E2F6B">
              <w:rPr>
                <w:sz w:val="16"/>
                <w:szCs w:val="16"/>
              </w:rPr>
              <w:t>-0.39</w:t>
            </w:r>
          </w:p>
        </w:tc>
        <w:tc>
          <w:tcPr>
            <w:tcW w:w="323" w:type="pct"/>
            <w:tcBorders>
              <w:top w:val="nil"/>
              <w:left w:val="nil"/>
              <w:bottom w:val="nil"/>
              <w:right w:val="nil"/>
            </w:tcBorders>
            <w:shd w:val="clear" w:color="auto" w:fill="auto"/>
            <w:noWrap/>
            <w:vAlign w:val="center"/>
            <w:hideMark/>
          </w:tcPr>
          <w:p w14:paraId="0C3F7C9C"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C9D"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auto" w:fill="auto"/>
            <w:noWrap/>
            <w:vAlign w:val="center"/>
            <w:hideMark/>
          </w:tcPr>
          <w:p w14:paraId="0C3F7C9E" w14:textId="77777777" w:rsidR="00E838DF" w:rsidRPr="002E2F6B" w:rsidRDefault="00E838DF" w:rsidP="00110A7F">
            <w:pPr>
              <w:spacing w:before="0" w:after="0"/>
              <w:rPr>
                <w:sz w:val="16"/>
                <w:szCs w:val="16"/>
              </w:rPr>
            </w:pPr>
            <w:r w:rsidRPr="002E2F6B">
              <w:rPr>
                <w:sz w:val="16"/>
                <w:szCs w:val="16"/>
              </w:rPr>
              <w:t>0.28</w:t>
            </w:r>
          </w:p>
        </w:tc>
        <w:tc>
          <w:tcPr>
            <w:tcW w:w="323" w:type="pct"/>
            <w:tcBorders>
              <w:top w:val="nil"/>
              <w:left w:val="nil"/>
              <w:bottom w:val="nil"/>
              <w:right w:val="nil"/>
            </w:tcBorders>
            <w:shd w:val="clear" w:color="auto" w:fill="auto"/>
            <w:noWrap/>
            <w:vAlign w:val="center"/>
            <w:hideMark/>
          </w:tcPr>
          <w:p w14:paraId="0C3F7C9F" w14:textId="77777777" w:rsidR="00E838DF" w:rsidRPr="002E2F6B" w:rsidRDefault="00E838DF" w:rsidP="00110A7F">
            <w:pPr>
              <w:spacing w:before="0" w:after="0"/>
              <w:rPr>
                <w:sz w:val="16"/>
                <w:szCs w:val="16"/>
              </w:rPr>
            </w:pPr>
            <w:r w:rsidRPr="002E2F6B">
              <w:rPr>
                <w:sz w:val="16"/>
                <w:szCs w:val="16"/>
              </w:rPr>
              <w:t>-0.08</w:t>
            </w:r>
          </w:p>
        </w:tc>
        <w:tc>
          <w:tcPr>
            <w:tcW w:w="320" w:type="pct"/>
            <w:tcBorders>
              <w:top w:val="nil"/>
              <w:left w:val="nil"/>
              <w:bottom w:val="nil"/>
              <w:right w:val="nil"/>
            </w:tcBorders>
            <w:shd w:val="clear" w:color="auto" w:fill="auto"/>
            <w:noWrap/>
            <w:vAlign w:val="center"/>
            <w:hideMark/>
          </w:tcPr>
          <w:p w14:paraId="0C3F7CA0" w14:textId="77777777" w:rsidR="00E838DF" w:rsidRPr="002E2F6B" w:rsidRDefault="00E838DF" w:rsidP="00110A7F">
            <w:pPr>
              <w:spacing w:before="0" w:after="0"/>
              <w:rPr>
                <w:sz w:val="16"/>
                <w:szCs w:val="16"/>
              </w:rPr>
            </w:pPr>
            <w:r w:rsidRPr="002E2F6B">
              <w:rPr>
                <w:sz w:val="16"/>
                <w:szCs w:val="16"/>
              </w:rPr>
              <w:t>-0.07</w:t>
            </w:r>
          </w:p>
        </w:tc>
      </w:tr>
      <w:tr w:rsidR="00E838DF" w:rsidRPr="002E2F6B" w14:paraId="0C3F7CB1" w14:textId="77777777" w:rsidTr="00E838DF">
        <w:trPr>
          <w:trHeight w:val="20"/>
        </w:trPr>
        <w:tc>
          <w:tcPr>
            <w:tcW w:w="400" w:type="pct"/>
            <w:tcBorders>
              <w:top w:val="nil"/>
              <w:left w:val="nil"/>
              <w:bottom w:val="nil"/>
              <w:right w:val="nil"/>
            </w:tcBorders>
            <w:shd w:val="clear" w:color="auto" w:fill="auto"/>
            <w:noWrap/>
            <w:vAlign w:val="center"/>
            <w:hideMark/>
          </w:tcPr>
          <w:p w14:paraId="0C3F7CA2" w14:textId="77777777" w:rsidR="00E838DF" w:rsidRPr="002E2F6B" w:rsidRDefault="00E838DF" w:rsidP="00110A7F">
            <w:pPr>
              <w:spacing w:before="0" w:after="0"/>
              <w:rPr>
                <w:sz w:val="16"/>
                <w:szCs w:val="16"/>
              </w:rPr>
            </w:pPr>
            <w:r w:rsidRPr="002E2F6B">
              <w:rPr>
                <w:sz w:val="16"/>
                <w:szCs w:val="16"/>
              </w:rPr>
              <w:t>Disch.</w:t>
            </w:r>
          </w:p>
        </w:tc>
        <w:tc>
          <w:tcPr>
            <w:tcW w:w="323" w:type="pct"/>
            <w:tcBorders>
              <w:top w:val="nil"/>
              <w:left w:val="nil"/>
              <w:bottom w:val="nil"/>
              <w:right w:val="nil"/>
            </w:tcBorders>
            <w:shd w:val="clear" w:color="auto" w:fill="auto"/>
            <w:noWrap/>
            <w:vAlign w:val="center"/>
            <w:hideMark/>
          </w:tcPr>
          <w:p w14:paraId="0C3F7CA3" w14:textId="77777777" w:rsidR="00E838DF" w:rsidRPr="002E2F6B" w:rsidRDefault="00E838DF" w:rsidP="00110A7F">
            <w:pPr>
              <w:spacing w:before="0" w:after="0"/>
              <w:rPr>
                <w:sz w:val="16"/>
                <w:szCs w:val="16"/>
              </w:rPr>
            </w:pPr>
            <w:r w:rsidRPr="002E2F6B">
              <w:rPr>
                <w:sz w:val="16"/>
                <w:szCs w:val="16"/>
              </w:rPr>
              <w:t>0.19</w:t>
            </w:r>
          </w:p>
        </w:tc>
        <w:tc>
          <w:tcPr>
            <w:tcW w:w="400" w:type="pct"/>
            <w:tcBorders>
              <w:top w:val="nil"/>
              <w:left w:val="nil"/>
              <w:bottom w:val="nil"/>
              <w:right w:val="nil"/>
            </w:tcBorders>
            <w:shd w:val="clear" w:color="auto" w:fill="auto"/>
            <w:noWrap/>
            <w:vAlign w:val="center"/>
            <w:hideMark/>
          </w:tcPr>
          <w:p w14:paraId="0C3F7CA4" w14:textId="77777777" w:rsidR="00E838DF" w:rsidRPr="002E2F6B" w:rsidRDefault="00E838DF" w:rsidP="00110A7F">
            <w:pPr>
              <w:spacing w:before="0" w:after="0"/>
              <w:rPr>
                <w:sz w:val="16"/>
                <w:szCs w:val="16"/>
              </w:rPr>
            </w:pPr>
            <w:r w:rsidRPr="002E2F6B">
              <w:rPr>
                <w:sz w:val="16"/>
                <w:szCs w:val="16"/>
              </w:rPr>
              <w:t>1</w:t>
            </w:r>
          </w:p>
        </w:tc>
        <w:tc>
          <w:tcPr>
            <w:tcW w:w="328" w:type="pct"/>
            <w:tcBorders>
              <w:top w:val="nil"/>
              <w:left w:val="nil"/>
              <w:bottom w:val="nil"/>
              <w:right w:val="nil"/>
            </w:tcBorders>
            <w:shd w:val="clear" w:color="auto" w:fill="auto"/>
            <w:noWrap/>
            <w:vAlign w:val="center"/>
            <w:hideMark/>
          </w:tcPr>
          <w:p w14:paraId="0C3F7CA5" w14:textId="77777777" w:rsidR="00E838DF" w:rsidRPr="002E2F6B" w:rsidRDefault="00E838DF" w:rsidP="00110A7F">
            <w:pPr>
              <w:spacing w:before="0" w:after="0"/>
              <w:rPr>
                <w:sz w:val="16"/>
                <w:szCs w:val="16"/>
              </w:rPr>
            </w:pPr>
            <w:r w:rsidRPr="002E2F6B">
              <w:rPr>
                <w:sz w:val="16"/>
                <w:szCs w:val="16"/>
              </w:rPr>
              <w:t>0.60</w:t>
            </w:r>
          </w:p>
        </w:tc>
        <w:tc>
          <w:tcPr>
            <w:tcW w:w="323" w:type="pct"/>
            <w:tcBorders>
              <w:top w:val="nil"/>
              <w:left w:val="nil"/>
              <w:bottom w:val="nil"/>
              <w:right w:val="nil"/>
            </w:tcBorders>
            <w:shd w:val="clear" w:color="auto" w:fill="auto"/>
            <w:noWrap/>
            <w:vAlign w:val="center"/>
            <w:hideMark/>
          </w:tcPr>
          <w:p w14:paraId="0C3F7CA6" w14:textId="77777777" w:rsidR="00E838DF" w:rsidRPr="002E2F6B" w:rsidRDefault="00E838DF" w:rsidP="00110A7F">
            <w:pPr>
              <w:spacing w:before="0" w:after="0"/>
              <w:rPr>
                <w:sz w:val="16"/>
                <w:szCs w:val="16"/>
              </w:rPr>
            </w:pPr>
            <w:r w:rsidRPr="002E2F6B">
              <w:rPr>
                <w:sz w:val="16"/>
                <w:szCs w:val="16"/>
              </w:rPr>
              <w:t>0.24</w:t>
            </w:r>
          </w:p>
        </w:tc>
        <w:tc>
          <w:tcPr>
            <w:tcW w:w="323" w:type="pct"/>
            <w:tcBorders>
              <w:top w:val="nil"/>
              <w:left w:val="nil"/>
              <w:bottom w:val="nil"/>
              <w:right w:val="nil"/>
            </w:tcBorders>
            <w:shd w:val="clear" w:color="auto" w:fill="auto"/>
            <w:noWrap/>
            <w:vAlign w:val="center"/>
            <w:hideMark/>
          </w:tcPr>
          <w:p w14:paraId="0C3F7CA7" w14:textId="77777777" w:rsidR="00E838DF" w:rsidRPr="002E2F6B" w:rsidRDefault="00E838DF" w:rsidP="00110A7F">
            <w:pPr>
              <w:spacing w:before="0" w:after="0"/>
              <w:rPr>
                <w:sz w:val="16"/>
                <w:szCs w:val="16"/>
              </w:rPr>
            </w:pPr>
            <w:r w:rsidRPr="002E2F6B">
              <w:rPr>
                <w:sz w:val="16"/>
                <w:szCs w:val="16"/>
              </w:rPr>
              <w:t>0.33</w:t>
            </w:r>
          </w:p>
        </w:tc>
        <w:tc>
          <w:tcPr>
            <w:tcW w:w="323" w:type="pct"/>
            <w:tcBorders>
              <w:top w:val="nil"/>
              <w:left w:val="nil"/>
              <w:bottom w:val="nil"/>
              <w:right w:val="nil"/>
            </w:tcBorders>
            <w:shd w:val="clear" w:color="auto" w:fill="auto"/>
            <w:noWrap/>
            <w:vAlign w:val="center"/>
            <w:hideMark/>
          </w:tcPr>
          <w:p w14:paraId="0C3F7CA8"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auto" w:fill="auto"/>
            <w:noWrap/>
            <w:vAlign w:val="center"/>
            <w:hideMark/>
          </w:tcPr>
          <w:p w14:paraId="0C3F7CA9"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CAA"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AB" w14:textId="77777777" w:rsidR="00E838DF" w:rsidRPr="002E2F6B" w:rsidRDefault="00E838DF" w:rsidP="00110A7F">
            <w:pPr>
              <w:spacing w:before="0" w:after="0"/>
              <w:rPr>
                <w:sz w:val="16"/>
                <w:szCs w:val="16"/>
              </w:rPr>
            </w:pPr>
            <w:r w:rsidRPr="002E2F6B">
              <w:rPr>
                <w:sz w:val="16"/>
                <w:szCs w:val="16"/>
              </w:rPr>
              <w:t>-0.27</w:t>
            </w:r>
          </w:p>
        </w:tc>
        <w:tc>
          <w:tcPr>
            <w:tcW w:w="323" w:type="pct"/>
            <w:tcBorders>
              <w:top w:val="nil"/>
              <w:left w:val="nil"/>
              <w:bottom w:val="nil"/>
              <w:right w:val="nil"/>
            </w:tcBorders>
            <w:shd w:val="clear" w:color="auto" w:fill="auto"/>
            <w:noWrap/>
            <w:vAlign w:val="center"/>
            <w:hideMark/>
          </w:tcPr>
          <w:p w14:paraId="0C3F7CAC"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CAD" w14:textId="77777777" w:rsidR="00E838DF" w:rsidRPr="002E2F6B" w:rsidRDefault="00E838DF" w:rsidP="00110A7F">
            <w:pPr>
              <w:spacing w:before="0" w:after="0"/>
              <w:rPr>
                <w:sz w:val="16"/>
                <w:szCs w:val="16"/>
              </w:rPr>
            </w:pPr>
            <w:r w:rsidRPr="002E2F6B">
              <w:rPr>
                <w:sz w:val="16"/>
                <w:szCs w:val="16"/>
              </w:rPr>
              <w:t>-0.10</w:t>
            </w:r>
          </w:p>
        </w:tc>
        <w:tc>
          <w:tcPr>
            <w:tcW w:w="323" w:type="pct"/>
            <w:tcBorders>
              <w:top w:val="nil"/>
              <w:left w:val="nil"/>
              <w:bottom w:val="nil"/>
              <w:right w:val="nil"/>
            </w:tcBorders>
            <w:shd w:val="clear" w:color="auto" w:fill="auto"/>
            <w:noWrap/>
            <w:vAlign w:val="center"/>
            <w:hideMark/>
          </w:tcPr>
          <w:p w14:paraId="0C3F7CAE" w14:textId="77777777" w:rsidR="00E838DF" w:rsidRPr="002E2F6B" w:rsidRDefault="00E838DF" w:rsidP="00110A7F">
            <w:pPr>
              <w:spacing w:before="0" w:after="0"/>
              <w:rPr>
                <w:sz w:val="16"/>
                <w:szCs w:val="16"/>
              </w:rPr>
            </w:pPr>
            <w:r w:rsidRPr="002E2F6B">
              <w:rPr>
                <w:sz w:val="16"/>
                <w:szCs w:val="16"/>
              </w:rPr>
              <w:t>0.28</w:t>
            </w:r>
          </w:p>
        </w:tc>
        <w:tc>
          <w:tcPr>
            <w:tcW w:w="323" w:type="pct"/>
            <w:tcBorders>
              <w:top w:val="nil"/>
              <w:left w:val="nil"/>
              <w:bottom w:val="nil"/>
              <w:right w:val="nil"/>
            </w:tcBorders>
            <w:shd w:val="clear" w:color="auto" w:fill="auto"/>
            <w:noWrap/>
            <w:vAlign w:val="center"/>
            <w:hideMark/>
          </w:tcPr>
          <w:p w14:paraId="0C3F7CAF" w14:textId="77777777" w:rsidR="00E838DF" w:rsidRPr="002E2F6B" w:rsidRDefault="00E838DF" w:rsidP="00110A7F">
            <w:pPr>
              <w:spacing w:before="0" w:after="0"/>
              <w:rPr>
                <w:sz w:val="16"/>
                <w:szCs w:val="16"/>
              </w:rPr>
            </w:pPr>
            <w:r w:rsidRPr="002E2F6B">
              <w:rPr>
                <w:sz w:val="16"/>
                <w:szCs w:val="16"/>
              </w:rPr>
              <w:t>-0.09</w:t>
            </w:r>
          </w:p>
        </w:tc>
        <w:tc>
          <w:tcPr>
            <w:tcW w:w="320" w:type="pct"/>
            <w:tcBorders>
              <w:top w:val="nil"/>
              <w:left w:val="nil"/>
              <w:bottom w:val="nil"/>
              <w:right w:val="nil"/>
            </w:tcBorders>
            <w:shd w:val="clear" w:color="auto" w:fill="auto"/>
            <w:noWrap/>
            <w:vAlign w:val="center"/>
            <w:hideMark/>
          </w:tcPr>
          <w:p w14:paraId="0C3F7CB0" w14:textId="77777777" w:rsidR="00E838DF" w:rsidRPr="002E2F6B" w:rsidRDefault="00E838DF" w:rsidP="00110A7F">
            <w:pPr>
              <w:spacing w:before="0" w:after="0"/>
              <w:rPr>
                <w:sz w:val="16"/>
                <w:szCs w:val="16"/>
              </w:rPr>
            </w:pPr>
            <w:r w:rsidRPr="002E2F6B">
              <w:rPr>
                <w:sz w:val="16"/>
                <w:szCs w:val="16"/>
              </w:rPr>
              <w:t>-0.44</w:t>
            </w:r>
          </w:p>
        </w:tc>
      </w:tr>
      <w:tr w:rsidR="00E838DF" w:rsidRPr="002E2F6B" w14:paraId="0C3F7CC1" w14:textId="77777777" w:rsidTr="00E838DF">
        <w:trPr>
          <w:trHeight w:val="20"/>
        </w:trPr>
        <w:tc>
          <w:tcPr>
            <w:tcW w:w="400" w:type="pct"/>
            <w:tcBorders>
              <w:top w:val="nil"/>
              <w:left w:val="nil"/>
              <w:bottom w:val="nil"/>
              <w:right w:val="nil"/>
            </w:tcBorders>
            <w:shd w:val="clear" w:color="auto" w:fill="auto"/>
            <w:noWrap/>
            <w:vAlign w:val="center"/>
            <w:hideMark/>
          </w:tcPr>
          <w:p w14:paraId="0C3F7CB2" w14:textId="77777777" w:rsidR="00E838DF" w:rsidRPr="002E2F6B" w:rsidRDefault="00E838DF" w:rsidP="00110A7F">
            <w:pPr>
              <w:spacing w:before="0" w:after="0"/>
              <w:rPr>
                <w:sz w:val="16"/>
                <w:szCs w:val="16"/>
              </w:rPr>
            </w:pPr>
            <w:r w:rsidRPr="002E2F6B">
              <w:rPr>
                <w:sz w:val="16"/>
                <w:szCs w:val="16"/>
              </w:rPr>
              <w:t>Dist.</w:t>
            </w:r>
          </w:p>
        </w:tc>
        <w:tc>
          <w:tcPr>
            <w:tcW w:w="323" w:type="pct"/>
            <w:tcBorders>
              <w:top w:val="nil"/>
              <w:left w:val="nil"/>
              <w:bottom w:val="nil"/>
              <w:right w:val="nil"/>
            </w:tcBorders>
            <w:shd w:val="clear" w:color="auto" w:fill="auto"/>
            <w:noWrap/>
            <w:vAlign w:val="center"/>
            <w:hideMark/>
          </w:tcPr>
          <w:p w14:paraId="0C3F7CB3" w14:textId="77777777" w:rsidR="00E838DF" w:rsidRPr="002E2F6B" w:rsidRDefault="00E838DF" w:rsidP="00110A7F">
            <w:pPr>
              <w:spacing w:before="0" w:after="0"/>
              <w:rPr>
                <w:sz w:val="16"/>
                <w:szCs w:val="16"/>
              </w:rPr>
            </w:pPr>
            <w:r w:rsidRPr="002E2F6B">
              <w:rPr>
                <w:sz w:val="16"/>
                <w:szCs w:val="16"/>
              </w:rPr>
              <w:t>0.29</w:t>
            </w:r>
          </w:p>
        </w:tc>
        <w:tc>
          <w:tcPr>
            <w:tcW w:w="400" w:type="pct"/>
            <w:tcBorders>
              <w:top w:val="nil"/>
              <w:left w:val="nil"/>
              <w:bottom w:val="nil"/>
              <w:right w:val="nil"/>
            </w:tcBorders>
            <w:shd w:val="clear" w:color="auto" w:fill="auto"/>
            <w:noWrap/>
            <w:vAlign w:val="center"/>
            <w:hideMark/>
          </w:tcPr>
          <w:p w14:paraId="0C3F7CB4" w14:textId="77777777" w:rsidR="00E838DF" w:rsidRPr="002E2F6B" w:rsidRDefault="00E838DF" w:rsidP="00110A7F">
            <w:pPr>
              <w:spacing w:before="0" w:after="0"/>
              <w:rPr>
                <w:sz w:val="16"/>
                <w:szCs w:val="16"/>
              </w:rPr>
            </w:pPr>
            <w:r w:rsidRPr="002E2F6B">
              <w:rPr>
                <w:sz w:val="16"/>
                <w:szCs w:val="16"/>
              </w:rPr>
              <w:t>0.60</w:t>
            </w:r>
          </w:p>
        </w:tc>
        <w:tc>
          <w:tcPr>
            <w:tcW w:w="328" w:type="pct"/>
            <w:tcBorders>
              <w:top w:val="nil"/>
              <w:left w:val="nil"/>
              <w:bottom w:val="nil"/>
              <w:right w:val="nil"/>
            </w:tcBorders>
            <w:shd w:val="clear" w:color="auto" w:fill="auto"/>
            <w:noWrap/>
            <w:vAlign w:val="center"/>
            <w:hideMark/>
          </w:tcPr>
          <w:p w14:paraId="0C3F7CB5"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B6"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CB7"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CB8"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B9"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BA"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BB"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BC" w14:textId="77777777" w:rsidR="00E838DF" w:rsidRPr="002E2F6B" w:rsidRDefault="00E838DF" w:rsidP="00110A7F">
            <w:pPr>
              <w:spacing w:before="0" w:after="0"/>
              <w:rPr>
                <w:sz w:val="16"/>
                <w:szCs w:val="16"/>
              </w:rPr>
            </w:pPr>
            <w:r w:rsidRPr="002E2F6B">
              <w:rPr>
                <w:sz w:val="16"/>
                <w:szCs w:val="16"/>
              </w:rPr>
              <w:t>-0.05</w:t>
            </w:r>
          </w:p>
        </w:tc>
        <w:tc>
          <w:tcPr>
            <w:tcW w:w="323" w:type="pct"/>
            <w:tcBorders>
              <w:top w:val="nil"/>
              <w:left w:val="nil"/>
              <w:bottom w:val="nil"/>
              <w:right w:val="nil"/>
            </w:tcBorders>
            <w:shd w:val="clear" w:color="auto" w:fill="auto"/>
            <w:noWrap/>
            <w:vAlign w:val="center"/>
            <w:hideMark/>
          </w:tcPr>
          <w:p w14:paraId="0C3F7CBD" w14:textId="77777777" w:rsidR="00E838DF" w:rsidRPr="002E2F6B" w:rsidRDefault="00E838DF" w:rsidP="00110A7F">
            <w:pPr>
              <w:spacing w:before="0" w:after="0"/>
              <w:rPr>
                <w:sz w:val="16"/>
                <w:szCs w:val="16"/>
              </w:rPr>
            </w:pPr>
            <w:r w:rsidRPr="002E2F6B">
              <w:rPr>
                <w:sz w:val="16"/>
                <w:szCs w:val="16"/>
              </w:rPr>
              <w:t>-0.06</w:t>
            </w:r>
          </w:p>
        </w:tc>
        <w:tc>
          <w:tcPr>
            <w:tcW w:w="323" w:type="pct"/>
            <w:tcBorders>
              <w:top w:val="nil"/>
              <w:left w:val="nil"/>
              <w:bottom w:val="nil"/>
              <w:right w:val="nil"/>
            </w:tcBorders>
            <w:shd w:val="clear" w:color="auto" w:fill="auto"/>
            <w:noWrap/>
            <w:vAlign w:val="center"/>
            <w:hideMark/>
          </w:tcPr>
          <w:p w14:paraId="0C3F7CBE"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CBF" w14:textId="77777777" w:rsidR="00E838DF" w:rsidRPr="002E2F6B" w:rsidRDefault="00E838DF" w:rsidP="00110A7F">
            <w:pPr>
              <w:spacing w:before="0" w:after="0"/>
              <w:rPr>
                <w:sz w:val="16"/>
                <w:szCs w:val="16"/>
              </w:rPr>
            </w:pPr>
            <w:r w:rsidRPr="002E2F6B">
              <w:rPr>
                <w:sz w:val="16"/>
                <w:szCs w:val="16"/>
              </w:rPr>
              <w:t>-0.17</w:t>
            </w:r>
          </w:p>
        </w:tc>
        <w:tc>
          <w:tcPr>
            <w:tcW w:w="320" w:type="pct"/>
            <w:tcBorders>
              <w:top w:val="nil"/>
              <w:left w:val="nil"/>
              <w:bottom w:val="nil"/>
              <w:right w:val="nil"/>
            </w:tcBorders>
            <w:shd w:val="clear" w:color="auto" w:fill="auto"/>
            <w:noWrap/>
            <w:vAlign w:val="center"/>
            <w:hideMark/>
          </w:tcPr>
          <w:p w14:paraId="0C3F7CC0" w14:textId="77777777" w:rsidR="00E838DF" w:rsidRPr="002E2F6B" w:rsidRDefault="00E838DF" w:rsidP="00110A7F">
            <w:pPr>
              <w:spacing w:before="0" w:after="0"/>
              <w:rPr>
                <w:sz w:val="16"/>
                <w:szCs w:val="16"/>
              </w:rPr>
            </w:pPr>
            <w:r w:rsidRPr="002E2F6B">
              <w:rPr>
                <w:sz w:val="16"/>
                <w:szCs w:val="16"/>
              </w:rPr>
              <w:t>-0.49</w:t>
            </w:r>
          </w:p>
        </w:tc>
      </w:tr>
      <w:tr w:rsidR="00E838DF" w:rsidRPr="002E2F6B" w14:paraId="0C3F7CD1" w14:textId="77777777" w:rsidTr="00E838DF">
        <w:trPr>
          <w:trHeight w:val="20"/>
        </w:trPr>
        <w:tc>
          <w:tcPr>
            <w:tcW w:w="400" w:type="pct"/>
            <w:tcBorders>
              <w:top w:val="nil"/>
              <w:left w:val="nil"/>
              <w:bottom w:val="nil"/>
              <w:right w:val="nil"/>
            </w:tcBorders>
            <w:shd w:val="clear" w:color="auto" w:fill="auto"/>
            <w:noWrap/>
            <w:vAlign w:val="center"/>
            <w:hideMark/>
          </w:tcPr>
          <w:p w14:paraId="0C3F7CC2" w14:textId="77777777" w:rsidR="00E838DF" w:rsidRPr="002E2F6B" w:rsidRDefault="00E838DF" w:rsidP="00110A7F">
            <w:pPr>
              <w:spacing w:before="0" w:after="0"/>
              <w:rPr>
                <w:sz w:val="16"/>
                <w:szCs w:val="16"/>
              </w:rPr>
            </w:pPr>
            <w:r w:rsidRPr="002E2F6B">
              <w:rPr>
                <w:sz w:val="16"/>
                <w:szCs w:val="16"/>
              </w:rPr>
              <w:t>TSS</w:t>
            </w:r>
          </w:p>
        </w:tc>
        <w:tc>
          <w:tcPr>
            <w:tcW w:w="323" w:type="pct"/>
            <w:tcBorders>
              <w:top w:val="nil"/>
              <w:left w:val="nil"/>
              <w:bottom w:val="nil"/>
              <w:right w:val="nil"/>
            </w:tcBorders>
            <w:shd w:val="clear" w:color="auto" w:fill="auto"/>
            <w:noWrap/>
            <w:vAlign w:val="center"/>
            <w:hideMark/>
          </w:tcPr>
          <w:p w14:paraId="0C3F7CC3" w14:textId="77777777" w:rsidR="00E838DF" w:rsidRPr="002E2F6B" w:rsidRDefault="00E838DF" w:rsidP="00110A7F">
            <w:pPr>
              <w:spacing w:before="0" w:after="0"/>
              <w:rPr>
                <w:sz w:val="16"/>
                <w:szCs w:val="16"/>
              </w:rPr>
            </w:pPr>
            <w:r w:rsidRPr="002E2F6B">
              <w:rPr>
                <w:sz w:val="16"/>
                <w:szCs w:val="16"/>
              </w:rPr>
              <w:t>0.02</w:t>
            </w:r>
          </w:p>
        </w:tc>
        <w:tc>
          <w:tcPr>
            <w:tcW w:w="400" w:type="pct"/>
            <w:tcBorders>
              <w:top w:val="nil"/>
              <w:left w:val="nil"/>
              <w:bottom w:val="nil"/>
              <w:right w:val="nil"/>
            </w:tcBorders>
            <w:shd w:val="clear" w:color="auto" w:fill="auto"/>
            <w:noWrap/>
            <w:vAlign w:val="center"/>
            <w:hideMark/>
          </w:tcPr>
          <w:p w14:paraId="0C3F7CC4" w14:textId="77777777" w:rsidR="00E838DF" w:rsidRPr="002E2F6B" w:rsidRDefault="00E838DF" w:rsidP="00110A7F">
            <w:pPr>
              <w:spacing w:before="0" w:after="0"/>
              <w:rPr>
                <w:sz w:val="16"/>
                <w:szCs w:val="16"/>
              </w:rPr>
            </w:pPr>
            <w:r w:rsidRPr="002E2F6B">
              <w:rPr>
                <w:sz w:val="16"/>
                <w:szCs w:val="16"/>
              </w:rPr>
              <w:t>0.24</w:t>
            </w:r>
          </w:p>
        </w:tc>
        <w:tc>
          <w:tcPr>
            <w:tcW w:w="328" w:type="pct"/>
            <w:tcBorders>
              <w:top w:val="nil"/>
              <w:left w:val="nil"/>
              <w:bottom w:val="nil"/>
              <w:right w:val="nil"/>
            </w:tcBorders>
            <w:shd w:val="clear" w:color="auto" w:fill="auto"/>
            <w:noWrap/>
            <w:vAlign w:val="center"/>
            <w:hideMark/>
          </w:tcPr>
          <w:p w14:paraId="0C3F7CC5"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CC6"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C7" w14:textId="77777777" w:rsidR="00E838DF" w:rsidRPr="002E2F6B" w:rsidRDefault="00E838DF" w:rsidP="00110A7F">
            <w:pPr>
              <w:spacing w:before="0" w:after="0"/>
              <w:rPr>
                <w:sz w:val="16"/>
                <w:szCs w:val="16"/>
              </w:rPr>
            </w:pPr>
            <w:r w:rsidRPr="002E2F6B">
              <w:rPr>
                <w:sz w:val="16"/>
                <w:szCs w:val="16"/>
              </w:rPr>
              <w:t>0.50</w:t>
            </w:r>
          </w:p>
        </w:tc>
        <w:tc>
          <w:tcPr>
            <w:tcW w:w="323" w:type="pct"/>
            <w:tcBorders>
              <w:top w:val="nil"/>
              <w:left w:val="nil"/>
              <w:bottom w:val="nil"/>
              <w:right w:val="nil"/>
            </w:tcBorders>
            <w:shd w:val="clear" w:color="auto" w:fill="auto"/>
            <w:noWrap/>
            <w:vAlign w:val="center"/>
            <w:hideMark/>
          </w:tcPr>
          <w:p w14:paraId="0C3F7CC8"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CC9"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CA" w14:textId="77777777" w:rsidR="00E838DF" w:rsidRPr="002E2F6B" w:rsidRDefault="00E838DF" w:rsidP="00110A7F">
            <w:pPr>
              <w:spacing w:before="0" w:after="0"/>
              <w:rPr>
                <w:sz w:val="16"/>
                <w:szCs w:val="16"/>
              </w:rPr>
            </w:pPr>
            <w:r w:rsidRPr="002E2F6B">
              <w:rPr>
                <w:sz w:val="16"/>
                <w:szCs w:val="16"/>
              </w:rPr>
              <w:t>0.00</w:t>
            </w:r>
          </w:p>
        </w:tc>
        <w:tc>
          <w:tcPr>
            <w:tcW w:w="323" w:type="pct"/>
            <w:tcBorders>
              <w:top w:val="nil"/>
              <w:left w:val="nil"/>
              <w:bottom w:val="nil"/>
              <w:right w:val="nil"/>
            </w:tcBorders>
            <w:shd w:val="clear" w:color="auto" w:fill="auto"/>
            <w:noWrap/>
            <w:vAlign w:val="center"/>
            <w:hideMark/>
          </w:tcPr>
          <w:p w14:paraId="0C3F7CCB"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CCC"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CD"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auto" w:fill="auto"/>
            <w:noWrap/>
            <w:vAlign w:val="center"/>
            <w:hideMark/>
          </w:tcPr>
          <w:p w14:paraId="0C3F7CCE"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CCF" w14:textId="77777777" w:rsidR="00E838DF" w:rsidRPr="002E2F6B" w:rsidRDefault="00E838DF" w:rsidP="00110A7F">
            <w:pPr>
              <w:spacing w:before="0" w:after="0"/>
              <w:rPr>
                <w:sz w:val="16"/>
                <w:szCs w:val="16"/>
              </w:rPr>
            </w:pPr>
            <w:r w:rsidRPr="002E2F6B">
              <w:rPr>
                <w:sz w:val="16"/>
                <w:szCs w:val="16"/>
              </w:rPr>
              <w:t>0.13</w:t>
            </w:r>
          </w:p>
        </w:tc>
        <w:tc>
          <w:tcPr>
            <w:tcW w:w="320" w:type="pct"/>
            <w:tcBorders>
              <w:top w:val="nil"/>
              <w:left w:val="nil"/>
              <w:bottom w:val="nil"/>
              <w:right w:val="nil"/>
            </w:tcBorders>
            <w:shd w:val="clear" w:color="auto" w:fill="auto"/>
            <w:noWrap/>
            <w:vAlign w:val="center"/>
            <w:hideMark/>
          </w:tcPr>
          <w:p w14:paraId="0C3F7CD0" w14:textId="77777777" w:rsidR="00E838DF" w:rsidRPr="002E2F6B" w:rsidRDefault="00E838DF" w:rsidP="00110A7F">
            <w:pPr>
              <w:spacing w:before="0" w:after="0"/>
              <w:rPr>
                <w:sz w:val="16"/>
                <w:szCs w:val="16"/>
              </w:rPr>
            </w:pPr>
            <w:r w:rsidRPr="002E2F6B">
              <w:rPr>
                <w:sz w:val="16"/>
                <w:szCs w:val="16"/>
              </w:rPr>
              <w:t>0.30</w:t>
            </w:r>
          </w:p>
        </w:tc>
      </w:tr>
      <w:tr w:rsidR="00E838DF" w:rsidRPr="002E2F6B" w14:paraId="0C3F7CE1" w14:textId="77777777" w:rsidTr="00E838DF">
        <w:trPr>
          <w:trHeight w:val="20"/>
        </w:trPr>
        <w:tc>
          <w:tcPr>
            <w:tcW w:w="400" w:type="pct"/>
            <w:tcBorders>
              <w:top w:val="nil"/>
              <w:left w:val="nil"/>
              <w:bottom w:val="nil"/>
              <w:right w:val="nil"/>
            </w:tcBorders>
            <w:shd w:val="clear" w:color="auto" w:fill="auto"/>
            <w:noWrap/>
            <w:vAlign w:val="center"/>
            <w:hideMark/>
          </w:tcPr>
          <w:p w14:paraId="0C3F7CD2" w14:textId="77777777" w:rsidR="00E838DF" w:rsidRPr="002E2F6B" w:rsidRDefault="00E838DF" w:rsidP="00110A7F">
            <w:pPr>
              <w:spacing w:before="0" w:after="0"/>
              <w:rPr>
                <w:sz w:val="16"/>
                <w:szCs w:val="16"/>
              </w:rPr>
            </w:pPr>
            <w:r w:rsidRPr="002E2F6B">
              <w:rPr>
                <w:sz w:val="16"/>
                <w:szCs w:val="16"/>
              </w:rPr>
              <w:t>chl-a</w:t>
            </w:r>
          </w:p>
        </w:tc>
        <w:tc>
          <w:tcPr>
            <w:tcW w:w="323" w:type="pct"/>
            <w:tcBorders>
              <w:top w:val="nil"/>
              <w:left w:val="nil"/>
              <w:bottom w:val="nil"/>
              <w:right w:val="nil"/>
            </w:tcBorders>
            <w:shd w:val="clear" w:color="auto" w:fill="auto"/>
            <w:noWrap/>
            <w:vAlign w:val="center"/>
            <w:hideMark/>
          </w:tcPr>
          <w:p w14:paraId="0C3F7CD3" w14:textId="77777777" w:rsidR="00E838DF" w:rsidRPr="002E2F6B" w:rsidRDefault="00E838DF" w:rsidP="00110A7F">
            <w:pPr>
              <w:spacing w:before="0" w:after="0"/>
              <w:rPr>
                <w:sz w:val="16"/>
                <w:szCs w:val="16"/>
              </w:rPr>
            </w:pPr>
            <w:r w:rsidRPr="002E2F6B">
              <w:rPr>
                <w:sz w:val="16"/>
                <w:szCs w:val="16"/>
              </w:rPr>
              <w:t>0.02</w:t>
            </w:r>
          </w:p>
        </w:tc>
        <w:tc>
          <w:tcPr>
            <w:tcW w:w="400" w:type="pct"/>
            <w:tcBorders>
              <w:top w:val="nil"/>
              <w:left w:val="nil"/>
              <w:bottom w:val="nil"/>
              <w:right w:val="nil"/>
            </w:tcBorders>
            <w:shd w:val="clear" w:color="auto" w:fill="auto"/>
            <w:noWrap/>
            <w:vAlign w:val="center"/>
            <w:hideMark/>
          </w:tcPr>
          <w:p w14:paraId="0C3F7CD4" w14:textId="77777777" w:rsidR="00E838DF" w:rsidRPr="002E2F6B" w:rsidRDefault="00E838DF" w:rsidP="00110A7F">
            <w:pPr>
              <w:spacing w:before="0" w:after="0"/>
              <w:rPr>
                <w:sz w:val="16"/>
                <w:szCs w:val="16"/>
              </w:rPr>
            </w:pPr>
            <w:r w:rsidRPr="002E2F6B">
              <w:rPr>
                <w:sz w:val="16"/>
                <w:szCs w:val="16"/>
              </w:rPr>
              <w:t>0.33</w:t>
            </w:r>
          </w:p>
        </w:tc>
        <w:tc>
          <w:tcPr>
            <w:tcW w:w="328" w:type="pct"/>
            <w:tcBorders>
              <w:top w:val="nil"/>
              <w:left w:val="nil"/>
              <w:bottom w:val="nil"/>
              <w:right w:val="nil"/>
            </w:tcBorders>
            <w:shd w:val="clear" w:color="auto" w:fill="auto"/>
            <w:noWrap/>
            <w:vAlign w:val="center"/>
            <w:hideMark/>
          </w:tcPr>
          <w:p w14:paraId="0C3F7CD5"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CD6" w14:textId="77777777" w:rsidR="00E838DF" w:rsidRPr="002E2F6B" w:rsidRDefault="00E838DF" w:rsidP="00110A7F">
            <w:pPr>
              <w:spacing w:before="0" w:after="0"/>
              <w:rPr>
                <w:sz w:val="16"/>
                <w:szCs w:val="16"/>
              </w:rPr>
            </w:pPr>
            <w:r w:rsidRPr="002E2F6B">
              <w:rPr>
                <w:sz w:val="16"/>
                <w:szCs w:val="16"/>
              </w:rPr>
              <w:t>0.50</w:t>
            </w:r>
          </w:p>
        </w:tc>
        <w:tc>
          <w:tcPr>
            <w:tcW w:w="323" w:type="pct"/>
            <w:tcBorders>
              <w:top w:val="nil"/>
              <w:left w:val="nil"/>
              <w:bottom w:val="nil"/>
              <w:right w:val="nil"/>
            </w:tcBorders>
            <w:shd w:val="clear" w:color="auto" w:fill="auto"/>
            <w:noWrap/>
            <w:vAlign w:val="center"/>
            <w:hideMark/>
          </w:tcPr>
          <w:p w14:paraId="0C3F7CD7"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D8"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D9"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CDA"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CDB" w14:textId="77777777" w:rsidR="00E838DF" w:rsidRPr="002E2F6B" w:rsidRDefault="00E838DF" w:rsidP="00110A7F">
            <w:pPr>
              <w:spacing w:before="0" w:after="0"/>
              <w:rPr>
                <w:sz w:val="16"/>
                <w:szCs w:val="16"/>
              </w:rPr>
            </w:pPr>
            <w:r w:rsidRPr="002E2F6B">
              <w:rPr>
                <w:sz w:val="16"/>
                <w:szCs w:val="16"/>
              </w:rPr>
              <w:t>-0.03</w:t>
            </w:r>
          </w:p>
        </w:tc>
        <w:tc>
          <w:tcPr>
            <w:tcW w:w="323" w:type="pct"/>
            <w:tcBorders>
              <w:top w:val="nil"/>
              <w:left w:val="nil"/>
              <w:bottom w:val="nil"/>
              <w:right w:val="nil"/>
            </w:tcBorders>
            <w:shd w:val="clear" w:color="auto" w:fill="auto"/>
            <w:noWrap/>
            <w:vAlign w:val="center"/>
            <w:hideMark/>
          </w:tcPr>
          <w:p w14:paraId="0C3F7CDC"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CDD"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CDE"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CDF" w14:textId="77777777" w:rsidR="00E838DF" w:rsidRPr="002E2F6B" w:rsidRDefault="00E838DF" w:rsidP="00110A7F">
            <w:pPr>
              <w:spacing w:before="0" w:after="0"/>
              <w:rPr>
                <w:sz w:val="16"/>
                <w:szCs w:val="16"/>
              </w:rPr>
            </w:pPr>
            <w:r w:rsidRPr="002E2F6B">
              <w:rPr>
                <w:sz w:val="16"/>
                <w:szCs w:val="16"/>
              </w:rPr>
              <w:t>0.13</w:t>
            </w:r>
          </w:p>
        </w:tc>
        <w:tc>
          <w:tcPr>
            <w:tcW w:w="320" w:type="pct"/>
            <w:tcBorders>
              <w:top w:val="nil"/>
              <w:left w:val="nil"/>
              <w:bottom w:val="nil"/>
              <w:right w:val="nil"/>
            </w:tcBorders>
            <w:shd w:val="clear" w:color="auto" w:fill="auto"/>
            <w:noWrap/>
            <w:vAlign w:val="center"/>
            <w:hideMark/>
          </w:tcPr>
          <w:p w14:paraId="0C3F7CE0" w14:textId="77777777" w:rsidR="00E838DF" w:rsidRPr="002E2F6B" w:rsidRDefault="00E838DF" w:rsidP="00110A7F">
            <w:pPr>
              <w:spacing w:before="0" w:after="0"/>
              <w:rPr>
                <w:sz w:val="16"/>
                <w:szCs w:val="16"/>
              </w:rPr>
            </w:pPr>
            <w:r w:rsidRPr="002E2F6B">
              <w:rPr>
                <w:sz w:val="16"/>
                <w:szCs w:val="16"/>
              </w:rPr>
              <w:t>0.23</w:t>
            </w:r>
          </w:p>
        </w:tc>
      </w:tr>
      <w:tr w:rsidR="00E838DF" w:rsidRPr="002E2F6B" w14:paraId="0C3F7CF1" w14:textId="77777777" w:rsidTr="00E838DF">
        <w:trPr>
          <w:trHeight w:val="20"/>
        </w:trPr>
        <w:tc>
          <w:tcPr>
            <w:tcW w:w="400" w:type="pct"/>
            <w:tcBorders>
              <w:top w:val="nil"/>
              <w:left w:val="nil"/>
              <w:bottom w:val="nil"/>
              <w:right w:val="nil"/>
            </w:tcBorders>
            <w:shd w:val="clear" w:color="auto" w:fill="auto"/>
            <w:noWrap/>
            <w:vAlign w:val="center"/>
            <w:hideMark/>
          </w:tcPr>
          <w:p w14:paraId="0C3F7CE2" w14:textId="77777777" w:rsidR="00E838DF" w:rsidRPr="002E2F6B" w:rsidRDefault="00E838DF" w:rsidP="00110A7F">
            <w:pPr>
              <w:spacing w:before="0" w:after="0"/>
              <w:rPr>
                <w:sz w:val="16"/>
                <w:szCs w:val="16"/>
              </w:rPr>
            </w:pPr>
            <w:r w:rsidRPr="002E2F6B">
              <w:rPr>
                <w:sz w:val="16"/>
                <w:szCs w:val="16"/>
              </w:rPr>
              <w:t>TN</w:t>
            </w:r>
          </w:p>
        </w:tc>
        <w:tc>
          <w:tcPr>
            <w:tcW w:w="323" w:type="pct"/>
            <w:tcBorders>
              <w:top w:val="nil"/>
              <w:left w:val="nil"/>
              <w:bottom w:val="nil"/>
              <w:right w:val="nil"/>
            </w:tcBorders>
            <w:shd w:val="clear" w:color="auto" w:fill="auto"/>
            <w:noWrap/>
            <w:vAlign w:val="center"/>
            <w:hideMark/>
          </w:tcPr>
          <w:p w14:paraId="0C3F7CE3" w14:textId="77777777" w:rsidR="00E838DF" w:rsidRPr="002E2F6B" w:rsidRDefault="00E838DF" w:rsidP="00110A7F">
            <w:pPr>
              <w:spacing w:before="0" w:after="0"/>
              <w:rPr>
                <w:sz w:val="16"/>
                <w:szCs w:val="16"/>
              </w:rPr>
            </w:pPr>
            <w:r w:rsidRPr="002E2F6B">
              <w:rPr>
                <w:sz w:val="16"/>
                <w:szCs w:val="16"/>
              </w:rPr>
              <w:t>0.15</w:t>
            </w:r>
          </w:p>
        </w:tc>
        <w:tc>
          <w:tcPr>
            <w:tcW w:w="400" w:type="pct"/>
            <w:tcBorders>
              <w:top w:val="nil"/>
              <w:left w:val="nil"/>
              <w:bottom w:val="nil"/>
              <w:right w:val="nil"/>
            </w:tcBorders>
            <w:shd w:val="clear" w:color="auto" w:fill="auto"/>
            <w:noWrap/>
            <w:vAlign w:val="center"/>
            <w:hideMark/>
          </w:tcPr>
          <w:p w14:paraId="0C3F7CE4" w14:textId="77777777" w:rsidR="00E838DF" w:rsidRPr="002E2F6B" w:rsidRDefault="00E838DF" w:rsidP="00110A7F">
            <w:pPr>
              <w:spacing w:before="0" w:after="0"/>
              <w:rPr>
                <w:sz w:val="16"/>
                <w:szCs w:val="16"/>
              </w:rPr>
            </w:pPr>
            <w:r w:rsidRPr="002E2F6B">
              <w:rPr>
                <w:sz w:val="16"/>
                <w:szCs w:val="16"/>
              </w:rPr>
              <w:t>0.09</w:t>
            </w:r>
          </w:p>
        </w:tc>
        <w:tc>
          <w:tcPr>
            <w:tcW w:w="328" w:type="pct"/>
            <w:tcBorders>
              <w:top w:val="nil"/>
              <w:left w:val="nil"/>
              <w:bottom w:val="nil"/>
              <w:right w:val="nil"/>
            </w:tcBorders>
            <w:shd w:val="clear" w:color="auto" w:fill="auto"/>
            <w:noWrap/>
            <w:vAlign w:val="center"/>
            <w:hideMark/>
          </w:tcPr>
          <w:p w14:paraId="0C3F7CE5"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E6"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CE7"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E8"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E9" w14:textId="77777777" w:rsidR="00E838DF" w:rsidRPr="002E2F6B" w:rsidRDefault="00E838DF" w:rsidP="00110A7F">
            <w:pPr>
              <w:spacing w:before="0" w:after="0"/>
              <w:rPr>
                <w:sz w:val="16"/>
                <w:szCs w:val="16"/>
              </w:rPr>
            </w:pPr>
            <w:r w:rsidRPr="002E2F6B">
              <w:rPr>
                <w:sz w:val="16"/>
                <w:szCs w:val="16"/>
              </w:rPr>
              <w:t>0.44</w:t>
            </w:r>
          </w:p>
        </w:tc>
        <w:tc>
          <w:tcPr>
            <w:tcW w:w="323" w:type="pct"/>
            <w:tcBorders>
              <w:top w:val="nil"/>
              <w:left w:val="nil"/>
              <w:bottom w:val="nil"/>
              <w:right w:val="nil"/>
            </w:tcBorders>
            <w:shd w:val="clear" w:color="auto" w:fill="auto"/>
            <w:noWrap/>
            <w:vAlign w:val="center"/>
            <w:hideMark/>
          </w:tcPr>
          <w:p w14:paraId="0C3F7CEA" w14:textId="77777777" w:rsidR="00E838DF" w:rsidRPr="002E2F6B" w:rsidRDefault="00E838DF" w:rsidP="00110A7F">
            <w:pPr>
              <w:spacing w:before="0" w:after="0"/>
              <w:rPr>
                <w:sz w:val="16"/>
                <w:szCs w:val="16"/>
              </w:rPr>
            </w:pPr>
            <w:r w:rsidRPr="002E2F6B">
              <w:rPr>
                <w:sz w:val="16"/>
                <w:szCs w:val="16"/>
              </w:rPr>
              <w:t>-0.32</w:t>
            </w:r>
          </w:p>
        </w:tc>
        <w:tc>
          <w:tcPr>
            <w:tcW w:w="323" w:type="pct"/>
            <w:tcBorders>
              <w:top w:val="nil"/>
              <w:left w:val="nil"/>
              <w:bottom w:val="nil"/>
              <w:right w:val="nil"/>
            </w:tcBorders>
            <w:shd w:val="clear" w:color="auto" w:fill="auto"/>
            <w:noWrap/>
            <w:vAlign w:val="center"/>
            <w:hideMark/>
          </w:tcPr>
          <w:p w14:paraId="0C3F7CEB" w14:textId="77777777" w:rsidR="00E838DF" w:rsidRPr="002E2F6B" w:rsidRDefault="00E838DF" w:rsidP="00110A7F">
            <w:pPr>
              <w:spacing w:before="0" w:after="0"/>
              <w:rPr>
                <w:sz w:val="16"/>
                <w:szCs w:val="16"/>
              </w:rPr>
            </w:pPr>
            <w:r w:rsidRPr="002E2F6B">
              <w:rPr>
                <w:sz w:val="16"/>
                <w:szCs w:val="16"/>
              </w:rPr>
              <w:t>0.17</w:t>
            </w:r>
          </w:p>
        </w:tc>
        <w:tc>
          <w:tcPr>
            <w:tcW w:w="323" w:type="pct"/>
            <w:tcBorders>
              <w:top w:val="nil"/>
              <w:left w:val="nil"/>
              <w:bottom w:val="nil"/>
              <w:right w:val="nil"/>
            </w:tcBorders>
            <w:shd w:val="clear" w:color="auto" w:fill="auto"/>
            <w:noWrap/>
            <w:vAlign w:val="center"/>
            <w:hideMark/>
          </w:tcPr>
          <w:p w14:paraId="0C3F7CEC"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ED"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000000" w:fill="FFFF00"/>
            <w:noWrap/>
            <w:vAlign w:val="center"/>
            <w:hideMark/>
          </w:tcPr>
          <w:p w14:paraId="0C3F7CEE" w14:textId="77777777" w:rsidR="00E838DF" w:rsidRPr="002E2F6B" w:rsidRDefault="00E838DF" w:rsidP="00110A7F">
            <w:pPr>
              <w:spacing w:before="0" w:after="0"/>
              <w:rPr>
                <w:sz w:val="16"/>
                <w:szCs w:val="16"/>
              </w:rPr>
            </w:pPr>
            <w:r w:rsidRPr="002E2F6B">
              <w:rPr>
                <w:sz w:val="16"/>
                <w:szCs w:val="16"/>
              </w:rPr>
              <w:t>0.67</w:t>
            </w:r>
          </w:p>
        </w:tc>
        <w:tc>
          <w:tcPr>
            <w:tcW w:w="323" w:type="pct"/>
            <w:tcBorders>
              <w:top w:val="nil"/>
              <w:left w:val="nil"/>
              <w:bottom w:val="nil"/>
              <w:right w:val="nil"/>
            </w:tcBorders>
            <w:shd w:val="clear" w:color="auto" w:fill="auto"/>
            <w:noWrap/>
            <w:vAlign w:val="center"/>
            <w:hideMark/>
          </w:tcPr>
          <w:p w14:paraId="0C3F7CEF" w14:textId="77777777" w:rsidR="00E838DF" w:rsidRPr="002E2F6B" w:rsidRDefault="00E838DF" w:rsidP="00110A7F">
            <w:pPr>
              <w:spacing w:before="0" w:after="0"/>
              <w:rPr>
                <w:sz w:val="16"/>
                <w:szCs w:val="16"/>
              </w:rPr>
            </w:pPr>
            <w:r w:rsidRPr="002E2F6B">
              <w:rPr>
                <w:sz w:val="16"/>
                <w:szCs w:val="16"/>
              </w:rPr>
              <w:t>0.09</w:t>
            </w:r>
          </w:p>
        </w:tc>
        <w:tc>
          <w:tcPr>
            <w:tcW w:w="320" w:type="pct"/>
            <w:tcBorders>
              <w:top w:val="nil"/>
              <w:left w:val="nil"/>
              <w:bottom w:val="nil"/>
              <w:right w:val="nil"/>
            </w:tcBorders>
            <w:shd w:val="clear" w:color="auto" w:fill="auto"/>
            <w:noWrap/>
            <w:vAlign w:val="center"/>
            <w:hideMark/>
          </w:tcPr>
          <w:p w14:paraId="0C3F7CF0" w14:textId="77777777" w:rsidR="00E838DF" w:rsidRPr="002E2F6B" w:rsidRDefault="00E838DF" w:rsidP="00110A7F">
            <w:pPr>
              <w:spacing w:before="0" w:after="0"/>
              <w:rPr>
                <w:sz w:val="16"/>
                <w:szCs w:val="16"/>
              </w:rPr>
            </w:pPr>
            <w:r w:rsidRPr="002E2F6B">
              <w:rPr>
                <w:sz w:val="16"/>
                <w:szCs w:val="16"/>
              </w:rPr>
              <w:t>0.03</w:t>
            </w:r>
          </w:p>
        </w:tc>
      </w:tr>
      <w:tr w:rsidR="00E838DF" w:rsidRPr="002E2F6B" w14:paraId="0C3F7D01" w14:textId="77777777" w:rsidTr="00E838DF">
        <w:trPr>
          <w:trHeight w:val="20"/>
        </w:trPr>
        <w:tc>
          <w:tcPr>
            <w:tcW w:w="400" w:type="pct"/>
            <w:tcBorders>
              <w:top w:val="nil"/>
              <w:left w:val="nil"/>
              <w:bottom w:val="nil"/>
              <w:right w:val="nil"/>
            </w:tcBorders>
            <w:shd w:val="clear" w:color="auto" w:fill="auto"/>
            <w:noWrap/>
            <w:vAlign w:val="center"/>
            <w:hideMark/>
          </w:tcPr>
          <w:p w14:paraId="0C3F7CF2" w14:textId="77777777" w:rsidR="00E838DF" w:rsidRPr="002E2F6B" w:rsidRDefault="00E838DF" w:rsidP="00110A7F">
            <w:pPr>
              <w:spacing w:before="0" w:after="0"/>
              <w:rPr>
                <w:sz w:val="16"/>
                <w:szCs w:val="16"/>
              </w:rPr>
            </w:pPr>
            <w:r w:rsidRPr="002E2F6B">
              <w:rPr>
                <w:sz w:val="16"/>
                <w:szCs w:val="16"/>
              </w:rPr>
              <w:t>TDN</w:t>
            </w:r>
          </w:p>
        </w:tc>
        <w:tc>
          <w:tcPr>
            <w:tcW w:w="323" w:type="pct"/>
            <w:tcBorders>
              <w:top w:val="nil"/>
              <w:left w:val="nil"/>
              <w:bottom w:val="nil"/>
              <w:right w:val="nil"/>
            </w:tcBorders>
            <w:shd w:val="clear" w:color="auto" w:fill="auto"/>
            <w:noWrap/>
            <w:vAlign w:val="center"/>
            <w:hideMark/>
          </w:tcPr>
          <w:p w14:paraId="0C3F7CF3" w14:textId="77777777" w:rsidR="00E838DF" w:rsidRPr="002E2F6B" w:rsidRDefault="00E838DF" w:rsidP="00110A7F">
            <w:pPr>
              <w:spacing w:before="0" w:after="0"/>
              <w:rPr>
                <w:sz w:val="16"/>
                <w:szCs w:val="16"/>
              </w:rPr>
            </w:pPr>
            <w:r w:rsidRPr="002E2F6B">
              <w:rPr>
                <w:sz w:val="16"/>
                <w:szCs w:val="16"/>
              </w:rPr>
              <w:t>-0.17</w:t>
            </w:r>
          </w:p>
        </w:tc>
        <w:tc>
          <w:tcPr>
            <w:tcW w:w="400" w:type="pct"/>
            <w:tcBorders>
              <w:top w:val="nil"/>
              <w:left w:val="nil"/>
              <w:bottom w:val="nil"/>
              <w:right w:val="nil"/>
            </w:tcBorders>
            <w:shd w:val="clear" w:color="auto" w:fill="auto"/>
            <w:noWrap/>
            <w:vAlign w:val="center"/>
            <w:hideMark/>
          </w:tcPr>
          <w:p w14:paraId="0C3F7CF4" w14:textId="77777777" w:rsidR="00E838DF" w:rsidRPr="002E2F6B" w:rsidRDefault="00E838DF" w:rsidP="00110A7F">
            <w:pPr>
              <w:spacing w:before="0" w:after="0"/>
              <w:rPr>
                <w:sz w:val="16"/>
                <w:szCs w:val="16"/>
              </w:rPr>
            </w:pPr>
            <w:r w:rsidRPr="002E2F6B">
              <w:rPr>
                <w:sz w:val="16"/>
                <w:szCs w:val="16"/>
              </w:rPr>
              <w:t>-0.27</w:t>
            </w:r>
          </w:p>
        </w:tc>
        <w:tc>
          <w:tcPr>
            <w:tcW w:w="328" w:type="pct"/>
            <w:tcBorders>
              <w:top w:val="nil"/>
              <w:left w:val="nil"/>
              <w:bottom w:val="nil"/>
              <w:right w:val="nil"/>
            </w:tcBorders>
            <w:shd w:val="clear" w:color="auto" w:fill="auto"/>
            <w:noWrap/>
            <w:vAlign w:val="center"/>
            <w:hideMark/>
          </w:tcPr>
          <w:p w14:paraId="0C3F7CF5"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CF6"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CF7" w14:textId="77777777" w:rsidR="00E838DF" w:rsidRPr="002E2F6B" w:rsidRDefault="00E838DF" w:rsidP="00110A7F">
            <w:pPr>
              <w:spacing w:before="0" w:after="0"/>
              <w:rPr>
                <w:sz w:val="16"/>
                <w:szCs w:val="16"/>
              </w:rPr>
            </w:pPr>
            <w:r w:rsidRPr="002E2F6B">
              <w:rPr>
                <w:sz w:val="16"/>
                <w:szCs w:val="16"/>
              </w:rPr>
              <w:t>0.02</w:t>
            </w:r>
          </w:p>
        </w:tc>
        <w:tc>
          <w:tcPr>
            <w:tcW w:w="323" w:type="pct"/>
            <w:tcBorders>
              <w:top w:val="nil"/>
              <w:left w:val="nil"/>
              <w:bottom w:val="nil"/>
              <w:right w:val="nil"/>
            </w:tcBorders>
            <w:shd w:val="clear" w:color="auto" w:fill="auto"/>
            <w:noWrap/>
            <w:vAlign w:val="center"/>
            <w:hideMark/>
          </w:tcPr>
          <w:p w14:paraId="0C3F7CF8" w14:textId="77777777" w:rsidR="00E838DF" w:rsidRPr="002E2F6B" w:rsidRDefault="00E838DF" w:rsidP="00110A7F">
            <w:pPr>
              <w:spacing w:before="0" w:after="0"/>
              <w:rPr>
                <w:sz w:val="16"/>
                <w:szCs w:val="16"/>
              </w:rPr>
            </w:pPr>
            <w:r w:rsidRPr="002E2F6B">
              <w:rPr>
                <w:sz w:val="16"/>
                <w:szCs w:val="16"/>
              </w:rPr>
              <w:t>0.44</w:t>
            </w:r>
          </w:p>
        </w:tc>
        <w:tc>
          <w:tcPr>
            <w:tcW w:w="323" w:type="pct"/>
            <w:tcBorders>
              <w:top w:val="nil"/>
              <w:left w:val="nil"/>
              <w:bottom w:val="nil"/>
              <w:right w:val="nil"/>
            </w:tcBorders>
            <w:shd w:val="clear" w:color="auto" w:fill="auto"/>
            <w:noWrap/>
            <w:vAlign w:val="center"/>
            <w:hideMark/>
          </w:tcPr>
          <w:p w14:paraId="0C3F7CF9"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CFA" w14:textId="77777777" w:rsidR="00E838DF" w:rsidRPr="002E2F6B" w:rsidRDefault="00E838DF" w:rsidP="00110A7F">
            <w:pPr>
              <w:spacing w:before="0" w:after="0"/>
              <w:rPr>
                <w:sz w:val="16"/>
                <w:szCs w:val="16"/>
              </w:rPr>
            </w:pPr>
            <w:r w:rsidRPr="002E2F6B">
              <w:rPr>
                <w:sz w:val="16"/>
                <w:szCs w:val="16"/>
              </w:rPr>
              <w:t>-0.22</w:t>
            </w:r>
          </w:p>
        </w:tc>
        <w:tc>
          <w:tcPr>
            <w:tcW w:w="323" w:type="pct"/>
            <w:tcBorders>
              <w:top w:val="nil"/>
              <w:left w:val="nil"/>
              <w:bottom w:val="nil"/>
              <w:right w:val="nil"/>
            </w:tcBorders>
            <w:shd w:val="clear" w:color="auto" w:fill="auto"/>
            <w:noWrap/>
            <w:vAlign w:val="center"/>
            <w:hideMark/>
          </w:tcPr>
          <w:p w14:paraId="0C3F7CFB" w14:textId="77777777" w:rsidR="00E838DF" w:rsidRPr="002E2F6B" w:rsidRDefault="00E838DF" w:rsidP="00110A7F">
            <w:pPr>
              <w:spacing w:before="0" w:after="0"/>
              <w:rPr>
                <w:sz w:val="16"/>
                <w:szCs w:val="16"/>
              </w:rPr>
            </w:pPr>
            <w:r w:rsidRPr="002E2F6B">
              <w:rPr>
                <w:sz w:val="16"/>
                <w:szCs w:val="16"/>
              </w:rPr>
              <w:t>0.58</w:t>
            </w:r>
          </w:p>
        </w:tc>
        <w:tc>
          <w:tcPr>
            <w:tcW w:w="323" w:type="pct"/>
            <w:tcBorders>
              <w:top w:val="nil"/>
              <w:left w:val="nil"/>
              <w:bottom w:val="nil"/>
              <w:right w:val="nil"/>
            </w:tcBorders>
            <w:shd w:val="clear" w:color="auto" w:fill="auto"/>
            <w:noWrap/>
            <w:vAlign w:val="center"/>
            <w:hideMark/>
          </w:tcPr>
          <w:p w14:paraId="0C3F7CFC" w14:textId="77777777" w:rsidR="00E838DF" w:rsidRPr="002E2F6B" w:rsidRDefault="00E838DF" w:rsidP="00110A7F">
            <w:pPr>
              <w:spacing w:before="0" w:after="0"/>
              <w:rPr>
                <w:sz w:val="16"/>
                <w:szCs w:val="16"/>
              </w:rPr>
            </w:pPr>
            <w:r w:rsidRPr="002E2F6B">
              <w:rPr>
                <w:sz w:val="16"/>
                <w:szCs w:val="16"/>
              </w:rPr>
              <w:t>0.48</w:t>
            </w:r>
          </w:p>
        </w:tc>
        <w:tc>
          <w:tcPr>
            <w:tcW w:w="323" w:type="pct"/>
            <w:tcBorders>
              <w:top w:val="nil"/>
              <w:left w:val="nil"/>
              <w:bottom w:val="nil"/>
              <w:right w:val="nil"/>
            </w:tcBorders>
            <w:shd w:val="clear" w:color="auto" w:fill="auto"/>
            <w:noWrap/>
            <w:vAlign w:val="center"/>
            <w:hideMark/>
          </w:tcPr>
          <w:p w14:paraId="0C3F7CFD"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CFE"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CFF" w14:textId="77777777" w:rsidR="00E838DF" w:rsidRPr="002E2F6B" w:rsidRDefault="00E838DF" w:rsidP="00110A7F">
            <w:pPr>
              <w:spacing w:before="0" w:after="0"/>
              <w:rPr>
                <w:sz w:val="16"/>
                <w:szCs w:val="16"/>
              </w:rPr>
            </w:pPr>
            <w:r w:rsidRPr="002E2F6B">
              <w:rPr>
                <w:sz w:val="16"/>
                <w:szCs w:val="16"/>
              </w:rPr>
              <w:t>0.08</w:t>
            </w:r>
          </w:p>
        </w:tc>
        <w:tc>
          <w:tcPr>
            <w:tcW w:w="320" w:type="pct"/>
            <w:tcBorders>
              <w:top w:val="nil"/>
              <w:left w:val="nil"/>
              <w:bottom w:val="nil"/>
              <w:right w:val="nil"/>
            </w:tcBorders>
            <w:shd w:val="clear" w:color="auto" w:fill="auto"/>
            <w:noWrap/>
            <w:vAlign w:val="center"/>
            <w:hideMark/>
          </w:tcPr>
          <w:p w14:paraId="0C3F7D00" w14:textId="77777777" w:rsidR="00E838DF" w:rsidRPr="002E2F6B" w:rsidRDefault="00E838DF" w:rsidP="00110A7F">
            <w:pPr>
              <w:spacing w:before="0" w:after="0"/>
              <w:rPr>
                <w:sz w:val="16"/>
                <w:szCs w:val="16"/>
              </w:rPr>
            </w:pPr>
            <w:r w:rsidRPr="002E2F6B">
              <w:rPr>
                <w:sz w:val="16"/>
                <w:szCs w:val="16"/>
              </w:rPr>
              <w:t>0.14</w:t>
            </w:r>
          </w:p>
        </w:tc>
      </w:tr>
      <w:tr w:rsidR="00E838DF" w:rsidRPr="002E2F6B" w14:paraId="0C3F7D11" w14:textId="77777777" w:rsidTr="00E838DF">
        <w:trPr>
          <w:trHeight w:val="20"/>
        </w:trPr>
        <w:tc>
          <w:tcPr>
            <w:tcW w:w="400" w:type="pct"/>
            <w:tcBorders>
              <w:top w:val="nil"/>
              <w:left w:val="nil"/>
              <w:bottom w:val="nil"/>
              <w:right w:val="nil"/>
            </w:tcBorders>
            <w:shd w:val="clear" w:color="auto" w:fill="auto"/>
            <w:noWrap/>
            <w:vAlign w:val="center"/>
            <w:hideMark/>
          </w:tcPr>
          <w:p w14:paraId="0C3F7D02" w14:textId="77777777" w:rsidR="00E838DF" w:rsidRPr="002E2F6B" w:rsidRDefault="00E838DF" w:rsidP="00110A7F">
            <w:pPr>
              <w:spacing w:before="0" w:after="0"/>
              <w:rPr>
                <w:sz w:val="16"/>
                <w:szCs w:val="16"/>
              </w:rPr>
            </w:pPr>
            <w:r w:rsidRPr="002E2F6B">
              <w:rPr>
                <w:sz w:val="16"/>
                <w:szCs w:val="16"/>
              </w:rPr>
              <w:t>DIN</w:t>
            </w:r>
          </w:p>
        </w:tc>
        <w:tc>
          <w:tcPr>
            <w:tcW w:w="323" w:type="pct"/>
            <w:tcBorders>
              <w:top w:val="nil"/>
              <w:left w:val="nil"/>
              <w:bottom w:val="nil"/>
              <w:right w:val="nil"/>
            </w:tcBorders>
            <w:shd w:val="clear" w:color="auto" w:fill="auto"/>
            <w:noWrap/>
            <w:vAlign w:val="center"/>
            <w:hideMark/>
          </w:tcPr>
          <w:p w14:paraId="0C3F7D03" w14:textId="77777777" w:rsidR="00E838DF" w:rsidRPr="002E2F6B" w:rsidRDefault="00E838DF" w:rsidP="00110A7F">
            <w:pPr>
              <w:spacing w:before="0" w:after="0"/>
              <w:rPr>
                <w:sz w:val="16"/>
                <w:szCs w:val="16"/>
              </w:rPr>
            </w:pPr>
            <w:r w:rsidRPr="002E2F6B">
              <w:rPr>
                <w:sz w:val="16"/>
                <w:szCs w:val="16"/>
              </w:rPr>
              <w:t>-0.12</w:t>
            </w:r>
          </w:p>
        </w:tc>
        <w:tc>
          <w:tcPr>
            <w:tcW w:w="400" w:type="pct"/>
            <w:tcBorders>
              <w:top w:val="nil"/>
              <w:left w:val="nil"/>
              <w:bottom w:val="nil"/>
              <w:right w:val="nil"/>
            </w:tcBorders>
            <w:shd w:val="clear" w:color="auto" w:fill="auto"/>
            <w:noWrap/>
            <w:vAlign w:val="center"/>
            <w:hideMark/>
          </w:tcPr>
          <w:p w14:paraId="0C3F7D04" w14:textId="77777777" w:rsidR="00E838DF" w:rsidRPr="002E2F6B" w:rsidRDefault="00E838DF" w:rsidP="00110A7F">
            <w:pPr>
              <w:spacing w:before="0" w:after="0"/>
              <w:rPr>
                <w:sz w:val="16"/>
                <w:szCs w:val="16"/>
              </w:rPr>
            </w:pPr>
            <w:r w:rsidRPr="002E2F6B">
              <w:rPr>
                <w:sz w:val="16"/>
                <w:szCs w:val="16"/>
              </w:rPr>
              <w:t>0.04</w:t>
            </w:r>
          </w:p>
        </w:tc>
        <w:tc>
          <w:tcPr>
            <w:tcW w:w="328" w:type="pct"/>
            <w:tcBorders>
              <w:top w:val="nil"/>
              <w:left w:val="nil"/>
              <w:bottom w:val="nil"/>
              <w:right w:val="nil"/>
            </w:tcBorders>
            <w:shd w:val="clear" w:color="auto" w:fill="auto"/>
            <w:noWrap/>
            <w:vAlign w:val="center"/>
            <w:hideMark/>
          </w:tcPr>
          <w:p w14:paraId="0C3F7D05"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D06" w14:textId="77777777" w:rsidR="00E838DF" w:rsidRPr="002E2F6B" w:rsidRDefault="00E838DF" w:rsidP="00110A7F">
            <w:pPr>
              <w:spacing w:before="0" w:after="0"/>
              <w:rPr>
                <w:sz w:val="16"/>
                <w:szCs w:val="16"/>
              </w:rPr>
            </w:pPr>
            <w:r w:rsidRPr="002E2F6B">
              <w:rPr>
                <w:sz w:val="16"/>
                <w:szCs w:val="16"/>
              </w:rPr>
              <w:t>0.00</w:t>
            </w:r>
          </w:p>
        </w:tc>
        <w:tc>
          <w:tcPr>
            <w:tcW w:w="323" w:type="pct"/>
            <w:tcBorders>
              <w:top w:val="nil"/>
              <w:left w:val="nil"/>
              <w:bottom w:val="nil"/>
              <w:right w:val="nil"/>
            </w:tcBorders>
            <w:shd w:val="clear" w:color="auto" w:fill="auto"/>
            <w:noWrap/>
            <w:vAlign w:val="center"/>
            <w:hideMark/>
          </w:tcPr>
          <w:p w14:paraId="0C3F7D07"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D08" w14:textId="77777777" w:rsidR="00E838DF" w:rsidRPr="002E2F6B" w:rsidRDefault="00E838DF" w:rsidP="00110A7F">
            <w:pPr>
              <w:spacing w:before="0" w:after="0"/>
              <w:rPr>
                <w:sz w:val="16"/>
                <w:szCs w:val="16"/>
              </w:rPr>
            </w:pPr>
            <w:r w:rsidRPr="002E2F6B">
              <w:rPr>
                <w:sz w:val="16"/>
                <w:szCs w:val="16"/>
              </w:rPr>
              <w:t>-0.32</w:t>
            </w:r>
          </w:p>
        </w:tc>
        <w:tc>
          <w:tcPr>
            <w:tcW w:w="323" w:type="pct"/>
            <w:tcBorders>
              <w:top w:val="nil"/>
              <w:left w:val="nil"/>
              <w:bottom w:val="nil"/>
              <w:right w:val="nil"/>
            </w:tcBorders>
            <w:shd w:val="clear" w:color="auto" w:fill="auto"/>
            <w:noWrap/>
            <w:vAlign w:val="center"/>
            <w:hideMark/>
          </w:tcPr>
          <w:p w14:paraId="0C3F7D09" w14:textId="77777777" w:rsidR="00E838DF" w:rsidRPr="002E2F6B" w:rsidRDefault="00E838DF" w:rsidP="00110A7F">
            <w:pPr>
              <w:spacing w:before="0" w:after="0"/>
              <w:rPr>
                <w:sz w:val="16"/>
                <w:szCs w:val="16"/>
              </w:rPr>
            </w:pPr>
            <w:r w:rsidRPr="002E2F6B">
              <w:rPr>
                <w:sz w:val="16"/>
                <w:szCs w:val="16"/>
              </w:rPr>
              <w:t>-0.22</w:t>
            </w:r>
          </w:p>
        </w:tc>
        <w:tc>
          <w:tcPr>
            <w:tcW w:w="323" w:type="pct"/>
            <w:tcBorders>
              <w:top w:val="nil"/>
              <w:left w:val="nil"/>
              <w:bottom w:val="nil"/>
              <w:right w:val="nil"/>
            </w:tcBorders>
            <w:shd w:val="clear" w:color="auto" w:fill="auto"/>
            <w:noWrap/>
            <w:vAlign w:val="center"/>
            <w:hideMark/>
          </w:tcPr>
          <w:p w14:paraId="0C3F7D0A"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D0B"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nil"/>
              <w:right w:val="nil"/>
            </w:tcBorders>
            <w:shd w:val="clear" w:color="auto" w:fill="auto"/>
            <w:noWrap/>
            <w:vAlign w:val="center"/>
            <w:hideMark/>
          </w:tcPr>
          <w:p w14:paraId="0C3F7D0C" w14:textId="77777777" w:rsidR="00E838DF" w:rsidRPr="002E2F6B" w:rsidRDefault="00E838DF" w:rsidP="00110A7F">
            <w:pPr>
              <w:spacing w:before="0" w:after="0"/>
              <w:rPr>
                <w:sz w:val="16"/>
                <w:szCs w:val="16"/>
              </w:rPr>
            </w:pPr>
            <w:r w:rsidRPr="002E2F6B">
              <w:rPr>
                <w:sz w:val="16"/>
                <w:szCs w:val="16"/>
              </w:rPr>
              <w:t>-0.01</w:t>
            </w:r>
          </w:p>
        </w:tc>
        <w:tc>
          <w:tcPr>
            <w:tcW w:w="323" w:type="pct"/>
            <w:tcBorders>
              <w:top w:val="nil"/>
              <w:left w:val="nil"/>
              <w:bottom w:val="nil"/>
              <w:right w:val="nil"/>
            </w:tcBorders>
            <w:shd w:val="clear" w:color="auto" w:fill="auto"/>
            <w:noWrap/>
            <w:vAlign w:val="center"/>
            <w:hideMark/>
          </w:tcPr>
          <w:p w14:paraId="0C3F7D0D" w14:textId="77777777" w:rsidR="00E838DF" w:rsidRPr="002E2F6B" w:rsidRDefault="00E838DF" w:rsidP="00110A7F">
            <w:pPr>
              <w:spacing w:before="0" w:after="0"/>
              <w:rPr>
                <w:sz w:val="16"/>
                <w:szCs w:val="16"/>
              </w:rPr>
            </w:pPr>
            <w:r w:rsidRPr="002E2F6B">
              <w:rPr>
                <w:sz w:val="16"/>
                <w:szCs w:val="16"/>
              </w:rPr>
              <w:t>-0.17</w:t>
            </w:r>
          </w:p>
        </w:tc>
        <w:tc>
          <w:tcPr>
            <w:tcW w:w="323" w:type="pct"/>
            <w:tcBorders>
              <w:top w:val="nil"/>
              <w:left w:val="nil"/>
              <w:bottom w:val="nil"/>
              <w:right w:val="nil"/>
            </w:tcBorders>
            <w:shd w:val="clear" w:color="auto" w:fill="auto"/>
            <w:noWrap/>
            <w:vAlign w:val="center"/>
            <w:hideMark/>
          </w:tcPr>
          <w:p w14:paraId="0C3F7D0E"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auto" w:fill="auto"/>
            <w:noWrap/>
            <w:vAlign w:val="center"/>
            <w:hideMark/>
          </w:tcPr>
          <w:p w14:paraId="0C3F7D0F" w14:textId="77777777" w:rsidR="00E838DF" w:rsidRPr="002E2F6B" w:rsidRDefault="00E838DF" w:rsidP="00110A7F">
            <w:pPr>
              <w:spacing w:before="0" w:after="0"/>
              <w:rPr>
                <w:sz w:val="16"/>
                <w:szCs w:val="16"/>
              </w:rPr>
            </w:pPr>
            <w:r w:rsidRPr="002E2F6B">
              <w:rPr>
                <w:sz w:val="16"/>
                <w:szCs w:val="16"/>
              </w:rPr>
              <w:t>0.25</w:t>
            </w:r>
          </w:p>
        </w:tc>
        <w:tc>
          <w:tcPr>
            <w:tcW w:w="320" w:type="pct"/>
            <w:tcBorders>
              <w:top w:val="nil"/>
              <w:left w:val="nil"/>
              <w:bottom w:val="nil"/>
              <w:right w:val="nil"/>
            </w:tcBorders>
            <w:shd w:val="clear" w:color="auto" w:fill="auto"/>
            <w:noWrap/>
            <w:vAlign w:val="center"/>
            <w:hideMark/>
          </w:tcPr>
          <w:p w14:paraId="0C3F7D10" w14:textId="77777777" w:rsidR="00E838DF" w:rsidRPr="002E2F6B" w:rsidRDefault="00E838DF" w:rsidP="00110A7F">
            <w:pPr>
              <w:spacing w:before="0" w:after="0"/>
              <w:rPr>
                <w:sz w:val="16"/>
                <w:szCs w:val="16"/>
              </w:rPr>
            </w:pPr>
            <w:r w:rsidRPr="002E2F6B">
              <w:rPr>
                <w:sz w:val="16"/>
                <w:szCs w:val="16"/>
              </w:rPr>
              <w:t>0.23</w:t>
            </w:r>
          </w:p>
        </w:tc>
      </w:tr>
      <w:tr w:rsidR="00E838DF" w:rsidRPr="002E2F6B" w14:paraId="0C3F7D21" w14:textId="77777777" w:rsidTr="00E838DF">
        <w:trPr>
          <w:trHeight w:val="20"/>
        </w:trPr>
        <w:tc>
          <w:tcPr>
            <w:tcW w:w="400" w:type="pct"/>
            <w:tcBorders>
              <w:top w:val="nil"/>
              <w:left w:val="nil"/>
              <w:bottom w:val="nil"/>
              <w:right w:val="nil"/>
            </w:tcBorders>
            <w:shd w:val="clear" w:color="auto" w:fill="auto"/>
            <w:noWrap/>
            <w:vAlign w:val="center"/>
            <w:hideMark/>
          </w:tcPr>
          <w:p w14:paraId="0C3F7D12" w14:textId="77777777" w:rsidR="00E838DF" w:rsidRPr="002E2F6B" w:rsidRDefault="00E838DF" w:rsidP="00110A7F">
            <w:pPr>
              <w:spacing w:before="0" w:after="0"/>
              <w:rPr>
                <w:sz w:val="16"/>
                <w:szCs w:val="16"/>
              </w:rPr>
            </w:pPr>
            <w:r w:rsidRPr="002E2F6B">
              <w:rPr>
                <w:sz w:val="16"/>
                <w:szCs w:val="16"/>
              </w:rPr>
              <w:t>TP</w:t>
            </w:r>
          </w:p>
        </w:tc>
        <w:tc>
          <w:tcPr>
            <w:tcW w:w="323" w:type="pct"/>
            <w:tcBorders>
              <w:top w:val="nil"/>
              <w:left w:val="nil"/>
              <w:bottom w:val="nil"/>
              <w:right w:val="nil"/>
            </w:tcBorders>
            <w:shd w:val="clear" w:color="auto" w:fill="auto"/>
            <w:noWrap/>
            <w:vAlign w:val="center"/>
            <w:hideMark/>
          </w:tcPr>
          <w:p w14:paraId="0C3F7D13" w14:textId="77777777" w:rsidR="00E838DF" w:rsidRPr="002E2F6B" w:rsidRDefault="00E838DF" w:rsidP="00110A7F">
            <w:pPr>
              <w:spacing w:before="0" w:after="0"/>
              <w:rPr>
                <w:sz w:val="16"/>
                <w:szCs w:val="16"/>
              </w:rPr>
            </w:pPr>
            <w:r w:rsidRPr="002E2F6B">
              <w:rPr>
                <w:sz w:val="16"/>
                <w:szCs w:val="16"/>
              </w:rPr>
              <w:t>-0.39</w:t>
            </w:r>
          </w:p>
        </w:tc>
        <w:tc>
          <w:tcPr>
            <w:tcW w:w="400" w:type="pct"/>
            <w:tcBorders>
              <w:top w:val="nil"/>
              <w:left w:val="nil"/>
              <w:bottom w:val="nil"/>
              <w:right w:val="nil"/>
            </w:tcBorders>
            <w:shd w:val="clear" w:color="auto" w:fill="auto"/>
            <w:noWrap/>
            <w:vAlign w:val="center"/>
            <w:hideMark/>
          </w:tcPr>
          <w:p w14:paraId="0C3F7D14" w14:textId="77777777" w:rsidR="00E838DF" w:rsidRPr="002E2F6B" w:rsidRDefault="00E838DF" w:rsidP="00110A7F">
            <w:pPr>
              <w:spacing w:before="0" w:after="0"/>
              <w:rPr>
                <w:sz w:val="16"/>
                <w:szCs w:val="16"/>
              </w:rPr>
            </w:pPr>
            <w:r w:rsidRPr="002E2F6B">
              <w:rPr>
                <w:sz w:val="16"/>
                <w:szCs w:val="16"/>
              </w:rPr>
              <w:t>-0.27</w:t>
            </w:r>
          </w:p>
        </w:tc>
        <w:tc>
          <w:tcPr>
            <w:tcW w:w="328" w:type="pct"/>
            <w:tcBorders>
              <w:top w:val="nil"/>
              <w:left w:val="nil"/>
              <w:bottom w:val="nil"/>
              <w:right w:val="nil"/>
            </w:tcBorders>
            <w:shd w:val="clear" w:color="auto" w:fill="auto"/>
            <w:noWrap/>
            <w:vAlign w:val="center"/>
            <w:hideMark/>
          </w:tcPr>
          <w:p w14:paraId="0C3F7D15" w14:textId="77777777" w:rsidR="00E838DF" w:rsidRPr="002E2F6B" w:rsidRDefault="00E838DF" w:rsidP="00110A7F">
            <w:pPr>
              <w:spacing w:before="0" w:after="0"/>
              <w:rPr>
                <w:sz w:val="16"/>
                <w:szCs w:val="16"/>
              </w:rPr>
            </w:pPr>
            <w:r w:rsidRPr="002E2F6B">
              <w:rPr>
                <w:sz w:val="16"/>
                <w:szCs w:val="16"/>
              </w:rPr>
              <w:t>-0.16</w:t>
            </w:r>
          </w:p>
        </w:tc>
        <w:tc>
          <w:tcPr>
            <w:tcW w:w="323" w:type="pct"/>
            <w:tcBorders>
              <w:top w:val="nil"/>
              <w:left w:val="nil"/>
              <w:bottom w:val="nil"/>
              <w:right w:val="nil"/>
            </w:tcBorders>
            <w:shd w:val="clear" w:color="auto" w:fill="auto"/>
            <w:noWrap/>
            <w:vAlign w:val="center"/>
            <w:hideMark/>
          </w:tcPr>
          <w:p w14:paraId="0C3F7D16"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D17" w14:textId="77777777" w:rsidR="00E838DF" w:rsidRPr="002E2F6B" w:rsidRDefault="00E838DF" w:rsidP="00110A7F">
            <w:pPr>
              <w:spacing w:before="0" w:after="0"/>
              <w:rPr>
                <w:sz w:val="16"/>
                <w:szCs w:val="16"/>
              </w:rPr>
            </w:pPr>
            <w:r w:rsidRPr="002E2F6B">
              <w:rPr>
                <w:sz w:val="16"/>
                <w:szCs w:val="16"/>
              </w:rPr>
              <w:t>-0.03</w:t>
            </w:r>
          </w:p>
        </w:tc>
        <w:tc>
          <w:tcPr>
            <w:tcW w:w="323" w:type="pct"/>
            <w:tcBorders>
              <w:top w:val="nil"/>
              <w:left w:val="nil"/>
              <w:bottom w:val="nil"/>
              <w:right w:val="nil"/>
            </w:tcBorders>
            <w:shd w:val="clear" w:color="auto" w:fill="auto"/>
            <w:noWrap/>
            <w:vAlign w:val="center"/>
            <w:hideMark/>
          </w:tcPr>
          <w:p w14:paraId="0C3F7D18" w14:textId="77777777" w:rsidR="00E838DF" w:rsidRPr="002E2F6B" w:rsidRDefault="00E838DF" w:rsidP="00110A7F">
            <w:pPr>
              <w:spacing w:before="0" w:after="0"/>
              <w:rPr>
                <w:sz w:val="16"/>
                <w:szCs w:val="16"/>
              </w:rPr>
            </w:pPr>
            <w:r w:rsidRPr="002E2F6B">
              <w:rPr>
                <w:sz w:val="16"/>
                <w:szCs w:val="16"/>
              </w:rPr>
              <w:t>0.17</w:t>
            </w:r>
          </w:p>
        </w:tc>
        <w:tc>
          <w:tcPr>
            <w:tcW w:w="323" w:type="pct"/>
            <w:tcBorders>
              <w:top w:val="nil"/>
              <w:left w:val="nil"/>
              <w:bottom w:val="nil"/>
              <w:right w:val="nil"/>
            </w:tcBorders>
            <w:shd w:val="clear" w:color="auto" w:fill="auto"/>
            <w:noWrap/>
            <w:vAlign w:val="center"/>
            <w:hideMark/>
          </w:tcPr>
          <w:p w14:paraId="0C3F7D19" w14:textId="77777777" w:rsidR="00E838DF" w:rsidRPr="002E2F6B" w:rsidRDefault="00E838DF" w:rsidP="00110A7F">
            <w:pPr>
              <w:spacing w:before="0" w:after="0"/>
              <w:rPr>
                <w:sz w:val="16"/>
                <w:szCs w:val="16"/>
              </w:rPr>
            </w:pPr>
            <w:r w:rsidRPr="002E2F6B">
              <w:rPr>
                <w:sz w:val="16"/>
                <w:szCs w:val="16"/>
              </w:rPr>
              <w:t>0.58</w:t>
            </w:r>
          </w:p>
        </w:tc>
        <w:tc>
          <w:tcPr>
            <w:tcW w:w="323" w:type="pct"/>
            <w:tcBorders>
              <w:top w:val="nil"/>
              <w:left w:val="nil"/>
              <w:bottom w:val="nil"/>
              <w:right w:val="nil"/>
            </w:tcBorders>
            <w:shd w:val="clear" w:color="auto" w:fill="auto"/>
            <w:noWrap/>
            <w:vAlign w:val="center"/>
            <w:hideMark/>
          </w:tcPr>
          <w:p w14:paraId="0C3F7D1A" w14:textId="77777777" w:rsidR="00E838DF" w:rsidRPr="002E2F6B" w:rsidRDefault="00E838DF" w:rsidP="00110A7F">
            <w:pPr>
              <w:spacing w:before="0" w:after="0"/>
              <w:rPr>
                <w:sz w:val="16"/>
                <w:szCs w:val="16"/>
              </w:rPr>
            </w:pPr>
            <w:r w:rsidRPr="002E2F6B">
              <w:rPr>
                <w:sz w:val="16"/>
                <w:szCs w:val="16"/>
              </w:rPr>
              <w:t>0.21</w:t>
            </w:r>
          </w:p>
        </w:tc>
        <w:tc>
          <w:tcPr>
            <w:tcW w:w="323" w:type="pct"/>
            <w:tcBorders>
              <w:top w:val="nil"/>
              <w:left w:val="nil"/>
              <w:bottom w:val="nil"/>
              <w:right w:val="nil"/>
            </w:tcBorders>
            <w:shd w:val="clear" w:color="auto" w:fill="auto"/>
            <w:noWrap/>
            <w:vAlign w:val="center"/>
            <w:hideMark/>
          </w:tcPr>
          <w:p w14:paraId="0C3F7D1B"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000000" w:fill="FFFF00"/>
            <w:noWrap/>
            <w:vAlign w:val="center"/>
            <w:hideMark/>
          </w:tcPr>
          <w:p w14:paraId="0C3F7D1C" w14:textId="77777777" w:rsidR="00E838DF" w:rsidRPr="002E2F6B" w:rsidRDefault="00E838DF" w:rsidP="00110A7F">
            <w:pPr>
              <w:spacing w:before="0" w:after="0"/>
              <w:rPr>
                <w:sz w:val="16"/>
                <w:szCs w:val="16"/>
              </w:rPr>
            </w:pPr>
            <w:r w:rsidRPr="002E2F6B">
              <w:rPr>
                <w:sz w:val="16"/>
                <w:szCs w:val="16"/>
              </w:rPr>
              <w:t>0.62</w:t>
            </w:r>
          </w:p>
        </w:tc>
        <w:tc>
          <w:tcPr>
            <w:tcW w:w="323" w:type="pct"/>
            <w:tcBorders>
              <w:top w:val="nil"/>
              <w:left w:val="nil"/>
              <w:bottom w:val="nil"/>
              <w:right w:val="nil"/>
            </w:tcBorders>
            <w:shd w:val="clear" w:color="auto" w:fill="auto"/>
            <w:noWrap/>
            <w:vAlign w:val="center"/>
            <w:hideMark/>
          </w:tcPr>
          <w:p w14:paraId="0C3F7D1D"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D1E"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D1F" w14:textId="77777777" w:rsidR="00E838DF" w:rsidRPr="002E2F6B" w:rsidRDefault="00E838DF" w:rsidP="00110A7F">
            <w:pPr>
              <w:spacing w:before="0" w:after="0"/>
              <w:rPr>
                <w:sz w:val="16"/>
                <w:szCs w:val="16"/>
              </w:rPr>
            </w:pPr>
            <w:r w:rsidRPr="002E2F6B">
              <w:rPr>
                <w:sz w:val="16"/>
                <w:szCs w:val="16"/>
              </w:rPr>
              <w:t>0.39</w:t>
            </w:r>
          </w:p>
        </w:tc>
        <w:tc>
          <w:tcPr>
            <w:tcW w:w="320" w:type="pct"/>
            <w:tcBorders>
              <w:top w:val="nil"/>
              <w:left w:val="nil"/>
              <w:bottom w:val="nil"/>
              <w:right w:val="nil"/>
            </w:tcBorders>
            <w:shd w:val="clear" w:color="auto" w:fill="auto"/>
            <w:noWrap/>
            <w:vAlign w:val="center"/>
            <w:hideMark/>
          </w:tcPr>
          <w:p w14:paraId="0C3F7D20" w14:textId="77777777" w:rsidR="00E838DF" w:rsidRPr="002E2F6B" w:rsidRDefault="00E838DF" w:rsidP="00110A7F">
            <w:pPr>
              <w:spacing w:before="0" w:after="0"/>
              <w:rPr>
                <w:sz w:val="16"/>
                <w:szCs w:val="16"/>
              </w:rPr>
            </w:pPr>
            <w:r w:rsidRPr="002E2F6B">
              <w:rPr>
                <w:sz w:val="16"/>
                <w:szCs w:val="16"/>
              </w:rPr>
              <w:t>0.36</w:t>
            </w:r>
          </w:p>
        </w:tc>
      </w:tr>
      <w:tr w:rsidR="00E838DF" w:rsidRPr="002E2F6B" w14:paraId="0C3F7D31" w14:textId="77777777" w:rsidTr="00E838DF">
        <w:trPr>
          <w:trHeight w:val="20"/>
        </w:trPr>
        <w:tc>
          <w:tcPr>
            <w:tcW w:w="400" w:type="pct"/>
            <w:tcBorders>
              <w:top w:val="nil"/>
              <w:left w:val="nil"/>
              <w:bottom w:val="nil"/>
              <w:right w:val="nil"/>
            </w:tcBorders>
            <w:shd w:val="clear" w:color="auto" w:fill="auto"/>
            <w:noWrap/>
            <w:vAlign w:val="center"/>
            <w:hideMark/>
          </w:tcPr>
          <w:p w14:paraId="0C3F7D22" w14:textId="77777777" w:rsidR="00E838DF" w:rsidRPr="002E2F6B" w:rsidRDefault="00E838DF" w:rsidP="00110A7F">
            <w:pPr>
              <w:spacing w:before="0" w:after="0"/>
              <w:rPr>
                <w:sz w:val="16"/>
                <w:szCs w:val="16"/>
              </w:rPr>
            </w:pPr>
            <w:r w:rsidRPr="002E2F6B">
              <w:rPr>
                <w:sz w:val="16"/>
                <w:szCs w:val="16"/>
              </w:rPr>
              <w:t>TDP</w:t>
            </w:r>
          </w:p>
        </w:tc>
        <w:tc>
          <w:tcPr>
            <w:tcW w:w="323" w:type="pct"/>
            <w:tcBorders>
              <w:top w:val="nil"/>
              <w:left w:val="nil"/>
              <w:bottom w:val="nil"/>
              <w:right w:val="nil"/>
            </w:tcBorders>
            <w:shd w:val="clear" w:color="auto" w:fill="auto"/>
            <w:noWrap/>
            <w:vAlign w:val="center"/>
            <w:hideMark/>
          </w:tcPr>
          <w:p w14:paraId="0C3F7D23" w14:textId="77777777" w:rsidR="00E838DF" w:rsidRPr="002E2F6B" w:rsidRDefault="00E838DF" w:rsidP="00110A7F">
            <w:pPr>
              <w:spacing w:before="0" w:after="0"/>
              <w:rPr>
                <w:sz w:val="16"/>
                <w:szCs w:val="16"/>
              </w:rPr>
            </w:pPr>
            <w:r w:rsidRPr="002E2F6B">
              <w:rPr>
                <w:sz w:val="16"/>
                <w:szCs w:val="16"/>
              </w:rPr>
              <w:t>-0.27</w:t>
            </w:r>
          </w:p>
        </w:tc>
        <w:tc>
          <w:tcPr>
            <w:tcW w:w="400" w:type="pct"/>
            <w:tcBorders>
              <w:top w:val="nil"/>
              <w:left w:val="nil"/>
              <w:bottom w:val="nil"/>
              <w:right w:val="nil"/>
            </w:tcBorders>
            <w:shd w:val="clear" w:color="auto" w:fill="auto"/>
            <w:noWrap/>
            <w:vAlign w:val="center"/>
            <w:hideMark/>
          </w:tcPr>
          <w:p w14:paraId="0C3F7D24" w14:textId="77777777" w:rsidR="00E838DF" w:rsidRPr="002E2F6B" w:rsidRDefault="00E838DF" w:rsidP="00110A7F">
            <w:pPr>
              <w:spacing w:before="0" w:after="0"/>
              <w:rPr>
                <w:sz w:val="16"/>
                <w:szCs w:val="16"/>
              </w:rPr>
            </w:pPr>
            <w:r w:rsidRPr="002E2F6B">
              <w:rPr>
                <w:sz w:val="16"/>
                <w:szCs w:val="16"/>
              </w:rPr>
              <w:t>-0.18</w:t>
            </w:r>
          </w:p>
        </w:tc>
        <w:tc>
          <w:tcPr>
            <w:tcW w:w="328" w:type="pct"/>
            <w:tcBorders>
              <w:top w:val="nil"/>
              <w:left w:val="nil"/>
              <w:bottom w:val="nil"/>
              <w:right w:val="nil"/>
            </w:tcBorders>
            <w:shd w:val="clear" w:color="auto" w:fill="auto"/>
            <w:noWrap/>
            <w:vAlign w:val="center"/>
            <w:hideMark/>
          </w:tcPr>
          <w:p w14:paraId="0C3F7D25" w14:textId="77777777" w:rsidR="00E838DF" w:rsidRPr="002E2F6B" w:rsidRDefault="00E838DF" w:rsidP="00110A7F">
            <w:pPr>
              <w:spacing w:before="0" w:after="0"/>
              <w:rPr>
                <w:sz w:val="16"/>
                <w:szCs w:val="16"/>
              </w:rPr>
            </w:pPr>
            <w:r w:rsidRPr="002E2F6B">
              <w:rPr>
                <w:sz w:val="16"/>
                <w:szCs w:val="16"/>
              </w:rPr>
              <w:t>-0.05</w:t>
            </w:r>
          </w:p>
        </w:tc>
        <w:tc>
          <w:tcPr>
            <w:tcW w:w="323" w:type="pct"/>
            <w:tcBorders>
              <w:top w:val="nil"/>
              <w:left w:val="nil"/>
              <w:bottom w:val="nil"/>
              <w:right w:val="nil"/>
            </w:tcBorders>
            <w:shd w:val="clear" w:color="auto" w:fill="auto"/>
            <w:noWrap/>
            <w:vAlign w:val="center"/>
            <w:hideMark/>
          </w:tcPr>
          <w:p w14:paraId="0C3F7D26"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D27" w14:textId="77777777" w:rsidR="00E838DF" w:rsidRPr="002E2F6B" w:rsidRDefault="00E838DF" w:rsidP="00110A7F">
            <w:pPr>
              <w:spacing w:before="0" w:after="0"/>
              <w:rPr>
                <w:sz w:val="16"/>
                <w:szCs w:val="16"/>
              </w:rPr>
            </w:pPr>
            <w:r w:rsidRPr="002E2F6B">
              <w:rPr>
                <w:sz w:val="16"/>
                <w:szCs w:val="16"/>
              </w:rPr>
              <w:t>-0.11</w:t>
            </w:r>
          </w:p>
        </w:tc>
        <w:tc>
          <w:tcPr>
            <w:tcW w:w="323" w:type="pct"/>
            <w:tcBorders>
              <w:top w:val="nil"/>
              <w:left w:val="nil"/>
              <w:bottom w:val="nil"/>
              <w:right w:val="nil"/>
            </w:tcBorders>
            <w:shd w:val="clear" w:color="auto" w:fill="auto"/>
            <w:noWrap/>
            <w:vAlign w:val="center"/>
            <w:hideMark/>
          </w:tcPr>
          <w:p w14:paraId="0C3F7D28" w14:textId="77777777" w:rsidR="00E838DF" w:rsidRPr="002E2F6B" w:rsidRDefault="00E838DF" w:rsidP="00110A7F">
            <w:pPr>
              <w:spacing w:before="0" w:after="0"/>
              <w:rPr>
                <w:sz w:val="16"/>
                <w:szCs w:val="16"/>
              </w:rPr>
            </w:pPr>
            <w:r w:rsidRPr="002E2F6B">
              <w:rPr>
                <w:sz w:val="16"/>
                <w:szCs w:val="16"/>
              </w:rPr>
              <w:t>0.04</w:t>
            </w:r>
          </w:p>
        </w:tc>
        <w:tc>
          <w:tcPr>
            <w:tcW w:w="323" w:type="pct"/>
            <w:tcBorders>
              <w:top w:val="nil"/>
              <w:left w:val="nil"/>
              <w:bottom w:val="nil"/>
              <w:right w:val="nil"/>
            </w:tcBorders>
            <w:shd w:val="clear" w:color="auto" w:fill="auto"/>
            <w:noWrap/>
            <w:vAlign w:val="center"/>
            <w:hideMark/>
          </w:tcPr>
          <w:p w14:paraId="0C3F7D29" w14:textId="77777777" w:rsidR="00E838DF" w:rsidRPr="002E2F6B" w:rsidRDefault="00E838DF" w:rsidP="00110A7F">
            <w:pPr>
              <w:spacing w:before="0" w:after="0"/>
              <w:rPr>
                <w:sz w:val="16"/>
                <w:szCs w:val="16"/>
              </w:rPr>
            </w:pPr>
            <w:r w:rsidRPr="002E2F6B">
              <w:rPr>
                <w:sz w:val="16"/>
                <w:szCs w:val="16"/>
              </w:rPr>
              <w:t>0.48</w:t>
            </w:r>
          </w:p>
        </w:tc>
        <w:tc>
          <w:tcPr>
            <w:tcW w:w="323" w:type="pct"/>
            <w:tcBorders>
              <w:top w:val="nil"/>
              <w:left w:val="nil"/>
              <w:bottom w:val="nil"/>
              <w:right w:val="nil"/>
            </w:tcBorders>
            <w:shd w:val="clear" w:color="auto" w:fill="auto"/>
            <w:noWrap/>
            <w:vAlign w:val="center"/>
            <w:hideMark/>
          </w:tcPr>
          <w:p w14:paraId="0C3F7D2A" w14:textId="77777777" w:rsidR="00E838DF" w:rsidRPr="002E2F6B" w:rsidRDefault="00E838DF" w:rsidP="00110A7F">
            <w:pPr>
              <w:spacing w:before="0" w:after="0"/>
              <w:rPr>
                <w:sz w:val="16"/>
                <w:szCs w:val="16"/>
              </w:rPr>
            </w:pPr>
            <w:r w:rsidRPr="002E2F6B">
              <w:rPr>
                <w:sz w:val="16"/>
                <w:szCs w:val="16"/>
              </w:rPr>
              <w:t>-0.01</w:t>
            </w:r>
          </w:p>
        </w:tc>
        <w:tc>
          <w:tcPr>
            <w:tcW w:w="323" w:type="pct"/>
            <w:tcBorders>
              <w:top w:val="nil"/>
              <w:left w:val="nil"/>
              <w:bottom w:val="nil"/>
              <w:right w:val="nil"/>
            </w:tcBorders>
            <w:shd w:val="clear" w:color="000000" w:fill="FFFF00"/>
            <w:noWrap/>
            <w:vAlign w:val="center"/>
            <w:hideMark/>
          </w:tcPr>
          <w:p w14:paraId="0C3F7D2B" w14:textId="77777777" w:rsidR="00E838DF" w:rsidRPr="002E2F6B" w:rsidRDefault="00E838DF" w:rsidP="00110A7F">
            <w:pPr>
              <w:spacing w:before="0" w:after="0"/>
              <w:rPr>
                <w:sz w:val="16"/>
                <w:szCs w:val="16"/>
              </w:rPr>
            </w:pPr>
            <w:r w:rsidRPr="002E2F6B">
              <w:rPr>
                <w:sz w:val="16"/>
                <w:szCs w:val="16"/>
              </w:rPr>
              <w:t>0.62</w:t>
            </w:r>
          </w:p>
        </w:tc>
        <w:tc>
          <w:tcPr>
            <w:tcW w:w="323" w:type="pct"/>
            <w:tcBorders>
              <w:top w:val="nil"/>
              <w:left w:val="nil"/>
              <w:bottom w:val="nil"/>
              <w:right w:val="nil"/>
            </w:tcBorders>
            <w:shd w:val="clear" w:color="auto" w:fill="auto"/>
            <w:noWrap/>
            <w:vAlign w:val="center"/>
            <w:hideMark/>
          </w:tcPr>
          <w:p w14:paraId="0C3F7D2C"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D2D"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D2E" w14:textId="77777777" w:rsidR="00E838DF" w:rsidRPr="002E2F6B" w:rsidRDefault="00E838DF" w:rsidP="00110A7F">
            <w:pPr>
              <w:spacing w:before="0" w:after="0"/>
              <w:rPr>
                <w:sz w:val="16"/>
                <w:szCs w:val="16"/>
              </w:rPr>
            </w:pPr>
            <w:r w:rsidRPr="002E2F6B">
              <w:rPr>
                <w:sz w:val="16"/>
                <w:szCs w:val="16"/>
              </w:rPr>
              <w:t>-0.36</w:t>
            </w:r>
          </w:p>
        </w:tc>
        <w:tc>
          <w:tcPr>
            <w:tcW w:w="323" w:type="pct"/>
            <w:tcBorders>
              <w:top w:val="nil"/>
              <w:left w:val="nil"/>
              <w:bottom w:val="nil"/>
              <w:right w:val="nil"/>
            </w:tcBorders>
            <w:shd w:val="clear" w:color="auto" w:fill="auto"/>
            <w:noWrap/>
            <w:vAlign w:val="center"/>
            <w:hideMark/>
          </w:tcPr>
          <w:p w14:paraId="0C3F7D2F" w14:textId="77777777" w:rsidR="00E838DF" w:rsidRPr="002E2F6B" w:rsidRDefault="00E838DF" w:rsidP="00110A7F">
            <w:pPr>
              <w:spacing w:before="0" w:after="0"/>
              <w:rPr>
                <w:sz w:val="16"/>
                <w:szCs w:val="16"/>
              </w:rPr>
            </w:pPr>
            <w:r w:rsidRPr="002E2F6B">
              <w:rPr>
                <w:sz w:val="16"/>
                <w:szCs w:val="16"/>
              </w:rPr>
              <w:t>-0.40</w:t>
            </w:r>
          </w:p>
        </w:tc>
        <w:tc>
          <w:tcPr>
            <w:tcW w:w="320" w:type="pct"/>
            <w:tcBorders>
              <w:top w:val="nil"/>
              <w:left w:val="nil"/>
              <w:bottom w:val="nil"/>
              <w:right w:val="nil"/>
            </w:tcBorders>
            <w:shd w:val="clear" w:color="auto" w:fill="auto"/>
            <w:noWrap/>
            <w:vAlign w:val="center"/>
            <w:hideMark/>
          </w:tcPr>
          <w:p w14:paraId="0C3F7D30" w14:textId="77777777" w:rsidR="00E838DF" w:rsidRPr="002E2F6B" w:rsidRDefault="00E838DF" w:rsidP="00110A7F">
            <w:pPr>
              <w:spacing w:before="0" w:after="0"/>
              <w:rPr>
                <w:sz w:val="16"/>
                <w:szCs w:val="16"/>
              </w:rPr>
            </w:pPr>
            <w:r w:rsidRPr="002E2F6B">
              <w:rPr>
                <w:sz w:val="16"/>
                <w:szCs w:val="16"/>
              </w:rPr>
              <w:t>0.12</w:t>
            </w:r>
          </w:p>
        </w:tc>
      </w:tr>
      <w:tr w:rsidR="00E838DF" w:rsidRPr="002E2F6B" w14:paraId="0C3F7D41" w14:textId="77777777" w:rsidTr="00E838DF">
        <w:trPr>
          <w:trHeight w:val="20"/>
        </w:trPr>
        <w:tc>
          <w:tcPr>
            <w:tcW w:w="400" w:type="pct"/>
            <w:tcBorders>
              <w:top w:val="nil"/>
              <w:left w:val="nil"/>
              <w:bottom w:val="nil"/>
              <w:right w:val="nil"/>
            </w:tcBorders>
            <w:shd w:val="clear" w:color="auto" w:fill="auto"/>
            <w:noWrap/>
            <w:vAlign w:val="center"/>
            <w:hideMark/>
          </w:tcPr>
          <w:p w14:paraId="0C3F7D32" w14:textId="77777777" w:rsidR="00E838DF" w:rsidRPr="002E2F6B" w:rsidRDefault="00E838DF" w:rsidP="00110A7F">
            <w:pPr>
              <w:spacing w:before="0" w:after="0"/>
              <w:rPr>
                <w:sz w:val="16"/>
                <w:szCs w:val="16"/>
              </w:rPr>
            </w:pPr>
            <w:r w:rsidRPr="002E2F6B">
              <w:rPr>
                <w:sz w:val="16"/>
                <w:szCs w:val="16"/>
              </w:rPr>
              <w:t>DIP</w:t>
            </w:r>
          </w:p>
        </w:tc>
        <w:tc>
          <w:tcPr>
            <w:tcW w:w="323" w:type="pct"/>
            <w:tcBorders>
              <w:top w:val="nil"/>
              <w:left w:val="nil"/>
              <w:bottom w:val="nil"/>
              <w:right w:val="nil"/>
            </w:tcBorders>
            <w:shd w:val="clear" w:color="auto" w:fill="auto"/>
            <w:noWrap/>
            <w:vAlign w:val="center"/>
            <w:hideMark/>
          </w:tcPr>
          <w:p w14:paraId="0C3F7D33" w14:textId="77777777" w:rsidR="00E838DF" w:rsidRPr="002E2F6B" w:rsidRDefault="00E838DF" w:rsidP="00110A7F">
            <w:pPr>
              <w:spacing w:before="0" w:after="0"/>
              <w:rPr>
                <w:sz w:val="16"/>
                <w:szCs w:val="16"/>
              </w:rPr>
            </w:pPr>
            <w:r w:rsidRPr="002E2F6B">
              <w:rPr>
                <w:sz w:val="16"/>
                <w:szCs w:val="16"/>
              </w:rPr>
              <w:t>-0.09</w:t>
            </w:r>
          </w:p>
        </w:tc>
        <w:tc>
          <w:tcPr>
            <w:tcW w:w="400" w:type="pct"/>
            <w:tcBorders>
              <w:top w:val="nil"/>
              <w:left w:val="nil"/>
              <w:bottom w:val="nil"/>
              <w:right w:val="nil"/>
            </w:tcBorders>
            <w:shd w:val="clear" w:color="auto" w:fill="auto"/>
            <w:noWrap/>
            <w:vAlign w:val="center"/>
            <w:hideMark/>
          </w:tcPr>
          <w:p w14:paraId="0C3F7D34" w14:textId="77777777" w:rsidR="00E838DF" w:rsidRPr="002E2F6B" w:rsidRDefault="00E838DF" w:rsidP="00110A7F">
            <w:pPr>
              <w:spacing w:before="0" w:after="0"/>
              <w:rPr>
                <w:sz w:val="16"/>
                <w:szCs w:val="16"/>
              </w:rPr>
            </w:pPr>
            <w:r w:rsidRPr="002E2F6B">
              <w:rPr>
                <w:sz w:val="16"/>
                <w:szCs w:val="16"/>
              </w:rPr>
              <w:t>-0.10</w:t>
            </w:r>
          </w:p>
        </w:tc>
        <w:tc>
          <w:tcPr>
            <w:tcW w:w="328" w:type="pct"/>
            <w:tcBorders>
              <w:top w:val="nil"/>
              <w:left w:val="nil"/>
              <w:bottom w:val="nil"/>
              <w:right w:val="nil"/>
            </w:tcBorders>
            <w:shd w:val="clear" w:color="auto" w:fill="auto"/>
            <w:noWrap/>
            <w:vAlign w:val="center"/>
            <w:hideMark/>
          </w:tcPr>
          <w:p w14:paraId="0C3F7D35" w14:textId="77777777" w:rsidR="00E838DF" w:rsidRPr="002E2F6B" w:rsidRDefault="00E838DF" w:rsidP="00110A7F">
            <w:pPr>
              <w:spacing w:before="0" w:after="0"/>
              <w:rPr>
                <w:sz w:val="16"/>
                <w:szCs w:val="16"/>
              </w:rPr>
            </w:pPr>
            <w:r w:rsidRPr="002E2F6B">
              <w:rPr>
                <w:sz w:val="16"/>
                <w:szCs w:val="16"/>
              </w:rPr>
              <w:t>-0.06</w:t>
            </w:r>
          </w:p>
        </w:tc>
        <w:tc>
          <w:tcPr>
            <w:tcW w:w="323" w:type="pct"/>
            <w:tcBorders>
              <w:top w:val="nil"/>
              <w:left w:val="nil"/>
              <w:bottom w:val="nil"/>
              <w:right w:val="nil"/>
            </w:tcBorders>
            <w:shd w:val="clear" w:color="auto" w:fill="auto"/>
            <w:noWrap/>
            <w:vAlign w:val="center"/>
            <w:hideMark/>
          </w:tcPr>
          <w:p w14:paraId="0C3F7D36"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auto" w:fill="auto"/>
            <w:noWrap/>
            <w:vAlign w:val="center"/>
            <w:hideMark/>
          </w:tcPr>
          <w:p w14:paraId="0C3F7D37"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nil"/>
              <w:right w:val="nil"/>
            </w:tcBorders>
            <w:shd w:val="clear" w:color="auto" w:fill="auto"/>
            <w:noWrap/>
            <w:vAlign w:val="center"/>
            <w:hideMark/>
          </w:tcPr>
          <w:p w14:paraId="0C3F7D38"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auto" w:fill="auto"/>
            <w:noWrap/>
            <w:vAlign w:val="center"/>
            <w:hideMark/>
          </w:tcPr>
          <w:p w14:paraId="0C3F7D39" w14:textId="77777777" w:rsidR="00E838DF" w:rsidRPr="002E2F6B" w:rsidRDefault="00E838DF" w:rsidP="00110A7F">
            <w:pPr>
              <w:spacing w:before="0" w:after="0"/>
              <w:rPr>
                <w:sz w:val="16"/>
                <w:szCs w:val="16"/>
              </w:rPr>
            </w:pPr>
            <w:r w:rsidRPr="002E2F6B">
              <w:rPr>
                <w:sz w:val="16"/>
                <w:szCs w:val="16"/>
              </w:rPr>
              <w:t>0.18</w:t>
            </w:r>
          </w:p>
        </w:tc>
        <w:tc>
          <w:tcPr>
            <w:tcW w:w="323" w:type="pct"/>
            <w:tcBorders>
              <w:top w:val="nil"/>
              <w:left w:val="nil"/>
              <w:bottom w:val="nil"/>
              <w:right w:val="nil"/>
            </w:tcBorders>
            <w:shd w:val="clear" w:color="auto" w:fill="auto"/>
            <w:noWrap/>
            <w:vAlign w:val="center"/>
            <w:hideMark/>
          </w:tcPr>
          <w:p w14:paraId="0C3F7D3A" w14:textId="77777777" w:rsidR="00E838DF" w:rsidRPr="002E2F6B" w:rsidRDefault="00E838DF" w:rsidP="00110A7F">
            <w:pPr>
              <w:spacing w:before="0" w:after="0"/>
              <w:rPr>
                <w:sz w:val="16"/>
                <w:szCs w:val="16"/>
              </w:rPr>
            </w:pPr>
            <w:r w:rsidRPr="002E2F6B">
              <w:rPr>
                <w:sz w:val="16"/>
                <w:szCs w:val="16"/>
              </w:rPr>
              <w:t>-0.17</w:t>
            </w:r>
          </w:p>
        </w:tc>
        <w:tc>
          <w:tcPr>
            <w:tcW w:w="323" w:type="pct"/>
            <w:tcBorders>
              <w:top w:val="nil"/>
              <w:left w:val="nil"/>
              <w:bottom w:val="nil"/>
              <w:right w:val="nil"/>
            </w:tcBorders>
            <w:shd w:val="clear" w:color="auto" w:fill="auto"/>
            <w:noWrap/>
            <w:vAlign w:val="center"/>
            <w:hideMark/>
          </w:tcPr>
          <w:p w14:paraId="0C3F7D3B"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auto" w:fill="auto"/>
            <w:noWrap/>
            <w:vAlign w:val="center"/>
            <w:hideMark/>
          </w:tcPr>
          <w:p w14:paraId="0C3F7D3C" w14:textId="77777777" w:rsidR="00E838DF" w:rsidRPr="002E2F6B" w:rsidRDefault="00E838DF" w:rsidP="00110A7F">
            <w:pPr>
              <w:spacing w:before="0" w:after="0"/>
              <w:rPr>
                <w:sz w:val="16"/>
                <w:szCs w:val="16"/>
              </w:rPr>
            </w:pPr>
            <w:r w:rsidRPr="002E2F6B">
              <w:rPr>
                <w:sz w:val="16"/>
                <w:szCs w:val="16"/>
              </w:rPr>
              <w:t>0.29</w:t>
            </w:r>
          </w:p>
        </w:tc>
        <w:tc>
          <w:tcPr>
            <w:tcW w:w="323" w:type="pct"/>
            <w:tcBorders>
              <w:top w:val="nil"/>
              <w:left w:val="nil"/>
              <w:bottom w:val="nil"/>
              <w:right w:val="nil"/>
            </w:tcBorders>
            <w:shd w:val="clear" w:color="auto" w:fill="auto"/>
            <w:noWrap/>
            <w:vAlign w:val="center"/>
            <w:hideMark/>
          </w:tcPr>
          <w:p w14:paraId="0C3F7D3D"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D3E" w14:textId="77777777" w:rsidR="00E838DF" w:rsidRPr="002E2F6B" w:rsidRDefault="00E838DF" w:rsidP="00110A7F">
            <w:pPr>
              <w:spacing w:before="0" w:after="0"/>
              <w:rPr>
                <w:sz w:val="16"/>
                <w:szCs w:val="16"/>
              </w:rPr>
            </w:pPr>
            <w:r w:rsidRPr="002E2F6B">
              <w:rPr>
                <w:sz w:val="16"/>
                <w:szCs w:val="16"/>
              </w:rPr>
              <w:t>-0.31</w:t>
            </w:r>
          </w:p>
        </w:tc>
        <w:tc>
          <w:tcPr>
            <w:tcW w:w="323" w:type="pct"/>
            <w:tcBorders>
              <w:top w:val="nil"/>
              <w:left w:val="nil"/>
              <w:bottom w:val="nil"/>
              <w:right w:val="nil"/>
            </w:tcBorders>
            <w:shd w:val="clear" w:color="auto" w:fill="auto"/>
            <w:noWrap/>
            <w:vAlign w:val="center"/>
            <w:hideMark/>
          </w:tcPr>
          <w:p w14:paraId="0C3F7D3F" w14:textId="77777777" w:rsidR="00E838DF" w:rsidRPr="002E2F6B" w:rsidRDefault="00E838DF" w:rsidP="00110A7F">
            <w:pPr>
              <w:spacing w:before="0" w:after="0"/>
              <w:rPr>
                <w:sz w:val="16"/>
                <w:szCs w:val="16"/>
              </w:rPr>
            </w:pPr>
            <w:r w:rsidRPr="002E2F6B">
              <w:rPr>
                <w:sz w:val="16"/>
                <w:szCs w:val="16"/>
              </w:rPr>
              <w:t>-0.15</w:t>
            </w:r>
          </w:p>
        </w:tc>
        <w:tc>
          <w:tcPr>
            <w:tcW w:w="320" w:type="pct"/>
            <w:tcBorders>
              <w:top w:val="nil"/>
              <w:left w:val="nil"/>
              <w:bottom w:val="nil"/>
              <w:right w:val="nil"/>
            </w:tcBorders>
            <w:shd w:val="clear" w:color="auto" w:fill="auto"/>
            <w:noWrap/>
            <w:vAlign w:val="center"/>
            <w:hideMark/>
          </w:tcPr>
          <w:p w14:paraId="0C3F7D40" w14:textId="77777777" w:rsidR="00E838DF" w:rsidRPr="002E2F6B" w:rsidRDefault="00E838DF" w:rsidP="00110A7F">
            <w:pPr>
              <w:spacing w:before="0" w:after="0"/>
              <w:rPr>
                <w:sz w:val="16"/>
                <w:szCs w:val="16"/>
              </w:rPr>
            </w:pPr>
            <w:r w:rsidRPr="002E2F6B">
              <w:rPr>
                <w:sz w:val="16"/>
                <w:szCs w:val="16"/>
              </w:rPr>
              <w:t>-0.07</w:t>
            </w:r>
          </w:p>
        </w:tc>
      </w:tr>
      <w:tr w:rsidR="00E838DF" w:rsidRPr="002E2F6B" w14:paraId="0C3F7D51" w14:textId="77777777" w:rsidTr="00E838DF">
        <w:trPr>
          <w:trHeight w:val="20"/>
        </w:trPr>
        <w:tc>
          <w:tcPr>
            <w:tcW w:w="400" w:type="pct"/>
            <w:tcBorders>
              <w:top w:val="nil"/>
              <w:left w:val="nil"/>
              <w:bottom w:val="nil"/>
              <w:right w:val="nil"/>
            </w:tcBorders>
            <w:shd w:val="clear" w:color="auto" w:fill="auto"/>
            <w:noWrap/>
            <w:vAlign w:val="center"/>
            <w:hideMark/>
          </w:tcPr>
          <w:p w14:paraId="0C3F7D42" w14:textId="77777777" w:rsidR="00E838DF" w:rsidRPr="002E2F6B" w:rsidRDefault="00E838DF" w:rsidP="00110A7F">
            <w:pPr>
              <w:spacing w:before="0" w:after="0"/>
              <w:rPr>
                <w:sz w:val="16"/>
                <w:szCs w:val="16"/>
              </w:rPr>
            </w:pPr>
            <w:r w:rsidRPr="002E2F6B">
              <w:rPr>
                <w:sz w:val="16"/>
                <w:szCs w:val="16"/>
              </w:rPr>
              <w:t>PN</w:t>
            </w:r>
          </w:p>
        </w:tc>
        <w:tc>
          <w:tcPr>
            <w:tcW w:w="323" w:type="pct"/>
            <w:tcBorders>
              <w:top w:val="nil"/>
              <w:left w:val="nil"/>
              <w:bottom w:val="nil"/>
              <w:right w:val="nil"/>
            </w:tcBorders>
            <w:shd w:val="clear" w:color="auto" w:fill="auto"/>
            <w:noWrap/>
            <w:vAlign w:val="center"/>
            <w:hideMark/>
          </w:tcPr>
          <w:p w14:paraId="0C3F7D43" w14:textId="77777777" w:rsidR="00E838DF" w:rsidRPr="002E2F6B" w:rsidRDefault="00E838DF" w:rsidP="00110A7F">
            <w:pPr>
              <w:spacing w:before="0" w:after="0"/>
              <w:rPr>
                <w:sz w:val="16"/>
                <w:szCs w:val="16"/>
              </w:rPr>
            </w:pPr>
            <w:r w:rsidRPr="002E2F6B">
              <w:rPr>
                <w:sz w:val="16"/>
                <w:szCs w:val="16"/>
              </w:rPr>
              <w:t>0.28</w:t>
            </w:r>
          </w:p>
        </w:tc>
        <w:tc>
          <w:tcPr>
            <w:tcW w:w="400" w:type="pct"/>
            <w:tcBorders>
              <w:top w:val="nil"/>
              <w:left w:val="nil"/>
              <w:bottom w:val="nil"/>
              <w:right w:val="nil"/>
            </w:tcBorders>
            <w:shd w:val="clear" w:color="auto" w:fill="auto"/>
            <w:noWrap/>
            <w:vAlign w:val="center"/>
            <w:hideMark/>
          </w:tcPr>
          <w:p w14:paraId="0C3F7D44" w14:textId="77777777" w:rsidR="00E838DF" w:rsidRPr="002E2F6B" w:rsidRDefault="00E838DF" w:rsidP="00110A7F">
            <w:pPr>
              <w:spacing w:before="0" w:after="0"/>
              <w:rPr>
                <w:sz w:val="16"/>
                <w:szCs w:val="16"/>
              </w:rPr>
            </w:pPr>
            <w:r w:rsidRPr="002E2F6B">
              <w:rPr>
                <w:sz w:val="16"/>
                <w:szCs w:val="16"/>
              </w:rPr>
              <w:t>0.28</w:t>
            </w:r>
          </w:p>
        </w:tc>
        <w:tc>
          <w:tcPr>
            <w:tcW w:w="328" w:type="pct"/>
            <w:tcBorders>
              <w:top w:val="nil"/>
              <w:left w:val="nil"/>
              <w:bottom w:val="nil"/>
              <w:right w:val="nil"/>
            </w:tcBorders>
            <w:shd w:val="clear" w:color="auto" w:fill="auto"/>
            <w:noWrap/>
            <w:vAlign w:val="center"/>
            <w:hideMark/>
          </w:tcPr>
          <w:p w14:paraId="0C3F7D45"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D46"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D47"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nil"/>
              <w:right w:val="nil"/>
            </w:tcBorders>
            <w:shd w:val="clear" w:color="000000" w:fill="FFFF00"/>
            <w:noWrap/>
            <w:vAlign w:val="center"/>
            <w:hideMark/>
          </w:tcPr>
          <w:p w14:paraId="0C3F7D48" w14:textId="77777777" w:rsidR="00E838DF" w:rsidRPr="002E2F6B" w:rsidRDefault="00E838DF" w:rsidP="00110A7F">
            <w:pPr>
              <w:spacing w:before="0" w:after="0"/>
              <w:rPr>
                <w:sz w:val="16"/>
                <w:szCs w:val="16"/>
              </w:rPr>
            </w:pPr>
            <w:r w:rsidRPr="002E2F6B">
              <w:rPr>
                <w:sz w:val="16"/>
                <w:szCs w:val="16"/>
              </w:rPr>
              <w:t>0.67</w:t>
            </w:r>
          </w:p>
        </w:tc>
        <w:tc>
          <w:tcPr>
            <w:tcW w:w="323" w:type="pct"/>
            <w:tcBorders>
              <w:top w:val="nil"/>
              <w:left w:val="nil"/>
              <w:bottom w:val="nil"/>
              <w:right w:val="nil"/>
            </w:tcBorders>
            <w:shd w:val="clear" w:color="auto" w:fill="auto"/>
            <w:noWrap/>
            <w:vAlign w:val="center"/>
            <w:hideMark/>
          </w:tcPr>
          <w:p w14:paraId="0C3F7D49"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D4A"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auto" w:fill="auto"/>
            <w:noWrap/>
            <w:vAlign w:val="center"/>
            <w:hideMark/>
          </w:tcPr>
          <w:p w14:paraId="0C3F7D4B" w14:textId="77777777" w:rsidR="00E838DF" w:rsidRPr="002E2F6B" w:rsidRDefault="00E838DF" w:rsidP="00110A7F">
            <w:pPr>
              <w:spacing w:before="0" w:after="0"/>
              <w:rPr>
                <w:sz w:val="16"/>
                <w:szCs w:val="16"/>
              </w:rPr>
            </w:pPr>
            <w:r w:rsidRPr="002E2F6B">
              <w:rPr>
                <w:sz w:val="16"/>
                <w:szCs w:val="16"/>
              </w:rPr>
              <w:t>-0.19</w:t>
            </w:r>
          </w:p>
        </w:tc>
        <w:tc>
          <w:tcPr>
            <w:tcW w:w="323" w:type="pct"/>
            <w:tcBorders>
              <w:top w:val="nil"/>
              <w:left w:val="nil"/>
              <w:bottom w:val="nil"/>
              <w:right w:val="nil"/>
            </w:tcBorders>
            <w:shd w:val="clear" w:color="auto" w:fill="auto"/>
            <w:noWrap/>
            <w:vAlign w:val="center"/>
            <w:hideMark/>
          </w:tcPr>
          <w:p w14:paraId="0C3F7D4C" w14:textId="77777777" w:rsidR="00E838DF" w:rsidRPr="002E2F6B" w:rsidRDefault="00E838DF" w:rsidP="00110A7F">
            <w:pPr>
              <w:spacing w:before="0" w:after="0"/>
              <w:rPr>
                <w:sz w:val="16"/>
                <w:szCs w:val="16"/>
              </w:rPr>
            </w:pPr>
            <w:r w:rsidRPr="002E2F6B">
              <w:rPr>
                <w:sz w:val="16"/>
                <w:szCs w:val="16"/>
              </w:rPr>
              <w:t>-0.36</w:t>
            </w:r>
          </w:p>
        </w:tc>
        <w:tc>
          <w:tcPr>
            <w:tcW w:w="323" w:type="pct"/>
            <w:tcBorders>
              <w:top w:val="nil"/>
              <w:left w:val="nil"/>
              <w:bottom w:val="nil"/>
              <w:right w:val="nil"/>
            </w:tcBorders>
            <w:shd w:val="clear" w:color="auto" w:fill="auto"/>
            <w:noWrap/>
            <w:vAlign w:val="center"/>
            <w:hideMark/>
          </w:tcPr>
          <w:p w14:paraId="0C3F7D4D" w14:textId="77777777" w:rsidR="00E838DF" w:rsidRPr="002E2F6B" w:rsidRDefault="00E838DF" w:rsidP="00110A7F">
            <w:pPr>
              <w:spacing w:before="0" w:after="0"/>
              <w:rPr>
                <w:sz w:val="16"/>
                <w:szCs w:val="16"/>
              </w:rPr>
            </w:pPr>
            <w:r w:rsidRPr="002E2F6B">
              <w:rPr>
                <w:sz w:val="16"/>
                <w:szCs w:val="16"/>
              </w:rPr>
              <w:t>-0.31</w:t>
            </w:r>
          </w:p>
        </w:tc>
        <w:tc>
          <w:tcPr>
            <w:tcW w:w="323" w:type="pct"/>
            <w:tcBorders>
              <w:top w:val="nil"/>
              <w:left w:val="nil"/>
              <w:bottom w:val="nil"/>
              <w:right w:val="nil"/>
            </w:tcBorders>
            <w:shd w:val="clear" w:color="auto" w:fill="auto"/>
            <w:noWrap/>
            <w:vAlign w:val="center"/>
            <w:hideMark/>
          </w:tcPr>
          <w:p w14:paraId="0C3F7D4E" w14:textId="77777777" w:rsidR="00E838DF" w:rsidRPr="002E2F6B" w:rsidRDefault="00E838DF" w:rsidP="00110A7F">
            <w:pPr>
              <w:spacing w:before="0" w:after="0"/>
              <w:rPr>
                <w:sz w:val="16"/>
                <w:szCs w:val="16"/>
              </w:rPr>
            </w:pPr>
            <w:r w:rsidRPr="002E2F6B">
              <w:rPr>
                <w:sz w:val="16"/>
                <w:szCs w:val="16"/>
              </w:rPr>
              <w:t>1</w:t>
            </w:r>
          </w:p>
        </w:tc>
        <w:tc>
          <w:tcPr>
            <w:tcW w:w="323" w:type="pct"/>
            <w:tcBorders>
              <w:top w:val="nil"/>
              <w:left w:val="nil"/>
              <w:bottom w:val="nil"/>
              <w:right w:val="nil"/>
            </w:tcBorders>
            <w:shd w:val="clear" w:color="auto" w:fill="auto"/>
            <w:noWrap/>
            <w:vAlign w:val="center"/>
            <w:hideMark/>
          </w:tcPr>
          <w:p w14:paraId="0C3F7D4F" w14:textId="77777777" w:rsidR="00E838DF" w:rsidRPr="002E2F6B" w:rsidRDefault="00E838DF" w:rsidP="00110A7F">
            <w:pPr>
              <w:spacing w:before="0" w:after="0"/>
              <w:rPr>
                <w:sz w:val="16"/>
                <w:szCs w:val="16"/>
              </w:rPr>
            </w:pPr>
            <w:r w:rsidRPr="002E2F6B">
              <w:rPr>
                <w:sz w:val="16"/>
                <w:szCs w:val="16"/>
              </w:rPr>
              <w:t>0.13</w:t>
            </w:r>
          </w:p>
        </w:tc>
        <w:tc>
          <w:tcPr>
            <w:tcW w:w="320" w:type="pct"/>
            <w:tcBorders>
              <w:top w:val="nil"/>
              <w:left w:val="nil"/>
              <w:bottom w:val="nil"/>
              <w:right w:val="nil"/>
            </w:tcBorders>
            <w:shd w:val="clear" w:color="auto" w:fill="auto"/>
            <w:noWrap/>
            <w:vAlign w:val="center"/>
            <w:hideMark/>
          </w:tcPr>
          <w:p w14:paraId="0C3F7D50" w14:textId="77777777" w:rsidR="00E838DF" w:rsidRPr="002E2F6B" w:rsidRDefault="00E838DF" w:rsidP="00110A7F">
            <w:pPr>
              <w:spacing w:before="0" w:after="0"/>
              <w:rPr>
                <w:sz w:val="16"/>
                <w:szCs w:val="16"/>
              </w:rPr>
            </w:pPr>
            <w:r w:rsidRPr="002E2F6B">
              <w:rPr>
                <w:sz w:val="16"/>
                <w:szCs w:val="16"/>
              </w:rPr>
              <w:t>-0.05</w:t>
            </w:r>
          </w:p>
        </w:tc>
      </w:tr>
      <w:tr w:rsidR="00E838DF" w:rsidRPr="002E2F6B" w14:paraId="0C3F7D61" w14:textId="77777777" w:rsidTr="00E838DF">
        <w:trPr>
          <w:trHeight w:val="20"/>
        </w:trPr>
        <w:tc>
          <w:tcPr>
            <w:tcW w:w="400" w:type="pct"/>
            <w:tcBorders>
              <w:top w:val="nil"/>
              <w:left w:val="nil"/>
              <w:bottom w:val="nil"/>
              <w:right w:val="nil"/>
            </w:tcBorders>
            <w:shd w:val="clear" w:color="auto" w:fill="auto"/>
            <w:noWrap/>
            <w:vAlign w:val="center"/>
            <w:hideMark/>
          </w:tcPr>
          <w:p w14:paraId="0C3F7D52" w14:textId="77777777" w:rsidR="00E838DF" w:rsidRPr="002E2F6B" w:rsidRDefault="00E838DF" w:rsidP="00110A7F">
            <w:pPr>
              <w:spacing w:before="0" w:after="0"/>
              <w:rPr>
                <w:sz w:val="16"/>
                <w:szCs w:val="16"/>
              </w:rPr>
            </w:pPr>
            <w:r w:rsidRPr="002E2F6B">
              <w:rPr>
                <w:sz w:val="16"/>
                <w:szCs w:val="16"/>
              </w:rPr>
              <w:t>PP</w:t>
            </w:r>
          </w:p>
        </w:tc>
        <w:tc>
          <w:tcPr>
            <w:tcW w:w="323" w:type="pct"/>
            <w:tcBorders>
              <w:top w:val="nil"/>
              <w:left w:val="nil"/>
              <w:bottom w:val="nil"/>
              <w:right w:val="nil"/>
            </w:tcBorders>
            <w:shd w:val="clear" w:color="auto" w:fill="auto"/>
            <w:noWrap/>
            <w:vAlign w:val="center"/>
            <w:hideMark/>
          </w:tcPr>
          <w:p w14:paraId="0C3F7D53" w14:textId="77777777" w:rsidR="00E838DF" w:rsidRPr="002E2F6B" w:rsidRDefault="00E838DF" w:rsidP="00110A7F">
            <w:pPr>
              <w:spacing w:before="0" w:after="0"/>
              <w:rPr>
                <w:sz w:val="16"/>
                <w:szCs w:val="16"/>
              </w:rPr>
            </w:pPr>
            <w:r w:rsidRPr="002E2F6B">
              <w:rPr>
                <w:sz w:val="16"/>
                <w:szCs w:val="16"/>
              </w:rPr>
              <w:t>-0.08</w:t>
            </w:r>
          </w:p>
        </w:tc>
        <w:tc>
          <w:tcPr>
            <w:tcW w:w="400" w:type="pct"/>
            <w:tcBorders>
              <w:top w:val="nil"/>
              <w:left w:val="nil"/>
              <w:bottom w:val="nil"/>
              <w:right w:val="nil"/>
            </w:tcBorders>
            <w:shd w:val="clear" w:color="auto" w:fill="auto"/>
            <w:noWrap/>
            <w:vAlign w:val="center"/>
            <w:hideMark/>
          </w:tcPr>
          <w:p w14:paraId="0C3F7D54" w14:textId="77777777" w:rsidR="00E838DF" w:rsidRPr="002E2F6B" w:rsidRDefault="00E838DF" w:rsidP="00110A7F">
            <w:pPr>
              <w:spacing w:before="0" w:after="0"/>
              <w:rPr>
                <w:sz w:val="16"/>
                <w:szCs w:val="16"/>
              </w:rPr>
            </w:pPr>
            <w:r w:rsidRPr="002E2F6B">
              <w:rPr>
                <w:sz w:val="16"/>
                <w:szCs w:val="16"/>
              </w:rPr>
              <w:t>-0.09</w:t>
            </w:r>
          </w:p>
        </w:tc>
        <w:tc>
          <w:tcPr>
            <w:tcW w:w="328" w:type="pct"/>
            <w:tcBorders>
              <w:top w:val="nil"/>
              <w:left w:val="nil"/>
              <w:bottom w:val="nil"/>
              <w:right w:val="nil"/>
            </w:tcBorders>
            <w:shd w:val="clear" w:color="auto" w:fill="auto"/>
            <w:noWrap/>
            <w:vAlign w:val="center"/>
            <w:hideMark/>
          </w:tcPr>
          <w:p w14:paraId="0C3F7D55" w14:textId="77777777" w:rsidR="00E838DF" w:rsidRPr="002E2F6B" w:rsidRDefault="00E838DF" w:rsidP="00110A7F">
            <w:pPr>
              <w:spacing w:before="0" w:after="0"/>
              <w:rPr>
                <w:sz w:val="16"/>
                <w:szCs w:val="16"/>
              </w:rPr>
            </w:pPr>
            <w:r w:rsidRPr="002E2F6B">
              <w:rPr>
                <w:sz w:val="16"/>
                <w:szCs w:val="16"/>
              </w:rPr>
              <w:t>-0.17</w:t>
            </w:r>
          </w:p>
        </w:tc>
        <w:tc>
          <w:tcPr>
            <w:tcW w:w="323" w:type="pct"/>
            <w:tcBorders>
              <w:top w:val="nil"/>
              <w:left w:val="nil"/>
              <w:bottom w:val="nil"/>
              <w:right w:val="nil"/>
            </w:tcBorders>
            <w:shd w:val="clear" w:color="auto" w:fill="auto"/>
            <w:noWrap/>
            <w:vAlign w:val="center"/>
            <w:hideMark/>
          </w:tcPr>
          <w:p w14:paraId="0C3F7D56"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auto" w:fill="auto"/>
            <w:noWrap/>
            <w:vAlign w:val="center"/>
            <w:hideMark/>
          </w:tcPr>
          <w:p w14:paraId="0C3F7D57"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auto" w:fill="auto"/>
            <w:noWrap/>
            <w:vAlign w:val="center"/>
            <w:hideMark/>
          </w:tcPr>
          <w:p w14:paraId="0C3F7D58" w14:textId="77777777" w:rsidR="00E838DF" w:rsidRPr="002E2F6B" w:rsidRDefault="00E838DF" w:rsidP="00110A7F">
            <w:pPr>
              <w:spacing w:before="0" w:after="0"/>
              <w:rPr>
                <w:sz w:val="16"/>
                <w:szCs w:val="16"/>
              </w:rPr>
            </w:pPr>
            <w:r w:rsidRPr="002E2F6B">
              <w:rPr>
                <w:sz w:val="16"/>
                <w:szCs w:val="16"/>
              </w:rPr>
              <w:t>0.09</w:t>
            </w:r>
          </w:p>
        </w:tc>
        <w:tc>
          <w:tcPr>
            <w:tcW w:w="323" w:type="pct"/>
            <w:tcBorders>
              <w:top w:val="nil"/>
              <w:left w:val="nil"/>
              <w:bottom w:val="nil"/>
              <w:right w:val="nil"/>
            </w:tcBorders>
            <w:shd w:val="clear" w:color="auto" w:fill="auto"/>
            <w:noWrap/>
            <w:vAlign w:val="center"/>
            <w:hideMark/>
          </w:tcPr>
          <w:p w14:paraId="0C3F7D59" w14:textId="77777777" w:rsidR="00E838DF" w:rsidRPr="002E2F6B" w:rsidRDefault="00E838DF" w:rsidP="00110A7F">
            <w:pPr>
              <w:spacing w:before="0" w:after="0"/>
              <w:rPr>
                <w:sz w:val="16"/>
                <w:szCs w:val="16"/>
              </w:rPr>
            </w:pPr>
            <w:r w:rsidRPr="002E2F6B">
              <w:rPr>
                <w:sz w:val="16"/>
                <w:szCs w:val="16"/>
              </w:rPr>
              <w:t>0.08</w:t>
            </w:r>
          </w:p>
        </w:tc>
        <w:tc>
          <w:tcPr>
            <w:tcW w:w="323" w:type="pct"/>
            <w:tcBorders>
              <w:top w:val="nil"/>
              <w:left w:val="nil"/>
              <w:bottom w:val="nil"/>
              <w:right w:val="nil"/>
            </w:tcBorders>
            <w:shd w:val="clear" w:color="auto" w:fill="auto"/>
            <w:noWrap/>
            <w:vAlign w:val="center"/>
            <w:hideMark/>
          </w:tcPr>
          <w:p w14:paraId="0C3F7D5A" w14:textId="77777777" w:rsidR="00E838DF" w:rsidRPr="002E2F6B" w:rsidRDefault="00E838DF" w:rsidP="00110A7F">
            <w:pPr>
              <w:spacing w:before="0" w:after="0"/>
              <w:rPr>
                <w:sz w:val="16"/>
                <w:szCs w:val="16"/>
              </w:rPr>
            </w:pPr>
            <w:r w:rsidRPr="002E2F6B">
              <w:rPr>
                <w:sz w:val="16"/>
                <w:szCs w:val="16"/>
              </w:rPr>
              <w:t>0.25</w:t>
            </w:r>
          </w:p>
        </w:tc>
        <w:tc>
          <w:tcPr>
            <w:tcW w:w="323" w:type="pct"/>
            <w:tcBorders>
              <w:top w:val="nil"/>
              <w:left w:val="nil"/>
              <w:bottom w:val="nil"/>
              <w:right w:val="nil"/>
            </w:tcBorders>
            <w:shd w:val="clear" w:color="auto" w:fill="auto"/>
            <w:noWrap/>
            <w:vAlign w:val="center"/>
            <w:hideMark/>
          </w:tcPr>
          <w:p w14:paraId="0C3F7D5B" w14:textId="77777777" w:rsidR="00E838DF" w:rsidRPr="002E2F6B" w:rsidRDefault="00E838DF" w:rsidP="00110A7F">
            <w:pPr>
              <w:spacing w:before="0" w:after="0"/>
              <w:rPr>
                <w:sz w:val="16"/>
                <w:szCs w:val="16"/>
              </w:rPr>
            </w:pPr>
            <w:r w:rsidRPr="002E2F6B">
              <w:rPr>
                <w:sz w:val="16"/>
                <w:szCs w:val="16"/>
              </w:rPr>
              <w:t>0.39</w:t>
            </w:r>
          </w:p>
        </w:tc>
        <w:tc>
          <w:tcPr>
            <w:tcW w:w="323" w:type="pct"/>
            <w:tcBorders>
              <w:top w:val="nil"/>
              <w:left w:val="nil"/>
              <w:bottom w:val="nil"/>
              <w:right w:val="nil"/>
            </w:tcBorders>
            <w:shd w:val="clear" w:color="auto" w:fill="auto"/>
            <w:noWrap/>
            <w:vAlign w:val="center"/>
            <w:hideMark/>
          </w:tcPr>
          <w:p w14:paraId="0C3F7D5C" w14:textId="77777777" w:rsidR="00E838DF" w:rsidRPr="002E2F6B" w:rsidRDefault="00E838DF" w:rsidP="00110A7F">
            <w:pPr>
              <w:spacing w:before="0" w:after="0"/>
              <w:rPr>
                <w:sz w:val="16"/>
                <w:szCs w:val="16"/>
              </w:rPr>
            </w:pPr>
            <w:r w:rsidRPr="002E2F6B">
              <w:rPr>
                <w:sz w:val="16"/>
                <w:szCs w:val="16"/>
              </w:rPr>
              <w:t>-0.40</w:t>
            </w:r>
          </w:p>
        </w:tc>
        <w:tc>
          <w:tcPr>
            <w:tcW w:w="323" w:type="pct"/>
            <w:tcBorders>
              <w:top w:val="nil"/>
              <w:left w:val="nil"/>
              <w:bottom w:val="nil"/>
              <w:right w:val="nil"/>
            </w:tcBorders>
            <w:shd w:val="clear" w:color="auto" w:fill="auto"/>
            <w:noWrap/>
            <w:vAlign w:val="center"/>
            <w:hideMark/>
          </w:tcPr>
          <w:p w14:paraId="0C3F7D5D" w14:textId="77777777" w:rsidR="00E838DF" w:rsidRPr="002E2F6B" w:rsidRDefault="00E838DF" w:rsidP="00110A7F">
            <w:pPr>
              <w:spacing w:before="0" w:after="0"/>
              <w:rPr>
                <w:sz w:val="16"/>
                <w:szCs w:val="16"/>
              </w:rPr>
            </w:pPr>
            <w:r w:rsidRPr="002E2F6B">
              <w:rPr>
                <w:sz w:val="16"/>
                <w:szCs w:val="16"/>
              </w:rPr>
              <w:t>-0.15</w:t>
            </w:r>
          </w:p>
        </w:tc>
        <w:tc>
          <w:tcPr>
            <w:tcW w:w="323" w:type="pct"/>
            <w:tcBorders>
              <w:top w:val="nil"/>
              <w:left w:val="nil"/>
              <w:bottom w:val="nil"/>
              <w:right w:val="nil"/>
            </w:tcBorders>
            <w:shd w:val="clear" w:color="auto" w:fill="auto"/>
            <w:noWrap/>
            <w:vAlign w:val="center"/>
            <w:hideMark/>
          </w:tcPr>
          <w:p w14:paraId="0C3F7D5E" w14:textId="77777777" w:rsidR="00E838DF" w:rsidRPr="002E2F6B" w:rsidRDefault="00E838DF" w:rsidP="00110A7F">
            <w:pPr>
              <w:spacing w:before="0" w:after="0"/>
              <w:rPr>
                <w:sz w:val="16"/>
                <w:szCs w:val="16"/>
              </w:rPr>
            </w:pPr>
            <w:r w:rsidRPr="002E2F6B">
              <w:rPr>
                <w:sz w:val="16"/>
                <w:szCs w:val="16"/>
              </w:rPr>
              <w:t>0.13</w:t>
            </w:r>
          </w:p>
        </w:tc>
        <w:tc>
          <w:tcPr>
            <w:tcW w:w="323" w:type="pct"/>
            <w:tcBorders>
              <w:top w:val="nil"/>
              <w:left w:val="nil"/>
              <w:bottom w:val="nil"/>
              <w:right w:val="nil"/>
            </w:tcBorders>
            <w:shd w:val="clear" w:color="auto" w:fill="auto"/>
            <w:noWrap/>
            <w:vAlign w:val="center"/>
            <w:hideMark/>
          </w:tcPr>
          <w:p w14:paraId="0C3F7D5F" w14:textId="77777777" w:rsidR="00E838DF" w:rsidRPr="002E2F6B" w:rsidRDefault="00E838DF" w:rsidP="00110A7F">
            <w:pPr>
              <w:spacing w:before="0" w:after="0"/>
              <w:rPr>
                <w:sz w:val="16"/>
                <w:szCs w:val="16"/>
              </w:rPr>
            </w:pPr>
            <w:r w:rsidRPr="002E2F6B">
              <w:rPr>
                <w:sz w:val="16"/>
                <w:szCs w:val="16"/>
              </w:rPr>
              <w:t>1</w:t>
            </w:r>
          </w:p>
        </w:tc>
        <w:tc>
          <w:tcPr>
            <w:tcW w:w="320" w:type="pct"/>
            <w:tcBorders>
              <w:top w:val="nil"/>
              <w:left w:val="nil"/>
              <w:bottom w:val="nil"/>
              <w:right w:val="nil"/>
            </w:tcBorders>
            <w:shd w:val="clear" w:color="auto" w:fill="auto"/>
            <w:noWrap/>
            <w:vAlign w:val="center"/>
            <w:hideMark/>
          </w:tcPr>
          <w:p w14:paraId="0C3F7D60" w14:textId="77777777" w:rsidR="00E838DF" w:rsidRPr="002E2F6B" w:rsidRDefault="00E838DF" w:rsidP="00110A7F">
            <w:pPr>
              <w:spacing w:before="0" w:after="0"/>
              <w:rPr>
                <w:sz w:val="16"/>
                <w:szCs w:val="16"/>
              </w:rPr>
            </w:pPr>
            <w:r w:rsidRPr="002E2F6B">
              <w:rPr>
                <w:sz w:val="16"/>
                <w:szCs w:val="16"/>
              </w:rPr>
              <w:t>0.43</w:t>
            </w:r>
          </w:p>
        </w:tc>
      </w:tr>
      <w:tr w:rsidR="00E838DF" w:rsidRPr="002E2F6B" w14:paraId="0C3F7D71" w14:textId="77777777" w:rsidTr="00E838DF">
        <w:trPr>
          <w:trHeight w:val="20"/>
        </w:trPr>
        <w:tc>
          <w:tcPr>
            <w:tcW w:w="400" w:type="pct"/>
            <w:tcBorders>
              <w:top w:val="nil"/>
              <w:left w:val="nil"/>
              <w:bottom w:val="single" w:sz="4" w:space="0" w:color="auto"/>
              <w:right w:val="nil"/>
            </w:tcBorders>
            <w:shd w:val="clear" w:color="auto" w:fill="auto"/>
            <w:noWrap/>
            <w:vAlign w:val="center"/>
            <w:hideMark/>
          </w:tcPr>
          <w:p w14:paraId="0C3F7D62" w14:textId="77777777" w:rsidR="00E838DF" w:rsidRPr="002E2F6B" w:rsidRDefault="00E838DF" w:rsidP="00110A7F">
            <w:pPr>
              <w:spacing w:before="0" w:after="0"/>
              <w:rPr>
                <w:sz w:val="16"/>
                <w:szCs w:val="16"/>
              </w:rPr>
            </w:pPr>
            <w:r w:rsidRPr="002E2F6B">
              <w:rPr>
                <w:sz w:val="16"/>
                <w:szCs w:val="16"/>
              </w:rPr>
              <w:t>Si</w:t>
            </w:r>
          </w:p>
        </w:tc>
        <w:tc>
          <w:tcPr>
            <w:tcW w:w="323" w:type="pct"/>
            <w:tcBorders>
              <w:top w:val="nil"/>
              <w:left w:val="nil"/>
              <w:bottom w:val="single" w:sz="4" w:space="0" w:color="auto"/>
              <w:right w:val="nil"/>
            </w:tcBorders>
            <w:shd w:val="clear" w:color="auto" w:fill="auto"/>
            <w:noWrap/>
            <w:vAlign w:val="center"/>
            <w:hideMark/>
          </w:tcPr>
          <w:p w14:paraId="0C3F7D63" w14:textId="77777777" w:rsidR="00E838DF" w:rsidRPr="002E2F6B" w:rsidRDefault="00E838DF" w:rsidP="00110A7F">
            <w:pPr>
              <w:spacing w:before="0" w:after="0"/>
              <w:rPr>
                <w:sz w:val="16"/>
                <w:szCs w:val="16"/>
              </w:rPr>
            </w:pPr>
            <w:r w:rsidRPr="002E2F6B">
              <w:rPr>
                <w:sz w:val="16"/>
                <w:szCs w:val="16"/>
              </w:rPr>
              <w:t>-0.07</w:t>
            </w:r>
          </w:p>
        </w:tc>
        <w:tc>
          <w:tcPr>
            <w:tcW w:w="400" w:type="pct"/>
            <w:tcBorders>
              <w:top w:val="nil"/>
              <w:left w:val="nil"/>
              <w:bottom w:val="single" w:sz="4" w:space="0" w:color="auto"/>
              <w:right w:val="nil"/>
            </w:tcBorders>
            <w:shd w:val="clear" w:color="auto" w:fill="auto"/>
            <w:noWrap/>
            <w:vAlign w:val="center"/>
            <w:hideMark/>
          </w:tcPr>
          <w:p w14:paraId="0C3F7D64" w14:textId="77777777" w:rsidR="00E838DF" w:rsidRPr="002E2F6B" w:rsidRDefault="00E838DF" w:rsidP="00110A7F">
            <w:pPr>
              <w:spacing w:before="0" w:after="0"/>
              <w:rPr>
                <w:sz w:val="16"/>
                <w:szCs w:val="16"/>
              </w:rPr>
            </w:pPr>
            <w:r w:rsidRPr="002E2F6B">
              <w:rPr>
                <w:sz w:val="16"/>
                <w:szCs w:val="16"/>
              </w:rPr>
              <w:t>-0.44</w:t>
            </w:r>
          </w:p>
        </w:tc>
        <w:tc>
          <w:tcPr>
            <w:tcW w:w="328" w:type="pct"/>
            <w:tcBorders>
              <w:top w:val="nil"/>
              <w:left w:val="nil"/>
              <w:bottom w:val="single" w:sz="4" w:space="0" w:color="auto"/>
              <w:right w:val="nil"/>
            </w:tcBorders>
            <w:shd w:val="clear" w:color="auto" w:fill="auto"/>
            <w:noWrap/>
            <w:vAlign w:val="center"/>
            <w:hideMark/>
          </w:tcPr>
          <w:p w14:paraId="0C3F7D65" w14:textId="77777777" w:rsidR="00E838DF" w:rsidRPr="002E2F6B" w:rsidRDefault="00E838DF" w:rsidP="00110A7F">
            <w:pPr>
              <w:spacing w:before="0" w:after="0"/>
              <w:rPr>
                <w:sz w:val="16"/>
                <w:szCs w:val="16"/>
              </w:rPr>
            </w:pPr>
            <w:r w:rsidRPr="002E2F6B">
              <w:rPr>
                <w:sz w:val="16"/>
                <w:szCs w:val="16"/>
              </w:rPr>
              <w:t>-0.49</w:t>
            </w:r>
          </w:p>
        </w:tc>
        <w:tc>
          <w:tcPr>
            <w:tcW w:w="323" w:type="pct"/>
            <w:tcBorders>
              <w:top w:val="nil"/>
              <w:left w:val="nil"/>
              <w:bottom w:val="single" w:sz="4" w:space="0" w:color="auto"/>
              <w:right w:val="nil"/>
            </w:tcBorders>
            <w:shd w:val="clear" w:color="auto" w:fill="auto"/>
            <w:noWrap/>
            <w:vAlign w:val="center"/>
            <w:hideMark/>
          </w:tcPr>
          <w:p w14:paraId="0C3F7D66" w14:textId="77777777" w:rsidR="00E838DF" w:rsidRPr="002E2F6B" w:rsidRDefault="00E838DF" w:rsidP="00110A7F">
            <w:pPr>
              <w:spacing w:before="0" w:after="0"/>
              <w:rPr>
                <w:sz w:val="16"/>
                <w:szCs w:val="16"/>
              </w:rPr>
            </w:pPr>
            <w:r w:rsidRPr="002E2F6B">
              <w:rPr>
                <w:sz w:val="16"/>
                <w:szCs w:val="16"/>
              </w:rPr>
              <w:t>0.30</w:t>
            </w:r>
          </w:p>
        </w:tc>
        <w:tc>
          <w:tcPr>
            <w:tcW w:w="323" w:type="pct"/>
            <w:tcBorders>
              <w:top w:val="nil"/>
              <w:left w:val="nil"/>
              <w:bottom w:val="single" w:sz="4" w:space="0" w:color="auto"/>
              <w:right w:val="nil"/>
            </w:tcBorders>
            <w:shd w:val="clear" w:color="auto" w:fill="auto"/>
            <w:noWrap/>
            <w:vAlign w:val="center"/>
            <w:hideMark/>
          </w:tcPr>
          <w:p w14:paraId="0C3F7D67" w14:textId="77777777" w:rsidR="00E838DF" w:rsidRPr="002E2F6B" w:rsidRDefault="00E838DF" w:rsidP="00110A7F">
            <w:pPr>
              <w:spacing w:before="0" w:after="0"/>
              <w:rPr>
                <w:sz w:val="16"/>
                <w:szCs w:val="16"/>
              </w:rPr>
            </w:pPr>
            <w:r w:rsidRPr="002E2F6B">
              <w:rPr>
                <w:sz w:val="16"/>
                <w:szCs w:val="16"/>
              </w:rPr>
              <w:t>0.23</w:t>
            </w:r>
          </w:p>
        </w:tc>
        <w:tc>
          <w:tcPr>
            <w:tcW w:w="323" w:type="pct"/>
            <w:tcBorders>
              <w:top w:val="nil"/>
              <w:left w:val="nil"/>
              <w:bottom w:val="single" w:sz="4" w:space="0" w:color="auto"/>
              <w:right w:val="nil"/>
            </w:tcBorders>
            <w:shd w:val="clear" w:color="auto" w:fill="auto"/>
            <w:noWrap/>
            <w:vAlign w:val="center"/>
            <w:hideMark/>
          </w:tcPr>
          <w:p w14:paraId="0C3F7D68" w14:textId="77777777" w:rsidR="00E838DF" w:rsidRPr="002E2F6B" w:rsidRDefault="00E838DF" w:rsidP="00110A7F">
            <w:pPr>
              <w:spacing w:before="0" w:after="0"/>
              <w:rPr>
                <w:sz w:val="16"/>
                <w:szCs w:val="16"/>
              </w:rPr>
            </w:pPr>
            <w:r w:rsidRPr="002E2F6B">
              <w:rPr>
                <w:sz w:val="16"/>
                <w:szCs w:val="16"/>
              </w:rPr>
              <w:t>0.03</w:t>
            </w:r>
          </w:p>
        </w:tc>
        <w:tc>
          <w:tcPr>
            <w:tcW w:w="323" w:type="pct"/>
            <w:tcBorders>
              <w:top w:val="nil"/>
              <w:left w:val="nil"/>
              <w:bottom w:val="single" w:sz="4" w:space="0" w:color="auto"/>
              <w:right w:val="nil"/>
            </w:tcBorders>
            <w:shd w:val="clear" w:color="auto" w:fill="auto"/>
            <w:noWrap/>
            <w:vAlign w:val="center"/>
            <w:hideMark/>
          </w:tcPr>
          <w:p w14:paraId="0C3F7D69" w14:textId="77777777" w:rsidR="00E838DF" w:rsidRPr="002E2F6B" w:rsidRDefault="00E838DF" w:rsidP="00110A7F">
            <w:pPr>
              <w:spacing w:before="0" w:after="0"/>
              <w:rPr>
                <w:sz w:val="16"/>
                <w:szCs w:val="16"/>
              </w:rPr>
            </w:pPr>
            <w:r w:rsidRPr="002E2F6B">
              <w:rPr>
                <w:sz w:val="16"/>
                <w:szCs w:val="16"/>
              </w:rPr>
              <w:t>0.14</w:t>
            </w:r>
          </w:p>
        </w:tc>
        <w:tc>
          <w:tcPr>
            <w:tcW w:w="323" w:type="pct"/>
            <w:tcBorders>
              <w:top w:val="nil"/>
              <w:left w:val="nil"/>
              <w:bottom w:val="single" w:sz="4" w:space="0" w:color="auto"/>
              <w:right w:val="nil"/>
            </w:tcBorders>
            <w:shd w:val="clear" w:color="auto" w:fill="auto"/>
            <w:noWrap/>
            <w:vAlign w:val="center"/>
            <w:hideMark/>
          </w:tcPr>
          <w:p w14:paraId="0C3F7D6A" w14:textId="77777777" w:rsidR="00E838DF" w:rsidRPr="002E2F6B" w:rsidRDefault="00E838DF" w:rsidP="00110A7F">
            <w:pPr>
              <w:spacing w:before="0" w:after="0"/>
              <w:rPr>
                <w:sz w:val="16"/>
                <w:szCs w:val="16"/>
              </w:rPr>
            </w:pPr>
            <w:r w:rsidRPr="002E2F6B">
              <w:rPr>
                <w:sz w:val="16"/>
                <w:szCs w:val="16"/>
              </w:rPr>
              <w:t>0.23</w:t>
            </w:r>
          </w:p>
        </w:tc>
        <w:tc>
          <w:tcPr>
            <w:tcW w:w="323" w:type="pct"/>
            <w:tcBorders>
              <w:top w:val="nil"/>
              <w:left w:val="nil"/>
              <w:bottom w:val="single" w:sz="4" w:space="0" w:color="auto"/>
              <w:right w:val="nil"/>
            </w:tcBorders>
            <w:shd w:val="clear" w:color="auto" w:fill="auto"/>
            <w:noWrap/>
            <w:vAlign w:val="center"/>
            <w:hideMark/>
          </w:tcPr>
          <w:p w14:paraId="0C3F7D6B" w14:textId="77777777" w:rsidR="00E838DF" w:rsidRPr="002E2F6B" w:rsidRDefault="00E838DF" w:rsidP="00110A7F">
            <w:pPr>
              <w:spacing w:before="0" w:after="0"/>
              <w:rPr>
                <w:sz w:val="16"/>
                <w:szCs w:val="16"/>
              </w:rPr>
            </w:pPr>
            <w:r w:rsidRPr="002E2F6B">
              <w:rPr>
                <w:sz w:val="16"/>
                <w:szCs w:val="16"/>
              </w:rPr>
              <w:t>0.36</w:t>
            </w:r>
          </w:p>
        </w:tc>
        <w:tc>
          <w:tcPr>
            <w:tcW w:w="323" w:type="pct"/>
            <w:tcBorders>
              <w:top w:val="nil"/>
              <w:left w:val="nil"/>
              <w:bottom w:val="single" w:sz="4" w:space="0" w:color="auto"/>
              <w:right w:val="nil"/>
            </w:tcBorders>
            <w:shd w:val="clear" w:color="auto" w:fill="auto"/>
            <w:noWrap/>
            <w:vAlign w:val="center"/>
            <w:hideMark/>
          </w:tcPr>
          <w:p w14:paraId="0C3F7D6C" w14:textId="77777777" w:rsidR="00E838DF" w:rsidRPr="002E2F6B" w:rsidRDefault="00E838DF" w:rsidP="00110A7F">
            <w:pPr>
              <w:spacing w:before="0" w:after="0"/>
              <w:rPr>
                <w:sz w:val="16"/>
                <w:szCs w:val="16"/>
              </w:rPr>
            </w:pPr>
            <w:r w:rsidRPr="002E2F6B">
              <w:rPr>
                <w:sz w:val="16"/>
                <w:szCs w:val="16"/>
              </w:rPr>
              <w:t>0.12</w:t>
            </w:r>
          </w:p>
        </w:tc>
        <w:tc>
          <w:tcPr>
            <w:tcW w:w="323" w:type="pct"/>
            <w:tcBorders>
              <w:top w:val="nil"/>
              <w:left w:val="nil"/>
              <w:bottom w:val="single" w:sz="4" w:space="0" w:color="auto"/>
              <w:right w:val="nil"/>
            </w:tcBorders>
            <w:shd w:val="clear" w:color="auto" w:fill="auto"/>
            <w:noWrap/>
            <w:vAlign w:val="center"/>
            <w:hideMark/>
          </w:tcPr>
          <w:p w14:paraId="0C3F7D6D" w14:textId="77777777" w:rsidR="00E838DF" w:rsidRPr="002E2F6B" w:rsidRDefault="00E838DF" w:rsidP="00110A7F">
            <w:pPr>
              <w:spacing w:before="0" w:after="0"/>
              <w:rPr>
                <w:sz w:val="16"/>
                <w:szCs w:val="16"/>
              </w:rPr>
            </w:pPr>
            <w:r w:rsidRPr="002E2F6B">
              <w:rPr>
                <w:sz w:val="16"/>
                <w:szCs w:val="16"/>
              </w:rPr>
              <w:t>-0.07</w:t>
            </w:r>
          </w:p>
        </w:tc>
        <w:tc>
          <w:tcPr>
            <w:tcW w:w="323" w:type="pct"/>
            <w:tcBorders>
              <w:top w:val="nil"/>
              <w:left w:val="nil"/>
              <w:bottom w:val="single" w:sz="4" w:space="0" w:color="auto"/>
              <w:right w:val="nil"/>
            </w:tcBorders>
            <w:shd w:val="clear" w:color="auto" w:fill="auto"/>
            <w:noWrap/>
            <w:vAlign w:val="center"/>
            <w:hideMark/>
          </w:tcPr>
          <w:p w14:paraId="0C3F7D6E" w14:textId="77777777" w:rsidR="00E838DF" w:rsidRPr="002E2F6B" w:rsidRDefault="00E838DF" w:rsidP="00110A7F">
            <w:pPr>
              <w:spacing w:before="0" w:after="0"/>
              <w:rPr>
                <w:sz w:val="16"/>
                <w:szCs w:val="16"/>
              </w:rPr>
            </w:pPr>
            <w:r w:rsidRPr="002E2F6B">
              <w:rPr>
                <w:sz w:val="16"/>
                <w:szCs w:val="16"/>
              </w:rPr>
              <w:t>-0.05</w:t>
            </w:r>
          </w:p>
        </w:tc>
        <w:tc>
          <w:tcPr>
            <w:tcW w:w="323" w:type="pct"/>
            <w:tcBorders>
              <w:top w:val="nil"/>
              <w:left w:val="nil"/>
              <w:bottom w:val="single" w:sz="4" w:space="0" w:color="auto"/>
              <w:right w:val="nil"/>
            </w:tcBorders>
            <w:shd w:val="clear" w:color="auto" w:fill="auto"/>
            <w:noWrap/>
            <w:vAlign w:val="center"/>
            <w:hideMark/>
          </w:tcPr>
          <w:p w14:paraId="0C3F7D6F" w14:textId="77777777" w:rsidR="00E838DF" w:rsidRPr="002E2F6B" w:rsidRDefault="00E838DF" w:rsidP="00110A7F">
            <w:pPr>
              <w:spacing w:before="0" w:after="0"/>
              <w:rPr>
                <w:sz w:val="16"/>
                <w:szCs w:val="16"/>
              </w:rPr>
            </w:pPr>
            <w:r w:rsidRPr="002E2F6B">
              <w:rPr>
                <w:sz w:val="16"/>
                <w:szCs w:val="16"/>
              </w:rPr>
              <w:t>0.43</w:t>
            </w:r>
          </w:p>
        </w:tc>
        <w:tc>
          <w:tcPr>
            <w:tcW w:w="320" w:type="pct"/>
            <w:tcBorders>
              <w:top w:val="nil"/>
              <w:left w:val="nil"/>
              <w:bottom w:val="single" w:sz="4" w:space="0" w:color="auto"/>
              <w:right w:val="nil"/>
            </w:tcBorders>
            <w:shd w:val="clear" w:color="auto" w:fill="auto"/>
            <w:noWrap/>
            <w:vAlign w:val="center"/>
            <w:hideMark/>
          </w:tcPr>
          <w:p w14:paraId="0C3F7D70" w14:textId="77777777" w:rsidR="00E838DF" w:rsidRPr="002E2F6B" w:rsidRDefault="00E838DF" w:rsidP="00110A7F">
            <w:pPr>
              <w:spacing w:before="0" w:after="0"/>
              <w:rPr>
                <w:sz w:val="16"/>
                <w:szCs w:val="16"/>
              </w:rPr>
            </w:pPr>
            <w:r w:rsidRPr="002E2F6B">
              <w:rPr>
                <w:sz w:val="16"/>
                <w:szCs w:val="16"/>
              </w:rPr>
              <w:t>1</w:t>
            </w:r>
          </w:p>
        </w:tc>
      </w:tr>
    </w:tbl>
    <w:p w14:paraId="0C3F7D72" w14:textId="77777777" w:rsidR="00E838DF" w:rsidRDefault="00E838DF" w:rsidP="00E838DF">
      <w:pPr>
        <w:rPr>
          <w:lang w:eastAsia="en-US"/>
        </w:rPr>
      </w:pPr>
    </w:p>
    <w:p w14:paraId="0C3F7D73" w14:textId="77777777" w:rsidR="002C6F22" w:rsidRPr="002C6F22" w:rsidRDefault="002C6F22" w:rsidP="002C6F22">
      <w:pPr>
        <w:rPr>
          <w:rFonts w:cs="Courier New"/>
        </w:rPr>
      </w:pPr>
      <w:r w:rsidRPr="002C6F22">
        <w:rPr>
          <w:rFonts w:cs="Courier New"/>
        </w:rPr>
        <w:t>The temporal variation of the wet season WQ components (data set 2006-2013) was best modelled by using all predictors (i.e., salinity, river discharge and distance) as random effects. Exceptions occurred for chlorophyll-a and PN that had no inclusion of the predictor distance, which is presented as a straight line parallel to x-axis in the partial effect plots (Fig</w:t>
      </w:r>
      <w:r>
        <w:rPr>
          <w:rFonts w:cs="Courier New"/>
        </w:rPr>
        <w:t>ure</w:t>
      </w:r>
      <w:r w:rsidRPr="002C6F22">
        <w:rPr>
          <w:rFonts w:cs="Courier New"/>
        </w:rPr>
        <w:t>. 4-8a). Moreover, no temporal variation was identified for CDOM (Figure 4.8a), chlorophyll-a (Figure. 4.8b) and Si (Figure 4.8c), which presented an r-squared &lt; 0, suggesting that a straight line parallel to the x-axis explained their temporal behaviour better than the fitted models. All the other WQ components exhibi</w:t>
      </w:r>
      <w:r>
        <w:rPr>
          <w:rFonts w:cs="Courier New"/>
        </w:rPr>
        <w:t xml:space="preserve">ted significant temporal trends. </w:t>
      </w:r>
      <w:r w:rsidRPr="002C6F22">
        <w:rPr>
          <w:rFonts w:cs="Courier New"/>
        </w:rPr>
        <w:t xml:space="preserve">For DIN and DIP, one can see a clear reduction in values after 2012, which was preceded by an increase in concentrations in 2010-2011 wet season, corresponding to </w:t>
      </w:r>
      <w:r w:rsidRPr="002C6F22">
        <w:rPr>
          <w:rFonts w:cs="Courier New"/>
        </w:rPr>
        <w:lastRenderedPageBreak/>
        <w:t>the Ex-Tropical Cyclone Yasi passage in January-February, 2011. Patterns in light attenuation were similar highlighting that the turbid waters in 2011-12 wet season were partly driven by green (secondary) waters. As a general trend, the majority of the parameters show a reduction in values towards the end of the analysed period, with the exception of TSS, that increased from 2010/2011 onwards. These results suggest that the chronic increases in DIN and DIP are largely related to the scale and extent of the wet season flow, however TSS increases, whilst driven by the sediment inputs from catchments,  can also be linked to other factors, such as the resuspension of the finer sediment through the frequency and intensity of the wind.</w:t>
      </w:r>
    </w:p>
    <w:p w14:paraId="0C3F7D74" w14:textId="77777777" w:rsidR="00110A7F" w:rsidRDefault="00110A7F" w:rsidP="00E838DF">
      <w:pPr>
        <w:rPr>
          <w:lang w:eastAsia="en-US"/>
        </w:rPr>
      </w:pPr>
    </w:p>
    <w:p w14:paraId="0C3F7D75" w14:textId="77777777" w:rsidR="008D3A01" w:rsidRDefault="007315EF" w:rsidP="00A76577">
      <w:pPr>
        <w:pStyle w:val="Heading2"/>
        <w:keepNext/>
        <w:numPr>
          <w:ilvl w:val="1"/>
          <w:numId w:val="3"/>
        </w:numPr>
        <w:spacing w:line="80" w:lineRule="atLeast"/>
      </w:pPr>
      <w:bookmarkStart w:id="15" w:name="_Toc434207980"/>
      <w:r>
        <w:t>Mapping of river plumes</w:t>
      </w:r>
      <w:bookmarkEnd w:id="15"/>
    </w:p>
    <w:p w14:paraId="0C3F7D76" w14:textId="77777777" w:rsidR="003C10C4" w:rsidRPr="003C10C4" w:rsidRDefault="003C10C4" w:rsidP="003C10C4">
      <w:pPr>
        <w:spacing w:before="240"/>
        <w:rPr>
          <w:color w:val="000000" w:themeColor="text1"/>
        </w:rPr>
      </w:pPr>
      <w:bookmarkStart w:id="16" w:name="_Toc420319629"/>
      <w:bookmarkStart w:id="17" w:name="_Toc420329179"/>
      <w:bookmarkStart w:id="18" w:name="_Toc410584191"/>
      <w:bookmarkStart w:id="19" w:name="_Toc416533843"/>
      <w:bookmarkEnd w:id="16"/>
      <w:bookmarkEnd w:id="17"/>
      <w:r w:rsidRPr="003C10C4">
        <w:rPr>
          <w:color w:val="000000" w:themeColor="text1"/>
        </w:rPr>
        <w:t>Numerous studies have shown that nutrient enrichment, turbidity, sedimentation and pesticides all affect the resilience of the GBR ecosystems, degrading coral reefs and seagrass beds at local and regional scales.</w:t>
      </w:r>
      <w:r>
        <w:rPr>
          <w:color w:val="000000" w:themeColor="text1"/>
        </w:rPr>
        <w:t xml:space="preserve"> </w:t>
      </w:r>
      <w:r w:rsidRPr="003C10C4">
        <w:rPr>
          <w:color w:val="000000" w:themeColor="text1"/>
        </w:rPr>
        <w:t xml:space="preserve">The main objective of the remote sensing component of the wet season monitoring under the Marine Monitoring Program (MMP) is to produce maps of river plumes, models that summarize land-sourced contaminants transport, describe </w:t>
      </w:r>
      <w:r w:rsidR="009C4D9F">
        <w:rPr>
          <w:color w:val="000000" w:themeColor="text1"/>
        </w:rPr>
        <w:t>WQ</w:t>
      </w:r>
      <w:r w:rsidRPr="003C10C4">
        <w:rPr>
          <w:color w:val="000000" w:themeColor="text1"/>
        </w:rPr>
        <w:t xml:space="preserve"> concentrations within wet season conditions, and to integrate all these methods in single risk assessment framework to evaluate the susceptibility of GBR key ecosystems to the river plume/pollutants exposure i.e., to model the risk of GBR ecosystem due to exposure to river plumes.</w:t>
      </w:r>
    </w:p>
    <w:p w14:paraId="0C3F7D77" w14:textId="77777777" w:rsidR="00110A7F" w:rsidRDefault="00110A7F" w:rsidP="00110A7F">
      <w:r w:rsidRPr="00110A7F">
        <w:t xml:space="preserve">Different RS products and dataset (with spatial resolution of 1 km x 1 km or 500 m x 500 m) were developed through the previous and this MMP reporting periods at different geographical and temporal scales </w:t>
      </w:r>
      <w:r>
        <w:t>(</w:t>
      </w:r>
      <w:r>
        <w:fldChar w:fldCharType="begin"/>
      </w:r>
      <w:r>
        <w:instrText xml:space="preserve"> REF _Ref428868126 \h </w:instrText>
      </w:r>
      <w:r>
        <w:fldChar w:fldCharType="separate"/>
      </w:r>
      <w:r w:rsidR="00B62B50">
        <w:t xml:space="preserve">Table </w:t>
      </w:r>
      <w:r w:rsidR="00B62B50">
        <w:rPr>
          <w:noProof/>
        </w:rPr>
        <w:t>1</w:t>
      </w:r>
      <w:r w:rsidR="00B62B50">
        <w:noBreakHyphen/>
      </w:r>
      <w:r w:rsidR="00B62B50">
        <w:rPr>
          <w:noProof/>
        </w:rPr>
        <w:t>4</w:t>
      </w:r>
      <w:r>
        <w:fldChar w:fldCharType="end"/>
      </w:r>
      <w:r>
        <w:t>).</w:t>
      </w:r>
    </w:p>
    <w:p w14:paraId="0C3F7D78" w14:textId="77777777" w:rsidR="00110A7F" w:rsidRPr="00BA3569" w:rsidRDefault="00110A7F" w:rsidP="00110A7F">
      <w:pPr>
        <w:pStyle w:val="Caption"/>
      </w:pPr>
      <w:bookmarkStart w:id="20" w:name="_Ref428868126"/>
      <w:bookmarkStart w:id="21" w:name="_Ref428850964"/>
      <w:bookmarkStart w:id="22" w:name="_Toc434208063"/>
      <w:r>
        <w:t xml:space="preserve">Table </w:t>
      </w:r>
      <w:r w:rsidR="00AE4287">
        <w:fldChar w:fldCharType="begin"/>
      </w:r>
      <w:r w:rsidR="00AE4287">
        <w:instrText xml:space="preserve"> STYLEREF 1 \s </w:instrText>
      </w:r>
      <w:r w:rsidR="00AE4287">
        <w:fldChar w:fldCharType="separate"/>
      </w:r>
      <w:r w:rsidR="00B62B50">
        <w:rPr>
          <w:noProof/>
        </w:rPr>
        <w:t>1</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4</w:t>
      </w:r>
      <w:r w:rsidR="00AE4287">
        <w:fldChar w:fldCharType="end"/>
      </w:r>
      <w:bookmarkEnd w:id="20"/>
      <w:r>
        <w:t xml:space="preserve">: Characteristics of Remote sensed products developed partly through </w:t>
      </w:r>
      <w:r w:rsidRPr="00BA3569">
        <w:t xml:space="preserve">MMP funding </w:t>
      </w:r>
      <w:r>
        <w:t>described against management outcomes.</w:t>
      </w:r>
      <w:bookmarkEnd w:id="21"/>
      <w:bookmarkEnd w:id="22"/>
    </w:p>
    <w:tbl>
      <w:tblPr>
        <w:tblStyle w:val="TableGrid"/>
        <w:tblW w:w="9557" w:type="dxa"/>
        <w:tblBorders>
          <w:left w:val="none" w:sz="0" w:space="0" w:color="auto"/>
          <w:right w:val="none" w:sz="0" w:space="0" w:color="auto"/>
          <w:insideV w:val="none" w:sz="0" w:space="0" w:color="auto"/>
        </w:tblBorders>
        <w:tblLook w:val="04A0" w:firstRow="1" w:lastRow="0" w:firstColumn="1" w:lastColumn="0" w:noHBand="0" w:noVBand="1"/>
        <w:tblCaption w:val="Characteristics of Remote sensed products developed partly through MMP funding described against management outcomes."/>
        <w:tblDescription w:val="Characteristics of Remote sensed products developed partly through MMP funding described against management outcomes."/>
      </w:tblPr>
      <w:tblGrid>
        <w:gridCol w:w="1819"/>
        <w:gridCol w:w="4859"/>
        <w:gridCol w:w="2879"/>
      </w:tblGrid>
      <w:tr w:rsidR="00110A7F" w:rsidRPr="00110A7F" w14:paraId="0C3F7D7C" w14:textId="77777777" w:rsidTr="00110A7F">
        <w:tc>
          <w:tcPr>
            <w:tcW w:w="952" w:type="pct"/>
          </w:tcPr>
          <w:p w14:paraId="0C3F7D79" w14:textId="77777777" w:rsidR="00110A7F" w:rsidRPr="00110A7F" w:rsidRDefault="00110A7F" w:rsidP="00110A7F">
            <w:pPr>
              <w:spacing w:before="0" w:after="0"/>
              <w:rPr>
                <w:rStyle w:val="BookTitle"/>
                <w:b/>
              </w:rPr>
            </w:pPr>
            <w:r w:rsidRPr="00110A7F">
              <w:rPr>
                <w:rStyle w:val="BookTitle"/>
                <w:b/>
              </w:rPr>
              <w:t xml:space="preserve">Product  </w:t>
            </w:r>
          </w:p>
        </w:tc>
        <w:tc>
          <w:tcPr>
            <w:tcW w:w="2542" w:type="pct"/>
          </w:tcPr>
          <w:p w14:paraId="0C3F7D7A" w14:textId="77777777" w:rsidR="00110A7F" w:rsidRPr="00110A7F" w:rsidRDefault="00110A7F" w:rsidP="00110A7F">
            <w:pPr>
              <w:spacing w:before="0" w:after="0"/>
              <w:rPr>
                <w:rStyle w:val="BookTitle"/>
                <w:b/>
              </w:rPr>
            </w:pPr>
            <w:r w:rsidRPr="00110A7F">
              <w:rPr>
                <w:rStyle w:val="BookTitle"/>
                <w:b/>
              </w:rPr>
              <w:t>Management outcome</w:t>
            </w:r>
          </w:p>
        </w:tc>
        <w:tc>
          <w:tcPr>
            <w:tcW w:w="1506" w:type="pct"/>
          </w:tcPr>
          <w:p w14:paraId="0C3F7D7B" w14:textId="77777777" w:rsidR="00110A7F" w:rsidRPr="00110A7F" w:rsidRDefault="00110A7F" w:rsidP="00110A7F">
            <w:pPr>
              <w:spacing w:before="0" w:after="0"/>
              <w:rPr>
                <w:rStyle w:val="BookTitle"/>
                <w:b/>
              </w:rPr>
            </w:pPr>
            <w:r w:rsidRPr="00110A7F">
              <w:rPr>
                <w:rStyle w:val="BookTitle"/>
                <w:b/>
              </w:rPr>
              <w:t>Spatial and temporal resolution</w:t>
            </w:r>
          </w:p>
        </w:tc>
      </w:tr>
      <w:tr w:rsidR="00110A7F" w:rsidRPr="00110A7F" w14:paraId="0C3F7D82" w14:textId="77777777" w:rsidTr="00110A7F">
        <w:tc>
          <w:tcPr>
            <w:tcW w:w="952" w:type="pct"/>
          </w:tcPr>
          <w:p w14:paraId="0C3F7D7D" w14:textId="77777777" w:rsidR="00110A7F" w:rsidRPr="00110A7F" w:rsidRDefault="00110A7F" w:rsidP="00110A7F">
            <w:pPr>
              <w:spacing w:before="0" w:after="0"/>
              <w:rPr>
                <w:rStyle w:val="BookTitle"/>
              </w:rPr>
            </w:pPr>
            <w:r w:rsidRPr="00110A7F">
              <w:rPr>
                <w:rStyle w:val="BookTitle"/>
              </w:rPr>
              <w:t>River plume maps</w:t>
            </w:r>
          </w:p>
          <w:p w14:paraId="0C3F7D7E" w14:textId="77777777" w:rsidR="00110A7F" w:rsidRPr="00110A7F" w:rsidRDefault="00110A7F" w:rsidP="00110A7F">
            <w:pPr>
              <w:spacing w:before="0" w:after="0"/>
              <w:rPr>
                <w:rStyle w:val="BookTitle"/>
              </w:rPr>
            </w:pPr>
          </w:p>
        </w:tc>
        <w:tc>
          <w:tcPr>
            <w:tcW w:w="2542" w:type="pct"/>
          </w:tcPr>
          <w:p w14:paraId="0C3F7D7F" w14:textId="77777777" w:rsidR="00110A7F" w:rsidRPr="00110A7F" w:rsidRDefault="00110A7F" w:rsidP="00110A7F">
            <w:pPr>
              <w:spacing w:before="0" w:after="0"/>
              <w:rPr>
                <w:rStyle w:val="BookTitle"/>
              </w:rPr>
            </w:pPr>
            <w:r w:rsidRPr="00110A7F">
              <w:rPr>
                <w:rStyle w:val="BookTitle"/>
              </w:rPr>
              <w:t>Illustrate the movement of riverine waters, but do not provide information on the composition of the water and WQ constituents</w:t>
            </w:r>
          </w:p>
        </w:tc>
        <w:tc>
          <w:tcPr>
            <w:tcW w:w="1506" w:type="pct"/>
          </w:tcPr>
          <w:p w14:paraId="0C3F7D80" w14:textId="77777777" w:rsidR="00110A7F" w:rsidRPr="00110A7F" w:rsidRDefault="00110A7F" w:rsidP="00110A7F">
            <w:pPr>
              <w:spacing w:before="0" w:after="0"/>
              <w:rPr>
                <w:rStyle w:val="BookTitle"/>
              </w:rPr>
            </w:pPr>
            <w:r w:rsidRPr="00110A7F">
              <w:rPr>
                <w:rStyle w:val="BookTitle"/>
              </w:rPr>
              <w:t>- Whole-GBR; NRM, river</w:t>
            </w:r>
          </w:p>
          <w:p w14:paraId="0C3F7D81" w14:textId="77777777" w:rsidR="00110A7F" w:rsidRPr="00110A7F" w:rsidRDefault="00110A7F" w:rsidP="00110A7F">
            <w:pPr>
              <w:spacing w:before="0" w:after="0"/>
              <w:rPr>
                <w:rStyle w:val="BookTitle"/>
              </w:rPr>
            </w:pPr>
            <w:r w:rsidRPr="00110A7F">
              <w:rPr>
                <w:rStyle w:val="BookTitle"/>
              </w:rPr>
              <w:t>- Daily, weekly and seasonal or multi-seasonal (frequency of occurrence)</w:t>
            </w:r>
          </w:p>
        </w:tc>
      </w:tr>
      <w:tr w:rsidR="00110A7F" w:rsidRPr="00110A7F" w14:paraId="0C3F7D87" w14:textId="77777777" w:rsidTr="00110A7F">
        <w:tc>
          <w:tcPr>
            <w:tcW w:w="952" w:type="pct"/>
          </w:tcPr>
          <w:p w14:paraId="0C3F7D83" w14:textId="77777777" w:rsidR="00110A7F" w:rsidRPr="00110A7F" w:rsidRDefault="00110A7F" w:rsidP="00110A7F">
            <w:pPr>
              <w:spacing w:before="0" w:after="0"/>
              <w:rPr>
                <w:rStyle w:val="BookTitle"/>
              </w:rPr>
            </w:pPr>
            <w:r w:rsidRPr="00110A7F">
              <w:rPr>
                <w:rStyle w:val="BookTitle"/>
              </w:rPr>
              <w:t>Plume water type maps</w:t>
            </w:r>
          </w:p>
        </w:tc>
        <w:tc>
          <w:tcPr>
            <w:tcW w:w="2542" w:type="pct"/>
          </w:tcPr>
          <w:p w14:paraId="0C3F7D84" w14:textId="77777777" w:rsidR="00110A7F" w:rsidRPr="00110A7F" w:rsidRDefault="00110A7F" w:rsidP="00110A7F">
            <w:pPr>
              <w:spacing w:before="0" w:after="0"/>
              <w:rPr>
                <w:rStyle w:val="BookTitle"/>
              </w:rPr>
            </w:pPr>
            <w:r w:rsidRPr="00110A7F">
              <w:rPr>
                <w:rStyle w:val="BookTitle"/>
              </w:rPr>
              <w:t>Plume water types are associated with different levels and combination of pollutants and, in combination with in-situ WQ information, provide a broad scale approach to reporting contaminant concentrations in the GBR marine environment.</w:t>
            </w:r>
          </w:p>
        </w:tc>
        <w:tc>
          <w:tcPr>
            <w:tcW w:w="1506" w:type="pct"/>
          </w:tcPr>
          <w:p w14:paraId="0C3F7D85" w14:textId="77777777" w:rsidR="00110A7F" w:rsidRPr="00110A7F" w:rsidRDefault="00110A7F" w:rsidP="00110A7F">
            <w:pPr>
              <w:spacing w:before="0" w:after="0"/>
              <w:rPr>
                <w:rStyle w:val="BookTitle"/>
              </w:rPr>
            </w:pPr>
            <w:r w:rsidRPr="00110A7F">
              <w:rPr>
                <w:rStyle w:val="BookTitle"/>
              </w:rPr>
              <w:t>- Whole-GBR; NRM, river</w:t>
            </w:r>
          </w:p>
          <w:p w14:paraId="0C3F7D86" w14:textId="77777777" w:rsidR="00110A7F" w:rsidRPr="00110A7F" w:rsidRDefault="00110A7F" w:rsidP="00110A7F">
            <w:pPr>
              <w:spacing w:before="0" w:after="0"/>
              <w:rPr>
                <w:rStyle w:val="BookTitle"/>
              </w:rPr>
            </w:pPr>
            <w:r w:rsidRPr="00110A7F">
              <w:rPr>
                <w:rStyle w:val="BookTitle"/>
              </w:rPr>
              <w:t>- Daily, weekly and seasonal or multi-seasonal (frequency of occurrence)</w:t>
            </w:r>
          </w:p>
        </w:tc>
      </w:tr>
      <w:tr w:rsidR="00110A7F" w:rsidRPr="00110A7F" w14:paraId="0C3F7D8C" w14:textId="77777777" w:rsidTr="00110A7F">
        <w:tc>
          <w:tcPr>
            <w:tcW w:w="952" w:type="pct"/>
          </w:tcPr>
          <w:p w14:paraId="0C3F7D88" w14:textId="77777777" w:rsidR="00110A7F" w:rsidRPr="00110A7F" w:rsidRDefault="00110A7F" w:rsidP="00110A7F">
            <w:pPr>
              <w:spacing w:before="0" w:after="0"/>
              <w:rPr>
                <w:rStyle w:val="BookTitle"/>
              </w:rPr>
            </w:pPr>
            <w:r w:rsidRPr="00110A7F">
              <w:rPr>
                <w:rStyle w:val="BookTitle"/>
              </w:rPr>
              <w:t>Load maps of land-sourced pollutants (TSS and DIN)</w:t>
            </w:r>
          </w:p>
        </w:tc>
        <w:tc>
          <w:tcPr>
            <w:tcW w:w="2542" w:type="pct"/>
          </w:tcPr>
          <w:p w14:paraId="0C3F7D89" w14:textId="77777777" w:rsidR="00110A7F" w:rsidRPr="00110A7F" w:rsidRDefault="00110A7F" w:rsidP="00110A7F">
            <w:pPr>
              <w:spacing w:before="0" w:after="0"/>
              <w:rPr>
                <w:rStyle w:val="BookTitle"/>
              </w:rPr>
            </w:pPr>
            <w:r w:rsidRPr="00110A7F">
              <w:rPr>
                <w:rStyle w:val="BookTitle"/>
              </w:rPr>
              <w:t>The load mapping exercise, allows us to further understand the movements of pollutants which are carried within the river plume waters.</w:t>
            </w:r>
          </w:p>
        </w:tc>
        <w:tc>
          <w:tcPr>
            <w:tcW w:w="1506" w:type="pct"/>
          </w:tcPr>
          <w:p w14:paraId="0C3F7D8A" w14:textId="77777777" w:rsidR="00110A7F" w:rsidRPr="00110A7F" w:rsidRDefault="00110A7F" w:rsidP="00110A7F">
            <w:pPr>
              <w:spacing w:before="0" w:after="0"/>
              <w:rPr>
                <w:rStyle w:val="BookTitle"/>
              </w:rPr>
            </w:pPr>
            <w:r w:rsidRPr="00110A7F">
              <w:rPr>
                <w:rStyle w:val="BookTitle"/>
              </w:rPr>
              <w:t>- Whole-GBR; NRM, river</w:t>
            </w:r>
          </w:p>
          <w:p w14:paraId="0C3F7D8B" w14:textId="77777777" w:rsidR="00110A7F" w:rsidRPr="00110A7F" w:rsidRDefault="00110A7F" w:rsidP="00110A7F">
            <w:pPr>
              <w:spacing w:before="0" w:after="0"/>
              <w:rPr>
                <w:rStyle w:val="BookTitle"/>
              </w:rPr>
            </w:pPr>
            <w:r w:rsidRPr="00110A7F">
              <w:rPr>
                <w:rStyle w:val="BookTitle"/>
              </w:rPr>
              <w:t>- seasonal or multi-seasonal</w:t>
            </w:r>
          </w:p>
        </w:tc>
      </w:tr>
      <w:tr w:rsidR="00110A7F" w:rsidRPr="00110A7F" w14:paraId="0C3F7D91" w14:textId="77777777" w:rsidTr="00110A7F">
        <w:tc>
          <w:tcPr>
            <w:tcW w:w="952" w:type="pct"/>
          </w:tcPr>
          <w:p w14:paraId="0C3F7D8D" w14:textId="77777777" w:rsidR="00110A7F" w:rsidRPr="00110A7F" w:rsidRDefault="00110A7F" w:rsidP="00110A7F">
            <w:pPr>
              <w:spacing w:before="0" w:after="0"/>
              <w:rPr>
                <w:rStyle w:val="BookTitle"/>
              </w:rPr>
            </w:pPr>
            <w:r w:rsidRPr="00110A7F">
              <w:rPr>
                <w:rStyle w:val="BookTitle"/>
              </w:rPr>
              <w:t>Potential river plume risk maps</w:t>
            </w:r>
          </w:p>
        </w:tc>
        <w:tc>
          <w:tcPr>
            <w:tcW w:w="2542" w:type="pct"/>
          </w:tcPr>
          <w:p w14:paraId="0C3F7D8E" w14:textId="77777777" w:rsidR="00110A7F" w:rsidRPr="00110A7F" w:rsidRDefault="00110A7F" w:rsidP="00110A7F">
            <w:pPr>
              <w:spacing w:before="0" w:after="0"/>
              <w:rPr>
                <w:rStyle w:val="BookTitle"/>
              </w:rPr>
            </w:pPr>
            <w:r w:rsidRPr="00110A7F">
              <w:rPr>
                <w:rStyle w:val="BookTitle"/>
              </w:rPr>
              <w:t>Preliminary product aiming to evaluate the ecological risk of GBR ecosystems from river plume exposure</w:t>
            </w:r>
          </w:p>
        </w:tc>
        <w:tc>
          <w:tcPr>
            <w:tcW w:w="1506" w:type="pct"/>
          </w:tcPr>
          <w:p w14:paraId="0C3F7D8F" w14:textId="77777777" w:rsidR="00110A7F" w:rsidRPr="00110A7F" w:rsidRDefault="00110A7F" w:rsidP="00110A7F">
            <w:pPr>
              <w:spacing w:before="0" w:after="0"/>
              <w:rPr>
                <w:rStyle w:val="BookTitle"/>
              </w:rPr>
            </w:pPr>
            <w:r w:rsidRPr="00110A7F">
              <w:rPr>
                <w:rStyle w:val="BookTitle"/>
              </w:rPr>
              <w:t>- Whole-GBR; NRM, river</w:t>
            </w:r>
          </w:p>
          <w:p w14:paraId="0C3F7D90" w14:textId="77777777" w:rsidR="00110A7F" w:rsidRPr="00110A7F" w:rsidRDefault="00110A7F" w:rsidP="00110A7F">
            <w:pPr>
              <w:spacing w:before="0" w:after="0"/>
              <w:rPr>
                <w:rStyle w:val="BookTitle"/>
              </w:rPr>
            </w:pPr>
            <w:r w:rsidRPr="00110A7F">
              <w:rPr>
                <w:rStyle w:val="BookTitle"/>
              </w:rPr>
              <w:t>- Daily, weekly and seasonal or multi-seasonal (frequency of occurrence)</w:t>
            </w:r>
          </w:p>
        </w:tc>
      </w:tr>
      <w:tr w:rsidR="00110A7F" w:rsidRPr="001850F0" w14:paraId="0C3F7D97" w14:textId="77777777" w:rsidTr="00110A7F">
        <w:tc>
          <w:tcPr>
            <w:tcW w:w="952" w:type="pct"/>
          </w:tcPr>
          <w:p w14:paraId="0C3F7D92" w14:textId="77777777" w:rsidR="00110A7F" w:rsidRPr="001850F0" w:rsidRDefault="00110A7F" w:rsidP="00110A7F">
            <w:pPr>
              <w:spacing w:before="0" w:after="0"/>
              <w:rPr>
                <w:rStyle w:val="BookTitle"/>
              </w:rPr>
            </w:pPr>
            <w:r w:rsidRPr="001850F0">
              <w:rPr>
                <w:rStyle w:val="BookTitle"/>
              </w:rPr>
              <w:t xml:space="preserve">Exposure Assessment of the coral reefs and seagrass beds </w:t>
            </w:r>
          </w:p>
        </w:tc>
        <w:tc>
          <w:tcPr>
            <w:tcW w:w="2542" w:type="pct"/>
          </w:tcPr>
          <w:p w14:paraId="0C3F7D93" w14:textId="77777777" w:rsidR="00110A7F" w:rsidRPr="00782908" w:rsidRDefault="00110A7F" w:rsidP="00110A7F">
            <w:pPr>
              <w:spacing w:before="0" w:after="0"/>
              <w:rPr>
                <w:rStyle w:val="BookTitle"/>
              </w:rPr>
            </w:pPr>
            <w:r w:rsidRPr="001850F0">
              <w:rPr>
                <w:rStyle w:val="BookTitle"/>
              </w:rPr>
              <w:t xml:space="preserve">Assess the exposure of key GBR ecosystems to plume exposure and potential risk from the river plume exposure.  </w:t>
            </w:r>
          </w:p>
          <w:p w14:paraId="0C3F7D94" w14:textId="77777777" w:rsidR="00110A7F" w:rsidRPr="001850F0" w:rsidRDefault="00110A7F" w:rsidP="00110A7F">
            <w:pPr>
              <w:spacing w:before="0" w:after="0"/>
              <w:rPr>
                <w:rStyle w:val="BookTitle"/>
              </w:rPr>
            </w:pPr>
            <w:r w:rsidRPr="00782908">
              <w:rPr>
                <w:rStyle w:val="BookTitle"/>
              </w:rPr>
              <w:t>Expressed simply as the area (km</w:t>
            </w:r>
            <w:r w:rsidRPr="001850F0">
              <w:rPr>
                <w:rStyle w:val="BookTitle"/>
                <w:vertAlign w:val="superscript"/>
              </w:rPr>
              <w:t>2</w:t>
            </w:r>
            <w:r w:rsidRPr="001850F0">
              <w:rPr>
                <w:rStyle w:val="BookTitle"/>
              </w:rPr>
              <w:t>) and percentage (%) of coral reefs and seagrass meadows exposed</w:t>
            </w:r>
          </w:p>
          <w:p w14:paraId="0C3F7D95" w14:textId="77777777" w:rsidR="00110A7F" w:rsidRPr="001850F0" w:rsidRDefault="00110A7F" w:rsidP="00110A7F">
            <w:pPr>
              <w:spacing w:before="0" w:after="0"/>
              <w:rPr>
                <w:rStyle w:val="BookTitle"/>
              </w:rPr>
            </w:pPr>
            <w:r w:rsidRPr="001850F0">
              <w:rPr>
                <w:rStyle w:val="BookTitle"/>
              </w:rPr>
              <w:t xml:space="preserve">Assume that historical reef and coral shapefiles can be </w:t>
            </w:r>
            <w:r w:rsidRPr="001850F0">
              <w:rPr>
                <w:rStyle w:val="BookTitle"/>
              </w:rPr>
              <w:lastRenderedPageBreak/>
              <w:t>used to assess the coral and seagrass location (stable over the years)</w:t>
            </w:r>
          </w:p>
        </w:tc>
        <w:tc>
          <w:tcPr>
            <w:tcW w:w="1506" w:type="pct"/>
          </w:tcPr>
          <w:p w14:paraId="0C3F7D96" w14:textId="77777777" w:rsidR="00110A7F" w:rsidRPr="001850F0" w:rsidRDefault="00110A7F" w:rsidP="00110A7F">
            <w:pPr>
              <w:spacing w:before="0" w:after="0"/>
              <w:rPr>
                <w:rStyle w:val="BookTitle"/>
              </w:rPr>
            </w:pPr>
            <w:r w:rsidRPr="001850F0">
              <w:rPr>
                <w:rStyle w:val="BookTitle"/>
              </w:rPr>
              <w:lastRenderedPageBreak/>
              <w:t>Whole-GBR; NRM; ecosystem</w:t>
            </w:r>
          </w:p>
        </w:tc>
      </w:tr>
    </w:tbl>
    <w:bookmarkEnd w:id="18"/>
    <w:bookmarkEnd w:id="19"/>
    <w:p w14:paraId="0C3F7D98" w14:textId="77777777" w:rsidR="0064679C" w:rsidRPr="00434B80" w:rsidRDefault="0064679C" w:rsidP="0064679C">
      <w:r w:rsidRPr="00BA3569">
        <w:lastRenderedPageBreak/>
        <w:t>Three different water types (Primary, Secondary, tertiary) are characteristic of the WQ gradient across the GBR river plumes and have been described from the inshore to the offshore boundaries of river plumes. Each plume water type is associated with above-natural pollutant concentrations and different concentrations of land-sourced pollutants and light levels. Concentrations of TSS, CDOM and light levels in flood plumes generally decrease across plume water types i.e., from Primary to Tertiary water types. Linear decrease of DIN and PSII herbicides concentrations from Primary to Tertiary water types have also been reported in the literature. Both the amount (concentration or load) and duration of exposure to a contaminant often co-determine the severity of an ecosystem response to the contaminant exposure (GRMPA, 2010). As a first approximation, it is assumed in this report and Petus et al. 2014b that the magnitude of risk for the GBR seagrass beds and coral reefs from river plume exposure (i.e., from land-sourced pollutants in river plumes) will increase from the Tertiary waters to the Primary core of river plumes and with the frequency of exposure.</w:t>
      </w:r>
    </w:p>
    <w:p w14:paraId="0C3F7D99" w14:textId="77777777" w:rsidR="0064679C" w:rsidRPr="00BA3569" w:rsidRDefault="0064679C" w:rsidP="0064679C">
      <w:r w:rsidRPr="00BA3569">
        <w:t>A new satellite product called ‘potential river plume risk map’ was developed based on t</w:t>
      </w:r>
      <w:r>
        <w:t>he WQ characteristics of the GBR</w:t>
      </w:r>
      <w:r w:rsidRPr="00BA3569">
        <w:t xml:space="preserve"> plume water types, the simplified framework published in Petus et al., 2014b and the risk matrix below.</w:t>
      </w:r>
    </w:p>
    <w:p w14:paraId="0C3F7D9A" w14:textId="77777777" w:rsidR="009C4D9F" w:rsidRPr="00110A7F" w:rsidRDefault="009C4D9F" w:rsidP="009C4D9F">
      <w:r w:rsidRPr="00110A7F">
        <w:t>This risk matrix assumes that potential risk level for GBR ecosystems can be ranked in four qualitative categories (</w:t>
      </w:r>
      <w:r>
        <w:t>I, II, III, IV</w:t>
      </w:r>
      <w:r w:rsidRPr="00110A7F">
        <w:t>) determined by the combination of the magnitude (mapped through the Primary, Secondary, Tertiary water type classes) and the likelihood (mapped through the frequency of occurrence of Primary, Secondary, Tertiary water type classes) of the river plume risk. This assumption</w:t>
      </w:r>
      <w:r>
        <w:t xml:space="preserve"> is</w:t>
      </w:r>
      <w:r w:rsidRPr="00110A7F">
        <w:t xml:space="preserve"> based on the ecological risk increasing with increased pollutant concentrations (magnitude) and increased exposure (frequency).</w:t>
      </w:r>
    </w:p>
    <w:p w14:paraId="0C3F7D9B" w14:textId="77777777" w:rsidR="009C4D9F" w:rsidRPr="00110A7F" w:rsidRDefault="009C4D9F" w:rsidP="009C4D9F">
      <w:r w:rsidRPr="00110A7F">
        <w:t>This Framework is still theoretical and the term ‘potential’ risk from plume exposure is used as risk maps haven’t been yet validated against ecological health data to confirm the ecological consequences of the risk, i.e., the risk ranking (</w:t>
      </w:r>
      <w:r>
        <w:t>I to IV</w:t>
      </w:r>
      <w:r w:rsidRPr="00110A7F">
        <w:t>) given a combination of magnitude and likelihood is, at this stage, theoretical</w:t>
      </w:r>
      <w:r>
        <w:t xml:space="preserve"> (Petus et al., in review)</w:t>
      </w:r>
      <w:r w:rsidRPr="00110A7F">
        <w:t>.</w:t>
      </w:r>
      <w:r>
        <w:t xml:space="preserve"> Recent work on the correlations between frequency of true colour and seagrass decline </w:t>
      </w:r>
      <w:r>
        <w:fldChar w:fldCharType="begin"/>
      </w:r>
      <w:r>
        <w:instrText xml:space="preserve"> ADDIN EN.CITE &lt;EndNote&gt;&lt;Cite&gt;&lt;Author&gt;Petus&lt;/Author&gt;&lt;Year&gt;2014&lt;/Year&gt;&lt;RecNum&gt;970&lt;/RecNum&gt;&lt;DisplayText&gt;(Petus et al., 2014)&lt;/DisplayText&gt;&lt;record&gt;&lt;rec-number&gt;970&lt;/rec-number&gt;&lt;foreign-keys&gt;&lt;key app="EN" db-id="wwzpfssaux292keptesxd5t6srsfvpzsde2p"&gt;970&lt;/key&gt;&lt;/foreign-keys&gt;&lt;ref-type name="Journal Article"&gt;17&lt;/ref-type&gt;&lt;contributors&gt;&lt;authors&gt;&lt;author&gt;Petus, Caroline&lt;/author&gt;&lt;author&gt;Collier, Catherine&lt;/author&gt;&lt;author&gt;Devlin, Michelle&lt;/author&gt;&lt;author&gt;Rasheed, Michael&lt;/author&gt;&lt;author&gt;McKenna, Skye&lt;/author&gt;&lt;/authors&gt;&lt;/contributors&gt;&lt;titles&gt;&lt;title&gt;Using MODIS data for understanding changes in seagrass meadow health: A case study in the Great Barrier Reef (Australia)&lt;/title&gt;&lt;secondary-title&gt;Marine environmental research&lt;/secondary-title&gt;&lt;/titles&gt;&lt;periodical&gt;&lt;full-title&gt;Mar Environ Res&lt;/full-title&gt;&lt;abbr-1&gt;Marine environmental research&lt;/abbr-1&gt;&lt;/periodical&gt;&lt;pages&gt;68-85&lt;/pages&gt;&lt;volume&gt;98&lt;/volume&gt;&lt;dates&gt;&lt;year&gt;2014&lt;/year&gt;&lt;/dates&gt;&lt;isbn&gt;0141-1136&lt;/isbn&gt;&lt;urls&gt;&lt;/urls&gt;&lt;/record&gt;&lt;/Cite&gt;&lt;/EndNote&gt;</w:instrText>
      </w:r>
      <w:r>
        <w:fldChar w:fldCharType="separate"/>
      </w:r>
      <w:r>
        <w:rPr>
          <w:noProof/>
        </w:rPr>
        <w:t>(</w:t>
      </w:r>
      <w:hyperlink w:anchor="_ENREF_31" w:tooltip="Petus, 2014 #970" w:history="1">
        <w:r>
          <w:rPr>
            <w:noProof/>
          </w:rPr>
          <w:t>Petus et al., 2014</w:t>
        </w:r>
      </w:hyperlink>
      <w:r>
        <w:rPr>
          <w:noProof/>
        </w:rPr>
        <w:t>)</w:t>
      </w:r>
      <w:r>
        <w:fldChar w:fldCharType="end"/>
      </w:r>
      <w:r>
        <w:t xml:space="preserve"> has shown</w:t>
      </w:r>
      <w:r w:rsidRPr="00110A7F">
        <w:t xml:space="preserve"> that </w:t>
      </w:r>
      <w:r>
        <w:t xml:space="preserve">a </w:t>
      </w:r>
      <w:r w:rsidRPr="00110A7F">
        <w:t>decline in seagrass meadow area and biomass is positively linked to high occurrence of turbid water masses mapped through MODIS imagery.</w:t>
      </w:r>
    </w:p>
    <w:p w14:paraId="0C3F7D9C" w14:textId="77777777" w:rsidR="0064679C" w:rsidRDefault="0064679C" w:rsidP="0064679C">
      <w:pPr>
        <w:pStyle w:val="Caption"/>
      </w:pPr>
      <w:bookmarkStart w:id="23" w:name="_Toc434208064"/>
      <w:r>
        <w:t xml:space="preserve">Table </w:t>
      </w:r>
      <w:r w:rsidR="00AE4287">
        <w:fldChar w:fldCharType="begin"/>
      </w:r>
      <w:r w:rsidR="00AE4287">
        <w:instrText xml:space="preserve"> STYLEREF 1 \s </w:instrText>
      </w:r>
      <w:r w:rsidR="00AE4287">
        <w:fldChar w:fldCharType="separate"/>
      </w:r>
      <w:r w:rsidR="00B62B50">
        <w:rPr>
          <w:noProof/>
        </w:rPr>
        <w:t>1</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5</w:t>
      </w:r>
      <w:r w:rsidR="00AE4287">
        <w:fldChar w:fldCharType="end"/>
      </w:r>
      <w:r>
        <w:t xml:space="preserve">: </w:t>
      </w:r>
      <w:r w:rsidRPr="00434B80">
        <w:t>Risk matrix in function of the magnitude and the likelihood of the river plume risk. Risk categories (I, II, III, IV, V</w:t>
      </w:r>
      <w:r>
        <w:t>)</w:t>
      </w:r>
      <w:bookmarkEnd w:id="23"/>
      <w:r>
        <w:t xml:space="preserve"> </w:t>
      </w:r>
    </w:p>
    <w:tbl>
      <w:tblPr>
        <w:tblW w:w="5416" w:type="dxa"/>
        <w:jc w:val="center"/>
        <w:tblInd w:w="93" w:type="dxa"/>
        <w:tblLook w:val="04A0" w:firstRow="1" w:lastRow="0" w:firstColumn="1" w:lastColumn="0" w:noHBand="0" w:noVBand="1"/>
      </w:tblPr>
      <w:tblGrid>
        <w:gridCol w:w="1400"/>
        <w:gridCol w:w="1337"/>
        <w:gridCol w:w="1210"/>
        <w:gridCol w:w="1469"/>
      </w:tblGrid>
      <w:tr w:rsidR="0064679C" w:rsidRPr="003C10C4" w14:paraId="0C3F7DA4" w14:textId="77777777" w:rsidTr="005118C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7D9D" w14:textId="77777777" w:rsidR="0064679C" w:rsidRPr="003C10C4" w:rsidRDefault="0064679C" w:rsidP="005118C1">
            <w:pPr>
              <w:spacing w:before="0" w:after="0"/>
              <w:jc w:val="center"/>
              <w:rPr>
                <w:rStyle w:val="BookTitle"/>
              </w:rPr>
            </w:pPr>
            <w:r w:rsidRPr="003C10C4">
              <w:rPr>
                <w:rStyle w:val="BookTitle"/>
              </w:rPr>
              <w:t>Magnitude</w:t>
            </w:r>
          </w:p>
        </w:tc>
        <w:tc>
          <w:tcPr>
            <w:tcW w:w="1337" w:type="dxa"/>
            <w:vMerge w:val="restart"/>
            <w:tcBorders>
              <w:top w:val="nil"/>
              <w:left w:val="nil"/>
              <w:right w:val="nil"/>
            </w:tcBorders>
            <w:shd w:val="clear" w:color="auto" w:fill="auto"/>
            <w:noWrap/>
            <w:vAlign w:val="center"/>
            <w:hideMark/>
          </w:tcPr>
          <w:p w14:paraId="0C3F7D9E" w14:textId="77777777" w:rsidR="0064679C" w:rsidRPr="003C10C4" w:rsidRDefault="0064679C" w:rsidP="005118C1">
            <w:pPr>
              <w:spacing w:before="0" w:after="0"/>
              <w:jc w:val="center"/>
              <w:rPr>
                <w:rStyle w:val="BookTitle"/>
              </w:rPr>
            </w:pPr>
            <w:r w:rsidRPr="003C10C4">
              <w:rPr>
                <w:rStyle w:val="BookTitle"/>
              </w:rPr>
              <w:t>Tertiary</w:t>
            </w:r>
          </w:p>
          <w:p w14:paraId="0C3F7D9F" w14:textId="77777777" w:rsidR="0064679C" w:rsidRPr="003C10C4" w:rsidRDefault="0064679C" w:rsidP="005118C1">
            <w:pPr>
              <w:spacing w:before="0" w:after="0"/>
              <w:jc w:val="center"/>
              <w:rPr>
                <w:rStyle w:val="BookTitle"/>
              </w:rPr>
            </w:pPr>
          </w:p>
        </w:tc>
        <w:tc>
          <w:tcPr>
            <w:tcW w:w="1210" w:type="dxa"/>
            <w:vMerge w:val="restart"/>
            <w:tcBorders>
              <w:top w:val="nil"/>
              <w:left w:val="nil"/>
              <w:right w:val="nil"/>
            </w:tcBorders>
            <w:shd w:val="clear" w:color="auto" w:fill="auto"/>
            <w:noWrap/>
            <w:vAlign w:val="center"/>
            <w:hideMark/>
          </w:tcPr>
          <w:p w14:paraId="0C3F7DA0" w14:textId="77777777" w:rsidR="0064679C" w:rsidRPr="003C10C4" w:rsidRDefault="0064679C" w:rsidP="005118C1">
            <w:pPr>
              <w:spacing w:before="0" w:after="0"/>
              <w:jc w:val="center"/>
              <w:rPr>
                <w:rStyle w:val="BookTitle"/>
              </w:rPr>
            </w:pPr>
            <w:r w:rsidRPr="003C10C4">
              <w:rPr>
                <w:rStyle w:val="BookTitle"/>
              </w:rPr>
              <w:t>Secondary</w:t>
            </w:r>
          </w:p>
          <w:p w14:paraId="0C3F7DA1" w14:textId="77777777" w:rsidR="0064679C" w:rsidRPr="003C10C4" w:rsidRDefault="0064679C" w:rsidP="005118C1">
            <w:pPr>
              <w:spacing w:before="0" w:after="0"/>
              <w:jc w:val="center"/>
              <w:rPr>
                <w:rStyle w:val="BookTitle"/>
              </w:rPr>
            </w:pPr>
          </w:p>
        </w:tc>
        <w:tc>
          <w:tcPr>
            <w:tcW w:w="1469" w:type="dxa"/>
            <w:vMerge w:val="restart"/>
            <w:tcBorders>
              <w:top w:val="nil"/>
              <w:left w:val="nil"/>
              <w:right w:val="nil"/>
            </w:tcBorders>
            <w:shd w:val="clear" w:color="auto" w:fill="auto"/>
            <w:noWrap/>
            <w:vAlign w:val="center"/>
            <w:hideMark/>
          </w:tcPr>
          <w:p w14:paraId="0C3F7DA2" w14:textId="77777777" w:rsidR="0064679C" w:rsidRPr="003C10C4" w:rsidRDefault="0064679C" w:rsidP="005118C1">
            <w:pPr>
              <w:spacing w:before="0" w:after="0"/>
              <w:jc w:val="center"/>
              <w:rPr>
                <w:rStyle w:val="BookTitle"/>
              </w:rPr>
            </w:pPr>
            <w:r w:rsidRPr="003C10C4">
              <w:rPr>
                <w:rStyle w:val="BookTitle"/>
              </w:rPr>
              <w:t>Primary</w:t>
            </w:r>
          </w:p>
          <w:p w14:paraId="0C3F7DA3" w14:textId="77777777" w:rsidR="0064679C" w:rsidRPr="003C10C4" w:rsidRDefault="0064679C" w:rsidP="005118C1">
            <w:pPr>
              <w:spacing w:before="0" w:after="0"/>
              <w:jc w:val="center"/>
              <w:rPr>
                <w:rStyle w:val="BookTitle"/>
              </w:rPr>
            </w:pPr>
          </w:p>
        </w:tc>
      </w:tr>
      <w:tr w:rsidR="0064679C" w:rsidRPr="003C10C4" w14:paraId="0C3F7DA9" w14:textId="77777777" w:rsidTr="005118C1">
        <w:trPr>
          <w:trHeight w:val="300"/>
          <w:jc w:val="center"/>
        </w:trPr>
        <w:tc>
          <w:tcPr>
            <w:tcW w:w="1400" w:type="dxa"/>
            <w:tcBorders>
              <w:top w:val="nil"/>
              <w:left w:val="nil"/>
              <w:bottom w:val="single" w:sz="4" w:space="0" w:color="auto"/>
              <w:right w:val="single" w:sz="4" w:space="0" w:color="auto"/>
            </w:tcBorders>
            <w:shd w:val="clear" w:color="auto" w:fill="auto"/>
            <w:noWrap/>
            <w:vAlign w:val="center"/>
            <w:hideMark/>
          </w:tcPr>
          <w:p w14:paraId="0C3F7DA5" w14:textId="77777777" w:rsidR="0064679C" w:rsidRPr="003C10C4" w:rsidRDefault="0064679C" w:rsidP="005118C1">
            <w:pPr>
              <w:spacing w:before="0" w:after="0"/>
              <w:jc w:val="center"/>
              <w:rPr>
                <w:rStyle w:val="BookTitle"/>
              </w:rPr>
            </w:pPr>
            <w:r w:rsidRPr="003C10C4">
              <w:rPr>
                <w:rStyle w:val="BookTitle"/>
              </w:rPr>
              <w:t>Likelihood</w:t>
            </w:r>
          </w:p>
        </w:tc>
        <w:tc>
          <w:tcPr>
            <w:tcW w:w="1337" w:type="dxa"/>
            <w:vMerge/>
            <w:tcBorders>
              <w:left w:val="nil"/>
              <w:bottom w:val="single" w:sz="4" w:space="0" w:color="auto"/>
              <w:right w:val="nil"/>
            </w:tcBorders>
            <w:shd w:val="clear" w:color="auto" w:fill="auto"/>
            <w:noWrap/>
            <w:vAlign w:val="center"/>
            <w:hideMark/>
          </w:tcPr>
          <w:p w14:paraId="0C3F7DA6" w14:textId="77777777" w:rsidR="0064679C" w:rsidRPr="003C10C4" w:rsidRDefault="0064679C" w:rsidP="005118C1">
            <w:pPr>
              <w:spacing w:before="0" w:after="0"/>
              <w:jc w:val="center"/>
              <w:rPr>
                <w:rStyle w:val="BookTitle"/>
              </w:rPr>
            </w:pPr>
          </w:p>
        </w:tc>
        <w:tc>
          <w:tcPr>
            <w:tcW w:w="1210" w:type="dxa"/>
            <w:vMerge/>
            <w:tcBorders>
              <w:left w:val="nil"/>
              <w:bottom w:val="single" w:sz="4" w:space="0" w:color="auto"/>
              <w:right w:val="nil"/>
            </w:tcBorders>
            <w:shd w:val="clear" w:color="auto" w:fill="auto"/>
            <w:noWrap/>
            <w:vAlign w:val="center"/>
            <w:hideMark/>
          </w:tcPr>
          <w:p w14:paraId="0C3F7DA7" w14:textId="77777777" w:rsidR="0064679C" w:rsidRPr="003C10C4" w:rsidRDefault="0064679C" w:rsidP="005118C1">
            <w:pPr>
              <w:spacing w:before="0" w:after="0"/>
              <w:jc w:val="center"/>
              <w:rPr>
                <w:rStyle w:val="BookTitle"/>
              </w:rPr>
            </w:pPr>
          </w:p>
        </w:tc>
        <w:tc>
          <w:tcPr>
            <w:tcW w:w="1469" w:type="dxa"/>
            <w:vMerge/>
            <w:tcBorders>
              <w:left w:val="nil"/>
              <w:bottom w:val="single" w:sz="4" w:space="0" w:color="auto"/>
              <w:right w:val="nil"/>
            </w:tcBorders>
            <w:shd w:val="clear" w:color="auto" w:fill="auto"/>
            <w:noWrap/>
            <w:vAlign w:val="center"/>
            <w:hideMark/>
          </w:tcPr>
          <w:p w14:paraId="0C3F7DA8" w14:textId="77777777" w:rsidR="0064679C" w:rsidRPr="003C10C4" w:rsidRDefault="0064679C" w:rsidP="005118C1">
            <w:pPr>
              <w:spacing w:before="0" w:after="0"/>
              <w:jc w:val="center"/>
              <w:rPr>
                <w:rStyle w:val="BookTitle"/>
              </w:rPr>
            </w:pPr>
          </w:p>
        </w:tc>
      </w:tr>
      <w:tr w:rsidR="0064679C" w:rsidRPr="003C10C4" w14:paraId="0C3F7DAE" w14:textId="77777777" w:rsidTr="005118C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7DAA" w14:textId="77777777" w:rsidR="0064679C" w:rsidRPr="003C10C4" w:rsidRDefault="0064679C" w:rsidP="005118C1">
            <w:pPr>
              <w:spacing w:before="0" w:after="0"/>
              <w:jc w:val="center"/>
              <w:rPr>
                <w:rStyle w:val="BookTitle"/>
              </w:rPr>
            </w:pPr>
            <w:r w:rsidRPr="003C10C4">
              <w:rPr>
                <w:rStyle w:val="BookTitle"/>
              </w:rPr>
              <w:t>rare</w:t>
            </w:r>
          </w:p>
        </w:tc>
        <w:tc>
          <w:tcPr>
            <w:tcW w:w="1337" w:type="dxa"/>
            <w:tcBorders>
              <w:top w:val="nil"/>
              <w:left w:val="nil"/>
              <w:bottom w:val="nil"/>
              <w:right w:val="nil"/>
            </w:tcBorders>
            <w:shd w:val="clear" w:color="000000" w:fill="00B0F0"/>
            <w:noWrap/>
            <w:vAlign w:val="center"/>
            <w:hideMark/>
          </w:tcPr>
          <w:p w14:paraId="0C3F7DAB" w14:textId="77777777" w:rsidR="0064679C" w:rsidRPr="003C10C4" w:rsidRDefault="0064679C" w:rsidP="005118C1">
            <w:pPr>
              <w:spacing w:before="0" w:after="0"/>
              <w:jc w:val="center"/>
              <w:rPr>
                <w:rStyle w:val="BookTitle"/>
              </w:rPr>
            </w:pPr>
            <w:r w:rsidRPr="003C10C4">
              <w:rPr>
                <w:rStyle w:val="BookTitle"/>
              </w:rPr>
              <w:t>I</w:t>
            </w:r>
          </w:p>
        </w:tc>
        <w:tc>
          <w:tcPr>
            <w:tcW w:w="1210" w:type="dxa"/>
            <w:tcBorders>
              <w:top w:val="nil"/>
              <w:left w:val="nil"/>
              <w:bottom w:val="nil"/>
              <w:right w:val="nil"/>
            </w:tcBorders>
            <w:shd w:val="clear" w:color="000000" w:fill="00B0F0"/>
            <w:noWrap/>
            <w:vAlign w:val="center"/>
            <w:hideMark/>
          </w:tcPr>
          <w:p w14:paraId="0C3F7DAC" w14:textId="77777777" w:rsidR="0064679C" w:rsidRPr="003C10C4" w:rsidRDefault="0064679C" w:rsidP="005118C1">
            <w:pPr>
              <w:spacing w:before="0" w:after="0"/>
              <w:jc w:val="center"/>
              <w:rPr>
                <w:rStyle w:val="BookTitle"/>
              </w:rPr>
            </w:pPr>
            <w:r w:rsidRPr="003C10C4">
              <w:rPr>
                <w:rStyle w:val="BookTitle"/>
              </w:rPr>
              <w:t>I</w:t>
            </w:r>
          </w:p>
        </w:tc>
        <w:tc>
          <w:tcPr>
            <w:tcW w:w="1469" w:type="dxa"/>
            <w:tcBorders>
              <w:top w:val="nil"/>
              <w:left w:val="nil"/>
              <w:bottom w:val="nil"/>
              <w:right w:val="nil"/>
            </w:tcBorders>
            <w:shd w:val="clear" w:color="000000" w:fill="1EC103"/>
            <w:noWrap/>
            <w:vAlign w:val="center"/>
            <w:hideMark/>
          </w:tcPr>
          <w:p w14:paraId="0C3F7DAD" w14:textId="77777777" w:rsidR="0064679C" w:rsidRPr="003C10C4" w:rsidRDefault="0064679C" w:rsidP="005118C1">
            <w:pPr>
              <w:spacing w:before="0" w:after="0"/>
              <w:jc w:val="center"/>
              <w:rPr>
                <w:rStyle w:val="BookTitle"/>
              </w:rPr>
            </w:pPr>
            <w:r w:rsidRPr="003C10C4">
              <w:rPr>
                <w:rStyle w:val="BookTitle"/>
              </w:rPr>
              <w:t>II</w:t>
            </w:r>
          </w:p>
        </w:tc>
      </w:tr>
      <w:tr w:rsidR="0064679C" w:rsidRPr="003C10C4" w14:paraId="0C3F7DB3" w14:textId="77777777" w:rsidTr="005118C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7DAF" w14:textId="77777777" w:rsidR="0064679C" w:rsidRPr="003C10C4" w:rsidRDefault="0064679C" w:rsidP="005118C1">
            <w:pPr>
              <w:spacing w:before="0" w:after="0"/>
              <w:jc w:val="center"/>
              <w:rPr>
                <w:rStyle w:val="BookTitle"/>
              </w:rPr>
            </w:pPr>
            <w:r w:rsidRPr="003C10C4">
              <w:rPr>
                <w:rStyle w:val="BookTitle"/>
              </w:rPr>
              <w:t>infrequent</w:t>
            </w:r>
          </w:p>
        </w:tc>
        <w:tc>
          <w:tcPr>
            <w:tcW w:w="1337" w:type="dxa"/>
            <w:tcBorders>
              <w:top w:val="nil"/>
              <w:left w:val="nil"/>
              <w:bottom w:val="nil"/>
              <w:right w:val="nil"/>
            </w:tcBorders>
            <w:shd w:val="clear" w:color="000000" w:fill="00B0F0"/>
            <w:noWrap/>
            <w:vAlign w:val="center"/>
            <w:hideMark/>
          </w:tcPr>
          <w:p w14:paraId="0C3F7DB0" w14:textId="77777777" w:rsidR="0064679C" w:rsidRPr="003C10C4" w:rsidRDefault="0064679C" w:rsidP="005118C1">
            <w:pPr>
              <w:spacing w:before="0" w:after="0"/>
              <w:jc w:val="center"/>
              <w:rPr>
                <w:rStyle w:val="BookTitle"/>
              </w:rPr>
            </w:pPr>
            <w:r w:rsidRPr="003C10C4">
              <w:rPr>
                <w:rStyle w:val="BookTitle"/>
              </w:rPr>
              <w:t>I</w:t>
            </w:r>
          </w:p>
        </w:tc>
        <w:tc>
          <w:tcPr>
            <w:tcW w:w="1210" w:type="dxa"/>
            <w:tcBorders>
              <w:top w:val="nil"/>
              <w:left w:val="nil"/>
              <w:bottom w:val="nil"/>
              <w:right w:val="nil"/>
            </w:tcBorders>
            <w:shd w:val="clear" w:color="000000" w:fill="1EC103"/>
            <w:noWrap/>
            <w:vAlign w:val="center"/>
            <w:hideMark/>
          </w:tcPr>
          <w:p w14:paraId="0C3F7DB1" w14:textId="77777777" w:rsidR="0064679C" w:rsidRPr="003C10C4" w:rsidRDefault="0064679C" w:rsidP="005118C1">
            <w:pPr>
              <w:spacing w:before="0" w:after="0"/>
              <w:jc w:val="center"/>
              <w:rPr>
                <w:rStyle w:val="BookTitle"/>
              </w:rPr>
            </w:pPr>
            <w:r w:rsidRPr="003C10C4">
              <w:rPr>
                <w:rStyle w:val="BookTitle"/>
              </w:rPr>
              <w:t>II</w:t>
            </w:r>
          </w:p>
        </w:tc>
        <w:tc>
          <w:tcPr>
            <w:tcW w:w="1469" w:type="dxa"/>
            <w:tcBorders>
              <w:top w:val="nil"/>
              <w:left w:val="nil"/>
              <w:bottom w:val="nil"/>
              <w:right w:val="nil"/>
            </w:tcBorders>
            <w:shd w:val="clear" w:color="000000" w:fill="1EC103"/>
            <w:noWrap/>
            <w:vAlign w:val="center"/>
            <w:hideMark/>
          </w:tcPr>
          <w:p w14:paraId="0C3F7DB2" w14:textId="77777777" w:rsidR="0064679C" w:rsidRPr="003C10C4" w:rsidRDefault="0064679C" w:rsidP="005118C1">
            <w:pPr>
              <w:spacing w:before="0" w:after="0"/>
              <w:jc w:val="center"/>
              <w:rPr>
                <w:rStyle w:val="BookTitle"/>
              </w:rPr>
            </w:pPr>
            <w:r w:rsidRPr="003C10C4">
              <w:rPr>
                <w:rStyle w:val="BookTitle"/>
              </w:rPr>
              <w:t>II</w:t>
            </w:r>
          </w:p>
        </w:tc>
      </w:tr>
      <w:tr w:rsidR="0064679C" w:rsidRPr="003C10C4" w14:paraId="0C3F7DB8" w14:textId="77777777" w:rsidTr="005118C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7DB4" w14:textId="77777777" w:rsidR="0064679C" w:rsidRPr="003C10C4" w:rsidRDefault="0064679C" w:rsidP="005118C1">
            <w:pPr>
              <w:spacing w:before="0" w:after="0"/>
              <w:jc w:val="center"/>
              <w:rPr>
                <w:rStyle w:val="BookTitle"/>
              </w:rPr>
            </w:pPr>
            <w:r w:rsidRPr="003C10C4">
              <w:rPr>
                <w:rStyle w:val="BookTitle"/>
              </w:rPr>
              <w:t>occasional</w:t>
            </w:r>
          </w:p>
        </w:tc>
        <w:tc>
          <w:tcPr>
            <w:tcW w:w="1337" w:type="dxa"/>
            <w:tcBorders>
              <w:top w:val="nil"/>
              <w:left w:val="nil"/>
              <w:bottom w:val="nil"/>
              <w:right w:val="nil"/>
            </w:tcBorders>
            <w:shd w:val="clear" w:color="000000" w:fill="1EC103"/>
            <w:noWrap/>
            <w:vAlign w:val="center"/>
            <w:hideMark/>
          </w:tcPr>
          <w:p w14:paraId="0C3F7DB5" w14:textId="77777777" w:rsidR="0064679C" w:rsidRPr="003C10C4" w:rsidRDefault="0064679C" w:rsidP="005118C1">
            <w:pPr>
              <w:spacing w:before="0" w:after="0"/>
              <w:jc w:val="center"/>
              <w:rPr>
                <w:rStyle w:val="BookTitle"/>
              </w:rPr>
            </w:pPr>
            <w:r w:rsidRPr="003C10C4">
              <w:rPr>
                <w:rStyle w:val="BookTitle"/>
              </w:rPr>
              <w:t>II</w:t>
            </w:r>
          </w:p>
        </w:tc>
        <w:tc>
          <w:tcPr>
            <w:tcW w:w="1210" w:type="dxa"/>
            <w:tcBorders>
              <w:top w:val="nil"/>
              <w:left w:val="nil"/>
              <w:bottom w:val="nil"/>
              <w:right w:val="nil"/>
            </w:tcBorders>
            <w:shd w:val="clear" w:color="000000" w:fill="1EC103"/>
            <w:noWrap/>
            <w:vAlign w:val="center"/>
            <w:hideMark/>
          </w:tcPr>
          <w:p w14:paraId="0C3F7DB6" w14:textId="77777777" w:rsidR="0064679C" w:rsidRPr="003C10C4" w:rsidRDefault="0064679C" w:rsidP="005118C1">
            <w:pPr>
              <w:spacing w:before="0" w:after="0"/>
              <w:jc w:val="center"/>
              <w:rPr>
                <w:rStyle w:val="BookTitle"/>
              </w:rPr>
            </w:pPr>
            <w:r w:rsidRPr="003C10C4">
              <w:rPr>
                <w:rStyle w:val="BookTitle"/>
              </w:rPr>
              <w:t>II</w:t>
            </w:r>
          </w:p>
        </w:tc>
        <w:tc>
          <w:tcPr>
            <w:tcW w:w="1469" w:type="dxa"/>
            <w:tcBorders>
              <w:top w:val="nil"/>
              <w:left w:val="nil"/>
              <w:bottom w:val="nil"/>
              <w:right w:val="nil"/>
            </w:tcBorders>
            <w:shd w:val="clear" w:color="000000" w:fill="FF0000"/>
            <w:noWrap/>
            <w:vAlign w:val="center"/>
            <w:hideMark/>
          </w:tcPr>
          <w:p w14:paraId="0C3F7DB7" w14:textId="77777777" w:rsidR="0064679C" w:rsidRPr="003C10C4" w:rsidRDefault="0064679C" w:rsidP="005118C1">
            <w:pPr>
              <w:spacing w:before="0" w:after="0"/>
              <w:jc w:val="center"/>
              <w:rPr>
                <w:rStyle w:val="BookTitle"/>
              </w:rPr>
            </w:pPr>
            <w:r w:rsidRPr="003C10C4">
              <w:rPr>
                <w:rStyle w:val="BookTitle"/>
              </w:rPr>
              <w:t>III</w:t>
            </w:r>
          </w:p>
        </w:tc>
      </w:tr>
      <w:tr w:rsidR="0064679C" w:rsidRPr="003C10C4" w14:paraId="0C3F7DBD" w14:textId="77777777" w:rsidTr="005118C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7DB9" w14:textId="77777777" w:rsidR="0064679C" w:rsidRPr="003C10C4" w:rsidRDefault="0064679C" w:rsidP="005118C1">
            <w:pPr>
              <w:spacing w:before="0" w:after="0"/>
              <w:jc w:val="center"/>
              <w:rPr>
                <w:rStyle w:val="BookTitle"/>
              </w:rPr>
            </w:pPr>
            <w:r w:rsidRPr="003C10C4">
              <w:rPr>
                <w:rStyle w:val="BookTitle"/>
              </w:rPr>
              <w:t>frequent</w:t>
            </w:r>
          </w:p>
        </w:tc>
        <w:tc>
          <w:tcPr>
            <w:tcW w:w="1337" w:type="dxa"/>
            <w:tcBorders>
              <w:top w:val="nil"/>
              <w:left w:val="nil"/>
              <w:bottom w:val="nil"/>
              <w:right w:val="nil"/>
            </w:tcBorders>
            <w:shd w:val="clear" w:color="000000" w:fill="1EC103"/>
            <w:noWrap/>
            <w:vAlign w:val="center"/>
            <w:hideMark/>
          </w:tcPr>
          <w:p w14:paraId="0C3F7DBA" w14:textId="77777777" w:rsidR="0064679C" w:rsidRPr="003C10C4" w:rsidRDefault="0064679C" w:rsidP="005118C1">
            <w:pPr>
              <w:spacing w:before="0" w:after="0"/>
              <w:jc w:val="center"/>
              <w:rPr>
                <w:rStyle w:val="BookTitle"/>
              </w:rPr>
            </w:pPr>
            <w:r w:rsidRPr="003C10C4">
              <w:rPr>
                <w:rStyle w:val="BookTitle"/>
              </w:rPr>
              <w:t>II</w:t>
            </w:r>
          </w:p>
        </w:tc>
        <w:tc>
          <w:tcPr>
            <w:tcW w:w="1210" w:type="dxa"/>
            <w:tcBorders>
              <w:top w:val="nil"/>
              <w:left w:val="nil"/>
              <w:bottom w:val="nil"/>
              <w:right w:val="nil"/>
            </w:tcBorders>
            <w:shd w:val="clear" w:color="000000" w:fill="FF0000"/>
            <w:noWrap/>
            <w:vAlign w:val="center"/>
            <w:hideMark/>
          </w:tcPr>
          <w:p w14:paraId="0C3F7DBB" w14:textId="77777777" w:rsidR="0064679C" w:rsidRPr="003C10C4" w:rsidRDefault="0064679C" w:rsidP="005118C1">
            <w:pPr>
              <w:spacing w:before="0" w:after="0"/>
              <w:jc w:val="center"/>
              <w:rPr>
                <w:rStyle w:val="BookTitle"/>
              </w:rPr>
            </w:pPr>
            <w:r w:rsidRPr="003C10C4">
              <w:rPr>
                <w:rStyle w:val="BookTitle"/>
              </w:rPr>
              <w:t>III</w:t>
            </w:r>
          </w:p>
        </w:tc>
        <w:tc>
          <w:tcPr>
            <w:tcW w:w="1469" w:type="dxa"/>
            <w:tcBorders>
              <w:top w:val="nil"/>
              <w:left w:val="nil"/>
              <w:bottom w:val="nil"/>
              <w:right w:val="nil"/>
            </w:tcBorders>
            <w:shd w:val="clear" w:color="000000" w:fill="FF0000"/>
            <w:noWrap/>
            <w:vAlign w:val="center"/>
            <w:hideMark/>
          </w:tcPr>
          <w:p w14:paraId="0C3F7DBC" w14:textId="77777777" w:rsidR="0064679C" w:rsidRPr="003C10C4" w:rsidRDefault="0064679C" w:rsidP="005118C1">
            <w:pPr>
              <w:spacing w:before="0" w:after="0"/>
              <w:jc w:val="center"/>
              <w:rPr>
                <w:rStyle w:val="BookTitle"/>
              </w:rPr>
            </w:pPr>
            <w:r w:rsidRPr="003C10C4">
              <w:rPr>
                <w:rStyle w:val="BookTitle"/>
              </w:rPr>
              <w:t>III</w:t>
            </w:r>
          </w:p>
        </w:tc>
      </w:tr>
      <w:tr w:rsidR="0064679C" w:rsidRPr="003C10C4" w14:paraId="0C3F7DC2" w14:textId="77777777" w:rsidTr="005118C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7DBE" w14:textId="77777777" w:rsidR="0064679C" w:rsidRPr="003C10C4" w:rsidRDefault="0064679C" w:rsidP="005118C1">
            <w:pPr>
              <w:spacing w:before="0" w:after="0"/>
              <w:jc w:val="center"/>
              <w:rPr>
                <w:rStyle w:val="BookTitle"/>
              </w:rPr>
            </w:pPr>
            <w:r w:rsidRPr="003C10C4">
              <w:rPr>
                <w:rStyle w:val="BookTitle"/>
              </w:rPr>
              <w:t>very frequent</w:t>
            </w:r>
          </w:p>
        </w:tc>
        <w:tc>
          <w:tcPr>
            <w:tcW w:w="1337" w:type="dxa"/>
            <w:tcBorders>
              <w:top w:val="nil"/>
              <w:left w:val="nil"/>
              <w:bottom w:val="nil"/>
              <w:right w:val="nil"/>
            </w:tcBorders>
            <w:shd w:val="clear" w:color="000000" w:fill="FF0000"/>
            <w:noWrap/>
            <w:vAlign w:val="center"/>
            <w:hideMark/>
          </w:tcPr>
          <w:p w14:paraId="0C3F7DBF" w14:textId="77777777" w:rsidR="0064679C" w:rsidRPr="003C10C4" w:rsidRDefault="0064679C" w:rsidP="005118C1">
            <w:pPr>
              <w:spacing w:before="0" w:after="0"/>
              <w:jc w:val="center"/>
              <w:rPr>
                <w:rStyle w:val="BookTitle"/>
              </w:rPr>
            </w:pPr>
            <w:r w:rsidRPr="003C10C4">
              <w:rPr>
                <w:rStyle w:val="BookTitle"/>
              </w:rPr>
              <w:t>III</w:t>
            </w:r>
          </w:p>
        </w:tc>
        <w:tc>
          <w:tcPr>
            <w:tcW w:w="1210" w:type="dxa"/>
            <w:tcBorders>
              <w:top w:val="nil"/>
              <w:left w:val="nil"/>
              <w:bottom w:val="nil"/>
              <w:right w:val="nil"/>
            </w:tcBorders>
            <w:shd w:val="clear" w:color="000000" w:fill="FF0000"/>
            <w:noWrap/>
            <w:vAlign w:val="center"/>
            <w:hideMark/>
          </w:tcPr>
          <w:p w14:paraId="0C3F7DC0" w14:textId="77777777" w:rsidR="0064679C" w:rsidRPr="003C10C4" w:rsidRDefault="0064679C" w:rsidP="005118C1">
            <w:pPr>
              <w:spacing w:before="0" w:after="0"/>
              <w:jc w:val="center"/>
              <w:rPr>
                <w:rStyle w:val="BookTitle"/>
              </w:rPr>
            </w:pPr>
            <w:r w:rsidRPr="003C10C4">
              <w:rPr>
                <w:rStyle w:val="BookTitle"/>
              </w:rPr>
              <w:t>III</w:t>
            </w:r>
          </w:p>
        </w:tc>
        <w:tc>
          <w:tcPr>
            <w:tcW w:w="1469" w:type="dxa"/>
            <w:tcBorders>
              <w:top w:val="nil"/>
              <w:left w:val="nil"/>
              <w:bottom w:val="nil"/>
              <w:right w:val="nil"/>
            </w:tcBorders>
            <w:shd w:val="clear" w:color="000000" w:fill="C00000"/>
            <w:noWrap/>
            <w:vAlign w:val="center"/>
            <w:hideMark/>
          </w:tcPr>
          <w:p w14:paraId="0C3F7DC1" w14:textId="77777777" w:rsidR="0064679C" w:rsidRPr="003C10C4" w:rsidRDefault="0064679C" w:rsidP="005118C1">
            <w:pPr>
              <w:spacing w:before="0" w:after="0"/>
              <w:jc w:val="center"/>
              <w:rPr>
                <w:rStyle w:val="BookTitle"/>
              </w:rPr>
            </w:pPr>
            <w:r w:rsidRPr="003C10C4">
              <w:rPr>
                <w:rStyle w:val="BookTitle"/>
              </w:rPr>
              <w:t>IV</w:t>
            </w:r>
          </w:p>
        </w:tc>
      </w:tr>
    </w:tbl>
    <w:p w14:paraId="0C3F7DC3" w14:textId="77777777" w:rsidR="0064679C" w:rsidRPr="00110A7F" w:rsidRDefault="0064679C" w:rsidP="0064679C">
      <w:pPr>
        <w:rPr>
          <w:lang w:val="en-GB" w:eastAsia="en-US"/>
        </w:rPr>
      </w:pPr>
    </w:p>
    <w:p w14:paraId="0C3F7DC4" w14:textId="77777777" w:rsidR="0064679C" w:rsidRPr="00FE18E3" w:rsidRDefault="0064679C" w:rsidP="0064679C">
      <w:r w:rsidRPr="00FE18E3">
        <w:t xml:space="preserve">The river plume maps suggest that river plumes are constrained close to the coast by the Coriolis Effect and the prevailing wind regime, limiting impacts on the more offshore ecosystems like coral </w:t>
      </w:r>
      <w:r w:rsidRPr="00FE18E3">
        <w:lastRenderedPageBreak/>
        <w:t>reefs, while onshore ecosystems like seagrass beds are under a greatest risk from river plumes and associated pollutants. However</w:t>
      </w:r>
      <w:r w:rsidR="00593896">
        <w:t>,</w:t>
      </w:r>
      <w:r w:rsidRPr="00FE18E3">
        <w:t xml:space="preserve"> under offshore wind conditions, river plumes can be deflected seaward and </w:t>
      </w:r>
      <w:r w:rsidR="00593896">
        <w:t xml:space="preserve">“rarely to </w:t>
      </w:r>
      <w:r w:rsidRPr="00FE18E3">
        <w:t xml:space="preserve">occasionally reach the mid and outer-shelf of the GBR reef. Mid and outer-shelf of the GBR reef are nevertheless more likely to be affected by the Tertiary water type (i.e., less concentrated in land-sourced pollutants) than the Primary turbid core (i.e., more concentrated in land-sourced pollutants) of the river plumes. </w:t>
      </w:r>
    </w:p>
    <w:p w14:paraId="0C3F7DC5" w14:textId="77777777" w:rsidR="009C4D9F" w:rsidRPr="00FE18E3" w:rsidRDefault="009C4D9F" w:rsidP="009C4D9F">
      <w:r w:rsidRPr="00FE18E3">
        <w:t>As a result, a general inshore to offshore spatial pattern is present in the potential risk maps from 2012-13 wet season, with inshore areas and ecosystems within 10 to 30 km of the coast, including the coastal (surveyed seagrass)</w:t>
      </w:r>
      <w:r w:rsidR="00593896">
        <w:t>,</w:t>
      </w:r>
      <w:r w:rsidRPr="00FE18E3">
        <w:t xml:space="preserve"> experiencing </w:t>
      </w:r>
      <w:r>
        <w:t>highest</w:t>
      </w:r>
      <w:r w:rsidRPr="00FE18E3">
        <w:t xml:space="preserve"> potential risk</w:t>
      </w:r>
      <w:r>
        <w:t xml:space="preserve"> (Risk categories III and IV)</w:t>
      </w:r>
      <w:r w:rsidRPr="00FE18E3">
        <w:t xml:space="preserve"> from river plume exposure</w:t>
      </w:r>
      <w:r w:rsidR="00593896">
        <w:t>. O</w:t>
      </w:r>
      <w:r w:rsidRPr="00FE18E3">
        <w:t>ffshore areas and ecosystems, including the offshore seagrass and coral reef</w:t>
      </w:r>
      <w:r w:rsidR="00593896">
        <w:t>s</w:t>
      </w:r>
      <w:r w:rsidRPr="00FE18E3">
        <w:t xml:space="preserve">, </w:t>
      </w:r>
      <w:r w:rsidR="00593896">
        <w:t xml:space="preserve">are </w:t>
      </w:r>
      <w:r w:rsidRPr="00FE18E3">
        <w:t xml:space="preserve">estimated at lower risk from river plume water. </w:t>
      </w:r>
    </w:p>
    <w:p w14:paraId="0C3F7DC6" w14:textId="77777777" w:rsidR="0064679C" w:rsidRPr="00FE18E3" w:rsidRDefault="0064679C" w:rsidP="0064679C">
      <w:r w:rsidRPr="00FE18E3">
        <w:t>Differences also exist between NRMs and, for example, coastal waters of the Burdekin NRM are more often exposed to Primary waters (i.e., sediment dominated water type</w:t>
      </w:r>
      <w:r>
        <w:t>)</w:t>
      </w:r>
      <w:r w:rsidRPr="00FE18E3">
        <w:t>, than coastal waters of the Wet Tropic NRM. Conversely, marine areas occasionally to frequently exposed to Secondary and Tertiary water types are more extended in the Wet Tropic NRM than in the Burdekin NRM. These results are in agreement with current knowledge as high TSS concentrations have been mainly linked to grazing activities in the Dry Tropics and particularly the Burdekin NRM; while occurrence of coastal waters with elevated concentrations of dissolved inorganic nitrogen (DIN) has been linked to fertilised agriculture (predominantly sugarcane) in the Wet Tropics region.</w:t>
      </w:r>
    </w:p>
    <w:p w14:paraId="0C3F7DC7" w14:textId="77777777" w:rsidR="0064679C" w:rsidRPr="00110A7F" w:rsidRDefault="0064679C" w:rsidP="0064679C">
      <w:r w:rsidRPr="00110A7F">
        <w:t>From the 2012-13 plume frequency maps and potential risk map, it was estimated that (</w:t>
      </w:r>
      <w:r>
        <w:fldChar w:fldCharType="begin"/>
      </w:r>
      <w:r>
        <w:instrText xml:space="preserve"> REF _Ref428868486 \h </w:instrText>
      </w:r>
      <w:r>
        <w:fldChar w:fldCharType="separate"/>
      </w:r>
      <w:r w:rsidR="00B62B50" w:rsidRPr="00110A7F">
        <w:t xml:space="preserve">Figure </w:t>
      </w:r>
      <w:r w:rsidR="00B62B50">
        <w:rPr>
          <w:noProof/>
        </w:rPr>
        <w:t>1</w:t>
      </w:r>
      <w:r w:rsidR="00B62B50">
        <w:noBreakHyphen/>
      </w:r>
      <w:r w:rsidR="00B62B50">
        <w:rPr>
          <w:noProof/>
        </w:rPr>
        <w:t>1</w:t>
      </w:r>
      <w:r>
        <w:fldChar w:fldCharType="end"/>
      </w:r>
      <w:r w:rsidRPr="00110A7F">
        <w:t xml:space="preserve">): </w:t>
      </w:r>
    </w:p>
    <w:p w14:paraId="0C3F7DC8" w14:textId="77777777" w:rsidR="0064679C" w:rsidRPr="00FE18E3" w:rsidRDefault="0064679C" w:rsidP="0064679C">
      <w:pPr>
        <w:pStyle w:val="ListParagraph"/>
        <w:numPr>
          <w:ilvl w:val="0"/>
          <w:numId w:val="9"/>
        </w:numPr>
      </w:pPr>
      <w:r w:rsidRPr="00FE18E3">
        <w:t>The total GBR area exposed to river plume waters was 153852 km</w:t>
      </w:r>
      <w:r w:rsidRPr="00110A7F">
        <w:rPr>
          <w:vertAlign w:val="superscript"/>
        </w:rPr>
        <w:t>2</w:t>
      </w:r>
      <w:r w:rsidRPr="00FE18E3">
        <w:t xml:space="preserve"> i.e., 44% of the GBR, with 63027 km</w:t>
      </w:r>
      <w:r w:rsidRPr="00110A7F">
        <w:rPr>
          <w:vertAlign w:val="superscript"/>
        </w:rPr>
        <w:t>2</w:t>
      </w:r>
      <w:r w:rsidRPr="00FE18E3">
        <w:t xml:space="preserve"> (18% of the GBR) very frequently to frequently exposed to river plume. </w:t>
      </w:r>
    </w:p>
    <w:p w14:paraId="0C3F7DC9" w14:textId="77777777" w:rsidR="0064679C" w:rsidRPr="00FE18E3" w:rsidRDefault="0064679C" w:rsidP="0064679C">
      <w:pPr>
        <w:pStyle w:val="ListParagraph"/>
        <w:numPr>
          <w:ilvl w:val="0"/>
          <w:numId w:val="9"/>
        </w:numPr>
      </w:pPr>
      <w:r w:rsidRPr="00FE18E3">
        <w:t>NRM areas exposed ranged from 2050 km</w:t>
      </w:r>
      <w:r w:rsidRPr="00110A7F">
        <w:rPr>
          <w:vertAlign w:val="superscript"/>
        </w:rPr>
        <w:t>2</w:t>
      </w:r>
      <w:r w:rsidRPr="00FE18E3">
        <w:t xml:space="preserve"> in Burnett-Mary to 18522 km</w:t>
      </w:r>
      <w:r w:rsidRPr="00110A7F">
        <w:rPr>
          <w:vertAlign w:val="superscript"/>
        </w:rPr>
        <w:t>2</w:t>
      </w:r>
      <w:r w:rsidRPr="00FE18E3">
        <w:t xml:space="preserve"> in the Fitzroy NRM. </w:t>
      </w:r>
    </w:p>
    <w:p w14:paraId="0C3F7DCA" w14:textId="77777777" w:rsidR="0064679C" w:rsidRPr="00FE18E3" w:rsidRDefault="0064679C" w:rsidP="0064679C">
      <w:pPr>
        <w:pStyle w:val="ListParagraph"/>
        <w:numPr>
          <w:ilvl w:val="0"/>
          <w:numId w:val="9"/>
        </w:numPr>
      </w:pPr>
      <w:r w:rsidRPr="00FE18E3">
        <w:t xml:space="preserve">Twelve percent (Mackay-Whitsundays NRM) to 100% (Burnett-Mary NRMs) of the coral reefs were exposed to river plumes. Coral reef areas exposed to </w:t>
      </w:r>
      <w:r w:rsidRPr="001326A7">
        <w:t>the highest potential risk (categories III and IV)</w:t>
      </w:r>
      <w:r w:rsidRPr="00FE18E3">
        <w:t xml:space="preserve"> were greater in Fitzroy  &gt; Mackay-Whitsundays &gt; Cape York;</w:t>
      </w:r>
    </w:p>
    <w:p w14:paraId="0C3F7DCB" w14:textId="77777777" w:rsidR="0064679C" w:rsidRPr="00FE18E3" w:rsidRDefault="0064679C" w:rsidP="0064679C">
      <w:pPr>
        <w:pStyle w:val="ListParagraph"/>
        <w:numPr>
          <w:ilvl w:val="0"/>
          <w:numId w:val="9"/>
        </w:numPr>
      </w:pPr>
      <w:r w:rsidRPr="00FE18E3">
        <w:t xml:space="preserve">Ninety four percent (Cape York NRM) to 100% (Burdekin, Fitzroy and Burnett-Mary NRMs) of the monitored seagrass beds were exposed to river plumes. Seagrass beds exposed to </w:t>
      </w:r>
      <w:r w:rsidRPr="00D23632">
        <w:t xml:space="preserve">the highest potential risk (categories III and IV) </w:t>
      </w:r>
      <w:r w:rsidRPr="00FE18E3">
        <w:t>were greater in the Cape York and Burdekin.</w:t>
      </w:r>
    </w:p>
    <w:p w14:paraId="0C3F7DCC" w14:textId="77777777" w:rsidR="0064679C" w:rsidRPr="00FE18E3" w:rsidRDefault="0064679C" w:rsidP="0064679C">
      <w:pPr>
        <w:pStyle w:val="ListParagraph"/>
        <w:numPr>
          <w:ilvl w:val="0"/>
          <w:numId w:val="9"/>
        </w:numPr>
      </w:pPr>
      <w:r w:rsidRPr="00FE18E3">
        <w:t xml:space="preserve">Sixty four percent (Burdekin NRM) to 100% (Wet Tropics, Mackay-Whitsundays and Fitzroy NRMs) of the modelled deep seagrass beds were exposed to river plumes. Deep seagrass beds </w:t>
      </w:r>
      <w:r w:rsidRPr="00D23632">
        <w:t xml:space="preserve">exposed to potential risk categories II and III were greater </w:t>
      </w:r>
      <w:r w:rsidRPr="00FE18E3">
        <w:t>in the Cape York &gt; Burnett-Mary &gt; Fitzroy.</w:t>
      </w:r>
    </w:p>
    <w:p w14:paraId="0C3F7DCD" w14:textId="77777777" w:rsidR="0064679C" w:rsidRPr="00FE18E3" w:rsidRDefault="0064679C" w:rsidP="0064679C">
      <w:pPr>
        <w:pStyle w:val="ListParagraph"/>
        <w:numPr>
          <w:ilvl w:val="0"/>
          <w:numId w:val="9"/>
        </w:numPr>
      </w:pPr>
      <w:r w:rsidRPr="00FE18E3">
        <w:t xml:space="preserve">Finally, when the modelled and deep seagrass beds were combined, total seagrass beds the most at risk </w:t>
      </w:r>
      <w:r w:rsidRPr="00D23632">
        <w:t xml:space="preserve">(potential risk categories III and IV) </w:t>
      </w:r>
      <w:r w:rsidRPr="00FE18E3">
        <w:t>were located in the Cape York  &gt; Burdekin  &gt; Fitzroy NRMs.</w:t>
      </w:r>
    </w:p>
    <w:p w14:paraId="0C3F7DCE" w14:textId="77777777" w:rsidR="0064679C" w:rsidRPr="00110A7F" w:rsidRDefault="0064679C" w:rsidP="0064679C">
      <w:r w:rsidRPr="00110A7F">
        <w:t>A multiannual potential risk map was calculated by averaging the inter-annual risk maps produced. Recalculating individual wet season risk maps to a long-term (7-year) map is useful to describe where potential risk conditions from river plume are, on average. From this multi-annual composite map, it was estimated that:</w:t>
      </w:r>
    </w:p>
    <w:p w14:paraId="0C3F7DCF" w14:textId="77777777" w:rsidR="0064679C" w:rsidRPr="00FE18E3" w:rsidRDefault="0064679C" w:rsidP="0064679C">
      <w:pPr>
        <w:pStyle w:val="ListParagraph"/>
        <w:numPr>
          <w:ilvl w:val="0"/>
          <w:numId w:val="9"/>
        </w:numPr>
      </w:pPr>
      <w:r w:rsidRPr="00FE18E3">
        <w:t xml:space="preserve">Coral reef areas exposed to </w:t>
      </w:r>
      <w:r w:rsidRPr="0034506A">
        <w:t xml:space="preserve">potential risk categories III and IV </w:t>
      </w:r>
      <w:r w:rsidRPr="00FE18E3">
        <w:t xml:space="preserve">were greater in Mackay-Whitsunday &gt; Fitzroy &gt; Wet Tropics &gt; Burdekin &gt; Burnett-Mary NRMs. </w:t>
      </w:r>
    </w:p>
    <w:p w14:paraId="0C3F7DD0" w14:textId="77777777" w:rsidR="0064679C" w:rsidRPr="00FE18E3" w:rsidRDefault="0064679C" w:rsidP="0064679C">
      <w:pPr>
        <w:pStyle w:val="ListParagraph"/>
        <w:numPr>
          <w:ilvl w:val="0"/>
          <w:numId w:val="9"/>
        </w:numPr>
      </w:pPr>
      <w:r w:rsidRPr="00FE18E3">
        <w:t xml:space="preserve">Total seagrass areas exposed to </w:t>
      </w:r>
      <w:r w:rsidRPr="0034506A">
        <w:t xml:space="preserve">potential risk categories III and IV </w:t>
      </w:r>
      <w:r w:rsidRPr="00FE18E3">
        <w:t>were greater in Fitzroy &gt; Burdekin &gt; Mackay-Whitsunday &gt; Wet Tropics &gt; Burnett-Mary NRMs.</w:t>
      </w:r>
    </w:p>
    <w:p w14:paraId="0C3F7DD1" w14:textId="77777777" w:rsidR="0064679C" w:rsidRPr="00FE18E3" w:rsidRDefault="0064679C" w:rsidP="0064679C">
      <w:pPr>
        <w:pStyle w:val="ListParagraph"/>
        <w:numPr>
          <w:ilvl w:val="0"/>
          <w:numId w:val="9"/>
        </w:numPr>
      </w:pPr>
      <w:r w:rsidRPr="00FE18E3">
        <w:lastRenderedPageBreak/>
        <w:t xml:space="preserve">In the Mackay Whitsunday Region, 60% of the total seagrass areas were in the highest relative risk categories compared to less than 10% for all other regions. </w:t>
      </w:r>
    </w:p>
    <w:p w14:paraId="0C3F7DD2" w14:textId="77777777" w:rsidR="0064679C" w:rsidRPr="00E47248" w:rsidRDefault="0064679C" w:rsidP="0064679C">
      <w:pPr>
        <w:rPr>
          <w:i/>
        </w:rPr>
      </w:pPr>
      <w:r w:rsidRPr="00E47248">
        <w:rPr>
          <w:i/>
        </w:rPr>
        <w:t>These result are similar to the result obtained by Brodie et al., 2013 who assessed the risk of pollutants to GBR ecosystems using a comprehensive combination of qualitative and semi-quantitative WQ information about the influence of individual catchments in the 6 natural resource management (NRM) regions on coral reefs and seagrass ecosystems.</w:t>
      </w:r>
    </w:p>
    <w:p w14:paraId="0C3F7DD3" w14:textId="77777777" w:rsidR="0064679C" w:rsidRPr="00E17B17" w:rsidRDefault="0064679C" w:rsidP="0064679C">
      <w:r w:rsidRPr="00E17B17">
        <w:t>This illustrates the potential of using the Primary, Secondary, Tertiary plume water type classification scheme to simply estimate combined WQ stressors in plume waters and thus simply model the risk of cumulative effects of pollutants in river plumes at different spatial and temporal scales.</w:t>
      </w:r>
    </w:p>
    <w:p w14:paraId="0C3F7DD4" w14:textId="77777777" w:rsidR="0064679C" w:rsidRPr="00110A7F" w:rsidRDefault="0064679C" w:rsidP="0064679C"/>
    <w:p w14:paraId="0C3F7DD5" w14:textId="77777777" w:rsidR="0064679C" w:rsidRPr="00110A7F" w:rsidRDefault="0064679C" w:rsidP="0064679C">
      <w:pPr>
        <w:sectPr w:rsidR="0064679C" w:rsidRPr="00110A7F" w:rsidSect="00110A7F">
          <w:headerReference w:type="default" r:id="rId28"/>
          <w:footerReference w:type="default" r:id="rId29"/>
          <w:pgSz w:w="11906" w:h="16838"/>
          <w:pgMar w:top="1440" w:right="1440" w:bottom="1440" w:left="1440" w:header="708" w:footer="708" w:gutter="0"/>
          <w:pgNumType w:start="1"/>
          <w:cols w:space="708"/>
          <w:docGrid w:linePitch="360"/>
        </w:sectPr>
      </w:pPr>
    </w:p>
    <w:p w14:paraId="0C3F7DD6" w14:textId="77777777" w:rsidR="0064679C" w:rsidRDefault="0064679C" w:rsidP="0064679C">
      <w:pPr>
        <w:pStyle w:val="Caption"/>
      </w:pPr>
      <w:bookmarkStart w:id="24" w:name="_Ref428868486"/>
      <w:bookmarkStart w:id="25" w:name="_Toc434208020"/>
      <w:bookmarkStart w:id="26" w:name="_Toc427831190"/>
      <w:r w:rsidRPr="00110A7F">
        <w:lastRenderedPageBreak/>
        <w:t xml:space="preserve">Figure </w:t>
      </w:r>
      <w:r w:rsidR="00D243CD">
        <w:fldChar w:fldCharType="begin"/>
      </w:r>
      <w:r w:rsidR="00D243CD">
        <w:instrText xml:space="preserve"> STYLEREF 1 \s </w:instrText>
      </w:r>
      <w:r w:rsidR="00D243CD">
        <w:fldChar w:fldCharType="separate"/>
      </w:r>
      <w:r w:rsidR="00B62B50">
        <w:rPr>
          <w:noProof/>
        </w:rPr>
        <w:t>1</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1</w:t>
      </w:r>
      <w:r w:rsidR="00D243CD">
        <w:fldChar w:fldCharType="end"/>
      </w:r>
      <w:bookmarkEnd w:id="24"/>
      <w:r w:rsidRPr="00110A7F">
        <w:t xml:space="preserve">: </w:t>
      </w:r>
      <w:r w:rsidR="001E79B7" w:rsidRPr="001E79B7">
        <w:t>Potential exposure of seagrass beds and coral reefs to the highest potential risk categories  (III and IV) from river plume exposure during the 2012-13 wet season</w:t>
      </w:r>
      <w:r w:rsidRPr="00110A7F">
        <w:t>.</w:t>
      </w:r>
      <w:bookmarkEnd w:id="25"/>
      <w:r w:rsidRPr="00110A7F">
        <w:t xml:space="preserve"> </w:t>
      </w:r>
    </w:p>
    <w:p w14:paraId="0C3F7DD7" w14:textId="77777777" w:rsidR="0064679C" w:rsidRDefault="0064679C" w:rsidP="0064679C">
      <w:pPr>
        <w:jc w:val="center"/>
      </w:pPr>
      <w:r>
        <w:rPr>
          <w:noProof/>
        </w:rPr>
        <w:drawing>
          <wp:inline distT="0" distB="0" distL="0" distR="0" wp14:anchorId="0C3F8FB3" wp14:editId="0C3F8FB4">
            <wp:extent cx="8200103" cy="4932354"/>
            <wp:effectExtent l="0" t="0" r="0" b="0"/>
            <wp:docPr id="74" name="Picture 74" descr="Potential exposure of seagrass beds and coral reefs to the highest potential risk categories  (III and IV) from river plume exposure during the 2012-13 wet season. " title="Potential exposure of seagrass beds and coral reefs to the highest potential risk categories  (III and IV) from river plume exposure during the 2012-13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99706" cy="4932115"/>
                    </a:xfrm>
                    <a:prstGeom prst="rect">
                      <a:avLst/>
                    </a:prstGeom>
                    <a:noFill/>
                  </pic:spPr>
                </pic:pic>
              </a:graphicData>
            </a:graphic>
          </wp:inline>
        </w:drawing>
      </w:r>
    </w:p>
    <w:p w14:paraId="0C3F7DD8" w14:textId="77777777" w:rsidR="0064679C" w:rsidRPr="00110A7F" w:rsidRDefault="0064679C" w:rsidP="0064679C">
      <w:pPr>
        <w:rPr>
          <w:rFonts w:ascii="Cambria" w:hAnsi="Cambria" w:cs="Times New Roman"/>
          <w:bCs/>
          <w:color w:val="4F81BD"/>
          <w:sz w:val="26"/>
          <w:szCs w:val="26"/>
          <w:lang w:eastAsia="en-US"/>
        </w:rPr>
        <w:sectPr w:rsidR="0064679C" w:rsidRPr="00110A7F" w:rsidSect="007315EF">
          <w:pgSz w:w="16838" w:h="11906" w:orient="landscape"/>
          <w:pgMar w:top="1440" w:right="1440" w:bottom="1440" w:left="1440" w:header="709" w:footer="709" w:gutter="0"/>
          <w:cols w:space="708"/>
          <w:docGrid w:linePitch="360"/>
        </w:sectPr>
      </w:pPr>
    </w:p>
    <w:p w14:paraId="0C3F7DD9" w14:textId="77777777" w:rsidR="0064679C" w:rsidRPr="00616D81" w:rsidRDefault="0064679C" w:rsidP="0064679C">
      <w:pPr>
        <w:pStyle w:val="Heading2"/>
        <w:keepNext/>
        <w:numPr>
          <w:ilvl w:val="1"/>
          <w:numId w:val="3"/>
        </w:numPr>
        <w:spacing w:line="80" w:lineRule="atLeast"/>
      </w:pPr>
      <w:bookmarkStart w:id="27" w:name="_Toc427831191"/>
      <w:bookmarkStart w:id="28" w:name="_Toc428793309"/>
      <w:bookmarkStart w:id="29" w:name="_Toc428851323"/>
      <w:bookmarkStart w:id="30" w:name="_Toc434207981"/>
      <w:bookmarkEnd w:id="26"/>
      <w:r w:rsidRPr="00616D81">
        <w:lastRenderedPageBreak/>
        <w:t xml:space="preserve">Future </w:t>
      </w:r>
      <w:r w:rsidR="00593896">
        <w:t xml:space="preserve">RS </w:t>
      </w:r>
      <w:r w:rsidRPr="00616D81">
        <w:t>developments</w:t>
      </w:r>
      <w:bookmarkEnd w:id="27"/>
      <w:bookmarkEnd w:id="28"/>
      <w:bookmarkEnd w:id="29"/>
      <w:bookmarkEnd w:id="30"/>
    </w:p>
    <w:p w14:paraId="0C3F7DDA" w14:textId="77777777" w:rsidR="0064679C" w:rsidRPr="00110A7F" w:rsidRDefault="0064679C" w:rsidP="0064679C">
      <w:pPr>
        <w:pStyle w:val="ListParagraph"/>
        <w:numPr>
          <w:ilvl w:val="0"/>
          <w:numId w:val="10"/>
        </w:numPr>
      </w:pPr>
      <w:r w:rsidRPr="00110A7F">
        <w:t xml:space="preserve">Recent progresses have been made to develop accurate regional algorithms for the GBR region </w:t>
      </w:r>
      <w:r w:rsidRPr="00110A7F">
        <w:fldChar w:fldCharType="begin">
          <w:fldData xml:space="preserve">PEVuZE5vdGU+PENpdGU+PEF1dGhvcj5CcmFuZG88L0F1dGhvcj48WWVhcj4yMDEwPC9ZZWFyPjxS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</w:fldData>
        </w:fldChar>
      </w:r>
      <w:r w:rsidRPr="00110A7F">
        <w:instrText xml:space="preserve"> ADDIN EN.CITE </w:instrText>
      </w:r>
      <w:r w:rsidRPr="00110A7F">
        <w:fldChar w:fldCharType="begin">
          <w:fldData xml:space="preserve">PEVuZE5vdGU+PENpdGU+PEF1dGhvcj5CcmFuZG88L0F1dGhvcj48WWVhcj4yMDEwPC9ZZWFyPjxS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</w:fldData>
        </w:fldChar>
      </w:r>
      <w:r w:rsidRPr="00110A7F">
        <w:instrText xml:space="preserve"> ADDIN EN.CITE.DATA </w:instrText>
      </w:r>
      <w:r w:rsidRPr="00110A7F">
        <w:fldChar w:fldCharType="end"/>
      </w:r>
      <w:r w:rsidRPr="00110A7F">
        <w:fldChar w:fldCharType="separate"/>
      </w:r>
      <w:r w:rsidRPr="00110A7F">
        <w:rPr>
          <w:noProof/>
        </w:rPr>
        <w:t>(</w:t>
      </w:r>
      <w:hyperlink w:anchor="_ENREF_5" w:tooltip="Brando, 2008 #1027" w:history="1">
        <w:r w:rsidRPr="00110A7F">
          <w:rPr>
            <w:noProof/>
          </w:rPr>
          <w:t>Brando et al., 2008</w:t>
        </w:r>
      </w:hyperlink>
      <w:r w:rsidRPr="00110A7F">
        <w:rPr>
          <w:noProof/>
        </w:rPr>
        <w:t xml:space="preserve">; </w:t>
      </w:r>
      <w:hyperlink w:anchor="_ENREF_6" w:tooltip="Brando, 2010 #1026" w:history="1">
        <w:r w:rsidRPr="00110A7F">
          <w:rPr>
            <w:noProof/>
          </w:rPr>
          <w:t>Brando et al., 2010a</w:t>
        </w:r>
      </w:hyperlink>
      <w:r w:rsidRPr="00110A7F">
        <w:rPr>
          <w:noProof/>
        </w:rPr>
        <w:t xml:space="preserve">; </w:t>
      </w:r>
      <w:hyperlink w:anchor="_ENREF_7" w:tooltip="Brando, 2010 #1028" w:history="1">
        <w:r w:rsidRPr="00110A7F">
          <w:rPr>
            <w:noProof/>
          </w:rPr>
          <w:t>Brando et al., 2010b</w:t>
        </w:r>
      </w:hyperlink>
      <w:r w:rsidRPr="00110A7F">
        <w:rPr>
          <w:noProof/>
        </w:rPr>
        <w:t xml:space="preserve">; </w:t>
      </w:r>
      <w:hyperlink w:anchor="_ENREF_33" w:tooltip="Schroeder, 2007 #1047" w:history="1">
        <w:r w:rsidRPr="00110A7F">
          <w:rPr>
            <w:noProof/>
          </w:rPr>
          <w:t>Schroeder et al., 2007</w:t>
        </w:r>
      </w:hyperlink>
      <w:r w:rsidRPr="00110A7F">
        <w:rPr>
          <w:noProof/>
        </w:rPr>
        <w:t>)</w:t>
      </w:r>
      <w:r w:rsidRPr="00110A7F">
        <w:fldChar w:fldCharType="end"/>
      </w:r>
      <w:r>
        <w:t xml:space="preserve"> </w:t>
      </w:r>
      <w:r w:rsidRPr="00110A7F">
        <w:t xml:space="preserve">that provide better retrieval in optically complex coastal waters. </w:t>
      </w:r>
    </w:p>
    <w:p w14:paraId="0C3F7DDB" w14:textId="77777777" w:rsidR="0064679C" w:rsidRPr="003979AC" w:rsidRDefault="0064679C" w:rsidP="0064679C">
      <w:pPr>
        <w:pStyle w:val="ListParagraph"/>
        <w:numPr>
          <w:ilvl w:val="1"/>
          <w:numId w:val="10"/>
        </w:numPr>
      </w:pPr>
      <w:r w:rsidRPr="003979AC">
        <w:t xml:space="preserve">Using these algorithms to map </w:t>
      </w:r>
      <w:r w:rsidR="001850F0">
        <w:t>chlorophyll</w:t>
      </w:r>
      <w:r w:rsidRPr="003979AC">
        <w:t>-a concentrations in near future will be instrumental in more accurate mapping of river plume waters using the Level-2 method.</w:t>
      </w:r>
    </w:p>
    <w:p w14:paraId="0C3F7DDC" w14:textId="77777777" w:rsidR="0064679C" w:rsidRPr="003979AC" w:rsidRDefault="0064679C" w:rsidP="0064679C">
      <w:pPr>
        <w:pStyle w:val="ListParagraph"/>
        <w:numPr>
          <w:ilvl w:val="1"/>
          <w:numId w:val="10"/>
        </w:numPr>
      </w:pPr>
      <w:r w:rsidRPr="003979AC">
        <w:t xml:space="preserve">MODIS images calibrated into accurate water quality metrics would allow producing produce compliance maps to ecological threshold </w:t>
      </w:r>
    </w:p>
    <w:p w14:paraId="0C3F7DDD" w14:textId="77777777" w:rsidR="0064679C" w:rsidRPr="00110A7F" w:rsidRDefault="0064679C" w:rsidP="0064679C">
      <w:pPr>
        <w:pStyle w:val="ListParagraph"/>
        <w:numPr>
          <w:ilvl w:val="0"/>
          <w:numId w:val="10"/>
        </w:numPr>
      </w:pPr>
      <w:r w:rsidRPr="00110A7F">
        <w:t xml:space="preserve">Further comparisons between RS-derived products and in situ WQ data acquired over the next MMP monitoring years will be undertaken. </w:t>
      </w:r>
    </w:p>
    <w:p w14:paraId="0C3F7DDE" w14:textId="77777777" w:rsidR="0064679C" w:rsidRPr="00110A7F" w:rsidRDefault="0064679C" w:rsidP="0064679C">
      <w:pPr>
        <w:pStyle w:val="ListParagraph"/>
        <w:numPr>
          <w:ilvl w:val="0"/>
          <w:numId w:val="10"/>
        </w:numPr>
      </w:pPr>
      <w:r w:rsidRPr="00110A7F">
        <w:t>Progress toward validated river plume risk maps:</w:t>
      </w:r>
    </w:p>
    <w:p w14:paraId="0C3F7DDF" w14:textId="77777777" w:rsidR="0064679C" w:rsidRPr="00110A7F" w:rsidRDefault="0064679C" w:rsidP="0064679C">
      <w:pPr>
        <w:pStyle w:val="ListParagraph"/>
        <w:numPr>
          <w:ilvl w:val="1"/>
          <w:numId w:val="10"/>
        </w:numPr>
      </w:pPr>
      <w:r w:rsidRPr="00110A7F">
        <w:t xml:space="preserve">Must be accompanied by sound knowledge of the regional ecosystems and of the water quality concentrations across plume water types relative to natural levels and to ecologically-relevant thresholds. </w:t>
      </w:r>
    </w:p>
    <w:p w14:paraId="0C3F7DE0" w14:textId="77777777" w:rsidR="0064679C" w:rsidRPr="00110A7F" w:rsidRDefault="0064679C" w:rsidP="0064679C">
      <w:pPr>
        <w:pStyle w:val="ListParagraph"/>
        <w:numPr>
          <w:ilvl w:val="1"/>
          <w:numId w:val="10"/>
        </w:numPr>
      </w:pPr>
      <w:r w:rsidRPr="00110A7F">
        <w:t xml:space="preserve">Ecological consequences of the risk will primarily be a function of the presence/absence of GBR ecosystems exposed. However, community characteristics such as the sensitivity and resilience of particular seagrass or coral communities are additional parameters that must be considered when defining the ecological consequences of the risk. </w:t>
      </w:r>
    </w:p>
    <w:p w14:paraId="0C3F7DE1" w14:textId="77777777" w:rsidR="0064679C" w:rsidRPr="00110A7F" w:rsidRDefault="0064679C" w:rsidP="0064679C">
      <w:pPr>
        <w:pStyle w:val="ListParagraph"/>
        <w:numPr>
          <w:ilvl w:val="1"/>
          <w:numId w:val="10"/>
        </w:numPr>
      </w:pPr>
      <w:r w:rsidRPr="00110A7F">
        <w:t xml:space="preserve">The consequence of the exposure of species to a range of WQ conditions is complicated by the influence of multiple stressors and additional external influences including weather and climate conditions. </w:t>
      </w:r>
    </w:p>
    <w:p w14:paraId="0C3F7DE2" w14:textId="77777777" w:rsidR="0064679C" w:rsidRPr="00110A7F" w:rsidRDefault="0064679C" w:rsidP="0064679C">
      <w:pPr>
        <w:pStyle w:val="ListParagraph"/>
        <w:numPr>
          <w:ilvl w:val="1"/>
          <w:numId w:val="10"/>
        </w:numPr>
      </w:pPr>
      <w:r w:rsidRPr="00110A7F">
        <w:t>All this information should be used in future to develop ecosystem-specific risk matrix combining the magnitude (mapped through the Primary, Secondary, Tertiary water type classes), likelihood (mapped through the frequency of occurrence) of the river plume risk and the sensitivity of the studied ecosystem.</w:t>
      </w:r>
    </w:p>
    <w:p w14:paraId="0C3F7DE3" w14:textId="77777777" w:rsidR="0064679C" w:rsidRPr="00110A7F" w:rsidRDefault="0064679C" w:rsidP="0064679C">
      <w:pPr>
        <w:pStyle w:val="ListParagraph"/>
        <w:numPr>
          <w:ilvl w:val="1"/>
          <w:numId w:val="10"/>
        </w:numPr>
      </w:pPr>
      <w:r w:rsidRPr="00110A7F">
        <w:t>Finally, the GBR areas classified following the risk framework of Petus et al. (2014b) should be compared to ecosystem health data and the validity of the risk framework assessed by examining spatial patterns, including the distribution of monitored cases of ecosystem health decline per designated risk area</w:t>
      </w:r>
      <w:r>
        <w:t xml:space="preserve"> (Petus et al., in prep.)</w:t>
      </w:r>
      <w:r w:rsidRPr="00110A7F">
        <w:t xml:space="preserve">.  </w:t>
      </w:r>
    </w:p>
    <w:p w14:paraId="0C3F7DE4" w14:textId="77777777" w:rsidR="0064679C" w:rsidRPr="00110A7F" w:rsidRDefault="0064679C" w:rsidP="0064679C">
      <w:pPr>
        <w:pStyle w:val="ListParagraph"/>
        <w:numPr>
          <w:ilvl w:val="0"/>
          <w:numId w:val="10"/>
        </w:numPr>
      </w:pPr>
      <w:r w:rsidRPr="00110A7F">
        <w:t>Further developments of our RS methods to map loads of pollutants (TSS, DIN and pesticides) include:</w:t>
      </w:r>
    </w:p>
    <w:p w14:paraId="0C3F7DE5" w14:textId="77777777" w:rsidR="0064679C" w:rsidRPr="00110A7F" w:rsidRDefault="0064679C" w:rsidP="0064679C">
      <w:pPr>
        <w:pStyle w:val="ListParagraph"/>
        <w:numPr>
          <w:ilvl w:val="1"/>
          <w:numId w:val="10"/>
        </w:numPr>
      </w:pPr>
      <w:r w:rsidRPr="00110A7F">
        <w:t xml:space="preserve">The increase of the spatial resolution of WQ data used to calculate the spatially distributed DIN and TSS maps and re-run the model with the annual loads from the Source Catchments modelling for all of the 35 GBR catchments. </w:t>
      </w:r>
    </w:p>
    <w:p w14:paraId="0C3F7DE6" w14:textId="77777777" w:rsidR="0064679C" w:rsidRPr="00110A7F" w:rsidRDefault="0064679C" w:rsidP="0064679C">
      <w:pPr>
        <w:pStyle w:val="ListParagraph"/>
        <w:numPr>
          <w:ilvl w:val="1"/>
          <w:numId w:val="10"/>
        </w:numPr>
      </w:pPr>
      <w:r w:rsidRPr="00110A7F">
        <w:t xml:space="preserve">The production annual load maps of Photosystem II inhibiting herbicides (PSII herbicides). The approach for modelling exposure to DIN (i.e., assuming conservative mixing) will be used for PSII. However, further investigation will be necessary to adjust the dispersal relationships i.e., relationship between PSII concentrations and color classes </w:t>
      </w:r>
      <w:r w:rsidRPr="00110A7F">
        <w:fldChar w:fldCharType="begin"/>
      </w:r>
      <w:r w:rsidRPr="00110A7F">
        <w:instrText xml:space="preserve"> ADDIN EN.CITE &lt;EndNote&gt;&lt;Cite&gt;&lt;Author&gt;Álvarez-Romero&lt;/Author&gt;&lt;Year&gt;2013&lt;/Year&gt;&lt;RecNum&gt;734&lt;/RecNum&gt;&lt;DisplayText&gt;(Álvarez-Romero et al., 2013)&lt;/DisplayText&gt;&lt;record&gt;&lt;rec-number&gt;734&lt;/rec-number&gt;&lt;foreign-keys&gt;&lt;key app="EN" db-id="wwzpfssaux292keptesxd5t6srsfvpzsde2p"&gt;734&lt;/key&gt;&lt;/foreign-keys&gt;&lt;ref-type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 Environ Manage&lt;/full-title&gt;&lt;abbr-1&gt;Journal of environmental management&lt;/abbr-1&gt;&lt;/periodical&gt;&lt;pages&gt;194-207&lt;/pages&gt;&lt;volume&gt;119&lt;/volume&gt;&lt;number&gt;0&lt;/number&gt;&lt;keywords&gt;&lt;keyword&gt;Marine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110A7F">
        <w:fldChar w:fldCharType="separate"/>
      </w:r>
      <w:r w:rsidRPr="00110A7F">
        <w:rPr>
          <w:noProof/>
        </w:rPr>
        <w:t>(</w:t>
      </w:r>
      <w:hyperlink w:anchor="_ENREF_1" w:tooltip="Álvarez-Romero, 2013 #734" w:history="1">
        <w:r w:rsidRPr="00110A7F">
          <w:rPr>
            <w:noProof/>
          </w:rPr>
          <w:t>Álvarez-Romero et al., 2013</w:t>
        </w:r>
      </w:hyperlink>
      <w:r w:rsidRPr="00110A7F">
        <w:rPr>
          <w:noProof/>
        </w:rPr>
        <w:t>)</w:t>
      </w:r>
      <w:r w:rsidRPr="00110A7F">
        <w:fldChar w:fldCharType="end"/>
      </w:r>
      <w:r w:rsidRPr="00110A7F">
        <w:t xml:space="preserve"> to calculate the annual cost surface for PSII.</w:t>
      </w:r>
    </w:p>
    <w:p w14:paraId="0C3F7DE7" w14:textId="77777777" w:rsidR="007315EF" w:rsidRPr="00C762F1" w:rsidRDefault="002324B3" w:rsidP="007315EF">
      <w:pPr>
        <w:rPr>
          <w:b/>
          <w:sz w:val="28"/>
          <w:szCs w:val="28"/>
        </w:rPr>
      </w:pPr>
      <w:r w:rsidRPr="000054D1">
        <w:rPr>
          <w:lang w:val="en-US"/>
        </w:rPr>
        <w:br w:type="page"/>
      </w:r>
    </w:p>
    <w:p w14:paraId="0C3F7DE8" w14:textId="77777777" w:rsidR="00AC06D6" w:rsidRPr="00FB5AAA" w:rsidRDefault="00AC06D6" w:rsidP="00A76577">
      <w:pPr>
        <w:pStyle w:val="Heading1"/>
        <w:numPr>
          <w:ilvl w:val="0"/>
          <w:numId w:val="3"/>
        </w:numPr>
        <w:spacing w:after="240" w:line="80" w:lineRule="atLeast"/>
        <w:rPr>
          <w:caps w:val="0"/>
        </w:rPr>
      </w:pPr>
      <w:bookmarkStart w:id="31" w:name="_Toc416533844"/>
      <w:bookmarkStart w:id="32" w:name="_Toc434207982"/>
      <w:r w:rsidRPr="00FB5AAA">
        <w:rPr>
          <w:caps w:val="0"/>
        </w:rPr>
        <w:lastRenderedPageBreak/>
        <w:t>I</w:t>
      </w:r>
      <w:bookmarkEnd w:id="31"/>
      <w:r w:rsidR="00FB5AAA" w:rsidRPr="00FB5AAA">
        <w:rPr>
          <w:caps w:val="0"/>
        </w:rPr>
        <w:t>ntroduction</w:t>
      </w:r>
      <w:bookmarkEnd w:id="32"/>
    </w:p>
    <w:p w14:paraId="0C3F7DE9" w14:textId="77777777" w:rsidR="008D3A01" w:rsidRDefault="00EE42C6" w:rsidP="00A76577">
      <w:pPr>
        <w:pStyle w:val="Heading2"/>
        <w:keepNext/>
        <w:numPr>
          <w:ilvl w:val="1"/>
          <w:numId w:val="3"/>
        </w:numPr>
        <w:spacing w:line="80" w:lineRule="atLeast"/>
      </w:pPr>
      <w:bookmarkStart w:id="33" w:name="_Toc434207983"/>
      <w:r>
        <w:t>Marine Monitoring Program</w:t>
      </w:r>
      <w:bookmarkEnd w:id="33"/>
    </w:p>
    <w:p w14:paraId="0C3F7DEA" w14:textId="77777777" w:rsidR="00EE42C6" w:rsidRDefault="00EE42C6" w:rsidP="00EE42C6">
      <w:bookmarkStart w:id="34" w:name="_Toc410584195"/>
      <w:bookmarkStart w:id="35" w:name="_Toc416533846"/>
      <w:r w:rsidRPr="007E554A">
        <w:t xml:space="preserve">The Marine Monitoring Program (herein referred to as the MMP) undertaken in the Great Barrier Reef (GBR) lagoon assesses the long-term effectiveness of the Australian and Queensland Government’s Reef Water Quality Protection Plan (Reef Plan) and the Australian Government’s Reef </w:t>
      </w:r>
      <w:r w:rsidR="007E5BBF">
        <w:t xml:space="preserve">Programme </w:t>
      </w:r>
      <w:r w:rsidRPr="007E554A">
        <w:t xml:space="preserve">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(P2R program) supported through Reef Plan and </w:t>
      </w:r>
      <w:r w:rsidR="007E5BBF">
        <w:t>Australian Government Reef Programme</w:t>
      </w:r>
      <w:r w:rsidRPr="007E554A">
        <w:t xml:space="preserve"> initiatives. </w:t>
      </w:r>
      <w:r w:rsidRPr="00A76E6A">
        <w:t xml:space="preserve">The </w:t>
      </w:r>
      <w:r>
        <w:t>Wet Season</w:t>
      </w:r>
      <w:r w:rsidRPr="00A76E6A">
        <w:t xml:space="preserve"> monitoring</w:t>
      </w:r>
      <w:r>
        <w:t xml:space="preserve"> program</w:t>
      </w:r>
      <w:r w:rsidRPr="00A76E6A">
        <w:t xml:space="preserve"> is part of </w:t>
      </w:r>
      <w:r>
        <w:t>the</w:t>
      </w:r>
      <w:r w:rsidRPr="00A76E6A">
        <w:t xml:space="preserve"> water quality </w:t>
      </w:r>
      <w:r>
        <w:t>monitoring program under</w:t>
      </w:r>
      <w:r w:rsidRPr="00A76E6A">
        <w:t xml:space="preserve"> the MMP</w:t>
      </w:r>
      <w:r>
        <w:t>,</w:t>
      </w:r>
      <w:r w:rsidRPr="00A76E6A">
        <w:t xml:space="preserve"> which includes baseline</w:t>
      </w:r>
      <w:r>
        <w:t xml:space="preserve">, ambient and event sampling </w:t>
      </w:r>
      <w:r>
        <w:fldChar w:fldCharType="begin"/>
      </w:r>
      <w:r>
        <w:instrText xml:space="preserve"> ADDIN EN.CITE &lt;EndNote&gt;&lt;Cite&gt;&lt;Author&gt;Johnson&lt;/Author&gt;&lt;Year&gt;2011&lt;/Year&gt;&lt;RecNum&gt;1001&lt;/RecNum&gt;&lt;DisplayText&gt;(Johnson et al., 2011; Martin et al., 2014)&lt;/DisplayText&gt;&lt;record&gt;&lt;rec-number&gt;1001&lt;/rec-number&gt;&lt;foreign-keys&gt;&lt;key app="EN" db-id="wwzpfssaux292keptesxd5t6srsfvpzsde2p"&gt;1001&lt;/key&gt;&lt;/foreign-keys&gt;&lt;ref-type name="Book"&gt;6&lt;/ref-type&gt;&lt;contributors&gt;&lt;authors&gt;&lt;author&gt;Johnson, Johanna&lt;/author&gt;&lt;author&gt;Brando, Vittorio&lt;/author&gt;&lt;author&gt;Devlin, Michelle&lt;/author&gt;&lt;author&gt;McKenzie, Len&lt;/author&gt;&lt;author&gt;Morris, Sheridan&lt;/author&gt;&lt;author&gt;Schaffelke, Britta&lt;/author&gt;&lt;author&gt;Thompson, Angus&lt;/author&gt;&lt;author&gt;Waterhouse, Jane&lt;/author&gt;&lt;author&gt;Waycott, M&lt;/author&gt;&lt;/authors&gt;&lt;/contributors&gt;&lt;titles&gt;&lt;title&gt;Reef rescue marine monitoring program: 2009/2010 synthesis report&lt;/title&gt;&lt;/titles&gt;&lt;dates&gt;&lt;year&gt;2011&lt;/year&gt;&lt;/dates&gt;&lt;publisher&gt;Reef and Rainforest Research Centre&lt;/publisher&gt;&lt;isbn&gt;1921359617&lt;/isbn&gt;&lt;urls&gt;&lt;/urls&gt;&lt;/record&gt;&lt;/Cite&gt;&lt;Cite&gt;&lt;Author&gt;Martin&lt;/Author&gt;&lt;Year&gt;2014&lt;/Year&gt;&lt;RecNum&gt;1141&lt;/RecNum&gt;&lt;record&gt;&lt;rec-number&gt;1141&lt;/rec-number&gt;&lt;foreign-keys&gt;&lt;key app="EN" db-id="wwzpfssaux292keptesxd5t6srsfvpzsde2p"&gt;1141&lt;/key&gt;&lt;/foreign-keys&gt;&lt;ref-type name="Report"&gt;27&lt;/ref-type&gt;&lt;contributors&gt;&lt;authors&gt;&lt;author&gt;Martin, KC&lt;/author&gt;&lt;author&gt;McKenzie, L.J&lt;/author&gt;&lt;author&gt;Thompson, A&lt;/author&gt;&lt;author&gt;Muller, J&lt;/author&gt;&lt;author&gt;Bentley, C&lt;/author&gt;&lt;author&gt;Paxman, C&lt;/author&gt;&lt;author&gt;Collier, C&lt;/author&gt;&lt;author&gt;Waycott, M&lt;/author&gt;&lt;author&gt;Brando, V&lt;/author&gt;&lt;author&gt;Devlin, M&lt;/author&gt;&lt;author&gt;Schaffelke, B. 2014, &lt;/author&gt;&lt;/authors&gt;&lt;/contributors&gt;&lt;titles&gt;&lt;title&gt;Reef Rescue Marine Monitoring Program synthesis report. 2010-2011&lt;/title&gt;&lt;secondary-title&gt;A report to the Great Barrier Reef Marine Park Authority.&lt;/secondary-title&gt;&lt;/titles&gt;&lt;dates&gt;&lt;year&gt;2014&lt;/year&gt;&lt;/dates&gt;&lt;pub-location&gt;GBRMPA, Townsville.&lt;/pub-location&gt;&lt;urls&gt;&lt;/urls&gt;&lt;/record&gt;&lt;/Cite&gt;&lt;/EndNote&gt;</w:instrText>
      </w:r>
      <w:r>
        <w:fldChar w:fldCharType="separate"/>
      </w:r>
      <w:r>
        <w:rPr>
          <w:noProof/>
        </w:rPr>
        <w:t>(</w:t>
      </w:r>
      <w:hyperlink w:anchor="_ENREF_22" w:tooltip="Johnson, 2011 #1001" w:history="1">
        <w:r w:rsidR="00D23C68">
          <w:rPr>
            <w:noProof/>
          </w:rPr>
          <w:t>Johnson et al., 2011</w:t>
        </w:r>
      </w:hyperlink>
      <w:r>
        <w:rPr>
          <w:noProof/>
        </w:rPr>
        <w:t xml:space="preserve">; </w:t>
      </w:r>
      <w:hyperlink w:anchor="_ENREF_26" w:tooltip="Martin, 2014 #1141" w:history="1">
        <w:r w:rsidR="00D23C68">
          <w:rPr>
            <w:noProof/>
          </w:rPr>
          <w:t>Martin et al., 2014</w:t>
        </w:r>
      </w:hyperlink>
      <w:r>
        <w:rPr>
          <w:noProof/>
        </w:rPr>
        <w:t>)</w:t>
      </w:r>
      <w:r>
        <w:fldChar w:fldCharType="end"/>
      </w:r>
      <w:r w:rsidRPr="00A76E6A">
        <w:t xml:space="preserve">. This monitoring is run in partnership with the other MMP </w:t>
      </w:r>
      <w:r w:rsidRPr="00651252">
        <w:t>programs including water quality</w:t>
      </w:r>
      <w:r>
        <w:t xml:space="preserve"> </w:t>
      </w:r>
      <w:r>
        <w:fldChar w:fldCharType="begin">
          <w:fldData xml:space="preserve">PEVuZE5vdGU+PENpdGU+PEF1dGhvcj5Kb2huc29uPC9BdXRob3I+PFllYXI+MjAxMTwvWWVhcj48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</w:fldData>
        </w:fldChar>
      </w:r>
      <w:r w:rsidR="00E635A2">
        <w:instrText xml:space="preserve"> ADDIN EN.CITE </w:instrText>
      </w:r>
      <w:r w:rsidR="00E635A2">
        <w:fldChar w:fldCharType="begin">
          <w:fldData xml:space="preserve">PEVuZE5vdGU+PENpdGU+PEF1dGhvcj5Kb2huc29uPC9BdXRob3I+PFllYXI+MjAxMTwvWWVhcj48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</w:fldData>
        </w:fldChar>
      </w:r>
      <w:r w:rsidR="00E635A2">
        <w:instrText xml:space="preserve"> ADDIN EN.CITE.DATA </w:instrText>
      </w:r>
      <w:r w:rsidR="00E635A2">
        <w:fldChar w:fldCharType="end"/>
      </w:r>
      <w:r>
        <w:fldChar w:fldCharType="separate"/>
      </w:r>
      <w:r w:rsidR="00E635A2">
        <w:rPr>
          <w:noProof/>
        </w:rPr>
        <w:t>(</w:t>
      </w:r>
      <w:hyperlink w:anchor="_ENREF_4" w:tooltip="Bentley, 2012 #1071" w:history="1">
        <w:r w:rsidR="00D23C68">
          <w:rPr>
            <w:noProof/>
          </w:rPr>
          <w:t>Bentley et al., 2012</w:t>
        </w:r>
      </w:hyperlink>
      <w:r w:rsidR="00E635A2">
        <w:rPr>
          <w:noProof/>
        </w:rPr>
        <w:t xml:space="preserve">; </w:t>
      </w:r>
      <w:hyperlink w:anchor="_ENREF_5" w:tooltip="Brando, 2008 #1027" w:history="1">
        <w:r w:rsidR="00D23C68">
          <w:rPr>
            <w:noProof/>
          </w:rPr>
          <w:t>Brando et al., 2008</w:t>
        </w:r>
      </w:hyperlink>
      <w:r w:rsidR="00E635A2">
        <w:rPr>
          <w:noProof/>
        </w:rPr>
        <w:t xml:space="preserve">; </w:t>
      </w:r>
      <w:hyperlink w:anchor="_ENREF_6" w:tooltip="Brando, 2010 #1026" w:history="1">
        <w:r w:rsidR="00D23C68">
          <w:rPr>
            <w:noProof/>
          </w:rPr>
          <w:t>Brando et al., 2010a</w:t>
        </w:r>
      </w:hyperlink>
      <w:r w:rsidR="00E635A2">
        <w:rPr>
          <w:noProof/>
        </w:rPr>
        <w:t xml:space="preserve">; </w:t>
      </w:r>
      <w:hyperlink w:anchor="_ENREF_22" w:tooltip="Johnson, 2011 #1001" w:history="1">
        <w:r w:rsidR="00D23C68">
          <w:rPr>
            <w:noProof/>
          </w:rPr>
          <w:t>Johnson et al., 2011</w:t>
        </w:r>
      </w:hyperlink>
      <w:r w:rsidR="00E635A2">
        <w:rPr>
          <w:noProof/>
        </w:rPr>
        <w:t xml:space="preserve">; </w:t>
      </w:r>
      <w:hyperlink w:anchor="_ENREF_24" w:tooltip="Kennedy, 2012 #979" w:history="1">
        <w:r w:rsidR="00D23C68">
          <w:rPr>
            <w:noProof/>
          </w:rPr>
          <w:t>Kennedy et al., 2012</w:t>
        </w:r>
      </w:hyperlink>
      <w:r w:rsidR="00E635A2">
        <w:rPr>
          <w:noProof/>
        </w:rPr>
        <w:t xml:space="preserve">; </w:t>
      </w:r>
      <w:hyperlink w:anchor="_ENREF_31" w:tooltip="Schaffelke, 2012 #980" w:history="1">
        <w:r w:rsidR="00D23C68">
          <w:rPr>
            <w:noProof/>
          </w:rPr>
          <w:t>Schaffelke et al., 2012</w:t>
        </w:r>
      </w:hyperlink>
      <w:r w:rsidR="00E635A2">
        <w:rPr>
          <w:noProof/>
        </w:rPr>
        <w:t>)</w:t>
      </w:r>
      <w:r>
        <w:fldChar w:fldCharType="end"/>
      </w:r>
      <w:r w:rsidRPr="008926B3">
        <w:t xml:space="preserve">, coral monitoring and seagrass monitoring </w:t>
      </w:r>
      <w:r>
        <w:fldChar w:fldCharType="begin">
          <w:fldData xml:space="preserve">PEVuZE5vdGU+PENpdGU+PEF1dGhvcj5UaG9tcHNvbjwvQXV0aG9yPjxZZWFyPjIwMTM8L1llYXI+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</w:fldData>
        </w:fldChar>
      </w:r>
      <w:r w:rsidR="00E635A2">
        <w:instrText xml:space="preserve"> ADDIN EN.CITE </w:instrText>
      </w:r>
      <w:r w:rsidR="00E635A2">
        <w:fldChar w:fldCharType="begin">
          <w:fldData xml:space="preserve">PEVuZE5vdGU+PENpdGU+PEF1dGhvcj5UaG9tcHNvbjwvQXV0aG9yPjxZZWFyPjIwMTM8L1llYXI+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</w:fldData>
        </w:fldChar>
      </w:r>
      <w:r w:rsidR="00E635A2">
        <w:instrText xml:space="preserve"> ADDIN EN.CITE.DATA </w:instrText>
      </w:r>
      <w:r w:rsidR="00E635A2">
        <w:fldChar w:fldCharType="end"/>
      </w:r>
      <w:r>
        <w:fldChar w:fldCharType="separate"/>
      </w:r>
      <w:r w:rsidR="00E635A2">
        <w:rPr>
          <w:noProof/>
        </w:rPr>
        <w:t>(</w:t>
      </w:r>
      <w:hyperlink w:anchor="_ENREF_28" w:tooltip="McKenzie, 2014 #967" w:history="1">
        <w:r w:rsidR="00D23C68">
          <w:rPr>
            <w:noProof/>
          </w:rPr>
          <w:t>McKenzie et al., 2014</w:t>
        </w:r>
      </w:hyperlink>
      <w:r w:rsidR="00E635A2">
        <w:rPr>
          <w:noProof/>
        </w:rPr>
        <w:t xml:space="preserve">; </w:t>
      </w:r>
      <w:hyperlink w:anchor="_ENREF_29" w:tooltip="McKenzie, 2012 #1005" w:history="1">
        <w:r w:rsidR="00D23C68">
          <w:rPr>
            <w:noProof/>
          </w:rPr>
          <w:t>McKenzie et al., 2012</w:t>
        </w:r>
      </w:hyperlink>
      <w:r w:rsidR="00E635A2">
        <w:rPr>
          <w:noProof/>
        </w:rPr>
        <w:t xml:space="preserve">; </w:t>
      </w:r>
      <w:hyperlink w:anchor="_ENREF_33" w:tooltip="Thompson, 2013 #1018" w:history="1">
        <w:r w:rsidR="00D23C68">
          <w:rPr>
            <w:noProof/>
          </w:rPr>
          <w:t>Thompson et al., 2013</w:t>
        </w:r>
      </w:hyperlink>
      <w:r w:rsidR="00E635A2">
        <w:rPr>
          <w:noProof/>
        </w:rPr>
        <w:t>)</w:t>
      </w:r>
      <w:r>
        <w:fldChar w:fldCharType="end"/>
      </w:r>
      <w:r>
        <w:t>.</w:t>
      </w:r>
    </w:p>
    <w:p w14:paraId="0C3F7DEB" w14:textId="77777777" w:rsidR="00EE42C6" w:rsidRDefault="00EE42C6" w:rsidP="00EE42C6">
      <w:r w:rsidRPr="007E554A">
        <w:t xml:space="preserve">Water quality in the GBR is influenced by an array of factors including </w:t>
      </w:r>
      <w:r>
        <w:t xml:space="preserve">diffuse source </w:t>
      </w:r>
      <w:r w:rsidRPr="007E554A">
        <w:t xml:space="preserve">land-based runoff, point source pollution, and extreme weather conditions. Monitoring the impacts of </w:t>
      </w:r>
      <w:r>
        <w:t>land based runoff</w:t>
      </w:r>
      <w:r w:rsidRPr="007E554A">
        <w:t xml:space="preserve"> into the GBR is undertaken within the </w:t>
      </w:r>
      <w:r>
        <w:t>wet season</w:t>
      </w:r>
      <w:r w:rsidRPr="007E554A">
        <w:t xml:space="preserve"> monitoring </w:t>
      </w:r>
      <w:r>
        <w:t>program under</w:t>
      </w:r>
      <w:r w:rsidRPr="007E554A">
        <w:t xml:space="preserve"> the MMP, which targets sampling of the</w:t>
      </w:r>
      <w:r>
        <w:t xml:space="preserve"> wet season and</w:t>
      </w:r>
      <w:r w:rsidRPr="007E554A">
        <w:t xml:space="preserve"> high flow events </w:t>
      </w:r>
      <w:r>
        <w:t xml:space="preserve">to characterise the input of </w:t>
      </w:r>
      <w:r w:rsidRPr="007E554A">
        <w:t xml:space="preserve">terrestrially sourced pollutants </w:t>
      </w:r>
      <w:r>
        <w:t xml:space="preserve">delivered through </w:t>
      </w:r>
      <w:r w:rsidRPr="007E554A">
        <w:t>river discharge to the GBR</w:t>
      </w:r>
      <w:r>
        <w:t xml:space="preserve"> </w:t>
      </w:r>
      <w:r>
        <w:fldChar w:fldCharType="begin">
          <w:fldData xml:space="preserve">PEVuZE5vdGU+PENpdGU+PEF1dGhvcj5EZXZsaW48L0F1dGhvcj48WWVhcj4yMDEyPC9ZZWFyPjxS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</w:fldData>
        </w:fldChar>
      </w:r>
      <w:r>
        <w:instrText xml:space="preserve"> ADDIN EN.CITE </w:instrText>
      </w:r>
      <w:r>
        <w:fldChar w:fldCharType="begin">
          <w:fldData xml:space="preserve">PEVuZE5vdGU+PENpdGU+PEF1dGhvcj5EZXZsaW48L0F1dGhvcj48WWVhcj4yMDEyPC9ZZWFyPjxS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</w:fldData>
        </w:fldChar>
      </w:r>
      <w:r>
        <w:instrText xml:space="preserve"> ADDIN EN.CITE.DATA </w:instrText>
      </w:r>
      <w:r>
        <w:fldChar w:fldCharType="end"/>
      </w:r>
      <w:r>
        <w:fldChar w:fldCharType="separate"/>
      </w:r>
      <w:r>
        <w:rPr>
          <w:noProof/>
        </w:rPr>
        <w:t>(</w:t>
      </w:r>
      <w:hyperlink w:anchor="_ENREF_18" w:tooltip="Devlin, 2012 #1007" w:history="1">
        <w:r w:rsidR="00D23C68">
          <w:rPr>
            <w:noProof/>
          </w:rPr>
          <w:t>Devlin et al., 2012</w:t>
        </w:r>
      </w:hyperlink>
      <w:r>
        <w:rPr>
          <w:noProof/>
        </w:rPr>
        <w:t xml:space="preserve">; </w:t>
      </w:r>
      <w:hyperlink w:anchor="_ENREF_19" w:tooltip="Devlin, 2013 #791" w:history="1">
        <w:r w:rsidR="00D23C68">
          <w:rPr>
            <w:noProof/>
          </w:rPr>
          <w:t>Devlin et al., 2013</w:t>
        </w:r>
      </w:hyperlink>
      <w:r>
        <w:rPr>
          <w:noProof/>
        </w:rPr>
        <w:t xml:space="preserve">; </w:t>
      </w:r>
      <w:hyperlink w:anchor="_ENREF_22" w:tooltip="Johnson, 2011 #1001" w:history="1">
        <w:r w:rsidR="00D23C68">
          <w:rPr>
            <w:noProof/>
          </w:rPr>
          <w:t>Johnson et al., 2011</w:t>
        </w:r>
      </w:hyperlink>
      <w:r>
        <w:rPr>
          <w:noProof/>
        </w:rPr>
        <w:t>)</w:t>
      </w:r>
      <w:r>
        <w:fldChar w:fldCharType="end"/>
      </w:r>
      <w:r w:rsidRPr="007E554A">
        <w:t xml:space="preserve">. </w:t>
      </w:r>
    </w:p>
    <w:p w14:paraId="0C3F7DEC" w14:textId="77777777" w:rsidR="00EE42C6" w:rsidRPr="004B697F" w:rsidRDefault="00EE42C6" w:rsidP="00EE42C6">
      <w:r w:rsidRPr="00EE42C6">
        <w:rPr>
          <w:rFonts w:ascii="Calibri" w:eastAsia="Calibri" w:hAnsi="Calibri" w:cs="Times New Roman"/>
          <w:lang w:eastAsia="en-US"/>
        </w:rPr>
        <w:t xml:space="preserve">This program, through </w:t>
      </w:r>
      <w:r w:rsidRPr="00EE42C6">
        <w:rPr>
          <w:rFonts w:ascii="Calibri" w:eastAsia="Calibri" w:hAnsi="Calibri" w:cs="Times New Roman"/>
          <w:i/>
          <w:lang w:eastAsia="en-US"/>
        </w:rPr>
        <w:t>in-situ</w:t>
      </w:r>
      <w:r w:rsidRPr="00EE42C6">
        <w:rPr>
          <w:rFonts w:ascii="Calibri" w:eastAsia="Calibri" w:hAnsi="Calibri" w:cs="Times New Roman"/>
          <w:lang w:eastAsia="en-US"/>
        </w:rPr>
        <w:t xml:space="preserve"> water quality sampling and remote sensed data </w:t>
      </w:r>
      <w:r>
        <w:rPr>
          <w:rFonts w:ascii="Calibri" w:eastAsia="Calibri" w:hAnsi="Calibri" w:cs="Times New Roman"/>
          <w:lang w:eastAsia="en-US"/>
        </w:rPr>
        <w:t xml:space="preserve">identifies and maps </w:t>
      </w:r>
      <w:r w:rsidRPr="00EE42C6">
        <w:rPr>
          <w:rFonts w:ascii="Calibri" w:eastAsia="Calibri" w:hAnsi="Calibri" w:cs="Times New Roman"/>
          <w:lang w:eastAsia="en-US"/>
        </w:rPr>
        <w:t>the risk and exposure of GBR ecosystems to anthropogenic water quality influences (e.g., nutrients, sediments and pesticides). River flood plumes are important pathway for terrestrial materials entering the sea, and a dominant sourc</w:t>
      </w:r>
      <w:r w:rsidR="00C77C3C">
        <w:rPr>
          <w:rFonts w:ascii="Calibri" w:eastAsia="Calibri" w:hAnsi="Calibri" w:cs="Times New Roman"/>
          <w:lang w:eastAsia="en-US"/>
        </w:rPr>
        <w:t xml:space="preserve">e of coastal pollutants. Spatial and temporal maps of </w:t>
      </w:r>
      <w:r w:rsidRPr="00EE42C6">
        <w:rPr>
          <w:rFonts w:ascii="Calibri" w:eastAsia="Calibri" w:hAnsi="Calibri" w:cs="Times New Roman"/>
          <w:lang w:eastAsia="en-US"/>
        </w:rPr>
        <w:t xml:space="preserve">the </w:t>
      </w:r>
      <w:r w:rsidR="00C77C3C">
        <w:rPr>
          <w:rFonts w:ascii="Calibri" w:eastAsia="Calibri" w:hAnsi="Calibri" w:cs="Times New Roman"/>
          <w:lang w:eastAsia="en-US"/>
        </w:rPr>
        <w:t xml:space="preserve">river plume extent, </w:t>
      </w:r>
      <w:r w:rsidRPr="00EE42C6">
        <w:rPr>
          <w:rFonts w:ascii="Calibri" w:eastAsia="Calibri" w:hAnsi="Calibri" w:cs="Times New Roman"/>
          <w:lang w:eastAsia="en-US"/>
        </w:rPr>
        <w:t>frequency of occurrence and duration</w:t>
      </w:r>
      <w:r w:rsidR="00C77C3C">
        <w:rPr>
          <w:rFonts w:ascii="Calibri" w:eastAsia="Calibri" w:hAnsi="Calibri" w:cs="Times New Roman"/>
          <w:lang w:eastAsia="en-US"/>
        </w:rPr>
        <w:t xml:space="preserve"> of exposure provides information</w:t>
      </w:r>
      <w:r w:rsidRPr="00EE42C6">
        <w:rPr>
          <w:rFonts w:ascii="Calibri" w:eastAsia="Calibri" w:hAnsi="Calibri" w:cs="Times New Roman"/>
          <w:lang w:eastAsia="en-US"/>
        </w:rPr>
        <w:t xml:space="preserve"> </w:t>
      </w:r>
      <w:r w:rsidR="00C77C3C">
        <w:rPr>
          <w:rFonts w:ascii="Calibri" w:eastAsia="Calibri" w:hAnsi="Calibri" w:cs="Times New Roman"/>
          <w:lang w:eastAsia="en-US"/>
        </w:rPr>
        <w:t xml:space="preserve">in the development of </w:t>
      </w:r>
      <w:r w:rsidRPr="00EE42C6">
        <w:rPr>
          <w:rFonts w:ascii="Calibri" w:eastAsia="Calibri" w:hAnsi="Calibri" w:cs="Times New Roman"/>
          <w:lang w:eastAsia="en-US"/>
        </w:rPr>
        <w:t>river plume risk models</w:t>
      </w:r>
      <w:r w:rsidR="00C77C3C">
        <w:rPr>
          <w:rFonts w:ascii="Calibri" w:eastAsia="Calibri" w:hAnsi="Calibri" w:cs="Times New Roman"/>
          <w:lang w:eastAsia="en-US"/>
        </w:rPr>
        <w:t>. These models</w:t>
      </w:r>
      <w:r w:rsidRPr="00EE42C6">
        <w:rPr>
          <w:rFonts w:ascii="Calibri" w:eastAsia="Calibri" w:hAnsi="Calibri" w:cs="Times New Roman"/>
          <w:lang w:eastAsia="en-US"/>
        </w:rPr>
        <w:t xml:space="preserve"> </w:t>
      </w:r>
      <w:r w:rsidR="00C77C3C">
        <w:rPr>
          <w:rFonts w:ascii="Calibri" w:eastAsia="Calibri" w:hAnsi="Calibri" w:cs="Times New Roman"/>
          <w:lang w:eastAsia="en-US"/>
        </w:rPr>
        <w:t>identify</w:t>
      </w:r>
      <w:r w:rsidRPr="00EE42C6">
        <w:rPr>
          <w:rFonts w:ascii="Calibri" w:eastAsia="Calibri" w:hAnsi="Calibri" w:cs="Times New Roman"/>
          <w:lang w:eastAsia="en-US"/>
        </w:rPr>
        <w:t xml:space="preserve"> plume-affected areas that may experience acute or chronic exposure to contaminants delivered by river discharge. Knowledge of the areas and ecosystems that are most likely to be impacted by changing water quality helps focus our understanding on what type of ecological impacts are occurring and to better inform marine, coastal and catchment management.</w:t>
      </w:r>
    </w:p>
    <w:p w14:paraId="0C3F7DED" w14:textId="77777777" w:rsidR="00EE42C6" w:rsidRDefault="00EE42C6" w:rsidP="00EE42C6">
      <w:r>
        <w:t xml:space="preserve">Due to </w:t>
      </w:r>
      <w:r w:rsidRPr="007E554A">
        <w:t>the large size of the GBR Marine Park (350,000 km</w:t>
      </w:r>
      <w:r w:rsidRPr="00EE42C6">
        <w:rPr>
          <w:vertAlign w:val="superscript"/>
        </w:rPr>
        <w:t>2</w:t>
      </w:r>
      <w:r w:rsidRPr="007E554A">
        <w:t>), the short-term nature and variability of runoff events (hours to weeks) and the often difficult weather conditions associated with floods, it is difficult and expensive to launch and coordinate comprehensive runoff plume water quality sampling campaigns across a large section of the GBR</w:t>
      </w:r>
      <w:r>
        <w:t xml:space="preserve"> </w:t>
      </w:r>
      <w:r>
        <w:fldChar w:fldCharType="begin"/>
      </w:r>
      <w:r>
        <w:instrText xml:space="preserve"> ADDIN EN.CITE &lt;EndNote&gt;&lt;Cite&gt;&lt;Author&gt;Devlin&lt;/Author&gt;&lt;Year&gt;2001&lt;/Year&gt;&lt;RecNum&gt;792&lt;/RecNum&gt;&lt;DisplayText&gt;(Devlin et al., 2001)&lt;/DisplayText&gt;&lt;record&gt;&lt;rec-number&gt;792&lt;/rec-number&gt;&lt;foreign-keys&gt;&lt;key app="EN" db-id="wwzpfssaux292keptesxd5t6srsfvpzsde2p"&gt;792&lt;/key&gt;&lt;/foreign-keys&gt;&lt;ref-type name="Book"&gt;6&lt;/ref-type&gt;&lt;contributors&gt;&lt;authors&gt;&lt;author&gt;Devlin, Michelle&lt;/author&gt;&lt;author&gt;Waterhouse, Jane&lt;/author&gt;&lt;author&gt;Taylor, Jeremy&lt;/author&gt;&lt;author&gt;Brodie, JE&lt;/author&gt;&lt;/authors&gt;&lt;/contributors&gt;&lt;titles&gt;&lt;title&gt;Flood plumes in the Great Barrier Reef: spatial and temporal patterns in composition and distribution&lt;/title&gt;&lt;/titles&gt;&lt;dates&gt;&lt;year&gt;2001&lt;/year&gt;&lt;/dates&gt;&lt;publisher&gt;Great Barrier Reef Marine Park Authority&lt;/publisher&gt;&lt;isbn&gt;0642230978&lt;/isbn&gt;&lt;urls&gt;&lt;/urls&gt;&lt;/record&gt;&lt;/Cite&gt;&lt;/EndNote&gt;</w:instrText>
      </w:r>
      <w:r>
        <w:fldChar w:fldCharType="separate"/>
      </w:r>
      <w:r>
        <w:rPr>
          <w:noProof/>
        </w:rPr>
        <w:t>(</w:t>
      </w:r>
      <w:hyperlink w:anchor="_ENREF_17" w:tooltip="Devlin, 2001 #792" w:history="1">
        <w:r w:rsidR="00D23C68">
          <w:rPr>
            <w:noProof/>
          </w:rPr>
          <w:t>Devlin et al., 2001</w:t>
        </w:r>
      </w:hyperlink>
      <w:r>
        <w:rPr>
          <w:noProof/>
        </w:rPr>
        <w:t>)</w:t>
      </w:r>
      <w:r>
        <w:fldChar w:fldCharType="end"/>
      </w:r>
      <w:r>
        <w:t>. Wet season water</w:t>
      </w:r>
      <w:r w:rsidRPr="007E554A">
        <w:t xml:space="preserve"> quality data is measured through a combination of </w:t>
      </w:r>
      <w:r w:rsidRPr="00EC36B8">
        <w:t>in-situ</w:t>
      </w:r>
      <w:r w:rsidRPr="007E554A">
        <w:t xml:space="preserve"> water quality measurements taken at peak and post flow conditions in targeted catchments throughout the wet season. River plume extent, frequency and duration are </w:t>
      </w:r>
      <w:r>
        <w:t xml:space="preserve">also </w:t>
      </w:r>
      <w:r w:rsidRPr="007E554A">
        <w:t>measured</w:t>
      </w:r>
      <w:r>
        <w:t xml:space="preserve"> and mapped</w:t>
      </w:r>
      <w:r w:rsidRPr="007E554A">
        <w:t xml:space="preserve"> through the use of remote sensing products</w:t>
      </w:r>
      <w:r>
        <w:t>, and more recently, the development of hydrodynamic models</w:t>
      </w:r>
      <w:r w:rsidRPr="007E554A">
        <w:t xml:space="preserve">. </w:t>
      </w:r>
    </w:p>
    <w:p w14:paraId="0C3F7DEE" w14:textId="77777777"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t>The GBR is the most extensive reef system in the world and comprises over 2900 km</w:t>
      </w:r>
      <w:r w:rsidRPr="00EE42C6">
        <w:rPr>
          <w:rFonts w:ascii="Calibri" w:eastAsia="Calibri" w:hAnsi="Calibri" w:cs="Times New Roman"/>
          <w:vertAlign w:val="superscript"/>
          <w:lang w:eastAsia="en-US"/>
        </w:rPr>
        <w:t>2</w:t>
      </w:r>
      <w:r w:rsidRPr="00EE42C6">
        <w:rPr>
          <w:rFonts w:ascii="Calibri" w:eastAsia="Calibri" w:hAnsi="Calibri" w:cs="Times New Roman"/>
          <w:lang w:eastAsia="en-US"/>
        </w:rPr>
        <w:t xml:space="preserve"> of coral reefs. It also comprises over 43000 km</w:t>
      </w:r>
      <w:r w:rsidRPr="00EE42C6">
        <w:rPr>
          <w:rFonts w:ascii="Calibri" w:eastAsia="Calibri" w:hAnsi="Calibri" w:cs="Times New Roman"/>
          <w:vertAlign w:val="superscript"/>
          <w:lang w:eastAsia="en-US"/>
        </w:rPr>
        <w:t>2</w:t>
      </w:r>
      <w:r w:rsidRPr="00EE42C6">
        <w:rPr>
          <w:rFonts w:ascii="Calibri" w:eastAsia="Calibri" w:hAnsi="Calibri" w:cs="Times New Roman"/>
          <w:lang w:eastAsia="en-US"/>
        </w:rPr>
        <w:t xml:space="preserve"> of seagrass meadows (</w:t>
      </w:r>
      <w:r w:rsidRPr="00EE42C6">
        <w:rPr>
          <w:rFonts w:ascii="Calibri" w:eastAsia="Calibri" w:hAnsi="Calibri" w:cs="Times New Roman"/>
          <w:lang w:eastAsia="en-US"/>
        </w:rPr>
        <w:fldChar w:fldCharType="begin"/>
      </w:r>
      <w:r w:rsidRPr="00EE42C6">
        <w:rPr>
          <w:rFonts w:ascii="Calibri" w:eastAsia="Calibri" w:hAnsi="Calibri" w:cs="Times New Roman"/>
          <w:lang w:eastAsia="en-US"/>
        </w:rPr>
        <w:instrText xml:space="preserve"> REF _Ref428850263 \h  \* MERGEFORMAT </w:instrText>
      </w:r>
      <w:r w:rsidRPr="00EE42C6">
        <w:rPr>
          <w:rFonts w:ascii="Calibri" w:eastAsia="Calibri" w:hAnsi="Calibri" w:cs="Times New Roman"/>
          <w:lang w:eastAsia="en-US"/>
        </w:rPr>
      </w:r>
      <w:r w:rsidRPr="00EE42C6">
        <w:rPr>
          <w:rFonts w:ascii="Calibri" w:eastAsia="Calibri" w:hAnsi="Calibri" w:cs="Times New Roman"/>
          <w:lang w:eastAsia="en-US"/>
        </w:rPr>
        <w:fldChar w:fldCharType="separate"/>
      </w:r>
      <w:r w:rsidR="00B62B50">
        <w:rPr>
          <w:rFonts w:ascii="Calibri" w:eastAsia="Calibri" w:hAnsi="Calibri" w:cs="Times New Roman"/>
          <w:b/>
          <w:bCs/>
          <w:lang w:val="en-US" w:eastAsia="en-US"/>
        </w:rPr>
        <w:t>Error! Reference source not found.</w:t>
      </w:r>
      <w:r w:rsidRPr="00EE42C6">
        <w:rPr>
          <w:rFonts w:ascii="Calibri" w:eastAsia="Calibri" w:hAnsi="Calibri" w:cs="Times New Roman"/>
          <w:lang w:eastAsia="en-US"/>
        </w:rPr>
        <w:fldChar w:fldCharType="end"/>
      </w:r>
      <w:r w:rsidRPr="00EE42C6">
        <w:rPr>
          <w:rFonts w:ascii="Calibri" w:eastAsia="Calibri" w:hAnsi="Calibri" w:cs="Times New Roman"/>
          <w:lang w:eastAsia="en-US"/>
        </w:rPr>
        <w:t xml:space="preserve">). Thirty major rivers drain into the GBR, all of which vary considerably in length, catchment area, and flow frequency and intensity. Rivers discharging into the GBR lagoon are the main land-based source of </w:t>
      </w:r>
      <w:r w:rsidRPr="00EE42C6">
        <w:rPr>
          <w:rFonts w:ascii="Calibri" w:eastAsia="Calibri" w:hAnsi="Calibri" w:cs="Times New Roman"/>
          <w:lang w:eastAsia="en-US"/>
        </w:rPr>
        <w:lastRenderedPageBreak/>
        <w:t>pollutants (i.e., sediments, nutrients and pesticides) of the GBR. The actual distribution and movement of the individual pollutants varies considerably between the Wet (north of Townsville</w:t>
      </w:r>
      <w:r w:rsidR="00D23397">
        <w:rPr>
          <w:rFonts w:ascii="Calibri" w:eastAsia="Calibri" w:hAnsi="Calibri" w:cs="Times New Roman"/>
          <w:lang w:eastAsia="en-US"/>
        </w:rPr>
        <w:t>)</w:t>
      </w:r>
      <w:r w:rsidRPr="00EE42C6">
        <w:rPr>
          <w:rFonts w:ascii="Calibri" w:eastAsia="Calibri" w:hAnsi="Calibri" w:cs="Times New Roman"/>
          <w:lang w:eastAsia="en-US"/>
        </w:rPr>
        <w:t xml:space="preserve"> and Dry Tropic rivers </w:t>
      </w:r>
      <w:r w:rsidRPr="00EE42C6">
        <w:rPr>
          <w:rFonts w:ascii="Calibri" w:eastAsia="Calibri" w:hAnsi="Calibri" w:cs="Times New Roman"/>
          <w:lang w:eastAsia="en-US"/>
        </w:rPr>
        <w:fldChar w:fldCharType="begin"/>
      </w:r>
      <w:r w:rsidRPr="00EE42C6">
        <w:rPr>
          <w:rFonts w:ascii="Calibri" w:eastAsia="Calibri" w:hAnsi="Calibri" w:cs="Times New Roman"/>
          <w:lang w:eastAsia="en-US"/>
        </w:rPr>
        <w:instrText xml:space="preserve"> ADDIN EN.CITE &lt;EndNote&gt;&lt;Cite&gt;&lt;Author&gt;Devlin&lt;/Author&gt;&lt;Year&gt;2011&lt;/Year&gt;&lt;RecNum&gt;1034&lt;/RecNum&gt;&lt;DisplayText&gt;(Devlin et al., 2011; Devlin et al., 2013)&lt;/DisplayText&gt;&lt;record&gt;&lt;rec-number&gt;1034&lt;/rec-number&gt;&lt;foreign-keys&gt;&lt;key app="EN" db-id="wwzpfssaux292keptesxd5t6srsfvpzsde2p"&gt;1034&lt;/key&gt;&lt;/foreign-keys&gt;&lt;ref-type name="Journal Article"&gt;17&lt;/ref-type&gt;&lt;contributors&gt;&lt;authors&gt;&lt;author&gt;Devlin, Michelle&lt;/author&gt;&lt;author&gt;Schroeder, Thomas&lt;/author&gt;&lt;author&gt;McKinna, Lachlan&lt;/author&gt;&lt;author&gt;Brodie, Jon&lt;/author&gt;&lt;author&gt;Brando, Vittorio&lt;/author&gt;&lt;author&gt;Dekker, Arnold&lt;/author&gt;&lt;/authors&gt;&lt;/contributors&gt;&lt;titles&gt;&lt;title&gt;Monitoring and mapping of flood plumes in the Great Barrier Reef based on in-situ and remote sensing observations&lt;/title&gt;&lt;secondary-title&gt;Advances in Environmental Remote Sensing to Monitor Global Changes, CRC Press, Boca Raton&lt;/secondary-title&gt;&lt;/titles&gt;&lt;periodical&gt;&lt;full-title&gt;Advances in Environmental Remote Sensing to Monitor Global Changes, CRC Press, Boca Raton&lt;/full-title&gt;&lt;/periodical&gt;&lt;dates&gt;&lt;year&gt;2011&lt;/year&gt;&lt;/dates&gt;&lt;urls&gt;&lt;/urls&gt;&lt;/record&gt;&lt;/Cite&gt;&lt;Cite&gt;&lt;Author&gt;Devlin&lt;/Author&gt;&lt;Year&gt;2013&lt;/Year&gt;&lt;RecNum&gt;791&lt;/RecNum&gt;&lt;record&gt;&lt;rec-number&gt;791&lt;/rec-number&gt;&lt;foreign-keys&gt;&lt;key app="EN" db-id="wwzpfssaux292keptesxd5t6srsfvpzsde2p"&gt;791&lt;/key&gt;&lt;/foreign-keys&gt;&lt;ref-type name="Report"&gt;27&lt;/ref-type&gt;&lt;contributors&gt;&lt;authors&gt;&lt;author&gt;Devlin, M. J.&lt;/author&gt;&lt;author&gt;Álvarez-Romero, J.&lt;/author&gt;&lt;author&gt;da Silva, E. T.&lt;/author&gt;&lt;author&gt;DeBose, J.&lt;/author&gt;&lt;author&gt;Petus, C.&lt;/author&gt;&lt;author&gt;Wenger, A.&lt;/author&gt;&lt;/authors&gt;&lt;/contributors&gt;&lt;titles&gt;&lt;title&gt;Reef Rescue Marine Monitoring Program. Final report of JCU activities 2011/12 – Flood plumes and extreme weather monitoring for the Great Barrier Reef Marine Park Authority&lt;/title&gt;&lt;/titles&gt;&lt;dates&gt;&lt;year&gt;2013&lt;/year&gt;&lt;/dates&gt;&lt;pub-location&gt;Townsville&lt;/pub-location&gt;&lt;publisher&gt;James Cook University&lt;/publisher&gt;&lt;work-type&gt;Report ER&lt;/work-type&gt;&lt;urls&gt;&lt;related-urls&gt;&lt;url&gt;http://hdl.handle.net/11017/2803&lt;/url&gt;&lt;/related-urls&gt;&lt;/urls&gt;&lt;/record&gt;&lt;/Cite&gt;&lt;/EndNote&gt;</w:instrText>
      </w:r>
      <w:r w:rsidRPr="00EE42C6">
        <w:rPr>
          <w:rFonts w:ascii="Calibri" w:eastAsia="Calibri" w:hAnsi="Calibri" w:cs="Times New Roman"/>
          <w:lang w:eastAsia="en-US"/>
        </w:rPr>
        <w:fldChar w:fldCharType="separate"/>
      </w:r>
      <w:r w:rsidRPr="00EE42C6">
        <w:rPr>
          <w:rFonts w:ascii="Calibri" w:eastAsia="Calibri" w:hAnsi="Calibri" w:cs="Times New Roman"/>
          <w:noProof/>
          <w:lang w:eastAsia="en-US"/>
        </w:rPr>
        <w:t>(</w:t>
      </w:r>
      <w:hyperlink w:anchor="_ENREF_16" w:tooltip="Devlin, 2011 #1034" w:history="1">
        <w:r w:rsidR="00D23C68" w:rsidRPr="00EE42C6">
          <w:rPr>
            <w:rFonts w:ascii="Calibri" w:eastAsia="Calibri" w:hAnsi="Calibri" w:cs="Times New Roman"/>
            <w:noProof/>
            <w:lang w:eastAsia="en-US"/>
          </w:rPr>
          <w:t>Devlin et al., 2011</w:t>
        </w:r>
      </w:hyperlink>
      <w:r w:rsidRPr="00EE42C6">
        <w:rPr>
          <w:rFonts w:ascii="Calibri" w:eastAsia="Calibri" w:hAnsi="Calibri" w:cs="Times New Roman"/>
          <w:noProof/>
          <w:lang w:eastAsia="en-US"/>
        </w:rPr>
        <w:t xml:space="preserve">; </w:t>
      </w:r>
      <w:hyperlink w:anchor="_ENREF_19" w:tooltip="Devlin, 2013 #791" w:history="1">
        <w:r w:rsidR="00D23C68" w:rsidRPr="00EE42C6">
          <w:rPr>
            <w:rFonts w:ascii="Calibri" w:eastAsia="Calibri" w:hAnsi="Calibri" w:cs="Times New Roman"/>
            <w:noProof/>
            <w:lang w:eastAsia="en-US"/>
          </w:rPr>
          <w:t>Devlin et al., 2013</w:t>
        </w:r>
      </w:hyperlink>
      <w:r w:rsidRPr="00EE42C6">
        <w:rPr>
          <w:rFonts w:ascii="Calibri" w:eastAsia="Calibri" w:hAnsi="Calibri" w:cs="Times New Roman"/>
          <w:noProof/>
          <w:lang w:eastAsia="en-US"/>
        </w:rPr>
        <w:t>)</w:t>
      </w:r>
      <w:r w:rsidRPr="00EE42C6">
        <w:rPr>
          <w:rFonts w:ascii="Calibri" w:eastAsia="Calibri" w:hAnsi="Calibri" w:cs="Times New Roman"/>
          <w:lang w:eastAsia="en-US"/>
        </w:rPr>
        <w:fldChar w:fldCharType="end"/>
      </w:r>
      <w:r w:rsidRPr="00EE42C6">
        <w:rPr>
          <w:rFonts w:ascii="Calibri" w:eastAsia="Calibri" w:hAnsi="Calibri" w:cs="Times New Roman"/>
          <w:lang w:eastAsia="en-US"/>
        </w:rPr>
        <w:t>.</w:t>
      </w:r>
    </w:p>
    <w:p w14:paraId="0C3F7DEF" w14:textId="77777777"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t xml:space="preserve">In the GBR, river plumes are driven by high river flow conditions, which occur during the monsoonal season and are typically associated with the passage of cyclones or low pressure systems, i.e., from about December to April </w:t>
      </w:r>
      <w:r w:rsidR="00C77C3C">
        <w:rPr>
          <w:rFonts w:ascii="Calibri" w:eastAsia="Calibri" w:hAnsi="Calibri" w:cs="Times New Roman"/>
          <w:lang w:eastAsia="en-US"/>
        </w:rPr>
        <w:fldChar w:fldCharType="begin"/>
      </w:r>
      <w:r w:rsidR="00C77C3C">
        <w:rPr>
          <w:rFonts w:ascii="Calibri" w:eastAsia="Calibri" w:hAnsi="Calibri" w:cs="Times New Roman"/>
          <w:lang w:eastAsia="en-US"/>
        </w:rPr>
        <w:instrText xml:space="preserve"> ADDIN EN.CITE &lt;EndNote&gt;&lt;Cite&gt;&lt;Author&gt;Devlin&lt;/Author&gt;&lt;Year&gt;2005&lt;/Year&gt;&lt;RecNum&gt;411&lt;/RecNum&gt;&lt;DisplayText&gt;(Devlin and Brodie, 2005)&lt;/DisplayText&gt;&lt;record&gt;&lt;rec-number&gt;411&lt;/rec-number&gt;&lt;foreign-keys&gt;&lt;key app="EN" db-id="wwzpfssaux292keptesxd5t6srsfvpzsde2p"&gt;411&lt;/key&gt;&lt;/foreign-keys&gt;&lt;ref-type name="Journal Article"&gt;17&lt;/ref-type&gt;&lt;contributors&gt;&lt;authors&gt;&lt;author&gt;Devlin, M. J.&lt;/author&gt;&lt;author&gt;Brodie, J.&lt;/author&gt;&lt;/authors&gt;&lt;/contributors&gt;&lt;auth-address&gt;Centre for Environment, Fisheries and Aquaculture Science, Pakefield Road, Lowestoft NR33 0HT, UK.&lt;/auth-address&gt;&lt;titles&gt;&lt;title&gt;Terrestrial discharge into the Great Barrier Reef Lagoon: nutrient behavior in coastal waters&lt;/title&gt;&lt;secondary-title&gt;Mar Pollut Bull&lt;/secondary-title&gt;&lt;alt-title&gt;Marine pollution bulletin&lt;/alt-title&gt;&lt;/titles&gt;&lt;periodical&gt;&lt;full-title&gt;Mar Pollut Bull&lt;/full-title&gt;&lt;abbr-1&gt;Marine pollution bulletin&lt;/abbr-1&gt;&lt;/periodical&gt;&lt;alt-periodical&gt;&lt;full-title&gt;Mar Pollut Bull&lt;/full-title&gt;&lt;abbr-1&gt;Marine pollution bulletin&lt;/abbr-1&gt;&lt;/alt-periodical&gt;&lt;pages&gt;9-22&lt;/pages&gt;&lt;volume&gt;51&lt;/volume&gt;&lt;number&gt;1-4&lt;/number&gt;&lt;keywords&gt;&lt;keyword&gt;*Agriculture&lt;/keyword&gt;&lt;keyword&gt;Animals&lt;/keyword&gt;&lt;keyword&gt;*Anthozoa&lt;/keyword&gt;&lt;keyword&gt;Disasters&lt;/keyword&gt;&lt;keyword&gt;Nitrogen/analysis&lt;/keyword&gt;&lt;keyword&gt;Particle Size&lt;/keyword&gt;&lt;keyword&gt;Pesticides/analysis&lt;/keyword&gt;&lt;keyword&gt;Phosphorus/analysis&lt;/keyword&gt;&lt;keyword&gt;Queensland&lt;/keyword&gt;&lt;keyword&gt;Water Movements&lt;/keyword&gt;&lt;keyword&gt;Water Pollutants/*analysis&lt;/keyword&gt;&lt;/keywords&gt;&lt;dates&gt;&lt;year&gt;2005&lt;/year&gt;&lt;/dates&gt;&lt;isbn&gt;0025-326X (Print)&amp;#xD;0025-326X (Linking)&lt;/isbn&gt;&lt;accession-num&gt;15757704&lt;/accession-num&gt;&lt;urls&gt;&lt;related-urls&gt;&lt;url&gt;http://www.ncbi.nlm.nih.gov/pubmed/15757704&lt;/url&gt;&lt;/related-urls&gt;&lt;/urls&gt;&lt;electronic-resource-num&gt;10.1016/j.marpolbul.2004.10.037&lt;/electronic-resource-num&gt;&lt;/record&gt;&lt;/Cite&gt;&lt;/EndNote&gt;</w:instrText>
      </w:r>
      <w:r w:rsidR="00C77C3C">
        <w:rPr>
          <w:rFonts w:ascii="Calibri" w:eastAsia="Calibri" w:hAnsi="Calibri" w:cs="Times New Roman"/>
          <w:lang w:eastAsia="en-US"/>
        </w:rPr>
        <w:fldChar w:fldCharType="separate"/>
      </w:r>
      <w:r w:rsidR="00C77C3C">
        <w:rPr>
          <w:rFonts w:ascii="Calibri" w:eastAsia="Calibri" w:hAnsi="Calibri" w:cs="Times New Roman"/>
          <w:noProof/>
          <w:lang w:eastAsia="en-US"/>
        </w:rPr>
        <w:t>(</w:t>
      </w:r>
      <w:hyperlink w:anchor="_ENREF_20" w:tooltip="Devlin, 2005 #411" w:history="1">
        <w:r w:rsidR="00D23C68">
          <w:rPr>
            <w:rFonts w:ascii="Calibri" w:eastAsia="Calibri" w:hAnsi="Calibri" w:cs="Times New Roman"/>
            <w:noProof/>
            <w:lang w:eastAsia="en-US"/>
          </w:rPr>
          <w:t>Devlin and Brodie, 2005</w:t>
        </w:r>
      </w:hyperlink>
      <w:r w:rsidR="00C77C3C">
        <w:rPr>
          <w:rFonts w:ascii="Calibri" w:eastAsia="Calibri" w:hAnsi="Calibri" w:cs="Times New Roman"/>
          <w:noProof/>
          <w:lang w:eastAsia="en-US"/>
        </w:rPr>
        <w:t>)</w:t>
      </w:r>
      <w:r w:rsidR="00C77C3C">
        <w:rPr>
          <w:rFonts w:ascii="Calibri" w:eastAsia="Calibri" w:hAnsi="Calibri" w:cs="Times New Roman"/>
          <w:lang w:eastAsia="en-US"/>
        </w:rPr>
        <w:fldChar w:fldCharType="end"/>
      </w:r>
      <w:r w:rsidR="00C77C3C">
        <w:rPr>
          <w:rFonts w:ascii="Calibri" w:eastAsia="Calibri" w:hAnsi="Calibri" w:cs="Times New Roman"/>
          <w:lang w:eastAsia="en-US"/>
        </w:rPr>
        <w:t xml:space="preserve">. </w:t>
      </w:r>
      <w:r w:rsidRPr="00EE42C6">
        <w:rPr>
          <w:rFonts w:ascii="Calibri" w:eastAsia="Calibri" w:hAnsi="Calibri" w:cs="Times New Roman"/>
          <w:lang w:eastAsia="en-US"/>
        </w:rPr>
        <w:t>Wet Tropic catchments, located between Townsville and Cooktown, have frequent storm and runoff events in generally short, steep catchments that have more direct and frequent linkages to coastal environments. In the Dry Tropic catchments, the major flow events may occur at intervals of years, with long lag times for the transport of material through these large catchments</w:t>
      </w:r>
      <w:r w:rsidR="00D23397">
        <w:rPr>
          <w:rFonts w:ascii="Calibri" w:eastAsia="Calibri" w:hAnsi="Calibri" w:cs="Times New Roman"/>
          <w:lang w:eastAsia="en-US"/>
        </w:rPr>
        <w:t xml:space="preserve"> </w:t>
      </w:r>
      <w:r w:rsidR="00C77C3C">
        <w:rPr>
          <w:rFonts w:ascii="Calibri" w:eastAsia="Calibri" w:hAnsi="Calibri" w:cs="Times New Roman"/>
          <w:lang w:eastAsia="en-US"/>
        </w:rPr>
        <w:fldChar w:fldCharType="begin"/>
      </w:r>
      <w:r w:rsidR="00C77C3C">
        <w:rPr>
          <w:rFonts w:ascii="Calibri" w:eastAsia="Calibri" w:hAnsi="Calibri" w:cs="Times New Roman"/>
          <w:lang w:eastAsia="en-US"/>
        </w:rPr>
        <w:instrText xml:space="preserve"> ADDIN EN.CITE &lt;EndNote&gt;&lt;Cite&gt;&lt;Author&gt;Brodie&lt;/Author&gt;&lt;Year&gt;2009&lt;/Year&gt;&lt;RecNum&gt;1142&lt;/RecNum&gt;&lt;DisplayText&gt;(Brodie et al., 2009)&lt;/DisplayText&gt;&lt;record&gt;&lt;rec-number&gt;1142&lt;/rec-number&gt;&lt;foreign-keys&gt;&lt;key app="EN" db-id="wwzpfssaux292keptesxd5t6srsfvpzsde2p"&gt;1142&lt;/key&gt;&lt;/foreign-keys&gt;&lt;ref-type name="Journal Article"&gt;17&lt;/ref-type&gt;&lt;contributors&gt;&lt;authors&gt;&lt;author&gt;Brodie, Jon&lt;/author&gt;&lt;author&gt;Lewis, Stephen&lt;/author&gt;&lt;author&gt;Bainbridge, Zoe&lt;/author&gt;&lt;author&gt;Mitchell, Alan&lt;/author&gt;&lt;author&gt;Waterhouse, Jane&lt;/author&gt;&lt;author&gt;Kroon, Frederieke&lt;/author&gt;&lt;/authors&gt;&lt;/contributors&gt;&lt;titles&gt;&lt;title&gt;Target setting for pollutant discharge management of rivers in the Great Barrier Reef catchment area&lt;/title&gt;&lt;secondary-title&gt;Marine and Freshwater Research&lt;/secondary-title&gt;&lt;/titles&gt;&lt;periodical&gt;&lt;full-title&gt;Marine and Freshwater Research&lt;/full-title&gt;&lt;/periodical&gt;&lt;pages&gt;1141-1149&lt;/pages&gt;&lt;volume&gt;60&lt;/volume&gt;&lt;number&gt;11&lt;/number&gt;&lt;dates&gt;&lt;year&gt;2009&lt;/year&gt;&lt;/dates&gt;&lt;isbn&gt;1448-6059&lt;/isbn&gt;&lt;urls&gt;&lt;/urls&gt;&lt;/record&gt;&lt;/Cite&gt;&lt;/EndNote&gt;</w:instrText>
      </w:r>
      <w:r w:rsidR="00C77C3C">
        <w:rPr>
          <w:rFonts w:ascii="Calibri" w:eastAsia="Calibri" w:hAnsi="Calibri" w:cs="Times New Roman"/>
          <w:lang w:eastAsia="en-US"/>
        </w:rPr>
        <w:fldChar w:fldCharType="separate"/>
      </w:r>
      <w:r w:rsidR="00C77C3C">
        <w:rPr>
          <w:rFonts w:ascii="Calibri" w:eastAsia="Calibri" w:hAnsi="Calibri" w:cs="Times New Roman"/>
          <w:noProof/>
          <w:lang w:eastAsia="en-US"/>
        </w:rPr>
        <w:t>(</w:t>
      </w:r>
      <w:hyperlink w:anchor="_ENREF_12" w:tooltip="Brodie, 2009 #1142" w:history="1">
        <w:r w:rsidR="00D23C68">
          <w:rPr>
            <w:rFonts w:ascii="Calibri" w:eastAsia="Calibri" w:hAnsi="Calibri" w:cs="Times New Roman"/>
            <w:noProof/>
            <w:lang w:eastAsia="en-US"/>
          </w:rPr>
          <w:t>Brodie et al., 2009</w:t>
        </w:r>
      </w:hyperlink>
      <w:r w:rsidR="00C77C3C">
        <w:rPr>
          <w:rFonts w:ascii="Calibri" w:eastAsia="Calibri" w:hAnsi="Calibri" w:cs="Times New Roman"/>
          <w:noProof/>
          <w:lang w:eastAsia="en-US"/>
        </w:rPr>
        <w:t>)</w:t>
      </w:r>
      <w:r w:rsidR="00C77C3C">
        <w:rPr>
          <w:rFonts w:ascii="Calibri" w:eastAsia="Calibri" w:hAnsi="Calibri" w:cs="Times New Roman"/>
          <w:lang w:eastAsia="en-US"/>
        </w:rPr>
        <w:fldChar w:fldCharType="end"/>
      </w:r>
      <w:r w:rsidR="00C77C3C">
        <w:rPr>
          <w:rFonts w:ascii="Calibri" w:eastAsia="Calibri" w:hAnsi="Calibri" w:cs="Times New Roman"/>
          <w:lang w:eastAsia="en-US"/>
        </w:rPr>
        <w:t>.</w:t>
      </w:r>
    </w:p>
    <w:p w14:paraId="0C3F7DF0" w14:textId="77777777" w:rsidR="00EE42C6" w:rsidRPr="00EE42C6" w:rsidRDefault="00EE42C6" w:rsidP="00EE42C6">
      <w:pPr>
        <w:rPr>
          <w:rFonts w:ascii="Calibri" w:eastAsia="Calibri" w:hAnsi="Calibri" w:cs="Times New Roman"/>
          <w:lang w:eastAsia="en-US"/>
        </w:rPr>
      </w:pPr>
      <w:r w:rsidRPr="00DF1C49">
        <w:rPr>
          <w:rFonts w:eastAsia="Calibri"/>
          <w:noProof/>
        </w:rPr>
        <w:drawing>
          <wp:inline distT="0" distB="0" distL="0" distR="0" wp14:anchorId="0C3F8FB5" wp14:editId="0C3F8FB6">
            <wp:extent cx="3816000" cy="3921417"/>
            <wp:effectExtent l="0" t="0" r="0" b="3175"/>
            <wp:docPr id="75" name="Picture 75" descr="The Great Barrier Reef Marine Park (light grey, Queensland, Australia), major marine ecosystems (coral reefs and seagrass beds), Natural Resource Management regions (red colour scale) and marine portions (delineated by dark grey liens) of the NRM regions and major rivers: Normanby (N), Barron (Ba), Johnstone (J), Tully (T), Herbert (H), Burdekin (Bu), Pioneer (P), Fitzroy (F), modified from Petus et al., in review." title="The Great Barrier Reef Marine Park majoe marine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a:stretch/>
                  </pic:blipFill>
                  <pic:spPr bwMode="auto">
                    <a:xfrm>
                      <a:off x="0" y="0"/>
                      <a:ext cx="3816000" cy="3921417"/>
                    </a:xfrm>
                    <a:prstGeom prst="rect">
                      <a:avLst/>
                    </a:prstGeom>
                    <a:solidFill>
                      <a:sysClr val="window" lastClr="FFFFFF"/>
                    </a:solidFill>
                    <a:ln>
                      <a:noFill/>
                    </a:ln>
                    <a:extLst>
                      <a:ext uri="{53640926-AAD7-44D8-BBD7-CCE9431645EC}">
                        <a14:shadowObscured xmlns:a14="http://schemas.microsoft.com/office/drawing/2010/main"/>
                      </a:ext>
                    </a:extLst>
                  </pic:spPr>
                </pic:pic>
              </a:graphicData>
            </a:graphic>
          </wp:inline>
        </w:drawing>
      </w:r>
    </w:p>
    <w:p w14:paraId="0C3F7DF1" w14:textId="77777777" w:rsidR="00EE42C6" w:rsidRPr="00EE42C6" w:rsidRDefault="00C77C3C" w:rsidP="00C77C3C">
      <w:pPr>
        <w:pStyle w:val="Caption"/>
        <w:rPr>
          <w:rFonts w:eastAsia="Calibri"/>
        </w:rPr>
      </w:pPr>
      <w:bookmarkStart w:id="36" w:name="_Ref428869690"/>
      <w:bookmarkStart w:id="37" w:name="_Toc427833267"/>
      <w:bookmarkStart w:id="38" w:name="_Toc434208021"/>
      <w:r>
        <w:t xml:space="preserve">Figure </w:t>
      </w:r>
      <w:r w:rsidR="00D243CD">
        <w:fldChar w:fldCharType="begin"/>
      </w:r>
      <w:r w:rsidR="00D243CD">
        <w:instrText xml:space="preserve"> STYLEREF 1 \s </w:instrText>
      </w:r>
      <w:r w:rsidR="00D243CD">
        <w:fldChar w:fldCharType="separate"/>
      </w:r>
      <w:r w:rsidR="00B62B50">
        <w:rPr>
          <w:noProof/>
        </w:rPr>
        <w:t>2</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1</w:t>
      </w:r>
      <w:r w:rsidR="00D243CD">
        <w:fldChar w:fldCharType="end"/>
      </w:r>
      <w:bookmarkEnd w:id="36"/>
      <w:r>
        <w:t xml:space="preserve">: </w:t>
      </w:r>
      <w:r w:rsidR="00EE42C6" w:rsidRPr="00EE42C6">
        <w:rPr>
          <w:rFonts w:eastAsia="Calibri"/>
        </w:rPr>
        <w:t xml:space="preserve">The Great Barrier Reef Marine Park (light grey, Queensland, Australia), major marine ecosystems (coral reefs and seagrass beds), Natural Resource Management regions (red colour scale) and marine portions (delineated by dark grey liens) of the NRM regions and major rivers: Normanby (N), Barron (Ba), Johnstone (J), Tully (T), Herbert (H), Burdekin (Bu), Pioneer (P), Fitzroy (F), modified from Petus et al., in </w:t>
      </w:r>
      <w:r w:rsidR="00E47248">
        <w:rPr>
          <w:rFonts w:eastAsia="Calibri"/>
        </w:rPr>
        <w:t>review</w:t>
      </w:r>
      <w:r w:rsidR="00EE42C6" w:rsidRPr="00EE42C6">
        <w:rPr>
          <w:rFonts w:eastAsia="Calibri"/>
        </w:rPr>
        <w:t>.</w:t>
      </w:r>
      <w:bookmarkEnd w:id="37"/>
      <w:bookmarkEnd w:id="38"/>
    </w:p>
    <w:p w14:paraId="0C3F7DF2" w14:textId="77777777"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t>The GBR catchment has been divided into six large areas defined as Natural Resource Management (NRM) regions (</w:t>
      </w:r>
      <w:r w:rsidR="00C77C3C">
        <w:rPr>
          <w:rFonts w:ascii="Calibri" w:eastAsia="Calibri" w:hAnsi="Calibri" w:cs="Times New Roman"/>
          <w:lang w:eastAsia="en-US"/>
        </w:rPr>
        <w:fldChar w:fldCharType="begin"/>
      </w:r>
      <w:r w:rsidR="00C77C3C">
        <w:rPr>
          <w:rFonts w:ascii="Calibri" w:eastAsia="Calibri" w:hAnsi="Calibri" w:cs="Times New Roman"/>
          <w:lang w:eastAsia="en-US"/>
        </w:rPr>
        <w:instrText xml:space="preserve"> REF _Ref428869690 \h </w:instrText>
      </w:r>
      <w:r w:rsidR="00C77C3C">
        <w:rPr>
          <w:rFonts w:ascii="Calibri" w:eastAsia="Calibri" w:hAnsi="Calibri" w:cs="Times New Roman"/>
          <w:lang w:eastAsia="en-US"/>
        </w:rPr>
      </w:r>
      <w:r w:rsidR="00C77C3C">
        <w:rPr>
          <w:rFonts w:ascii="Calibri" w:eastAsia="Calibri" w:hAnsi="Calibri" w:cs="Times New Roman"/>
          <w:lang w:eastAsia="en-US"/>
        </w:rPr>
        <w:fldChar w:fldCharType="separate"/>
      </w:r>
      <w:r w:rsidR="00B62B50">
        <w:t xml:space="preserve">Figure </w:t>
      </w:r>
      <w:r w:rsidR="00B62B50">
        <w:rPr>
          <w:noProof/>
        </w:rPr>
        <w:t>2</w:t>
      </w:r>
      <w:r w:rsidR="00B62B50">
        <w:noBreakHyphen/>
      </w:r>
      <w:r w:rsidR="00B62B50">
        <w:rPr>
          <w:noProof/>
        </w:rPr>
        <w:t>1</w:t>
      </w:r>
      <w:r w:rsidR="00C77C3C">
        <w:rPr>
          <w:rFonts w:ascii="Calibri" w:eastAsia="Calibri" w:hAnsi="Calibri" w:cs="Times New Roman"/>
          <w:lang w:eastAsia="en-US"/>
        </w:rPr>
        <w:fldChar w:fldCharType="end"/>
      </w:r>
      <w:r w:rsidRPr="00EE42C6">
        <w:rPr>
          <w:rFonts w:ascii="Calibri" w:eastAsia="Calibri" w:hAnsi="Calibri" w:cs="Times New Roman"/>
          <w:lang w:eastAsia="en-US"/>
        </w:rPr>
        <w:t xml:space="preserve">), each defined by a set of land use/cover, biophysical and socio-economic characteristics. The Cape York region is largely undeveloped and is considered to have the least impact on GBR ecosystems from existing </w:t>
      </w:r>
      <w:r w:rsidR="00D23397" w:rsidRPr="00EE42C6">
        <w:rPr>
          <w:rFonts w:ascii="Calibri" w:eastAsia="Calibri" w:hAnsi="Calibri" w:cs="Times New Roman"/>
          <w:lang w:eastAsia="en-US"/>
        </w:rPr>
        <w:t>land-based</w:t>
      </w:r>
      <w:r w:rsidRPr="00EE42C6">
        <w:rPr>
          <w:rFonts w:ascii="Calibri" w:eastAsia="Calibri" w:hAnsi="Calibri" w:cs="Times New Roman"/>
          <w:lang w:eastAsia="en-US"/>
        </w:rPr>
        <w:t xml:space="preserve"> activities. In contrast, the Wet Tropics, Burdekin, Mackay-Whitsunday, Fitzroy and the Burnett-Mary regions are characterised by more extensive agricultural land uses including sugarcane, grazing, bananas and other horticulture, cropping, mining and urban development, and contribute to discharge of </w:t>
      </w:r>
      <w:r w:rsidRPr="003979AC">
        <w:t>sediments, nutrients and pesticides</w:t>
      </w:r>
      <w:r w:rsidRPr="00EE42C6" w:rsidDel="004E6242">
        <w:rPr>
          <w:rFonts w:ascii="Calibri" w:eastAsia="Calibri" w:hAnsi="Calibri" w:cs="Times New Roman"/>
          <w:lang w:eastAsia="en-US"/>
        </w:rPr>
        <w:t xml:space="preserve"> </w:t>
      </w:r>
      <w:r w:rsidRPr="00EE42C6">
        <w:rPr>
          <w:rFonts w:ascii="Calibri" w:eastAsia="Calibri" w:hAnsi="Calibri" w:cs="Times New Roman"/>
          <w:lang w:eastAsia="en-US"/>
        </w:rPr>
        <w:t xml:space="preserve">to the GBR during the wet season. </w:t>
      </w:r>
    </w:p>
    <w:p w14:paraId="0C3F7DF3" w14:textId="77777777"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lastRenderedPageBreak/>
        <w:t>Occurrence of coastal waters with elevated concentrations of dissolved inorganic nitrogen (DIN) has been linked to fertilised agriculture (predominantly sugarcane) in the Wet Tropics region, while high TSS concentrations are mainly linked to grazing activities in the Dry Tropics and in particular the Burdekin catchment</w:t>
      </w:r>
      <w:r w:rsidR="00C77C3C">
        <w:rPr>
          <w:rFonts w:ascii="Calibri" w:eastAsia="Calibri" w:hAnsi="Calibri" w:cs="Times New Roman"/>
          <w:lang w:eastAsia="en-US"/>
        </w:rPr>
        <w:t xml:space="preserve"> </w:t>
      </w:r>
      <w:r w:rsidR="00C77C3C">
        <w:rPr>
          <w:rFonts w:ascii="Calibri" w:eastAsia="Calibri" w:hAnsi="Calibri" w:cs="Times New Roman"/>
          <w:lang w:eastAsia="en-US"/>
        </w:rPr>
        <w:fldChar w:fldCharType="begin">
          <w:fldData xml:space="preserve">PEVuZE5vdGU+PENpdGU+PEF1dGhvcj5Ccm9kaWU8L0F1dGhvcj48WWVhcj4yMDE0PC9ZZWFyPjxS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=
</w:fldData>
        </w:fldChar>
      </w:r>
      <w:r w:rsidR="00E635A2">
        <w:rPr>
          <w:rFonts w:ascii="Calibri" w:eastAsia="Calibri" w:hAnsi="Calibri" w:cs="Times New Roman"/>
          <w:lang w:eastAsia="en-US"/>
        </w:rPr>
        <w:instrText xml:space="preserve"> ADDIN EN.CITE </w:instrText>
      </w:r>
      <w:r w:rsidR="00E635A2">
        <w:rPr>
          <w:rFonts w:ascii="Calibri" w:eastAsia="Calibri" w:hAnsi="Calibri" w:cs="Times New Roman"/>
          <w:lang w:eastAsia="en-US"/>
        </w:rPr>
        <w:fldChar w:fldCharType="begin">
          <w:fldData xml:space="preserve">PEVuZE5vdGU+PENpdGU+PEF1dGhvcj5Ccm9kaWU8L0F1dGhvcj48WWVhcj4yMDE0PC9ZZWFyPjxS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=
</w:fldData>
        </w:fldChar>
      </w:r>
      <w:r w:rsidR="00E635A2">
        <w:rPr>
          <w:rFonts w:ascii="Calibri" w:eastAsia="Calibri" w:hAnsi="Calibri" w:cs="Times New Roman"/>
          <w:lang w:eastAsia="en-US"/>
        </w:rPr>
        <w:instrText xml:space="preserve"> ADDIN EN.CITE.DATA </w:instrText>
      </w:r>
      <w:r w:rsidR="00E635A2">
        <w:rPr>
          <w:rFonts w:ascii="Calibri" w:eastAsia="Calibri" w:hAnsi="Calibri" w:cs="Times New Roman"/>
          <w:lang w:eastAsia="en-US"/>
        </w:rPr>
      </w:r>
      <w:r w:rsidR="00E635A2">
        <w:rPr>
          <w:rFonts w:ascii="Calibri" w:eastAsia="Calibri" w:hAnsi="Calibri" w:cs="Times New Roman"/>
          <w:lang w:eastAsia="en-US"/>
        </w:rPr>
        <w:fldChar w:fldCharType="end"/>
      </w:r>
      <w:r w:rsidR="00C77C3C">
        <w:rPr>
          <w:rFonts w:ascii="Calibri" w:eastAsia="Calibri" w:hAnsi="Calibri" w:cs="Times New Roman"/>
          <w:lang w:eastAsia="en-US"/>
        </w:rPr>
      </w:r>
      <w:r w:rsidR="00C77C3C">
        <w:rPr>
          <w:rFonts w:ascii="Calibri" w:eastAsia="Calibri" w:hAnsi="Calibri" w:cs="Times New Roman"/>
          <w:lang w:eastAsia="en-US"/>
        </w:rPr>
        <w:fldChar w:fldCharType="separate"/>
      </w:r>
      <w:r w:rsidR="00E635A2">
        <w:rPr>
          <w:rFonts w:ascii="Calibri" w:eastAsia="Calibri" w:hAnsi="Calibri" w:cs="Times New Roman"/>
          <w:noProof/>
          <w:lang w:eastAsia="en-US"/>
        </w:rPr>
        <w:t>(</w:t>
      </w:r>
      <w:hyperlink w:anchor="_ENREF_9" w:tooltip="Brodie, 2008 #1147" w:history="1">
        <w:r w:rsidR="00D23C68">
          <w:rPr>
            <w:rFonts w:ascii="Calibri" w:eastAsia="Calibri" w:hAnsi="Calibri" w:cs="Times New Roman"/>
            <w:noProof/>
            <w:lang w:eastAsia="en-US"/>
          </w:rPr>
          <w:t>Brodie et al., 2008</w:t>
        </w:r>
      </w:hyperlink>
      <w:r w:rsidR="00E635A2">
        <w:rPr>
          <w:rFonts w:ascii="Calibri" w:eastAsia="Calibri" w:hAnsi="Calibri" w:cs="Times New Roman"/>
          <w:noProof/>
          <w:lang w:eastAsia="en-US"/>
        </w:rPr>
        <w:t xml:space="preserve">; </w:t>
      </w:r>
      <w:hyperlink w:anchor="_ENREF_10" w:tooltip="Brodie, 2014 #1045" w:history="1">
        <w:r w:rsidR="00D23C68">
          <w:rPr>
            <w:rFonts w:ascii="Calibri" w:eastAsia="Calibri" w:hAnsi="Calibri" w:cs="Times New Roman"/>
            <w:noProof/>
            <w:lang w:eastAsia="en-US"/>
          </w:rPr>
          <w:t>Brodie et al., 2014</w:t>
        </w:r>
      </w:hyperlink>
      <w:r w:rsidR="00E635A2">
        <w:rPr>
          <w:rFonts w:ascii="Calibri" w:eastAsia="Calibri" w:hAnsi="Calibri" w:cs="Times New Roman"/>
          <w:noProof/>
          <w:lang w:eastAsia="en-US"/>
        </w:rPr>
        <w:t xml:space="preserve">; </w:t>
      </w:r>
      <w:hyperlink w:anchor="_ENREF_11" w:tooltip="Brodie, 2012 #1148" w:history="1">
        <w:r w:rsidR="00D23C68">
          <w:rPr>
            <w:rFonts w:ascii="Calibri" w:eastAsia="Calibri" w:hAnsi="Calibri" w:cs="Times New Roman"/>
            <w:noProof/>
            <w:lang w:eastAsia="en-US"/>
          </w:rPr>
          <w:t>Brodie et al., 2012</w:t>
        </w:r>
      </w:hyperlink>
      <w:r w:rsidR="00E635A2">
        <w:rPr>
          <w:rFonts w:ascii="Calibri" w:eastAsia="Calibri" w:hAnsi="Calibri" w:cs="Times New Roman"/>
          <w:noProof/>
          <w:lang w:eastAsia="en-US"/>
        </w:rPr>
        <w:t xml:space="preserve">; </w:t>
      </w:r>
      <w:hyperlink w:anchor="_ENREF_13" w:tooltip="Brodie, 2012 #1150" w:history="1">
        <w:r w:rsidR="00D23C68">
          <w:rPr>
            <w:rFonts w:ascii="Calibri" w:eastAsia="Calibri" w:hAnsi="Calibri" w:cs="Times New Roman"/>
            <w:noProof/>
            <w:lang w:eastAsia="en-US"/>
          </w:rPr>
          <w:t>Brodie and Waterhouse, 2012</w:t>
        </w:r>
      </w:hyperlink>
      <w:r w:rsidR="00E635A2">
        <w:rPr>
          <w:rFonts w:ascii="Calibri" w:eastAsia="Calibri" w:hAnsi="Calibri" w:cs="Times New Roman"/>
          <w:noProof/>
          <w:lang w:eastAsia="en-US"/>
        </w:rPr>
        <w:t xml:space="preserve">; </w:t>
      </w:r>
      <w:hyperlink w:anchor="_ENREF_23" w:tooltip="Joo, 2012 #1144" w:history="1">
        <w:r w:rsidR="00D23C68">
          <w:rPr>
            <w:rFonts w:ascii="Calibri" w:eastAsia="Calibri" w:hAnsi="Calibri" w:cs="Times New Roman"/>
            <w:noProof/>
            <w:lang w:eastAsia="en-US"/>
          </w:rPr>
          <w:t>Joo et al., 2012</w:t>
        </w:r>
      </w:hyperlink>
      <w:r w:rsidR="00E635A2">
        <w:rPr>
          <w:rFonts w:ascii="Calibri" w:eastAsia="Calibri" w:hAnsi="Calibri" w:cs="Times New Roman"/>
          <w:noProof/>
          <w:lang w:eastAsia="en-US"/>
        </w:rPr>
        <w:t xml:space="preserve">; </w:t>
      </w:r>
      <w:hyperlink w:anchor="_ENREF_25" w:tooltip="Kroon, 2012 #625" w:history="1">
        <w:r w:rsidR="00D23C68">
          <w:rPr>
            <w:rFonts w:ascii="Calibri" w:eastAsia="Calibri" w:hAnsi="Calibri" w:cs="Times New Roman"/>
            <w:noProof/>
            <w:lang w:eastAsia="en-US"/>
          </w:rPr>
          <w:t>Kroon, 2012</w:t>
        </w:r>
      </w:hyperlink>
      <w:r w:rsidR="00E635A2">
        <w:rPr>
          <w:rFonts w:ascii="Calibri" w:eastAsia="Calibri" w:hAnsi="Calibri" w:cs="Times New Roman"/>
          <w:noProof/>
          <w:lang w:eastAsia="en-US"/>
        </w:rPr>
        <w:t xml:space="preserve">; </w:t>
      </w:r>
      <w:hyperlink w:anchor="_ENREF_27" w:tooltip="Maughan, 2009 #1151" w:history="1">
        <w:r w:rsidR="00D23C68">
          <w:rPr>
            <w:rFonts w:ascii="Calibri" w:eastAsia="Calibri" w:hAnsi="Calibri" w:cs="Times New Roman"/>
            <w:noProof/>
            <w:lang w:eastAsia="en-US"/>
          </w:rPr>
          <w:t>Maughan and Brodie, 2009</w:t>
        </w:r>
      </w:hyperlink>
      <w:r w:rsidR="00E635A2">
        <w:rPr>
          <w:rFonts w:ascii="Calibri" w:eastAsia="Calibri" w:hAnsi="Calibri" w:cs="Times New Roman"/>
          <w:noProof/>
          <w:lang w:eastAsia="en-US"/>
        </w:rPr>
        <w:t xml:space="preserve">; </w:t>
      </w:r>
      <w:hyperlink w:anchor="_ENREF_34" w:tooltip="Waterhouse, 2012 #1143" w:history="1">
        <w:r w:rsidR="00D23C68">
          <w:rPr>
            <w:rFonts w:ascii="Calibri" w:eastAsia="Calibri" w:hAnsi="Calibri" w:cs="Times New Roman"/>
            <w:noProof/>
            <w:lang w:eastAsia="en-US"/>
          </w:rPr>
          <w:t>Waterhouse et al., 2012</w:t>
        </w:r>
      </w:hyperlink>
      <w:r w:rsidR="00E635A2">
        <w:rPr>
          <w:rFonts w:ascii="Calibri" w:eastAsia="Calibri" w:hAnsi="Calibri" w:cs="Times New Roman"/>
          <w:noProof/>
          <w:lang w:eastAsia="en-US"/>
        </w:rPr>
        <w:t>)</w:t>
      </w:r>
      <w:r w:rsidR="00C77C3C">
        <w:rPr>
          <w:rFonts w:ascii="Calibri" w:eastAsia="Calibri" w:hAnsi="Calibri" w:cs="Times New Roman"/>
          <w:lang w:eastAsia="en-US"/>
        </w:rPr>
        <w:fldChar w:fldCharType="end"/>
      </w:r>
      <w:r w:rsidR="00C77C3C">
        <w:rPr>
          <w:rFonts w:ascii="Calibri" w:eastAsia="Calibri" w:hAnsi="Calibri" w:cs="Times New Roman"/>
          <w:lang w:eastAsia="en-US"/>
        </w:rPr>
        <w:t>.</w:t>
      </w:r>
      <w:r w:rsidRPr="00EE42C6">
        <w:rPr>
          <w:rFonts w:ascii="Calibri" w:eastAsia="Calibri" w:hAnsi="Calibri" w:cs="Times New Roman"/>
          <w:lang w:eastAsia="en-US"/>
        </w:rPr>
        <w:t xml:space="preserve"> </w:t>
      </w:r>
    </w:p>
    <w:p w14:paraId="0C3F7DF4" w14:textId="77777777" w:rsidR="008D3A01" w:rsidRPr="003148EE" w:rsidRDefault="00C77C3C" w:rsidP="00A76577">
      <w:pPr>
        <w:pStyle w:val="Heading2"/>
        <w:keepNext/>
        <w:numPr>
          <w:ilvl w:val="1"/>
          <w:numId w:val="3"/>
        </w:numPr>
        <w:spacing w:line="80" w:lineRule="atLeast"/>
      </w:pPr>
      <w:bookmarkStart w:id="39" w:name="_Toc434207984"/>
      <w:bookmarkEnd w:id="34"/>
      <w:bookmarkEnd w:id="35"/>
      <w:r>
        <w:t>Sampling design</w:t>
      </w:r>
      <w:bookmarkEnd w:id="39"/>
    </w:p>
    <w:p w14:paraId="0C3F7DF5" w14:textId="77777777" w:rsidR="00C77C3C" w:rsidRPr="00C77C3C" w:rsidRDefault="00C77C3C" w:rsidP="00C77C3C">
      <w:pPr>
        <w:rPr>
          <w:rFonts w:eastAsia="Calibri"/>
          <w:lang w:eastAsia="en-US"/>
        </w:rPr>
      </w:pPr>
      <w:r w:rsidRPr="00C77C3C">
        <w:rPr>
          <w:rFonts w:eastAsia="Calibri"/>
          <w:lang w:eastAsia="en-US"/>
        </w:rPr>
        <w:t xml:space="preserve">The three main facets of the marine flood plume monitoring program </w:t>
      </w:r>
      <w:r>
        <w:rPr>
          <w:rFonts w:eastAsia="Calibri"/>
          <w:lang w:eastAsia="en-US"/>
        </w:rPr>
        <w:t>are in</w:t>
      </w:r>
      <w:r w:rsidRPr="00C77C3C">
        <w:rPr>
          <w:rFonts w:eastAsia="Calibri"/>
          <w:i/>
          <w:lang w:eastAsia="en-US"/>
        </w:rPr>
        <w:t>-situ</w:t>
      </w:r>
      <w:r>
        <w:rPr>
          <w:rFonts w:eastAsia="Calibri"/>
          <w:lang w:eastAsia="en-US"/>
        </w:rPr>
        <w:t xml:space="preserve"> data, collected in </w:t>
      </w:r>
      <w:r w:rsidRPr="00C77C3C">
        <w:rPr>
          <w:rFonts w:eastAsia="Calibri"/>
        </w:rPr>
        <w:t>the field through the wet season, remote</w:t>
      </w:r>
      <w:r w:rsidR="00E47248">
        <w:rPr>
          <w:rFonts w:eastAsia="Calibri"/>
        </w:rPr>
        <w:t>ly</w:t>
      </w:r>
      <w:r w:rsidRPr="00C77C3C">
        <w:rPr>
          <w:rFonts w:eastAsia="Calibri"/>
        </w:rPr>
        <w:t xml:space="preserve"> sensed data, and integration of </w:t>
      </w:r>
      <w:r w:rsidR="00E47248">
        <w:rPr>
          <w:rFonts w:eastAsia="Calibri"/>
        </w:rPr>
        <w:t xml:space="preserve">both </w:t>
      </w:r>
      <w:r w:rsidRPr="00C77C3C">
        <w:rPr>
          <w:rFonts w:eastAsia="Calibri"/>
        </w:rPr>
        <w:t xml:space="preserve">in-situ and remote sensed data.  Data from the flood monitoring feeds into the validation of existing models and the development of regionally based remote sensing algorithms </w:t>
      </w:r>
      <w:r w:rsidRPr="00C77C3C">
        <w:rPr>
          <w:rFonts w:eastAsia="Calibri"/>
        </w:rPr>
        <w:fldChar w:fldCharType="begin">
          <w:fldData xml:space="preserve">PEVuZE5vdGU+PENpdGU+PEF1dGhvcj5CcmFuZG88L0F1dGhvcj48WWVhcj4yMDA4PC9ZZWFyPjxS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</w:fldData>
        </w:fldChar>
      </w:r>
      <w:r w:rsidR="00D23C68">
        <w:rPr>
          <w:rFonts w:eastAsia="Calibri"/>
        </w:rPr>
        <w:instrText xml:space="preserve"> ADDIN EN.CITE </w:instrText>
      </w:r>
      <w:r w:rsidR="00D23C68">
        <w:rPr>
          <w:rFonts w:eastAsia="Calibri"/>
        </w:rPr>
        <w:fldChar w:fldCharType="begin">
          <w:fldData xml:space="preserve">PEVuZE5vdGU+PENpdGU+PEF1dGhvcj5CcmFuZG88L0F1dGhvcj48WWVhcj4yMDA4PC9ZZWFyPjxS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</w:fldData>
        </w:fldChar>
      </w:r>
      <w:r w:rsidR="00D23C68">
        <w:rPr>
          <w:rFonts w:eastAsia="Calibri"/>
        </w:rPr>
        <w:instrText xml:space="preserve"> ADDIN EN.CITE.DATA </w:instrText>
      </w:r>
      <w:r w:rsidR="00D23C68">
        <w:rPr>
          <w:rFonts w:eastAsia="Calibri"/>
        </w:rPr>
      </w:r>
      <w:r w:rsidR="00D23C68">
        <w:rPr>
          <w:rFonts w:eastAsia="Calibri"/>
        </w:rPr>
        <w:fldChar w:fldCharType="end"/>
      </w:r>
      <w:r w:rsidRPr="00C77C3C">
        <w:rPr>
          <w:rFonts w:eastAsia="Calibri"/>
        </w:rPr>
      </w:r>
      <w:r w:rsidRPr="00C77C3C">
        <w:rPr>
          <w:rFonts w:eastAsia="Calibri"/>
        </w:rPr>
        <w:fldChar w:fldCharType="separate"/>
      </w:r>
      <w:r w:rsidRPr="00C77C3C">
        <w:rPr>
          <w:rFonts w:eastAsia="Calibri"/>
          <w:noProof/>
        </w:rPr>
        <w:t>(</w:t>
      </w:r>
      <w:hyperlink w:anchor="_ENREF_5" w:tooltip="Brando, 2008 #1027" w:history="1">
        <w:r w:rsidR="00D23C68" w:rsidRPr="00C77C3C">
          <w:rPr>
            <w:rFonts w:eastAsia="Calibri"/>
            <w:noProof/>
          </w:rPr>
          <w:t>Brando et al., 2008</w:t>
        </w:r>
      </w:hyperlink>
      <w:r w:rsidRPr="00C77C3C">
        <w:rPr>
          <w:rFonts w:eastAsia="Calibri"/>
          <w:noProof/>
        </w:rPr>
        <w:t xml:space="preserve">; </w:t>
      </w:r>
      <w:hyperlink w:anchor="_ENREF_7" w:tooltip="Brando, 2010 #1028" w:history="1">
        <w:r w:rsidR="00D23C68" w:rsidRPr="00C77C3C">
          <w:rPr>
            <w:rFonts w:eastAsia="Calibri"/>
            <w:noProof/>
          </w:rPr>
          <w:t>Brando et al., 2010b</w:t>
        </w:r>
      </w:hyperlink>
      <w:r w:rsidRPr="00C77C3C">
        <w:rPr>
          <w:rFonts w:eastAsia="Calibri"/>
          <w:noProof/>
        </w:rPr>
        <w:t xml:space="preserve">; </w:t>
      </w:r>
      <w:hyperlink w:anchor="_ENREF_8" w:tooltip="Brando, 2009 #1019" w:history="1">
        <w:r w:rsidR="00D23C68" w:rsidRPr="00C77C3C">
          <w:rPr>
            <w:rFonts w:eastAsia="Calibri"/>
            <w:noProof/>
          </w:rPr>
          <w:t>Brando et al., 2009</w:t>
        </w:r>
      </w:hyperlink>
      <w:r w:rsidRPr="00C77C3C">
        <w:rPr>
          <w:rFonts w:eastAsia="Calibri"/>
          <w:noProof/>
        </w:rPr>
        <w:t>)</w:t>
      </w:r>
      <w:r w:rsidRPr="00C77C3C">
        <w:rPr>
          <w:rFonts w:eastAsia="Calibri"/>
        </w:rPr>
        <w:fldChar w:fldCharType="end"/>
      </w:r>
      <w:r w:rsidRPr="00C77C3C">
        <w:rPr>
          <w:rFonts w:eastAsia="Calibri"/>
        </w:rPr>
        <w:t>. Water quality collected in flood plume waters is targeted at measuring the conditions during first flush and high flow event situations to identify the duration and extent of altered water quality cond</w:t>
      </w:r>
      <w:r w:rsidR="00482CB4">
        <w:rPr>
          <w:rFonts w:eastAsia="Calibri"/>
        </w:rPr>
        <w:t>itions (</w:t>
      </w:r>
      <w:r w:rsidR="00482CB4">
        <w:rPr>
          <w:rFonts w:eastAsia="Calibri"/>
        </w:rPr>
        <w:fldChar w:fldCharType="begin"/>
      </w:r>
      <w:r w:rsidR="00482CB4">
        <w:rPr>
          <w:rFonts w:eastAsia="Calibri"/>
        </w:rPr>
        <w:instrText xml:space="preserve"> REF _Ref428870495 \h </w:instrText>
      </w:r>
      <w:r w:rsidR="00482CB4">
        <w:rPr>
          <w:rFonts w:eastAsia="Calibri"/>
        </w:rPr>
      </w:r>
      <w:r w:rsidR="00482CB4">
        <w:rPr>
          <w:rFonts w:eastAsia="Calibri"/>
        </w:rPr>
        <w:fldChar w:fldCharType="separate"/>
      </w:r>
      <w:r w:rsidR="00B62B50">
        <w:t xml:space="preserve">Table </w:t>
      </w:r>
      <w:r w:rsidR="00B62B50">
        <w:rPr>
          <w:noProof/>
        </w:rPr>
        <w:t>2</w:t>
      </w:r>
      <w:r w:rsidR="00B62B50">
        <w:noBreakHyphen/>
      </w:r>
      <w:r w:rsidR="00B62B50">
        <w:rPr>
          <w:noProof/>
        </w:rPr>
        <w:t>1</w:t>
      </w:r>
      <w:r w:rsidR="00482CB4">
        <w:rPr>
          <w:rFonts w:eastAsia="Calibri"/>
        </w:rPr>
        <w:fldChar w:fldCharType="end"/>
      </w:r>
      <w:r w:rsidR="00482CB4">
        <w:rPr>
          <w:rFonts w:eastAsia="Calibri"/>
        </w:rPr>
        <w:t xml:space="preserve">). </w:t>
      </w:r>
      <w:r w:rsidRPr="00C77C3C">
        <w:rPr>
          <w:rFonts w:eastAsia="Calibri"/>
        </w:rPr>
        <w:t>Data collected</w:t>
      </w:r>
      <w:r w:rsidRPr="00C77C3C">
        <w:rPr>
          <w:rFonts w:eastAsia="Calibri"/>
          <w:lang w:eastAsia="en-US"/>
        </w:rPr>
        <w:t xml:space="preserve"> under the MMP </w:t>
      </w:r>
      <w:r w:rsidR="00482CB4">
        <w:rPr>
          <w:rFonts w:eastAsia="Calibri"/>
          <w:lang w:eastAsia="en-US"/>
        </w:rPr>
        <w:t>is also being tested for the improvement of the P2R water quality metric and</w:t>
      </w:r>
      <w:r w:rsidRPr="00C77C3C">
        <w:rPr>
          <w:rFonts w:eastAsia="Calibri"/>
          <w:lang w:eastAsia="en-US"/>
        </w:rPr>
        <w:t xml:space="preserve"> ongoing P2R program reporting. </w:t>
      </w:r>
    </w:p>
    <w:p w14:paraId="0C3F7DF6" w14:textId="77777777" w:rsidR="00C77C3C" w:rsidRDefault="00482CB4" w:rsidP="00482CB4">
      <w:pPr>
        <w:pStyle w:val="Caption"/>
      </w:pPr>
      <w:bookmarkStart w:id="40" w:name="_Ref428870495"/>
      <w:bookmarkStart w:id="41" w:name="_Ref428870472"/>
      <w:bookmarkStart w:id="42" w:name="_Toc434208065"/>
      <w:r>
        <w:t xml:space="preserve">Table </w:t>
      </w:r>
      <w:r w:rsidR="00AE4287">
        <w:fldChar w:fldCharType="begin"/>
      </w:r>
      <w:r w:rsidR="00AE4287">
        <w:instrText xml:space="preserve"> STYLEREF 1 \s </w:instrText>
      </w:r>
      <w:r w:rsidR="00AE4287">
        <w:fldChar w:fldCharType="separate"/>
      </w:r>
      <w:r w:rsidR="00B62B50">
        <w:rPr>
          <w:noProof/>
        </w:rPr>
        <w:t>2</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1</w:t>
      </w:r>
      <w:r w:rsidR="00AE4287">
        <w:fldChar w:fldCharType="end"/>
      </w:r>
      <w:bookmarkEnd w:id="40"/>
      <w:r>
        <w:t xml:space="preserve">: </w:t>
      </w:r>
      <w:r w:rsidR="00C77C3C">
        <w:t>Description of outputs related to the aims of the MMP wet season monitoring program.</w:t>
      </w:r>
      <w:bookmarkEnd w:id="41"/>
      <w:bookmarkEnd w:id="4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Description of outputs related to the aims of the MMP wet season monitoring program."/>
        <w:tblDescription w:val="Description of outputs related to the aims of the MMP wet season monitoring program."/>
      </w:tblPr>
      <w:tblGrid>
        <w:gridCol w:w="2718"/>
        <w:gridCol w:w="6390"/>
      </w:tblGrid>
      <w:tr w:rsidR="00C77C3C" w:rsidRPr="00482CB4" w14:paraId="0C3F7DF9" w14:textId="77777777" w:rsidTr="00482CB4">
        <w:tc>
          <w:tcPr>
            <w:tcW w:w="2718" w:type="dxa"/>
          </w:tcPr>
          <w:p w14:paraId="0C3F7DF7" w14:textId="77777777" w:rsidR="00C77C3C" w:rsidRPr="00482CB4" w:rsidRDefault="00C77C3C" w:rsidP="00C77C3C">
            <w:pPr>
              <w:rPr>
                <w:rStyle w:val="BookTitle"/>
                <w:b/>
              </w:rPr>
            </w:pPr>
            <w:r w:rsidRPr="00482CB4">
              <w:rPr>
                <w:rStyle w:val="BookTitle"/>
                <w:b/>
              </w:rPr>
              <w:t>Aim</w:t>
            </w:r>
          </w:p>
        </w:tc>
        <w:tc>
          <w:tcPr>
            <w:tcW w:w="6390" w:type="dxa"/>
          </w:tcPr>
          <w:p w14:paraId="0C3F7DF8" w14:textId="77777777" w:rsidR="00C77C3C" w:rsidRPr="00482CB4" w:rsidRDefault="00C77C3C" w:rsidP="00C77C3C">
            <w:pPr>
              <w:rPr>
                <w:rStyle w:val="BookTitle"/>
                <w:b/>
              </w:rPr>
            </w:pPr>
            <w:r w:rsidRPr="00482CB4">
              <w:rPr>
                <w:rStyle w:val="BookTitle"/>
                <w:b/>
              </w:rPr>
              <w:t>Description</w:t>
            </w:r>
          </w:p>
        </w:tc>
      </w:tr>
      <w:tr w:rsidR="00C77C3C" w:rsidRPr="00482CB4" w14:paraId="0C3F7DFC" w14:textId="77777777" w:rsidTr="00482CB4">
        <w:tc>
          <w:tcPr>
            <w:tcW w:w="2718" w:type="dxa"/>
          </w:tcPr>
          <w:p w14:paraId="0C3F7DFA" w14:textId="77777777" w:rsidR="00C77C3C" w:rsidRPr="00482CB4" w:rsidRDefault="00C77C3C" w:rsidP="00C77C3C">
            <w:pPr>
              <w:rPr>
                <w:rStyle w:val="BookTitle"/>
              </w:rPr>
            </w:pPr>
            <w:r w:rsidRPr="00482CB4">
              <w:rPr>
                <w:rStyle w:val="BookTitle"/>
              </w:rPr>
              <w:t>Assessment of the transport and processing of nutrients, suspended sediment and pesticides</w:t>
            </w:r>
          </w:p>
        </w:tc>
        <w:tc>
          <w:tcPr>
            <w:tcW w:w="6390" w:type="dxa"/>
          </w:tcPr>
          <w:p w14:paraId="0C3F7DFB" w14:textId="77777777" w:rsidR="00C77C3C" w:rsidRPr="00482CB4" w:rsidRDefault="00C77C3C" w:rsidP="00C77C3C">
            <w:pPr>
              <w:rPr>
                <w:rStyle w:val="BookTitle"/>
              </w:rPr>
            </w:pPr>
            <w:r w:rsidRPr="00482CB4">
              <w:rPr>
                <w:rStyle w:val="BookTitle"/>
              </w:rPr>
              <w:t>Delivered through water quality monitoring in flood plumes. Measurement of water quality parameters presented against salinity gradients for each catchment and each event to describe the movement and transport of water quality parameters.</w:t>
            </w:r>
          </w:p>
        </w:tc>
      </w:tr>
      <w:tr w:rsidR="00C77C3C" w:rsidRPr="00482CB4" w14:paraId="0C3F7DFF" w14:textId="77777777" w:rsidTr="00482CB4">
        <w:tc>
          <w:tcPr>
            <w:tcW w:w="2718" w:type="dxa"/>
          </w:tcPr>
          <w:p w14:paraId="0C3F7DFD" w14:textId="77777777" w:rsidR="00C77C3C" w:rsidRPr="00482CB4" w:rsidRDefault="00C77C3C" w:rsidP="00C77C3C">
            <w:pPr>
              <w:rPr>
                <w:rStyle w:val="BookTitle"/>
              </w:rPr>
            </w:pPr>
            <w:r w:rsidRPr="00482CB4">
              <w:rPr>
                <w:rStyle w:val="BookTitle"/>
              </w:rPr>
              <w:t>Estimation of the extent and exposure of flood plumes to reefs and seagrass beds related to prevailing weather and catchment conditions</w:t>
            </w:r>
          </w:p>
        </w:tc>
        <w:tc>
          <w:tcPr>
            <w:tcW w:w="6390" w:type="dxa"/>
          </w:tcPr>
          <w:p w14:paraId="0C3F7DFE" w14:textId="77777777" w:rsidR="00C77C3C" w:rsidRPr="00482CB4" w:rsidRDefault="00C77C3C" w:rsidP="00C77C3C">
            <w:pPr>
              <w:rPr>
                <w:rStyle w:val="BookTitle"/>
              </w:rPr>
            </w:pPr>
            <w:r w:rsidRPr="00482CB4">
              <w:rPr>
                <w:rStyle w:val="BookTitle"/>
              </w:rPr>
              <w:t>Delivered through spatial mapping of plume extent and frequency. Information acquired from remote sensing products including true colour processing of plume waters and the application of water quality algorithms (</w:t>
            </w:r>
            <w:r w:rsidR="00D23397">
              <w:rPr>
                <w:rStyle w:val="BookTitle"/>
              </w:rPr>
              <w:t>chlorophyll</w:t>
            </w:r>
            <w:r w:rsidRPr="00482CB4">
              <w:rPr>
                <w:rStyle w:val="BookTitle"/>
              </w:rPr>
              <w:t>-a, CDOM and TSS). Catchment runoff events involve space scales ranging from hundreds of metres to kilometres and time scales from hours to weeks, thus the use of remote sensing products at appropriate time and space scales is useful as a key indicators of cause and effect.</w:t>
            </w:r>
          </w:p>
        </w:tc>
      </w:tr>
      <w:tr w:rsidR="00C77C3C" w:rsidRPr="00482CB4" w14:paraId="0C3F7E03" w14:textId="77777777" w:rsidTr="00482CB4">
        <w:tc>
          <w:tcPr>
            <w:tcW w:w="2718" w:type="dxa"/>
          </w:tcPr>
          <w:p w14:paraId="0C3F7E00" w14:textId="77777777" w:rsidR="00C77C3C" w:rsidRPr="00D23397" w:rsidRDefault="00C77C3C" w:rsidP="00C77C3C">
            <w:pPr>
              <w:rPr>
                <w:rStyle w:val="BookTitle"/>
              </w:rPr>
            </w:pPr>
            <w:r w:rsidRPr="00D23397">
              <w:rPr>
                <w:rStyle w:val="BookTitle"/>
              </w:rPr>
              <w:t>Incorporation and synthesis of monitoring data into GBR wide understanding of anthropogenic water quality conditions, water models, the MMP and Paddock to Reef reporting.</w:t>
            </w:r>
          </w:p>
        </w:tc>
        <w:tc>
          <w:tcPr>
            <w:tcW w:w="6390" w:type="dxa"/>
          </w:tcPr>
          <w:p w14:paraId="0C3F7E01" w14:textId="77777777" w:rsidR="00C77C3C" w:rsidRPr="00D23397" w:rsidRDefault="00C77C3C" w:rsidP="00C77C3C">
            <w:pPr>
              <w:rPr>
                <w:rStyle w:val="BookTitle"/>
              </w:rPr>
            </w:pPr>
            <w:r w:rsidRPr="001850F0">
              <w:rPr>
                <w:rStyle w:val="BookTitle"/>
              </w:rPr>
              <w:t xml:space="preserve">Synthesis and reporting of flood plume water quality data and exposure mapping into the MMP. Further work on the integration and reporting of water quality data collected under this sub-program and the long-term water quality sub-program is currently being investigated by JCU, CSIRO and AIMS researchers through </w:t>
            </w:r>
            <w:r w:rsidR="007E5BBF">
              <w:rPr>
                <w:rStyle w:val="BookTitle"/>
              </w:rPr>
              <w:t>Australian Government Reef programme</w:t>
            </w:r>
            <w:r w:rsidRPr="001850F0">
              <w:rPr>
                <w:rStyle w:val="BookTitle"/>
              </w:rPr>
              <w:t xml:space="preserve"> R&amp;D funding (see </w:t>
            </w:r>
            <w:hyperlink r:id="rId32" w:tooltip="more information" w:history="1">
              <w:r w:rsidRPr="00D23397">
                <w:rPr>
                  <w:rStyle w:val="BookTitle"/>
                </w:rPr>
                <w:t>http://www.rrrc.org.au/reefrescue/index.html</w:t>
              </w:r>
            </w:hyperlink>
            <w:r w:rsidRPr="00D23397">
              <w:rPr>
                <w:rStyle w:val="BookTitle"/>
              </w:rPr>
              <w:t xml:space="preserve">). </w:t>
            </w:r>
          </w:p>
          <w:p w14:paraId="0C3F7E02" w14:textId="77777777" w:rsidR="00C77C3C" w:rsidRPr="00D23397" w:rsidRDefault="00C77C3C" w:rsidP="00C77C3C">
            <w:pPr>
              <w:rPr>
                <w:rStyle w:val="BookTitle"/>
              </w:rPr>
            </w:pPr>
          </w:p>
        </w:tc>
      </w:tr>
    </w:tbl>
    <w:p w14:paraId="0C3F7E04" w14:textId="77777777" w:rsidR="00482CB4" w:rsidRPr="00C77C3C" w:rsidRDefault="00482CB4" w:rsidP="00482CB4">
      <w:pPr>
        <w:rPr>
          <w:rFonts w:eastAsia="Calibri"/>
          <w:lang w:eastAsia="en-US"/>
        </w:rPr>
      </w:pPr>
      <w:r w:rsidRPr="00C77C3C">
        <w:rPr>
          <w:rFonts w:eastAsia="Calibri"/>
          <w:lang w:eastAsia="en-US"/>
        </w:rPr>
        <w:t xml:space="preserve">The priority catchments targeted for intensive sampling were chosen based on risk as reported in </w:t>
      </w:r>
      <w:r w:rsidRPr="00C77C3C">
        <w:rPr>
          <w:rFonts w:eastAsia="Calibri"/>
          <w:lang w:eastAsia="en-US"/>
        </w:rPr>
        <w:fldChar w:fldCharType="begin"/>
      </w:r>
      <w:r w:rsidR="00E635A2">
        <w:rPr>
          <w:rFonts w:eastAsia="Calibri"/>
          <w:lang w:eastAsia="en-US"/>
        </w:rPr>
        <w:instrText xml:space="preserve"> ADDIN EN.CITE &lt;EndNote&gt;&lt;Cite&gt;&lt;Author&gt;Brodie&lt;/Author&gt;&lt;Year&gt;2014&lt;/Year&gt;&lt;RecNum&gt;1045&lt;/RecNum&gt;&lt;DisplayText&gt;(Brodie et al., 2014)&lt;/DisplayText&gt;&lt;record&gt;&lt;rec-number&gt;1045&lt;/rec-number&gt;&lt;foreign-keys&gt;&lt;key app="EN" db-id="wwzpfssaux292keptesxd5t6srsfvpzsde2p"&gt;1045&lt;/key&gt;&lt;/foreign-keys&gt;&lt;ref-type name="Journal Article"&gt;17&lt;/ref-type&gt;&lt;contributors&gt;&lt;authors&gt;&lt;author&gt;Brodie, J&lt;/author&gt;&lt;author&gt;Burford, M&lt;/author&gt;&lt;author&gt;Davis, A&lt;/author&gt;&lt;author&gt;da Silva, E&lt;/author&gt;&lt;author&gt;Devlin, M&lt;/author&gt;&lt;author&gt;Furnas, M&lt;/author&gt;&lt;author&gt;Kroon, F&lt;/author&gt;&lt;author&gt;Lewis, S&lt;/author&gt;&lt;author&gt;Lønborg, C&lt;/author&gt;&lt;author&gt;O’Brien, D&lt;/author&gt;&lt;author&gt;Schaffelke, B&lt;/author&gt;&lt;/authors&gt;&lt;/contributors&gt;&lt;titles&gt;&lt;title&gt;The relative risks to water quality from particulate nitrogen discharged from rivers to the Great Barrier Reef in comparison to other forms of nitrogen. &lt;/title&gt;&lt;/titles&gt;&lt;pages&gt;81&lt;/pages&gt;&lt;volume&gt;TropWATER Report 14/31. October 2014&lt;/volume&gt;&lt;dates&gt;&lt;year&gt;2014&lt;/year&gt;&lt;/dates&gt;&lt;urls&gt;&lt;/urls&gt;&lt;/record&gt;&lt;/Cite&gt;&lt;/EndNote&gt;</w:instrText>
      </w:r>
      <w:r w:rsidRPr="00C77C3C">
        <w:rPr>
          <w:rFonts w:eastAsia="Calibri"/>
          <w:lang w:eastAsia="en-US"/>
        </w:rPr>
        <w:fldChar w:fldCharType="separate"/>
      </w:r>
      <w:r w:rsidR="00E635A2">
        <w:rPr>
          <w:rFonts w:eastAsia="Calibri"/>
          <w:noProof/>
          <w:lang w:eastAsia="en-US"/>
        </w:rPr>
        <w:t>(</w:t>
      </w:r>
      <w:hyperlink w:anchor="_ENREF_10" w:tooltip="Brodie, 2014 #1045" w:history="1">
        <w:r w:rsidR="00D23C68">
          <w:rPr>
            <w:rFonts w:eastAsia="Calibri"/>
            <w:noProof/>
            <w:lang w:eastAsia="en-US"/>
          </w:rPr>
          <w:t>Brodie et al., 2014</w:t>
        </w:r>
      </w:hyperlink>
      <w:r w:rsidR="00E635A2">
        <w:rPr>
          <w:rFonts w:eastAsia="Calibri"/>
          <w:noProof/>
          <w:lang w:eastAsia="en-US"/>
        </w:rPr>
        <w:t>)</w:t>
      </w:r>
      <w:r w:rsidRPr="00C77C3C">
        <w:rPr>
          <w:rFonts w:eastAsia="Calibri"/>
          <w:lang w:eastAsia="en-US"/>
        </w:rPr>
        <w:fldChar w:fldCharType="end"/>
      </w:r>
      <w:r w:rsidR="00D23397">
        <w:rPr>
          <w:rFonts w:eastAsia="Calibri"/>
          <w:lang w:eastAsia="en-US"/>
        </w:rPr>
        <w:t>.</w:t>
      </w:r>
      <w:r w:rsidRPr="00C77C3C">
        <w:rPr>
          <w:rFonts w:eastAsia="Calibri"/>
          <w:lang w:eastAsia="en-US"/>
        </w:rPr>
        <w:t xml:space="preserve"> The Tully River catchment is also the ideal location to assess the long-term effectiveness of Reef Plan as data can be collected every year as it is the wettest catchment in Australia. Repeated sampling in the Tully also adds value to the long-term data set collected in this region from 1994 to 2012 </w:t>
      </w:r>
      <w:r w:rsidRPr="00C77C3C">
        <w:rPr>
          <w:rFonts w:eastAsia="Calibri"/>
          <w:lang w:eastAsia="en-US"/>
        </w:rPr>
        <w:fldChar w:fldCharType="begin"/>
      </w:r>
      <w:r w:rsidRPr="00C77C3C">
        <w:rPr>
          <w:rFonts w:eastAsia="Calibri"/>
          <w:lang w:eastAsia="en-US"/>
        </w:rPr>
        <w:instrText xml:space="preserve"> ADDIN EN.CITE &lt;EndNote&gt;&lt;Cite&gt;&lt;Author&gt;Devlin&lt;/Author&gt;&lt;Year&gt;2009&lt;/Year&gt;&lt;RecNum&gt;907&lt;/RecNum&gt;&lt;DisplayText&gt;(Devlin and Schaffelke, 2009)&lt;/DisplayText&gt;&lt;record&gt;&lt;rec-number&gt;907&lt;/rec-number&gt;&lt;foreign-keys&gt;&lt;key app="EN" db-id="wwzpfssaux292keptesxd5t6srsfvpzsde2p"&gt;907&lt;/key&gt;&lt;/foreign-keys&gt;&lt;ref-type name="Journal Article"&gt;17&lt;/ref-type&gt;&lt;contributors&gt;&lt;authors&gt;&lt;author&gt;Devlin, Michelle&lt;/author&gt;&lt;author&gt;Schaffelke, Britta&lt;/author&gt;&lt;/authors&gt;&lt;/contributors&gt;&lt;titles&gt;&lt;title&gt;Spatial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number&gt;11&lt;/number&gt;&lt;dates&gt;&lt;year&gt;2009&lt;/year&gt;&lt;/dates&gt;&lt;isbn&gt;1448-6059&lt;/isbn&gt;&lt;urls&gt;&lt;/urls&gt;&lt;/record&gt;&lt;/Cite&gt;&lt;/EndNote&gt;</w:instrText>
      </w:r>
      <w:r w:rsidRPr="00C77C3C">
        <w:rPr>
          <w:rFonts w:eastAsia="Calibri"/>
          <w:lang w:eastAsia="en-US"/>
        </w:rPr>
        <w:fldChar w:fldCharType="separate"/>
      </w:r>
      <w:r w:rsidRPr="00C77C3C">
        <w:rPr>
          <w:rFonts w:eastAsia="Calibri"/>
          <w:lang w:eastAsia="en-US"/>
        </w:rPr>
        <w:t>(</w:t>
      </w:r>
      <w:hyperlink w:anchor="_ENREF_15" w:tooltip="Devlin, 2009 #907" w:history="1">
        <w:r w:rsidR="00D23C68" w:rsidRPr="00C77C3C">
          <w:rPr>
            <w:rFonts w:eastAsia="Calibri"/>
            <w:lang w:eastAsia="en-US"/>
          </w:rPr>
          <w:t>Devlin and Schaffelke, 2009</w:t>
        </w:r>
      </w:hyperlink>
      <w:r w:rsidRPr="00C77C3C">
        <w:rPr>
          <w:rFonts w:eastAsia="Calibri"/>
          <w:lang w:eastAsia="en-US"/>
        </w:rPr>
        <w:t>)</w:t>
      </w:r>
      <w:r w:rsidRPr="00C77C3C">
        <w:rPr>
          <w:rFonts w:eastAsia="Calibri"/>
          <w:lang w:eastAsia="en-US"/>
        </w:rPr>
        <w:fldChar w:fldCharType="end"/>
      </w:r>
      <w:r w:rsidRPr="00C77C3C">
        <w:rPr>
          <w:rFonts w:eastAsia="Calibri"/>
          <w:lang w:eastAsia="en-US"/>
        </w:rPr>
        <w:t xml:space="preserve">. The wet season in 2012-13, as with 2010-11, </w:t>
      </w:r>
      <w:r w:rsidRPr="00C77C3C">
        <w:rPr>
          <w:rFonts w:eastAsia="Calibri"/>
          <w:lang w:eastAsia="en-US"/>
        </w:rPr>
        <w:lastRenderedPageBreak/>
        <w:t xml:space="preserve">started with onset of early flows in the Wet Tropics during October and November, and extended into April 2012. It was characterised by many smaller episodic flows but no large </w:t>
      </w:r>
      <w:r>
        <w:rPr>
          <w:rFonts w:eastAsia="Calibri"/>
          <w:lang w:eastAsia="en-US"/>
        </w:rPr>
        <w:t xml:space="preserve">flow associated with a </w:t>
      </w:r>
      <w:r w:rsidRPr="00C77C3C">
        <w:rPr>
          <w:rFonts w:eastAsia="Calibri"/>
          <w:lang w:eastAsia="en-US"/>
        </w:rPr>
        <w:t>cyclonic period. Heavy and consistent rain also continued in the Wet Tropics region later in the wet season, peaking in late March. Samples were taken from sites from the Cape York re</w:t>
      </w:r>
      <w:r>
        <w:rPr>
          <w:rFonts w:eastAsia="Calibri"/>
          <w:lang w:eastAsia="en-US"/>
        </w:rPr>
        <w:t xml:space="preserve">gion down to the Fitzroy River. </w:t>
      </w:r>
      <w:r w:rsidRPr="00C77C3C">
        <w:rPr>
          <w:rFonts w:eastAsia="Calibri"/>
          <w:lang w:eastAsia="en-US"/>
        </w:rPr>
        <w:t xml:space="preserve">This report summarises the data collected in the 2012-13 wet season and presented as part of a longe term data set collected under the MMP between </w:t>
      </w:r>
      <w:r w:rsidR="00D23397" w:rsidRPr="00C77C3C">
        <w:rPr>
          <w:rFonts w:eastAsia="Calibri"/>
          <w:lang w:eastAsia="en-US"/>
        </w:rPr>
        <w:t>200</w:t>
      </w:r>
      <w:r w:rsidR="00D23397">
        <w:rPr>
          <w:rFonts w:eastAsia="Calibri"/>
          <w:lang w:eastAsia="en-US"/>
        </w:rPr>
        <w:t>4</w:t>
      </w:r>
      <w:r w:rsidR="00D23397" w:rsidRPr="00C77C3C">
        <w:rPr>
          <w:rFonts w:eastAsia="Calibri"/>
          <w:lang w:eastAsia="en-US"/>
        </w:rPr>
        <w:t xml:space="preserve"> </w:t>
      </w:r>
      <w:r w:rsidRPr="00C77C3C">
        <w:rPr>
          <w:rFonts w:eastAsia="Calibri"/>
          <w:lang w:eastAsia="en-US"/>
        </w:rPr>
        <w:t>and 2013.</w:t>
      </w:r>
    </w:p>
    <w:p w14:paraId="0C3F7E05" w14:textId="77777777" w:rsidR="00EB332C" w:rsidRDefault="00EB332C" w:rsidP="00EB332C"/>
    <w:p w14:paraId="0C3F7E06" w14:textId="77777777" w:rsidR="00482CB4" w:rsidRPr="000054D1" w:rsidRDefault="00482CB4" w:rsidP="00EB332C">
      <w:pPr>
        <w:sectPr w:rsidR="00482CB4" w:rsidRPr="000054D1" w:rsidSect="007315EF">
          <w:headerReference w:type="default" r:id="rId33"/>
          <w:footerReference w:type="default" r:id="rId34"/>
          <w:pgSz w:w="11907" w:h="16840" w:code="9"/>
          <w:pgMar w:top="1440" w:right="1440" w:bottom="1440" w:left="1440" w:header="680" w:footer="851" w:gutter="0"/>
          <w:cols w:space="708"/>
          <w:docGrid w:linePitch="326"/>
        </w:sectPr>
      </w:pPr>
    </w:p>
    <w:p w14:paraId="0C3F7E07" w14:textId="77777777" w:rsidR="00EF30CA" w:rsidRPr="00FB5AAA" w:rsidRDefault="00482CB4" w:rsidP="00A76577">
      <w:pPr>
        <w:pStyle w:val="Heading1"/>
        <w:numPr>
          <w:ilvl w:val="0"/>
          <w:numId w:val="3"/>
        </w:numPr>
        <w:spacing w:after="240" w:line="80" w:lineRule="atLeast"/>
        <w:rPr>
          <w:caps w:val="0"/>
        </w:rPr>
      </w:pPr>
      <w:bookmarkStart w:id="43" w:name="_Toc434207985"/>
      <w:r w:rsidRPr="00FB5AAA">
        <w:rPr>
          <w:caps w:val="0"/>
        </w:rPr>
        <w:lastRenderedPageBreak/>
        <w:t>Characteristics of the 2012-2013 wet season.</w:t>
      </w:r>
      <w:bookmarkEnd w:id="43"/>
    </w:p>
    <w:p w14:paraId="0C3F7E08" w14:textId="77777777" w:rsidR="008D3A01" w:rsidRPr="003203E4" w:rsidRDefault="00482CB4" w:rsidP="00A76577">
      <w:pPr>
        <w:pStyle w:val="Heading2"/>
        <w:keepNext/>
        <w:numPr>
          <w:ilvl w:val="1"/>
          <w:numId w:val="3"/>
        </w:numPr>
        <w:spacing w:line="80" w:lineRule="atLeast"/>
      </w:pPr>
      <w:bookmarkStart w:id="44" w:name="_Toc434207986"/>
      <w:r>
        <w:t>Wet Season conditions</w:t>
      </w:r>
      <w:bookmarkEnd w:id="44"/>
    </w:p>
    <w:p w14:paraId="0C3F7E09" w14:textId="77777777" w:rsidR="00482CB4" w:rsidRPr="00482CB4" w:rsidRDefault="00482CB4" w:rsidP="00482CB4">
      <w:bookmarkStart w:id="45" w:name="_Toc416533850"/>
      <w:r w:rsidRPr="00482CB4">
        <w:t>A neutral activity, with respect to the El Niño-Southern Oscillation (ENSO) since mid-2012, promoted below average rainfall levels throughout the 2012-2013 wet season for the GBR region (</w:t>
      </w:r>
      <w:hyperlink r:id="rId35" w:tooltip="more information" w:history="1">
        <w:r w:rsidRPr="00482CB4">
          <w:rPr>
            <w:rStyle w:val="Hyperlink"/>
            <w:rFonts w:cs="Arial"/>
          </w:rPr>
          <w:t>http://www.bom.gov.au/climate/enso</w:t>
        </w:r>
      </w:hyperlink>
      <w:r w:rsidRPr="00482CB4">
        <w:t xml:space="preserve">). In this period, only two cyclones associated with low pressure system were observed in the region: Ex-tropical cyclone Oswald, that crossed Cape York Peninsula on 21 January 2013 and moved </w:t>
      </w:r>
      <w:r w:rsidRPr="00482CB4">
        <w:rPr>
          <w:bCs/>
          <w:i/>
          <w:iCs/>
        </w:rPr>
        <w:t>down</w:t>
      </w:r>
      <w:r w:rsidRPr="00482CB4">
        <w:t xml:space="preserve"> the Queensland coast, bringing strong to gale force winds, heavy rain, damaging waves and floods, and Ex-tropical cyclone Zane, that entered into the Marine Park from the Coral Sea and moved over Cape York Peninsula, affecting areas from Cape Grenville to Cooktown at the beginning of May 2013 (GBRMPA, Environmental Conditions 2012/2013, </w:t>
      </w:r>
      <w:hyperlink r:id="rId36" w:tooltip="more information" w:history="1">
        <w:r w:rsidRPr="00482CB4">
          <w:rPr>
            <w:rStyle w:val="Hyperlink"/>
            <w:rFonts w:cs="Arial"/>
          </w:rPr>
          <w:t>http://www.gbrmpa.gov.au/outlook-for-the-reef/climate-change/marine-park-management/current-conditions-on-the-great-barrier-reef</w:t>
        </w:r>
      </w:hyperlink>
      <w:r w:rsidRPr="00482CB4">
        <w:t>).</w:t>
      </w:r>
    </w:p>
    <w:p w14:paraId="0C3F7E0A" w14:textId="77777777" w:rsidR="00482CB4" w:rsidRDefault="00482CB4" w:rsidP="00482CB4">
      <w:r w:rsidRPr="00482CB4">
        <w:t xml:space="preserve">South-east Queensland and parts of the Central Coast received above average levels (50–400 mm higher than the monthly average) mainly due to the influence of ex-tropical cyclone Oswald, whereas the other areas through GBR experienced low rainfalls in the 2012-2013 wet </w:t>
      </w:r>
      <w:r>
        <w:t>season</w:t>
      </w:r>
      <w:r w:rsidRPr="00482CB4">
        <w:t xml:space="preserve">. Ex-tropical cyclone Oswald caused minor to major floods, and flood plumes, in all major river systems from south of Mackay to the Queensland–New South Wales border (GBRMPA, Environmental Conditions 2012/2013, </w:t>
      </w:r>
      <w:hyperlink r:id="rId37" w:tooltip="more information" w:history="1">
        <w:r w:rsidRPr="00482CB4">
          <w:rPr>
            <w:rStyle w:val="Hyperlink"/>
            <w:rFonts w:cs="Arial"/>
          </w:rPr>
          <w:t>http://www.gbrmpa.gov.au/outlook-for-the-reef/climate-change/marine-park-management/current-conditions-on-the-great-barrier-reef</w:t>
        </w:r>
      </w:hyperlink>
      <w:r w:rsidRPr="00482CB4">
        <w:t>).</w:t>
      </w:r>
    </w:p>
    <w:p w14:paraId="0C3F7E0B" w14:textId="77777777" w:rsidR="00482CB4" w:rsidRPr="00482CB4" w:rsidRDefault="00482CB4" w:rsidP="00482CB4">
      <w:r>
        <w:rPr>
          <w:noProof/>
        </w:rPr>
        <w:drawing>
          <wp:inline distT="0" distB="0" distL="0" distR="0" wp14:anchorId="0C3F8FB7" wp14:editId="0C3F8FB8">
            <wp:extent cx="5757062" cy="2326234"/>
            <wp:effectExtent l="0" t="0" r="0" b="0"/>
            <wp:docPr id="22" name="Picture 22" descr="Long-term total hydrological year discharge (c.a., Oct-1 to Sep-30) for the main GBR Rivers (Source: DNRM, http://watermonitoring.dnrm.qld.gov.au/host.htm)." title="Long-term total hydrological year discharge (c.a., Oct-1 to Sep-30) for the main GBR Rivers (Source: DNRM, http://watermonitoring.dnrm.qld.gov.au/host.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 r="-22"/>
                    <a:stretch/>
                  </pic:blipFill>
                  <pic:spPr bwMode="auto">
                    <a:xfrm>
                      <a:off x="0" y="0"/>
                      <a:ext cx="5761300" cy="2327947"/>
                    </a:xfrm>
                    <a:prstGeom prst="rect">
                      <a:avLst/>
                    </a:prstGeom>
                    <a:noFill/>
                    <a:ln>
                      <a:noFill/>
                    </a:ln>
                    <a:extLst>
                      <a:ext uri="{53640926-AAD7-44D8-BBD7-CCE9431645EC}">
                        <a14:shadowObscured xmlns:a14="http://schemas.microsoft.com/office/drawing/2010/main"/>
                      </a:ext>
                    </a:extLst>
                  </pic:spPr>
                </pic:pic>
              </a:graphicData>
            </a:graphic>
          </wp:inline>
        </w:drawing>
      </w:r>
    </w:p>
    <w:p w14:paraId="0C3F7E0C" w14:textId="77777777" w:rsidR="00482CB4" w:rsidRPr="00482CB4" w:rsidRDefault="00482CB4" w:rsidP="00482CB4">
      <w:pPr>
        <w:pStyle w:val="Caption"/>
      </w:pPr>
      <w:bookmarkStart w:id="46" w:name="_Ref428870848"/>
      <w:bookmarkStart w:id="47" w:name="_Toc434208022"/>
      <w:r>
        <w:t xml:space="preserve">Figure </w:t>
      </w:r>
      <w:r w:rsidR="00D243CD">
        <w:fldChar w:fldCharType="begin"/>
      </w:r>
      <w:r w:rsidR="00D243CD">
        <w:instrText xml:space="preserve"> STYLEREF 1 \s </w:instrText>
      </w:r>
      <w:r w:rsidR="00D243CD">
        <w:fldChar w:fldCharType="separate"/>
      </w:r>
      <w:r w:rsidR="00B62B50">
        <w:rPr>
          <w:noProof/>
        </w:rPr>
        <w:t>3</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1</w:t>
      </w:r>
      <w:r w:rsidR="00D243CD">
        <w:fldChar w:fldCharType="end"/>
      </w:r>
      <w:bookmarkEnd w:id="46"/>
      <w:r>
        <w:t xml:space="preserve">: </w:t>
      </w:r>
      <w:r w:rsidRPr="00482CB4">
        <w:t xml:space="preserve">Long-term total hydrological year discharge (c.a., Oct-1 to Sep-30) for the main GBR Rivers (Source: DNRM, </w:t>
      </w:r>
      <w:hyperlink r:id="rId39" w:tooltip="more information" w:history="1">
        <w:r w:rsidRPr="00482CB4">
          <w:rPr>
            <w:rStyle w:val="Hyperlink"/>
            <w:rFonts w:cs="Arial"/>
          </w:rPr>
          <w:t>http://watermonitoring.dnrm.qld.gov.au/host.htm</w:t>
        </w:r>
      </w:hyperlink>
      <w:r w:rsidRPr="00482CB4">
        <w:t>).</w:t>
      </w:r>
      <w:bookmarkEnd w:id="47"/>
    </w:p>
    <w:p w14:paraId="0C3F7E0D" w14:textId="77777777" w:rsidR="00482CB4" w:rsidRDefault="00482CB4" w:rsidP="00482CB4">
      <w:r w:rsidRPr="00482CB4">
        <w:t>Even though the 2012-2013 wet season was not characterized by intense rainfall such as that which occurred in 2010-2011, it still had the 6</w:t>
      </w:r>
      <w:r w:rsidRPr="00482CB4">
        <w:rPr>
          <w:vertAlign w:val="superscript"/>
        </w:rPr>
        <w:t>th</w:t>
      </w:r>
      <w:r w:rsidRPr="00482CB4">
        <w:t xml:space="preserve"> largest discharge (approximately 4.3×10</w:t>
      </w:r>
      <w:r w:rsidRPr="00482CB4">
        <w:rPr>
          <w:vertAlign w:val="superscript"/>
        </w:rPr>
        <w:t>7</w:t>
      </w:r>
      <w:r w:rsidRPr="00482CB4">
        <w:t xml:space="preserve"> megalitres) for the last 13 years. This was 7% lower than 2011-2012 discharges and 40% lower than 2010-2011 discharges (</w:t>
      </w:r>
      <w:r>
        <w:fldChar w:fldCharType="begin"/>
      </w:r>
      <w:r>
        <w:instrText xml:space="preserve"> REF _Ref428870848 \h </w:instrText>
      </w:r>
      <w:r>
        <w:fldChar w:fldCharType="separate"/>
      </w:r>
      <w:r w:rsidR="00B62B50">
        <w:t xml:space="preserve">Figure </w:t>
      </w:r>
      <w:r w:rsidR="00B62B50">
        <w:rPr>
          <w:noProof/>
        </w:rPr>
        <w:t>3</w:t>
      </w:r>
      <w:r w:rsidR="00B62B50">
        <w:noBreakHyphen/>
      </w:r>
      <w:r w:rsidR="00B62B50">
        <w:rPr>
          <w:noProof/>
        </w:rPr>
        <w:t>1</w:t>
      </w:r>
      <w:r>
        <w:fldChar w:fldCharType="end"/>
      </w:r>
      <w:r w:rsidRPr="00482CB4">
        <w:t xml:space="preserve">). Flow data (measured as total annual flow since 2000) shows that river discharge into the GBR has been consistently higher in the </w:t>
      </w:r>
      <w:r w:rsidR="001850F0" w:rsidRPr="00482CB4">
        <w:t>most</w:t>
      </w:r>
      <w:r w:rsidRPr="00482CB4">
        <w:t xml:space="preserve"> recent 6 years (</w:t>
      </w:r>
      <w:r>
        <w:fldChar w:fldCharType="begin"/>
      </w:r>
      <w:r>
        <w:instrText xml:space="preserve"> REF _Ref428870848 \h </w:instrText>
      </w:r>
      <w:r>
        <w:fldChar w:fldCharType="separate"/>
      </w:r>
      <w:r w:rsidR="00B62B50">
        <w:t xml:space="preserve">Figure </w:t>
      </w:r>
      <w:r w:rsidR="00B62B50">
        <w:rPr>
          <w:noProof/>
        </w:rPr>
        <w:t>3</w:t>
      </w:r>
      <w:r w:rsidR="00B62B50">
        <w:noBreakHyphen/>
      </w:r>
      <w:r w:rsidR="00B62B50">
        <w:rPr>
          <w:noProof/>
        </w:rPr>
        <w:t>1</w:t>
      </w:r>
      <w:r>
        <w:fldChar w:fldCharType="end"/>
      </w:r>
      <w:r w:rsidRPr="00482CB4">
        <w:t xml:space="preserve">). This increase in flow has been a key driver in measurements of ecosystem decline, including seagrass condition </w:t>
      </w:r>
      <w:r>
        <w:fldChar w:fldCharType="begin"/>
      </w:r>
      <w:r>
        <w:instrText xml:space="preserve"> ADDIN EN.CITE &lt;EndNote&gt;&lt;Cite&gt;&lt;Author&gt;McKenzie&lt;/Author&gt;&lt;Year&gt;2012&lt;/Year&gt;&lt;RecNum&gt;1005&lt;/RecNum&gt;&lt;DisplayText&gt;(McKenzie et al., 2012)&lt;/DisplayText&gt;&lt;record&gt;&lt;rec-number&gt;1005&lt;/rec-number&gt;&lt;foreign-keys&gt;&lt;key app="EN" db-id="wwzpfssaux292keptesxd5t6srsfvpzsde2p"&gt;1005&lt;/key&gt;&lt;/foreign-keys&gt;&lt;ref-type name="Journal Article"&gt;17&lt;/ref-type&gt;&lt;contributors&gt;&lt;authors&gt;&lt;author&gt;McKenzie, Len&lt;/author&gt;&lt;author&gt;Collier, Catherine&lt;/author&gt;&lt;author&gt;Waycott, Michelle&lt;/author&gt;&lt;author&gt;Unsworth, Richard&lt;/author&gt;&lt;author&gt;Yoshida, Rudi&lt;/author&gt;&lt;author&gt;Smith, Naomi&lt;/author&gt;&lt;/authors&gt;&lt;/contributors&gt;&lt;titles&gt;&lt;title&gt;Monitoring inshore seagrasses of the GBR and responses to water quality&lt;/title&gt;&lt;/titles&gt;&lt;dates&gt;&lt;year&gt;2012&lt;/year&gt;&lt;/dates&gt;&lt;isbn&gt;0980857252&lt;/isbn&gt;&lt;urls&gt;&lt;/urls&gt;&lt;/record&gt;&lt;/Cite&gt;&lt;/EndNote&gt;</w:instrText>
      </w:r>
      <w:r>
        <w:fldChar w:fldCharType="separate"/>
      </w:r>
      <w:r>
        <w:rPr>
          <w:noProof/>
        </w:rPr>
        <w:t>(</w:t>
      </w:r>
      <w:hyperlink w:anchor="_ENREF_29" w:tooltip="McKenzie, 2012 #1005" w:history="1">
        <w:r w:rsidR="00D23C68">
          <w:rPr>
            <w:noProof/>
          </w:rPr>
          <w:t>McKenzie et al., 2012</w:t>
        </w:r>
      </w:hyperlink>
      <w:r>
        <w:rPr>
          <w:noProof/>
        </w:rPr>
        <w:t>)</w:t>
      </w:r>
      <w:r>
        <w:fldChar w:fldCharType="end"/>
      </w:r>
      <w:r w:rsidRPr="00482CB4">
        <w:t xml:space="preserve"> and coral health metrics (Thompson et al., 2012). The large volume of freshwater discharge is the main factor influencing in the extent of plume area (see Álvarez-Romero et al, 2013). </w:t>
      </w:r>
    </w:p>
    <w:p w14:paraId="0C3F7E0E" w14:textId="77777777" w:rsidR="00330E11" w:rsidRDefault="00330E11" w:rsidP="00330E11">
      <w:pPr>
        <w:pStyle w:val="Caption"/>
        <w:sectPr w:rsidR="00330E11" w:rsidSect="00571B6D">
          <w:headerReference w:type="default" r:id="rId40"/>
          <w:footerReference w:type="default" r:id="rId41"/>
          <w:pgSz w:w="11907" w:h="16840" w:code="9"/>
          <w:pgMar w:top="1440" w:right="1440" w:bottom="1440" w:left="1440" w:header="680" w:footer="851" w:gutter="0"/>
          <w:cols w:space="708"/>
          <w:docGrid w:linePitch="326"/>
        </w:sectPr>
      </w:pPr>
      <w:bookmarkStart w:id="48" w:name="_Ref428870999"/>
    </w:p>
    <w:p w14:paraId="0C3F7E0F" w14:textId="77777777" w:rsidR="00330E11" w:rsidRDefault="00330E11" w:rsidP="00330E11">
      <w:pPr>
        <w:rPr>
          <w:rFonts w:cs="Arial"/>
          <w:sz w:val="20"/>
          <w:szCs w:val="20"/>
        </w:rPr>
      </w:pPr>
      <w:bookmarkStart w:id="49" w:name="_Toc434208066"/>
      <w:r w:rsidRPr="00330E11">
        <w:rPr>
          <w:sz w:val="20"/>
          <w:szCs w:val="20"/>
        </w:rPr>
        <w:lastRenderedPageBreak/>
        <w:t xml:space="preserve">Table </w:t>
      </w:r>
      <w:r w:rsidR="00AE4287">
        <w:rPr>
          <w:sz w:val="20"/>
          <w:szCs w:val="20"/>
        </w:rPr>
        <w:fldChar w:fldCharType="begin"/>
      </w:r>
      <w:r w:rsidR="00AE4287">
        <w:rPr>
          <w:sz w:val="20"/>
          <w:szCs w:val="20"/>
        </w:rPr>
        <w:instrText xml:space="preserve"> STYLEREF 1 \s </w:instrText>
      </w:r>
      <w:r w:rsidR="00AE4287">
        <w:rPr>
          <w:sz w:val="20"/>
          <w:szCs w:val="20"/>
        </w:rPr>
        <w:fldChar w:fldCharType="separate"/>
      </w:r>
      <w:r w:rsidR="00B62B50">
        <w:rPr>
          <w:noProof/>
          <w:sz w:val="20"/>
          <w:szCs w:val="20"/>
        </w:rPr>
        <w:t>3</w:t>
      </w:r>
      <w:r w:rsidR="00AE4287">
        <w:rPr>
          <w:sz w:val="20"/>
          <w:szCs w:val="20"/>
        </w:rPr>
        <w:fldChar w:fldCharType="end"/>
      </w:r>
      <w:r w:rsidR="00AE4287">
        <w:rPr>
          <w:sz w:val="20"/>
          <w:szCs w:val="20"/>
        </w:rPr>
        <w:noBreakHyphen/>
      </w:r>
      <w:r w:rsidR="00AE4287">
        <w:rPr>
          <w:sz w:val="20"/>
          <w:szCs w:val="20"/>
        </w:rPr>
        <w:fldChar w:fldCharType="begin"/>
      </w:r>
      <w:r w:rsidR="00AE4287">
        <w:rPr>
          <w:sz w:val="20"/>
          <w:szCs w:val="20"/>
        </w:rPr>
        <w:instrText xml:space="preserve"> SEQ Table \* ARABIC \s 1 </w:instrText>
      </w:r>
      <w:r w:rsidR="00AE4287">
        <w:rPr>
          <w:sz w:val="20"/>
          <w:szCs w:val="20"/>
        </w:rPr>
        <w:fldChar w:fldCharType="separate"/>
      </w:r>
      <w:r w:rsidR="00B62B50">
        <w:rPr>
          <w:noProof/>
          <w:sz w:val="20"/>
          <w:szCs w:val="20"/>
        </w:rPr>
        <w:t>1</w:t>
      </w:r>
      <w:r w:rsidR="00AE4287">
        <w:rPr>
          <w:sz w:val="20"/>
          <w:szCs w:val="20"/>
        </w:rPr>
        <w:fldChar w:fldCharType="end"/>
      </w:r>
      <w:bookmarkEnd w:id="48"/>
      <w:r w:rsidRPr="00330E11">
        <w:rPr>
          <w:sz w:val="20"/>
          <w:szCs w:val="20"/>
        </w:rPr>
        <w:t xml:space="preserve">: Long term river discharge (ML) statistics of GBR rivers for the 2012-2013 hydrological year (c.a., Oct-1 to Sep-30), compared against the previous three hydrological years, and long-term (LT) medians, means and standard deviations (SD). Colours indicate levels above the </w:t>
      </w:r>
      <w:r w:rsidR="001850F0" w:rsidRPr="00330E11">
        <w:rPr>
          <w:sz w:val="20"/>
          <w:szCs w:val="20"/>
        </w:rPr>
        <w:t>long-term</w:t>
      </w:r>
      <w:r w:rsidRPr="00330E11">
        <w:rPr>
          <w:sz w:val="20"/>
          <w:szCs w:val="20"/>
        </w:rPr>
        <w:t xml:space="preserve"> median: yellow for 1.5 to 2 times; orange for 2 to 3 times, and red for greater than 3 times. Long term statistics were calculated based on a hydrological year taking into account measurements from 1915 to 2000. (Data source: DNRM).</w:t>
      </w:r>
      <w:r w:rsidRPr="00330E11">
        <w:rPr>
          <w:rStyle w:val="FootnoteReference"/>
          <w:sz w:val="20"/>
          <w:szCs w:val="20"/>
        </w:rPr>
        <w:t xml:space="preserve"> </w:t>
      </w:r>
      <w:r w:rsidRPr="00330E11">
        <w:rPr>
          <w:rStyle w:val="FootnoteReference"/>
          <w:sz w:val="20"/>
          <w:szCs w:val="20"/>
        </w:rPr>
        <w:footnoteRef/>
      </w:r>
      <w:r w:rsidRPr="00330E11">
        <w:rPr>
          <w:sz w:val="20"/>
          <w:szCs w:val="20"/>
        </w:rPr>
        <w:t xml:space="preserve"> </w:t>
      </w:r>
      <w:r w:rsidRPr="00330E11">
        <w:rPr>
          <w:rFonts w:cs="Arial"/>
          <w:sz w:val="20"/>
          <w:szCs w:val="20"/>
        </w:rPr>
        <w:t>Discharge for Tully at Euramo station (113006A) for the dry season was estimated as 3.5941 times the Tully discharge at Gorge National Park station (113015A), based on a long-term discharge comparison for flows &lt; 20,000 ML/day (r-sq = 0.802).</w:t>
      </w:r>
      <w:bookmarkEnd w:id="49"/>
    </w:p>
    <w:p w14:paraId="0C3F7E10" w14:textId="77777777" w:rsidR="001850F0" w:rsidRDefault="001850F0" w:rsidP="00330E11">
      <w:pPr>
        <w:rPr>
          <w:rFonts w:cs="Arial"/>
          <w:sz w:val="20"/>
          <w:szCs w:val="20"/>
        </w:rPr>
      </w:pPr>
    </w:p>
    <w:tbl>
      <w:tblPr>
        <w:tblW w:w="5000" w:type="pct"/>
        <w:tblLook w:val="04A0" w:firstRow="1" w:lastRow="0" w:firstColumn="1" w:lastColumn="0" w:noHBand="0" w:noVBand="1"/>
      </w:tblPr>
      <w:tblGrid>
        <w:gridCol w:w="1593"/>
        <w:gridCol w:w="1792"/>
        <w:gridCol w:w="1588"/>
        <w:gridCol w:w="1588"/>
        <w:gridCol w:w="1588"/>
        <w:gridCol w:w="1474"/>
        <w:gridCol w:w="1605"/>
        <w:gridCol w:w="1474"/>
        <w:gridCol w:w="1474"/>
      </w:tblGrid>
      <w:tr w:rsidR="001850F0" w:rsidRPr="002D4C70" w14:paraId="0C3F7E1A" w14:textId="77777777" w:rsidTr="001850F0">
        <w:trPr>
          <w:trHeight w:val="20"/>
        </w:trPr>
        <w:tc>
          <w:tcPr>
            <w:tcW w:w="562" w:type="pct"/>
            <w:tcBorders>
              <w:top w:val="single" w:sz="4" w:space="0" w:color="auto"/>
              <w:left w:val="nil"/>
              <w:bottom w:val="single" w:sz="4" w:space="0" w:color="auto"/>
              <w:right w:val="nil"/>
            </w:tcBorders>
            <w:shd w:val="clear" w:color="auto" w:fill="auto"/>
            <w:vAlign w:val="center"/>
            <w:hideMark/>
          </w:tcPr>
          <w:p w14:paraId="0C3F7E11"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Region</w:t>
            </w:r>
          </w:p>
        </w:tc>
        <w:tc>
          <w:tcPr>
            <w:tcW w:w="632" w:type="pct"/>
            <w:tcBorders>
              <w:top w:val="single" w:sz="4" w:space="0" w:color="auto"/>
              <w:left w:val="nil"/>
              <w:bottom w:val="single" w:sz="4" w:space="0" w:color="auto"/>
              <w:right w:val="nil"/>
            </w:tcBorders>
            <w:shd w:val="clear" w:color="auto" w:fill="auto"/>
            <w:vAlign w:val="center"/>
            <w:hideMark/>
          </w:tcPr>
          <w:p w14:paraId="0C3F7E12"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River</w:t>
            </w:r>
          </w:p>
        </w:tc>
        <w:tc>
          <w:tcPr>
            <w:tcW w:w="560" w:type="pct"/>
            <w:tcBorders>
              <w:top w:val="single" w:sz="4" w:space="0" w:color="auto"/>
              <w:left w:val="nil"/>
              <w:bottom w:val="single" w:sz="4" w:space="0" w:color="auto"/>
              <w:right w:val="nil"/>
            </w:tcBorders>
            <w:shd w:val="clear" w:color="auto" w:fill="auto"/>
            <w:vAlign w:val="center"/>
            <w:hideMark/>
          </w:tcPr>
          <w:p w14:paraId="0C3F7E13"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 xml:space="preserve">Annual </w:t>
            </w:r>
            <w:r w:rsidRPr="002D4C70">
              <w:rPr>
                <w:rFonts w:ascii="Calibri" w:hAnsi="Calibri" w:cs="Times New Roman"/>
                <w:b/>
                <w:bCs/>
                <w:color w:val="000000"/>
                <w:sz w:val="18"/>
                <w:szCs w:val="16"/>
              </w:rPr>
              <w:t>LT</w:t>
            </w:r>
            <w:r w:rsidRPr="00070E4B">
              <w:rPr>
                <w:rFonts w:ascii="Calibri" w:hAnsi="Calibri" w:cs="Times New Roman"/>
                <w:b/>
                <w:bCs/>
                <w:color w:val="000000"/>
                <w:sz w:val="18"/>
                <w:szCs w:val="16"/>
              </w:rPr>
              <w:t xml:space="preserve"> median river discharge</w:t>
            </w:r>
          </w:p>
        </w:tc>
        <w:tc>
          <w:tcPr>
            <w:tcW w:w="560" w:type="pct"/>
            <w:tcBorders>
              <w:top w:val="single" w:sz="4" w:space="0" w:color="auto"/>
              <w:left w:val="nil"/>
              <w:bottom w:val="single" w:sz="4" w:space="0" w:color="auto"/>
              <w:right w:val="nil"/>
            </w:tcBorders>
            <w:shd w:val="clear" w:color="auto" w:fill="auto"/>
            <w:vAlign w:val="center"/>
            <w:hideMark/>
          </w:tcPr>
          <w:p w14:paraId="0C3F7E14"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 xml:space="preserve">Annual </w:t>
            </w:r>
            <w:r w:rsidRPr="002D4C70">
              <w:rPr>
                <w:rFonts w:ascii="Calibri" w:hAnsi="Calibri" w:cs="Times New Roman"/>
                <w:b/>
                <w:bCs/>
                <w:color w:val="000000"/>
                <w:sz w:val="18"/>
                <w:szCs w:val="16"/>
              </w:rPr>
              <w:t>LT</w:t>
            </w:r>
            <w:r w:rsidRPr="00070E4B">
              <w:rPr>
                <w:rFonts w:ascii="Calibri" w:hAnsi="Calibri" w:cs="Times New Roman"/>
                <w:b/>
                <w:bCs/>
                <w:color w:val="000000"/>
                <w:sz w:val="18"/>
                <w:szCs w:val="16"/>
              </w:rPr>
              <w:t xml:space="preserve"> mean river discharge</w:t>
            </w:r>
          </w:p>
        </w:tc>
        <w:tc>
          <w:tcPr>
            <w:tcW w:w="560" w:type="pct"/>
            <w:tcBorders>
              <w:top w:val="single" w:sz="4" w:space="0" w:color="auto"/>
              <w:left w:val="nil"/>
              <w:bottom w:val="single" w:sz="4" w:space="0" w:color="auto"/>
              <w:right w:val="nil"/>
            </w:tcBorders>
            <w:shd w:val="clear" w:color="auto" w:fill="auto"/>
            <w:vAlign w:val="center"/>
            <w:hideMark/>
          </w:tcPr>
          <w:p w14:paraId="0C3F7E15"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 xml:space="preserve">Annual </w:t>
            </w:r>
            <w:r w:rsidRPr="002D4C70">
              <w:rPr>
                <w:rFonts w:ascii="Calibri" w:hAnsi="Calibri" w:cs="Times New Roman"/>
                <w:b/>
                <w:bCs/>
                <w:color w:val="000000"/>
                <w:sz w:val="18"/>
                <w:szCs w:val="16"/>
              </w:rPr>
              <w:t>LT</w:t>
            </w:r>
            <w:r w:rsidRPr="00070E4B">
              <w:rPr>
                <w:rFonts w:ascii="Calibri" w:hAnsi="Calibri" w:cs="Times New Roman"/>
                <w:b/>
                <w:bCs/>
                <w:color w:val="000000"/>
                <w:sz w:val="18"/>
                <w:szCs w:val="16"/>
              </w:rPr>
              <w:t xml:space="preserve"> </w:t>
            </w:r>
            <w:r w:rsidRPr="002D4C70">
              <w:rPr>
                <w:rFonts w:ascii="Calibri" w:hAnsi="Calibri" w:cs="Times New Roman"/>
                <w:b/>
                <w:bCs/>
                <w:color w:val="000000"/>
                <w:sz w:val="18"/>
                <w:szCs w:val="16"/>
              </w:rPr>
              <w:t>SD</w:t>
            </w:r>
            <w:r w:rsidRPr="00070E4B">
              <w:rPr>
                <w:rFonts w:ascii="Calibri" w:hAnsi="Calibri" w:cs="Times New Roman"/>
                <w:b/>
                <w:bCs/>
                <w:color w:val="000000"/>
                <w:sz w:val="18"/>
                <w:szCs w:val="16"/>
              </w:rPr>
              <w:t xml:space="preserve"> river discharge</w:t>
            </w:r>
          </w:p>
        </w:tc>
        <w:tc>
          <w:tcPr>
            <w:tcW w:w="520" w:type="pct"/>
            <w:tcBorders>
              <w:top w:val="single" w:sz="4" w:space="0" w:color="auto"/>
              <w:left w:val="nil"/>
              <w:bottom w:val="single" w:sz="4" w:space="0" w:color="auto"/>
              <w:right w:val="nil"/>
            </w:tcBorders>
            <w:shd w:val="clear" w:color="auto" w:fill="auto"/>
            <w:vAlign w:val="center"/>
            <w:hideMark/>
          </w:tcPr>
          <w:p w14:paraId="0C3F7E16"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Total year discharge 2009/2010</w:t>
            </w:r>
          </w:p>
        </w:tc>
        <w:tc>
          <w:tcPr>
            <w:tcW w:w="566" w:type="pct"/>
            <w:tcBorders>
              <w:top w:val="single" w:sz="4" w:space="0" w:color="auto"/>
              <w:left w:val="nil"/>
              <w:bottom w:val="single" w:sz="4" w:space="0" w:color="auto"/>
              <w:right w:val="nil"/>
            </w:tcBorders>
            <w:shd w:val="clear" w:color="auto" w:fill="auto"/>
            <w:vAlign w:val="center"/>
            <w:hideMark/>
          </w:tcPr>
          <w:p w14:paraId="0C3F7E17"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Total year discharge 2010/2011</w:t>
            </w:r>
          </w:p>
        </w:tc>
        <w:tc>
          <w:tcPr>
            <w:tcW w:w="520" w:type="pct"/>
            <w:tcBorders>
              <w:top w:val="single" w:sz="4" w:space="0" w:color="auto"/>
              <w:left w:val="nil"/>
              <w:bottom w:val="single" w:sz="4" w:space="0" w:color="auto"/>
              <w:right w:val="nil"/>
            </w:tcBorders>
            <w:shd w:val="clear" w:color="auto" w:fill="auto"/>
            <w:vAlign w:val="center"/>
            <w:hideMark/>
          </w:tcPr>
          <w:p w14:paraId="0C3F7E18"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Total year discharge 2011/2012</w:t>
            </w:r>
          </w:p>
        </w:tc>
        <w:tc>
          <w:tcPr>
            <w:tcW w:w="520" w:type="pct"/>
            <w:tcBorders>
              <w:top w:val="single" w:sz="4" w:space="0" w:color="auto"/>
              <w:left w:val="nil"/>
              <w:bottom w:val="single" w:sz="4" w:space="0" w:color="auto"/>
              <w:right w:val="nil"/>
            </w:tcBorders>
            <w:shd w:val="clear" w:color="auto" w:fill="auto"/>
            <w:vAlign w:val="center"/>
            <w:hideMark/>
          </w:tcPr>
          <w:p w14:paraId="0C3F7E19" w14:textId="77777777" w:rsidR="001850F0" w:rsidRPr="00070E4B" w:rsidRDefault="001850F0" w:rsidP="001850F0">
            <w:pPr>
              <w:spacing w:before="0" w:after="0" w:line="0" w:lineRule="atLeast"/>
              <w:jc w:val="center"/>
              <w:rPr>
                <w:rFonts w:ascii="Calibri" w:hAnsi="Calibri" w:cs="Times New Roman"/>
                <w:b/>
                <w:bCs/>
                <w:color w:val="000000"/>
                <w:sz w:val="18"/>
                <w:szCs w:val="16"/>
              </w:rPr>
            </w:pPr>
            <w:r w:rsidRPr="00070E4B">
              <w:rPr>
                <w:rFonts w:ascii="Calibri" w:hAnsi="Calibri" w:cs="Times New Roman"/>
                <w:b/>
                <w:bCs/>
                <w:color w:val="000000"/>
                <w:sz w:val="18"/>
                <w:szCs w:val="16"/>
              </w:rPr>
              <w:t>Total year discharge 2012/2013</w:t>
            </w:r>
          </w:p>
        </w:tc>
      </w:tr>
      <w:tr w:rsidR="001850F0" w:rsidRPr="002D4C70" w14:paraId="0C3F7E24" w14:textId="77777777" w:rsidTr="001850F0">
        <w:trPr>
          <w:trHeight w:val="20"/>
        </w:trPr>
        <w:tc>
          <w:tcPr>
            <w:tcW w:w="562" w:type="pct"/>
            <w:vMerge w:val="restart"/>
            <w:tcBorders>
              <w:top w:val="nil"/>
              <w:left w:val="nil"/>
              <w:bottom w:val="single" w:sz="4" w:space="0" w:color="000000"/>
              <w:right w:val="nil"/>
            </w:tcBorders>
            <w:shd w:val="clear" w:color="auto" w:fill="auto"/>
            <w:vAlign w:val="center"/>
            <w:hideMark/>
          </w:tcPr>
          <w:p w14:paraId="0C3F7E1B"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CapeYork</w:t>
            </w:r>
          </w:p>
        </w:tc>
        <w:tc>
          <w:tcPr>
            <w:tcW w:w="632" w:type="pct"/>
            <w:tcBorders>
              <w:top w:val="nil"/>
              <w:left w:val="nil"/>
              <w:bottom w:val="nil"/>
              <w:right w:val="nil"/>
            </w:tcBorders>
            <w:shd w:val="clear" w:color="auto" w:fill="auto"/>
            <w:noWrap/>
            <w:vAlign w:val="bottom"/>
            <w:hideMark/>
          </w:tcPr>
          <w:p w14:paraId="0C3F7E1C"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Pascoe</w:t>
            </w:r>
          </w:p>
        </w:tc>
        <w:tc>
          <w:tcPr>
            <w:tcW w:w="560" w:type="pct"/>
            <w:tcBorders>
              <w:top w:val="nil"/>
              <w:left w:val="nil"/>
              <w:bottom w:val="nil"/>
              <w:right w:val="nil"/>
            </w:tcBorders>
            <w:shd w:val="clear" w:color="auto" w:fill="auto"/>
            <w:noWrap/>
            <w:vAlign w:val="bottom"/>
            <w:hideMark/>
          </w:tcPr>
          <w:p w14:paraId="0C3F7E1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1,252,975 </w:t>
            </w:r>
          </w:p>
        </w:tc>
        <w:tc>
          <w:tcPr>
            <w:tcW w:w="560" w:type="pct"/>
            <w:tcBorders>
              <w:top w:val="nil"/>
              <w:left w:val="nil"/>
              <w:bottom w:val="nil"/>
              <w:right w:val="nil"/>
            </w:tcBorders>
            <w:shd w:val="clear" w:color="auto" w:fill="auto"/>
            <w:noWrap/>
            <w:vAlign w:val="bottom"/>
            <w:hideMark/>
          </w:tcPr>
          <w:p w14:paraId="0C3F7E1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1,194,911 </w:t>
            </w:r>
          </w:p>
        </w:tc>
        <w:tc>
          <w:tcPr>
            <w:tcW w:w="560" w:type="pct"/>
            <w:tcBorders>
              <w:top w:val="nil"/>
              <w:left w:val="nil"/>
              <w:bottom w:val="nil"/>
              <w:right w:val="nil"/>
            </w:tcBorders>
            <w:shd w:val="clear" w:color="auto" w:fill="auto"/>
            <w:noWrap/>
            <w:vAlign w:val="bottom"/>
            <w:hideMark/>
          </w:tcPr>
          <w:p w14:paraId="0C3F7E1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723,925 </w:t>
            </w:r>
          </w:p>
        </w:tc>
        <w:tc>
          <w:tcPr>
            <w:tcW w:w="520" w:type="pct"/>
            <w:tcBorders>
              <w:top w:val="nil"/>
              <w:left w:val="nil"/>
              <w:bottom w:val="nil"/>
              <w:right w:val="nil"/>
            </w:tcBorders>
            <w:shd w:val="clear" w:color="auto" w:fill="auto"/>
            <w:noWrap/>
            <w:vAlign w:val="bottom"/>
            <w:hideMark/>
          </w:tcPr>
          <w:p w14:paraId="0C3F7E2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1,534,694 </w:t>
            </w:r>
          </w:p>
        </w:tc>
        <w:tc>
          <w:tcPr>
            <w:tcW w:w="566" w:type="pct"/>
            <w:tcBorders>
              <w:top w:val="nil"/>
              <w:left w:val="nil"/>
              <w:bottom w:val="nil"/>
              <w:right w:val="nil"/>
            </w:tcBorders>
            <w:shd w:val="clear" w:color="000000" w:fill="FFFF00"/>
            <w:noWrap/>
            <w:vAlign w:val="bottom"/>
            <w:hideMark/>
          </w:tcPr>
          <w:p w14:paraId="0C3F7E2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1,972,999 </w:t>
            </w:r>
          </w:p>
        </w:tc>
        <w:tc>
          <w:tcPr>
            <w:tcW w:w="520" w:type="pct"/>
            <w:tcBorders>
              <w:top w:val="nil"/>
              <w:left w:val="nil"/>
              <w:bottom w:val="nil"/>
              <w:right w:val="nil"/>
            </w:tcBorders>
            <w:shd w:val="clear" w:color="auto" w:fill="auto"/>
            <w:noWrap/>
            <w:vAlign w:val="bottom"/>
            <w:hideMark/>
          </w:tcPr>
          <w:p w14:paraId="0C3F7E2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758,509 </w:t>
            </w:r>
          </w:p>
        </w:tc>
        <w:tc>
          <w:tcPr>
            <w:tcW w:w="520" w:type="pct"/>
            <w:tcBorders>
              <w:top w:val="nil"/>
              <w:left w:val="nil"/>
              <w:bottom w:val="nil"/>
              <w:right w:val="nil"/>
            </w:tcBorders>
            <w:shd w:val="clear" w:color="auto" w:fill="auto"/>
            <w:noWrap/>
            <w:vAlign w:val="bottom"/>
            <w:hideMark/>
          </w:tcPr>
          <w:p w14:paraId="0C3F7E2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827,312 </w:t>
            </w:r>
          </w:p>
        </w:tc>
      </w:tr>
      <w:tr w:rsidR="001850F0" w:rsidRPr="002D4C70" w14:paraId="0C3F7E2E" w14:textId="77777777" w:rsidTr="001850F0">
        <w:trPr>
          <w:trHeight w:val="20"/>
        </w:trPr>
        <w:tc>
          <w:tcPr>
            <w:tcW w:w="562" w:type="pct"/>
            <w:vMerge/>
            <w:tcBorders>
              <w:top w:val="nil"/>
              <w:left w:val="nil"/>
              <w:bottom w:val="single" w:sz="4" w:space="0" w:color="000000"/>
              <w:right w:val="nil"/>
            </w:tcBorders>
            <w:vAlign w:val="center"/>
            <w:hideMark/>
          </w:tcPr>
          <w:p w14:paraId="0C3F7E25"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26"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Stewart</w:t>
            </w:r>
          </w:p>
        </w:tc>
        <w:tc>
          <w:tcPr>
            <w:tcW w:w="560" w:type="pct"/>
            <w:tcBorders>
              <w:top w:val="nil"/>
              <w:left w:val="nil"/>
              <w:bottom w:val="nil"/>
              <w:right w:val="nil"/>
            </w:tcBorders>
            <w:shd w:val="clear" w:color="auto" w:fill="auto"/>
            <w:noWrap/>
            <w:vAlign w:val="bottom"/>
            <w:hideMark/>
          </w:tcPr>
          <w:p w14:paraId="0C3F7E2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212,336 </w:t>
            </w:r>
          </w:p>
        </w:tc>
        <w:tc>
          <w:tcPr>
            <w:tcW w:w="560" w:type="pct"/>
            <w:tcBorders>
              <w:top w:val="nil"/>
              <w:left w:val="nil"/>
              <w:bottom w:val="nil"/>
              <w:right w:val="nil"/>
            </w:tcBorders>
            <w:shd w:val="clear" w:color="auto" w:fill="auto"/>
            <w:noWrap/>
            <w:vAlign w:val="bottom"/>
            <w:hideMark/>
          </w:tcPr>
          <w:p w14:paraId="0C3F7E2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196,926 </w:t>
            </w:r>
          </w:p>
        </w:tc>
        <w:tc>
          <w:tcPr>
            <w:tcW w:w="560" w:type="pct"/>
            <w:tcBorders>
              <w:top w:val="nil"/>
              <w:left w:val="nil"/>
              <w:bottom w:val="nil"/>
              <w:right w:val="nil"/>
            </w:tcBorders>
            <w:shd w:val="clear" w:color="auto" w:fill="auto"/>
            <w:noWrap/>
            <w:vAlign w:val="bottom"/>
            <w:hideMark/>
          </w:tcPr>
          <w:p w14:paraId="0C3F7E2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125,224 </w:t>
            </w:r>
          </w:p>
        </w:tc>
        <w:tc>
          <w:tcPr>
            <w:tcW w:w="520" w:type="pct"/>
            <w:tcBorders>
              <w:top w:val="nil"/>
              <w:left w:val="nil"/>
              <w:bottom w:val="nil"/>
              <w:right w:val="nil"/>
            </w:tcBorders>
            <w:shd w:val="clear" w:color="auto" w:fill="auto"/>
            <w:noWrap/>
            <w:vAlign w:val="bottom"/>
            <w:hideMark/>
          </w:tcPr>
          <w:p w14:paraId="0C3F7E2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188,528 </w:t>
            </w:r>
          </w:p>
        </w:tc>
        <w:tc>
          <w:tcPr>
            <w:tcW w:w="566" w:type="pct"/>
            <w:tcBorders>
              <w:top w:val="nil"/>
              <w:left w:val="nil"/>
              <w:bottom w:val="nil"/>
              <w:right w:val="nil"/>
            </w:tcBorders>
            <w:shd w:val="clear" w:color="000000" w:fill="FFFF00"/>
            <w:noWrap/>
            <w:vAlign w:val="bottom"/>
            <w:hideMark/>
          </w:tcPr>
          <w:p w14:paraId="0C3F7E2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376,009 </w:t>
            </w:r>
          </w:p>
        </w:tc>
        <w:tc>
          <w:tcPr>
            <w:tcW w:w="520" w:type="pct"/>
            <w:tcBorders>
              <w:top w:val="nil"/>
              <w:left w:val="nil"/>
              <w:bottom w:val="nil"/>
              <w:right w:val="nil"/>
            </w:tcBorders>
            <w:shd w:val="clear" w:color="auto" w:fill="auto"/>
            <w:noWrap/>
            <w:vAlign w:val="bottom"/>
            <w:hideMark/>
          </w:tcPr>
          <w:p w14:paraId="0C3F7E2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106,219 </w:t>
            </w:r>
          </w:p>
        </w:tc>
        <w:tc>
          <w:tcPr>
            <w:tcW w:w="520" w:type="pct"/>
            <w:tcBorders>
              <w:top w:val="nil"/>
              <w:left w:val="nil"/>
              <w:bottom w:val="nil"/>
              <w:right w:val="nil"/>
            </w:tcBorders>
            <w:shd w:val="clear" w:color="auto" w:fill="auto"/>
            <w:noWrap/>
            <w:vAlign w:val="bottom"/>
            <w:hideMark/>
          </w:tcPr>
          <w:p w14:paraId="0C3F7E2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90,343 </w:t>
            </w:r>
          </w:p>
        </w:tc>
      </w:tr>
      <w:tr w:rsidR="001850F0" w:rsidRPr="002D4C70" w14:paraId="0C3F7E38" w14:textId="77777777" w:rsidTr="001850F0">
        <w:trPr>
          <w:trHeight w:val="20"/>
        </w:trPr>
        <w:tc>
          <w:tcPr>
            <w:tcW w:w="562" w:type="pct"/>
            <w:vMerge/>
            <w:tcBorders>
              <w:top w:val="nil"/>
              <w:left w:val="nil"/>
              <w:bottom w:val="single" w:sz="4" w:space="0" w:color="000000"/>
              <w:right w:val="nil"/>
            </w:tcBorders>
            <w:vAlign w:val="center"/>
            <w:hideMark/>
          </w:tcPr>
          <w:p w14:paraId="0C3F7E2F"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30"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Normanby</w:t>
            </w:r>
          </w:p>
        </w:tc>
        <w:tc>
          <w:tcPr>
            <w:tcW w:w="560" w:type="pct"/>
            <w:tcBorders>
              <w:top w:val="nil"/>
              <w:left w:val="nil"/>
              <w:bottom w:val="nil"/>
              <w:right w:val="nil"/>
            </w:tcBorders>
            <w:shd w:val="clear" w:color="auto" w:fill="auto"/>
            <w:noWrap/>
            <w:vAlign w:val="bottom"/>
            <w:hideMark/>
          </w:tcPr>
          <w:p w14:paraId="0C3F7E31" w14:textId="77777777" w:rsidR="001850F0" w:rsidRPr="00070E4B" w:rsidRDefault="001850F0" w:rsidP="001850F0">
            <w:pPr>
              <w:spacing w:before="0" w:after="0" w:line="0" w:lineRule="atLeast"/>
              <w:jc w:val="right"/>
              <w:rPr>
                <w:rFonts w:ascii="Calibri" w:hAnsi="Calibri" w:cs="Times New Roman"/>
                <w:color w:val="000000"/>
                <w:sz w:val="18"/>
                <w:szCs w:val="16"/>
              </w:rPr>
            </w:pPr>
          </w:p>
        </w:tc>
        <w:tc>
          <w:tcPr>
            <w:tcW w:w="560" w:type="pct"/>
            <w:tcBorders>
              <w:top w:val="nil"/>
              <w:left w:val="nil"/>
              <w:bottom w:val="nil"/>
              <w:right w:val="nil"/>
            </w:tcBorders>
            <w:shd w:val="clear" w:color="auto" w:fill="auto"/>
            <w:noWrap/>
            <w:vAlign w:val="bottom"/>
            <w:hideMark/>
          </w:tcPr>
          <w:p w14:paraId="0C3F7E32" w14:textId="77777777" w:rsidR="001850F0" w:rsidRPr="00070E4B" w:rsidRDefault="001850F0" w:rsidP="001850F0">
            <w:pPr>
              <w:spacing w:before="0" w:after="0" w:line="0" w:lineRule="atLeast"/>
              <w:jc w:val="right"/>
              <w:rPr>
                <w:rFonts w:ascii="Calibri" w:hAnsi="Calibri" w:cs="Times New Roman"/>
                <w:color w:val="000000"/>
                <w:sz w:val="18"/>
                <w:szCs w:val="16"/>
              </w:rPr>
            </w:pPr>
          </w:p>
        </w:tc>
        <w:tc>
          <w:tcPr>
            <w:tcW w:w="560" w:type="pct"/>
            <w:tcBorders>
              <w:top w:val="nil"/>
              <w:left w:val="nil"/>
              <w:bottom w:val="nil"/>
              <w:right w:val="nil"/>
            </w:tcBorders>
            <w:shd w:val="clear" w:color="auto" w:fill="auto"/>
            <w:noWrap/>
            <w:vAlign w:val="bottom"/>
            <w:hideMark/>
          </w:tcPr>
          <w:p w14:paraId="0C3F7E33" w14:textId="77777777" w:rsidR="001850F0" w:rsidRPr="00070E4B" w:rsidRDefault="001850F0" w:rsidP="001850F0">
            <w:pPr>
              <w:spacing w:before="0" w:after="0" w:line="0" w:lineRule="atLeast"/>
              <w:jc w:val="right"/>
              <w:rPr>
                <w:rFonts w:ascii="Calibri" w:hAnsi="Calibri" w:cs="Times New Roman"/>
                <w:color w:val="000000"/>
                <w:sz w:val="18"/>
                <w:szCs w:val="16"/>
              </w:rPr>
            </w:pPr>
          </w:p>
        </w:tc>
        <w:tc>
          <w:tcPr>
            <w:tcW w:w="520" w:type="pct"/>
            <w:tcBorders>
              <w:top w:val="nil"/>
              <w:left w:val="nil"/>
              <w:bottom w:val="nil"/>
              <w:right w:val="nil"/>
            </w:tcBorders>
            <w:shd w:val="clear" w:color="auto" w:fill="auto"/>
            <w:noWrap/>
            <w:vAlign w:val="bottom"/>
            <w:hideMark/>
          </w:tcPr>
          <w:p w14:paraId="0C3F7E3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2,945,850 </w:t>
            </w:r>
          </w:p>
        </w:tc>
        <w:tc>
          <w:tcPr>
            <w:tcW w:w="566" w:type="pct"/>
            <w:tcBorders>
              <w:top w:val="nil"/>
              <w:left w:val="nil"/>
              <w:bottom w:val="nil"/>
              <w:right w:val="nil"/>
            </w:tcBorders>
            <w:shd w:val="clear" w:color="auto" w:fill="auto"/>
            <w:noWrap/>
            <w:vAlign w:val="bottom"/>
            <w:hideMark/>
          </w:tcPr>
          <w:p w14:paraId="0C3F7E3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5,964,886 </w:t>
            </w:r>
          </w:p>
        </w:tc>
        <w:tc>
          <w:tcPr>
            <w:tcW w:w="520" w:type="pct"/>
            <w:tcBorders>
              <w:top w:val="nil"/>
              <w:left w:val="nil"/>
              <w:bottom w:val="nil"/>
              <w:right w:val="nil"/>
            </w:tcBorders>
            <w:shd w:val="clear" w:color="auto" w:fill="auto"/>
            <w:noWrap/>
            <w:vAlign w:val="bottom"/>
            <w:hideMark/>
          </w:tcPr>
          <w:p w14:paraId="0C3F7E3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1,148,416 </w:t>
            </w:r>
          </w:p>
        </w:tc>
        <w:tc>
          <w:tcPr>
            <w:tcW w:w="520" w:type="pct"/>
            <w:tcBorders>
              <w:top w:val="nil"/>
              <w:left w:val="nil"/>
              <w:bottom w:val="nil"/>
              <w:right w:val="nil"/>
            </w:tcBorders>
            <w:shd w:val="clear" w:color="auto" w:fill="auto"/>
            <w:noWrap/>
            <w:vAlign w:val="bottom"/>
            <w:hideMark/>
          </w:tcPr>
          <w:p w14:paraId="0C3F7E3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1,822,135 </w:t>
            </w:r>
          </w:p>
        </w:tc>
      </w:tr>
      <w:tr w:rsidR="001850F0" w:rsidRPr="002D4C70" w14:paraId="0C3F7E42" w14:textId="77777777" w:rsidTr="001850F0">
        <w:trPr>
          <w:trHeight w:val="20"/>
        </w:trPr>
        <w:tc>
          <w:tcPr>
            <w:tcW w:w="562" w:type="pct"/>
            <w:vMerge/>
            <w:tcBorders>
              <w:top w:val="nil"/>
              <w:left w:val="nil"/>
              <w:bottom w:val="single" w:sz="4" w:space="0" w:color="000000"/>
              <w:right w:val="nil"/>
            </w:tcBorders>
            <w:vAlign w:val="center"/>
            <w:hideMark/>
          </w:tcPr>
          <w:p w14:paraId="0C3F7E39"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single" w:sz="4" w:space="0" w:color="auto"/>
              <w:right w:val="nil"/>
            </w:tcBorders>
            <w:shd w:val="clear" w:color="auto" w:fill="auto"/>
            <w:noWrap/>
            <w:vAlign w:val="bottom"/>
            <w:hideMark/>
          </w:tcPr>
          <w:p w14:paraId="0C3F7E3A"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Annan</w:t>
            </w:r>
          </w:p>
        </w:tc>
        <w:tc>
          <w:tcPr>
            <w:tcW w:w="560" w:type="pct"/>
            <w:tcBorders>
              <w:top w:val="nil"/>
              <w:left w:val="nil"/>
              <w:bottom w:val="single" w:sz="4" w:space="0" w:color="auto"/>
              <w:right w:val="nil"/>
            </w:tcBorders>
            <w:shd w:val="clear" w:color="auto" w:fill="auto"/>
            <w:noWrap/>
            <w:vAlign w:val="bottom"/>
            <w:hideMark/>
          </w:tcPr>
          <w:p w14:paraId="0C3F7E3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276,538 </w:t>
            </w:r>
          </w:p>
        </w:tc>
        <w:tc>
          <w:tcPr>
            <w:tcW w:w="560" w:type="pct"/>
            <w:tcBorders>
              <w:top w:val="nil"/>
              <w:left w:val="nil"/>
              <w:bottom w:val="single" w:sz="4" w:space="0" w:color="auto"/>
              <w:right w:val="nil"/>
            </w:tcBorders>
            <w:shd w:val="clear" w:color="auto" w:fill="auto"/>
            <w:noWrap/>
            <w:vAlign w:val="bottom"/>
            <w:hideMark/>
          </w:tcPr>
          <w:p w14:paraId="0C3F7E3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279,594 </w:t>
            </w:r>
          </w:p>
        </w:tc>
        <w:tc>
          <w:tcPr>
            <w:tcW w:w="560" w:type="pct"/>
            <w:tcBorders>
              <w:top w:val="nil"/>
              <w:left w:val="nil"/>
              <w:bottom w:val="single" w:sz="4" w:space="0" w:color="auto"/>
              <w:right w:val="nil"/>
            </w:tcBorders>
            <w:shd w:val="clear" w:color="auto" w:fill="auto"/>
            <w:noWrap/>
            <w:vAlign w:val="bottom"/>
            <w:hideMark/>
          </w:tcPr>
          <w:p w14:paraId="0C3F7E3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162,344 </w:t>
            </w:r>
          </w:p>
        </w:tc>
        <w:tc>
          <w:tcPr>
            <w:tcW w:w="520" w:type="pct"/>
            <w:tcBorders>
              <w:top w:val="nil"/>
              <w:left w:val="nil"/>
              <w:bottom w:val="single" w:sz="4" w:space="0" w:color="auto"/>
              <w:right w:val="nil"/>
            </w:tcBorders>
            <w:shd w:val="clear" w:color="auto" w:fill="auto"/>
            <w:noWrap/>
            <w:vAlign w:val="bottom"/>
            <w:hideMark/>
          </w:tcPr>
          <w:p w14:paraId="0C3F7E3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407,257 </w:t>
            </w:r>
          </w:p>
        </w:tc>
        <w:tc>
          <w:tcPr>
            <w:tcW w:w="566" w:type="pct"/>
            <w:tcBorders>
              <w:top w:val="nil"/>
              <w:left w:val="nil"/>
              <w:bottom w:val="single" w:sz="4" w:space="0" w:color="auto"/>
              <w:right w:val="nil"/>
            </w:tcBorders>
            <w:shd w:val="clear" w:color="000000" w:fill="FFFF00"/>
            <w:noWrap/>
            <w:vAlign w:val="bottom"/>
            <w:hideMark/>
          </w:tcPr>
          <w:p w14:paraId="0C3F7E3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550,403 </w:t>
            </w:r>
          </w:p>
        </w:tc>
        <w:tc>
          <w:tcPr>
            <w:tcW w:w="520" w:type="pct"/>
            <w:tcBorders>
              <w:top w:val="nil"/>
              <w:left w:val="nil"/>
              <w:bottom w:val="single" w:sz="4" w:space="0" w:color="auto"/>
              <w:right w:val="nil"/>
            </w:tcBorders>
            <w:shd w:val="clear" w:color="auto" w:fill="auto"/>
            <w:noWrap/>
            <w:vAlign w:val="bottom"/>
            <w:hideMark/>
          </w:tcPr>
          <w:p w14:paraId="0C3F7E4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331,370 </w:t>
            </w:r>
          </w:p>
        </w:tc>
        <w:tc>
          <w:tcPr>
            <w:tcW w:w="520" w:type="pct"/>
            <w:tcBorders>
              <w:top w:val="nil"/>
              <w:left w:val="nil"/>
              <w:bottom w:val="single" w:sz="4" w:space="0" w:color="auto"/>
              <w:right w:val="nil"/>
            </w:tcBorders>
            <w:shd w:val="clear" w:color="auto" w:fill="auto"/>
            <w:noWrap/>
            <w:vAlign w:val="bottom"/>
            <w:hideMark/>
          </w:tcPr>
          <w:p w14:paraId="0C3F7E4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196,988 </w:t>
            </w:r>
          </w:p>
        </w:tc>
      </w:tr>
      <w:tr w:rsidR="001850F0" w:rsidRPr="002D4C70" w14:paraId="0C3F7E4C" w14:textId="77777777" w:rsidTr="001850F0">
        <w:trPr>
          <w:trHeight w:val="20"/>
        </w:trPr>
        <w:tc>
          <w:tcPr>
            <w:tcW w:w="562" w:type="pct"/>
            <w:vMerge w:val="restart"/>
            <w:tcBorders>
              <w:top w:val="nil"/>
              <w:left w:val="nil"/>
              <w:bottom w:val="nil"/>
              <w:right w:val="nil"/>
            </w:tcBorders>
            <w:shd w:val="clear" w:color="auto" w:fill="auto"/>
            <w:vAlign w:val="center"/>
            <w:hideMark/>
          </w:tcPr>
          <w:p w14:paraId="0C3F7E43"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Wet Tropics</w:t>
            </w:r>
          </w:p>
        </w:tc>
        <w:tc>
          <w:tcPr>
            <w:tcW w:w="632" w:type="pct"/>
            <w:tcBorders>
              <w:top w:val="nil"/>
              <w:left w:val="nil"/>
              <w:bottom w:val="nil"/>
              <w:right w:val="nil"/>
            </w:tcBorders>
            <w:shd w:val="clear" w:color="auto" w:fill="auto"/>
            <w:noWrap/>
            <w:vAlign w:val="bottom"/>
            <w:hideMark/>
          </w:tcPr>
          <w:p w14:paraId="0C3F7E44"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Daintree</w:t>
            </w:r>
          </w:p>
        </w:tc>
        <w:tc>
          <w:tcPr>
            <w:tcW w:w="560" w:type="pct"/>
            <w:tcBorders>
              <w:top w:val="nil"/>
              <w:left w:val="nil"/>
              <w:bottom w:val="nil"/>
              <w:right w:val="nil"/>
            </w:tcBorders>
            <w:shd w:val="clear" w:color="auto" w:fill="auto"/>
            <w:noWrap/>
            <w:vAlign w:val="bottom"/>
            <w:hideMark/>
          </w:tcPr>
          <w:p w14:paraId="0C3F7E4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704,634 </w:t>
            </w:r>
          </w:p>
        </w:tc>
        <w:tc>
          <w:tcPr>
            <w:tcW w:w="560" w:type="pct"/>
            <w:tcBorders>
              <w:top w:val="nil"/>
              <w:left w:val="nil"/>
              <w:bottom w:val="nil"/>
              <w:right w:val="nil"/>
            </w:tcBorders>
            <w:shd w:val="clear" w:color="auto" w:fill="auto"/>
            <w:noWrap/>
            <w:vAlign w:val="bottom"/>
            <w:hideMark/>
          </w:tcPr>
          <w:p w14:paraId="0C3F7E4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820,437 </w:t>
            </w:r>
          </w:p>
        </w:tc>
        <w:tc>
          <w:tcPr>
            <w:tcW w:w="560" w:type="pct"/>
            <w:tcBorders>
              <w:top w:val="nil"/>
              <w:left w:val="nil"/>
              <w:bottom w:val="nil"/>
              <w:right w:val="nil"/>
            </w:tcBorders>
            <w:shd w:val="clear" w:color="auto" w:fill="auto"/>
            <w:noWrap/>
            <w:vAlign w:val="bottom"/>
            <w:hideMark/>
          </w:tcPr>
          <w:p w14:paraId="0C3F7E4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478,584 </w:t>
            </w:r>
          </w:p>
        </w:tc>
        <w:tc>
          <w:tcPr>
            <w:tcW w:w="520" w:type="pct"/>
            <w:tcBorders>
              <w:top w:val="nil"/>
              <w:left w:val="nil"/>
              <w:bottom w:val="nil"/>
              <w:right w:val="nil"/>
            </w:tcBorders>
            <w:shd w:val="clear" w:color="000000" w:fill="FFFF00"/>
            <w:noWrap/>
            <w:vAlign w:val="bottom"/>
            <w:hideMark/>
          </w:tcPr>
          <w:p w14:paraId="0C3F7E4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1,216,318 </w:t>
            </w:r>
          </w:p>
        </w:tc>
        <w:tc>
          <w:tcPr>
            <w:tcW w:w="566" w:type="pct"/>
            <w:tcBorders>
              <w:top w:val="nil"/>
              <w:left w:val="nil"/>
              <w:bottom w:val="nil"/>
              <w:right w:val="nil"/>
            </w:tcBorders>
            <w:shd w:val="clear" w:color="000000" w:fill="FFC000"/>
            <w:noWrap/>
            <w:vAlign w:val="bottom"/>
            <w:hideMark/>
          </w:tcPr>
          <w:p w14:paraId="0C3F7E49"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1,640,196 </w:t>
            </w:r>
          </w:p>
        </w:tc>
        <w:tc>
          <w:tcPr>
            <w:tcW w:w="520" w:type="pct"/>
            <w:tcBorders>
              <w:top w:val="nil"/>
              <w:left w:val="nil"/>
              <w:bottom w:val="nil"/>
              <w:right w:val="nil"/>
            </w:tcBorders>
            <w:shd w:val="clear" w:color="auto" w:fill="auto"/>
            <w:noWrap/>
            <w:vAlign w:val="bottom"/>
            <w:hideMark/>
          </w:tcPr>
          <w:p w14:paraId="0C3F7E4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998,710 </w:t>
            </w:r>
          </w:p>
        </w:tc>
        <w:tc>
          <w:tcPr>
            <w:tcW w:w="520" w:type="pct"/>
            <w:tcBorders>
              <w:top w:val="nil"/>
              <w:left w:val="nil"/>
              <w:bottom w:val="nil"/>
              <w:right w:val="nil"/>
            </w:tcBorders>
            <w:shd w:val="clear" w:color="auto" w:fill="auto"/>
            <w:noWrap/>
            <w:vAlign w:val="bottom"/>
            <w:hideMark/>
          </w:tcPr>
          <w:p w14:paraId="0C3F7E4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694,098 </w:t>
            </w:r>
          </w:p>
        </w:tc>
      </w:tr>
      <w:tr w:rsidR="001850F0" w:rsidRPr="002D4C70" w14:paraId="0C3F7E56" w14:textId="77777777" w:rsidTr="001850F0">
        <w:trPr>
          <w:trHeight w:val="20"/>
        </w:trPr>
        <w:tc>
          <w:tcPr>
            <w:tcW w:w="562" w:type="pct"/>
            <w:vMerge/>
            <w:tcBorders>
              <w:top w:val="nil"/>
              <w:left w:val="nil"/>
              <w:bottom w:val="nil"/>
              <w:right w:val="nil"/>
            </w:tcBorders>
            <w:vAlign w:val="center"/>
            <w:hideMark/>
          </w:tcPr>
          <w:p w14:paraId="0C3F7E4D"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4E"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Barron</w:t>
            </w:r>
          </w:p>
        </w:tc>
        <w:tc>
          <w:tcPr>
            <w:tcW w:w="560" w:type="pct"/>
            <w:tcBorders>
              <w:top w:val="nil"/>
              <w:left w:val="nil"/>
              <w:bottom w:val="nil"/>
              <w:right w:val="nil"/>
            </w:tcBorders>
            <w:shd w:val="clear" w:color="auto" w:fill="auto"/>
            <w:noWrap/>
            <w:vAlign w:val="bottom"/>
            <w:hideMark/>
          </w:tcPr>
          <w:p w14:paraId="0C3F7E4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572,725 </w:t>
            </w:r>
          </w:p>
        </w:tc>
        <w:tc>
          <w:tcPr>
            <w:tcW w:w="560" w:type="pct"/>
            <w:tcBorders>
              <w:top w:val="nil"/>
              <w:left w:val="nil"/>
              <w:bottom w:val="nil"/>
              <w:right w:val="nil"/>
            </w:tcBorders>
            <w:shd w:val="clear" w:color="auto" w:fill="auto"/>
            <w:noWrap/>
            <w:vAlign w:val="bottom"/>
            <w:hideMark/>
          </w:tcPr>
          <w:p w14:paraId="0C3F7E5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702,662 </w:t>
            </w:r>
          </w:p>
        </w:tc>
        <w:tc>
          <w:tcPr>
            <w:tcW w:w="560" w:type="pct"/>
            <w:tcBorders>
              <w:top w:val="nil"/>
              <w:left w:val="nil"/>
              <w:bottom w:val="nil"/>
              <w:right w:val="nil"/>
            </w:tcBorders>
            <w:shd w:val="clear" w:color="auto" w:fill="auto"/>
            <w:noWrap/>
            <w:vAlign w:val="bottom"/>
            <w:hideMark/>
          </w:tcPr>
          <w:p w14:paraId="0C3F7E5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483,058 </w:t>
            </w:r>
          </w:p>
        </w:tc>
        <w:tc>
          <w:tcPr>
            <w:tcW w:w="520" w:type="pct"/>
            <w:tcBorders>
              <w:top w:val="nil"/>
              <w:left w:val="nil"/>
              <w:bottom w:val="nil"/>
              <w:right w:val="nil"/>
            </w:tcBorders>
            <w:shd w:val="clear" w:color="auto" w:fill="auto"/>
            <w:noWrap/>
            <w:vAlign w:val="bottom"/>
            <w:hideMark/>
          </w:tcPr>
          <w:p w14:paraId="0C3F7E5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500,233 </w:t>
            </w:r>
          </w:p>
        </w:tc>
        <w:tc>
          <w:tcPr>
            <w:tcW w:w="566" w:type="pct"/>
            <w:tcBorders>
              <w:top w:val="nil"/>
              <w:left w:val="nil"/>
              <w:bottom w:val="nil"/>
              <w:right w:val="nil"/>
            </w:tcBorders>
            <w:shd w:val="clear" w:color="000000" w:fill="FF0000"/>
            <w:noWrap/>
            <w:vAlign w:val="bottom"/>
            <w:hideMark/>
          </w:tcPr>
          <w:p w14:paraId="0C3F7E5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1,927,091 </w:t>
            </w:r>
          </w:p>
        </w:tc>
        <w:tc>
          <w:tcPr>
            <w:tcW w:w="520" w:type="pct"/>
            <w:tcBorders>
              <w:top w:val="nil"/>
              <w:left w:val="nil"/>
              <w:bottom w:val="nil"/>
              <w:right w:val="nil"/>
            </w:tcBorders>
            <w:shd w:val="clear" w:color="auto" w:fill="auto"/>
            <w:noWrap/>
            <w:vAlign w:val="bottom"/>
            <w:hideMark/>
          </w:tcPr>
          <w:p w14:paraId="0C3F7E5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774,595 </w:t>
            </w:r>
          </w:p>
        </w:tc>
        <w:tc>
          <w:tcPr>
            <w:tcW w:w="520" w:type="pct"/>
            <w:tcBorders>
              <w:top w:val="nil"/>
              <w:left w:val="nil"/>
              <w:bottom w:val="nil"/>
              <w:right w:val="nil"/>
            </w:tcBorders>
            <w:shd w:val="clear" w:color="auto" w:fill="auto"/>
            <w:noWrap/>
            <w:vAlign w:val="bottom"/>
            <w:hideMark/>
          </w:tcPr>
          <w:p w14:paraId="0C3F7E5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297,555 </w:t>
            </w:r>
          </w:p>
        </w:tc>
      </w:tr>
      <w:tr w:rsidR="001850F0" w:rsidRPr="002D4C70" w14:paraId="0C3F7E60" w14:textId="77777777" w:rsidTr="001850F0">
        <w:trPr>
          <w:trHeight w:val="20"/>
        </w:trPr>
        <w:tc>
          <w:tcPr>
            <w:tcW w:w="562" w:type="pct"/>
            <w:vMerge/>
            <w:tcBorders>
              <w:top w:val="nil"/>
              <w:left w:val="nil"/>
              <w:bottom w:val="nil"/>
              <w:right w:val="nil"/>
            </w:tcBorders>
            <w:vAlign w:val="center"/>
            <w:hideMark/>
          </w:tcPr>
          <w:p w14:paraId="0C3F7E57"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58"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 xml:space="preserve">Mulgrave </w:t>
            </w:r>
          </w:p>
        </w:tc>
        <w:tc>
          <w:tcPr>
            <w:tcW w:w="560" w:type="pct"/>
            <w:tcBorders>
              <w:top w:val="nil"/>
              <w:left w:val="nil"/>
              <w:bottom w:val="nil"/>
              <w:right w:val="nil"/>
            </w:tcBorders>
            <w:shd w:val="clear" w:color="auto" w:fill="auto"/>
            <w:noWrap/>
            <w:vAlign w:val="bottom"/>
            <w:hideMark/>
          </w:tcPr>
          <w:p w14:paraId="0C3F7E5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728,917 </w:t>
            </w:r>
          </w:p>
        </w:tc>
        <w:tc>
          <w:tcPr>
            <w:tcW w:w="560" w:type="pct"/>
            <w:tcBorders>
              <w:top w:val="nil"/>
              <w:left w:val="nil"/>
              <w:bottom w:val="nil"/>
              <w:right w:val="nil"/>
            </w:tcBorders>
            <w:shd w:val="clear" w:color="auto" w:fill="auto"/>
            <w:noWrap/>
            <w:vAlign w:val="bottom"/>
            <w:hideMark/>
          </w:tcPr>
          <w:p w14:paraId="0C3F7E5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795,475 </w:t>
            </w:r>
          </w:p>
        </w:tc>
        <w:tc>
          <w:tcPr>
            <w:tcW w:w="560" w:type="pct"/>
            <w:tcBorders>
              <w:top w:val="nil"/>
              <w:left w:val="nil"/>
              <w:bottom w:val="nil"/>
              <w:right w:val="nil"/>
            </w:tcBorders>
            <w:shd w:val="clear" w:color="auto" w:fill="auto"/>
            <w:noWrap/>
            <w:vAlign w:val="bottom"/>
            <w:hideMark/>
          </w:tcPr>
          <w:p w14:paraId="0C3F7E5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380,792 </w:t>
            </w:r>
          </w:p>
        </w:tc>
        <w:tc>
          <w:tcPr>
            <w:tcW w:w="520" w:type="pct"/>
            <w:tcBorders>
              <w:top w:val="nil"/>
              <w:left w:val="nil"/>
              <w:bottom w:val="nil"/>
              <w:right w:val="nil"/>
            </w:tcBorders>
            <w:shd w:val="clear" w:color="auto" w:fill="auto"/>
            <w:noWrap/>
            <w:vAlign w:val="bottom"/>
            <w:hideMark/>
          </w:tcPr>
          <w:p w14:paraId="0C3F7E5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773,158 </w:t>
            </w:r>
          </w:p>
        </w:tc>
        <w:tc>
          <w:tcPr>
            <w:tcW w:w="566" w:type="pct"/>
            <w:tcBorders>
              <w:top w:val="nil"/>
              <w:left w:val="nil"/>
              <w:bottom w:val="nil"/>
              <w:right w:val="nil"/>
            </w:tcBorders>
            <w:shd w:val="clear" w:color="000000" w:fill="FFC000"/>
            <w:noWrap/>
            <w:vAlign w:val="bottom"/>
            <w:hideMark/>
          </w:tcPr>
          <w:p w14:paraId="0C3F7E5D"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1,568,750 </w:t>
            </w:r>
          </w:p>
        </w:tc>
        <w:tc>
          <w:tcPr>
            <w:tcW w:w="520" w:type="pct"/>
            <w:tcBorders>
              <w:top w:val="nil"/>
              <w:left w:val="nil"/>
              <w:bottom w:val="nil"/>
              <w:right w:val="nil"/>
            </w:tcBorders>
            <w:shd w:val="clear" w:color="auto" w:fill="auto"/>
            <w:noWrap/>
            <w:vAlign w:val="bottom"/>
            <w:hideMark/>
          </w:tcPr>
          <w:p w14:paraId="0C3F7E5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1,083,093 </w:t>
            </w:r>
          </w:p>
        </w:tc>
        <w:tc>
          <w:tcPr>
            <w:tcW w:w="520" w:type="pct"/>
            <w:tcBorders>
              <w:top w:val="nil"/>
              <w:left w:val="nil"/>
              <w:bottom w:val="nil"/>
              <w:right w:val="nil"/>
            </w:tcBorders>
            <w:shd w:val="clear" w:color="auto" w:fill="auto"/>
            <w:noWrap/>
            <w:vAlign w:val="bottom"/>
            <w:hideMark/>
          </w:tcPr>
          <w:p w14:paraId="0C3F7E5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567,079 </w:t>
            </w:r>
          </w:p>
        </w:tc>
      </w:tr>
      <w:tr w:rsidR="001850F0" w:rsidRPr="002D4C70" w14:paraId="0C3F7E6A" w14:textId="77777777" w:rsidTr="001850F0">
        <w:trPr>
          <w:trHeight w:val="20"/>
        </w:trPr>
        <w:tc>
          <w:tcPr>
            <w:tcW w:w="562" w:type="pct"/>
            <w:vMerge/>
            <w:tcBorders>
              <w:top w:val="nil"/>
              <w:left w:val="nil"/>
              <w:bottom w:val="nil"/>
              <w:right w:val="nil"/>
            </w:tcBorders>
            <w:vAlign w:val="center"/>
            <w:hideMark/>
          </w:tcPr>
          <w:p w14:paraId="0C3F7E61"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62"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Russell</w:t>
            </w:r>
          </w:p>
        </w:tc>
        <w:tc>
          <w:tcPr>
            <w:tcW w:w="560" w:type="pct"/>
            <w:tcBorders>
              <w:top w:val="nil"/>
              <w:left w:val="nil"/>
              <w:bottom w:val="nil"/>
              <w:right w:val="nil"/>
            </w:tcBorders>
            <w:shd w:val="clear" w:color="auto" w:fill="auto"/>
            <w:noWrap/>
            <w:vAlign w:val="bottom"/>
            <w:hideMark/>
          </w:tcPr>
          <w:p w14:paraId="0C3F7E6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995,142 </w:t>
            </w:r>
          </w:p>
        </w:tc>
        <w:tc>
          <w:tcPr>
            <w:tcW w:w="560" w:type="pct"/>
            <w:tcBorders>
              <w:top w:val="nil"/>
              <w:left w:val="nil"/>
              <w:bottom w:val="nil"/>
              <w:right w:val="nil"/>
            </w:tcBorders>
            <w:shd w:val="clear" w:color="auto" w:fill="auto"/>
            <w:noWrap/>
            <w:vAlign w:val="bottom"/>
            <w:hideMark/>
          </w:tcPr>
          <w:p w14:paraId="0C3F7E6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981,043 </w:t>
            </w:r>
          </w:p>
        </w:tc>
        <w:tc>
          <w:tcPr>
            <w:tcW w:w="560" w:type="pct"/>
            <w:tcBorders>
              <w:top w:val="nil"/>
              <w:left w:val="nil"/>
              <w:bottom w:val="nil"/>
              <w:right w:val="nil"/>
            </w:tcBorders>
            <w:shd w:val="clear" w:color="auto" w:fill="auto"/>
            <w:noWrap/>
            <w:vAlign w:val="bottom"/>
            <w:hideMark/>
          </w:tcPr>
          <w:p w14:paraId="0C3F7E6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348,369 </w:t>
            </w:r>
          </w:p>
        </w:tc>
        <w:tc>
          <w:tcPr>
            <w:tcW w:w="520" w:type="pct"/>
            <w:tcBorders>
              <w:top w:val="nil"/>
              <w:left w:val="nil"/>
              <w:bottom w:val="nil"/>
              <w:right w:val="nil"/>
            </w:tcBorders>
            <w:shd w:val="clear" w:color="auto" w:fill="auto"/>
            <w:noWrap/>
            <w:vAlign w:val="bottom"/>
            <w:hideMark/>
          </w:tcPr>
          <w:p w14:paraId="0C3F7E6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1,298,963 </w:t>
            </w:r>
          </w:p>
        </w:tc>
        <w:tc>
          <w:tcPr>
            <w:tcW w:w="566" w:type="pct"/>
            <w:tcBorders>
              <w:top w:val="nil"/>
              <w:left w:val="nil"/>
              <w:bottom w:val="nil"/>
              <w:right w:val="nil"/>
            </w:tcBorders>
            <w:shd w:val="clear" w:color="000000" w:fill="FFFF00"/>
            <w:noWrap/>
            <w:vAlign w:val="bottom"/>
            <w:hideMark/>
          </w:tcPr>
          <w:p w14:paraId="0C3F7E6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1,719,880 </w:t>
            </w:r>
          </w:p>
        </w:tc>
        <w:tc>
          <w:tcPr>
            <w:tcW w:w="520" w:type="pct"/>
            <w:tcBorders>
              <w:top w:val="nil"/>
              <w:left w:val="nil"/>
              <w:bottom w:val="nil"/>
              <w:right w:val="nil"/>
            </w:tcBorders>
            <w:shd w:val="clear" w:color="auto" w:fill="auto"/>
            <w:noWrap/>
            <w:vAlign w:val="bottom"/>
            <w:hideMark/>
          </w:tcPr>
          <w:p w14:paraId="0C3F7E6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1,290,488 </w:t>
            </w:r>
          </w:p>
        </w:tc>
        <w:tc>
          <w:tcPr>
            <w:tcW w:w="520" w:type="pct"/>
            <w:tcBorders>
              <w:top w:val="nil"/>
              <w:left w:val="nil"/>
              <w:bottom w:val="nil"/>
              <w:right w:val="nil"/>
            </w:tcBorders>
            <w:shd w:val="clear" w:color="auto" w:fill="auto"/>
            <w:noWrap/>
            <w:vAlign w:val="bottom"/>
            <w:hideMark/>
          </w:tcPr>
          <w:p w14:paraId="0C3F7E6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888,722 </w:t>
            </w:r>
          </w:p>
        </w:tc>
      </w:tr>
      <w:tr w:rsidR="001850F0" w:rsidRPr="002D4C70" w14:paraId="0C3F7E74" w14:textId="77777777" w:rsidTr="001850F0">
        <w:trPr>
          <w:trHeight w:val="20"/>
        </w:trPr>
        <w:tc>
          <w:tcPr>
            <w:tcW w:w="562" w:type="pct"/>
            <w:vMerge/>
            <w:tcBorders>
              <w:top w:val="nil"/>
              <w:left w:val="nil"/>
              <w:bottom w:val="nil"/>
              <w:right w:val="nil"/>
            </w:tcBorders>
            <w:vAlign w:val="center"/>
            <w:hideMark/>
          </w:tcPr>
          <w:p w14:paraId="0C3F7E6B"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6C"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2D4C70">
              <w:rPr>
                <w:rFonts w:ascii="Calibri" w:hAnsi="Calibri" w:cs="Times New Roman"/>
                <w:color w:val="000000"/>
                <w:sz w:val="18"/>
                <w:szCs w:val="16"/>
              </w:rPr>
              <w:t>N</w:t>
            </w:r>
            <w:r w:rsidRPr="00070E4B">
              <w:rPr>
                <w:rFonts w:ascii="Calibri" w:hAnsi="Calibri" w:cs="Times New Roman"/>
                <w:color w:val="000000"/>
                <w:sz w:val="18"/>
                <w:szCs w:val="16"/>
              </w:rPr>
              <w:t xml:space="preserve"> Johnstone</w:t>
            </w:r>
          </w:p>
        </w:tc>
        <w:tc>
          <w:tcPr>
            <w:tcW w:w="560" w:type="pct"/>
            <w:tcBorders>
              <w:top w:val="nil"/>
              <w:left w:val="nil"/>
              <w:bottom w:val="nil"/>
              <w:right w:val="nil"/>
            </w:tcBorders>
            <w:shd w:val="clear" w:color="auto" w:fill="auto"/>
            <w:noWrap/>
            <w:vAlign w:val="bottom"/>
            <w:hideMark/>
          </w:tcPr>
          <w:p w14:paraId="0C3F7E6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1,758,717 </w:t>
            </w:r>
          </w:p>
        </w:tc>
        <w:tc>
          <w:tcPr>
            <w:tcW w:w="560" w:type="pct"/>
            <w:tcBorders>
              <w:top w:val="nil"/>
              <w:left w:val="nil"/>
              <w:bottom w:val="nil"/>
              <w:right w:val="nil"/>
            </w:tcBorders>
            <w:shd w:val="clear" w:color="auto" w:fill="auto"/>
            <w:noWrap/>
            <w:vAlign w:val="bottom"/>
            <w:hideMark/>
          </w:tcPr>
          <w:p w14:paraId="0C3F7E6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1,821,250 </w:t>
            </w:r>
          </w:p>
        </w:tc>
        <w:tc>
          <w:tcPr>
            <w:tcW w:w="560" w:type="pct"/>
            <w:tcBorders>
              <w:top w:val="nil"/>
              <w:left w:val="nil"/>
              <w:bottom w:val="nil"/>
              <w:right w:val="nil"/>
            </w:tcBorders>
            <w:shd w:val="clear" w:color="auto" w:fill="auto"/>
            <w:noWrap/>
            <w:vAlign w:val="bottom"/>
            <w:hideMark/>
          </w:tcPr>
          <w:p w14:paraId="0C3F7E6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670,503 </w:t>
            </w:r>
          </w:p>
        </w:tc>
        <w:tc>
          <w:tcPr>
            <w:tcW w:w="520" w:type="pct"/>
            <w:tcBorders>
              <w:top w:val="nil"/>
              <w:left w:val="nil"/>
              <w:bottom w:val="nil"/>
              <w:right w:val="nil"/>
            </w:tcBorders>
            <w:shd w:val="clear" w:color="auto" w:fill="auto"/>
            <w:noWrap/>
            <w:vAlign w:val="bottom"/>
            <w:hideMark/>
          </w:tcPr>
          <w:p w14:paraId="0C3F7E7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1,826,418 </w:t>
            </w:r>
          </w:p>
        </w:tc>
        <w:tc>
          <w:tcPr>
            <w:tcW w:w="566" w:type="pct"/>
            <w:tcBorders>
              <w:top w:val="nil"/>
              <w:left w:val="nil"/>
              <w:bottom w:val="nil"/>
              <w:right w:val="nil"/>
            </w:tcBorders>
            <w:shd w:val="clear" w:color="000000" w:fill="FFC000"/>
            <w:noWrap/>
            <w:vAlign w:val="bottom"/>
            <w:hideMark/>
          </w:tcPr>
          <w:p w14:paraId="0C3F7E71"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3,541,632 </w:t>
            </w:r>
          </w:p>
        </w:tc>
        <w:tc>
          <w:tcPr>
            <w:tcW w:w="520" w:type="pct"/>
            <w:tcBorders>
              <w:top w:val="nil"/>
              <w:left w:val="nil"/>
              <w:bottom w:val="nil"/>
              <w:right w:val="nil"/>
            </w:tcBorders>
            <w:shd w:val="clear" w:color="auto" w:fill="auto"/>
            <w:noWrap/>
            <w:vAlign w:val="bottom"/>
            <w:hideMark/>
          </w:tcPr>
          <w:p w14:paraId="0C3F7E7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2,023,900 </w:t>
            </w:r>
          </w:p>
        </w:tc>
        <w:tc>
          <w:tcPr>
            <w:tcW w:w="520" w:type="pct"/>
            <w:tcBorders>
              <w:top w:val="nil"/>
              <w:left w:val="nil"/>
              <w:bottom w:val="nil"/>
              <w:right w:val="nil"/>
            </w:tcBorders>
            <w:shd w:val="clear" w:color="auto" w:fill="auto"/>
            <w:noWrap/>
            <w:vAlign w:val="bottom"/>
            <w:hideMark/>
          </w:tcPr>
          <w:p w14:paraId="0C3F7E7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1,478,171 </w:t>
            </w:r>
          </w:p>
        </w:tc>
      </w:tr>
      <w:tr w:rsidR="001850F0" w:rsidRPr="002D4C70" w14:paraId="0C3F7E7E" w14:textId="77777777" w:rsidTr="001850F0">
        <w:trPr>
          <w:trHeight w:val="20"/>
        </w:trPr>
        <w:tc>
          <w:tcPr>
            <w:tcW w:w="562" w:type="pct"/>
            <w:vMerge/>
            <w:tcBorders>
              <w:top w:val="nil"/>
              <w:left w:val="nil"/>
              <w:bottom w:val="nil"/>
              <w:right w:val="nil"/>
            </w:tcBorders>
            <w:vAlign w:val="center"/>
            <w:hideMark/>
          </w:tcPr>
          <w:p w14:paraId="0C3F7E75"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76"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2D4C70">
              <w:rPr>
                <w:rFonts w:ascii="Calibri" w:hAnsi="Calibri" w:cs="Times New Roman"/>
                <w:color w:val="000000"/>
                <w:sz w:val="18"/>
                <w:szCs w:val="16"/>
              </w:rPr>
              <w:t xml:space="preserve">S </w:t>
            </w:r>
            <w:r w:rsidRPr="00070E4B">
              <w:rPr>
                <w:rFonts w:ascii="Calibri" w:hAnsi="Calibri" w:cs="Times New Roman"/>
                <w:color w:val="000000"/>
                <w:sz w:val="18"/>
                <w:szCs w:val="16"/>
              </w:rPr>
              <w:t>Johnstone</w:t>
            </w:r>
          </w:p>
        </w:tc>
        <w:tc>
          <w:tcPr>
            <w:tcW w:w="560" w:type="pct"/>
            <w:tcBorders>
              <w:top w:val="nil"/>
              <w:left w:val="nil"/>
              <w:bottom w:val="nil"/>
              <w:right w:val="nil"/>
            </w:tcBorders>
            <w:shd w:val="clear" w:color="auto" w:fill="auto"/>
            <w:noWrap/>
            <w:vAlign w:val="bottom"/>
            <w:hideMark/>
          </w:tcPr>
          <w:p w14:paraId="0C3F7E7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850,463 </w:t>
            </w:r>
          </w:p>
        </w:tc>
        <w:tc>
          <w:tcPr>
            <w:tcW w:w="560" w:type="pct"/>
            <w:tcBorders>
              <w:top w:val="nil"/>
              <w:left w:val="nil"/>
              <w:bottom w:val="nil"/>
              <w:right w:val="nil"/>
            </w:tcBorders>
            <w:shd w:val="clear" w:color="auto" w:fill="auto"/>
            <w:noWrap/>
            <w:vAlign w:val="bottom"/>
            <w:hideMark/>
          </w:tcPr>
          <w:p w14:paraId="0C3F7E7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824,374 </w:t>
            </w:r>
          </w:p>
        </w:tc>
        <w:tc>
          <w:tcPr>
            <w:tcW w:w="560" w:type="pct"/>
            <w:tcBorders>
              <w:top w:val="nil"/>
              <w:left w:val="nil"/>
              <w:bottom w:val="nil"/>
              <w:right w:val="nil"/>
            </w:tcBorders>
            <w:shd w:val="clear" w:color="auto" w:fill="auto"/>
            <w:noWrap/>
            <w:vAlign w:val="bottom"/>
            <w:hideMark/>
          </w:tcPr>
          <w:p w14:paraId="0C3F7E7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320,024 </w:t>
            </w:r>
          </w:p>
        </w:tc>
        <w:tc>
          <w:tcPr>
            <w:tcW w:w="520" w:type="pct"/>
            <w:tcBorders>
              <w:top w:val="nil"/>
              <w:left w:val="nil"/>
              <w:bottom w:val="nil"/>
              <w:right w:val="nil"/>
            </w:tcBorders>
            <w:shd w:val="clear" w:color="auto" w:fill="auto"/>
            <w:noWrap/>
            <w:vAlign w:val="bottom"/>
            <w:hideMark/>
          </w:tcPr>
          <w:p w14:paraId="0C3F7E7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728,626 </w:t>
            </w:r>
          </w:p>
        </w:tc>
        <w:tc>
          <w:tcPr>
            <w:tcW w:w="566" w:type="pct"/>
            <w:tcBorders>
              <w:top w:val="nil"/>
              <w:left w:val="nil"/>
              <w:bottom w:val="nil"/>
              <w:right w:val="nil"/>
            </w:tcBorders>
            <w:shd w:val="clear" w:color="000000" w:fill="FFFF00"/>
            <w:noWrap/>
            <w:vAlign w:val="bottom"/>
            <w:hideMark/>
          </w:tcPr>
          <w:p w14:paraId="0C3F7E7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1,612,187 </w:t>
            </w:r>
          </w:p>
        </w:tc>
        <w:tc>
          <w:tcPr>
            <w:tcW w:w="520" w:type="pct"/>
            <w:tcBorders>
              <w:top w:val="nil"/>
              <w:left w:val="nil"/>
              <w:bottom w:val="nil"/>
              <w:right w:val="nil"/>
            </w:tcBorders>
            <w:shd w:val="clear" w:color="auto" w:fill="auto"/>
            <w:noWrap/>
            <w:vAlign w:val="bottom"/>
            <w:hideMark/>
          </w:tcPr>
          <w:p w14:paraId="0C3F7E7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941,983 </w:t>
            </w:r>
          </w:p>
        </w:tc>
        <w:tc>
          <w:tcPr>
            <w:tcW w:w="520" w:type="pct"/>
            <w:tcBorders>
              <w:top w:val="nil"/>
              <w:left w:val="nil"/>
              <w:bottom w:val="nil"/>
              <w:right w:val="nil"/>
            </w:tcBorders>
            <w:shd w:val="clear" w:color="auto" w:fill="auto"/>
            <w:noWrap/>
            <w:vAlign w:val="bottom"/>
            <w:hideMark/>
          </w:tcPr>
          <w:p w14:paraId="0C3F7E7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584,344 </w:t>
            </w:r>
          </w:p>
        </w:tc>
      </w:tr>
      <w:tr w:rsidR="001850F0" w:rsidRPr="002D4C70" w14:paraId="0C3F7E88" w14:textId="77777777" w:rsidTr="001850F0">
        <w:trPr>
          <w:trHeight w:val="20"/>
        </w:trPr>
        <w:tc>
          <w:tcPr>
            <w:tcW w:w="562" w:type="pct"/>
            <w:vMerge/>
            <w:tcBorders>
              <w:top w:val="nil"/>
              <w:left w:val="nil"/>
              <w:bottom w:val="nil"/>
              <w:right w:val="nil"/>
            </w:tcBorders>
            <w:vAlign w:val="center"/>
            <w:hideMark/>
          </w:tcPr>
          <w:p w14:paraId="0C3F7E7F"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right w:val="nil"/>
            </w:tcBorders>
            <w:shd w:val="clear" w:color="auto" w:fill="auto"/>
            <w:noWrap/>
            <w:vAlign w:val="bottom"/>
            <w:hideMark/>
          </w:tcPr>
          <w:p w14:paraId="0C3F7E80"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Tully</w:t>
            </w:r>
            <w:r w:rsidRPr="001850F0">
              <w:rPr>
                <w:rFonts w:ascii="Calibri" w:hAnsi="Calibri" w:cs="Times New Roman"/>
                <w:color w:val="000000"/>
                <w:sz w:val="18"/>
                <w:szCs w:val="16"/>
                <w:vertAlign w:val="superscript"/>
              </w:rPr>
              <w:t>1</w:t>
            </w:r>
          </w:p>
        </w:tc>
        <w:tc>
          <w:tcPr>
            <w:tcW w:w="560" w:type="pct"/>
            <w:tcBorders>
              <w:top w:val="nil"/>
              <w:left w:val="nil"/>
              <w:right w:val="nil"/>
            </w:tcBorders>
            <w:shd w:val="clear" w:color="auto" w:fill="auto"/>
            <w:noWrap/>
            <w:vAlign w:val="bottom"/>
            <w:hideMark/>
          </w:tcPr>
          <w:p w14:paraId="0C3F7E8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2,944,018 </w:t>
            </w:r>
          </w:p>
        </w:tc>
        <w:tc>
          <w:tcPr>
            <w:tcW w:w="560" w:type="pct"/>
            <w:tcBorders>
              <w:top w:val="nil"/>
              <w:left w:val="nil"/>
              <w:right w:val="nil"/>
            </w:tcBorders>
            <w:shd w:val="clear" w:color="auto" w:fill="auto"/>
            <w:noWrap/>
            <w:vAlign w:val="bottom"/>
            <w:hideMark/>
          </w:tcPr>
          <w:p w14:paraId="0C3F7E8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2,989,001 </w:t>
            </w:r>
          </w:p>
        </w:tc>
        <w:tc>
          <w:tcPr>
            <w:tcW w:w="560" w:type="pct"/>
            <w:tcBorders>
              <w:top w:val="nil"/>
              <w:left w:val="nil"/>
              <w:right w:val="nil"/>
            </w:tcBorders>
            <w:shd w:val="clear" w:color="auto" w:fill="auto"/>
            <w:noWrap/>
            <w:vAlign w:val="bottom"/>
            <w:hideMark/>
          </w:tcPr>
          <w:p w14:paraId="0C3F7E8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1,157,654 </w:t>
            </w:r>
          </w:p>
        </w:tc>
        <w:tc>
          <w:tcPr>
            <w:tcW w:w="520" w:type="pct"/>
            <w:tcBorders>
              <w:top w:val="nil"/>
              <w:left w:val="nil"/>
              <w:right w:val="nil"/>
            </w:tcBorders>
            <w:shd w:val="clear" w:color="auto" w:fill="auto"/>
            <w:noWrap/>
            <w:vAlign w:val="bottom"/>
            <w:hideMark/>
          </w:tcPr>
          <w:p w14:paraId="0C3F7E8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2,984,477 </w:t>
            </w:r>
          </w:p>
        </w:tc>
        <w:tc>
          <w:tcPr>
            <w:tcW w:w="566" w:type="pct"/>
            <w:tcBorders>
              <w:top w:val="nil"/>
              <w:left w:val="nil"/>
              <w:right w:val="nil"/>
            </w:tcBorders>
            <w:shd w:val="clear" w:color="000000" w:fill="FFC000"/>
            <w:noWrap/>
            <w:vAlign w:val="bottom"/>
            <w:hideMark/>
          </w:tcPr>
          <w:p w14:paraId="0C3F7E85"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6,202,306 </w:t>
            </w:r>
          </w:p>
        </w:tc>
        <w:tc>
          <w:tcPr>
            <w:tcW w:w="520" w:type="pct"/>
            <w:tcBorders>
              <w:top w:val="nil"/>
              <w:left w:val="nil"/>
              <w:right w:val="nil"/>
            </w:tcBorders>
            <w:shd w:val="clear" w:color="auto" w:fill="auto"/>
            <w:noWrap/>
            <w:vAlign w:val="bottom"/>
            <w:hideMark/>
          </w:tcPr>
          <w:p w14:paraId="0C3F7E8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2,854,247 </w:t>
            </w:r>
          </w:p>
        </w:tc>
        <w:tc>
          <w:tcPr>
            <w:tcW w:w="520" w:type="pct"/>
            <w:tcBorders>
              <w:top w:val="nil"/>
              <w:left w:val="nil"/>
              <w:right w:val="nil"/>
            </w:tcBorders>
            <w:shd w:val="clear" w:color="auto" w:fill="auto"/>
            <w:noWrap/>
            <w:vAlign w:val="bottom"/>
            <w:hideMark/>
          </w:tcPr>
          <w:p w14:paraId="0C3F7E8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2,775,345 </w:t>
            </w:r>
          </w:p>
        </w:tc>
      </w:tr>
      <w:tr w:rsidR="001850F0" w:rsidRPr="002D4C70" w14:paraId="0C3F7E92" w14:textId="77777777" w:rsidTr="001850F0">
        <w:trPr>
          <w:trHeight w:val="20"/>
        </w:trPr>
        <w:tc>
          <w:tcPr>
            <w:tcW w:w="562" w:type="pct"/>
            <w:vMerge/>
            <w:tcBorders>
              <w:top w:val="nil"/>
              <w:left w:val="nil"/>
              <w:bottom w:val="single" w:sz="4" w:space="0" w:color="auto"/>
              <w:right w:val="nil"/>
            </w:tcBorders>
            <w:vAlign w:val="center"/>
            <w:hideMark/>
          </w:tcPr>
          <w:p w14:paraId="0C3F7E89"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single" w:sz="4" w:space="0" w:color="auto"/>
              <w:right w:val="nil"/>
            </w:tcBorders>
            <w:shd w:val="clear" w:color="auto" w:fill="auto"/>
            <w:noWrap/>
            <w:vAlign w:val="bottom"/>
            <w:hideMark/>
          </w:tcPr>
          <w:p w14:paraId="0C3F7E8A"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Herbert</w:t>
            </w:r>
          </w:p>
        </w:tc>
        <w:tc>
          <w:tcPr>
            <w:tcW w:w="560" w:type="pct"/>
            <w:tcBorders>
              <w:top w:val="nil"/>
              <w:left w:val="nil"/>
              <w:bottom w:val="single" w:sz="4" w:space="0" w:color="auto"/>
              <w:right w:val="nil"/>
            </w:tcBorders>
            <w:shd w:val="clear" w:color="auto" w:fill="auto"/>
            <w:noWrap/>
            <w:vAlign w:val="bottom"/>
            <w:hideMark/>
          </w:tcPr>
          <w:p w14:paraId="0C3F7E8B" w14:textId="77777777" w:rsidR="001850F0" w:rsidRPr="00070E4B" w:rsidRDefault="001850F0" w:rsidP="001850F0">
            <w:pPr>
              <w:spacing w:before="0" w:after="0" w:line="0" w:lineRule="atLeast"/>
              <w:jc w:val="right"/>
              <w:rPr>
                <w:rFonts w:ascii="Calibri" w:hAnsi="Calibri" w:cs="Times New Roman"/>
                <w:color w:val="000000"/>
                <w:sz w:val="18"/>
                <w:szCs w:val="16"/>
              </w:rPr>
            </w:pPr>
          </w:p>
        </w:tc>
        <w:tc>
          <w:tcPr>
            <w:tcW w:w="560" w:type="pct"/>
            <w:tcBorders>
              <w:top w:val="nil"/>
              <w:left w:val="nil"/>
              <w:bottom w:val="single" w:sz="4" w:space="0" w:color="auto"/>
              <w:right w:val="nil"/>
            </w:tcBorders>
            <w:shd w:val="clear" w:color="auto" w:fill="auto"/>
            <w:noWrap/>
            <w:vAlign w:val="bottom"/>
            <w:hideMark/>
          </w:tcPr>
          <w:p w14:paraId="0C3F7E8C" w14:textId="77777777" w:rsidR="001850F0" w:rsidRPr="00070E4B" w:rsidRDefault="001850F0" w:rsidP="001850F0">
            <w:pPr>
              <w:spacing w:before="0" w:after="0" w:line="0" w:lineRule="atLeast"/>
              <w:jc w:val="right"/>
              <w:rPr>
                <w:rFonts w:ascii="Calibri" w:hAnsi="Calibri" w:cs="Times New Roman"/>
                <w:color w:val="000000"/>
                <w:sz w:val="18"/>
                <w:szCs w:val="16"/>
              </w:rPr>
            </w:pPr>
          </w:p>
        </w:tc>
        <w:tc>
          <w:tcPr>
            <w:tcW w:w="560" w:type="pct"/>
            <w:tcBorders>
              <w:top w:val="nil"/>
              <w:left w:val="nil"/>
              <w:bottom w:val="single" w:sz="4" w:space="0" w:color="auto"/>
              <w:right w:val="nil"/>
            </w:tcBorders>
            <w:shd w:val="clear" w:color="auto" w:fill="auto"/>
            <w:noWrap/>
            <w:vAlign w:val="bottom"/>
            <w:hideMark/>
          </w:tcPr>
          <w:p w14:paraId="0C3F7E8D" w14:textId="77777777" w:rsidR="001850F0" w:rsidRPr="00070E4B" w:rsidRDefault="001850F0" w:rsidP="001850F0">
            <w:pPr>
              <w:spacing w:before="0" w:after="0" w:line="0" w:lineRule="atLeast"/>
              <w:jc w:val="right"/>
              <w:rPr>
                <w:rFonts w:ascii="Calibri" w:hAnsi="Calibri" w:cs="Times New Roman"/>
                <w:color w:val="000000"/>
                <w:sz w:val="18"/>
                <w:szCs w:val="16"/>
              </w:rPr>
            </w:pPr>
          </w:p>
        </w:tc>
        <w:tc>
          <w:tcPr>
            <w:tcW w:w="520" w:type="pct"/>
            <w:tcBorders>
              <w:top w:val="nil"/>
              <w:left w:val="nil"/>
              <w:bottom w:val="single" w:sz="4" w:space="0" w:color="auto"/>
              <w:right w:val="nil"/>
            </w:tcBorders>
            <w:shd w:val="clear" w:color="auto" w:fill="auto"/>
            <w:noWrap/>
            <w:vAlign w:val="bottom"/>
            <w:hideMark/>
          </w:tcPr>
          <w:p w14:paraId="0C3F7E8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3,163,763 </w:t>
            </w:r>
          </w:p>
        </w:tc>
        <w:tc>
          <w:tcPr>
            <w:tcW w:w="566" w:type="pct"/>
            <w:tcBorders>
              <w:top w:val="nil"/>
              <w:left w:val="nil"/>
              <w:bottom w:val="single" w:sz="4" w:space="0" w:color="auto"/>
              <w:right w:val="nil"/>
            </w:tcBorders>
            <w:shd w:val="clear" w:color="auto" w:fill="auto"/>
            <w:noWrap/>
            <w:vAlign w:val="bottom"/>
            <w:hideMark/>
          </w:tcPr>
          <w:p w14:paraId="0C3F7E8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11,448,794 </w:t>
            </w:r>
          </w:p>
        </w:tc>
        <w:tc>
          <w:tcPr>
            <w:tcW w:w="520" w:type="pct"/>
            <w:tcBorders>
              <w:top w:val="nil"/>
              <w:left w:val="nil"/>
              <w:bottom w:val="single" w:sz="4" w:space="0" w:color="auto"/>
              <w:right w:val="nil"/>
            </w:tcBorders>
            <w:shd w:val="clear" w:color="auto" w:fill="auto"/>
            <w:noWrap/>
            <w:vAlign w:val="bottom"/>
            <w:hideMark/>
          </w:tcPr>
          <w:p w14:paraId="0C3F7E9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4,131,993 </w:t>
            </w:r>
          </w:p>
        </w:tc>
        <w:tc>
          <w:tcPr>
            <w:tcW w:w="520" w:type="pct"/>
            <w:tcBorders>
              <w:top w:val="nil"/>
              <w:left w:val="nil"/>
              <w:bottom w:val="single" w:sz="4" w:space="0" w:color="auto"/>
              <w:right w:val="nil"/>
            </w:tcBorders>
            <w:shd w:val="clear" w:color="auto" w:fill="auto"/>
            <w:noWrap/>
            <w:vAlign w:val="bottom"/>
            <w:hideMark/>
          </w:tcPr>
          <w:p w14:paraId="0C3F7E9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2,896,025 </w:t>
            </w:r>
          </w:p>
        </w:tc>
      </w:tr>
      <w:tr w:rsidR="001850F0" w:rsidRPr="002D4C70" w14:paraId="0C3F7E9C" w14:textId="77777777" w:rsidTr="001850F0">
        <w:trPr>
          <w:trHeight w:val="20"/>
        </w:trPr>
        <w:tc>
          <w:tcPr>
            <w:tcW w:w="562" w:type="pct"/>
            <w:vMerge w:val="restart"/>
            <w:tcBorders>
              <w:top w:val="single" w:sz="4" w:space="0" w:color="auto"/>
              <w:left w:val="nil"/>
              <w:right w:val="nil"/>
            </w:tcBorders>
            <w:shd w:val="clear" w:color="auto" w:fill="auto"/>
            <w:vAlign w:val="center"/>
            <w:hideMark/>
          </w:tcPr>
          <w:p w14:paraId="0C3F7E93"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Burdekin</w:t>
            </w:r>
          </w:p>
        </w:tc>
        <w:tc>
          <w:tcPr>
            <w:tcW w:w="632" w:type="pct"/>
            <w:tcBorders>
              <w:top w:val="single" w:sz="4" w:space="0" w:color="auto"/>
              <w:left w:val="nil"/>
              <w:bottom w:val="nil"/>
              <w:right w:val="nil"/>
            </w:tcBorders>
            <w:shd w:val="clear" w:color="auto" w:fill="auto"/>
            <w:noWrap/>
            <w:vAlign w:val="bottom"/>
            <w:hideMark/>
          </w:tcPr>
          <w:p w14:paraId="0C3F7E94"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Burdekin</w:t>
            </w:r>
          </w:p>
        </w:tc>
        <w:tc>
          <w:tcPr>
            <w:tcW w:w="560" w:type="pct"/>
            <w:tcBorders>
              <w:top w:val="single" w:sz="4" w:space="0" w:color="auto"/>
              <w:left w:val="nil"/>
              <w:bottom w:val="nil"/>
              <w:right w:val="nil"/>
            </w:tcBorders>
            <w:shd w:val="clear" w:color="auto" w:fill="auto"/>
            <w:noWrap/>
            <w:vAlign w:val="bottom"/>
            <w:hideMark/>
          </w:tcPr>
          <w:p w14:paraId="0C3F7E9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5,312,986 </w:t>
            </w:r>
          </w:p>
        </w:tc>
        <w:tc>
          <w:tcPr>
            <w:tcW w:w="560" w:type="pct"/>
            <w:tcBorders>
              <w:top w:val="single" w:sz="4" w:space="0" w:color="auto"/>
              <w:left w:val="nil"/>
              <w:bottom w:val="nil"/>
              <w:right w:val="nil"/>
            </w:tcBorders>
            <w:shd w:val="clear" w:color="auto" w:fill="auto"/>
            <w:noWrap/>
            <w:vAlign w:val="bottom"/>
            <w:hideMark/>
          </w:tcPr>
          <w:p w14:paraId="0C3F7E9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7,490,799 </w:t>
            </w:r>
          </w:p>
        </w:tc>
        <w:tc>
          <w:tcPr>
            <w:tcW w:w="560" w:type="pct"/>
            <w:tcBorders>
              <w:top w:val="single" w:sz="4" w:space="0" w:color="auto"/>
              <w:left w:val="nil"/>
              <w:bottom w:val="nil"/>
              <w:right w:val="nil"/>
            </w:tcBorders>
            <w:shd w:val="clear" w:color="auto" w:fill="auto"/>
            <w:noWrap/>
            <w:vAlign w:val="bottom"/>
            <w:hideMark/>
          </w:tcPr>
          <w:p w14:paraId="0C3F7E9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8,285,066 </w:t>
            </w:r>
          </w:p>
        </w:tc>
        <w:tc>
          <w:tcPr>
            <w:tcW w:w="520" w:type="pct"/>
            <w:tcBorders>
              <w:top w:val="single" w:sz="4" w:space="0" w:color="auto"/>
              <w:left w:val="nil"/>
              <w:bottom w:val="nil"/>
              <w:right w:val="nil"/>
            </w:tcBorders>
            <w:shd w:val="clear" w:color="auto" w:fill="auto"/>
            <w:noWrap/>
            <w:vAlign w:val="bottom"/>
            <w:hideMark/>
          </w:tcPr>
          <w:p w14:paraId="0C3F7E9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7,946,435 </w:t>
            </w:r>
          </w:p>
        </w:tc>
        <w:tc>
          <w:tcPr>
            <w:tcW w:w="566" w:type="pct"/>
            <w:tcBorders>
              <w:top w:val="single" w:sz="4" w:space="0" w:color="auto"/>
              <w:left w:val="nil"/>
              <w:bottom w:val="nil"/>
              <w:right w:val="nil"/>
            </w:tcBorders>
            <w:shd w:val="clear" w:color="000000" w:fill="FF0000"/>
            <w:noWrap/>
            <w:vAlign w:val="bottom"/>
            <w:hideMark/>
          </w:tcPr>
          <w:p w14:paraId="0C3F7E9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34,834,316 </w:t>
            </w:r>
          </w:p>
        </w:tc>
        <w:tc>
          <w:tcPr>
            <w:tcW w:w="520" w:type="pct"/>
            <w:tcBorders>
              <w:top w:val="single" w:sz="4" w:space="0" w:color="auto"/>
              <w:left w:val="nil"/>
              <w:bottom w:val="nil"/>
              <w:right w:val="nil"/>
            </w:tcBorders>
            <w:shd w:val="clear" w:color="000000" w:fill="FFC000"/>
            <w:noWrap/>
            <w:vAlign w:val="bottom"/>
            <w:hideMark/>
          </w:tcPr>
          <w:p w14:paraId="0C3F7E9A"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15,568,159 </w:t>
            </w:r>
          </w:p>
        </w:tc>
        <w:tc>
          <w:tcPr>
            <w:tcW w:w="520" w:type="pct"/>
            <w:tcBorders>
              <w:top w:val="single" w:sz="4" w:space="0" w:color="auto"/>
              <w:left w:val="nil"/>
              <w:bottom w:val="nil"/>
              <w:right w:val="nil"/>
            </w:tcBorders>
            <w:shd w:val="clear" w:color="auto" w:fill="auto"/>
            <w:noWrap/>
            <w:vAlign w:val="bottom"/>
            <w:hideMark/>
          </w:tcPr>
          <w:p w14:paraId="0C3F7E9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3,417,924 </w:t>
            </w:r>
          </w:p>
        </w:tc>
      </w:tr>
      <w:tr w:rsidR="001850F0" w:rsidRPr="002D4C70" w14:paraId="0C3F7EA6" w14:textId="77777777" w:rsidTr="001850F0">
        <w:trPr>
          <w:trHeight w:val="20"/>
        </w:trPr>
        <w:tc>
          <w:tcPr>
            <w:tcW w:w="562" w:type="pct"/>
            <w:vMerge/>
            <w:tcBorders>
              <w:left w:val="nil"/>
              <w:bottom w:val="single" w:sz="4" w:space="0" w:color="auto"/>
              <w:right w:val="nil"/>
            </w:tcBorders>
            <w:shd w:val="clear" w:color="auto" w:fill="auto"/>
            <w:vAlign w:val="center"/>
            <w:hideMark/>
          </w:tcPr>
          <w:p w14:paraId="0C3F7E9D"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left w:val="nil"/>
              <w:bottom w:val="single" w:sz="4" w:space="0" w:color="auto"/>
              <w:right w:val="nil"/>
            </w:tcBorders>
            <w:shd w:val="clear" w:color="auto" w:fill="auto"/>
            <w:noWrap/>
            <w:vAlign w:val="bottom"/>
            <w:hideMark/>
          </w:tcPr>
          <w:p w14:paraId="0C3F7E9E"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Don</w:t>
            </w:r>
          </w:p>
        </w:tc>
        <w:tc>
          <w:tcPr>
            <w:tcW w:w="560" w:type="pct"/>
            <w:tcBorders>
              <w:left w:val="nil"/>
              <w:bottom w:val="single" w:sz="4" w:space="0" w:color="auto"/>
              <w:right w:val="nil"/>
            </w:tcBorders>
            <w:shd w:val="clear" w:color="auto" w:fill="auto"/>
            <w:noWrap/>
            <w:vAlign w:val="bottom"/>
            <w:hideMark/>
          </w:tcPr>
          <w:p w14:paraId="0C3F7E9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51,243 </w:t>
            </w:r>
          </w:p>
        </w:tc>
        <w:tc>
          <w:tcPr>
            <w:tcW w:w="560" w:type="pct"/>
            <w:tcBorders>
              <w:left w:val="nil"/>
              <w:bottom w:val="single" w:sz="4" w:space="0" w:color="auto"/>
              <w:right w:val="nil"/>
            </w:tcBorders>
            <w:shd w:val="clear" w:color="auto" w:fill="auto"/>
            <w:noWrap/>
            <w:vAlign w:val="bottom"/>
            <w:hideMark/>
          </w:tcPr>
          <w:p w14:paraId="0C3F7EA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162,586 </w:t>
            </w:r>
          </w:p>
        </w:tc>
        <w:tc>
          <w:tcPr>
            <w:tcW w:w="560" w:type="pct"/>
            <w:tcBorders>
              <w:left w:val="nil"/>
              <w:bottom w:val="single" w:sz="4" w:space="0" w:color="auto"/>
              <w:right w:val="nil"/>
            </w:tcBorders>
            <w:shd w:val="clear" w:color="auto" w:fill="auto"/>
            <w:noWrap/>
            <w:vAlign w:val="bottom"/>
            <w:hideMark/>
          </w:tcPr>
          <w:p w14:paraId="0C3F7EA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261,912 </w:t>
            </w:r>
          </w:p>
        </w:tc>
        <w:tc>
          <w:tcPr>
            <w:tcW w:w="520" w:type="pct"/>
            <w:tcBorders>
              <w:left w:val="nil"/>
              <w:bottom w:val="single" w:sz="4" w:space="0" w:color="auto"/>
              <w:right w:val="nil"/>
            </w:tcBorders>
            <w:shd w:val="clear" w:color="000000" w:fill="FFC000"/>
            <w:noWrap/>
            <w:vAlign w:val="bottom"/>
            <w:hideMark/>
          </w:tcPr>
          <w:p w14:paraId="0C3F7EA2"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144,481 </w:t>
            </w:r>
          </w:p>
        </w:tc>
        <w:tc>
          <w:tcPr>
            <w:tcW w:w="566" w:type="pct"/>
            <w:tcBorders>
              <w:left w:val="nil"/>
              <w:bottom w:val="single" w:sz="4" w:space="0" w:color="auto"/>
              <w:right w:val="nil"/>
            </w:tcBorders>
            <w:shd w:val="clear" w:color="000000" w:fill="FF0000"/>
            <w:noWrap/>
            <w:vAlign w:val="bottom"/>
            <w:hideMark/>
          </w:tcPr>
          <w:p w14:paraId="0C3F7EA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847,617 </w:t>
            </w:r>
          </w:p>
        </w:tc>
        <w:tc>
          <w:tcPr>
            <w:tcW w:w="520" w:type="pct"/>
            <w:tcBorders>
              <w:left w:val="nil"/>
              <w:bottom w:val="single" w:sz="4" w:space="0" w:color="auto"/>
              <w:right w:val="nil"/>
            </w:tcBorders>
            <w:shd w:val="clear" w:color="000000" w:fill="FF0000"/>
            <w:noWrap/>
            <w:vAlign w:val="bottom"/>
            <w:hideMark/>
          </w:tcPr>
          <w:p w14:paraId="0C3F7EA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216,956 </w:t>
            </w:r>
          </w:p>
        </w:tc>
        <w:tc>
          <w:tcPr>
            <w:tcW w:w="520" w:type="pct"/>
            <w:tcBorders>
              <w:left w:val="nil"/>
              <w:bottom w:val="single" w:sz="4" w:space="0" w:color="auto"/>
              <w:right w:val="nil"/>
            </w:tcBorders>
            <w:shd w:val="clear" w:color="000000" w:fill="FF0000"/>
            <w:noWrap/>
            <w:vAlign w:val="bottom"/>
            <w:hideMark/>
          </w:tcPr>
          <w:p w14:paraId="0C3F7EA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179,755 </w:t>
            </w:r>
          </w:p>
        </w:tc>
      </w:tr>
      <w:tr w:rsidR="001850F0" w:rsidRPr="002D4C70" w14:paraId="0C3F7EB0" w14:textId="77777777" w:rsidTr="001850F0">
        <w:trPr>
          <w:trHeight w:val="20"/>
        </w:trPr>
        <w:tc>
          <w:tcPr>
            <w:tcW w:w="562" w:type="pct"/>
            <w:vMerge w:val="restart"/>
            <w:tcBorders>
              <w:top w:val="single" w:sz="4" w:space="0" w:color="auto"/>
              <w:left w:val="nil"/>
              <w:right w:val="nil"/>
            </w:tcBorders>
            <w:shd w:val="clear" w:color="auto" w:fill="auto"/>
            <w:vAlign w:val="center"/>
            <w:hideMark/>
          </w:tcPr>
          <w:p w14:paraId="0C3F7EA7"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Mackay Whitsunday</w:t>
            </w:r>
          </w:p>
        </w:tc>
        <w:tc>
          <w:tcPr>
            <w:tcW w:w="632" w:type="pct"/>
            <w:tcBorders>
              <w:top w:val="single" w:sz="4" w:space="0" w:color="auto"/>
              <w:left w:val="nil"/>
              <w:bottom w:val="nil"/>
              <w:right w:val="nil"/>
            </w:tcBorders>
            <w:shd w:val="clear" w:color="auto" w:fill="auto"/>
            <w:noWrap/>
            <w:vAlign w:val="bottom"/>
            <w:hideMark/>
          </w:tcPr>
          <w:p w14:paraId="0C3F7EA8"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Proserpine</w:t>
            </w:r>
          </w:p>
        </w:tc>
        <w:tc>
          <w:tcPr>
            <w:tcW w:w="560" w:type="pct"/>
            <w:tcBorders>
              <w:top w:val="single" w:sz="4" w:space="0" w:color="auto"/>
              <w:left w:val="nil"/>
              <w:bottom w:val="nil"/>
              <w:right w:val="nil"/>
            </w:tcBorders>
            <w:shd w:val="clear" w:color="auto" w:fill="auto"/>
            <w:noWrap/>
            <w:vAlign w:val="bottom"/>
            <w:hideMark/>
          </w:tcPr>
          <w:p w14:paraId="0C3F7EA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14,632 </w:t>
            </w:r>
          </w:p>
        </w:tc>
        <w:tc>
          <w:tcPr>
            <w:tcW w:w="560" w:type="pct"/>
            <w:tcBorders>
              <w:top w:val="single" w:sz="4" w:space="0" w:color="auto"/>
              <w:left w:val="nil"/>
              <w:bottom w:val="nil"/>
              <w:right w:val="nil"/>
            </w:tcBorders>
            <w:shd w:val="clear" w:color="auto" w:fill="auto"/>
            <w:noWrap/>
            <w:vAlign w:val="bottom"/>
            <w:hideMark/>
          </w:tcPr>
          <w:p w14:paraId="0C3F7EA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23,617 </w:t>
            </w:r>
          </w:p>
        </w:tc>
        <w:tc>
          <w:tcPr>
            <w:tcW w:w="560" w:type="pct"/>
            <w:tcBorders>
              <w:top w:val="single" w:sz="4" w:space="0" w:color="auto"/>
              <w:left w:val="nil"/>
              <w:bottom w:val="nil"/>
              <w:right w:val="nil"/>
            </w:tcBorders>
            <w:shd w:val="clear" w:color="auto" w:fill="auto"/>
            <w:noWrap/>
            <w:vAlign w:val="bottom"/>
            <w:hideMark/>
          </w:tcPr>
          <w:p w14:paraId="0C3F7EA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20,620 </w:t>
            </w:r>
          </w:p>
        </w:tc>
        <w:tc>
          <w:tcPr>
            <w:tcW w:w="520" w:type="pct"/>
            <w:tcBorders>
              <w:top w:val="single" w:sz="4" w:space="0" w:color="auto"/>
              <w:left w:val="nil"/>
              <w:bottom w:val="nil"/>
              <w:right w:val="nil"/>
            </w:tcBorders>
            <w:shd w:val="clear" w:color="000000" w:fill="FF0000"/>
            <w:noWrap/>
            <w:vAlign w:val="bottom"/>
            <w:hideMark/>
          </w:tcPr>
          <w:p w14:paraId="0C3F7EA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52,304 </w:t>
            </w:r>
          </w:p>
        </w:tc>
        <w:tc>
          <w:tcPr>
            <w:tcW w:w="566" w:type="pct"/>
            <w:tcBorders>
              <w:top w:val="single" w:sz="4" w:space="0" w:color="auto"/>
              <w:left w:val="nil"/>
              <w:bottom w:val="nil"/>
              <w:right w:val="nil"/>
            </w:tcBorders>
            <w:shd w:val="clear" w:color="000000" w:fill="FF0000"/>
            <w:noWrap/>
            <w:vAlign w:val="bottom"/>
            <w:hideMark/>
          </w:tcPr>
          <w:p w14:paraId="0C3F7EA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346,248 </w:t>
            </w:r>
          </w:p>
        </w:tc>
        <w:tc>
          <w:tcPr>
            <w:tcW w:w="520" w:type="pct"/>
            <w:tcBorders>
              <w:top w:val="single" w:sz="4" w:space="0" w:color="auto"/>
              <w:left w:val="nil"/>
              <w:bottom w:val="nil"/>
              <w:right w:val="nil"/>
            </w:tcBorders>
            <w:shd w:val="clear" w:color="000000" w:fill="FF0000"/>
            <w:noWrap/>
            <w:vAlign w:val="bottom"/>
            <w:hideMark/>
          </w:tcPr>
          <w:p w14:paraId="0C3F7EA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51,927 </w:t>
            </w:r>
          </w:p>
        </w:tc>
        <w:tc>
          <w:tcPr>
            <w:tcW w:w="520" w:type="pct"/>
            <w:tcBorders>
              <w:top w:val="single" w:sz="4" w:space="0" w:color="auto"/>
              <w:left w:val="nil"/>
              <w:bottom w:val="nil"/>
              <w:right w:val="nil"/>
            </w:tcBorders>
            <w:shd w:val="clear" w:color="000000" w:fill="FFC000"/>
            <w:noWrap/>
            <w:vAlign w:val="bottom"/>
            <w:hideMark/>
          </w:tcPr>
          <w:p w14:paraId="0C3F7EAF"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37,411 </w:t>
            </w:r>
          </w:p>
        </w:tc>
      </w:tr>
      <w:tr w:rsidR="001850F0" w:rsidRPr="002D4C70" w14:paraId="0C3F7EBA" w14:textId="77777777" w:rsidTr="001850F0">
        <w:trPr>
          <w:trHeight w:val="20"/>
        </w:trPr>
        <w:tc>
          <w:tcPr>
            <w:tcW w:w="562" w:type="pct"/>
            <w:vMerge/>
            <w:tcBorders>
              <w:left w:val="nil"/>
              <w:right w:val="nil"/>
            </w:tcBorders>
            <w:shd w:val="clear" w:color="auto" w:fill="auto"/>
            <w:vAlign w:val="center"/>
            <w:hideMark/>
          </w:tcPr>
          <w:p w14:paraId="0C3F7EB1"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B2"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O'Connell</w:t>
            </w:r>
          </w:p>
        </w:tc>
        <w:tc>
          <w:tcPr>
            <w:tcW w:w="560" w:type="pct"/>
            <w:tcBorders>
              <w:top w:val="nil"/>
              <w:left w:val="nil"/>
              <w:bottom w:val="nil"/>
              <w:right w:val="nil"/>
            </w:tcBorders>
            <w:shd w:val="clear" w:color="auto" w:fill="auto"/>
            <w:noWrap/>
            <w:vAlign w:val="bottom"/>
            <w:hideMark/>
          </w:tcPr>
          <w:p w14:paraId="0C3F7EB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307,272 </w:t>
            </w:r>
          </w:p>
        </w:tc>
        <w:tc>
          <w:tcPr>
            <w:tcW w:w="560" w:type="pct"/>
            <w:tcBorders>
              <w:top w:val="nil"/>
              <w:left w:val="nil"/>
              <w:bottom w:val="nil"/>
              <w:right w:val="nil"/>
            </w:tcBorders>
            <w:shd w:val="clear" w:color="auto" w:fill="auto"/>
            <w:noWrap/>
            <w:vAlign w:val="bottom"/>
            <w:hideMark/>
          </w:tcPr>
          <w:p w14:paraId="0C3F7EB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291,155 </w:t>
            </w:r>
          </w:p>
        </w:tc>
        <w:tc>
          <w:tcPr>
            <w:tcW w:w="560" w:type="pct"/>
            <w:tcBorders>
              <w:top w:val="nil"/>
              <w:left w:val="nil"/>
              <w:bottom w:val="nil"/>
              <w:right w:val="nil"/>
            </w:tcBorders>
            <w:shd w:val="clear" w:color="auto" w:fill="auto"/>
            <w:noWrap/>
            <w:vAlign w:val="bottom"/>
            <w:hideMark/>
          </w:tcPr>
          <w:p w14:paraId="0C3F7EB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208,999 </w:t>
            </w:r>
          </w:p>
        </w:tc>
        <w:tc>
          <w:tcPr>
            <w:tcW w:w="520" w:type="pct"/>
            <w:tcBorders>
              <w:top w:val="nil"/>
              <w:left w:val="nil"/>
              <w:bottom w:val="nil"/>
              <w:right w:val="nil"/>
            </w:tcBorders>
            <w:shd w:val="clear" w:color="auto" w:fill="auto"/>
            <w:noWrap/>
            <w:vAlign w:val="bottom"/>
            <w:hideMark/>
          </w:tcPr>
          <w:p w14:paraId="0C3F7EB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327,627 </w:t>
            </w:r>
          </w:p>
        </w:tc>
        <w:tc>
          <w:tcPr>
            <w:tcW w:w="566" w:type="pct"/>
            <w:tcBorders>
              <w:top w:val="nil"/>
              <w:left w:val="nil"/>
              <w:bottom w:val="nil"/>
              <w:right w:val="nil"/>
            </w:tcBorders>
            <w:shd w:val="clear" w:color="000000" w:fill="FFFF00"/>
            <w:noWrap/>
            <w:vAlign w:val="bottom"/>
            <w:hideMark/>
          </w:tcPr>
          <w:p w14:paraId="0C3F7EB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587,525 </w:t>
            </w:r>
          </w:p>
        </w:tc>
        <w:tc>
          <w:tcPr>
            <w:tcW w:w="520" w:type="pct"/>
            <w:tcBorders>
              <w:top w:val="nil"/>
              <w:left w:val="nil"/>
              <w:bottom w:val="nil"/>
              <w:right w:val="nil"/>
            </w:tcBorders>
            <w:shd w:val="clear" w:color="auto" w:fill="auto"/>
            <w:noWrap/>
            <w:vAlign w:val="bottom"/>
            <w:hideMark/>
          </w:tcPr>
          <w:p w14:paraId="0C3F7EB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278,370 </w:t>
            </w:r>
          </w:p>
        </w:tc>
        <w:tc>
          <w:tcPr>
            <w:tcW w:w="520" w:type="pct"/>
            <w:tcBorders>
              <w:top w:val="nil"/>
              <w:left w:val="nil"/>
              <w:bottom w:val="nil"/>
              <w:right w:val="nil"/>
            </w:tcBorders>
            <w:shd w:val="clear" w:color="auto" w:fill="auto"/>
            <w:noWrap/>
            <w:vAlign w:val="bottom"/>
            <w:hideMark/>
          </w:tcPr>
          <w:p w14:paraId="0C3F7EB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109,094 </w:t>
            </w:r>
          </w:p>
        </w:tc>
      </w:tr>
      <w:tr w:rsidR="001850F0" w:rsidRPr="002D4C70" w14:paraId="0C3F7EC4" w14:textId="77777777" w:rsidTr="001850F0">
        <w:trPr>
          <w:trHeight w:val="20"/>
        </w:trPr>
        <w:tc>
          <w:tcPr>
            <w:tcW w:w="562" w:type="pct"/>
            <w:vMerge/>
            <w:tcBorders>
              <w:left w:val="nil"/>
              <w:right w:val="nil"/>
            </w:tcBorders>
            <w:shd w:val="clear" w:color="auto" w:fill="auto"/>
            <w:vAlign w:val="center"/>
            <w:hideMark/>
          </w:tcPr>
          <w:p w14:paraId="0C3F7EBB"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BC"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 xml:space="preserve">Pioneer </w:t>
            </w:r>
          </w:p>
        </w:tc>
        <w:tc>
          <w:tcPr>
            <w:tcW w:w="560" w:type="pct"/>
            <w:tcBorders>
              <w:top w:val="nil"/>
              <w:left w:val="nil"/>
              <w:bottom w:val="nil"/>
              <w:right w:val="nil"/>
            </w:tcBorders>
            <w:shd w:val="clear" w:color="auto" w:fill="auto"/>
            <w:noWrap/>
            <w:vAlign w:val="bottom"/>
            <w:hideMark/>
          </w:tcPr>
          <w:p w14:paraId="0C3F7EB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355,317 </w:t>
            </w:r>
          </w:p>
        </w:tc>
        <w:tc>
          <w:tcPr>
            <w:tcW w:w="560" w:type="pct"/>
            <w:tcBorders>
              <w:top w:val="nil"/>
              <w:left w:val="nil"/>
              <w:bottom w:val="nil"/>
              <w:right w:val="nil"/>
            </w:tcBorders>
            <w:shd w:val="clear" w:color="auto" w:fill="auto"/>
            <w:noWrap/>
            <w:vAlign w:val="bottom"/>
            <w:hideMark/>
          </w:tcPr>
          <w:p w14:paraId="0C3F7EB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639,899 </w:t>
            </w:r>
          </w:p>
        </w:tc>
        <w:tc>
          <w:tcPr>
            <w:tcW w:w="560" w:type="pct"/>
            <w:tcBorders>
              <w:top w:val="nil"/>
              <w:left w:val="nil"/>
              <w:bottom w:val="nil"/>
              <w:right w:val="nil"/>
            </w:tcBorders>
            <w:shd w:val="clear" w:color="auto" w:fill="auto"/>
            <w:noWrap/>
            <w:vAlign w:val="bottom"/>
            <w:hideMark/>
          </w:tcPr>
          <w:p w14:paraId="0C3F7EB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733,958 </w:t>
            </w:r>
          </w:p>
        </w:tc>
        <w:tc>
          <w:tcPr>
            <w:tcW w:w="520" w:type="pct"/>
            <w:tcBorders>
              <w:top w:val="nil"/>
              <w:left w:val="nil"/>
              <w:bottom w:val="nil"/>
              <w:right w:val="nil"/>
            </w:tcBorders>
            <w:shd w:val="clear" w:color="000000" w:fill="FF0000"/>
            <w:noWrap/>
            <w:vAlign w:val="bottom"/>
            <w:hideMark/>
          </w:tcPr>
          <w:p w14:paraId="0C3F7EC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1,183,875 </w:t>
            </w:r>
          </w:p>
        </w:tc>
        <w:tc>
          <w:tcPr>
            <w:tcW w:w="566" w:type="pct"/>
            <w:tcBorders>
              <w:top w:val="nil"/>
              <w:left w:val="nil"/>
              <w:bottom w:val="nil"/>
              <w:right w:val="nil"/>
            </w:tcBorders>
            <w:shd w:val="clear" w:color="000000" w:fill="FF0000"/>
            <w:noWrap/>
            <w:vAlign w:val="bottom"/>
            <w:hideMark/>
          </w:tcPr>
          <w:p w14:paraId="0C3F7EC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3,284,668 </w:t>
            </w:r>
          </w:p>
        </w:tc>
        <w:tc>
          <w:tcPr>
            <w:tcW w:w="520" w:type="pct"/>
            <w:tcBorders>
              <w:top w:val="nil"/>
              <w:left w:val="nil"/>
              <w:bottom w:val="nil"/>
              <w:right w:val="nil"/>
            </w:tcBorders>
            <w:shd w:val="clear" w:color="000000" w:fill="FF0000"/>
            <w:noWrap/>
            <w:vAlign w:val="bottom"/>
            <w:hideMark/>
          </w:tcPr>
          <w:p w14:paraId="0C3F7EC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1,312,054 </w:t>
            </w:r>
          </w:p>
        </w:tc>
        <w:tc>
          <w:tcPr>
            <w:tcW w:w="520" w:type="pct"/>
            <w:tcBorders>
              <w:top w:val="nil"/>
              <w:left w:val="nil"/>
              <w:bottom w:val="nil"/>
              <w:right w:val="nil"/>
            </w:tcBorders>
            <w:shd w:val="clear" w:color="000000" w:fill="FFC000"/>
            <w:noWrap/>
            <w:vAlign w:val="bottom"/>
            <w:hideMark/>
          </w:tcPr>
          <w:p w14:paraId="0C3F7EC3"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912,117 </w:t>
            </w:r>
          </w:p>
        </w:tc>
      </w:tr>
      <w:tr w:rsidR="001850F0" w:rsidRPr="002D4C70" w14:paraId="0C3F7ECE" w14:textId="77777777" w:rsidTr="001850F0">
        <w:trPr>
          <w:trHeight w:val="20"/>
        </w:trPr>
        <w:tc>
          <w:tcPr>
            <w:tcW w:w="562" w:type="pct"/>
            <w:vMerge/>
            <w:tcBorders>
              <w:left w:val="nil"/>
              <w:bottom w:val="nil"/>
              <w:right w:val="nil"/>
            </w:tcBorders>
            <w:shd w:val="clear" w:color="auto" w:fill="auto"/>
            <w:vAlign w:val="center"/>
            <w:hideMark/>
          </w:tcPr>
          <w:p w14:paraId="0C3F7EC5"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C6"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Plane</w:t>
            </w:r>
          </w:p>
        </w:tc>
        <w:tc>
          <w:tcPr>
            <w:tcW w:w="560" w:type="pct"/>
            <w:tcBorders>
              <w:top w:val="nil"/>
              <w:left w:val="nil"/>
              <w:bottom w:val="nil"/>
              <w:right w:val="nil"/>
            </w:tcBorders>
            <w:shd w:val="clear" w:color="auto" w:fill="auto"/>
            <w:noWrap/>
            <w:vAlign w:val="bottom"/>
            <w:hideMark/>
          </w:tcPr>
          <w:p w14:paraId="0C3F7EC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142,404 </w:t>
            </w:r>
          </w:p>
        </w:tc>
        <w:tc>
          <w:tcPr>
            <w:tcW w:w="560" w:type="pct"/>
            <w:tcBorders>
              <w:top w:val="nil"/>
              <w:left w:val="nil"/>
              <w:bottom w:val="nil"/>
              <w:right w:val="nil"/>
            </w:tcBorders>
            <w:shd w:val="clear" w:color="auto" w:fill="auto"/>
            <w:noWrap/>
            <w:vAlign w:val="bottom"/>
            <w:hideMark/>
          </w:tcPr>
          <w:p w14:paraId="0C3F7EC8"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194,543 </w:t>
            </w:r>
          </w:p>
        </w:tc>
        <w:tc>
          <w:tcPr>
            <w:tcW w:w="560" w:type="pct"/>
            <w:tcBorders>
              <w:top w:val="nil"/>
              <w:left w:val="nil"/>
              <w:bottom w:val="nil"/>
              <w:right w:val="nil"/>
            </w:tcBorders>
            <w:shd w:val="clear" w:color="auto" w:fill="auto"/>
            <w:noWrap/>
            <w:vAlign w:val="bottom"/>
            <w:hideMark/>
          </w:tcPr>
          <w:p w14:paraId="0C3F7EC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220,784 </w:t>
            </w:r>
          </w:p>
        </w:tc>
        <w:tc>
          <w:tcPr>
            <w:tcW w:w="520" w:type="pct"/>
            <w:tcBorders>
              <w:top w:val="nil"/>
              <w:left w:val="nil"/>
              <w:bottom w:val="nil"/>
              <w:right w:val="nil"/>
            </w:tcBorders>
            <w:shd w:val="clear" w:color="000000" w:fill="FF0000"/>
            <w:noWrap/>
            <w:vAlign w:val="bottom"/>
            <w:hideMark/>
          </w:tcPr>
          <w:p w14:paraId="0C3F7EC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621,629 </w:t>
            </w:r>
          </w:p>
        </w:tc>
        <w:tc>
          <w:tcPr>
            <w:tcW w:w="566" w:type="pct"/>
            <w:tcBorders>
              <w:top w:val="nil"/>
              <w:left w:val="nil"/>
              <w:bottom w:val="nil"/>
              <w:right w:val="nil"/>
            </w:tcBorders>
            <w:shd w:val="clear" w:color="000000" w:fill="FF0000"/>
            <w:noWrap/>
            <w:vAlign w:val="bottom"/>
            <w:hideMark/>
          </w:tcPr>
          <w:p w14:paraId="0C3F7EC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866,229 </w:t>
            </w:r>
          </w:p>
        </w:tc>
        <w:tc>
          <w:tcPr>
            <w:tcW w:w="520" w:type="pct"/>
            <w:tcBorders>
              <w:top w:val="nil"/>
              <w:left w:val="nil"/>
              <w:bottom w:val="nil"/>
              <w:right w:val="nil"/>
            </w:tcBorders>
            <w:shd w:val="clear" w:color="000000" w:fill="FF0000"/>
            <w:noWrap/>
            <w:vAlign w:val="bottom"/>
            <w:hideMark/>
          </w:tcPr>
          <w:p w14:paraId="0C3F7EC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516,769 </w:t>
            </w:r>
          </w:p>
        </w:tc>
        <w:tc>
          <w:tcPr>
            <w:tcW w:w="520" w:type="pct"/>
            <w:tcBorders>
              <w:top w:val="nil"/>
              <w:left w:val="nil"/>
              <w:bottom w:val="nil"/>
              <w:right w:val="nil"/>
            </w:tcBorders>
            <w:shd w:val="clear" w:color="000000" w:fill="FFC000"/>
            <w:noWrap/>
            <w:vAlign w:val="bottom"/>
            <w:hideMark/>
          </w:tcPr>
          <w:p w14:paraId="0C3F7ECD"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382,404 </w:t>
            </w:r>
          </w:p>
        </w:tc>
      </w:tr>
      <w:tr w:rsidR="001850F0" w:rsidRPr="002D4C70" w14:paraId="0C3F7ED8" w14:textId="77777777" w:rsidTr="001850F0">
        <w:trPr>
          <w:trHeight w:val="20"/>
        </w:trPr>
        <w:tc>
          <w:tcPr>
            <w:tcW w:w="562" w:type="pct"/>
            <w:tcBorders>
              <w:top w:val="single" w:sz="4" w:space="0" w:color="auto"/>
              <w:left w:val="nil"/>
              <w:bottom w:val="nil"/>
              <w:right w:val="nil"/>
            </w:tcBorders>
            <w:shd w:val="clear" w:color="auto" w:fill="auto"/>
            <w:vAlign w:val="center"/>
            <w:hideMark/>
          </w:tcPr>
          <w:p w14:paraId="0C3F7ECF"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Fitzroy</w:t>
            </w:r>
          </w:p>
        </w:tc>
        <w:tc>
          <w:tcPr>
            <w:tcW w:w="632" w:type="pct"/>
            <w:tcBorders>
              <w:top w:val="single" w:sz="4" w:space="0" w:color="auto"/>
              <w:left w:val="nil"/>
              <w:bottom w:val="nil"/>
              <w:right w:val="nil"/>
            </w:tcBorders>
            <w:shd w:val="clear" w:color="auto" w:fill="auto"/>
            <w:noWrap/>
            <w:vAlign w:val="bottom"/>
            <w:hideMark/>
          </w:tcPr>
          <w:p w14:paraId="0C3F7ED0"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Fitzroy</w:t>
            </w:r>
          </w:p>
        </w:tc>
        <w:tc>
          <w:tcPr>
            <w:tcW w:w="560" w:type="pct"/>
            <w:tcBorders>
              <w:top w:val="single" w:sz="4" w:space="0" w:color="auto"/>
              <w:left w:val="nil"/>
              <w:bottom w:val="nil"/>
              <w:right w:val="nil"/>
            </w:tcBorders>
            <w:shd w:val="clear" w:color="auto" w:fill="auto"/>
            <w:noWrap/>
            <w:vAlign w:val="bottom"/>
            <w:hideMark/>
          </w:tcPr>
          <w:p w14:paraId="0C3F7ED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2,899,842 </w:t>
            </w:r>
          </w:p>
        </w:tc>
        <w:tc>
          <w:tcPr>
            <w:tcW w:w="560" w:type="pct"/>
            <w:tcBorders>
              <w:top w:val="single" w:sz="4" w:space="0" w:color="auto"/>
              <w:left w:val="nil"/>
              <w:bottom w:val="nil"/>
              <w:right w:val="nil"/>
            </w:tcBorders>
            <w:shd w:val="clear" w:color="auto" w:fill="auto"/>
            <w:noWrap/>
            <w:vAlign w:val="bottom"/>
            <w:hideMark/>
          </w:tcPr>
          <w:p w14:paraId="0C3F7ED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4,690,607 </w:t>
            </w:r>
          </w:p>
        </w:tc>
        <w:tc>
          <w:tcPr>
            <w:tcW w:w="560" w:type="pct"/>
            <w:tcBorders>
              <w:top w:val="single" w:sz="4" w:space="0" w:color="auto"/>
              <w:left w:val="nil"/>
              <w:bottom w:val="nil"/>
              <w:right w:val="nil"/>
            </w:tcBorders>
            <w:shd w:val="clear" w:color="auto" w:fill="auto"/>
            <w:noWrap/>
            <w:vAlign w:val="bottom"/>
            <w:hideMark/>
          </w:tcPr>
          <w:p w14:paraId="0C3F7ED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5,564,305 </w:t>
            </w:r>
          </w:p>
        </w:tc>
        <w:tc>
          <w:tcPr>
            <w:tcW w:w="520" w:type="pct"/>
            <w:tcBorders>
              <w:top w:val="single" w:sz="4" w:space="0" w:color="auto"/>
              <w:left w:val="nil"/>
              <w:bottom w:val="nil"/>
              <w:right w:val="nil"/>
            </w:tcBorders>
            <w:shd w:val="clear" w:color="000000" w:fill="FF0000"/>
            <w:noWrap/>
            <w:vAlign w:val="bottom"/>
            <w:hideMark/>
          </w:tcPr>
          <w:p w14:paraId="0C3F7ED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11,755,415 </w:t>
            </w:r>
          </w:p>
        </w:tc>
        <w:tc>
          <w:tcPr>
            <w:tcW w:w="566" w:type="pct"/>
            <w:tcBorders>
              <w:top w:val="single" w:sz="4" w:space="0" w:color="auto"/>
              <w:left w:val="nil"/>
              <w:bottom w:val="nil"/>
              <w:right w:val="nil"/>
            </w:tcBorders>
            <w:shd w:val="clear" w:color="000000" w:fill="FF0000"/>
            <w:noWrap/>
            <w:vAlign w:val="bottom"/>
            <w:hideMark/>
          </w:tcPr>
          <w:p w14:paraId="0C3F7ED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37,942,149 </w:t>
            </w:r>
          </w:p>
        </w:tc>
        <w:tc>
          <w:tcPr>
            <w:tcW w:w="520" w:type="pct"/>
            <w:tcBorders>
              <w:top w:val="single" w:sz="4" w:space="0" w:color="auto"/>
              <w:left w:val="nil"/>
              <w:bottom w:val="nil"/>
              <w:right w:val="nil"/>
            </w:tcBorders>
            <w:shd w:val="clear" w:color="000000" w:fill="FFC000"/>
            <w:noWrap/>
            <w:vAlign w:val="bottom"/>
            <w:hideMark/>
          </w:tcPr>
          <w:p w14:paraId="0C3F7ED6"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7,993,273 </w:t>
            </w:r>
          </w:p>
        </w:tc>
        <w:tc>
          <w:tcPr>
            <w:tcW w:w="520" w:type="pct"/>
            <w:tcBorders>
              <w:top w:val="single" w:sz="4" w:space="0" w:color="auto"/>
              <w:left w:val="nil"/>
              <w:bottom w:val="nil"/>
              <w:right w:val="nil"/>
            </w:tcBorders>
            <w:shd w:val="clear" w:color="000000" w:fill="FFC000"/>
            <w:noWrap/>
            <w:vAlign w:val="bottom"/>
            <w:hideMark/>
          </w:tcPr>
          <w:p w14:paraId="0C3F7ED7"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8,532,130 </w:t>
            </w:r>
          </w:p>
        </w:tc>
      </w:tr>
      <w:tr w:rsidR="001850F0" w:rsidRPr="002D4C70" w14:paraId="0C3F7EE2" w14:textId="77777777" w:rsidTr="001850F0">
        <w:trPr>
          <w:trHeight w:val="20"/>
        </w:trPr>
        <w:tc>
          <w:tcPr>
            <w:tcW w:w="562" w:type="pct"/>
            <w:vMerge w:val="restart"/>
            <w:tcBorders>
              <w:top w:val="single" w:sz="4" w:space="0" w:color="auto"/>
              <w:left w:val="nil"/>
              <w:bottom w:val="nil"/>
              <w:right w:val="nil"/>
            </w:tcBorders>
            <w:shd w:val="clear" w:color="auto" w:fill="auto"/>
            <w:vAlign w:val="center"/>
            <w:hideMark/>
          </w:tcPr>
          <w:p w14:paraId="0C3F7ED9"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Burnett-Mary</w:t>
            </w:r>
          </w:p>
        </w:tc>
        <w:tc>
          <w:tcPr>
            <w:tcW w:w="632" w:type="pct"/>
            <w:tcBorders>
              <w:top w:val="single" w:sz="4" w:space="0" w:color="auto"/>
              <w:left w:val="nil"/>
              <w:bottom w:val="nil"/>
              <w:right w:val="nil"/>
            </w:tcBorders>
            <w:shd w:val="clear" w:color="auto" w:fill="auto"/>
            <w:noWrap/>
            <w:vAlign w:val="bottom"/>
            <w:hideMark/>
          </w:tcPr>
          <w:p w14:paraId="0C3F7EDA"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Burnett</w:t>
            </w:r>
          </w:p>
        </w:tc>
        <w:tc>
          <w:tcPr>
            <w:tcW w:w="560" w:type="pct"/>
            <w:tcBorders>
              <w:top w:val="single" w:sz="4" w:space="0" w:color="auto"/>
              <w:left w:val="nil"/>
              <w:bottom w:val="nil"/>
              <w:right w:val="nil"/>
            </w:tcBorders>
            <w:shd w:val="clear" w:color="auto" w:fill="auto"/>
            <w:noWrap/>
            <w:vAlign w:val="bottom"/>
            <w:hideMark/>
          </w:tcPr>
          <w:p w14:paraId="0C3F7ED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282,151 </w:t>
            </w:r>
          </w:p>
        </w:tc>
        <w:tc>
          <w:tcPr>
            <w:tcW w:w="560" w:type="pct"/>
            <w:tcBorders>
              <w:top w:val="single" w:sz="4" w:space="0" w:color="auto"/>
              <w:left w:val="nil"/>
              <w:bottom w:val="nil"/>
              <w:right w:val="nil"/>
            </w:tcBorders>
            <w:shd w:val="clear" w:color="auto" w:fill="auto"/>
            <w:noWrap/>
            <w:vAlign w:val="bottom"/>
            <w:hideMark/>
          </w:tcPr>
          <w:p w14:paraId="0C3F7EDC"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374,103 </w:t>
            </w:r>
          </w:p>
        </w:tc>
        <w:tc>
          <w:tcPr>
            <w:tcW w:w="560" w:type="pct"/>
            <w:tcBorders>
              <w:top w:val="single" w:sz="4" w:space="0" w:color="auto"/>
              <w:left w:val="nil"/>
              <w:bottom w:val="nil"/>
              <w:right w:val="nil"/>
            </w:tcBorders>
            <w:shd w:val="clear" w:color="auto" w:fill="auto"/>
            <w:noWrap/>
            <w:vAlign w:val="bottom"/>
            <w:hideMark/>
          </w:tcPr>
          <w:p w14:paraId="0C3F7EDD"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362,186 </w:t>
            </w:r>
          </w:p>
        </w:tc>
        <w:tc>
          <w:tcPr>
            <w:tcW w:w="520" w:type="pct"/>
            <w:tcBorders>
              <w:top w:val="single" w:sz="4" w:space="0" w:color="auto"/>
              <w:left w:val="nil"/>
              <w:bottom w:val="nil"/>
              <w:right w:val="nil"/>
            </w:tcBorders>
            <w:shd w:val="clear" w:color="000000" w:fill="FF0000"/>
            <w:noWrap/>
            <w:vAlign w:val="bottom"/>
            <w:hideMark/>
          </w:tcPr>
          <w:p w14:paraId="0C3F7EDE"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1,022,820 </w:t>
            </w:r>
          </w:p>
        </w:tc>
        <w:tc>
          <w:tcPr>
            <w:tcW w:w="566" w:type="pct"/>
            <w:tcBorders>
              <w:top w:val="single" w:sz="4" w:space="0" w:color="auto"/>
              <w:left w:val="nil"/>
              <w:bottom w:val="nil"/>
              <w:right w:val="nil"/>
            </w:tcBorders>
            <w:shd w:val="clear" w:color="000000" w:fill="FF0000"/>
            <w:noWrap/>
            <w:vAlign w:val="bottom"/>
            <w:hideMark/>
          </w:tcPr>
          <w:p w14:paraId="0C3F7ED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8,565,016 </w:t>
            </w:r>
          </w:p>
        </w:tc>
        <w:tc>
          <w:tcPr>
            <w:tcW w:w="520" w:type="pct"/>
            <w:tcBorders>
              <w:top w:val="single" w:sz="4" w:space="0" w:color="auto"/>
              <w:left w:val="nil"/>
              <w:bottom w:val="nil"/>
              <w:right w:val="nil"/>
            </w:tcBorders>
            <w:shd w:val="clear" w:color="000000" w:fill="FFC000"/>
            <w:noWrap/>
            <w:vAlign w:val="bottom"/>
            <w:hideMark/>
          </w:tcPr>
          <w:p w14:paraId="0C3F7EE0"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584,670 </w:t>
            </w:r>
          </w:p>
        </w:tc>
        <w:tc>
          <w:tcPr>
            <w:tcW w:w="520" w:type="pct"/>
            <w:tcBorders>
              <w:top w:val="single" w:sz="4" w:space="0" w:color="auto"/>
              <w:left w:val="nil"/>
              <w:bottom w:val="nil"/>
              <w:right w:val="nil"/>
            </w:tcBorders>
            <w:shd w:val="clear" w:color="000000" w:fill="FF0000"/>
            <w:noWrap/>
            <w:vAlign w:val="bottom"/>
            <w:hideMark/>
          </w:tcPr>
          <w:p w14:paraId="0C3F7EE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6,884,668 </w:t>
            </w:r>
          </w:p>
        </w:tc>
      </w:tr>
      <w:tr w:rsidR="001850F0" w:rsidRPr="002D4C70" w14:paraId="0C3F7EEC" w14:textId="77777777" w:rsidTr="001850F0">
        <w:trPr>
          <w:trHeight w:val="20"/>
        </w:trPr>
        <w:tc>
          <w:tcPr>
            <w:tcW w:w="562" w:type="pct"/>
            <w:vMerge/>
            <w:tcBorders>
              <w:top w:val="single" w:sz="4" w:space="0" w:color="auto"/>
              <w:left w:val="nil"/>
              <w:bottom w:val="nil"/>
              <w:right w:val="nil"/>
            </w:tcBorders>
            <w:vAlign w:val="center"/>
            <w:hideMark/>
          </w:tcPr>
          <w:p w14:paraId="0C3F7EE3" w14:textId="77777777" w:rsidR="001850F0" w:rsidRPr="00070E4B" w:rsidRDefault="001850F0" w:rsidP="001850F0">
            <w:pPr>
              <w:spacing w:before="0" w:after="0" w:line="0" w:lineRule="atLeast"/>
              <w:jc w:val="left"/>
              <w:rPr>
                <w:rFonts w:ascii="Calibri" w:hAnsi="Calibri" w:cs="Times New Roman"/>
                <w:b/>
                <w:bCs/>
                <w:color w:val="000000"/>
                <w:sz w:val="18"/>
                <w:szCs w:val="16"/>
              </w:rPr>
            </w:pPr>
          </w:p>
        </w:tc>
        <w:tc>
          <w:tcPr>
            <w:tcW w:w="632" w:type="pct"/>
            <w:tcBorders>
              <w:top w:val="nil"/>
              <w:left w:val="nil"/>
              <w:bottom w:val="nil"/>
              <w:right w:val="nil"/>
            </w:tcBorders>
            <w:shd w:val="clear" w:color="auto" w:fill="auto"/>
            <w:noWrap/>
            <w:vAlign w:val="bottom"/>
            <w:hideMark/>
          </w:tcPr>
          <w:p w14:paraId="0C3F7EE4"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Mary River</w:t>
            </w:r>
          </w:p>
        </w:tc>
        <w:tc>
          <w:tcPr>
            <w:tcW w:w="560" w:type="pct"/>
            <w:tcBorders>
              <w:top w:val="nil"/>
              <w:left w:val="nil"/>
              <w:bottom w:val="nil"/>
              <w:right w:val="nil"/>
            </w:tcBorders>
            <w:shd w:val="clear" w:color="auto" w:fill="auto"/>
            <w:noWrap/>
            <w:vAlign w:val="bottom"/>
            <w:hideMark/>
          </w:tcPr>
          <w:p w14:paraId="0C3F7EE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696,590 </w:t>
            </w:r>
          </w:p>
        </w:tc>
        <w:tc>
          <w:tcPr>
            <w:tcW w:w="560" w:type="pct"/>
            <w:tcBorders>
              <w:top w:val="nil"/>
              <w:left w:val="nil"/>
              <w:bottom w:val="nil"/>
              <w:right w:val="nil"/>
            </w:tcBorders>
            <w:shd w:val="clear" w:color="auto" w:fill="auto"/>
            <w:noWrap/>
            <w:vAlign w:val="bottom"/>
            <w:hideMark/>
          </w:tcPr>
          <w:p w14:paraId="0C3F7EE6"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1,257,673 </w:t>
            </w:r>
          </w:p>
        </w:tc>
        <w:tc>
          <w:tcPr>
            <w:tcW w:w="560" w:type="pct"/>
            <w:tcBorders>
              <w:top w:val="nil"/>
              <w:left w:val="nil"/>
              <w:bottom w:val="nil"/>
              <w:right w:val="nil"/>
            </w:tcBorders>
            <w:shd w:val="clear" w:color="auto" w:fill="auto"/>
            <w:noWrap/>
            <w:vAlign w:val="bottom"/>
            <w:hideMark/>
          </w:tcPr>
          <w:p w14:paraId="0C3F7EE7"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1,353,771 </w:t>
            </w:r>
          </w:p>
        </w:tc>
        <w:tc>
          <w:tcPr>
            <w:tcW w:w="520" w:type="pct"/>
            <w:tcBorders>
              <w:top w:val="nil"/>
              <w:left w:val="nil"/>
              <w:bottom w:val="nil"/>
              <w:right w:val="nil"/>
            </w:tcBorders>
            <w:shd w:val="clear" w:color="000000" w:fill="FFC000"/>
            <w:noWrap/>
            <w:vAlign w:val="bottom"/>
            <w:hideMark/>
          </w:tcPr>
          <w:p w14:paraId="0C3F7EE8" w14:textId="77777777" w:rsidR="001850F0" w:rsidRPr="00070E4B" w:rsidRDefault="001850F0" w:rsidP="001850F0">
            <w:pPr>
              <w:spacing w:before="0" w:after="0" w:line="0" w:lineRule="atLeast"/>
              <w:jc w:val="right"/>
              <w:rPr>
                <w:rFonts w:ascii="Calibri" w:hAnsi="Calibri" w:cs="Times New Roman"/>
                <w:sz w:val="18"/>
                <w:szCs w:val="16"/>
              </w:rPr>
            </w:pPr>
            <w:r w:rsidRPr="00070E4B">
              <w:rPr>
                <w:rFonts w:ascii="Calibri" w:hAnsi="Calibri" w:cs="Times New Roman"/>
                <w:sz w:val="18"/>
                <w:szCs w:val="16"/>
              </w:rPr>
              <w:t xml:space="preserve">1,926,194 </w:t>
            </w:r>
          </w:p>
        </w:tc>
        <w:tc>
          <w:tcPr>
            <w:tcW w:w="566" w:type="pct"/>
            <w:tcBorders>
              <w:top w:val="nil"/>
              <w:left w:val="nil"/>
              <w:bottom w:val="nil"/>
              <w:right w:val="nil"/>
            </w:tcBorders>
            <w:shd w:val="clear" w:color="000000" w:fill="FF0000"/>
            <w:noWrap/>
            <w:vAlign w:val="bottom"/>
            <w:hideMark/>
          </w:tcPr>
          <w:p w14:paraId="0C3F7EE9"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6,227,933 </w:t>
            </w:r>
          </w:p>
        </w:tc>
        <w:tc>
          <w:tcPr>
            <w:tcW w:w="520" w:type="pct"/>
            <w:tcBorders>
              <w:top w:val="nil"/>
              <w:left w:val="nil"/>
              <w:bottom w:val="nil"/>
              <w:right w:val="nil"/>
            </w:tcBorders>
            <w:shd w:val="clear" w:color="000000" w:fill="FF0000"/>
            <w:noWrap/>
            <w:vAlign w:val="bottom"/>
            <w:hideMark/>
          </w:tcPr>
          <w:p w14:paraId="0C3F7EEA"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3,100,196 </w:t>
            </w:r>
          </w:p>
        </w:tc>
        <w:tc>
          <w:tcPr>
            <w:tcW w:w="520" w:type="pct"/>
            <w:tcBorders>
              <w:top w:val="nil"/>
              <w:left w:val="nil"/>
              <w:bottom w:val="nil"/>
              <w:right w:val="nil"/>
            </w:tcBorders>
            <w:shd w:val="clear" w:color="000000" w:fill="FF0000"/>
            <w:noWrap/>
            <w:vAlign w:val="bottom"/>
            <w:hideMark/>
          </w:tcPr>
          <w:p w14:paraId="0C3F7EEB"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5,464,353 </w:t>
            </w:r>
          </w:p>
        </w:tc>
      </w:tr>
      <w:tr w:rsidR="001850F0" w:rsidRPr="002D4C70" w14:paraId="0C3F7EF6" w14:textId="77777777" w:rsidTr="001850F0">
        <w:trPr>
          <w:trHeight w:val="20"/>
        </w:trPr>
        <w:tc>
          <w:tcPr>
            <w:tcW w:w="562" w:type="pct"/>
            <w:tcBorders>
              <w:top w:val="single" w:sz="4" w:space="0" w:color="auto"/>
              <w:left w:val="nil"/>
              <w:bottom w:val="single" w:sz="4" w:space="0" w:color="auto"/>
              <w:right w:val="nil"/>
            </w:tcBorders>
            <w:shd w:val="clear" w:color="auto" w:fill="auto"/>
            <w:vAlign w:val="center"/>
            <w:hideMark/>
          </w:tcPr>
          <w:p w14:paraId="0C3F7EED" w14:textId="77777777" w:rsidR="001850F0" w:rsidRPr="00070E4B" w:rsidRDefault="001850F0" w:rsidP="001850F0">
            <w:pPr>
              <w:spacing w:before="0" w:after="0" w:line="0" w:lineRule="atLeast"/>
              <w:jc w:val="left"/>
              <w:rPr>
                <w:rFonts w:ascii="Calibri" w:hAnsi="Calibri" w:cs="Times New Roman"/>
                <w:b/>
                <w:bCs/>
                <w:color w:val="000000"/>
                <w:sz w:val="18"/>
                <w:szCs w:val="16"/>
              </w:rPr>
            </w:pPr>
            <w:r w:rsidRPr="00070E4B">
              <w:rPr>
                <w:rFonts w:ascii="Calibri" w:hAnsi="Calibri" w:cs="Times New Roman"/>
                <w:b/>
                <w:bCs/>
                <w:color w:val="000000"/>
                <w:sz w:val="18"/>
                <w:szCs w:val="16"/>
              </w:rPr>
              <w:t>Total</w:t>
            </w:r>
          </w:p>
        </w:tc>
        <w:tc>
          <w:tcPr>
            <w:tcW w:w="632" w:type="pct"/>
            <w:tcBorders>
              <w:top w:val="single" w:sz="4" w:space="0" w:color="auto"/>
              <w:left w:val="nil"/>
              <w:bottom w:val="single" w:sz="4" w:space="0" w:color="auto"/>
              <w:right w:val="nil"/>
            </w:tcBorders>
            <w:shd w:val="clear" w:color="auto" w:fill="auto"/>
            <w:noWrap/>
            <w:vAlign w:val="bottom"/>
            <w:hideMark/>
          </w:tcPr>
          <w:p w14:paraId="0C3F7EEE" w14:textId="77777777" w:rsidR="001850F0" w:rsidRPr="00070E4B" w:rsidRDefault="001850F0" w:rsidP="001850F0">
            <w:pPr>
              <w:spacing w:before="0" w:after="0" w:line="0" w:lineRule="atLeast"/>
              <w:jc w:val="left"/>
              <w:rPr>
                <w:rFonts w:ascii="Calibri" w:hAnsi="Calibri" w:cs="Times New Roman"/>
                <w:color w:val="000000"/>
                <w:sz w:val="18"/>
                <w:szCs w:val="16"/>
              </w:rPr>
            </w:pPr>
            <w:r w:rsidRPr="00070E4B">
              <w:rPr>
                <w:rFonts w:ascii="Calibri" w:hAnsi="Calibri" w:cs="Times New Roman"/>
                <w:color w:val="000000"/>
                <w:sz w:val="18"/>
                <w:szCs w:val="16"/>
              </w:rPr>
              <w:t> </w:t>
            </w:r>
          </w:p>
        </w:tc>
        <w:tc>
          <w:tcPr>
            <w:tcW w:w="560" w:type="pct"/>
            <w:tcBorders>
              <w:top w:val="single" w:sz="4" w:space="0" w:color="auto"/>
              <w:left w:val="nil"/>
              <w:bottom w:val="single" w:sz="4" w:space="0" w:color="auto"/>
              <w:right w:val="nil"/>
            </w:tcBorders>
            <w:shd w:val="clear" w:color="auto" w:fill="auto"/>
            <w:noWrap/>
            <w:vAlign w:val="bottom"/>
            <w:hideMark/>
          </w:tcPr>
          <w:p w14:paraId="0C3F7EEF"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20,358,902 </w:t>
            </w:r>
          </w:p>
        </w:tc>
        <w:tc>
          <w:tcPr>
            <w:tcW w:w="560" w:type="pct"/>
            <w:tcBorders>
              <w:top w:val="single" w:sz="4" w:space="0" w:color="auto"/>
              <w:left w:val="nil"/>
              <w:bottom w:val="single" w:sz="4" w:space="0" w:color="auto"/>
              <w:right w:val="nil"/>
            </w:tcBorders>
            <w:shd w:val="clear" w:color="auto" w:fill="auto"/>
            <w:noWrap/>
            <w:vAlign w:val="bottom"/>
            <w:hideMark/>
          </w:tcPr>
          <w:p w14:paraId="0C3F7EF0"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25,730,656 </w:t>
            </w:r>
          </w:p>
        </w:tc>
        <w:tc>
          <w:tcPr>
            <w:tcW w:w="560" w:type="pct"/>
            <w:tcBorders>
              <w:top w:val="single" w:sz="4" w:space="0" w:color="auto"/>
              <w:left w:val="nil"/>
              <w:bottom w:val="single" w:sz="4" w:space="0" w:color="auto"/>
              <w:right w:val="nil"/>
            </w:tcBorders>
            <w:shd w:val="clear" w:color="auto" w:fill="auto"/>
            <w:noWrap/>
            <w:vAlign w:val="bottom"/>
            <w:hideMark/>
          </w:tcPr>
          <w:p w14:paraId="0C3F7EF1"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w:t>
            </w:r>
          </w:p>
        </w:tc>
        <w:tc>
          <w:tcPr>
            <w:tcW w:w="520" w:type="pct"/>
            <w:tcBorders>
              <w:top w:val="single" w:sz="4" w:space="0" w:color="auto"/>
              <w:left w:val="nil"/>
              <w:bottom w:val="single" w:sz="4" w:space="0" w:color="auto"/>
              <w:right w:val="nil"/>
            </w:tcBorders>
            <w:shd w:val="clear" w:color="auto" w:fill="auto"/>
            <w:noWrap/>
            <w:vAlign w:val="bottom"/>
            <w:hideMark/>
          </w:tcPr>
          <w:p w14:paraId="0C3F7EF2"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42,549,067 </w:t>
            </w:r>
          </w:p>
        </w:tc>
        <w:tc>
          <w:tcPr>
            <w:tcW w:w="566" w:type="pct"/>
            <w:tcBorders>
              <w:top w:val="single" w:sz="4" w:space="0" w:color="auto"/>
              <w:left w:val="nil"/>
              <w:bottom w:val="single" w:sz="4" w:space="0" w:color="auto"/>
              <w:right w:val="nil"/>
            </w:tcBorders>
            <w:shd w:val="clear" w:color="auto" w:fill="auto"/>
            <w:noWrap/>
            <w:vAlign w:val="bottom"/>
            <w:hideMark/>
          </w:tcPr>
          <w:p w14:paraId="0C3F7EF3"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132,026,835 </w:t>
            </w:r>
          </w:p>
        </w:tc>
        <w:tc>
          <w:tcPr>
            <w:tcW w:w="520" w:type="pct"/>
            <w:tcBorders>
              <w:top w:val="single" w:sz="4" w:space="0" w:color="auto"/>
              <w:left w:val="nil"/>
              <w:bottom w:val="single" w:sz="4" w:space="0" w:color="auto"/>
              <w:right w:val="nil"/>
            </w:tcBorders>
            <w:shd w:val="clear" w:color="auto" w:fill="auto"/>
            <w:noWrap/>
            <w:vAlign w:val="bottom"/>
            <w:hideMark/>
          </w:tcPr>
          <w:p w14:paraId="0C3F7EF4"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46,065,897 </w:t>
            </w:r>
          </w:p>
        </w:tc>
        <w:tc>
          <w:tcPr>
            <w:tcW w:w="520" w:type="pct"/>
            <w:tcBorders>
              <w:top w:val="single" w:sz="4" w:space="0" w:color="auto"/>
              <w:left w:val="nil"/>
              <w:bottom w:val="single" w:sz="4" w:space="0" w:color="auto"/>
              <w:right w:val="nil"/>
            </w:tcBorders>
            <w:shd w:val="clear" w:color="auto" w:fill="auto"/>
            <w:noWrap/>
            <w:vAlign w:val="bottom"/>
            <w:hideMark/>
          </w:tcPr>
          <w:p w14:paraId="0C3F7EF5" w14:textId="77777777" w:rsidR="001850F0" w:rsidRPr="00070E4B" w:rsidRDefault="001850F0" w:rsidP="001850F0">
            <w:pPr>
              <w:spacing w:before="0" w:after="0" w:line="0" w:lineRule="atLeast"/>
              <w:jc w:val="right"/>
              <w:rPr>
                <w:rFonts w:ascii="Calibri" w:hAnsi="Calibri" w:cs="Times New Roman"/>
                <w:color w:val="000000"/>
                <w:sz w:val="18"/>
                <w:szCs w:val="16"/>
              </w:rPr>
            </w:pPr>
            <w:r w:rsidRPr="00070E4B">
              <w:rPr>
                <w:rFonts w:ascii="Calibri" w:hAnsi="Calibri" w:cs="Times New Roman"/>
                <w:color w:val="000000"/>
                <w:sz w:val="18"/>
                <w:szCs w:val="16"/>
              </w:rPr>
              <w:t xml:space="preserve">39,037,974 </w:t>
            </w:r>
          </w:p>
        </w:tc>
      </w:tr>
    </w:tbl>
    <w:p w14:paraId="0C3F7EF7" w14:textId="77777777" w:rsidR="001850F0" w:rsidRPr="00330E11" w:rsidRDefault="001850F0" w:rsidP="00330E11">
      <w:pPr>
        <w:rPr>
          <w:rFonts w:cs="Arial"/>
          <w:sz w:val="20"/>
          <w:szCs w:val="20"/>
        </w:rPr>
      </w:pPr>
    </w:p>
    <w:p w14:paraId="0C3F7EF8" w14:textId="77777777" w:rsidR="00330E11" w:rsidRDefault="00330E11" w:rsidP="00482CB4">
      <w:pPr>
        <w:sectPr w:rsidR="00330E11" w:rsidSect="00330E11">
          <w:pgSz w:w="16840" w:h="11907" w:orient="landscape" w:code="9"/>
          <w:pgMar w:top="1440" w:right="1440" w:bottom="1260" w:left="1440" w:header="680" w:footer="851" w:gutter="0"/>
          <w:cols w:space="708"/>
          <w:docGrid w:linePitch="326"/>
        </w:sectPr>
      </w:pPr>
    </w:p>
    <w:p w14:paraId="0C3F7EF9" w14:textId="77777777" w:rsidR="00B62B50" w:rsidRDefault="00482CB4" w:rsidP="00330E11">
      <w:pPr>
        <w:pStyle w:val="Caption"/>
        <w:sectPr w:rsidR="00B62B50" w:rsidSect="00571B6D">
          <w:headerReference w:type="default" r:id="rId42"/>
          <w:footerReference w:type="default" r:id="rId43"/>
          <w:pgSz w:w="11907" w:h="16840" w:code="9"/>
          <w:pgMar w:top="1440" w:right="1440" w:bottom="1440" w:left="1440" w:header="680" w:footer="851" w:gutter="0"/>
          <w:cols w:space="708"/>
          <w:docGrid w:linePitch="326"/>
        </w:sectPr>
      </w:pPr>
      <w:r>
        <w:lastRenderedPageBreak/>
        <w:t xml:space="preserve">In the 2012-2013 wet season, seven rivers, located in four regions had flows that were greater than two times the long-term median. High flows were observed </w:t>
      </w:r>
      <w:r w:rsidR="001850F0">
        <w:t>from the southern Burdekin to</w:t>
      </w:r>
      <w:r>
        <w:t xml:space="preserve"> </w:t>
      </w:r>
      <w:r w:rsidRPr="00DA5FFC">
        <w:t>the Burnett-Mary region</w:t>
      </w:r>
      <w:r>
        <w:t>s, where the total flow for the hydrological year (ca., from Oct, 1</w:t>
      </w:r>
      <w:r w:rsidRPr="00482CB4">
        <w:rPr>
          <w:vertAlign w:val="superscript"/>
        </w:rPr>
        <w:t>st</w:t>
      </w:r>
      <w:r>
        <w:t xml:space="preserve"> to Sep, 30</w:t>
      </w:r>
      <w:r w:rsidRPr="00482CB4">
        <w:rPr>
          <w:vertAlign w:val="superscript"/>
        </w:rPr>
        <w:t>th</w:t>
      </w:r>
      <w:r>
        <w:t>) exceeded the long-term median discharge by 2 and 3 times, respectively (</w:t>
      </w:r>
      <w:r>
        <w:fldChar w:fldCharType="begin"/>
      </w:r>
      <w:r>
        <w:instrText xml:space="preserve"> REF _Ref428870999 \h </w:instrText>
      </w:r>
      <w:r>
        <w:fldChar w:fldCharType="separate"/>
      </w:r>
    </w:p>
    <w:p w14:paraId="0C3F7EFA" w14:textId="77777777" w:rsidR="00482CB4" w:rsidRDefault="00B62B50" w:rsidP="00482CB4">
      <w:r w:rsidRPr="00330E11">
        <w:rPr>
          <w:sz w:val="20"/>
          <w:szCs w:val="20"/>
        </w:rPr>
        <w:lastRenderedPageBreak/>
        <w:t xml:space="preserve">Table </w:t>
      </w:r>
      <w:r>
        <w:rPr>
          <w:noProof/>
          <w:sz w:val="20"/>
          <w:szCs w:val="20"/>
        </w:rPr>
        <w:t>3</w:t>
      </w:r>
      <w:r>
        <w:rPr>
          <w:sz w:val="20"/>
          <w:szCs w:val="20"/>
        </w:rPr>
        <w:noBreakHyphen/>
      </w:r>
      <w:r>
        <w:rPr>
          <w:noProof/>
          <w:sz w:val="20"/>
          <w:szCs w:val="20"/>
        </w:rPr>
        <w:t>1</w:t>
      </w:r>
      <w:r w:rsidR="00482CB4">
        <w:fldChar w:fldCharType="end"/>
      </w:r>
      <w:r w:rsidR="00482CB4">
        <w:t>).</w:t>
      </w:r>
      <w:r w:rsidR="00482CB4" w:rsidRPr="00212601">
        <w:t xml:space="preserve"> </w:t>
      </w:r>
    </w:p>
    <w:p w14:paraId="0C3F7EFB" w14:textId="77777777" w:rsidR="00330E11" w:rsidRPr="00482CB4" w:rsidRDefault="00330E11" w:rsidP="00330E11">
      <w:pPr>
        <w:rPr>
          <w:sz w:val="18"/>
        </w:rPr>
      </w:pPr>
      <w:r>
        <w:t>I</w:t>
      </w:r>
      <w:r w:rsidRPr="00D31D02">
        <w:t xml:space="preserve">n the </w:t>
      </w:r>
      <w:r>
        <w:t xml:space="preserve">Cape York and </w:t>
      </w:r>
      <w:r w:rsidRPr="00D31D02">
        <w:t>Wet Tropics region</w:t>
      </w:r>
      <w:r>
        <w:t xml:space="preserve">s, none of the main rivers exceeded the </w:t>
      </w:r>
      <w:r w:rsidRPr="00D31D02">
        <w:t xml:space="preserve">long-term median </w:t>
      </w:r>
      <w:r>
        <w:t>in 2012-13</w:t>
      </w:r>
      <w:r w:rsidRPr="00D31D02">
        <w:t>. The discharges from the southern rivers were much higher, with 201</w:t>
      </w:r>
      <w:r>
        <w:t>2</w:t>
      </w:r>
      <w:r w:rsidRPr="00D31D02">
        <w:t>-1</w:t>
      </w:r>
      <w:r>
        <w:t>3</w:t>
      </w:r>
      <w:r w:rsidRPr="00D31D02">
        <w:t xml:space="preserve"> flow exceeding long-term median by </w:t>
      </w:r>
      <w:r>
        <w:t xml:space="preserve">3.5 (Don), </w:t>
      </w:r>
      <w:r w:rsidRPr="00D31D02">
        <w:t>2.</w:t>
      </w:r>
      <w:r>
        <w:t xml:space="preserve">9 (Fitzroy), 2.9 (Burdekin) and 7.8 for the Mary River. </w:t>
      </w:r>
      <w:r w:rsidRPr="00D31D02">
        <w:t xml:space="preserve">The discharge from the </w:t>
      </w:r>
      <w:r>
        <w:t>Burnett</w:t>
      </w:r>
      <w:r w:rsidRPr="00D31D02">
        <w:t xml:space="preserve"> River was over </w:t>
      </w:r>
      <w:r>
        <w:t>6</w:t>
      </w:r>
      <w:r w:rsidRPr="00D31D02">
        <w:t xml:space="preserve"> million megalitres, </w:t>
      </w:r>
      <w:r>
        <w:t xml:space="preserve">which was 24 times greater </w:t>
      </w:r>
      <w:r w:rsidRPr="00D31D02">
        <w:t>the lo</w:t>
      </w:r>
      <w:r>
        <w:t xml:space="preserve">ng-term median flow. </w:t>
      </w:r>
      <w:r w:rsidRPr="00D31D02">
        <w:t xml:space="preserve">The summary of the plume events </w:t>
      </w:r>
      <w:r>
        <w:t>computed as</w:t>
      </w:r>
      <w:r w:rsidRPr="00D31D02">
        <w:t xml:space="preserve"> the number of days in which flow exceeded a long-term </w:t>
      </w:r>
      <w:r>
        <w:t>75</w:t>
      </w:r>
      <w:r w:rsidRPr="00482CB4">
        <w:rPr>
          <w:vertAlign w:val="superscript"/>
        </w:rPr>
        <w:t>th</w:t>
      </w:r>
      <w:r>
        <w:t xml:space="preserve"> and 95</w:t>
      </w:r>
      <w:r w:rsidRPr="00482CB4">
        <w:rPr>
          <w:vertAlign w:val="superscript"/>
        </w:rPr>
        <w:t>th</w:t>
      </w:r>
      <w:r w:rsidRPr="00D31D02">
        <w:t xml:space="preserve"> percentile is shown in</w:t>
      </w:r>
      <w:r>
        <w:t xml:space="preserve"> </w:t>
      </w:r>
      <w:r>
        <w:fldChar w:fldCharType="begin"/>
      </w:r>
      <w:r>
        <w:instrText xml:space="preserve"> REF _Ref428871099 \h </w:instrText>
      </w:r>
      <w:r>
        <w:fldChar w:fldCharType="separate"/>
      </w:r>
      <w:r w:rsidR="00B62B50">
        <w:t xml:space="preserve">Table </w:t>
      </w:r>
      <w:r w:rsidR="00B62B50">
        <w:rPr>
          <w:noProof/>
        </w:rPr>
        <w:t>3</w:t>
      </w:r>
      <w:r w:rsidR="00B62B50">
        <w:noBreakHyphen/>
      </w:r>
      <w:r w:rsidR="00B62B50">
        <w:rPr>
          <w:noProof/>
        </w:rPr>
        <w:t>2</w:t>
      </w:r>
      <w:r>
        <w:fldChar w:fldCharType="end"/>
      </w:r>
      <w:r w:rsidRPr="00D31D02">
        <w:t>.</w:t>
      </w:r>
      <w:r>
        <w:t xml:space="preserve"> Overall, all major rivers in the GBR had daily flow rates that exceeded the 75</w:t>
      </w:r>
      <w:r w:rsidRPr="00482CB4">
        <w:rPr>
          <w:vertAlign w:val="superscript"/>
        </w:rPr>
        <w:t>th</w:t>
      </w:r>
      <w:r>
        <w:t xml:space="preserve"> percentile for periods between 15 days and 2 months. The high frequency events that exceeded the 95</w:t>
      </w:r>
      <w:r w:rsidRPr="00482CB4">
        <w:rPr>
          <w:vertAlign w:val="superscript"/>
        </w:rPr>
        <w:t>th</w:t>
      </w:r>
      <w:r>
        <w:t xml:space="preserve"> percentile were in the southern part of the GBR, which was mainly associated with the passage of the </w:t>
      </w:r>
      <w:r w:rsidRPr="00DA5FFC">
        <w:t>Ex-tropical cyclone Oswald</w:t>
      </w:r>
      <w:r>
        <w:t>.</w:t>
      </w:r>
    </w:p>
    <w:p w14:paraId="0C3F7EFC" w14:textId="77777777" w:rsidR="00330E11" w:rsidRPr="00482CB4" w:rsidRDefault="00330E11" w:rsidP="00330E11">
      <w:pPr>
        <w:pStyle w:val="Caption"/>
      </w:pPr>
      <w:bookmarkStart w:id="50" w:name="_Ref428871099"/>
      <w:bookmarkStart w:id="51" w:name="_Toc434208067"/>
      <w:r>
        <w:t xml:space="preserve">Table </w:t>
      </w:r>
      <w:r w:rsidR="00AE4287">
        <w:fldChar w:fldCharType="begin"/>
      </w:r>
      <w:r w:rsidR="00AE4287">
        <w:instrText xml:space="preserve"> STYLEREF 1 \s </w:instrText>
      </w:r>
      <w:r w:rsidR="00AE4287">
        <w:fldChar w:fldCharType="separate"/>
      </w:r>
      <w:r w:rsidR="00B62B50">
        <w:rPr>
          <w:noProof/>
        </w:rPr>
        <w:t>3</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2</w:t>
      </w:r>
      <w:r w:rsidR="00AE4287">
        <w:fldChar w:fldCharType="end"/>
      </w:r>
      <w:bookmarkEnd w:id="50"/>
      <w:r>
        <w:t xml:space="preserve">: </w:t>
      </w:r>
      <w:r w:rsidRPr="00482CB4">
        <w:t>The 75</w:t>
      </w:r>
      <w:r w:rsidRPr="00482CB4">
        <w:rPr>
          <w:vertAlign w:val="superscript"/>
        </w:rPr>
        <w:t>th</w:t>
      </w:r>
      <w:r w:rsidRPr="00482CB4">
        <w:t xml:space="preserve"> and 95</w:t>
      </w:r>
      <w:r w:rsidRPr="00482CB4">
        <w:rPr>
          <w:vertAlign w:val="superscript"/>
        </w:rPr>
        <w:t>th</w:t>
      </w:r>
      <w:r w:rsidRPr="00482CB4">
        <w:t xml:space="preserve"> percentile flow (ML/day) for the major GBR rivers (based on flow between the beginning of the station to 2012-09-30 obtained from DNRM).</w:t>
      </w:r>
      <w:bookmarkEnd w:id="51"/>
    </w:p>
    <w:p w14:paraId="0C3F7EFD" w14:textId="77777777" w:rsidR="00330E11" w:rsidRPr="00482CB4" w:rsidRDefault="00330E11" w:rsidP="00330E11">
      <w:pPr>
        <w:rPr>
          <w:sz w:val="18"/>
        </w:rPr>
      </w:pPr>
    </w:p>
    <w:tbl>
      <w:tblPr>
        <w:tblW w:w="5043" w:type="pct"/>
        <w:tblLook w:val="04A0" w:firstRow="1" w:lastRow="0" w:firstColumn="1" w:lastColumn="0" w:noHBand="0" w:noVBand="1"/>
      </w:tblPr>
      <w:tblGrid>
        <w:gridCol w:w="1276"/>
        <w:gridCol w:w="1231"/>
        <w:gridCol w:w="1477"/>
        <w:gridCol w:w="1495"/>
        <w:gridCol w:w="1887"/>
        <w:gridCol w:w="1956"/>
      </w:tblGrid>
      <w:tr w:rsidR="00330E11" w:rsidRPr="00482CB4" w14:paraId="0C3F7F04" w14:textId="77777777" w:rsidTr="00630695">
        <w:trPr>
          <w:trHeight w:val="20"/>
        </w:trPr>
        <w:tc>
          <w:tcPr>
            <w:tcW w:w="685" w:type="pct"/>
            <w:tcBorders>
              <w:top w:val="single" w:sz="4" w:space="0" w:color="auto"/>
              <w:bottom w:val="single" w:sz="4" w:space="0" w:color="auto"/>
            </w:tcBorders>
            <w:shd w:val="clear" w:color="auto" w:fill="auto"/>
            <w:vAlign w:val="center"/>
            <w:hideMark/>
          </w:tcPr>
          <w:p w14:paraId="0C3F7EFE" w14:textId="77777777" w:rsidR="00330E11" w:rsidRPr="00482CB4" w:rsidRDefault="00330E11" w:rsidP="00630695">
            <w:pPr>
              <w:spacing w:before="0" w:after="0"/>
              <w:rPr>
                <w:rStyle w:val="BookTitle"/>
              </w:rPr>
            </w:pPr>
            <w:r w:rsidRPr="00482CB4">
              <w:rPr>
                <w:rStyle w:val="BookTitle"/>
              </w:rPr>
              <w:t>River</w:t>
            </w:r>
          </w:p>
        </w:tc>
        <w:tc>
          <w:tcPr>
            <w:tcW w:w="660" w:type="pct"/>
            <w:tcBorders>
              <w:top w:val="single" w:sz="4" w:space="0" w:color="auto"/>
              <w:bottom w:val="single" w:sz="4" w:space="0" w:color="auto"/>
            </w:tcBorders>
            <w:shd w:val="clear" w:color="auto" w:fill="auto"/>
            <w:vAlign w:val="center"/>
            <w:hideMark/>
          </w:tcPr>
          <w:p w14:paraId="0C3F7EFF" w14:textId="77777777" w:rsidR="00330E11" w:rsidRPr="00482CB4" w:rsidRDefault="00330E11" w:rsidP="00630695">
            <w:pPr>
              <w:spacing w:before="0" w:after="0"/>
              <w:rPr>
                <w:rStyle w:val="BookTitle"/>
              </w:rPr>
            </w:pPr>
            <w:r w:rsidRPr="00482CB4">
              <w:rPr>
                <w:rStyle w:val="BookTitle"/>
              </w:rPr>
              <w:t>Station</w:t>
            </w:r>
          </w:p>
        </w:tc>
        <w:tc>
          <w:tcPr>
            <w:tcW w:w="792" w:type="pct"/>
            <w:tcBorders>
              <w:top w:val="single" w:sz="4" w:space="0" w:color="auto"/>
              <w:bottom w:val="single" w:sz="4" w:space="0" w:color="auto"/>
            </w:tcBorders>
            <w:shd w:val="clear" w:color="auto" w:fill="auto"/>
            <w:vAlign w:val="center"/>
            <w:hideMark/>
          </w:tcPr>
          <w:p w14:paraId="0C3F7F00" w14:textId="77777777" w:rsidR="00330E11" w:rsidRPr="00482CB4" w:rsidRDefault="00330E11" w:rsidP="00630695">
            <w:pPr>
              <w:spacing w:before="0" w:after="0"/>
              <w:rPr>
                <w:rStyle w:val="BookTitle"/>
              </w:rPr>
            </w:pPr>
            <w:r w:rsidRPr="00482CB4">
              <w:rPr>
                <w:rStyle w:val="BookTitle"/>
              </w:rPr>
              <w:t>75th %ile (ML/day)</w:t>
            </w:r>
          </w:p>
        </w:tc>
        <w:tc>
          <w:tcPr>
            <w:tcW w:w="802" w:type="pct"/>
            <w:tcBorders>
              <w:top w:val="single" w:sz="4" w:space="0" w:color="auto"/>
              <w:bottom w:val="single" w:sz="4" w:space="0" w:color="auto"/>
            </w:tcBorders>
            <w:shd w:val="clear" w:color="auto" w:fill="auto"/>
            <w:vAlign w:val="center"/>
            <w:hideMark/>
          </w:tcPr>
          <w:p w14:paraId="0C3F7F01" w14:textId="77777777" w:rsidR="00330E11" w:rsidRPr="00482CB4" w:rsidRDefault="00330E11" w:rsidP="00630695">
            <w:pPr>
              <w:spacing w:before="0" w:after="0"/>
              <w:rPr>
                <w:rStyle w:val="BookTitle"/>
              </w:rPr>
            </w:pPr>
            <w:r w:rsidRPr="00482CB4">
              <w:rPr>
                <w:rStyle w:val="BookTitle"/>
              </w:rPr>
              <w:t>95th %ile (ML/day)</w:t>
            </w:r>
          </w:p>
        </w:tc>
        <w:tc>
          <w:tcPr>
            <w:tcW w:w="1012" w:type="pct"/>
            <w:tcBorders>
              <w:top w:val="single" w:sz="4" w:space="0" w:color="auto"/>
              <w:bottom w:val="single" w:sz="4" w:space="0" w:color="auto"/>
            </w:tcBorders>
            <w:shd w:val="clear" w:color="auto" w:fill="auto"/>
            <w:vAlign w:val="center"/>
            <w:hideMark/>
          </w:tcPr>
          <w:p w14:paraId="0C3F7F02" w14:textId="77777777" w:rsidR="00330E11" w:rsidRPr="00482CB4" w:rsidRDefault="00330E11" w:rsidP="00630695">
            <w:pPr>
              <w:spacing w:before="0" w:after="0"/>
              <w:rPr>
                <w:rStyle w:val="BookTitle"/>
              </w:rPr>
            </w:pPr>
            <w:r w:rsidRPr="00482CB4">
              <w:rPr>
                <w:rStyle w:val="BookTitle"/>
              </w:rPr>
              <w:t>No days (2012-13) exceed 75th percentile</w:t>
            </w:r>
          </w:p>
        </w:tc>
        <w:tc>
          <w:tcPr>
            <w:tcW w:w="1049" w:type="pct"/>
            <w:tcBorders>
              <w:top w:val="single" w:sz="4" w:space="0" w:color="auto"/>
              <w:bottom w:val="single" w:sz="4" w:space="0" w:color="auto"/>
            </w:tcBorders>
            <w:shd w:val="clear" w:color="auto" w:fill="auto"/>
            <w:vAlign w:val="center"/>
            <w:hideMark/>
          </w:tcPr>
          <w:p w14:paraId="0C3F7F03" w14:textId="77777777" w:rsidR="00330E11" w:rsidRPr="00482CB4" w:rsidRDefault="00330E11" w:rsidP="00630695">
            <w:pPr>
              <w:spacing w:before="0" w:after="0"/>
              <w:rPr>
                <w:rStyle w:val="BookTitle"/>
              </w:rPr>
            </w:pPr>
            <w:r w:rsidRPr="00482CB4">
              <w:rPr>
                <w:rStyle w:val="BookTitle"/>
              </w:rPr>
              <w:t>No days (2012-13) exceed 95th percentile</w:t>
            </w:r>
          </w:p>
        </w:tc>
      </w:tr>
      <w:tr w:rsidR="00330E11" w:rsidRPr="00482CB4" w14:paraId="0C3F7F0B" w14:textId="77777777" w:rsidTr="00630695">
        <w:trPr>
          <w:trHeight w:val="20"/>
        </w:trPr>
        <w:tc>
          <w:tcPr>
            <w:tcW w:w="685" w:type="pct"/>
            <w:tcBorders>
              <w:top w:val="single" w:sz="4" w:space="0" w:color="auto"/>
            </w:tcBorders>
            <w:shd w:val="clear" w:color="auto" w:fill="auto"/>
            <w:vAlign w:val="bottom"/>
            <w:hideMark/>
          </w:tcPr>
          <w:p w14:paraId="0C3F7F05" w14:textId="77777777" w:rsidR="00330E11" w:rsidRPr="00482CB4" w:rsidRDefault="00330E11" w:rsidP="00630695">
            <w:pPr>
              <w:spacing w:before="0" w:after="0"/>
              <w:rPr>
                <w:rStyle w:val="BookTitle"/>
              </w:rPr>
            </w:pPr>
            <w:r w:rsidRPr="00482CB4">
              <w:rPr>
                <w:rStyle w:val="BookTitle"/>
              </w:rPr>
              <w:t>Pascoe</w:t>
            </w:r>
          </w:p>
        </w:tc>
        <w:tc>
          <w:tcPr>
            <w:tcW w:w="660" w:type="pct"/>
            <w:tcBorders>
              <w:top w:val="single" w:sz="4" w:space="0" w:color="auto"/>
            </w:tcBorders>
            <w:shd w:val="clear" w:color="auto" w:fill="auto"/>
            <w:noWrap/>
            <w:vAlign w:val="bottom"/>
            <w:hideMark/>
          </w:tcPr>
          <w:p w14:paraId="0C3F7F06" w14:textId="77777777" w:rsidR="00330E11" w:rsidRPr="00482CB4" w:rsidRDefault="00330E11" w:rsidP="00630695">
            <w:pPr>
              <w:spacing w:before="0" w:after="0"/>
              <w:rPr>
                <w:rStyle w:val="BookTitle"/>
              </w:rPr>
            </w:pPr>
            <w:r w:rsidRPr="00482CB4">
              <w:rPr>
                <w:rStyle w:val="BookTitle"/>
              </w:rPr>
              <w:t>102102A</w:t>
            </w:r>
          </w:p>
        </w:tc>
        <w:tc>
          <w:tcPr>
            <w:tcW w:w="792" w:type="pct"/>
            <w:tcBorders>
              <w:top w:val="single" w:sz="4" w:space="0" w:color="auto"/>
            </w:tcBorders>
            <w:shd w:val="clear" w:color="auto" w:fill="auto"/>
            <w:noWrap/>
            <w:vAlign w:val="bottom"/>
            <w:hideMark/>
          </w:tcPr>
          <w:p w14:paraId="0C3F7F07" w14:textId="77777777" w:rsidR="00330E11" w:rsidRPr="00482CB4" w:rsidRDefault="00330E11" w:rsidP="00630695">
            <w:pPr>
              <w:spacing w:before="0" w:after="0"/>
              <w:rPr>
                <w:rStyle w:val="BookTitle"/>
              </w:rPr>
            </w:pPr>
            <w:r w:rsidRPr="00482CB4">
              <w:rPr>
                <w:rStyle w:val="BookTitle"/>
              </w:rPr>
              <w:t xml:space="preserve">                 1,757 </w:t>
            </w:r>
          </w:p>
        </w:tc>
        <w:tc>
          <w:tcPr>
            <w:tcW w:w="802" w:type="pct"/>
            <w:tcBorders>
              <w:top w:val="single" w:sz="4" w:space="0" w:color="auto"/>
            </w:tcBorders>
            <w:shd w:val="clear" w:color="auto" w:fill="auto"/>
            <w:noWrap/>
            <w:vAlign w:val="bottom"/>
            <w:hideMark/>
          </w:tcPr>
          <w:p w14:paraId="0C3F7F08" w14:textId="77777777" w:rsidR="00330E11" w:rsidRPr="00482CB4" w:rsidRDefault="00330E11" w:rsidP="00630695">
            <w:pPr>
              <w:spacing w:before="0" w:after="0"/>
              <w:rPr>
                <w:rStyle w:val="BookTitle"/>
              </w:rPr>
            </w:pPr>
            <w:r w:rsidRPr="00482CB4">
              <w:rPr>
                <w:rStyle w:val="BookTitle"/>
              </w:rPr>
              <w:t xml:space="preserve">               18,385 </w:t>
            </w:r>
          </w:p>
        </w:tc>
        <w:tc>
          <w:tcPr>
            <w:tcW w:w="1012" w:type="pct"/>
            <w:tcBorders>
              <w:top w:val="single" w:sz="4" w:space="0" w:color="auto"/>
            </w:tcBorders>
            <w:shd w:val="clear" w:color="auto" w:fill="auto"/>
            <w:noWrap/>
            <w:vAlign w:val="bottom"/>
            <w:hideMark/>
          </w:tcPr>
          <w:p w14:paraId="0C3F7F09" w14:textId="77777777" w:rsidR="00330E11" w:rsidRPr="00482CB4" w:rsidRDefault="00330E11" w:rsidP="00630695">
            <w:pPr>
              <w:spacing w:before="0" w:after="0"/>
              <w:rPr>
                <w:rStyle w:val="BookTitle"/>
              </w:rPr>
            </w:pPr>
            <w:r w:rsidRPr="00482CB4">
              <w:rPr>
                <w:rStyle w:val="BookTitle"/>
              </w:rPr>
              <w:t>16</w:t>
            </w:r>
          </w:p>
        </w:tc>
        <w:tc>
          <w:tcPr>
            <w:tcW w:w="1049" w:type="pct"/>
            <w:tcBorders>
              <w:top w:val="single" w:sz="4" w:space="0" w:color="auto"/>
            </w:tcBorders>
            <w:shd w:val="clear" w:color="auto" w:fill="auto"/>
            <w:noWrap/>
            <w:vAlign w:val="bottom"/>
            <w:hideMark/>
          </w:tcPr>
          <w:p w14:paraId="0C3F7F0A" w14:textId="77777777" w:rsidR="00330E11" w:rsidRPr="00482CB4" w:rsidRDefault="00330E11" w:rsidP="00630695">
            <w:pPr>
              <w:spacing w:before="0" w:after="0"/>
              <w:rPr>
                <w:rStyle w:val="BookTitle"/>
              </w:rPr>
            </w:pPr>
            <w:r w:rsidRPr="00482CB4">
              <w:rPr>
                <w:rStyle w:val="BookTitle"/>
              </w:rPr>
              <w:t>2</w:t>
            </w:r>
          </w:p>
        </w:tc>
      </w:tr>
      <w:tr w:rsidR="00330E11" w:rsidRPr="00482CB4" w14:paraId="0C3F7F12" w14:textId="77777777" w:rsidTr="00630695">
        <w:trPr>
          <w:trHeight w:val="20"/>
        </w:trPr>
        <w:tc>
          <w:tcPr>
            <w:tcW w:w="685" w:type="pct"/>
            <w:shd w:val="clear" w:color="auto" w:fill="auto"/>
            <w:vAlign w:val="bottom"/>
            <w:hideMark/>
          </w:tcPr>
          <w:p w14:paraId="0C3F7F0C" w14:textId="77777777" w:rsidR="00330E11" w:rsidRPr="00482CB4" w:rsidRDefault="00330E11" w:rsidP="00630695">
            <w:pPr>
              <w:spacing w:before="0" w:after="0"/>
              <w:rPr>
                <w:rStyle w:val="BookTitle"/>
              </w:rPr>
            </w:pPr>
            <w:r w:rsidRPr="00482CB4">
              <w:rPr>
                <w:rStyle w:val="BookTitle"/>
              </w:rPr>
              <w:t>Stewart</w:t>
            </w:r>
          </w:p>
        </w:tc>
        <w:tc>
          <w:tcPr>
            <w:tcW w:w="660" w:type="pct"/>
            <w:shd w:val="clear" w:color="auto" w:fill="auto"/>
            <w:noWrap/>
            <w:vAlign w:val="bottom"/>
            <w:hideMark/>
          </w:tcPr>
          <w:p w14:paraId="0C3F7F0D" w14:textId="77777777" w:rsidR="00330E11" w:rsidRPr="00482CB4" w:rsidRDefault="00330E11" w:rsidP="00630695">
            <w:pPr>
              <w:spacing w:before="0" w:after="0"/>
              <w:rPr>
                <w:rStyle w:val="BookTitle"/>
              </w:rPr>
            </w:pPr>
            <w:r w:rsidRPr="00482CB4">
              <w:rPr>
                <w:rStyle w:val="BookTitle"/>
              </w:rPr>
              <w:t>104001A</w:t>
            </w:r>
          </w:p>
        </w:tc>
        <w:tc>
          <w:tcPr>
            <w:tcW w:w="792" w:type="pct"/>
            <w:shd w:val="clear" w:color="auto" w:fill="auto"/>
            <w:noWrap/>
            <w:vAlign w:val="bottom"/>
            <w:hideMark/>
          </w:tcPr>
          <w:p w14:paraId="0C3F7F0E" w14:textId="77777777" w:rsidR="00330E11" w:rsidRPr="00482CB4" w:rsidRDefault="00330E11" w:rsidP="00630695">
            <w:pPr>
              <w:spacing w:before="0" w:after="0"/>
              <w:rPr>
                <w:rStyle w:val="BookTitle"/>
              </w:rPr>
            </w:pPr>
            <w:r w:rsidRPr="00482CB4">
              <w:rPr>
                <w:rStyle w:val="BookTitle"/>
              </w:rPr>
              <w:t xml:space="preserve">                     219 </w:t>
            </w:r>
          </w:p>
        </w:tc>
        <w:tc>
          <w:tcPr>
            <w:tcW w:w="802" w:type="pct"/>
            <w:shd w:val="clear" w:color="auto" w:fill="auto"/>
            <w:noWrap/>
            <w:vAlign w:val="bottom"/>
            <w:hideMark/>
          </w:tcPr>
          <w:p w14:paraId="0C3F7F0F" w14:textId="77777777" w:rsidR="00330E11" w:rsidRPr="00482CB4" w:rsidRDefault="00330E11" w:rsidP="00630695">
            <w:pPr>
              <w:spacing w:before="0" w:after="0"/>
              <w:rPr>
                <w:rStyle w:val="BookTitle"/>
              </w:rPr>
            </w:pPr>
            <w:r w:rsidRPr="00482CB4">
              <w:rPr>
                <w:rStyle w:val="BookTitle"/>
              </w:rPr>
              <w:t xml:space="preserve">                 3,245 </w:t>
            </w:r>
          </w:p>
        </w:tc>
        <w:tc>
          <w:tcPr>
            <w:tcW w:w="1012" w:type="pct"/>
            <w:shd w:val="clear" w:color="auto" w:fill="auto"/>
            <w:noWrap/>
            <w:vAlign w:val="bottom"/>
            <w:hideMark/>
          </w:tcPr>
          <w:p w14:paraId="0C3F7F10" w14:textId="77777777" w:rsidR="00330E11" w:rsidRPr="00482CB4" w:rsidRDefault="00330E11" w:rsidP="00630695">
            <w:pPr>
              <w:spacing w:before="0" w:after="0"/>
              <w:rPr>
                <w:rStyle w:val="BookTitle"/>
              </w:rPr>
            </w:pPr>
            <w:r w:rsidRPr="00482CB4">
              <w:rPr>
                <w:rStyle w:val="BookTitle"/>
              </w:rPr>
              <w:t>15</w:t>
            </w:r>
          </w:p>
        </w:tc>
        <w:tc>
          <w:tcPr>
            <w:tcW w:w="1049" w:type="pct"/>
            <w:shd w:val="clear" w:color="auto" w:fill="auto"/>
            <w:noWrap/>
            <w:vAlign w:val="bottom"/>
            <w:hideMark/>
          </w:tcPr>
          <w:p w14:paraId="0C3F7F11" w14:textId="77777777" w:rsidR="00330E11" w:rsidRPr="00482CB4" w:rsidRDefault="00330E11" w:rsidP="00630695">
            <w:pPr>
              <w:spacing w:before="0" w:after="0"/>
              <w:rPr>
                <w:rStyle w:val="BookTitle"/>
              </w:rPr>
            </w:pPr>
            <w:r w:rsidRPr="00482CB4">
              <w:rPr>
                <w:rStyle w:val="BookTitle"/>
              </w:rPr>
              <w:t>2</w:t>
            </w:r>
          </w:p>
        </w:tc>
      </w:tr>
      <w:tr w:rsidR="00330E11" w:rsidRPr="00482CB4" w14:paraId="0C3F7F19" w14:textId="77777777" w:rsidTr="00630695">
        <w:trPr>
          <w:trHeight w:val="20"/>
        </w:trPr>
        <w:tc>
          <w:tcPr>
            <w:tcW w:w="685" w:type="pct"/>
            <w:shd w:val="clear" w:color="auto" w:fill="auto"/>
            <w:vAlign w:val="bottom"/>
            <w:hideMark/>
          </w:tcPr>
          <w:p w14:paraId="0C3F7F13" w14:textId="77777777" w:rsidR="00330E11" w:rsidRPr="00482CB4" w:rsidRDefault="00330E11" w:rsidP="00630695">
            <w:pPr>
              <w:spacing w:before="0" w:after="0"/>
              <w:rPr>
                <w:rStyle w:val="BookTitle"/>
              </w:rPr>
            </w:pPr>
            <w:r w:rsidRPr="00482CB4">
              <w:rPr>
                <w:rStyle w:val="BookTitle"/>
              </w:rPr>
              <w:t>Normanby</w:t>
            </w:r>
          </w:p>
        </w:tc>
        <w:tc>
          <w:tcPr>
            <w:tcW w:w="660" w:type="pct"/>
            <w:shd w:val="clear" w:color="auto" w:fill="auto"/>
            <w:noWrap/>
            <w:vAlign w:val="bottom"/>
            <w:hideMark/>
          </w:tcPr>
          <w:p w14:paraId="0C3F7F14" w14:textId="77777777" w:rsidR="00330E11" w:rsidRPr="00482CB4" w:rsidRDefault="00330E11" w:rsidP="00630695">
            <w:pPr>
              <w:spacing w:before="0" w:after="0"/>
              <w:rPr>
                <w:rStyle w:val="BookTitle"/>
              </w:rPr>
            </w:pPr>
            <w:r w:rsidRPr="00482CB4">
              <w:rPr>
                <w:rStyle w:val="BookTitle"/>
              </w:rPr>
              <w:t>105107A</w:t>
            </w:r>
          </w:p>
        </w:tc>
        <w:tc>
          <w:tcPr>
            <w:tcW w:w="792" w:type="pct"/>
            <w:shd w:val="clear" w:color="auto" w:fill="auto"/>
            <w:noWrap/>
            <w:vAlign w:val="bottom"/>
            <w:hideMark/>
          </w:tcPr>
          <w:p w14:paraId="0C3F7F15" w14:textId="77777777" w:rsidR="00330E11" w:rsidRPr="00482CB4" w:rsidRDefault="00330E11" w:rsidP="00630695">
            <w:pPr>
              <w:spacing w:before="0" w:after="0"/>
              <w:rPr>
                <w:rStyle w:val="BookTitle"/>
              </w:rPr>
            </w:pPr>
            <w:r w:rsidRPr="00482CB4">
              <w:rPr>
                <w:rStyle w:val="BookTitle"/>
              </w:rPr>
              <w:t xml:space="preserve">                 3,405 </w:t>
            </w:r>
          </w:p>
        </w:tc>
        <w:tc>
          <w:tcPr>
            <w:tcW w:w="802" w:type="pct"/>
            <w:shd w:val="clear" w:color="auto" w:fill="auto"/>
            <w:noWrap/>
            <w:vAlign w:val="bottom"/>
            <w:hideMark/>
          </w:tcPr>
          <w:p w14:paraId="0C3F7F16" w14:textId="77777777" w:rsidR="00330E11" w:rsidRPr="00482CB4" w:rsidRDefault="00330E11" w:rsidP="00630695">
            <w:pPr>
              <w:spacing w:before="0" w:after="0"/>
              <w:rPr>
                <w:rStyle w:val="BookTitle"/>
              </w:rPr>
            </w:pPr>
            <w:r w:rsidRPr="00482CB4">
              <w:rPr>
                <w:rStyle w:val="BookTitle"/>
              </w:rPr>
              <w:t xml:space="preserve">               46,691 </w:t>
            </w:r>
          </w:p>
        </w:tc>
        <w:tc>
          <w:tcPr>
            <w:tcW w:w="1012" w:type="pct"/>
            <w:shd w:val="clear" w:color="auto" w:fill="auto"/>
            <w:noWrap/>
            <w:vAlign w:val="bottom"/>
            <w:hideMark/>
          </w:tcPr>
          <w:p w14:paraId="0C3F7F17" w14:textId="77777777" w:rsidR="00330E11" w:rsidRPr="00482CB4" w:rsidRDefault="00330E11" w:rsidP="00630695">
            <w:pPr>
              <w:spacing w:before="0" w:after="0"/>
              <w:rPr>
                <w:rStyle w:val="BookTitle"/>
              </w:rPr>
            </w:pPr>
            <w:r w:rsidRPr="00482CB4">
              <w:rPr>
                <w:rStyle w:val="BookTitle"/>
              </w:rPr>
              <w:t>20</w:t>
            </w:r>
          </w:p>
        </w:tc>
        <w:tc>
          <w:tcPr>
            <w:tcW w:w="1049" w:type="pct"/>
            <w:shd w:val="clear" w:color="auto" w:fill="auto"/>
            <w:noWrap/>
            <w:vAlign w:val="bottom"/>
            <w:hideMark/>
          </w:tcPr>
          <w:p w14:paraId="0C3F7F18" w14:textId="77777777" w:rsidR="00330E11" w:rsidRPr="00482CB4" w:rsidRDefault="00330E11" w:rsidP="00630695">
            <w:pPr>
              <w:spacing w:before="0" w:after="0"/>
              <w:rPr>
                <w:rStyle w:val="BookTitle"/>
              </w:rPr>
            </w:pPr>
            <w:r w:rsidRPr="00482CB4">
              <w:rPr>
                <w:rStyle w:val="BookTitle"/>
              </w:rPr>
              <w:t>3</w:t>
            </w:r>
          </w:p>
        </w:tc>
      </w:tr>
      <w:tr w:rsidR="00330E11" w:rsidRPr="00482CB4" w14:paraId="0C3F7F20" w14:textId="77777777" w:rsidTr="00630695">
        <w:trPr>
          <w:trHeight w:val="20"/>
        </w:trPr>
        <w:tc>
          <w:tcPr>
            <w:tcW w:w="685" w:type="pct"/>
            <w:shd w:val="clear" w:color="auto" w:fill="auto"/>
            <w:vAlign w:val="bottom"/>
            <w:hideMark/>
          </w:tcPr>
          <w:p w14:paraId="0C3F7F1A" w14:textId="77777777" w:rsidR="00330E11" w:rsidRPr="00482CB4" w:rsidRDefault="00330E11" w:rsidP="00630695">
            <w:pPr>
              <w:spacing w:before="0" w:after="0"/>
              <w:rPr>
                <w:rStyle w:val="BookTitle"/>
              </w:rPr>
            </w:pPr>
            <w:r w:rsidRPr="00482CB4">
              <w:rPr>
                <w:rStyle w:val="BookTitle"/>
              </w:rPr>
              <w:t>Annan</w:t>
            </w:r>
          </w:p>
        </w:tc>
        <w:tc>
          <w:tcPr>
            <w:tcW w:w="660" w:type="pct"/>
            <w:shd w:val="clear" w:color="auto" w:fill="auto"/>
            <w:noWrap/>
            <w:vAlign w:val="bottom"/>
            <w:hideMark/>
          </w:tcPr>
          <w:p w14:paraId="0C3F7F1B" w14:textId="77777777" w:rsidR="00330E11" w:rsidRPr="00482CB4" w:rsidRDefault="00330E11" w:rsidP="00630695">
            <w:pPr>
              <w:spacing w:before="0" w:after="0"/>
              <w:rPr>
                <w:rStyle w:val="BookTitle"/>
              </w:rPr>
            </w:pPr>
            <w:r w:rsidRPr="00482CB4">
              <w:rPr>
                <w:rStyle w:val="BookTitle"/>
              </w:rPr>
              <w:t>107003A</w:t>
            </w:r>
          </w:p>
        </w:tc>
        <w:tc>
          <w:tcPr>
            <w:tcW w:w="792" w:type="pct"/>
            <w:shd w:val="clear" w:color="auto" w:fill="auto"/>
            <w:noWrap/>
            <w:vAlign w:val="bottom"/>
            <w:hideMark/>
          </w:tcPr>
          <w:p w14:paraId="0C3F7F1C" w14:textId="77777777" w:rsidR="00330E11" w:rsidRPr="00482CB4" w:rsidRDefault="00330E11" w:rsidP="00630695">
            <w:pPr>
              <w:spacing w:before="0" w:after="0"/>
              <w:rPr>
                <w:rStyle w:val="BookTitle"/>
              </w:rPr>
            </w:pPr>
            <w:r w:rsidRPr="00482CB4">
              <w:rPr>
                <w:rStyle w:val="BookTitle"/>
              </w:rPr>
              <w:t xml:space="preserve">                     671 </w:t>
            </w:r>
          </w:p>
        </w:tc>
        <w:tc>
          <w:tcPr>
            <w:tcW w:w="802" w:type="pct"/>
            <w:shd w:val="clear" w:color="auto" w:fill="auto"/>
            <w:noWrap/>
            <w:vAlign w:val="bottom"/>
            <w:hideMark/>
          </w:tcPr>
          <w:p w14:paraId="0C3F7F1D" w14:textId="77777777" w:rsidR="00330E11" w:rsidRPr="00482CB4" w:rsidRDefault="00330E11" w:rsidP="00630695">
            <w:pPr>
              <w:spacing w:before="0" w:after="0"/>
              <w:rPr>
                <w:rStyle w:val="BookTitle"/>
              </w:rPr>
            </w:pPr>
            <w:r w:rsidRPr="00482CB4">
              <w:rPr>
                <w:rStyle w:val="BookTitle"/>
              </w:rPr>
              <w:t xml:space="preserve">                 2,767 </w:t>
            </w:r>
          </w:p>
        </w:tc>
        <w:tc>
          <w:tcPr>
            <w:tcW w:w="1012" w:type="pct"/>
            <w:shd w:val="clear" w:color="auto" w:fill="auto"/>
            <w:noWrap/>
            <w:vAlign w:val="bottom"/>
            <w:hideMark/>
          </w:tcPr>
          <w:p w14:paraId="0C3F7F1E" w14:textId="77777777" w:rsidR="00330E11" w:rsidRPr="00482CB4" w:rsidRDefault="00330E11" w:rsidP="00630695">
            <w:pPr>
              <w:spacing w:before="0" w:after="0"/>
              <w:rPr>
                <w:rStyle w:val="BookTitle"/>
              </w:rPr>
            </w:pPr>
            <w:r w:rsidRPr="00482CB4">
              <w:rPr>
                <w:rStyle w:val="BookTitle"/>
              </w:rPr>
              <w:t>27</w:t>
            </w:r>
          </w:p>
        </w:tc>
        <w:tc>
          <w:tcPr>
            <w:tcW w:w="1049" w:type="pct"/>
            <w:shd w:val="clear" w:color="auto" w:fill="auto"/>
            <w:noWrap/>
            <w:vAlign w:val="bottom"/>
            <w:hideMark/>
          </w:tcPr>
          <w:p w14:paraId="0C3F7F1F" w14:textId="77777777" w:rsidR="00330E11" w:rsidRPr="00482CB4" w:rsidRDefault="00330E11" w:rsidP="00630695">
            <w:pPr>
              <w:spacing w:before="0" w:after="0"/>
              <w:rPr>
                <w:rStyle w:val="BookTitle"/>
              </w:rPr>
            </w:pPr>
            <w:r w:rsidRPr="00482CB4">
              <w:rPr>
                <w:rStyle w:val="BookTitle"/>
              </w:rPr>
              <w:t>3</w:t>
            </w:r>
          </w:p>
        </w:tc>
      </w:tr>
      <w:tr w:rsidR="00330E11" w:rsidRPr="00482CB4" w14:paraId="0C3F7F27" w14:textId="77777777" w:rsidTr="00630695">
        <w:trPr>
          <w:trHeight w:val="20"/>
        </w:trPr>
        <w:tc>
          <w:tcPr>
            <w:tcW w:w="685" w:type="pct"/>
            <w:shd w:val="clear" w:color="auto" w:fill="auto"/>
            <w:vAlign w:val="bottom"/>
            <w:hideMark/>
          </w:tcPr>
          <w:p w14:paraId="0C3F7F21" w14:textId="77777777" w:rsidR="00330E11" w:rsidRPr="00482CB4" w:rsidRDefault="00330E11" w:rsidP="00630695">
            <w:pPr>
              <w:spacing w:before="0" w:after="0"/>
              <w:rPr>
                <w:rStyle w:val="BookTitle"/>
              </w:rPr>
            </w:pPr>
            <w:r w:rsidRPr="00482CB4">
              <w:rPr>
                <w:rStyle w:val="BookTitle"/>
              </w:rPr>
              <w:t>Daintree</w:t>
            </w:r>
          </w:p>
        </w:tc>
        <w:tc>
          <w:tcPr>
            <w:tcW w:w="660" w:type="pct"/>
            <w:shd w:val="clear" w:color="auto" w:fill="auto"/>
            <w:noWrap/>
            <w:vAlign w:val="bottom"/>
            <w:hideMark/>
          </w:tcPr>
          <w:p w14:paraId="0C3F7F22" w14:textId="77777777" w:rsidR="00330E11" w:rsidRPr="00482CB4" w:rsidRDefault="00330E11" w:rsidP="00630695">
            <w:pPr>
              <w:spacing w:before="0" w:after="0"/>
              <w:rPr>
                <w:rStyle w:val="BookTitle"/>
              </w:rPr>
            </w:pPr>
            <w:r w:rsidRPr="00482CB4">
              <w:rPr>
                <w:rStyle w:val="BookTitle"/>
              </w:rPr>
              <w:t>108002A</w:t>
            </w:r>
          </w:p>
        </w:tc>
        <w:tc>
          <w:tcPr>
            <w:tcW w:w="792" w:type="pct"/>
            <w:shd w:val="clear" w:color="auto" w:fill="auto"/>
            <w:noWrap/>
            <w:vAlign w:val="bottom"/>
            <w:hideMark/>
          </w:tcPr>
          <w:p w14:paraId="0C3F7F23" w14:textId="77777777" w:rsidR="00330E11" w:rsidRPr="00482CB4" w:rsidRDefault="00330E11" w:rsidP="00630695">
            <w:pPr>
              <w:spacing w:before="0" w:after="0"/>
              <w:rPr>
                <w:rStyle w:val="BookTitle"/>
              </w:rPr>
            </w:pPr>
            <w:r w:rsidRPr="00482CB4">
              <w:rPr>
                <w:rStyle w:val="BookTitle"/>
              </w:rPr>
              <w:t xml:space="preserve">                 1,938 </w:t>
            </w:r>
          </w:p>
        </w:tc>
        <w:tc>
          <w:tcPr>
            <w:tcW w:w="802" w:type="pct"/>
            <w:shd w:val="clear" w:color="auto" w:fill="auto"/>
            <w:noWrap/>
            <w:vAlign w:val="bottom"/>
            <w:hideMark/>
          </w:tcPr>
          <w:p w14:paraId="0C3F7F24" w14:textId="77777777" w:rsidR="00330E11" w:rsidRPr="00482CB4" w:rsidRDefault="00330E11" w:rsidP="00630695">
            <w:pPr>
              <w:spacing w:before="0" w:after="0"/>
              <w:rPr>
                <w:rStyle w:val="BookTitle"/>
              </w:rPr>
            </w:pPr>
            <w:r w:rsidRPr="00482CB4">
              <w:rPr>
                <w:rStyle w:val="BookTitle"/>
              </w:rPr>
              <w:t xml:space="preserve">                 8,924 </w:t>
            </w:r>
          </w:p>
        </w:tc>
        <w:tc>
          <w:tcPr>
            <w:tcW w:w="1012" w:type="pct"/>
            <w:shd w:val="clear" w:color="auto" w:fill="auto"/>
            <w:noWrap/>
            <w:vAlign w:val="bottom"/>
            <w:hideMark/>
          </w:tcPr>
          <w:p w14:paraId="0C3F7F25" w14:textId="77777777" w:rsidR="00330E11" w:rsidRPr="00482CB4" w:rsidRDefault="00330E11" w:rsidP="00630695">
            <w:pPr>
              <w:spacing w:before="0" w:after="0"/>
              <w:rPr>
                <w:rStyle w:val="BookTitle"/>
              </w:rPr>
            </w:pPr>
            <w:r w:rsidRPr="00482CB4">
              <w:rPr>
                <w:rStyle w:val="BookTitle"/>
              </w:rPr>
              <w:t>23</w:t>
            </w:r>
          </w:p>
        </w:tc>
        <w:tc>
          <w:tcPr>
            <w:tcW w:w="1049" w:type="pct"/>
            <w:shd w:val="clear" w:color="auto" w:fill="auto"/>
            <w:noWrap/>
            <w:vAlign w:val="bottom"/>
            <w:hideMark/>
          </w:tcPr>
          <w:p w14:paraId="0C3F7F26" w14:textId="77777777" w:rsidR="00330E11" w:rsidRPr="00482CB4" w:rsidRDefault="00330E11" w:rsidP="00630695">
            <w:pPr>
              <w:spacing w:before="0" w:after="0"/>
              <w:rPr>
                <w:rStyle w:val="BookTitle"/>
              </w:rPr>
            </w:pPr>
            <w:r w:rsidRPr="00482CB4">
              <w:rPr>
                <w:rStyle w:val="BookTitle"/>
              </w:rPr>
              <w:t>3</w:t>
            </w:r>
          </w:p>
        </w:tc>
      </w:tr>
      <w:tr w:rsidR="00330E11" w:rsidRPr="00482CB4" w14:paraId="0C3F7F2E" w14:textId="77777777" w:rsidTr="00630695">
        <w:trPr>
          <w:trHeight w:val="20"/>
        </w:trPr>
        <w:tc>
          <w:tcPr>
            <w:tcW w:w="685" w:type="pct"/>
            <w:shd w:val="clear" w:color="auto" w:fill="auto"/>
            <w:vAlign w:val="bottom"/>
            <w:hideMark/>
          </w:tcPr>
          <w:p w14:paraId="0C3F7F28" w14:textId="77777777" w:rsidR="00330E11" w:rsidRPr="00482CB4" w:rsidRDefault="00330E11" w:rsidP="00630695">
            <w:pPr>
              <w:spacing w:before="0" w:after="0"/>
              <w:rPr>
                <w:rStyle w:val="BookTitle"/>
              </w:rPr>
            </w:pPr>
            <w:r w:rsidRPr="00482CB4">
              <w:rPr>
                <w:rStyle w:val="BookTitle"/>
              </w:rPr>
              <w:t>Barron</w:t>
            </w:r>
          </w:p>
        </w:tc>
        <w:tc>
          <w:tcPr>
            <w:tcW w:w="660" w:type="pct"/>
            <w:shd w:val="clear" w:color="auto" w:fill="auto"/>
            <w:noWrap/>
            <w:vAlign w:val="bottom"/>
            <w:hideMark/>
          </w:tcPr>
          <w:p w14:paraId="0C3F7F29" w14:textId="77777777" w:rsidR="00330E11" w:rsidRPr="00482CB4" w:rsidRDefault="00330E11" w:rsidP="00630695">
            <w:pPr>
              <w:spacing w:before="0" w:after="0"/>
              <w:rPr>
                <w:rStyle w:val="BookTitle"/>
              </w:rPr>
            </w:pPr>
            <w:r w:rsidRPr="00482CB4">
              <w:rPr>
                <w:rStyle w:val="BookTitle"/>
              </w:rPr>
              <w:t>110001D</w:t>
            </w:r>
          </w:p>
        </w:tc>
        <w:tc>
          <w:tcPr>
            <w:tcW w:w="792" w:type="pct"/>
            <w:shd w:val="clear" w:color="auto" w:fill="auto"/>
            <w:noWrap/>
            <w:vAlign w:val="bottom"/>
            <w:hideMark/>
          </w:tcPr>
          <w:p w14:paraId="0C3F7F2A" w14:textId="77777777" w:rsidR="00330E11" w:rsidRPr="00482CB4" w:rsidRDefault="00330E11" w:rsidP="00630695">
            <w:pPr>
              <w:spacing w:before="0" w:after="0"/>
              <w:rPr>
                <w:rStyle w:val="BookTitle"/>
              </w:rPr>
            </w:pPr>
            <w:r w:rsidRPr="00482CB4">
              <w:rPr>
                <w:rStyle w:val="BookTitle"/>
              </w:rPr>
              <w:t xml:space="preserve">                 1,036 </w:t>
            </w:r>
          </w:p>
        </w:tc>
        <w:tc>
          <w:tcPr>
            <w:tcW w:w="802" w:type="pct"/>
            <w:shd w:val="clear" w:color="auto" w:fill="auto"/>
            <w:noWrap/>
            <w:vAlign w:val="bottom"/>
            <w:hideMark/>
          </w:tcPr>
          <w:p w14:paraId="0C3F7F2B" w14:textId="77777777" w:rsidR="00330E11" w:rsidRPr="00482CB4" w:rsidRDefault="00330E11" w:rsidP="00630695">
            <w:pPr>
              <w:spacing w:before="0" w:after="0"/>
              <w:rPr>
                <w:rStyle w:val="BookTitle"/>
              </w:rPr>
            </w:pPr>
            <w:r w:rsidRPr="00482CB4">
              <w:rPr>
                <w:rStyle w:val="BookTitle"/>
              </w:rPr>
              <w:t xml:space="preserve">                 6,090 </w:t>
            </w:r>
          </w:p>
        </w:tc>
        <w:tc>
          <w:tcPr>
            <w:tcW w:w="1012" w:type="pct"/>
            <w:shd w:val="clear" w:color="auto" w:fill="auto"/>
            <w:noWrap/>
            <w:vAlign w:val="bottom"/>
            <w:hideMark/>
          </w:tcPr>
          <w:p w14:paraId="0C3F7F2C" w14:textId="77777777" w:rsidR="00330E11" w:rsidRPr="00482CB4" w:rsidRDefault="00330E11" w:rsidP="00630695">
            <w:pPr>
              <w:spacing w:before="0" w:after="0"/>
              <w:rPr>
                <w:rStyle w:val="BookTitle"/>
              </w:rPr>
            </w:pPr>
            <w:r w:rsidRPr="00482CB4">
              <w:rPr>
                <w:rStyle w:val="BookTitle"/>
              </w:rPr>
              <w:t>8</w:t>
            </w:r>
          </w:p>
        </w:tc>
        <w:tc>
          <w:tcPr>
            <w:tcW w:w="1049" w:type="pct"/>
            <w:shd w:val="clear" w:color="auto" w:fill="auto"/>
            <w:noWrap/>
            <w:vAlign w:val="bottom"/>
            <w:hideMark/>
          </w:tcPr>
          <w:p w14:paraId="0C3F7F2D" w14:textId="77777777" w:rsidR="00330E11" w:rsidRPr="00482CB4" w:rsidRDefault="00330E11" w:rsidP="00630695">
            <w:pPr>
              <w:spacing w:before="0" w:after="0"/>
              <w:rPr>
                <w:rStyle w:val="BookTitle"/>
              </w:rPr>
            </w:pPr>
            <w:r w:rsidRPr="00482CB4">
              <w:rPr>
                <w:rStyle w:val="BookTitle"/>
              </w:rPr>
              <w:t>2</w:t>
            </w:r>
          </w:p>
        </w:tc>
      </w:tr>
      <w:tr w:rsidR="00330E11" w:rsidRPr="00482CB4" w14:paraId="0C3F7F35" w14:textId="77777777" w:rsidTr="00630695">
        <w:trPr>
          <w:trHeight w:val="20"/>
        </w:trPr>
        <w:tc>
          <w:tcPr>
            <w:tcW w:w="685" w:type="pct"/>
            <w:shd w:val="clear" w:color="auto" w:fill="auto"/>
            <w:vAlign w:val="bottom"/>
            <w:hideMark/>
          </w:tcPr>
          <w:p w14:paraId="0C3F7F2F" w14:textId="77777777" w:rsidR="00330E11" w:rsidRPr="00482CB4" w:rsidRDefault="00330E11" w:rsidP="00630695">
            <w:pPr>
              <w:spacing w:before="0" w:after="0"/>
              <w:rPr>
                <w:rStyle w:val="BookTitle"/>
              </w:rPr>
            </w:pPr>
            <w:r w:rsidRPr="00482CB4">
              <w:rPr>
                <w:rStyle w:val="BookTitle"/>
              </w:rPr>
              <w:t>Mulgrave</w:t>
            </w:r>
          </w:p>
        </w:tc>
        <w:tc>
          <w:tcPr>
            <w:tcW w:w="660" w:type="pct"/>
            <w:shd w:val="clear" w:color="auto" w:fill="auto"/>
            <w:noWrap/>
            <w:vAlign w:val="bottom"/>
            <w:hideMark/>
          </w:tcPr>
          <w:p w14:paraId="0C3F7F30" w14:textId="77777777" w:rsidR="00330E11" w:rsidRPr="00482CB4" w:rsidRDefault="00330E11" w:rsidP="00630695">
            <w:pPr>
              <w:spacing w:before="0" w:after="0"/>
              <w:rPr>
                <w:rStyle w:val="BookTitle"/>
              </w:rPr>
            </w:pPr>
            <w:r w:rsidRPr="00482CB4">
              <w:rPr>
                <w:rStyle w:val="BookTitle"/>
              </w:rPr>
              <w:t>111007A</w:t>
            </w:r>
          </w:p>
        </w:tc>
        <w:tc>
          <w:tcPr>
            <w:tcW w:w="792" w:type="pct"/>
            <w:shd w:val="clear" w:color="auto" w:fill="auto"/>
            <w:noWrap/>
            <w:vAlign w:val="bottom"/>
            <w:hideMark/>
          </w:tcPr>
          <w:p w14:paraId="0C3F7F31" w14:textId="77777777" w:rsidR="00330E11" w:rsidRPr="00482CB4" w:rsidRDefault="00330E11" w:rsidP="00630695">
            <w:pPr>
              <w:spacing w:before="0" w:after="0"/>
              <w:rPr>
                <w:rStyle w:val="BookTitle"/>
              </w:rPr>
            </w:pPr>
            <w:r w:rsidRPr="00482CB4">
              <w:rPr>
                <w:rStyle w:val="BookTitle"/>
              </w:rPr>
              <w:t xml:space="preserve">                 2,000 </w:t>
            </w:r>
          </w:p>
        </w:tc>
        <w:tc>
          <w:tcPr>
            <w:tcW w:w="802" w:type="pct"/>
            <w:shd w:val="clear" w:color="auto" w:fill="auto"/>
            <w:noWrap/>
            <w:vAlign w:val="bottom"/>
            <w:hideMark/>
          </w:tcPr>
          <w:p w14:paraId="0C3F7F32" w14:textId="77777777" w:rsidR="00330E11" w:rsidRPr="00482CB4" w:rsidRDefault="00330E11" w:rsidP="00630695">
            <w:pPr>
              <w:spacing w:before="0" w:after="0"/>
              <w:rPr>
                <w:rStyle w:val="BookTitle"/>
              </w:rPr>
            </w:pPr>
            <w:r w:rsidRPr="00482CB4">
              <w:rPr>
                <w:rStyle w:val="BookTitle"/>
              </w:rPr>
              <w:t xml:space="preserve">                 7,109 </w:t>
            </w:r>
          </w:p>
        </w:tc>
        <w:tc>
          <w:tcPr>
            <w:tcW w:w="1012" w:type="pct"/>
            <w:shd w:val="clear" w:color="auto" w:fill="auto"/>
            <w:noWrap/>
            <w:vAlign w:val="bottom"/>
            <w:hideMark/>
          </w:tcPr>
          <w:p w14:paraId="0C3F7F33" w14:textId="77777777" w:rsidR="00330E11" w:rsidRPr="00482CB4" w:rsidRDefault="00330E11" w:rsidP="00630695">
            <w:pPr>
              <w:spacing w:before="0" w:after="0"/>
              <w:rPr>
                <w:rStyle w:val="BookTitle"/>
              </w:rPr>
            </w:pPr>
            <w:r w:rsidRPr="00482CB4">
              <w:rPr>
                <w:rStyle w:val="BookTitle"/>
              </w:rPr>
              <w:t>21</w:t>
            </w:r>
          </w:p>
        </w:tc>
        <w:tc>
          <w:tcPr>
            <w:tcW w:w="1049" w:type="pct"/>
            <w:shd w:val="clear" w:color="auto" w:fill="auto"/>
            <w:noWrap/>
            <w:vAlign w:val="bottom"/>
            <w:hideMark/>
          </w:tcPr>
          <w:p w14:paraId="0C3F7F34" w14:textId="77777777" w:rsidR="00330E11" w:rsidRPr="00482CB4" w:rsidRDefault="00330E11" w:rsidP="00630695">
            <w:pPr>
              <w:spacing w:before="0" w:after="0"/>
              <w:rPr>
                <w:rStyle w:val="BookTitle"/>
              </w:rPr>
            </w:pPr>
            <w:r w:rsidRPr="00482CB4">
              <w:rPr>
                <w:rStyle w:val="BookTitle"/>
              </w:rPr>
              <w:t>2</w:t>
            </w:r>
          </w:p>
        </w:tc>
      </w:tr>
      <w:tr w:rsidR="00330E11" w:rsidRPr="00482CB4" w14:paraId="0C3F7F3C" w14:textId="77777777" w:rsidTr="00630695">
        <w:trPr>
          <w:trHeight w:val="20"/>
        </w:trPr>
        <w:tc>
          <w:tcPr>
            <w:tcW w:w="685" w:type="pct"/>
            <w:shd w:val="clear" w:color="auto" w:fill="auto"/>
            <w:vAlign w:val="bottom"/>
            <w:hideMark/>
          </w:tcPr>
          <w:p w14:paraId="0C3F7F36" w14:textId="77777777" w:rsidR="00330E11" w:rsidRPr="00482CB4" w:rsidRDefault="00330E11" w:rsidP="00630695">
            <w:pPr>
              <w:spacing w:before="0" w:after="0"/>
              <w:rPr>
                <w:rStyle w:val="BookTitle"/>
              </w:rPr>
            </w:pPr>
            <w:r w:rsidRPr="00482CB4">
              <w:rPr>
                <w:rStyle w:val="BookTitle"/>
              </w:rPr>
              <w:t>Russell</w:t>
            </w:r>
          </w:p>
        </w:tc>
        <w:tc>
          <w:tcPr>
            <w:tcW w:w="660" w:type="pct"/>
            <w:shd w:val="clear" w:color="auto" w:fill="auto"/>
            <w:noWrap/>
            <w:vAlign w:val="bottom"/>
            <w:hideMark/>
          </w:tcPr>
          <w:p w14:paraId="0C3F7F37" w14:textId="77777777" w:rsidR="00330E11" w:rsidRPr="00482CB4" w:rsidRDefault="00330E11" w:rsidP="00630695">
            <w:pPr>
              <w:spacing w:before="0" w:after="0"/>
              <w:rPr>
                <w:rStyle w:val="BookTitle"/>
              </w:rPr>
            </w:pPr>
            <w:r w:rsidRPr="00482CB4">
              <w:rPr>
                <w:rStyle w:val="BookTitle"/>
              </w:rPr>
              <w:t>111101D</w:t>
            </w:r>
          </w:p>
        </w:tc>
        <w:tc>
          <w:tcPr>
            <w:tcW w:w="792" w:type="pct"/>
            <w:shd w:val="clear" w:color="auto" w:fill="auto"/>
            <w:noWrap/>
            <w:vAlign w:val="bottom"/>
            <w:hideMark/>
          </w:tcPr>
          <w:p w14:paraId="0C3F7F38" w14:textId="77777777" w:rsidR="00330E11" w:rsidRPr="00482CB4" w:rsidRDefault="00330E11" w:rsidP="00630695">
            <w:pPr>
              <w:spacing w:before="0" w:after="0"/>
              <w:rPr>
                <w:rStyle w:val="BookTitle"/>
              </w:rPr>
            </w:pPr>
            <w:r w:rsidRPr="00482CB4">
              <w:rPr>
                <w:rStyle w:val="BookTitle"/>
              </w:rPr>
              <w:t xml:space="preserve">                 3,210 </w:t>
            </w:r>
          </w:p>
        </w:tc>
        <w:tc>
          <w:tcPr>
            <w:tcW w:w="802" w:type="pct"/>
            <w:shd w:val="clear" w:color="auto" w:fill="auto"/>
            <w:noWrap/>
            <w:vAlign w:val="bottom"/>
            <w:hideMark/>
          </w:tcPr>
          <w:p w14:paraId="0C3F7F39" w14:textId="77777777" w:rsidR="00330E11" w:rsidRPr="00482CB4" w:rsidRDefault="00330E11" w:rsidP="00630695">
            <w:pPr>
              <w:spacing w:before="0" w:after="0"/>
              <w:rPr>
                <w:rStyle w:val="BookTitle"/>
              </w:rPr>
            </w:pPr>
            <w:r w:rsidRPr="00482CB4">
              <w:rPr>
                <w:rStyle w:val="BookTitle"/>
              </w:rPr>
              <w:t xml:space="preserve">               12,308 </w:t>
            </w:r>
          </w:p>
        </w:tc>
        <w:tc>
          <w:tcPr>
            <w:tcW w:w="1012" w:type="pct"/>
            <w:shd w:val="clear" w:color="auto" w:fill="auto"/>
            <w:noWrap/>
            <w:vAlign w:val="bottom"/>
            <w:hideMark/>
          </w:tcPr>
          <w:p w14:paraId="0C3F7F3A" w14:textId="77777777" w:rsidR="00330E11" w:rsidRPr="00482CB4" w:rsidRDefault="00330E11" w:rsidP="00630695">
            <w:pPr>
              <w:spacing w:before="0" w:after="0"/>
              <w:rPr>
                <w:rStyle w:val="BookTitle"/>
              </w:rPr>
            </w:pPr>
            <w:r w:rsidRPr="00482CB4">
              <w:rPr>
                <w:rStyle w:val="BookTitle"/>
              </w:rPr>
              <w:t>21</w:t>
            </w:r>
          </w:p>
        </w:tc>
        <w:tc>
          <w:tcPr>
            <w:tcW w:w="1049" w:type="pct"/>
            <w:shd w:val="clear" w:color="auto" w:fill="auto"/>
            <w:noWrap/>
            <w:vAlign w:val="bottom"/>
            <w:hideMark/>
          </w:tcPr>
          <w:p w14:paraId="0C3F7F3B" w14:textId="77777777" w:rsidR="00330E11" w:rsidRPr="00482CB4" w:rsidRDefault="00330E11" w:rsidP="00630695">
            <w:pPr>
              <w:spacing w:before="0" w:after="0"/>
              <w:rPr>
                <w:rStyle w:val="BookTitle"/>
              </w:rPr>
            </w:pPr>
            <w:r w:rsidRPr="00482CB4">
              <w:rPr>
                <w:rStyle w:val="BookTitle"/>
              </w:rPr>
              <w:t>3</w:t>
            </w:r>
          </w:p>
        </w:tc>
      </w:tr>
      <w:tr w:rsidR="00330E11" w:rsidRPr="00482CB4" w14:paraId="0C3F7F43" w14:textId="77777777" w:rsidTr="00630695">
        <w:trPr>
          <w:trHeight w:val="20"/>
        </w:trPr>
        <w:tc>
          <w:tcPr>
            <w:tcW w:w="685" w:type="pct"/>
            <w:shd w:val="clear" w:color="auto" w:fill="auto"/>
            <w:vAlign w:val="bottom"/>
            <w:hideMark/>
          </w:tcPr>
          <w:p w14:paraId="0C3F7F3D" w14:textId="77777777" w:rsidR="00330E11" w:rsidRPr="00482CB4" w:rsidRDefault="00330E11" w:rsidP="00630695">
            <w:pPr>
              <w:spacing w:before="0" w:after="0"/>
              <w:rPr>
                <w:rStyle w:val="BookTitle"/>
              </w:rPr>
            </w:pPr>
            <w:r w:rsidRPr="00482CB4">
              <w:rPr>
                <w:rStyle w:val="BookTitle"/>
              </w:rPr>
              <w:t>N Johnstone</w:t>
            </w:r>
          </w:p>
        </w:tc>
        <w:tc>
          <w:tcPr>
            <w:tcW w:w="660" w:type="pct"/>
            <w:shd w:val="clear" w:color="auto" w:fill="auto"/>
            <w:noWrap/>
            <w:vAlign w:val="bottom"/>
            <w:hideMark/>
          </w:tcPr>
          <w:p w14:paraId="0C3F7F3E" w14:textId="77777777" w:rsidR="00330E11" w:rsidRPr="00482CB4" w:rsidRDefault="00330E11" w:rsidP="00630695">
            <w:pPr>
              <w:spacing w:before="0" w:after="0"/>
              <w:rPr>
                <w:rStyle w:val="BookTitle"/>
              </w:rPr>
            </w:pPr>
            <w:r w:rsidRPr="00482CB4">
              <w:rPr>
                <w:rStyle w:val="BookTitle"/>
              </w:rPr>
              <w:t>112004A</w:t>
            </w:r>
          </w:p>
        </w:tc>
        <w:tc>
          <w:tcPr>
            <w:tcW w:w="792" w:type="pct"/>
            <w:shd w:val="clear" w:color="auto" w:fill="auto"/>
            <w:noWrap/>
            <w:vAlign w:val="bottom"/>
            <w:hideMark/>
          </w:tcPr>
          <w:p w14:paraId="0C3F7F3F" w14:textId="77777777" w:rsidR="00330E11" w:rsidRPr="00482CB4" w:rsidRDefault="00330E11" w:rsidP="00630695">
            <w:pPr>
              <w:spacing w:before="0" w:after="0"/>
              <w:rPr>
                <w:rStyle w:val="BookTitle"/>
              </w:rPr>
            </w:pPr>
            <w:r w:rsidRPr="00482CB4">
              <w:rPr>
                <w:rStyle w:val="BookTitle"/>
              </w:rPr>
              <w:t xml:space="preserve">                 5,329 </w:t>
            </w:r>
          </w:p>
        </w:tc>
        <w:tc>
          <w:tcPr>
            <w:tcW w:w="802" w:type="pct"/>
            <w:shd w:val="clear" w:color="auto" w:fill="auto"/>
            <w:noWrap/>
            <w:vAlign w:val="bottom"/>
            <w:hideMark/>
          </w:tcPr>
          <w:p w14:paraId="0C3F7F40" w14:textId="77777777" w:rsidR="00330E11" w:rsidRPr="00482CB4" w:rsidRDefault="00330E11" w:rsidP="00630695">
            <w:pPr>
              <w:spacing w:before="0" w:after="0"/>
              <w:rPr>
                <w:rStyle w:val="BookTitle"/>
              </w:rPr>
            </w:pPr>
            <w:r w:rsidRPr="00482CB4">
              <w:rPr>
                <w:rStyle w:val="BookTitle"/>
              </w:rPr>
              <w:t xml:space="preserve">               16,694 </w:t>
            </w:r>
          </w:p>
        </w:tc>
        <w:tc>
          <w:tcPr>
            <w:tcW w:w="1012" w:type="pct"/>
            <w:shd w:val="clear" w:color="auto" w:fill="auto"/>
            <w:noWrap/>
            <w:vAlign w:val="bottom"/>
            <w:hideMark/>
          </w:tcPr>
          <w:p w14:paraId="0C3F7F41" w14:textId="77777777" w:rsidR="00330E11" w:rsidRPr="00482CB4" w:rsidRDefault="00330E11" w:rsidP="00630695">
            <w:pPr>
              <w:spacing w:before="0" w:after="0"/>
              <w:rPr>
                <w:rStyle w:val="BookTitle"/>
              </w:rPr>
            </w:pPr>
            <w:r w:rsidRPr="00482CB4">
              <w:rPr>
                <w:rStyle w:val="BookTitle"/>
              </w:rPr>
              <w:t>24</w:t>
            </w:r>
          </w:p>
        </w:tc>
        <w:tc>
          <w:tcPr>
            <w:tcW w:w="1049" w:type="pct"/>
            <w:shd w:val="clear" w:color="auto" w:fill="auto"/>
            <w:noWrap/>
            <w:vAlign w:val="bottom"/>
            <w:hideMark/>
          </w:tcPr>
          <w:p w14:paraId="0C3F7F42" w14:textId="77777777" w:rsidR="00330E11" w:rsidRPr="00482CB4" w:rsidRDefault="00330E11" w:rsidP="00630695">
            <w:pPr>
              <w:spacing w:before="0" w:after="0"/>
              <w:rPr>
                <w:rStyle w:val="BookTitle"/>
              </w:rPr>
            </w:pPr>
            <w:r w:rsidRPr="00482CB4">
              <w:rPr>
                <w:rStyle w:val="BookTitle"/>
              </w:rPr>
              <w:t>2</w:t>
            </w:r>
          </w:p>
        </w:tc>
      </w:tr>
      <w:tr w:rsidR="00330E11" w:rsidRPr="00482CB4" w14:paraId="0C3F7F4A" w14:textId="77777777" w:rsidTr="00630695">
        <w:trPr>
          <w:trHeight w:val="20"/>
        </w:trPr>
        <w:tc>
          <w:tcPr>
            <w:tcW w:w="685" w:type="pct"/>
            <w:shd w:val="clear" w:color="auto" w:fill="auto"/>
            <w:vAlign w:val="bottom"/>
            <w:hideMark/>
          </w:tcPr>
          <w:p w14:paraId="0C3F7F44" w14:textId="77777777" w:rsidR="00330E11" w:rsidRPr="00482CB4" w:rsidRDefault="00330E11" w:rsidP="00630695">
            <w:pPr>
              <w:spacing w:before="0" w:after="0"/>
              <w:rPr>
                <w:rStyle w:val="BookTitle"/>
              </w:rPr>
            </w:pPr>
            <w:r w:rsidRPr="00482CB4">
              <w:rPr>
                <w:rStyle w:val="BookTitle"/>
              </w:rPr>
              <w:t>S Johnstone</w:t>
            </w:r>
          </w:p>
        </w:tc>
        <w:tc>
          <w:tcPr>
            <w:tcW w:w="660" w:type="pct"/>
            <w:shd w:val="clear" w:color="auto" w:fill="auto"/>
            <w:noWrap/>
            <w:vAlign w:val="bottom"/>
            <w:hideMark/>
          </w:tcPr>
          <w:p w14:paraId="0C3F7F45" w14:textId="77777777" w:rsidR="00330E11" w:rsidRPr="00482CB4" w:rsidRDefault="00330E11" w:rsidP="00630695">
            <w:pPr>
              <w:spacing w:before="0" w:after="0"/>
              <w:rPr>
                <w:rStyle w:val="BookTitle"/>
              </w:rPr>
            </w:pPr>
            <w:r w:rsidRPr="00482CB4">
              <w:rPr>
                <w:rStyle w:val="BookTitle"/>
              </w:rPr>
              <w:t>112101B</w:t>
            </w:r>
          </w:p>
        </w:tc>
        <w:tc>
          <w:tcPr>
            <w:tcW w:w="792" w:type="pct"/>
            <w:shd w:val="clear" w:color="auto" w:fill="auto"/>
            <w:noWrap/>
            <w:vAlign w:val="bottom"/>
            <w:hideMark/>
          </w:tcPr>
          <w:p w14:paraId="0C3F7F46" w14:textId="77777777" w:rsidR="00330E11" w:rsidRPr="00482CB4" w:rsidRDefault="00330E11" w:rsidP="00630695">
            <w:pPr>
              <w:spacing w:before="0" w:after="0"/>
              <w:rPr>
                <w:rStyle w:val="BookTitle"/>
              </w:rPr>
            </w:pPr>
            <w:r w:rsidRPr="00482CB4">
              <w:rPr>
                <w:rStyle w:val="BookTitle"/>
              </w:rPr>
              <w:t xml:space="preserve">                 2,326 </w:t>
            </w:r>
          </w:p>
        </w:tc>
        <w:tc>
          <w:tcPr>
            <w:tcW w:w="802" w:type="pct"/>
            <w:shd w:val="clear" w:color="auto" w:fill="auto"/>
            <w:noWrap/>
            <w:vAlign w:val="bottom"/>
            <w:hideMark/>
          </w:tcPr>
          <w:p w14:paraId="0C3F7F47" w14:textId="77777777" w:rsidR="00330E11" w:rsidRPr="00482CB4" w:rsidRDefault="00330E11" w:rsidP="00630695">
            <w:pPr>
              <w:spacing w:before="0" w:after="0"/>
              <w:rPr>
                <w:rStyle w:val="BookTitle"/>
              </w:rPr>
            </w:pPr>
            <w:r w:rsidRPr="00482CB4">
              <w:rPr>
                <w:rStyle w:val="BookTitle"/>
              </w:rPr>
              <w:t xml:space="preserve">                 7,097 </w:t>
            </w:r>
          </w:p>
        </w:tc>
        <w:tc>
          <w:tcPr>
            <w:tcW w:w="1012" w:type="pct"/>
            <w:shd w:val="clear" w:color="auto" w:fill="auto"/>
            <w:noWrap/>
            <w:vAlign w:val="bottom"/>
            <w:hideMark/>
          </w:tcPr>
          <w:p w14:paraId="0C3F7F48" w14:textId="77777777" w:rsidR="00330E11" w:rsidRPr="00482CB4" w:rsidRDefault="00330E11" w:rsidP="00630695">
            <w:pPr>
              <w:spacing w:before="0" w:after="0"/>
              <w:rPr>
                <w:rStyle w:val="BookTitle"/>
              </w:rPr>
            </w:pPr>
            <w:r w:rsidRPr="00482CB4">
              <w:rPr>
                <w:rStyle w:val="BookTitle"/>
              </w:rPr>
              <w:t>15</w:t>
            </w:r>
          </w:p>
        </w:tc>
        <w:tc>
          <w:tcPr>
            <w:tcW w:w="1049" w:type="pct"/>
            <w:shd w:val="clear" w:color="auto" w:fill="auto"/>
            <w:noWrap/>
            <w:vAlign w:val="bottom"/>
            <w:hideMark/>
          </w:tcPr>
          <w:p w14:paraId="0C3F7F49" w14:textId="77777777" w:rsidR="00330E11" w:rsidRPr="00482CB4" w:rsidRDefault="00330E11" w:rsidP="00630695">
            <w:pPr>
              <w:spacing w:before="0" w:after="0"/>
              <w:rPr>
                <w:rStyle w:val="BookTitle"/>
              </w:rPr>
            </w:pPr>
            <w:r w:rsidRPr="00482CB4">
              <w:rPr>
                <w:rStyle w:val="BookTitle"/>
              </w:rPr>
              <w:t>1</w:t>
            </w:r>
          </w:p>
        </w:tc>
      </w:tr>
      <w:tr w:rsidR="00330E11" w:rsidRPr="00482CB4" w14:paraId="0C3F7F51" w14:textId="77777777" w:rsidTr="00630695">
        <w:trPr>
          <w:trHeight w:val="20"/>
        </w:trPr>
        <w:tc>
          <w:tcPr>
            <w:tcW w:w="685" w:type="pct"/>
            <w:shd w:val="clear" w:color="auto" w:fill="auto"/>
            <w:vAlign w:val="bottom"/>
          </w:tcPr>
          <w:p w14:paraId="0C3F7F4B" w14:textId="77777777" w:rsidR="00330E11" w:rsidRPr="00482CB4" w:rsidRDefault="00330E11" w:rsidP="00630695">
            <w:pPr>
              <w:spacing w:before="0" w:after="0"/>
              <w:rPr>
                <w:rStyle w:val="BookTitle"/>
              </w:rPr>
            </w:pPr>
            <w:r w:rsidRPr="00482CB4">
              <w:rPr>
                <w:rStyle w:val="BookTitle"/>
              </w:rPr>
              <w:t>Tully</w:t>
            </w:r>
          </w:p>
        </w:tc>
        <w:tc>
          <w:tcPr>
            <w:tcW w:w="660" w:type="pct"/>
            <w:shd w:val="clear" w:color="auto" w:fill="auto"/>
            <w:noWrap/>
            <w:vAlign w:val="bottom"/>
          </w:tcPr>
          <w:p w14:paraId="0C3F7F4C" w14:textId="77777777" w:rsidR="00330E11" w:rsidRPr="00482CB4" w:rsidRDefault="00330E11" w:rsidP="00630695">
            <w:pPr>
              <w:spacing w:before="0" w:after="0"/>
              <w:rPr>
                <w:rStyle w:val="BookTitle"/>
              </w:rPr>
            </w:pPr>
            <w:r w:rsidRPr="00482CB4">
              <w:rPr>
                <w:rStyle w:val="BookTitle"/>
              </w:rPr>
              <w:t>113006A</w:t>
            </w:r>
          </w:p>
        </w:tc>
        <w:tc>
          <w:tcPr>
            <w:tcW w:w="792" w:type="pct"/>
            <w:shd w:val="clear" w:color="auto" w:fill="auto"/>
            <w:noWrap/>
            <w:vAlign w:val="bottom"/>
          </w:tcPr>
          <w:p w14:paraId="0C3F7F4D" w14:textId="77777777" w:rsidR="00330E11" w:rsidRPr="00482CB4" w:rsidRDefault="00330E11" w:rsidP="00630695">
            <w:pPr>
              <w:spacing w:before="0" w:after="0"/>
              <w:rPr>
                <w:rStyle w:val="BookTitle"/>
              </w:rPr>
            </w:pPr>
            <w:r w:rsidRPr="00482CB4">
              <w:rPr>
                <w:rStyle w:val="BookTitle"/>
              </w:rPr>
              <w:t xml:space="preserve">                 9,270 </w:t>
            </w:r>
          </w:p>
        </w:tc>
        <w:tc>
          <w:tcPr>
            <w:tcW w:w="802" w:type="pct"/>
            <w:shd w:val="clear" w:color="auto" w:fill="auto"/>
            <w:noWrap/>
            <w:vAlign w:val="bottom"/>
          </w:tcPr>
          <w:p w14:paraId="0C3F7F4E" w14:textId="77777777" w:rsidR="00330E11" w:rsidRPr="00482CB4" w:rsidRDefault="00330E11" w:rsidP="00630695">
            <w:pPr>
              <w:spacing w:before="0" w:after="0"/>
              <w:rPr>
                <w:rStyle w:val="BookTitle"/>
              </w:rPr>
            </w:pPr>
            <w:r w:rsidRPr="00482CB4">
              <w:rPr>
                <w:rStyle w:val="BookTitle"/>
              </w:rPr>
              <w:t xml:space="preserve">               28,441 </w:t>
            </w:r>
          </w:p>
        </w:tc>
        <w:tc>
          <w:tcPr>
            <w:tcW w:w="1012" w:type="pct"/>
            <w:shd w:val="clear" w:color="auto" w:fill="auto"/>
            <w:noWrap/>
            <w:vAlign w:val="bottom"/>
          </w:tcPr>
          <w:p w14:paraId="0C3F7F4F" w14:textId="77777777" w:rsidR="00330E11" w:rsidRPr="00482CB4" w:rsidRDefault="00330E11" w:rsidP="00630695">
            <w:pPr>
              <w:spacing w:before="0" w:after="0"/>
              <w:rPr>
                <w:rStyle w:val="BookTitle"/>
              </w:rPr>
            </w:pPr>
            <w:r w:rsidRPr="00482CB4">
              <w:rPr>
                <w:rStyle w:val="BookTitle"/>
              </w:rPr>
              <w:t>27</w:t>
            </w:r>
          </w:p>
        </w:tc>
        <w:tc>
          <w:tcPr>
            <w:tcW w:w="1049" w:type="pct"/>
            <w:shd w:val="clear" w:color="auto" w:fill="auto"/>
            <w:noWrap/>
            <w:vAlign w:val="bottom"/>
          </w:tcPr>
          <w:p w14:paraId="0C3F7F50" w14:textId="77777777" w:rsidR="00330E11" w:rsidRPr="00482CB4" w:rsidRDefault="00330E11" w:rsidP="00630695">
            <w:pPr>
              <w:spacing w:before="0" w:after="0"/>
              <w:rPr>
                <w:rStyle w:val="BookTitle"/>
              </w:rPr>
            </w:pPr>
            <w:r w:rsidRPr="00482CB4">
              <w:rPr>
                <w:rStyle w:val="BookTitle"/>
              </w:rPr>
              <w:t>3</w:t>
            </w:r>
          </w:p>
        </w:tc>
      </w:tr>
      <w:tr w:rsidR="00330E11" w:rsidRPr="00482CB4" w14:paraId="0C3F7F58" w14:textId="77777777" w:rsidTr="00630695">
        <w:trPr>
          <w:trHeight w:val="20"/>
        </w:trPr>
        <w:tc>
          <w:tcPr>
            <w:tcW w:w="685" w:type="pct"/>
            <w:shd w:val="clear" w:color="auto" w:fill="auto"/>
            <w:vAlign w:val="bottom"/>
          </w:tcPr>
          <w:p w14:paraId="0C3F7F52" w14:textId="77777777" w:rsidR="00330E11" w:rsidRPr="00482CB4" w:rsidRDefault="00330E11" w:rsidP="00630695">
            <w:pPr>
              <w:spacing w:before="0" w:after="0"/>
              <w:rPr>
                <w:rStyle w:val="BookTitle"/>
              </w:rPr>
            </w:pPr>
            <w:r w:rsidRPr="00482CB4">
              <w:rPr>
                <w:rStyle w:val="BookTitle"/>
              </w:rPr>
              <w:t>Herbert</w:t>
            </w:r>
          </w:p>
        </w:tc>
        <w:tc>
          <w:tcPr>
            <w:tcW w:w="660" w:type="pct"/>
            <w:shd w:val="clear" w:color="auto" w:fill="auto"/>
            <w:noWrap/>
            <w:vAlign w:val="bottom"/>
          </w:tcPr>
          <w:p w14:paraId="0C3F7F53" w14:textId="77777777" w:rsidR="00330E11" w:rsidRPr="00482CB4" w:rsidRDefault="00330E11" w:rsidP="00630695">
            <w:pPr>
              <w:spacing w:before="0" w:after="0"/>
              <w:rPr>
                <w:rStyle w:val="BookTitle"/>
              </w:rPr>
            </w:pPr>
            <w:r w:rsidRPr="00482CB4">
              <w:rPr>
                <w:rStyle w:val="BookTitle"/>
              </w:rPr>
              <w:t>116001F</w:t>
            </w:r>
          </w:p>
        </w:tc>
        <w:tc>
          <w:tcPr>
            <w:tcW w:w="792" w:type="pct"/>
            <w:shd w:val="clear" w:color="auto" w:fill="auto"/>
            <w:noWrap/>
            <w:vAlign w:val="bottom"/>
          </w:tcPr>
          <w:p w14:paraId="0C3F7F54" w14:textId="77777777" w:rsidR="00330E11" w:rsidRPr="00482CB4" w:rsidRDefault="00330E11" w:rsidP="00630695">
            <w:pPr>
              <w:spacing w:before="0" w:after="0"/>
              <w:rPr>
                <w:rStyle w:val="BookTitle"/>
              </w:rPr>
            </w:pPr>
            <w:r w:rsidRPr="00482CB4">
              <w:rPr>
                <w:rStyle w:val="BookTitle"/>
              </w:rPr>
              <w:t xml:space="preserve">               16,470 </w:t>
            </w:r>
          </w:p>
        </w:tc>
        <w:tc>
          <w:tcPr>
            <w:tcW w:w="802" w:type="pct"/>
            <w:shd w:val="clear" w:color="auto" w:fill="auto"/>
            <w:noWrap/>
            <w:vAlign w:val="bottom"/>
          </w:tcPr>
          <w:p w14:paraId="0C3F7F55" w14:textId="77777777" w:rsidR="00330E11" w:rsidRPr="00482CB4" w:rsidRDefault="00330E11" w:rsidP="00630695">
            <w:pPr>
              <w:spacing w:before="0" w:after="0"/>
              <w:rPr>
                <w:rStyle w:val="BookTitle"/>
              </w:rPr>
            </w:pPr>
            <w:r w:rsidRPr="00482CB4">
              <w:rPr>
                <w:rStyle w:val="BookTitle"/>
              </w:rPr>
              <w:t xml:space="preserve">               60,888 </w:t>
            </w:r>
          </w:p>
        </w:tc>
        <w:tc>
          <w:tcPr>
            <w:tcW w:w="1012" w:type="pct"/>
            <w:shd w:val="clear" w:color="auto" w:fill="auto"/>
            <w:noWrap/>
            <w:vAlign w:val="bottom"/>
          </w:tcPr>
          <w:p w14:paraId="0C3F7F56" w14:textId="77777777" w:rsidR="00330E11" w:rsidRPr="00482CB4" w:rsidRDefault="00330E11" w:rsidP="00630695">
            <w:pPr>
              <w:spacing w:before="0" w:after="0"/>
              <w:rPr>
                <w:rStyle w:val="BookTitle"/>
              </w:rPr>
            </w:pPr>
            <w:r w:rsidRPr="00482CB4">
              <w:rPr>
                <w:rStyle w:val="BookTitle"/>
              </w:rPr>
              <w:t>7</w:t>
            </w:r>
          </w:p>
        </w:tc>
        <w:tc>
          <w:tcPr>
            <w:tcW w:w="1049" w:type="pct"/>
            <w:shd w:val="clear" w:color="auto" w:fill="auto"/>
            <w:noWrap/>
            <w:vAlign w:val="bottom"/>
          </w:tcPr>
          <w:p w14:paraId="0C3F7F57" w14:textId="77777777" w:rsidR="00330E11" w:rsidRPr="00482CB4" w:rsidRDefault="00330E11" w:rsidP="00630695">
            <w:pPr>
              <w:spacing w:before="0" w:after="0"/>
              <w:rPr>
                <w:rStyle w:val="BookTitle"/>
              </w:rPr>
            </w:pPr>
            <w:r w:rsidRPr="00482CB4">
              <w:rPr>
                <w:rStyle w:val="BookTitle"/>
              </w:rPr>
              <w:t>1</w:t>
            </w:r>
          </w:p>
        </w:tc>
      </w:tr>
      <w:tr w:rsidR="00330E11" w:rsidRPr="00482CB4" w14:paraId="0C3F7F5F" w14:textId="77777777" w:rsidTr="00630695">
        <w:trPr>
          <w:trHeight w:val="20"/>
        </w:trPr>
        <w:tc>
          <w:tcPr>
            <w:tcW w:w="685" w:type="pct"/>
            <w:shd w:val="clear" w:color="auto" w:fill="auto"/>
            <w:vAlign w:val="bottom"/>
          </w:tcPr>
          <w:p w14:paraId="0C3F7F59" w14:textId="77777777" w:rsidR="00330E11" w:rsidRPr="00482CB4" w:rsidRDefault="00330E11" w:rsidP="00630695">
            <w:pPr>
              <w:spacing w:before="0" w:after="0"/>
              <w:rPr>
                <w:rStyle w:val="BookTitle"/>
              </w:rPr>
            </w:pPr>
            <w:r w:rsidRPr="00482CB4">
              <w:rPr>
                <w:rStyle w:val="BookTitle"/>
              </w:rPr>
              <w:t>Burdekin</w:t>
            </w:r>
          </w:p>
        </w:tc>
        <w:tc>
          <w:tcPr>
            <w:tcW w:w="660" w:type="pct"/>
            <w:shd w:val="clear" w:color="auto" w:fill="auto"/>
            <w:noWrap/>
            <w:vAlign w:val="bottom"/>
          </w:tcPr>
          <w:p w14:paraId="0C3F7F5A" w14:textId="77777777" w:rsidR="00330E11" w:rsidRPr="00482CB4" w:rsidRDefault="00330E11" w:rsidP="00630695">
            <w:pPr>
              <w:spacing w:before="0" w:after="0"/>
              <w:rPr>
                <w:rStyle w:val="BookTitle"/>
              </w:rPr>
            </w:pPr>
            <w:r w:rsidRPr="00482CB4">
              <w:rPr>
                <w:rStyle w:val="BookTitle"/>
              </w:rPr>
              <w:t>120006B</w:t>
            </w:r>
          </w:p>
        </w:tc>
        <w:tc>
          <w:tcPr>
            <w:tcW w:w="792" w:type="pct"/>
            <w:shd w:val="clear" w:color="auto" w:fill="auto"/>
            <w:noWrap/>
            <w:vAlign w:val="bottom"/>
          </w:tcPr>
          <w:p w14:paraId="0C3F7F5B" w14:textId="77777777" w:rsidR="00330E11" w:rsidRPr="00482CB4" w:rsidRDefault="00330E11" w:rsidP="00630695">
            <w:pPr>
              <w:spacing w:before="0" w:after="0"/>
              <w:rPr>
                <w:rStyle w:val="BookTitle"/>
              </w:rPr>
            </w:pPr>
            <w:r w:rsidRPr="00482CB4">
              <w:rPr>
                <w:rStyle w:val="BookTitle"/>
              </w:rPr>
              <w:t xml:space="preserve">                 6,747 </w:t>
            </w:r>
          </w:p>
        </w:tc>
        <w:tc>
          <w:tcPr>
            <w:tcW w:w="802" w:type="pct"/>
            <w:shd w:val="clear" w:color="auto" w:fill="auto"/>
            <w:noWrap/>
            <w:vAlign w:val="bottom"/>
          </w:tcPr>
          <w:p w14:paraId="0C3F7F5C" w14:textId="77777777" w:rsidR="00330E11" w:rsidRPr="00482CB4" w:rsidRDefault="00330E11" w:rsidP="00630695">
            <w:pPr>
              <w:spacing w:before="0" w:after="0"/>
              <w:rPr>
                <w:rStyle w:val="BookTitle"/>
              </w:rPr>
            </w:pPr>
            <w:r w:rsidRPr="00482CB4">
              <w:rPr>
                <w:rStyle w:val="BookTitle"/>
              </w:rPr>
              <w:t xml:space="preserve">             115,249 </w:t>
            </w:r>
          </w:p>
        </w:tc>
        <w:tc>
          <w:tcPr>
            <w:tcW w:w="1012" w:type="pct"/>
            <w:shd w:val="clear" w:color="auto" w:fill="auto"/>
            <w:noWrap/>
            <w:vAlign w:val="bottom"/>
          </w:tcPr>
          <w:p w14:paraId="0C3F7F5D" w14:textId="77777777" w:rsidR="00330E11" w:rsidRPr="00482CB4" w:rsidRDefault="00330E11" w:rsidP="00630695">
            <w:pPr>
              <w:spacing w:before="0" w:after="0"/>
              <w:rPr>
                <w:rStyle w:val="BookTitle"/>
              </w:rPr>
            </w:pPr>
            <w:r w:rsidRPr="00482CB4">
              <w:rPr>
                <w:rStyle w:val="BookTitle"/>
              </w:rPr>
              <w:t>14</w:t>
            </w:r>
          </w:p>
        </w:tc>
        <w:tc>
          <w:tcPr>
            <w:tcW w:w="1049" w:type="pct"/>
            <w:shd w:val="clear" w:color="auto" w:fill="auto"/>
            <w:noWrap/>
            <w:vAlign w:val="bottom"/>
          </w:tcPr>
          <w:p w14:paraId="0C3F7F5E" w14:textId="77777777" w:rsidR="00330E11" w:rsidRPr="00482CB4" w:rsidRDefault="00330E11" w:rsidP="00630695">
            <w:pPr>
              <w:spacing w:before="0" w:after="0"/>
              <w:rPr>
                <w:rStyle w:val="BookTitle"/>
              </w:rPr>
            </w:pPr>
            <w:r w:rsidRPr="00482CB4">
              <w:rPr>
                <w:rStyle w:val="BookTitle"/>
              </w:rPr>
              <w:t>1</w:t>
            </w:r>
          </w:p>
        </w:tc>
      </w:tr>
      <w:tr w:rsidR="00330E11" w:rsidRPr="00482CB4" w14:paraId="0C3F7F66" w14:textId="77777777" w:rsidTr="00630695">
        <w:trPr>
          <w:trHeight w:val="20"/>
        </w:trPr>
        <w:tc>
          <w:tcPr>
            <w:tcW w:w="685" w:type="pct"/>
            <w:shd w:val="clear" w:color="auto" w:fill="auto"/>
            <w:vAlign w:val="bottom"/>
          </w:tcPr>
          <w:p w14:paraId="0C3F7F60" w14:textId="77777777" w:rsidR="00330E11" w:rsidRPr="00482CB4" w:rsidRDefault="00330E11" w:rsidP="00630695">
            <w:pPr>
              <w:spacing w:before="0" w:after="0"/>
              <w:rPr>
                <w:rStyle w:val="BookTitle"/>
              </w:rPr>
            </w:pPr>
            <w:r w:rsidRPr="00482CB4">
              <w:rPr>
                <w:rStyle w:val="BookTitle"/>
              </w:rPr>
              <w:t>Don</w:t>
            </w:r>
          </w:p>
        </w:tc>
        <w:tc>
          <w:tcPr>
            <w:tcW w:w="660" w:type="pct"/>
            <w:shd w:val="clear" w:color="auto" w:fill="auto"/>
            <w:noWrap/>
            <w:vAlign w:val="bottom"/>
          </w:tcPr>
          <w:p w14:paraId="0C3F7F61" w14:textId="77777777" w:rsidR="00330E11" w:rsidRPr="00482CB4" w:rsidRDefault="00330E11" w:rsidP="00630695">
            <w:pPr>
              <w:spacing w:before="0" w:after="0"/>
              <w:rPr>
                <w:rStyle w:val="BookTitle"/>
              </w:rPr>
            </w:pPr>
            <w:r w:rsidRPr="00482CB4">
              <w:rPr>
                <w:rStyle w:val="BookTitle"/>
              </w:rPr>
              <w:t>121003A</w:t>
            </w:r>
          </w:p>
        </w:tc>
        <w:tc>
          <w:tcPr>
            <w:tcW w:w="792" w:type="pct"/>
            <w:shd w:val="clear" w:color="auto" w:fill="auto"/>
            <w:noWrap/>
            <w:vAlign w:val="bottom"/>
          </w:tcPr>
          <w:p w14:paraId="0C3F7F62" w14:textId="77777777" w:rsidR="00330E11" w:rsidRPr="00482CB4" w:rsidRDefault="00330E11" w:rsidP="00630695">
            <w:pPr>
              <w:spacing w:before="0" w:after="0"/>
              <w:rPr>
                <w:rStyle w:val="BookTitle"/>
              </w:rPr>
            </w:pPr>
            <w:r w:rsidRPr="00482CB4">
              <w:rPr>
                <w:rStyle w:val="BookTitle"/>
              </w:rPr>
              <w:t xml:space="preserve">                       87 </w:t>
            </w:r>
          </w:p>
        </w:tc>
        <w:tc>
          <w:tcPr>
            <w:tcW w:w="802" w:type="pct"/>
            <w:shd w:val="clear" w:color="auto" w:fill="auto"/>
            <w:noWrap/>
            <w:vAlign w:val="bottom"/>
          </w:tcPr>
          <w:p w14:paraId="0C3F7F63" w14:textId="77777777" w:rsidR="00330E11" w:rsidRPr="00482CB4" w:rsidRDefault="00330E11" w:rsidP="00630695">
            <w:pPr>
              <w:spacing w:before="0" w:after="0"/>
              <w:rPr>
                <w:rStyle w:val="BookTitle"/>
              </w:rPr>
            </w:pPr>
            <w:r w:rsidRPr="00482CB4">
              <w:rPr>
                <w:rStyle w:val="BookTitle"/>
              </w:rPr>
              <w:t xml:space="preserve">                 1,405 </w:t>
            </w:r>
          </w:p>
        </w:tc>
        <w:tc>
          <w:tcPr>
            <w:tcW w:w="1012" w:type="pct"/>
            <w:shd w:val="clear" w:color="auto" w:fill="auto"/>
            <w:noWrap/>
            <w:vAlign w:val="bottom"/>
          </w:tcPr>
          <w:p w14:paraId="0C3F7F64" w14:textId="77777777" w:rsidR="00330E11" w:rsidRPr="00482CB4" w:rsidRDefault="00330E11" w:rsidP="00630695">
            <w:pPr>
              <w:spacing w:before="0" w:after="0"/>
              <w:rPr>
                <w:rStyle w:val="BookTitle"/>
              </w:rPr>
            </w:pPr>
            <w:r w:rsidRPr="00482CB4">
              <w:rPr>
                <w:rStyle w:val="BookTitle"/>
              </w:rPr>
              <w:t>60</w:t>
            </w:r>
          </w:p>
        </w:tc>
        <w:tc>
          <w:tcPr>
            <w:tcW w:w="1049" w:type="pct"/>
            <w:shd w:val="clear" w:color="auto" w:fill="auto"/>
            <w:noWrap/>
            <w:vAlign w:val="bottom"/>
          </w:tcPr>
          <w:p w14:paraId="0C3F7F65" w14:textId="77777777" w:rsidR="00330E11" w:rsidRPr="00482CB4" w:rsidRDefault="00330E11" w:rsidP="00630695">
            <w:pPr>
              <w:spacing w:before="0" w:after="0"/>
              <w:rPr>
                <w:rStyle w:val="BookTitle"/>
              </w:rPr>
            </w:pPr>
            <w:r w:rsidRPr="00482CB4">
              <w:rPr>
                <w:rStyle w:val="BookTitle"/>
              </w:rPr>
              <w:t>3</w:t>
            </w:r>
          </w:p>
        </w:tc>
      </w:tr>
      <w:tr w:rsidR="00330E11" w:rsidRPr="00482CB4" w14:paraId="0C3F7F6D" w14:textId="77777777" w:rsidTr="00630695">
        <w:trPr>
          <w:trHeight w:val="20"/>
        </w:trPr>
        <w:tc>
          <w:tcPr>
            <w:tcW w:w="685" w:type="pct"/>
            <w:shd w:val="clear" w:color="auto" w:fill="auto"/>
            <w:vAlign w:val="bottom"/>
          </w:tcPr>
          <w:p w14:paraId="0C3F7F67" w14:textId="77777777" w:rsidR="00330E11" w:rsidRPr="00482CB4" w:rsidRDefault="00330E11" w:rsidP="00630695">
            <w:pPr>
              <w:spacing w:before="0" w:after="0"/>
              <w:rPr>
                <w:rStyle w:val="BookTitle"/>
              </w:rPr>
            </w:pPr>
            <w:r w:rsidRPr="00482CB4">
              <w:rPr>
                <w:rStyle w:val="BookTitle"/>
              </w:rPr>
              <w:t>Proserpine</w:t>
            </w:r>
          </w:p>
        </w:tc>
        <w:tc>
          <w:tcPr>
            <w:tcW w:w="660" w:type="pct"/>
            <w:shd w:val="clear" w:color="auto" w:fill="auto"/>
            <w:noWrap/>
            <w:vAlign w:val="bottom"/>
          </w:tcPr>
          <w:p w14:paraId="0C3F7F68" w14:textId="77777777" w:rsidR="00330E11" w:rsidRPr="00482CB4" w:rsidRDefault="00330E11" w:rsidP="00630695">
            <w:pPr>
              <w:spacing w:before="0" w:after="0"/>
              <w:rPr>
                <w:rStyle w:val="BookTitle"/>
              </w:rPr>
            </w:pPr>
            <w:r w:rsidRPr="00482CB4">
              <w:rPr>
                <w:rStyle w:val="BookTitle"/>
              </w:rPr>
              <w:t>122005A</w:t>
            </w:r>
          </w:p>
        </w:tc>
        <w:tc>
          <w:tcPr>
            <w:tcW w:w="792" w:type="pct"/>
            <w:shd w:val="clear" w:color="auto" w:fill="auto"/>
            <w:noWrap/>
            <w:vAlign w:val="bottom"/>
          </w:tcPr>
          <w:p w14:paraId="0C3F7F69" w14:textId="77777777" w:rsidR="00330E11" w:rsidRPr="00482CB4" w:rsidRDefault="00330E11" w:rsidP="00630695">
            <w:pPr>
              <w:spacing w:before="0" w:after="0"/>
              <w:rPr>
                <w:rStyle w:val="BookTitle"/>
              </w:rPr>
            </w:pPr>
            <w:r w:rsidRPr="00482CB4">
              <w:rPr>
                <w:rStyle w:val="BookTitle"/>
              </w:rPr>
              <w:t xml:space="preserve">                       43 </w:t>
            </w:r>
          </w:p>
        </w:tc>
        <w:tc>
          <w:tcPr>
            <w:tcW w:w="802" w:type="pct"/>
            <w:shd w:val="clear" w:color="auto" w:fill="auto"/>
            <w:noWrap/>
            <w:vAlign w:val="bottom"/>
          </w:tcPr>
          <w:p w14:paraId="0C3F7F6A" w14:textId="77777777" w:rsidR="00330E11" w:rsidRPr="00482CB4" w:rsidRDefault="00330E11" w:rsidP="00630695">
            <w:pPr>
              <w:spacing w:before="0" w:after="0"/>
              <w:rPr>
                <w:rStyle w:val="BookTitle"/>
              </w:rPr>
            </w:pPr>
            <w:r w:rsidRPr="00482CB4">
              <w:rPr>
                <w:rStyle w:val="BookTitle"/>
              </w:rPr>
              <w:t xml:space="preserve">                     404 </w:t>
            </w:r>
          </w:p>
        </w:tc>
        <w:tc>
          <w:tcPr>
            <w:tcW w:w="1012" w:type="pct"/>
            <w:shd w:val="clear" w:color="auto" w:fill="auto"/>
            <w:noWrap/>
            <w:vAlign w:val="bottom"/>
          </w:tcPr>
          <w:p w14:paraId="0C3F7F6B" w14:textId="77777777" w:rsidR="00330E11" w:rsidRPr="00482CB4" w:rsidRDefault="00330E11" w:rsidP="00630695">
            <w:pPr>
              <w:spacing w:before="0" w:after="0"/>
              <w:rPr>
                <w:rStyle w:val="BookTitle"/>
              </w:rPr>
            </w:pPr>
            <w:r w:rsidRPr="00482CB4">
              <w:rPr>
                <w:rStyle w:val="BookTitle"/>
              </w:rPr>
              <w:t>45</w:t>
            </w:r>
          </w:p>
        </w:tc>
        <w:tc>
          <w:tcPr>
            <w:tcW w:w="1049" w:type="pct"/>
            <w:shd w:val="clear" w:color="auto" w:fill="auto"/>
            <w:noWrap/>
            <w:vAlign w:val="bottom"/>
          </w:tcPr>
          <w:p w14:paraId="0C3F7F6C" w14:textId="77777777" w:rsidR="00330E11" w:rsidRPr="00482CB4" w:rsidRDefault="00330E11" w:rsidP="00630695">
            <w:pPr>
              <w:spacing w:before="0" w:after="0"/>
              <w:rPr>
                <w:rStyle w:val="BookTitle"/>
              </w:rPr>
            </w:pPr>
            <w:r w:rsidRPr="00482CB4">
              <w:rPr>
                <w:rStyle w:val="BookTitle"/>
              </w:rPr>
              <w:t>6</w:t>
            </w:r>
          </w:p>
        </w:tc>
      </w:tr>
      <w:tr w:rsidR="00330E11" w:rsidRPr="00482CB4" w14:paraId="0C3F7F74" w14:textId="77777777" w:rsidTr="00630695">
        <w:trPr>
          <w:trHeight w:val="20"/>
        </w:trPr>
        <w:tc>
          <w:tcPr>
            <w:tcW w:w="685" w:type="pct"/>
            <w:shd w:val="clear" w:color="auto" w:fill="auto"/>
            <w:vAlign w:val="bottom"/>
          </w:tcPr>
          <w:p w14:paraId="0C3F7F6E" w14:textId="77777777" w:rsidR="00330E11" w:rsidRPr="00482CB4" w:rsidRDefault="00330E11" w:rsidP="00630695">
            <w:pPr>
              <w:spacing w:before="0" w:after="0"/>
              <w:rPr>
                <w:rStyle w:val="BookTitle"/>
              </w:rPr>
            </w:pPr>
            <w:r w:rsidRPr="00482CB4">
              <w:rPr>
                <w:rStyle w:val="BookTitle"/>
              </w:rPr>
              <w:t>Fitzroy</w:t>
            </w:r>
          </w:p>
        </w:tc>
        <w:tc>
          <w:tcPr>
            <w:tcW w:w="660" w:type="pct"/>
            <w:shd w:val="clear" w:color="auto" w:fill="auto"/>
            <w:noWrap/>
            <w:vAlign w:val="bottom"/>
          </w:tcPr>
          <w:p w14:paraId="0C3F7F6F" w14:textId="77777777" w:rsidR="00330E11" w:rsidRPr="00482CB4" w:rsidRDefault="00330E11" w:rsidP="00630695">
            <w:pPr>
              <w:spacing w:before="0" w:after="0"/>
              <w:rPr>
                <w:rStyle w:val="BookTitle"/>
              </w:rPr>
            </w:pPr>
            <w:r w:rsidRPr="00482CB4">
              <w:rPr>
                <w:rStyle w:val="BookTitle"/>
              </w:rPr>
              <w:t>130005A</w:t>
            </w:r>
          </w:p>
        </w:tc>
        <w:tc>
          <w:tcPr>
            <w:tcW w:w="792" w:type="pct"/>
            <w:shd w:val="clear" w:color="auto" w:fill="auto"/>
            <w:noWrap/>
            <w:vAlign w:val="bottom"/>
          </w:tcPr>
          <w:p w14:paraId="0C3F7F70" w14:textId="77777777" w:rsidR="00330E11" w:rsidRPr="00482CB4" w:rsidRDefault="00330E11" w:rsidP="00630695">
            <w:pPr>
              <w:spacing w:before="0" w:after="0"/>
              <w:rPr>
                <w:rStyle w:val="BookTitle"/>
              </w:rPr>
            </w:pPr>
            <w:r w:rsidRPr="00482CB4">
              <w:rPr>
                <w:rStyle w:val="BookTitle"/>
              </w:rPr>
              <w:t xml:space="preserve">                 3,644 </w:t>
            </w:r>
          </w:p>
        </w:tc>
        <w:tc>
          <w:tcPr>
            <w:tcW w:w="802" w:type="pct"/>
            <w:shd w:val="clear" w:color="auto" w:fill="auto"/>
            <w:noWrap/>
            <w:vAlign w:val="bottom"/>
          </w:tcPr>
          <w:p w14:paraId="0C3F7F71" w14:textId="77777777" w:rsidR="00330E11" w:rsidRPr="00482CB4" w:rsidRDefault="00330E11" w:rsidP="00630695">
            <w:pPr>
              <w:spacing w:before="0" w:after="0"/>
              <w:rPr>
                <w:rStyle w:val="BookTitle"/>
              </w:rPr>
            </w:pPr>
            <w:r w:rsidRPr="00482CB4">
              <w:rPr>
                <w:rStyle w:val="BookTitle"/>
              </w:rPr>
              <w:t xml:space="preserve">               64,988 </w:t>
            </w:r>
          </w:p>
        </w:tc>
        <w:tc>
          <w:tcPr>
            <w:tcW w:w="1012" w:type="pct"/>
            <w:shd w:val="clear" w:color="auto" w:fill="auto"/>
            <w:noWrap/>
            <w:vAlign w:val="bottom"/>
          </w:tcPr>
          <w:p w14:paraId="0C3F7F72" w14:textId="77777777" w:rsidR="00330E11" w:rsidRPr="00482CB4" w:rsidRDefault="00330E11" w:rsidP="00630695">
            <w:pPr>
              <w:spacing w:before="0" w:after="0"/>
              <w:rPr>
                <w:rStyle w:val="BookTitle"/>
              </w:rPr>
            </w:pPr>
            <w:r w:rsidRPr="00482CB4">
              <w:rPr>
                <w:rStyle w:val="BookTitle"/>
              </w:rPr>
              <w:t>30</w:t>
            </w:r>
          </w:p>
        </w:tc>
        <w:tc>
          <w:tcPr>
            <w:tcW w:w="1049" w:type="pct"/>
            <w:shd w:val="clear" w:color="auto" w:fill="auto"/>
            <w:noWrap/>
            <w:vAlign w:val="bottom"/>
          </w:tcPr>
          <w:p w14:paraId="0C3F7F73" w14:textId="77777777" w:rsidR="00330E11" w:rsidRPr="00482CB4" w:rsidRDefault="00330E11" w:rsidP="00630695">
            <w:pPr>
              <w:spacing w:before="0" w:after="0"/>
              <w:rPr>
                <w:rStyle w:val="BookTitle"/>
              </w:rPr>
            </w:pPr>
            <w:r w:rsidRPr="00482CB4">
              <w:rPr>
                <w:rStyle w:val="BookTitle"/>
              </w:rPr>
              <w:t>7</w:t>
            </w:r>
          </w:p>
        </w:tc>
      </w:tr>
      <w:tr w:rsidR="00330E11" w:rsidRPr="00482CB4" w14:paraId="0C3F7F7B" w14:textId="77777777" w:rsidTr="00630695">
        <w:trPr>
          <w:trHeight w:val="20"/>
        </w:trPr>
        <w:tc>
          <w:tcPr>
            <w:tcW w:w="685" w:type="pct"/>
            <w:shd w:val="clear" w:color="auto" w:fill="auto"/>
            <w:vAlign w:val="bottom"/>
          </w:tcPr>
          <w:p w14:paraId="0C3F7F75" w14:textId="77777777" w:rsidR="00330E11" w:rsidRPr="00482CB4" w:rsidRDefault="00330E11" w:rsidP="00630695">
            <w:pPr>
              <w:spacing w:before="0" w:after="0"/>
              <w:rPr>
                <w:rStyle w:val="BookTitle"/>
              </w:rPr>
            </w:pPr>
            <w:r w:rsidRPr="00482CB4">
              <w:rPr>
                <w:rStyle w:val="BookTitle"/>
              </w:rPr>
              <w:t>Burnett</w:t>
            </w:r>
          </w:p>
        </w:tc>
        <w:tc>
          <w:tcPr>
            <w:tcW w:w="660" w:type="pct"/>
            <w:shd w:val="clear" w:color="auto" w:fill="auto"/>
            <w:noWrap/>
            <w:vAlign w:val="bottom"/>
          </w:tcPr>
          <w:p w14:paraId="0C3F7F76" w14:textId="77777777" w:rsidR="00330E11" w:rsidRPr="00482CB4" w:rsidRDefault="00330E11" w:rsidP="00630695">
            <w:pPr>
              <w:spacing w:before="0" w:after="0"/>
              <w:rPr>
                <w:rStyle w:val="BookTitle"/>
              </w:rPr>
            </w:pPr>
            <w:r w:rsidRPr="00482CB4">
              <w:rPr>
                <w:rStyle w:val="BookTitle"/>
              </w:rPr>
              <w:t>136007A</w:t>
            </w:r>
          </w:p>
        </w:tc>
        <w:tc>
          <w:tcPr>
            <w:tcW w:w="792" w:type="pct"/>
            <w:shd w:val="clear" w:color="auto" w:fill="auto"/>
            <w:noWrap/>
            <w:vAlign w:val="bottom"/>
          </w:tcPr>
          <w:p w14:paraId="0C3F7F77" w14:textId="77777777" w:rsidR="00330E11" w:rsidRPr="00482CB4" w:rsidRDefault="00330E11" w:rsidP="00630695">
            <w:pPr>
              <w:spacing w:before="0" w:after="0"/>
              <w:rPr>
                <w:rStyle w:val="BookTitle"/>
              </w:rPr>
            </w:pPr>
            <w:r w:rsidRPr="00482CB4">
              <w:rPr>
                <w:rStyle w:val="BookTitle"/>
              </w:rPr>
              <w:t xml:space="preserve">                     338 </w:t>
            </w:r>
          </w:p>
        </w:tc>
        <w:tc>
          <w:tcPr>
            <w:tcW w:w="802" w:type="pct"/>
            <w:shd w:val="clear" w:color="auto" w:fill="auto"/>
            <w:noWrap/>
            <w:vAlign w:val="bottom"/>
          </w:tcPr>
          <w:p w14:paraId="0C3F7F78" w14:textId="77777777" w:rsidR="00330E11" w:rsidRPr="00482CB4" w:rsidRDefault="00330E11" w:rsidP="00630695">
            <w:pPr>
              <w:spacing w:before="0" w:after="0"/>
              <w:rPr>
                <w:rStyle w:val="BookTitle"/>
              </w:rPr>
            </w:pPr>
            <w:r w:rsidRPr="00482CB4">
              <w:rPr>
                <w:rStyle w:val="BookTitle"/>
              </w:rPr>
              <w:t xml:space="preserve">                 4,316 </w:t>
            </w:r>
          </w:p>
        </w:tc>
        <w:tc>
          <w:tcPr>
            <w:tcW w:w="1012" w:type="pct"/>
            <w:shd w:val="clear" w:color="auto" w:fill="auto"/>
            <w:noWrap/>
            <w:vAlign w:val="bottom"/>
          </w:tcPr>
          <w:p w14:paraId="0C3F7F79" w14:textId="77777777" w:rsidR="00330E11" w:rsidRPr="00482CB4" w:rsidRDefault="00330E11" w:rsidP="00630695">
            <w:pPr>
              <w:spacing w:before="0" w:after="0"/>
              <w:rPr>
                <w:rStyle w:val="BookTitle"/>
              </w:rPr>
            </w:pPr>
            <w:r w:rsidRPr="00482CB4">
              <w:rPr>
                <w:rStyle w:val="BookTitle"/>
              </w:rPr>
              <w:t>37</w:t>
            </w:r>
          </w:p>
        </w:tc>
        <w:tc>
          <w:tcPr>
            <w:tcW w:w="1049" w:type="pct"/>
            <w:shd w:val="clear" w:color="auto" w:fill="auto"/>
            <w:noWrap/>
            <w:vAlign w:val="bottom"/>
          </w:tcPr>
          <w:p w14:paraId="0C3F7F7A" w14:textId="77777777" w:rsidR="00330E11" w:rsidRPr="00482CB4" w:rsidRDefault="00330E11" w:rsidP="00630695">
            <w:pPr>
              <w:spacing w:before="0" w:after="0"/>
              <w:rPr>
                <w:rStyle w:val="BookTitle"/>
              </w:rPr>
            </w:pPr>
            <w:r w:rsidRPr="00482CB4">
              <w:rPr>
                <w:rStyle w:val="BookTitle"/>
              </w:rPr>
              <w:t>24</w:t>
            </w:r>
          </w:p>
        </w:tc>
      </w:tr>
      <w:tr w:rsidR="00330E11" w:rsidRPr="00482CB4" w14:paraId="0C3F7F82" w14:textId="77777777" w:rsidTr="00630695">
        <w:trPr>
          <w:trHeight w:val="20"/>
        </w:trPr>
        <w:tc>
          <w:tcPr>
            <w:tcW w:w="685" w:type="pct"/>
            <w:tcBorders>
              <w:bottom w:val="single" w:sz="4" w:space="0" w:color="auto"/>
            </w:tcBorders>
            <w:shd w:val="clear" w:color="auto" w:fill="auto"/>
            <w:vAlign w:val="bottom"/>
          </w:tcPr>
          <w:p w14:paraId="0C3F7F7C" w14:textId="77777777" w:rsidR="00330E11" w:rsidRPr="00482CB4" w:rsidRDefault="00330E11" w:rsidP="00630695">
            <w:pPr>
              <w:spacing w:before="0" w:after="0"/>
              <w:rPr>
                <w:rStyle w:val="BookTitle"/>
              </w:rPr>
            </w:pPr>
            <w:r w:rsidRPr="00482CB4">
              <w:rPr>
                <w:rStyle w:val="BookTitle"/>
              </w:rPr>
              <w:t>Mary</w:t>
            </w:r>
          </w:p>
        </w:tc>
        <w:tc>
          <w:tcPr>
            <w:tcW w:w="660" w:type="pct"/>
            <w:tcBorders>
              <w:bottom w:val="single" w:sz="4" w:space="0" w:color="auto"/>
            </w:tcBorders>
            <w:shd w:val="clear" w:color="auto" w:fill="auto"/>
            <w:noWrap/>
            <w:vAlign w:val="bottom"/>
          </w:tcPr>
          <w:p w14:paraId="0C3F7F7D" w14:textId="77777777" w:rsidR="00330E11" w:rsidRPr="00482CB4" w:rsidRDefault="00330E11" w:rsidP="00630695">
            <w:pPr>
              <w:spacing w:before="0" w:after="0"/>
              <w:rPr>
                <w:rStyle w:val="BookTitle"/>
              </w:rPr>
            </w:pPr>
            <w:r w:rsidRPr="00482CB4">
              <w:rPr>
                <w:rStyle w:val="BookTitle"/>
              </w:rPr>
              <w:t>138014A</w:t>
            </w:r>
          </w:p>
        </w:tc>
        <w:tc>
          <w:tcPr>
            <w:tcW w:w="792" w:type="pct"/>
            <w:tcBorders>
              <w:bottom w:val="single" w:sz="4" w:space="0" w:color="auto"/>
            </w:tcBorders>
            <w:shd w:val="clear" w:color="auto" w:fill="auto"/>
            <w:noWrap/>
            <w:vAlign w:val="bottom"/>
          </w:tcPr>
          <w:p w14:paraId="0C3F7F7E" w14:textId="77777777" w:rsidR="00330E11" w:rsidRPr="00482CB4" w:rsidRDefault="00330E11" w:rsidP="00630695">
            <w:pPr>
              <w:spacing w:before="0" w:after="0"/>
              <w:rPr>
                <w:rStyle w:val="BookTitle"/>
              </w:rPr>
            </w:pPr>
            <w:r w:rsidRPr="00482CB4">
              <w:rPr>
                <w:rStyle w:val="BookTitle"/>
              </w:rPr>
              <w:t xml:space="preserve">                 1,438 </w:t>
            </w:r>
          </w:p>
        </w:tc>
        <w:tc>
          <w:tcPr>
            <w:tcW w:w="802" w:type="pct"/>
            <w:tcBorders>
              <w:bottom w:val="single" w:sz="4" w:space="0" w:color="auto"/>
            </w:tcBorders>
            <w:shd w:val="clear" w:color="auto" w:fill="auto"/>
            <w:noWrap/>
            <w:vAlign w:val="bottom"/>
          </w:tcPr>
          <w:p w14:paraId="0C3F7F7F" w14:textId="77777777" w:rsidR="00330E11" w:rsidRPr="00482CB4" w:rsidRDefault="00330E11" w:rsidP="00630695">
            <w:pPr>
              <w:spacing w:before="0" w:after="0"/>
              <w:rPr>
                <w:rStyle w:val="BookTitle"/>
              </w:rPr>
            </w:pPr>
            <w:r w:rsidRPr="00482CB4">
              <w:rPr>
                <w:rStyle w:val="BookTitle"/>
              </w:rPr>
              <w:t xml:space="preserve">               12,306 </w:t>
            </w:r>
          </w:p>
        </w:tc>
        <w:tc>
          <w:tcPr>
            <w:tcW w:w="1012" w:type="pct"/>
            <w:tcBorders>
              <w:bottom w:val="single" w:sz="4" w:space="0" w:color="auto"/>
            </w:tcBorders>
            <w:shd w:val="clear" w:color="auto" w:fill="auto"/>
            <w:noWrap/>
            <w:vAlign w:val="bottom"/>
          </w:tcPr>
          <w:p w14:paraId="0C3F7F80" w14:textId="77777777" w:rsidR="00330E11" w:rsidRPr="00482CB4" w:rsidRDefault="00330E11" w:rsidP="00630695">
            <w:pPr>
              <w:spacing w:before="0" w:after="0"/>
              <w:rPr>
                <w:rStyle w:val="BookTitle"/>
              </w:rPr>
            </w:pPr>
            <w:r w:rsidRPr="00482CB4">
              <w:rPr>
                <w:rStyle w:val="BookTitle"/>
              </w:rPr>
              <w:t>41</w:t>
            </w:r>
          </w:p>
        </w:tc>
        <w:tc>
          <w:tcPr>
            <w:tcW w:w="1049" w:type="pct"/>
            <w:tcBorders>
              <w:bottom w:val="single" w:sz="4" w:space="0" w:color="auto"/>
            </w:tcBorders>
            <w:shd w:val="clear" w:color="auto" w:fill="auto"/>
            <w:noWrap/>
            <w:vAlign w:val="bottom"/>
          </w:tcPr>
          <w:p w14:paraId="0C3F7F81" w14:textId="77777777" w:rsidR="00330E11" w:rsidRPr="00482CB4" w:rsidRDefault="00330E11" w:rsidP="00630695">
            <w:pPr>
              <w:spacing w:before="0" w:after="0"/>
              <w:rPr>
                <w:rStyle w:val="BookTitle"/>
              </w:rPr>
            </w:pPr>
            <w:r w:rsidRPr="00482CB4">
              <w:rPr>
                <w:rStyle w:val="BookTitle"/>
              </w:rPr>
              <w:t>10</w:t>
            </w:r>
          </w:p>
        </w:tc>
      </w:tr>
    </w:tbl>
    <w:p w14:paraId="0C3F7F83" w14:textId="77777777" w:rsidR="00482CB4" w:rsidRDefault="00482CB4" w:rsidP="00482CB4">
      <w:pPr>
        <w:rPr>
          <w:sz w:val="18"/>
        </w:rPr>
      </w:pPr>
    </w:p>
    <w:p w14:paraId="0C3F7F84" w14:textId="77777777" w:rsidR="00482CB4" w:rsidRDefault="00482CB4" w:rsidP="00482CB4"/>
    <w:p w14:paraId="0C3F7F85" w14:textId="77777777" w:rsidR="00482CB4" w:rsidRDefault="00482CB4" w:rsidP="00482CB4">
      <w:pPr>
        <w:pStyle w:val="Heading2"/>
        <w:keepNext/>
        <w:numPr>
          <w:ilvl w:val="1"/>
          <w:numId w:val="3"/>
        </w:numPr>
        <w:spacing w:line="80" w:lineRule="atLeast"/>
      </w:pPr>
      <w:bookmarkStart w:id="52" w:name="_Toc434207987"/>
      <w:bookmarkStart w:id="53" w:name="_Toc428851328"/>
      <w:r>
        <w:t>Extent of river plumes – 2012/2013 wet season</w:t>
      </w:r>
      <w:bookmarkEnd w:id="52"/>
    </w:p>
    <w:bookmarkEnd w:id="53"/>
    <w:p w14:paraId="0C3F7F86" w14:textId="77777777" w:rsidR="00482CB4" w:rsidRPr="00482CB4" w:rsidRDefault="00482CB4" w:rsidP="00500FCF">
      <w:pPr>
        <w:rPr>
          <w:rFonts w:eastAsia="Calibri"/>
          <w:lang w:eastAsia="en-US"/>
        </w:rPr>
      </w:pPr>
      <w:r w:rsidRPr="00482CB4">
        <w:rPr>
          <w:rFonts w:eastAsia="Calibri"/>
          <w:lang w:eastAsia="en-US"/>
        </w:rPr>
        <w:t>Two main flood periods were recorded in the river hydrographs: (i) around the 25</w:t>
      </w:r>
      <w:r w:rsidRPr="00482CB4">
        <w:rPr>
          <w:rFonts w:eastAsia="Calibri"/>
          <w:vertAlign w:val="superscript"/>
          <w:lang w:eastAsia="en-US"/>
        </w:rPr>
        <w:t>th</w:t>
      </w:r>
      <w:r w:rsidRPr="00482CB4">
        <w:rPr>
          <w:rFonts w:eastAsia="Calibri"/>
          <w:lang w:eastAsia="en-US"/>
        </w:rPr>
        <w:t xml:space="preserve"> of January and the 11</w:t>
      </w:r>
      <w:r w:rsidRPr="00482CB4">
        <w:rPr>
          <w:rFonts w:eastAsia="Calibri"/>
          <w:vertAlign w:val="superscript"/>
          <w:lang w:eastAsia="en-US"/>
        </w:rPr>
        <w:t>th</w:t>
      </w:r>
      <w:r w:rsidRPr="00482CB4">
        <w:rPr>
          <w:rFonts w:eastAsia="Calibri"/>
          <w:lang w:eastAsia="en-US"/>
        </w:rPr>
        <w:t xml:space="preserve"> of February under the influence of Tropical Cyclone Oswald and (ii) around the 24th of February and 18</w:t>
      </w:r>
      <w:r w:rsidRPr="00482CB4">
        <w:rPr>
          <w:rFonts w:eastAsia="Calibri"/>
          <w:vertAlign w:val="superscript"/>
          <w:lang w:eastAsia="en-US"/>
        </w:rPr>
        <w:t>th</w:t>
      </w:r>
      <w:r w:rsidRPr="00482CB4">
        <w:rPr>
          <w:rFonts w:eastAsia="Calibri"/>
          <w:lang w:eastAsia="en-US"/>
        </w:rPr>
        <w:t xml:space="preserve"> of March. Although a relatively weak storm (cyclone of category 1; Source: BOM), Oswald produced torrential rains over much of Queensland. Rainfall peaked in Tully where approximately 1,000 mm of rain fell; with 632 mm falling over a 48 hour span. The Herbert River rose rapidly after 200 mm of rain fell in the town of Ingham in just three hours (source: BOM). Illustration of areas flooded along the Herbert River is </w:t>
      </w:r>
      <w:r w:rsidRPr="00E47248">
        <w:rPr>
          <w:rFonts w:eastAsia="Calibri"/>
          <w:lang w:eastAsia="en-US"/>
        </w:rPr>
        <w:t>presented in Appendix</w:t>
      </w:r>
      <w:r w:rsidR="00E47248" w:rsidRPr="00E47248">
        <w:rPr>
          <w:rFonts w:eastAsia="Calibri"/>
          <w:lang w:eastAsia="en-US"/>
        </w:rPr>
        <w:t xml:space="preserve"> A, Figure A-1</w:t>
      </w:r>
      <w:r w:rsidRPr="00E47248">
        <w:rPr>
          <w:rFonts w:eastAsia="Calibri"/>
          <w:lang w:eastAsia="en-US"/>
        </w:rPr>
        <w:t>.</w:t>
      </w:r>
    </w:p>
    <w:p w14:paraId="0C3F7F87" w14:textId="77777777" w:rsidR="00482CB4" w:rsidRPr="00D44425" w:rsidRDefault="00482CB4" w:rsidP="00500FCF">
      <w:pPr>
        <w:pStyle w:val="Heading3"/>
        <w:numPr>
          <w:ilvl w:val="2"/>
          <w:numId w:val="3"/>
        </w:numPr>
      </w:pPr>
      <w:bookmarkStart w:id="54" w:name="_Toc427831204"/>
      <w:bookmarkStart w:id="55" w:name="_Toc428793334"/>
      <w:bookmarkStart w:id="56" w:name="_Toc428851329"/>
      <w:bookmarkStart w:id="57" w:name="_Toc434207988"/>
      <w:r w:rsidRPr="00D44425">
        <w:t>Wet Tropics NRM</w:t>
      </w:r>
      <w:bookmarkEnd w:id="54"/>
      <w:bookmarkEnd w:id="55"/>
      <w:bookmarkEnd w:id="56"/>
      <w:bookmarkEnd w:id="57"/>
    </w:p>
    <w:p w14:paraId="0C3F7F88" w14:textId="77777777" w:rsidR="00E47248" w:rsidRPr="00E47248" w:rsidRDefault="00E47248" w:rsidP="00E47248">
      <w:pPr>
        <w:rPr>
          <w:rFonts w:ascii="Cambria" w:hAnsi="Cambria"/>
          <w:bCs/>
          <w:szCs w:val="24"/>
          <w:lang w:eastAsia="en-US"/>
        </w:rPr>
      </w:pPr>
      <w:r w:rsidRPr="00E47248">
        <w:rPr>
          <w:rFonts w:eastAsia="Calibri"/>
          <w:lang w:eastAsia="en-US"/>
        </w:rPr>
        <w:lastRenderedPageBreak/>
        <w:t>A selection of MODIS true color images recorded during the 2 main flood events show</w:t>
      </w:r>
      <w:r w:rsidR="00935052">
        <w:rPr>
          <w:rFonts w:eastAsia="Calibri"/>
          <w:lang w:eastAsia="en-US"/>
        </w:rPr>
        <w:t>s</w:t>
      </w:r>
      <w:r w:rsidRPr="00E47248">
        <w:rPr>
          <w:rFonts w:eastAsia="Calibri"/>
          <w:lang w:eastAsia="en-US"/>
        </w:rPr>
        <w:t xml:space="preserve"> river plumes formed from the main GBR rivers (the Normanby River, the Barron and Johnstone rivers, the Tully and Herbert rivers, the Burdekin River, the Pioneer River, the Fitzroy and The Burnett-Mary River)</w:t>
      </w:r>
      <w:r w:rsidR="00935052">
        <w:rPr>
          <w:rFonts w:eastAsia="Calibri"/>
          <w:lang w:eastAsia="en-US"/>
        </w:rPr>
        <w:t>. These images are</w:t>
      </w:r>
      <w:r w:rsidRPr="00E47248">
        <w:rPr>
          <w:rFonts w:eastAsia="Calibri"/>
          <w:lang w:eastAsia="en-US"/>
        </w:rPr>
        <w:t xml:space="preserve"> presented in Appendix A. </w:t>
      </w:r>
      <w:r w:rsidRPr="00E47248">
        <w:rPr>
          <w:rFonts w:eastAsia="Calibri"/>
          <w:lang w:eastAsia="en-US"/>
        </w:rPr>
        <w:fldChar w:fldCharType="begin"/>
      </w:r>
      <w:r w:rsidRPr="00E47248">
        <w:rPr>
          <w:rFonts w:eastAsia="Calibri"/>
          <w:lang w:eastAsia="en-US"/>
        </w:rPr>
        <w:instrText xml:space="preserve"> REF _Ref428871352 \h </w:instrText>
      </w:r>
      <w:r>
        <w:rPr>
          <w:rFonts w:eastAsia="Calibri"/>
          <w:lang w:eastAsia="en-US"/>
        </w:rPr>
        <w:instrText xml:space="preserve"> \* MERGEFORMAT </w:instrText>
      </w:r>
      <w:r w:rsidRPr="00E47248">
        <w:rPr>
          <w:rFonts w:eastAsia="Calibri"/>
          <w:lang w:eastAsia="en-US"/>
        </w:rPr>
      </w:r>
      <w:r w:rsidRPr="00E47248">
        <w:rPr>
          <w:rFonts w:eastAsia="Calibri"/>
          <w:lang w:eastAsia="en-US"/>
        </w:rPr>
        <w:fldChar w:fldCharType="separate"/>
      </w:r>
      <w:r w:rsidR="00B62B50">
        <w:t xml:space="preserve">Figure </w:t>
      </w:r>
      <w:r w:rsidR="00B62B50">
        <w:rPr>
          <w:noProof/>
        </w:rPr>
        <w:t>3</w:t>
      </w:r>
      <w:r w:rsidR="00B62B50">
        <w:rPr>
          <w:noProof/>
        </w:rPr>
        <w:noBreakHyphen/>
        <w:t>2</w:t>
      </w:r>
      <w:r w:rsidRPr="00E47248">
        <w:rPr>
          <w:rFonts w:eastAsia="Calibri"/>
          <w:lang w:eastAsia="en-US"/>
        </w:rPr>
        <w:fldChar w:fldCharType="end"/>
      </w:r>
      <w:r w:rsidRPr="00E47248">
        <w:rPr>
          <w:rFonts w:eastAsia="Calibri"/>
          <w:lang w:eastAsia="en-US"/>
        </w:rPr>
        <w:t xml:space="preserve"> to </w:t>
      </w:r>
      <w:r w:rsidRPr="00E47248">
        <w:rPr>
          <w:rFonts w:eastAsia="Calibri"/>
          <w:lang w:eastAsia="en-US"/>
        </w:rPr>
        <w:fldChar w:fldCharType="begin"/>
      </w:r>
      <w:r w:rsidRPr="00E47248">
        <w:rPr>
          <w:rFonts w:eastAsia="Calibri"/>
          <w:lang w:eastAsia="en-US"/>
        </w:rPr>
        <w:instrText xml:space="preserve"> REF _Ref428852947 \h </w:instrText>
      </w:r>
      <w:r>
        <w:rPr>
          <w:rFonts w:eastAsia="Calibri"/>
          <w:lang w:eastAsia="en-US"/>
        </w:rPr>
        <w:instrText xml:space="preserve"> \* MERGEFORMAT </w:instrText>
      </w:r>
      <w:r w:rsidRPr="00E47248">
        <w:rPr>
          <w:rFonts w:eastAsia="Calibri"/>
          <w:lang w:eastAsia="en-US"/>
        </w:rPr>
      </w:r>
      <w:r w:rsidRPr="00E47248">
        <w:rPr>
          <w:rFonts w:eastAsia="Calibri"/>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noProof/>
        </w:rPr>
        <w:noBreakHyphen/>
        <w:t>7</w:t>
      </w:r>
      <w:r w:rsidRPr="00E47248">
        <w:rPr>
          <w:rFonts w:eastAsia="Calibri"/>
          <w:lang w:eastAsia="en-US"/>
        </w:rPr>
        <w:fldChar w:fldCharType="end"/>
      </w:r>
      <w:r w:rsidRPr="00E47248">
        <w:rPr>
          <w:rFonts w:eastAsia="Calibri"/>
          <w:lang w:eastAsia="en-US"/>
        </w:rPr>
        <w:t xml:space="preserve"> </w:t>
      </w:r>
      <w:r w:rsidRPr="00E47248">
        <w:rPr>
          <w:rFonts w:eastAsia="Calibri"/>
          <w:lang w:eastAsia="en-US"/>
        </w:rPr>
        <w:fldChar w:fldCharType="begin"/>
      </w:r>
      <w:r w:rsidRPr="00E47248">
        <w:rPr>
          <w:rFonts w:eastAsia="Calibri"/>
          <w:lang w:eastAsia="en-US"/>
        </w:rPr>
        <w:instrText xml:space="preserve"> REF _Ref371609622 \h  \* MERGEFORMAT </w:instrText>
      </w:r>
      <w:r w:rsidRPr="00E47248">
        <w:rPr>
          <w:rFonts w:eastAsia="Calibri"/>
          <w:lang w:eastAsia="en-US"/>
        </w:rPr>
      </w:r>
      <w:r w:rsidRPr="00E47248">
        <w:rPr>
          <w:rFonts w:eastAsia="Calibri"/>
          <w:lang w:eastAsia="en-US"/>
        </w:rPr>
        <w:fldChar w:fldCharType="separate"/>
      </w:r>
      <w:r w:rsidR="00B62B50">
        <w:rPr>
          <w:rFonts w:eastAsia="Calibri"/>
          <w:b/>
          <w:bCs/>
          <w:lang w:val="en-US" w:eastAsia="en-US"/>
        </w:rPr>
        <w:t>Error! Reference source not found.</w:t>
      </w:r>
      <w:r w:rsidRPr="00E47248">
        <w:rPr>
          <w:rFonts w:eastAsia="Calibri"/>
          <w:lang w:eastAsia="en-US"/>
        </w:rPr>
        <w:fldChar w:fldCharType="end"/>
      </w:r>
      <w:r w:rsidRPr="00E47248">
        <w:rPr>
          <w:rFonts w:eastAsia="Calibri"/>
          <w:lang w:eastAsia="en-US"/>
        </w:rPr>
        <w:t xml:space="preserve"> present enlargements of some of these MODIS true </w:t>
      </w:r>
      <w:r w:rsidR="00F46A03" w:rsidRPr="00E47248">
        <w:rPr>
          <w:rFonts w:eastAsia="Calibri"/>
          <w:lang w:eastAsia="en-US"/>
        </w:rPr>
        <w:t>colour</w:t>
      </w:r>
      <w:r w:rsidRPr="00E47248">
        <w:rPr>
          <w:rFonts w:eastAsia="Calibri"/>
          <w:lang w:eastAsia="en-US"/>
        </w:rPr>
        <w:t xml:space="preserve"> image as well as corresponding plume waters types (6 colour classes corresponding to Primary, Secondary, Tertiary plume waters types) mapped by the TC method of Álvarez-Romero et al. (2013). These figures help describing the movements and spatio-temporal variability of the GBR River plumes during the 2012-13 wet season. </w:t>
      </w:r>
    </w:p>
    <w:p w14:paraId="0C3F7F89" w14:textId="77777777" w:rsidR="00482CB4" w:rsidRPr="00482CB4" w:rsidRDefault="00482CB4" w:rsidP="00500FCF">
      <w:pPr>
        <w:rPr>
          <w:rFonts w:eastAsia="Calibri"/>
          <w:lang w:eastAsia="en-US"/>
        </w:rPr>
      </w:pPr>
      <w:r w:rsidRPr="00482CB4">
        <w:rPr>
          <w:rFonts w:eastAsia="Calibri"/>
          <w:lang w:eastAsia="en-US"/>
        </w:rPr>
        <w:t xml:space="preserve">In the Wet Tropics, none of the main rivers exceeded the long-term median in 2012-13 and river discharge rates for the Barron and Johnstone Rivers were relatively low (Appendix </w:t>
      </w:r>
      <w:r w:rsidR="00935052">
        <w:rPr>
          <w:rFonts w:eastAsia="Calibri"/>
          <w:lang w:eastAsia="en-US"/>
        </w:rPr>
        <w:t>A</w:t>
      </w:r>
      <w:r w:rsidR="00500FCF">
        <w:rPr>
          <w:rFonts w:eastAsia="Calibri"/>
          <w:lang w:eastAsia="en-US"/>
        </w:rPr>
        <w:t xml:space="preserve"> </w:t>
      </w:r>
      <w:r w:rsidR="00500FCF">
        <w:rPr>
          <w:rFonts w:eastAsia="Calibri"/>
          <w:lang w:eastAsia="en-US"/>
        </w:rPr>
        <w:fldChar w:fldCharType="begin"/>
      </w:r>
      <w:r w:rsidR="00500FCF">
        <w:rPr>
          <w:rFonts w:eastAsia="Calibri"/>
          <w:lang w:eastAsia="en-US"/>
        </w:rPr>
        <w:instrText xml:space="preserve"> REF _Ref428871352 \h </w:instrText>
      </w:r>
      <w:r w:rsidR="00500FCF">
        <w:rPr>
          <w:rFonts w:eastAsia="Calibri"/>
          <w:lang w:eastAsia="en-US"/>
        </w:rPr>
      </w:r>
      <w:r w:rsidR="00500FCF">
        <w:rPr>
          <w:rFonts w:eastAsia="Calibri"/>
          <w:lang w:eastAsia="en-US"/>
        </w:rPr>
        <w:fldChar w:fldCharType="separate"/>
      </w:r>
      <w:r w:rsidR="00B62B50">
        <w:t xml:space="preserve">Figure </w:t>
      </w:r>
      <w:r w:rsidR="00B62B50">
        <w:rPr>
          <w:noProof/>
        </w:rPr>
        <w:t>3</w:t>
      </w:r>
      <w:r w:rsidR="00B62B50">
        <w:noBreakHyphen/>
      </w:r>
      <w:r w:rsidR="00B62B50">
        <w:rPr>
          <w:noProof/>
        </w:rPr>
        <w:t>2</w:t>
      </w:r>
      <w:r w:rsidR="00500FCF">
        <w:rPr>
          <w:rFonts w:eastAsia="Calibri"/>
          <w:lang w:eastAsia="en-US"/>
        </w:rPr>
        <w:fldChar w:fldCharType="end"/>
      </w:r>
      <w:r w:rsidR="00500FCF">
        <w:rPr>
          <w:rFonts w:eastAsia="Calibri"/>
          <w:lang w:eastAsia="en-US"/>
        </w:rPr>
        <w:t xml:space="preserve">, </w:t>
      </w:r>
      <w:r w:rsidR="00500FCF">
        <w:rPr>
          <w:rFonts w:eastAsia="Calibri"/>
          <w:lang w:eastAsia="en-US"/>
        </w:rPr>
        <w:fldChar w:fldCharType="begin"/>
      </w:r>
      <w:r w:rsidR="00500FCF">
        <w:rPr>
          <w:rFonts w:eastAsia="Calibri"/>
          <w:lang w:eastAsia="en-US"/>
        </w:rPr>
        <w:instrText xml:space="preserve"> REF _Ref428871354 \h </w:instrText>
      </w:r>
      <w:r w:rsidR="00500FCF">
        <w:rPr>
          <w:rFonts w:eastAsia="Calibri"/>
          <w:lang w:eastAsia="en-US"/>
        </w:rPr>
      </w:r>
      <w:r w:rsidR="00500FCF">
        <w:rPr>
          <w:rFonts w:eastAsia="Calibri"/>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rPr>
        <w:noBreakHyphen/>
      </w:r>
      <w:r w:rsidR="00B62B50">
        <w:rPr>
          <w:rFonts w:eastAsia="Calibri"/>
          <w:noProof/>
        </w:rPr>
        <w:t>3</w:t>
      </w:r>
      <w:r w:rsidR="00500FCF">
        <w:rPr>
          <w:rFonts w:eastAsia="Calibri"/>
          <w:lang w:eastAsia="en-US"/>
        </w:rPr>
        <w:fldChar w:fldCharType="end"/>
      </w:r>
      <w:r w:rsidRPr="00482CB4">
        <w:rPr>
          <w:rFonts w:eastAsia="Calibri"/>
          <w:lang w:eastAsia="en-US"/>
        </w:rPr>
        <w:t>). Maximum peak discharge of 106,510 ML day</w:t>
      </w:r>
      <w:r w:rsidRPr="00482CB4">
        <w:rPr>
          <w:rFonts w:eastAsia="Calibri"/>
          <w:vertAlign w:val="superscript"/>
          <w:lang w:eastAsia="en-US"/>
        </w:rPr>
        <w:t>-1</w:t>
      </w:r>
      <w:r w:rsidRPr="00482CB4">
        <w:rPr>
          <w:rFonts w:eastAsia="Calibri"/>
          <w:lang w:eastAsia="en-US"/>
        </w:rPr>
        <w:t xml:space="preserve"> for the Johnstone and 34,788 ML day</w:t>
      </w:r>
      <w:r w:rsidRPr="00482CB4">
        <w:rPr>
          <w:rFonts w:eastAsia="Calibri"/>
          <w:vertAlign w:val="superscript"/>
          <w:lang w:eastAsia="en-US"/>
        </w:rPr>
        <w:t>-1</w:t>
      </w:r>
      <w:r w:rsidRPr="00482CB4">
        <w:rPr>
          <w:rFonts w:eastAsia="Calibri"/>
          <w:lang w:eastAsia="en-US"/>
        </w:rPr>
        <w:t xml:space="preserve"> for the Barron River were recorded the 24</w:t>
      </w:r>
      <w:r w:rsidRPr="00482CB4">
        <w:rPr>
          <w:rFonts w:eastAsia="Calibri"/>
          <w:vertAlign w:val="superscript"/>
          <w:lang w:eastAsia="en-US"/>
        </w:rPr>
        <w:t>th</w:t>
      </w:r>
      <w:r w:rsidRPr="00482CB4">
        <w:rPr>
          <w:rFonts w:eastAsia="Calibri"/>
          <w:lang w:eastAsia="en-US"/>
        </w:rPr>
        <w:t xml:space="preserve"> and 25</w:t>
      </w:r>
      <w:r w:rsidRPr="00482CB4">
        <w:rPr>
          <w:rFonts w:eastAsia="Calibri"/>
          <w:vertAlign w:val="superscript"/>
          <w:lang w:eastAsia="en-US"/>
        </w:rPr>
        <w:t>th</w:t>
      </w:r>
      <w:r w:rsidRPr="00482CB4">
        <w:rPr>
          <w:rFonts w:eastAsia="Calibri"/>
          <w:lang w:eastAsia="en-US"/>
        </w:rPr>
        <w:t xml:space="preserve"> of January 2013 respectively. Barron and Johnstone river plumes mapped were not well developed and the turbid river plume waters were mainly constrained close to the coast (Appendix B). However, on the 25</w:t>
      </w:r>
      <w:r w:rsidRPr="00482CB4">
        <w:rPr>
          <w:rFonts w:eastAsia="Calibri"/>
          <w:vertAlign w:val="superscript"/>
          <w:lang w:eastAsia="en-US"/>
        </w:rPr>
        <w:t>th</w:t>
      </w:r>
      <w:r w:rsidRPr="00482CB4">
        <w:rPr>
          <w:rFonts w:eastAsia="Calibri"/>
          <w:lang w:eastAsia="en-US"/>
        </w:rPr>
        <w:t xml:space="preserve"> of January, Barron river plume waters were deflected offshore toward the inner coral reefs by the NW winds (</w:t>
      </w:r>
      <w:r w:rsidRPr="00482CB4">
        <w:rPr>
          <w:rFonts w:eastAsia="Calibri"/>
          <w:lang w:eastAsia="en-US"/>
        </w:rPr>
        <w:fldChar w:fldCharType="begin"/>
      </w:r>
      <w:r w:rsidRPr="00482CB4">
        <w:rPr>
          <w:rFonts w:eastAsia="Calibri"/>
          <w:lang w:eastAsia="en-US"/>
        </w:rPr>
        <w:instrText xml:space="preserve"> REF _Ref372793468 \h  \* MERGEFORMAT </w:instrText>
      </w:r>
      <w:r w:rsidRPr="00482CB4">
        <w:rPr>
          <w:rFonts w:eastAsia="Calibri"/>
          <w:lang w:eastAsia="en-US"/>
        </w:rPr>
      </w:r>
      <w:r w:rsidRPr="00482CB4">
        <w:rPr>
          <w:rFonts w:eastAsia="Calibri"/>
          <w:lang w:eastAsia="en-US"/>
        </w:rPr>
        <w:fldChar w:fldCharType="separate"/>
      </w:r>
      <w:r w:rsidR="00B62B50">
        <w:rPr>
          <w:rFonts w:eastAsia="Calibri"/>
          <w:b/>
          <w:bCs/>
          <w:lang w:val="en-US" w:eastAsia="en-US"/>
        </w:rPr>
        <w:t>Error! Reference source not found.</w:t>
      </w:r>
      <w:r w:rsidRPr="00482CB4">
        <w:rPr>
          <w:rFonts w:eastAsia="Calibri"/>
          <w:lang w:eastAsia="en-US"/>
        </w:rPr>
        <w:fldChar w:fldCharType="end"/>
      </w:r>
      <w:r w:rsidRPr="00482CB4">
        <w:rPr>
          <w:rFonts w:eastAsia="Calibri"/>
          <w:lang w:eastAsia="en-US"/>
        </w:rPr>
        <w:t>)</w:t>
      </w:r>
      <w:r w:rsidRPr="00482CB4">
        <w:rPr>
          <w:rFonts w:eastAsia="Calibri"/>
          <w:color w:val="FF0000"/>
          <w:lang w:eastAsia="en-US"/>
        </w:rPr>
        <w:t xml:space="preserve">. </w:t>
      </w:r>
      <w:r w:rsidRPr="00482CB4">
        <w:rPr>
          <w:rFonts w:eastAsia="Calibri"/>
          <w:lang w:eastAsia="en-US"/>
        </w:rPr>
        <w:t>The 29</w:t>
      </w:r>
      <w:r w:rsidRPr="00482CB4">
        <w:rPr>
          <w:rFonts w:eastAsia="Calibri"/>
          <w:vertAlign w:val="superscript"/>
          <w:lang w:eastAsia="en-US"/>
        </w:rPr>
        <w:t>th</w:t>
      </w:r>
      <w:r w:rsidRPr="00482CB4">
        <w:rPr>
          <w:rFonts w:eastAsia="Calibri"/>
          <w:lang w:eastAsia="en-US"/>
        </w:rPr>
        <w:t xml:space="preserve"> of June, the TC method failed to fully map the river plume waters located north of the Barron estuary mouth due to atmospheric perturbations, but Primary plume waters were observed close to the estuary mouth on both the true colour and 6-classes river plume maps</w:t>
      </w:r>
    </w:p>
    <w:p w14:paraId="0C3F7F8A" w14:textId="77777777" w:rsidR="00482CB4" w:rsidRPr="00482CB4" w:rsidRDefault="00482CB4" w:rsidP="00482CB4">
      <w:pPr>
        <w:rPr>
          <w:rFonts w:ascii="Calibri" w:eastAsia="Calibri" w:hAnsi="Calibri" w:cs="Times New Roman"/>
          <w:lang w:eastAsia="en-US"/>
        </w:rPr>
      </w:pPr>
      <w:r w:rsidRPr="00DF1C49">
        <w:rPr>
          <w:rFonts w:eastAsia="Calibri"/>
          <w:noProof/>
        </w:rPr>
        <w:drawing>
          <wp:inline distT="0" distB="0" distL="0" distR="0" wp14:anchorId="0C3F8FB9" wp14:editId="0C3F8FBA">
            <wp:extent cx="5448300" cy="4539877"/>
            <wp:effectExtent l="19050" t="19050" r="19050" b="13335"/>
            <wp:docPr id="81" name="Picture 81" descr="True colour and b) plume waters mapped the 25th and 29th of January, 2013 in the Wet Tropics NRM using the method of Álvarez-Romero et al. (2013). These maps show Barron River plume waters deflected toward offshore by the NW winds. Wind direction measured at 12:00 am is indicated with black arrows." title="True colour and plume wa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56433" cy="4546654"/>
                    </a:xfrm>
                    <a:prstGeom prst="rect">
                      <a:avLst/>
                    </a:prstGeom>
                    <a:solidFill>
                      <a:sysClr val="window" lastClr="FFFFFF"/>
                    </a:solidFill>
                    <a:ln>
                      <a:solidFill>
                        <a:schemeClr val="tx1"/>
                      </a:solidFill>
                    </a:ln>
                  </pic:spPr>
                </pic:pic>
              </a:graphicData>
            </a:graphic>
          </wp:inline>
        </w:drawing>
      </w:r>
    </w:p>
    <w:p w14:paraId="0C3F7F8B" w14:textId="77777777" w:rsidR="00482CB4" w:rsidRPr="00482CB4" w:rsidRDefault="00482CB4" w:rsidP="00500FCF">
      <w:pPr>
        <w:pStyle w:val="Caption"/>
        <w:rPr>
          <w:rFonts w:eastAsia="Calibri"/>
          <w:bCs/>
          <w:noProof/>
          <w:sz w:val="18"/>
          <w:szCs w:val="18"/>
        </w:rPr>
      </w:pPr>
      <w:bookmarkStart w:id="58" w:name="_Ref428871352"/>
      <w:bookmarkStart w:id="59" w:name="_Toc427833273"/>
      <w:bookmarkStart w:id="60" w:name="_Ref428871333"/>
      <w:bookmarkStart w:id="61" w:name="_Toc434208023"/>
      <w:r>
        <w:t xml:space="preserve">Figure </w:t>
      </w:r>
      <w:r w:rsidR="00D243CD">
        <w:fldChar w:fldCharType="begin"/>
      </w:r>
      <w:r w:rsidR="00D243CD">
        <w:instrText xml:space="preserve"> STYLEREF 1 \s </w:instrText>
      </w:r>
      <w:r w:rsidR="00D243CD">
        <w:fldChar w:fldCharType="separate"/>
      </w:r>
      <w:r w:rsidR="00B62B50">
        <w:rPr>
          <w:noProof/>
        </w:rPr>
        <w:t>3</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2</w:t>
      </w:r>
      <w:r w:rsidR="00D243CD">
        <w:fldChar w:fldCharType="end"/>
      </w:r>
      <w:bookmarkEnd w:id="58"/>
      <w:r w:rsidRPr="00482CB4">
        <w:rPr>
          <w:rFonts w:eastAsia="Calibri"/>
        </w:rPr>
        <w:t>: a) True colour and b) plume waters mapped the 25</w:t>
      </w:r>
      <w:r w:rsidRPr="00482CB4">
        <w:rPr>
          <w:rFonts w:eastAsia="Calibri"/>
          <w:vertAlign w:val="superscript"/>
        </w:rPr>
        <w:t>th</w:t>
      </w:r>
      <w:r w:rsidRPr="00482CB4">
        <w:rPr>
          <w:rFonts w:eastAsia="Calibri"/>
        </w:rPr>
        <w:t xml:space="preserve"> and 29</w:t>
      </w:r>
      <w:r w:rsidRPr="00482CB4">
        <w:rPr>
          <w:rFonts w:eastAsia="Calibri"/>
          <w:vertAlign w:val="superscript"/>
        </w:rPr>
        <w:t>th</w:t>
      </w:r>
      <w:r w:rsidRPr="00482CB4">
        <w:rPr>
          <w:rFonts w:eastAsia="Calibri"/>
        </w:rPr>
        <w:t xml:space="preserve"> of January,</w:t>
      </w:r>
      <w:r w:rsidRPr="00482CB4">
        <w:rPr>
          <w:rFonts w:eastAsia="Calibri"/>
          <w:color w:val="FF0000"/>
        </w:rPr>
        <w:t xml:space="preserve"> </w:t>
      </w:r>
      <w:r w:rsidRPr="00482CB4">
        <w:rPr>
          <w:rFonts w:eastAsia="Calibri"/>
        </w:rPr>
        <w:t>2013 in the Wet Tropics NRM using the method of Álvarez-Romero et al. (2013). These maps show Barron River plume waters deflected toward offshore by the NW winds. Wind direction measured at 12:00 am is indicated with black arrows.</w:t>
      </w:r>
      <w:bookmarkEnd w:id="59"/>
      <w:bookmarkEnd w:id="60"/>
      <w:bookmarkEnd w:id="61"/>
    </w:p>
    <w:p w14:paraId="0C3F7F8C" w14:textId="77777777" w:rsidR="00E47248" w:rsidRPr="00482CB4" w:rsidRDefault="00E47248" w:rsidP="00E47248">
      <w:pPr>
        <w:rPr>
          <w:rFonts w:ascii="Calibri" w:eastAsia="Calibri" w:hAnsi="Calibri" w:cs="Times New Roman"/>
          <w:lang w:eastAsia="en-US"/>
        </w:rPr>
      </w:pPr>
      <w:r w:rsidRPr="00482CB4">
        <w:rPr>
          <w:rFonts w:ascii="Calibri" w:eastAsia="Calibri" w:hAnsi="Calibri" w:cs="Times New Roman"/>
          <w:lang w:eastAsia="en-US"/>
        </w:rPr>
        <w:t>Highest river discharge rates for the Tully and Herbert rivers were measured on the 25</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(563816 ML day</w:t>
      </w:r>
      <w:r w:rsidRPr="00482CB4">
        <w:rPr>
          <w:rFonts w:ascii="Calibri" w:eastAsia="Calibri" w:hAnsi="Calibri" w:cs="Times New Roman"/>
          <w:vertAlign w:val="superscript"/>
          <w:lang w:eastAsia="en-US"/>
        </w:rPr>
        <w:t>-1</w:t>
      </w:r>
      <w:r w:rsidRPr="00482CB4">
        <w:rPr>
          <w:rFonts w:ascii="Calibri" w:eastAsia="Calibri" w:hAnsi="Calibri" w:cs="Times New Roman"/>
          <w:lang w:eastAsia="en-US"/>
        </w:rPr>
        <w:t xml:space="preserve"> for the Herbert and 831701 ML day</w:t>
      </w:r>
      <w:r w:rsidRPr="00482CB4">
        <w:rPr>
          <w:rFonts w:ascii="Calibri" w:eastAsia="Calibri" w:hAnsi="Calibri" w:cs="Times New Roman"/>
          <w:vertAlign w:val="superscript"/>
          <w:lang w:eastAsia="en-US"/>
        </w:rPr>
        <w:t>-1</w:t>
      </w:r>
      <w:r w:rsidRPr="00482CB4">
        <w:rPr>
          <w:rFonts w:ascii="Calibri" w:eastAsia="Calibri" w:hAnsi="Calibri" w:cs="Times New Roman"/>
          <w:lang w:eastAsia="en-US"/>
        </w:rPr>
        <w:t xml:space="preserve"> for the Tully River, </w:t>
      </w:r>
      <w:r>
        <w:rPr>
          <w:rFonts w:ascii="Calibri" w:eastAsia="Calibri" w:hAnsi="Calibri" w:cs="Times New Roman"/>
          <w:lang w:eastAsia="en-US"/>
        </w:rPr>
        <w:t>(</w:t>
      </w:r>
      <w:r w:rsidRPr="00482CB4">
        <w:rPr>
          <w:rFonts w:ascii="Calibri" w:eastAsia="Calibri" w:hAnsi="Calibri" w:cs="Times New Roman"/>
          <w:lang w:eastAsia="en-US"/>
        </w:rPr>
        <w:t xml:space="preserve">Appendix </w:t>
      </w:r>
      <w:r>
        <w:rPr>
          <w:rFonts w:ascii="Calibri" w:eastAsia="Calibri" w:hAnsi="Calibri" w:cs="Times New Roman"/>
          <w:lang w:eastAsia="en-US"/>
        </w:rPr>
        <w:t xml:space="preserve">A,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_Ref428871354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rPr>
        <w:noBreakHyphen/>
      </w:r>
      <w:r w:rsidR="00B62B50">
        <w:rPr>
          <w:rFonts w:eastAsia="Calibri"/>
          <w:noProof/>
        </w:rPr>
        <w:t>3</w:t>
      </w:r>
      <w:r>
        <w:rPr>
          <w:rFonts w:ascii="Calibri" w:eastAsia="Calibri" w:hAnsi="Calibri" w:cs="Times New Roman"/>
          <w:lang w:eastAsia="en-US"/>
        </w:rPr>
        <w:fldChar w:fldCharType="end"/>
      </w:r>
      <w:r w:rsidRPr="00482CB4">
        <w:rPr>
          <w:rFonts w:ascii="Calibri" w:eastAsia="Calibri" w:hAnsi="Calibri" w:cs="Times New Roman"/>
          <w:lang w:eastAsia="en-US"/>
        </w:rPr>
        <w:t>). Maximum surface areal extents for both the Tully and Herbert River plumes were measured, in response, the 25</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2013.  The Herbert River plume surface areas decreased after the 25</w:t>
      </w:r>
      <w:r w:rsidRPr="00652C07">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2013, following the reduction of the Herbert river flow (Appendix</w:t>
      </w:r>
      <w:r>
        <w:rPr>
          <w:rFonts w:ascii="Calibri" w:eastAsia="Calibri" w:hAnsi="Calibri" w:cs="Times New Roman"/>
          <w:lang w:eastAsia="en-US"/>
        </w:rPr>
        <w:t xml:space="preserve"> A</w:t>
      </w:r>
      <w:r w:rsidRPr="00482CB4">
        <w:rPr>
          <w:rFonts w:ascii="Calibri" w:eastAsia="Calibri" w:hAnsi="Calibri" w:cs="Times New Roman"/>
          <w:lang w:eastAsia="en-US"/>
        </w:rPr>
        <w:t>). Surface areas of the Herbert Primary plume waters decreased from about 360 km</w:t>
      </w:r>
      <w:r w:rsidRPr="00482CB4">
        <w:rPr>
          <w:rFonts w:ascii="Calibri" w:eastAsia="Calibri" w:hAnsi="Calibri" w:cs="Times New Roman"/>
          <w:vertAlign w:val="superscript"/>
          <w:lang w:eastAsia="en-US"/>
        </w:rPr>
        <w:t>2</w:t>
      </w:r>
      <w:r w:rsidRPr="00482CB4">
        <w:rPr>
          <w:rFonts w:ascii="Calibri" w:eastAsia="Calibri" w:hAnsi="Calibri" w:cs="Times New Roman"/>
          <w:lang w:eastAsia="en-US"/>
        </w:rPr>
        <w:t xml:space="preserve"> the 25th of January, to 78 km</w:t>
      </w:r>
      <w:r w:rsidRPr="00482CB4">
        <w:rPr>
          <w:rFonts w:ascii="Calibri" w:eastAsia="Calibri" w:hAnsi="Calibri" w:cs="Times New Roman"/>
          <w:vertAlign w:val="superscript"/>
          <w:lang w:eastAsia="en-US"/>
        </w:rPr>
        <w:t>2</w:t>
      </w:r>
      <w:r w:rsidRPr="00482CB4">
        <w:rPr>
          <w:rFonts w:ascii="Calibri" w:eastAsia="Calibri" w:hAnsi="Calibri" w:cs="Times New Roman"/>
          <w:lang w:eastAsia="en-US"/>
        </w:rPr>
        <w:t>, 64 km</w:t>
      </w:r>
      <w:r w:rsidRPr="00482CB4">
        <w:rPr>
          <w:rFonts w:ascii="Calibri" w:eastAsia="Calibri" w:hAnsi="Calibri" w:cs="Times New Roman"/>
          <w:vertAlign w:val="superscript"/>
          <w:lang w:eastAsia="en-US"/>
        </w:rPr>
        <w:t xml:space="preserve">2 </w:t>
      </w:r>
      <w:r w:rsidRPr="00482CB4">
        <w:rPr>
          <w:rFonts w:ascii="Calibri" w:eastAsia="Calibri" w:hAnsi="Calibri" w:cs="Times New Roman"/>
          <w:lang w:eastAsia="en-US"/>
        </w:rPr>
        <w:t>and 0.3 km</w:t>
      </w:r>
      <w:r w:rsidRPr="00482CB4">
        <w:rPr>
          <w:rFonts w:ascii="Calibri" w:eastAsia="Calibri" w:hAnsi="Calibri" w:cs="Times New Roman"/>
          <w:vertAlign w:val="superscript"/>
          <w:lang w:eastAsia="en-US"/>
        </w:rPr>
        <w:t>2</w:t>
      </w:r>
      <w:r w:rsidRPr="00482CB4">
        <w:rPr>
          <w:rFonts w:ascii="Calibri" w:eastAsia="Calibri" w:hAnsi="Calibri" w:cs="Times New Roman"/>
          <w:lang w:eastAsia="en-US"/>
        </w:rPr>
        <w:t xml:space="preserve"> the 29, 30 and 31</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2013 (Herbert river discharge of 21354ML day</w:t>
      </w:r>
      <w:r w:rsidRPr="00482CB4">
        <w:rPr>
          <w:rFonts w:ascii="Calibri" w:eastAsia="Calibri" w:hAnsi="Calibri" w:cs="Times New Roman"/>
          <w:vertAlign w:val="superscript"/>
          <w:lang w:eastAsia="en-US"/>
        </w:rPr>
        <w:t xml:space="preserve">-1 </w:t>
      </w:r>
      <w:r w:rsidRPr="00482CB4">
        <w:rPr>
          <w:rFonts w:ascii="Calibri" w:eastAsia="Calibri" w:hAnsi="Calibri" w:cs="Times New Roman"/>
          <w:lang w:eastAsia="en-US"/>
        </w:rPr>
        <w:t xml:space="preserve">on the 31th of January). </w:t>
      </w:r>
    </w:p>
    <w:p w14:paraId="0C3F7F8D" w14:textId="77777777" w:rsidR="00482CB4" w:rsidRPr="00482CB4" w:rsidRDefault="00482CB4" w:rsidP="00482CB4">
      <w:pPr>
        <w:rPr>
          <w:rFonts w:ascii="Calibri" w:eastAsia="Calibri" w:hAnsi="Calibri" w:cs="Times New Roman"/>
          <w:lang w:eastAsia="en-US"/>
        </w:rPr>
      </w:pPr>
      <w:r w:rsidRPr="00DF1C49">
        <w:rPr>
          <w:rFonts w:eastAsia="Calibri"/>
          <w:noProof/>
        </w:rPr>
        <w:drawing>
          <wp:inline distT="0" distB="0" distL="0" distR="0" wp14:anchorId="0C3F8FBB" wp14:editId="0C3F8FBC">
            <wp:extent cx="5227320" cy="3822696"/>
            <wp:effectExtent l="19050" t="19050" r="11430" b="26035"/>
            <wp:docPr id="82" name="Picture 82" descr="a) True colour and b) plume waters mapped from the 25th to the 31rd of January 2013 in the Wet Tropics NRM using the method of Álvarez-Romero et al. (2013). This series of maps illustrate high importance of river discharge rates modulations on the river plumes areas. Wind direction measured at 15:00 am is indicated with black arrows (data at 12:00 am are unavailable for the Ingham meteorological stations). " title="True colour and plume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0904" cy="3825317"/>
                    </a:xfrm>
                    <a:prstGeom prst="rect">
                      <a:avLst/>
                    </a:prstGeom>
                    <a:solidFill>
                      <a:sysClr val="window" lastClr="FFFFFF"/>
                    </a:solidFill>
                    <a:ln>
                      <a:solidFill>
                        <a:schemeClr val="tx1"/>
                      </a:solidFill>
                    </a:ln>
                  </pic:spPr>
                </pic:pic>
              </a:graphicData>
            </a:graphic>
          </wp:inline>
        </w:drawing>
      </w:r>
    </w:p>
    <w:p w14:paraId="0C3F7F8E" w14:textId="77777777" w:rsidR="00482CB4" w:rsidRDefault="00482CB4" w:rsidP="00500FCF">
      <w:pPr>
        <w:pStyle w:val="Caption"/>
        <w:rPr>
          <w:rFonts w:eastAsia="Calibri"/>
          <w:bCs/>
          <w:sz w:val="18"/>
          <w:szCs w:val="18"/>
        </w:rPr>
      </w:pPr>
      <w:bookmarkStart w:id="62" w:name="_Ref428871354"/>
      <w:bookmarkStart w:id="63" w:name="_Toc427833274"/>
      <w:bookmarkStart w:id="64" w:name="_Toc434208024"/>
      <w:r w:rsidRPr="00482CB4">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3</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3</w:t>
      </w:r>
      <w:r w:rsidR="00D243CD">
        <w:rPr>
          <w:rFonts w:eastAsia="Calibri"/>
        </w:rPr>
        <w:fldChar w:fldCharType="end"/>
      </w:r>
      <w:bookmarkEnd w:id="62"/>
      <w:r w:rsidRPr="00482CB4">
        <w:rPr>
          <w:rFonts w:eastAsia="Calibri"/>
        </w:rPr>
        <w:t>: a) True colour and b) plume waters mapped from the 25th to the 31rd of January 2013 in the Wet Tropics NRM using the method of Álvarez-Romero et al. (2013). This series of maps illustrate high importance of river discharge rates modulations on the river plumes areas. Wind direction measured at 15:00 am is indicated with black arrows (data at 12:00 am are unavailable for the Ingham meteorological stations).</w:t>
      </w:r>
      <w:bookmarkEnd w:id="63"/>
      <w:bookmarkEnd w:id="64"/>
      <w:r w:rsidRPr="00482CB4">
        <w:rPr>
          <w:rFonts w:eastAsia="Calibri"/>
          <w:bCs/>
          <w:sz w:val="18"/>
          <w:szCs w:val="18"/>
        </w:rPr>
        <w:t xml:space="preserve"> </w:t>
      </w:r>
    </w:p>
    <w:p w14:paraId="0C3F7F8F" w14:textId="77777777" w:rsidR="00482CB4" w:rsidRPr="007629C0" w:rsidRDefault="00482CB4" w:rsidP="00500FCF">
      <w:pPr>
        <w:pStyle w:val="Heading3"/>
        <w:numPr>
          <w:ilvl w:val="2"/>
          <w:numId w:val="3"/>
        </w:numPr>
      </w:pPr>
      <w:bookmarkStart w:id="65" w:name="_Toc427831206"/>
      <w:bookmarkStart w:id="66" w:name="_Toc428793336"/>
      <w:bookmarkStart w:id="67" w:name="_Toc428851330"/>
      <w:bookmarkStart w:id="68" w:name="_Toc434207989"/>
      <w:r w:rsidRPr="007629C0">
        <w:t>Burdekin NRM: Burdekin River</w:t>
      </w:r>
      <w:bookmarkEnd w:id="65"/>
      <w:bookmarkEnd w:id="66"/>
      <w:bookmarkEnd w:id="67"/>
      <w:bookmarkEnd w:id="68"/>
    </w:p>
    <w:p w14:paraId="0C3F7F90" w14:textId="77777777" w:rsidR="00482CB4" w:rsidRPr="00482CB4" w:rsidRDefault="00482CB4" w:rsidP="00482CB4">
      <w:pPr>
        <w:rPr>
          <w:rFonts w:ascii="Calibri" w:eastAsia="Calibri" w:hAnsi="Calibri"/>
          <w:lang w:eastAsia="en-US"/>
        </w:rPr>
      </w:pPr>
      <w:r w:rsidRPr="00482CB4">
        <w:rPr>
          <w:rFonts w:ascii="Calibri" w:eastAsia="Calibri" w:hAnsi="Calibri" w:cs="Times New Roman"/>
          <w:lang w:eastAsia="en-US"/>
        </w:rPr>
        <w:t>Ex-tropical cyclone Oswald induced flooding in the Burdekin NRM. The highest Burdekin river discharge was measured on the 25</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(343,366 ML day</w:t>
      </w:r>
      <w:r w:rsidRPr="00482CB4">
        <w:rPr>
          <w:rFonts w:ascii="Calibri" w:eastAsia="Calibri" w:hAnsi="Calibri" w:cs="Times New Roman"/>
          <w:vertAlign w:val="superscript"/>
          <w:lang w:eastAsia="en-US"/>
        </w:rPr>
        <w:t>-1</w:t>
      </w:r>
      <w:r w:rsidR="00500FCF">
        <w:rPr>
          <w:rFonts w:ascii="Calibri" w:eastAsia="Calibri" w:hAnsi="Calibri" w:cs="Times New Roman"/>
          <w:lang w:eastAsia="en-US"/>
        </w:rPr>
        <w:t xml:space="preserve">; Appendix </w:t>
      </w:r>
      <w:r w:rsidR="00E47248">
        <w:rPr>
          <w:rFonts w:ascii="Calibri" w:eastAsia="Calibri" w:hAnsi="Calibri" w:cs="Times New Roman"/>
          <w:lang w:eastAsia="en-US"/>
        </w:rPr>
        <w:t>A</w:t>
      </w:r>
      <w:r w:rsidR="00500FCF">
        <w:rPr>
          <w:rFonts w:ascii="Calibri" w:eastAsia="Calibri" w:hAnsi="Calibri" w:cs="Times New Roman"/>
          <w:lang w:eastAsia="en-US"/>
        </w:rPr>
        <w:t xml:space="preserve">: </w:t>
      </w:r>
      <w:r w:rsidR="00500FCF">
        <w:rPr>
          <w:rFonts w:ascii="Calibri" w:eastAsia="Calibri" w:hAnsi="Calibri" w:cs="Times New Roman"/>
          <w:lang w:eastAsia="en-US"/>
        </w:rPr>
        <w:fldChar w:fldCharType="begin"/>
      </w:r>
      <w:r w:rsidR="00500FCF">
        <w:rPr>
          <w:rFonts w:ascii="Calibri" w:eastAsia="Calibri" w:hAnsi="Calibri" w:cs="Times New Roman"/>
          <w:lang w:eastAsia="en-US"/>
        </w:rPr>
        <w:instrText xml:space="preserve"> REF _Ref428852632 \h </w:instrText>
      </w:r>
      <w:r w:rsidR="00500FCF">
        <w:rPr>
          <w:rFonts w:ascii="Calibri" w:eastAsia="Calibri" w:hAnsi="Calibri" w:cs="Times New Roman"/>
          <w:lang w:eastAsia="en-US"/>
        </w:rPr>
      </w:r>
      <w:r w:rsidR="00500FCF">
        <w:rPr>
          <w:rFonts w:ascii="Calibri" w:eastAsia="Calibri" w:hAnsi="Calibri" w:cs="Times New Roman"/>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rPr>
        <w:noBreakHyphen/>
      </w:r>
      <w:r w:rsidR="00B62B50">
        <w:rPr>
          <w:rFonts w:eastAsia="Calibri"/>
          <w:noProof/>
        </w:rPr>
        <w:t>4</w:t>
      </w:r>
      <w:r w:rsidR="00500FCF">
        <w:rPr>
          <w:rFonts w:ascii="Calibri" w:eastAsia="Calibri" w:hAnsi="Calibri" w:cs="Times New Roman"/>
          <w:lang w:eastAsia="en-US"/>
        </w:rPr>
        <w:fldChar w:fldCharType="end"/>
      </w:r>
      <w:r w:rsidR="00500FCF">
        <w:rPr>
          <w:rFonts w:ascii="Calibri" w:eastAsia="Calibri" w:hAnsi="Calibri" w:cs="Times New Roman"/>
          <w:lang w:eastAsia="en-US"/>
        </w:rPr>
        <w:t xml:space="preserve">, </w:t>
      </w:r>
      <w:r w:rsidR="00500FCF">
        <w:rPr>
          <w:rFonts w:ascii="Calibri" w:eastAsia="Calibri" w:hAnsi="Calibri" w:cs="Times New Roman"/>
          <w:lang w:eastAsia="en-US"/>
        </w:rPr>
        <w:fldChar w:fldCharType="begin"/>
      </w:r>
      <w:r w:rsidR="00500FCF">
        <w:rPr>
          <w:rFonts w:ascii="Calibri" w:eastAsia="Calibri" w:hAnsi="Calibri" w:cs="Times New Roman"/>
          <w:lang w:eastAsia="en-US"/>
        </w:rPr>
        <w:instrText xml:space="preserve"> REF _Ref428852892 \h </w:instrText>
      </w:r>
      <w:r w:rsidR="00500FCF">
        <w:rPr>
          <w:rFonts w:ascii="Calibri" w:eastAsia="Calibri" w:hAnsi="Calibri" w:cs="Times New Roman"/>
          <w:lang w:eastAsia="en-US"/>
        </w:rPr>
      </w:r>
      <w:r w:rsidR="00500FCF">
        <w:rPr>
          <w:rFonts w:ascii="Calibri" w:eastAsia="Calibri" w:hAnsi="Calibri" w:cs="Times New Roman"/>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rPr>
        <w:noBreakHyphen/>
      </w:r>
      <w:r w:rsidR="00B62B50">
        <w:rPr>
          <w:rFonts w:eastAsia="Calibri"/>
          <w:noProof/>
        </w:rPr>
        <w:t>5</w:t>
      </w:r>
      <w:r w:rsidR="00500FCF">
        <w:rPr>
          <w:rFonts w:ascii="Calibri" w:eastAsia="Calibri" w:hAnsi="Calibri" w:cs="Times New Roman"/>
          <w:lang w:eastAsia="en-US"/>
        </w:rPr>
        <w:fldChar w:fldCharType="end"/>
      </w:r>
      <w:r w:rsidR="00500FCF">
        <w:rPr>
          <w:rFonts w:ascii="Calibri" w:eastAsia="Calibri" w:hAnsi="Calibri" w:cs="Times New Roman"/>
          <w:lang w:eastAsia="en-US"/>
        </w:rPr>
        <w:t xml:space="preserve">) </w:t>
      </w:r>
      <w:r w:rsidRPr="00482CB4">
        <w:rPr>
          <w:rFonts w:ascii="Calibri" w:eastAsia="Calibri" w:hAnsi="Calibri" w:cs="Times New Roman"/>
          <w:lang w:eastAsia="en-US"/>
        </w:rPr>
        <w:t>unfortunately the cloud cover on this day prevented any mapping of the Burdekin River plume. Well-developed turbid river plumes were, however, observed on the MODIS TC images of the 27</w:t>
      </w:r>
      <w:r w:rsidRPr="00500FCF">
        <w:rPr>
          <w:rFonts w:ascii="Calibri" w:eastAsia="Calibri" w:hAnsi="Calibri" w:cs="Times New Roman"/>
          <w:lang w:eastAsia="en-US"/>
        </w:rPr>
        <w:t>th</w:t>
      </w:r>
      <w:r w:rsidRPr="00482CB4">
        <w:rPr>
          <w:rFonts w:ascii="Calibri" w:eastAsia="Calibri" w:hAnsi="Calibri" w:cs="Times New Roman"/>
          <w:lang w:eastAsia="en-US"/>
        </w:rPr>
        <w:t xml:space="preserve"> and 29</w:t>
      </w:r>
      <w:r w:rsidRPr="00500FCF">
        <w:rPr>
          <w:rFonts w:ascii="Calibri" w:eastAsia="Calibri" w:hAnsi="Calibri" w:cs="Times New Roman"/>
          <w:lang w:eastAsia="en-US"/>
        </w:rPr>
        <w:t>th</w:t>
      </w:r>
      <w:r w:rsidRPr="00482CB4">
        <w:rPr>
          <w:rFonts w:ascii="Calibri" w:eastAsia="Calibri" w:hAnsi="Calibri" w:cs="Times New Roman"/>
          <w:lang w:eastAsia="en-US"/>
        </w:rPr>
        <w:t xml:space="preserve"> of January (</w:t>
      </w:r>
      <w:r w:rsidRPr="00482CB4">
        <w:rPr>
          <w:rFonts w:ascii="Calibri" w:eastAsia="Calibri" w:hAnsi="Calibri" w:cs="Times New Roman"/>
          <w:lang w:eastAsia="en-US"/>
        </w:rPr>
        <w:fldChar w:fldCharType="begin"/>
      </w:r>
      <w:r w:rsidRPr="00482CB4">
        <w:rPr>
          <w:rFonts w:ascii="Calibri" w:eastAsia="Calibri" w:hAnsi="Calibri" w:cs="Times New Roman"/>
          <w:lang w:eastAsia="en-US"/>
        </w:rPr>
        <w:instrText xml:space="preserve"> REF _Ref428852632 \h  \* MERGEFORMAT </w:instrText>
      </w:r>
      <w:r w:rsidRPr="00482CB4">
        <w:rPr>
          <w:rFonts w:ascii="Calibri" w:eastAsia="Calibri" w:hAnsi="Calibri" w:cs="Times New Roman"/>
          <w:lang w:eastAsia="en-US"/>
        </w:rPr>
      </w:r>
      <w:r w:rsidRPr="00482CB4">
        <w:rPr>
          <w:rFonts w:ascii="Calibri" w:eastAsia="Calibri" w:hAnsi="Calibri" w:cs="Times New Roman"/>
          <w:lang w:eastAsia="en-US"/>
        </w:rPr>
        <w:fldChar w:fldCharType="separate"/>
      </w:r>
      <w:r w:rsidR="00B62B50" w:rsidRPr="00B62B50">
        <w:rPr>
          <w:rFonts w:ascii="Calibri" w:eastAsia="Calibri" w:hAnsi="Calibri" w:cs="Times New Roman"/>
          <w:lang w:eastAsia="en-US"/>
        </w:rPr>
        <w:t>Figure 3</w:t>
      </w:r>
      <w:r w:rsidR="00B62B50" w:rsidRPr="00B62B50">
        <w:rPr>
          <w:rFonts w:ascii="Calibri" w:eastAsia="Calibri" w:hAnsi="Calibri" w:cs="Times New Roman"/>
          <w:lang w:eastAsia="en-US"/>
        </w:rPr>
        <w:noBreakHyphen/>
        <w:t>4</w:t>
      </w:r>
      <w:r w:rsidRPr="00482CB4">
        <w:rPr>
          <w:rFonts w:ascii="Calibri" w:eastAsia="Calibri" w:hAnsi="Calibri" w:cs="Times New Roman"/>
          <w:lang w:eastAsia="en-US"/>
        </w:rPr>
        <w:fldChar w:fldCharType="end"/>
      </w:r>
      <w:r w:rsidRPr="00482CB4">
        <w:rPr>
          <w:rFonts w:ascii="Calibri" w:eastAsia="Calibri" w:hAnsi="Calibri" w:cs="Times New Roman"/>
          <w:lang w:eastAsia="en-US"/>
        </w:rPr>
        <w:t>). The river plume monitored the 27</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was clearly deflected by the western winds toward the inner coral reefs,</w:t>
      </w:r>
      <w:r w:rsidRPr="0053560C">
        <w:t xml:space="preserve"> </w:t>
      </w:r>
      <w:r>
        <w:t xml:space="preserve">but </w:t>
      </w:r>
      <w:r w:rsidRPr="00482CB4">
        <w:rPr>
          <w:rFonts w:ascii="Calibri" w:eastAsia="Calibri" w:hAnsi="Calibri" w:cs="Times New Roman"/>
          <w:lang w:eastAsia="en-US"/>
        </w:rPr>
        <w:t>atmospheric and sun-glint perturbations prevented an exact delineation of the river plume external boundary. The 27</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the Primary plume</w:t>
      </w:r>
      <w:r w:rsidRPr="00482CB4">
        <w:rPr>
          <w:rFonts w:ascii="Calibri" w:eastAsia="Calibri" w:hAnsi="Calibri" w:cs="Times New Roman"/>
          <w:color w:val="FF0000"/>
          <w:lang w:eastAsia="en-US"/>
        </w:rPr>
        <w:t xml:space="preserve"> </w:t>
      </w:r>
      <w:r w:rsidRPr="00482CB4">
        <w:rPr>
          <w:rFonts w:ascii="Calibri" w:eastAsia="Calibri" w:hAnsi="Calibri" w:cs="Times New Roman"/>
          <w:lang w:eastAsia="en-US"/>
        </w:rPr>
        <w:t>waters extended more than 100 km offshore from the Burdekin River mouth. Well-developed Burdekin River plumes were also observed from the 30</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to the 04</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February (</w:t>
      </w:r>
      <w:r w:rsidR="00500FCF">
        <w:rPr>
          <w:rFonts w:ascii="Calibri" w:eastAsia="Calibri" w:hAnsi="Calibri" w:cs="Times New Roman"/>
          <w:lang w:eastAsia="en-US"/>
        </w:rPr>
        <w:fldChar w:fldCharType="begin"/>
      </w:r>
      <w:r w:rsidR="00500FCF">
        <w:rPr>
          <w:rFonts w:ascii="Calibri" w:eastAsia="Calibri" w:hAnsi="Calibri" w:cs="Times New Roman"/>
          <w:lang w:eastAsia="en-US"/>
        </w:rPr>
        <w:instrText xml:space="preserve"> REF _Ref428852892 \h </w:instrText>
      </w:r>
      <w:r w:rsidR="00500FCF">
        <w:rPr>
          <w:rFonts w:ascii="Calibri" w:eastAsia="Calibri" w:hAnsi="Calibri" w:cs="Times New Roman"/>
          <w:lang w:eastAsia="en-US"/>
        </w:rPr>
      </w:r>
      <w:r w:rsidR="00500FCF">
        <w:rPr>
          <w:rFonts w:ascii="Calibri" w:eastAsia="Calibri" w:hAnsi="Calibri" w:cs="Times New Roman"/>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rPr>
        <w:noBreakHyphen/>
      </w:r>
      <w:r w:rsidR="00B62B50">
        <w:rPr>
          <w:rFonts w:eastAsia="Calibri"/>
          <w:noProof/>
        </w:rPr>
        <w:t>5</w:t>
      </w:r>
      <w:r w:rsidR="00500FCF">
        <w:rPr>
          <w:rFonts w:ascii="Calibri" w:eastAsia="Calibri" w:hAnsi="Calibri" w:cs="Times New Roman"/>
          <w:lang w:eastAsia="en-US"/>
        </w:rPr>
        <w:fldChar w:fldCharType="end"/>
      </w:r>
      <w:r w:rsidRPr="00482CB4">
        <w:rPr>
          <w:rFonts w:ascii="Calibri" w:eastAsia="Calibri" w:hAnsi="Calibri" w:cs="Times New Roman"/>
          <w:lang w:eastAsia="en-US"/>
        </w:rPr>
        <w:t>) and from the 7th to the 13th of March 2013</w:t>
      </w:r>
      <w:r w:rsidR="00E47248">
        <w:rPr>
          <w:rFonts w:ascii="Calibri" w:eastAsia="Calibri" w:hAnsi="Calibri" w:cs="Times New Roman"/>
          <w:lang w:eastAsia="en-US"/>
        </w:rPr>
        <w:t xml:space="preserve"> (Appendix A)</w:t>
      </w:r>
      <w:r w:rsidRPr="00482CB4">
        <w:rPr>
          <w:rFonts w:ascii="Calibri" w:eastAsia="Calibri" w:hAnsi="Calibri" w:cs="Times New Roman"/>
          <w:lang w:eastAsia="en-US"/>
        </w:rPr>
        <w:t xml:space="preserve">. </w:t>
      </w:r>
      <w:r w:rsidRPr="00482CB4">
        <w:rPr>
          <w:rFonts w:ascii="Calibri" w:eastAsia="Calibri" w:hAnsi="Calibri"/>
          <w:lang w:eastAsia="en-US"/>
        </w:rPr>
        <w:t>Field sampling in the Burdekin region was undertaken between the 13</w:t>
      </w:r>
      <w:r w:rsidRPr="00482CB4">
        <w:rPr>
          <w:rFonts w:ascii="Calibri" w:eastAsia="Calibri" w:hAnsi="Calibri"/>
          <w:vertAlign w:val="superscript"/>
          <w:lang w:eastAsia="en-US"/>
        </w:rPr>
        <w:t>th</w:t>
      </w:r>
      <w:r w:rsidRPr="00482CB4">
        <w:rPr>
          <w:rFonts w:ascii="Calibri" w:eastAsia="Calibri" w:hAnsi="Calibri"/>
          <w:lang w:eastAsia="en-US"/>
        </w:rPr>
        <w:t xml:space="preserve"> and the 18</w:t>
      </w:r>
      <w:r w:rsidRPr="00482CB4">
        <w:rPr>
          <w:rFonts w:ascii="Calibri" w:eastAsia="Calibri" w:hAnsi="Calibri"/>
          <w:vertAlign w:val="superscript"/>
          <w:lang w:eastAsia="en-US"/>
        </w:rPr>
        <w:t>th</w:t>
      </w:r>
      <w:r w:rsidR="00E47248">
        <w:rPr>
          <w:rFonts w:ascii="Calibri" w:eastAsia="Calibri" w:hAnsi="Calibri"/>
          <w:lang w:eastAsia="en-US"/>
        </w:rPr>
        <w:t xml:space="preserve"> of March of 2013.</w:t>
      </w:r>
    </w:p>
    <w:p w14:paraId="0C3F7F91" w14:textId="77777777" w:rsidR="00500FCF" w:rsidRPr="00500FCF" w:rsidRDefault="00500FCF" w:rsidP="00500FCF">
      <w:pPr>
        <w:pStyle w:val="Heading3"/>
        <w:numPr>
          <w:ilvl w:val="2"/>
          <w:numId w:val="3"/>
        </w:numPr>
      </w:pPr>
      <w:bookmarkStart w:id="69" w:name="_Toc427831207"/>
      <w:bookmarkStart w:id="70" w:name="_Toc428793337"/>
      <w:bookmarkStart w:id="71" w:name="_Toc428851331"/>
      <w:bookmarkStart w:id="72" w:name="_Toc434207990"/>
      <w:r w:rsidRPr="00500FCF">
        <w:t>Mackay-Whitsundays NRM: Pioneer River</w:t>
      </w:r>
      <w:bookmarkEnd w:id="69"/>
      <w:bookmarkEnd w:id="70"/>
      <w:bookmarkEnd w:id="71"/>
      <w:bookmarkEnd w:id="72"/>
    </w:p>
    <w:p w14:paraId="0C3F7F92" w14:textId="77777777" w:rsidR="00B62B50" w:rsidRDefault="00500FCF" w:rsidP="00330E11">
      <w:pPr>
        <w:pStyle w:val="Caption"/>
        <w:sectPr w:rsidR="00B62B50" w:rsidSect="00571B6D">
          <w:headerReference w:type="default" r:id="rId46"/>
          <w:footerReference w:type="default" r:id="rId47"/>
          <w:pgSz w:w="11907" w:h="16840" w:code="9"/>
          <w:pgMar w:top="1440" w:right="1440" w:bottom="1440" w:left="1440" w:header="680" w:footer="851" w:gutter="0"/>
          <w:cols w:space="708"/>
          <w:docGrid w:linePitch="326"/>
        </w:sectPr>
      </w:pPr>
      <w:r w:rsidRPr="00482CB4">
        <w:rPr>
          <w:rFonts w:eastAsia="Calibri"/>
        </w:rPr>
        <w:t>High flow periods were observed in the Mackay-Whitsundays and the to</w:t>
      </w:r>
      <w:r w:rsidR="004B2104">
        <w:rPr>
          <w:rFonts w:eastAsia="Calibri"/>
        </w:rPr>
        <w:t>tal hydrological year flow (ca.</w:t>
      </w:r>
      <w:r w:rsidRPr="00482CB4">
        <w:rPr>
          <w:rFonts w:eastAsia="Calibri"/>
        </w:rPr>
        <w:t xml:space="preserve"> from Oct, 1</w:t>
      </w:r>
      <w:r w:rsidRPr="00482CB4">
        <w:rPr>
          <w:rFonts w:eastAsia="Calibri"/>
          <w:vertAlign w:val="superscript"/>
        </w:rPr>
        <w:t>st</w:t>
      </w:r>
      <w:r w:rsidRPr="00482CB4">
        <w:rPr>
          <w:rFonts w:eastAsia="Calibri"/>
        </w:rPr>
        <w:t xml:space="preserve"> to Sep, 30</w:t>
      </w:r>
      <w:r w:rsidRPr="00482CB4">
        <w:rPr>
          <w:rFonts w:eastAsia="Calibri"/>
          <w:vertAlign w:val="superscript"/>
        </w:rPr>
        <w:t>th</w:t>
      </w:r>
      <w:r w:rsidRPr="00482CB4">
        <w:rPr>
          <w:rFonts w:eastAsia="Calibri"/>
        </w:rPr>
        <w:t>) for 2012-2013 exceeded &gt;2 folds the long-term median discharge (</w:t>
      </w:r>
      <w:r>
        <w:rPr>
          <w:rFonts w:eastAsia="Calibri"/>
        </w:rPr>
        <w:fldChar w:fldCharType="begin"/>
      </w:r>
      <w:r>
        <w:rPr>
          <w:rFonts w:eastAsia="Calibri"/>
        </w:rPr>
        <w:instrText xml:space="preserve"> REF _Ref428870999 \h </w:instrText>
      </w:r>
      <w:r>
        <w:rPr>
          <w:rFonts w:eastAsia="Calibri"/>
        </w:rPr>
      </w:r>
      <w:r>
        <w:rPr>
          <w:rFonts w:eastAsia="Calibri"/>
        </w:rPr>
        <w:fldChar w:fldCharType="separate"/>
      </w:r>
    </w:p>
    <w:p w14:paraId="0C3F7F93" w14:textId="77777777" w:rsidR="00500FCF" w:rsidRPr="00482CB4" w:rsidRDefault="00B62B50" w:rsidP="00500FCF">
      <w:pPr>
        <w:rPr>
          <w:rFonts w:ascii="Calibri" w:eastAsia="Calibri" w:hAnsi="Calibri" w:cs="Times New Roman"/>
          <w:lang w:eastAsia="en-US"/>
        </w:rPr>
      </w:pPr>
      <w:r w:rsidRPr="00330E11">
        <w:rPr>
          <w:sz w:val="20"/>
          <w:szCs w:val="20"/>
        </w:rPr>
        <w:t xml:space="preserve">Table </w:t>
      </w:r>
      <w:r>
        <w:rPr>
          <w:noProof/>
          <w:sz w:val="20"/>
          <w:szCs w:val="20"/>
        </w:rPr>
        <w:t>3</w:t>
      </w:r>
      <w:r>
        <w:rPr>
          <w:sz w:val="20"/>
          <w:szCs w:val="20"/>
        </w:rPr>
        <w:noBreakHyphen/>
      </w:r>
      <w:r>
        <w:rPr>
          <w:noProof/>
          <w:sz w:val="20"/>
          <w:szCs w:val="20"/>
        </w:rPr>
        <w:t>1</w:t>
      </w:r>
      <w:r w:rsidR="00500FCF">
        <w:rPr>
          <w:rFonts w:ascii="Calibri" w:eastAsia="Calibri" w:hAnsi="Calibri" w:cs="Times New Roman"/>
          <w:lang w:eastAsia="en-US"/>
        </w:rPr>
        <w:fldChar w:fldCharType="end"/>
      </w:r>
      <w:r w:rsidR="00500FCF" w:rsidRPr="00482CB4">
        <w:rPr>
          <w:rFonts w:ascii="Calibri" w:eastAsia="Calibri" w:hAnsi="Calibri" w:cs="Times New Roman"/>
          <w:lang w:eastAsia="en-US"/>
        </w:rPr>
        <w:t>). Maximum peak discharges of 60,197 ML day</w:t>
      </w:r>
      <w:r w:rsidR="00500FCF" w:rsidRPr="00482CB4">
        <w:rPr>
          <w:rFonts w:ascii="Calibri" w:eastAsia="Calibri" w:hAnsi="Calibri" w:cs="Times New Roman"/>
          <w:vertAlign w:val="superscript"/>
          <w:lang w:eastAsia="en-US"/>
        </w:rPr>
        <w:t>-1</w:t>
      </w:r>
      <w:r w:rsidR="00500FCF" w:rsidRPr="00482CB4">
        <w:rPr>
          <w:rFonts w:ascii="Calibri" w:eastAsia="Calibri" w:hAnsi="Calibri" w:cs="Times New Roman"/>
          <w:lang w:eastAsia="en-US"/>
        </w:rPr>
        <w:t xml:space="preserve"> and 106,788 ML day</w:t>
      </w:r>
      <w:r w:rsidR="00500FCF" w:rsidRPr="00482CB4">
        <w:rPr>
          <w:rFonts w:ascii="Calibri" w:eastAsia="Calibri" w:hAnsi="Calibri" w:cs="Times New Roman"/>
          <w:vertAlign w:val="superscript"/>
          <w:lang w:eastAsia="en-US"/>
        </w:rPr>
        <w:t>-1</w:t>
      </w:r>
      <w:r w:rsidR="00500FCF" w:rsidRPr="00482CB4">
        <w:rPr>
          <w:rFonts w:ascii="Calibri" w:eastAsia="Calibri" w:hAnsi="Calibri" w:cs="Times New Roman"/>
          <w:lang w:eastAsia="en-US"/>
        </w:rPr>
        <w:t xml:space="preserve"> were recorded the 25</w:t>
      </w:r>
      <w:r w:rsidR="00500FCF" w:rsidRPr="00482CB4">
        <w:rPr>
          <w:rFonts w:ascii="Calibri" w:eastAsia="Calibri" w:hAnsi="Calibri" w:cs="Times New Roman"/>
          <w:vertAlign w:val="superscript"/>
          <w:lang w:eastAsia="en-US"/>
        </w:rPr>
        <w:t>th</w:t>
      </w:r>
      <w:r w:rsidR="00500FCF" w:rsidRPr="00482CB4">
        <w:rPr>
          <w:rFonts w:ascii="Calibri" w:eastAsia="Calibri" w:hAnsi="Calibri" w:cs="Times New Roman"/>
          <w:lang w:eastAsia="en-US"/>
        </w:rPr>
        <w:t xml:space="preserve"> of January and </w:t>
      </w:r>
      <w:r w:rsidR="00F46A03">
        <w:rPr>
          <w:rFonts w:ascii="Calibri" w:eastAsia="Calibri" w:hAnsi="Calibri" w:cs="Times New Roman"/>
          <w:lang w:eastAsia="en-US"/>
        </w:rPr>
        <w:t xml:space="preserve">the </w:t>
      </w:r>
      <w:r w:rsidR="00500FCF" w:rsidRPr="00482CB4">
        <w:rPr>
          <w:rFonts w:ascii="Calibri" w:eastAsia="Calibri" w:hAnsi="Calibri" w:cs="Times New Roman"/>
          <w:lang w:eastAsia="en-US"/>
        </w:rPr>
        <w:t>6</w:t>
      </w:r>
      <w:r w:rsidR="00500FCF" w:rsidRPr="00482CB4">
        <w:rPr>
          <w:rFonts w:ascii="Calibri" w:eastAsia="Calibri" w:hAnsi="Calibri" w:cs="Times New Roman"/>
          <w:vertAlign w:val="superscript"/>
          <w:lang w:eastAsia="en-US"/>
        </w:rPr>
        <w:t>th</w:t>
      </w:r>
      <w:r w:rsidR="00500FCF" w:rsidRPr="00482CB4">
        <w:rPr>
          <w:rFonts w:ascii="Calibri" w:eastAsia="Calibri" w:hAnsi="Calibri" w:cs="Times New Roman"/>
          <w:lang w:eastAsia="en-US"/>
        </w:rPr>
        <w:t xml:space="preserve"> of March 2013, respectively. Between the 30</w:t>
      </w:r>
      <w:r w:rsidR="00500FCF" w:rsidRPr="00482CB4">
        <w:rPr>
          <w:rFonts w:ascii="Calibri" w:eastAsia="Calibri" w:hAnsi="Calibri" w:cs="Times New Roman"/>
          <w:vertAlign w:val="superscript"/>
          <w:lang w:eastAsia="en-US"/>
        </w:rPr>
        <w:t>th</w:t>
      </w:r>
      <w:r w:rsidR="00500FCF" w:rsidRPr="00482CB4">
        <w:rPr>
          <w:rFonts w:ascii="Calibri" w:eastAsia="Calibri" w:hAnsi="Calibri" w:cs="Times New Roman"/>
          <w:lang w:eastAsia="en-US"/>
        </w:rPr>
        <w:t xml:space="preserve"> and the 16</w:t>
      </w:r>
      <w:r w:rsidR="00500FCF" w:rsidRPr="00482CB4">
        <w:rPr>
          <w:rFonts w:ascii="Calibri" w:eastAsia="Calibri" w:hAnsi="Calibri" w:cs="Times New Roman"/>
          <w:vertAlign w:val="superscript"/>
          <w:lang w:eastAsia="en-US"/>
        </w:rPr>
        <w:t>th</w:t>
      </w:r>
      <w:r w:rsidR="00500FCF" w:rsidRPr="00482CB4">
        <w:rPr>
          <w:rFonts w:ascii="Calibri" w:eastAsia="Calibri" w:hAnsi="Calibri" w:cs="Times New Roman"/>
          <w:lang w:eastAsia="en-US"/>
        </w:rPr>
        <w:t xml:space="preserve"> of March, the turbid Primary plume waters mapped were mainly constrained close to the coast (Appendix </w:t>
      </w:r>
      <w:r w:rsidR="00E47248">
        <w:rPr>
          <w:rFonts w:ascii="Calibri" w:eastAsia="Calibri" w:hAnsi="Calibri" w:cs="Times New Roman"/>
          <w:lang w:eastAsia="en-US"/>
        </w:rPr>
        <w:t>A</w:t>
      </w:r>
      <w:r w:rsidR="00500FCF" w:rsidRPr="00482CB4">
        <w:rPr>
          <w:rFonts w:ascii="Calibri" w:eastAsia="Calibri" w:hAnsi="Calibri" w:cs="Times New Roman"/>
          <w:lang w:eastAsia="en-US"/>
        </w:rPr>
        <w:t xml:space="preserve"> and</w:t>
      </w:r>
      <w:r w:rsidR="00500FCF">
        <w:rPr>
          <w:rFonts w:ascii="Calibri" w:eastAsia="Calibri" w:hAnsi="Calibri" w:cs="Times New Roman"/>
          <w:lang w:eastAsia="en-US"/>
        </w:rPr>
        <w:t xml:space="preserve"> </w:t>
      </w:r>
      <w:r w:rsidR="00500FCF">
        <w:rPr>
          <w:rFonts w:ascii="Calibri" w:eastAsia="Calibri" w:hAnsi="Calibri" w:cs="Times New Roman"/>
          <w:lang w:eastAsia="en-US"/>
        </w:rPr>
        <w:fldChar w:fldCharType="begin"/>
      </w:r>
      <w:r w:rsidR="00500FCF">
        <w:rPr>
          <w:rFonts w:ascii="Calibri" w:eastAsia="Calibri" w:hAnsi="Calibri" w:cs="Times New Roman"/>
          <w:lang w:eastAsia="en-US"/>
        </w:rPr>
        <w:instrText xml:space="preserve"> REF _Ref428852894 \h </w:instrText>
      </w:r>
      <w:r w:rsidR="00500FCF">
        <w:rPr>
          <w:rFonts w:ascii="Calibri" w:eastAsia="Calibri" w:hAnsi="Calibri" w:cs="Times New Roman"/>
          <w:lang w:eastAsia="en-US"/>
        </w:rPr>
      </w:r>
      <w:r w:rsidR="00500FCF">
        <w:rPr>
          <w:rFonts w:ascii="Calibri" w:eastAsia="Calibri" w:hAnsi="Calibri" w:cs="Times New Roman"/>
          <w:lang w:eastAsia="en-US"/>
        </w:rPr>
        <w:fldChar w:fldCharType="separate"/>
      </w:r>
      <w:r w:rsidRPr="00482CB4">
        <w:rPr>
          <w:rFonts w:eastAsia="Calibri"/>
        </w:rPr>
        <w:t xml:space="preserve">Figure </w:t>
      </w:r>
      <w:r>
        <w:rPr>
          <w:rFonts w:eastAsia="Calibri"/>
          <w:noProof/>
        </w:rPr>
        <w:t>3</w:t>
      </w:r>
      <w:r>
        <w:rPr>
          <w:rFonts w:eastAsia="Calibri"/>
        </w:rPr>
        <w:noBreakHyphen/>
      </w:r>
      <w:r>
        <w:rPr>
          <w:rFonts w:eastAsia="Calibri"/>
          <w:noProof/>
        </w:rPr>
        <w:t>6</w:t>
      </w:r>
      <w:r w:rsidR="00500FCF">
        <w:rPr>
          <w:rFonts w:ascii="Calibri" w:eastAsia="Calibri" w:hAnsi="Calibri" w:cs="Times New Roman"/>
          <w:lang w:eastAsia="en-US"/>
        </w:rPr>
        <w:fldChar w:fldCharType="end"/>
      </w:r>
      <w:r w:rsidR="00500FCF" w:rsidRPr="00482CB4">
        <w:rPr>
          <w:rFonts w:ascii="Calibri" w:eastAsia="Calibri" w:hAnsi="Calibri" w:cs="Times New Roman"/>
          <w:lang w:eastAsia="en-US"/>
        </w:rPr>
        <w:t xml:space="preserve">). </w:t>
      </w:r>
      <w:r w:rsidR="00F46A03" w:rsidRPr="00482CB4">
        <w:rPr>
          <w:rFonts w:ascii="Calibri" w:eastAsia="Calibri" w:hAnsi="Calibri" w:cs="Times New Roman"/>
          <w:lang w:eastAsia="en-US"/>
        </w:rPr>
        <w:t>However,</w:t>
      </w:r>
      <w:r w:rsidR="00500FCF" w:rsidRPr="00482CB4">
        <w:rPr>
          <w:rFonts w:ascii="Calibri" w:eastAsia="Calibri" w:hAnsi="Calibri" w:cs="Times New Roman"/>
          <w:lang w:eastAsia="en-US"/>
        </w:rPr>
        <w:t xml:space="preserve"> areas of Secondary and, to a lesser extent, Tertiary water types, were observed offshore of the Pioneer river mouth (up to 70 km for the Secondary waters and 130 km offshore for the Tertiary waters on the 7</w:t>
      </w:r>
      <w:r w:rsidR="00500FCF" w:rsidRPr="00482CB4">
        <w:rPr>
          <w:rFonts w:ascii="Calibri" w:eastAsia="Calibri" w:hAnsi="Calibri" w:cs="Times New Roman"/>
          <w:vertAlign w:val="superscript"/>
          <w:lang w:eastAsia="en-US"/>
        </w:rPr>
        <w:t>th</w:t>
      </w:r>
      <w:r w:rsidR="00500FCF" w:rsidRPr="00482CB4">
        <w:rPr>
          <w:rFonts w:ascii="Calibri" w:eastAsia="Calibri" w:hAnsi="Calibri" w:cs="Times New Roman"/>
          <w:lang w:eastAsia="en-US"/>
        </w:rPr>
        <w:t xml:space="preserve"> of March 2013). </w:t>
      </w:r>
    </w:p>
    <w:p w14:paraId="0C3F7F94" w14:textId="77777777" w:rsidR="00482CB4" w:rsidRPr="00482CB4" w:rsidRDefault="00482CB4" w:rsidP="00482CB4">
      <w:pPr>
        <w:rPr>
          <w:rFonts w:ascii="Calibri" w:eastAsia="Calibri" w:hAnsi="Calibri" w:cs="Times New Roman"/>
          <w:lang w:eastAsia="en-US"/>
        </w:rPr>
      </w:pPr>
      <w:r>
        <w:rPr>
          <w:rFonts w:eastAsia="Calibri"/>
          <w:noProof/>
        </w:rPr>
        <w:drawing>
          <wp:inline distT="0" distB="0" distL="0" distR="0" wp14:anchorId="0C3F8FBD" wp14:editId="0C3F8FBE">
            <wp:extent cx="5678905" cy="4458610"/>
            <wp:effectExtent l="19050" t="19050" r="17145" b="18415"/>
            <wp:docPr id="83" name="Picture 83" descr="a) True colour and b) plume waters mapped on the 27th and 29th of Jan 2013 in the Burdekin NRM using the method of Álvarez-Romero et al. (2013). Burdekin River plume waters are deflected offshore under strong western winds and reach the inner coral reefs on the 25th of January. Wind direction measured at 12:00 am is indicated with black arrows." title="a) True colour and b) plume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88172" cy="4465886"/>
                    </a:xfrm>
                    <a:prstGeom prst="rect">
                      <a:avLst/>
                    </a:prstGeom>
                    <a:noFill/>
                    <a:ln>
                      <a:solidFill>
                        <a:schemeClr val="tx1"/>
                      </a:solidFill>
                    </a:ln>
                  </pic:spPr>
                </pic:pic>
              </a:graphicData>
            </a:graphic>
          </wp:inline>
        </w:drawing>
      </w:r>
    </w:p>
    <w:p w14:paraId="0C3F7F95" w14:textId="77777777" w:rsidR="00482CB4" w:rsidRPr="00482CB4" w:rsidRDefault="00482CB4" w:rsidP="00500FCF">
      <w:pPr>
        <w:pStyle w:val="Caption"/>
        <w:rPr>
          <w:rFonts w:eastAsia="Calibri"/>
        </w:rPr>
      </w:pPr>
      <w:bookmarkStart w:id="73" w:name="_Ref428852632"/>
      <w:bookmarkStart w:id="74" w:name="_Toc427833275"/>
      <w:bookmarkStart w:id="75" w:name="_Toc434208025"/>
      <w:r w:rsidRPr="00482CB4">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3</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4</w:t>
      </w:r>
      <w:r w:rsidR="00D243CD">
        <w:rPr>
          <w:rFonts w:eastAsia="Calibri"/>
        </w:rPr>
        <w:fldChar w:fldCharType="end"/>
      </w:r>
      <w:bookmarkEnd w:id="73"/>
      <w:r w:rsidRPr="00482CB4">
        <w:rPr>
          <w:rFonts w:eastAsia="Calibri"/>
        </w:rPr>
        <w:t xml:space="preserve">: a) True </w:t>
      </w:r>
      <w:r w:rsidR="00593896" w:rsidRPr="00482CB4">
        <w:rPr>
          <w:rFonts w:eastAsia="Calibri"/>
        </w:rPr>
        <w:t>colour</w:t>
      </w:r>
      <w:r w:rsidRPr="00482CB4">
        <w:rPr>
          <w:rFonts w:eastAsia="Calibri"/>
        </w:rPr>
        <w:t xml:space="preserve"> and b) plume waters mapped on the 27</w:t>
      </w:r>
      <w:r w:rsidRPr="00482CB4">
        <w:rPr>
          <w:rFonts w:eastAsia="Calibri"/>
          <w:vertAlign w:val="superscript"/>
        </w:rPr>
        <w:t>th</w:t>
      </w:r>
      <w:r w:rsidRPr="00482CB4">
        <w:rPr>
          <w:rFonts w:eastAsia="Calibri"/>
        </w:rPr>
        <w:t xml:space="preserve"> and 29</w:t>
      </w:r>
      <w:r w:rsidRPr="00482CB4">
        <w:rPr>
          <w:rFonts w:eastAsia="Calibri"/>
          <w:vertAlign w:val="superscript"/>
        </w:rPr>
        <w:t>th</w:t>
      </w:r>
      <w:r w:rsidRPr="00482CB4">
        <w:rPr>
          <w:rFonts w:eastAsia="Calibri"/>
        </w:rPr>
        <w:t xml:space="preserve"> of Jan 2013 in the Burdekin NRM using the method of Álvarez-Romero et al. (2013). Burdekin River plume waters are deflected offshore under strong western winds and reach the inner coral reefs on the 25</w:t>
      </w:r>
      <w:r w:rsidRPr="00482CB4">
        <w:rPr>
          <w:rFonts w:eastAsia="Calibri"/>
          <w:vertAlign w:val="superscript"/>
        </w:rPr>
        <w:t>th</w:t>
      </w:r>
      <w:r w:rsidRPr="00482CB4">
        <w:rPr>
          <w:rFonts w:eastAsia="Calibri"/>
        </w:rPr>
        <w:t xml:space="preserve"> of January. Wind direction measured at 12:00 am is indicated with black arrows.</w:t>
      </w:r>
      <w:bookmarkEnd w:id="74"/>
      <w:bookmarkEnd w:id="75"/>
    </w:p>
    <w:p w14:paraId="0C3F7F96" w14:textId="77777777" w:rsidR="00482CB4" w:rsidRPr="00482CB4" w:rsidRDefault="00482CB4" w:rsidP="00482CB4">
      <w:pPr>
        <w:rPr>
          <w:rFonts w:ascii="Calibri" w:eastAsia="Calibri" w:hAnsi="Calibri" w:cs="Times New Roman"/>
          <w:lang w:eastAsia="en-US"/>
        </w:rPr>
      </w:pPr>
      <w:r w:rsidRPr="00DF1C49">
        <w:rPr>
          <w:rFonts w:eastAsia="Calibri"/>
          <w:noProof/>
        </w:rPr>
        <w:drawing>
          <wp:inline distT="0" distB="0" distL="0" distR="0" wp14:anchorId="0C3F8FBF" wp14:editId="0C3F8FC0">
            <wp:extent cx="4837635" cy="6954253"/>
            <wp:effectExtent l="19050" t="19050" r="20320" b="18415"/>
            <wp:docPr id="84" name="Picture 84" descr="True colour (a and c) and plume waters (b and d) mapped from the 30th of January to the 01th of February and from the 2nd to the 4th of February in the Burdekin NRM using the method of Álvarez-Romero et al. (2013). Wind direction measured at 12:00 am is indicated with black arrows." title="True colour (a and c) and plume waters (b and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50079" cy="6972142"/>
                    </a:xfrm>
                    <a:prstGeom prst="rect">
                      <a:avLst/>
                    </a:prstGeom>
                    <a:solidFill>
                      <a:sysClr val="window" lastClr="FFFFFF"/>
                    </a:solidFill>
                    <a:ln>
                      <a:solidFill>
                        <a:schemeClr val="tx1"/>
                      </a:solidFill>
                    </a:ln>
                  </pic:spPr>
                </pic:pic>
              </a:graphicData>
            </a:graphic>
          </wp:inline>
        </w:drawing>
      </w:r>
    </w:p>
    <w:p w14:paraId="0C3F7F97" w14:textId="77777777" w:rsidR="00482CB4" w:rsidRPr="00482CB4" w:rsidRDefault="00482CB4" w:rsidP="00500FCF">
      <w:pPr>
        <w:pStyle w:val="Caption"/>
        <w:rPr>
          <w:rFonts w:eastAsia="Calibri"/>
        </w:rPr>
      </w:pPr>
      <w:bookmarkStart w:id="76" w:name="_Ref428852892"/>
      <w:bookmarkStart w:id="77" w:name="_Toc427833276"/>
      <w:bookmarkStart w:id="78" w:name="_Toc434208026"/>
      <w:r w:rsidRPr="00482CB4">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3</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5</w:t>
      </w:r>
      <w:r w:rsidR="00D243CD">
        <w:rPr>
          <w:rFonts w:eastAsia="Calibri"/>
        </w:rPr>
        <w:fldChar w:fldCharType="end"/>
      </w:r>
      <w:bookmarkEnd w:id="76"/>
      <w:r w:rsidRPr="00482CB4">
        <w:rPr>
          <w:rFonts w:eastAsia="Calibri"/>
        </w:rPr>
        <w:t xml:space="preserve">: True </w:t>
      </w:r>
      <w:r w:rsidR="00593896" w:rsidRPr="00482CB4">
        <w:rPr>
          <w:rFonts w:eastAsia="Calibri"/>
        </w:rPr>
        <w:t>colour</w:t>
      </w:r>
      <w:r w:rsidRPr="00482CB4">
        <w:rPr>
          <w:rFonts w:eastAsia="Calibri"/>
        </w:rPr>
        <w:t xml:space="preserve"> </w:t>
      </w:r>
      <w:r w:rsidR="00500FCF">
        <w:rPr>
          <w:rFonts w:eastAsia="Calibri"/>
        </w:rPr>
        <w:t>(a and c) and</w:t>
      </w:r>
      <w:r w:rsidRPr="00482CB4">
        <w:rPr>
          <w:rFonts w:eastAsia="Calibri"/>
        </w:rPr>
        <w:t xml:space="preserve"> plume waters</w:t>
      </w:r>
      <w:r w:rsidR="00500FCF">
        <w:rPr>
          <w:rFonts w:eastAsia="Calibri"/>
        </w:rPr>
        <w:t xml:space="preserve"> (b and d)</w:t>
      </w:r>
      <w:r w:rsidRPr="00482CB4">
        <w:rPr>
          <w:rFonts w:eastAsia="Calibri"/>
        </w:rPr>
        <w:t xml:space="preserve"> mapped from the 30th of January to the 01th of February and from the 2</w:t>
      </w:r>
      <w:r w:rsidRPr="00482CB4">
        <w:rPr>
          <w:rFonts w:eastAsia="Calibri"/>
          <w:vertAlign w:val="superscript"/>
        </w:rPr>
        <w:t>nd</w:t>
      </w:r>
      <w:r w:rsidRPr="00482CB4">
        <w:rPr>
          <w:rFonts w:eastAsia="Calibri"/>
        </w:rPr>
        <w:t xml:space="preserve"> to the 4</w:t>
      </w:r>
      <w:r w:rsidRPr="00482CB4">
        <w:rPr>
          <w:rFonts w:eastAsia="Calibri"/>
          <w:vertAlign w:val="superscript"/>
        </w:rPr>
        <w:t>th</w:t>
      </w:r>
      <w:r w:rsidRPr="00482CB4">
        <w:rPr>
          <w:rFonts w:eastAsia="Calibri"/>
        </w:rPr>
        <w:t xml:space="preserve"> of February in the Burdekin NRM using the method of Álvarez-Romero et al. (2013). Wind direction measured at 12:00 am is indicated with black arrows.</w:t>
      </w:r>
      <w:bookmarkEnd w:id="77"/>
      <w:bookmarkEnd w:id="78"/>
    </w:p>
    <w:p w14:paraId="0C3F7F98" w14:textId="77777777" w:rsidR="00482CB4" w:rsidRPr="00482CB4" w:rsidRDefault="00482CB4" w:rsidP="00482CB4">
      <w:pPr>
        <w:rPr>
          <w:rFonts w:ascii="Calibri" w:eastAsia="Calibri" w:hAnsi="Calibri" w:cs="Times New Roman"/>
          <w:lang w:eastAsia="en-US"/>
        </w:rPr>
      </w:pPr>
      <w:r w:rsidRPr="00DF1C49">
        <w:rPr>
          <w:rFonts w:eastAsia="Calibri"/>
          <w:noProof/>
        </w:rPr>
        <w:drawing>
          <wp:inline distT="0" distB="0" distL="0" distR="0" wp14:anchorId="0C3F8FC1" wp14:editId="0C3F8FC2">
            <wp:extent cx="5329624" cy="6725653"/>
            <wp:effectExtent l="19050" t="19050" r="23495" b="18415"/>
            <wp:docPr id="85" name="Picture 85" descr="a) True colour and b) plume waters mapped from the 7th of March to the 16th of March 2013 in the Mackay Whitsundays NRM using the method of Álvarez-Romero et al. (2013).. Wind direction measured at 12:00 am is indicated with black arrows." title="a) True colour and b) plume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39022" cy="6737512"/>
                    </a:xfrm>
                    <a:prstGeom prst="rect">
                      <a:avLst/>
                    </a:prstGeom>
                    <a:solidFill>
                      <a:sysClr val="window" lastClr="FFFFFF"/>
                    </a:solidFill>
                    <a:ln>
                      <a:solidFill>
                        <a:schemeClr val="tx1"/>
                      </a:solidFill>
                    </a:ln>
                  </pic:spPr>
                </pic:pic>
              </a:graphicData>
            </a:graphic>
          </wp:inline>
        </w:drawing>
      </w:r>
    </w:p>
    <w:p w14:paraId="0C3F7F99" w14:textId="77777777" w:rsidR="00482CB4" w:rsidRPr="00482CB4" w:rsidRDefault="00482CB4" w:rsidP="00500FCF">
      <w:pPr>
        <w:pStyle w:val="Caption"/>
        <w:rPr>
          <w:rFonts w:eastAsia="Calibri"/>
        </w:rPr>
      </w:pPr>
      <w:bookmarkStart w:id="79" w:name="_Ref428852894"/>
      <w:bookmarkStart w:id="80" w:name="_Toc427833277"/>
      <w:bookmarkStart w:id="81" w:name="_Toc434208027"/>
      <w:r w:rsidRPr="00482CB4">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3</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6</w:t>
      </w:r>
      <w:r w:rsidR="00D243CD">
        <w:rPr>
          <w:rFonts w:eastAsia="Calibri"/>
        </w:rPr>
        <w:fldChar w:fldCharType="end"/>
      </w:r>
      <w:bookmarkEnd w:id="79"/>
      <w:r w:rsidRPr="00482CB4">
        <w:rPr>
          <w:rFonts w:eastAsia="Calibri"/>
        </w:rPr>
        <w:t xml:space="preserve">: a) True </w:t>
      </w:r>
      <w:r w:rsidR="00593896" w:rsidRPr="00482CB4">
        <w:rPr>
          <w:rFonts w:eastAsia="Calibri"/>
        </w:rPr>
        <w:t>colour</w:t>
      </w:r>
      <w:r w:rsidRPr="00482CB4">
        <w:rPr>
          <w:rFonts w:eastAsia="Calibri"/>
        </w:rPr>
        <w:t xml:space="preserve"> and b) plume waters mapped from the 7th of March to the 16th of March 2013 in the Mackay Whitsundays NRM using the method of Álvarez-Romero et al. (2013).. Wind direction measured at 12:00 am is indicated with black arrows.</w:t>
      </w:r>
      <w:bookmarkEnd w:id="80"/>
      <w:bookmarkEnd w:id="81"/>
    </w:p>
    <w:p w14:paraId="0C3F7F9A" w14:textId="77777777" w:rsidR="00482CB4" w:rsidRPr="00500FCF" w:rsidRDefault="00482CB4" w:rsidP="00482CB4">
      <w:pPr>
        <w:rPr>
          <w:rFonts w:eastAsia="Calibri"/>
        </w:rPr>
      </w:pPr>
      <w:r w:rsidRPr="00500FCF">
        <w:rPr>
          <w:rFonts w:eastAsia="Calibri"/>
        </w:rPr>
        <w:t>Furthermore, on true colour images of</w:t>
      </w:r>
      <w:r w:rsidR="00E47248">
        <w:rPr>
          <w:rFonts w:eastAsia="Calibri"/>
        </w:rPr>
        <w:t xml:space="preserve"> the 7th to 16th of March 2013 (Figure 3-6), s</w:t>
      </w:r>
      <w:r w:rsidRPr="00500FCF">
        <w:rPr>
          <w:rFonts w:eastAsia="Calibri"/>
        </w:rPr>
        <w:t>econdary plume waters located north of the Pioneer River mouth deflected toward the south from their northern, Coriolis-induced, motion. This was particularly well illustrated the 16th of March 2013 (</w:t>
      </w:r>
      <w:r w:rsidRPr="00500FCF">
        <w:rPr>
          <w:rFonts w:eastAsia="Calibri"/>
        </w:rPr>
        <w:fldChar w:fldCharType="begin"/>
      </w:r>
      <w:r w:rsidRPr="00500FCF">
        <w:rPr>
          <w:rFonts w:eastAsia="Calibri"/>
        </w:rPr>
        <w:instrText xml:space="preserve"> REF _Ref428852947 \h  \* MERGEFORMAT </w:instrText>
      </w:r>
      <w:r w:rsidRPr="00500FCF">
        <w:rPr>
          <w:rFonts w:eastAsia="Calibri"/>
        </w:rPr>
      </w:r>
      <w:r w:rsidRPr="00500FCF">
        <w:rPr>
          <w:rFonts w:eastAsia="Calibri"/>
        </w:rPr>
        <w:fldChar w:fldCharType="separate"/>
      </w:r>
      <w:r w:rsidR="00B62B50" w:rsidRPr="00482CB4">
        <w:rPr>
          <w:rFonts w:eastAsia="Calibri"/>
        </w:rPr>
        <w:t xml:space="preserve">Figure </w:t>
      </w:r>
      <w:r w:rsidR="00B62B50">
        <w:rPr>
          <w:rFonts w:eastAsia="Calibri"/>
        </w:rPr>
        <w:t>3</w:t>
      </w:r>
      <w:r w:rsidR="00B62B50">
        <w:rPr>
          <w:rFonts w:eastAsia="Calibri"/>
        </w:rPr>
        <w:noBreakHyphen/>
        <w:t>7</w:t>
      </w:r>
      <w:r w:rsidRPr="00500FCF">
        <w:rPr>
          <w:rFonts w:eastAsia="Calibri"/>
        </w:rPr>
        <w:fldChar w:fldCharType="end"/>
      </w:r>
      <w:r w:rsidRPr="00500FCF">
        <w:rPr>
          <w:rFonts w:eastAsia="Calibri"/>
        </w:rPr>
        <w:t>a) when a tongue of Secondary waters, flowing toward the south as a counter current to the coastal Primary plume waters (</w:t>
      </w:r>
      <w:r w:rsidRPr="00500FCF">
        <w:rPr>
          <w:rFonts w:eastAsia="Calibri"/>
        </w:rPr>
        <w:fldChar w:fldCharType="begin"/>
      </w:r>
      <w:r w:rsidRPr="00500FCF">
        <w:rPr>
          <w:rFonts w:eastAsia="Calibri"/>
        </w:rPr>
        <w:instrText xml:space="preserve"> REF _Ref428852947 \h  \* MERGEFORMAT </w:instrText>
      </w:r>
      <w:r w:rsidRPr="00500FCF">
        <w:rPr>
          <w:rFonts w:eastAsia="Calibri"/>
        </w:rPr>
      </w:r>
      <w:r w:rsidRPr="00500FCF">
        <w:rPr>
          <w:rFonts w:eastAsia="Calibri"/>
        </w:rPr>
        <w:fldChar w:fldCharType="separate"/>
      </w:r>
      <w:r w:rsidR="00B62B50" w:rsidRPr="00482CB4">
        <w:rPr>
          <w:rFonts w:eastAsia="Calibri"/>
        </w:rPr>
        <w:t xml:space="preserve">Figure </w:t>
      </w:r>
      <w:r w:rsidR="00B62B50">
        <w:rPr>
          <w:rFonts w:eastAsia="Calibri"/>
        </w:rPr>
        <w:t>3</w:t>
      </w:r>
      <w:r w:rsidR="00B62B50">
        <w:rPr>
          <w:rFonts w:eastAsia="Calibri"/>
        </w:rPr>
        <w:noBreakHyphen/>
        <w:t>7</w:t>
      </w:r>
      <w:r w:rsidRPr="00500FCF">
        <w:rPr>
          <w:rFonts w:eastAsia="Calibri"/>
        </w:rPr>
        <w:fldChar w:fldCharType="end"/>
      </w:r>
      <w:r w:rsidRPr="00500FCF">
        <w:rPr>
          <w:rFonts w:eastAsia="Calibri"/>
        </w:rPr>
        <w:t>b), seems to explain the large areas of Secondary water type mapped by the TC classification method (</w:t>
      </w:r>
      <w:r w:rsidR="00E47248">
        <w:rPr>
          <w:rFonts w:eastAsia="Calibri"/>
        </w:rPr>
        <w:t>Figure 3-6</w:t>
      </w:r>
      <w:r w:rsidRPr="00500FCF">
        <w:rPr>
          <w:rFonts w:eastAsia="Calibri"/>
        </w:rPr>
        <w:t xml:space="preserve">). The presence of a southern current located offshore of the Pioneer river could be an explanation for this observed phenomenon. </w:t>
      </w:r>
    </w:p>
    <w:p w14:paraId="0C3F7F9B" w14:textId="77777777" w:rsidR="00482CB4" w:rsidRPr="00482CB4" w:rsidRDefault="00482CB4" w:rsidP="00482CB4">
      <w:pPr>
        <w:rPr>
          <w:rFonts w:ascii="Calibri" w:eastAsia="Calibri" w:hAnsi="Calibri" w:cs="Times New Roman"/>
          <w:lang w:eastAsia="en-US"/>
        </w:rPr>
      </w:pPr>
    </w:p>
    <w:p w14:paraId="0C3F7F9C" w14:textId="77777777" w:rsidR="00482CB4" w:rsidRPr="00482CB4" w:rsidRDefault="00482CB4" w:rsidP="00482CB4">
      <w:pPr>
        <w:rPr>
          <w:rFonts w:ascii="Calibri" w:eastAsia="Calibri" w:hAnsi="Calibri" w:cs="Times New Roman"/>
          <w:lang w:eastAsia="en-US"/>
        </w:rPr>
      </w:pPr>
      <w:r w:rsidRPr="00DF1C49">
        <w:rPr>
          <w:rFonts w:eastAsia="Calibri"/>
          <w:noProof/>
        </w:rPr>
        <w:drawing>
          <wp:inline distT="0" distB="0" distL="0" distR="0" wp14:anchorId="0C3F8FC3" wp14:editId="0C3F8FC4">
            <wp:extent cx="5724000" cy="4616171"/>
            <wp:effectExtent l="19050" t="19050" r="10160" b="13335"/>
            <wp:docPr id="86" name="Picture 86" descr="MODIS true colour image of the 16th of March 2013 showing waters from the Pioneer River deflected toward the south from their northern Coriolis-induced movement." title="MODIS true colour image of the 16th of March 2013 showing waters from the Pioneer River deflected toward the south from their northern Coriolis-induced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24000" cy="4616171"/>
                    </a:xfrm>
                    <a:prstGeom prst="rect">
                      <a:avLst/>
                    </a:prstGeom>
                    <a:solidFill>
                      <a:sysClr val="window" lastClr="FFFFFF"/>
                    </a:solidFill>
                    <a:ln>
                      <a:solidFill>
                        <a:schemeClr val="tx1"/>
                      </a:solidFill>
                    </a:ln>
                  </pic:spPr>
                </pic:pic>
              </a:graphicData>
            </a:graphic>
          </wp:inline>
        </w:drawing>
      </w:r>
    </w:p>
    <w:p w14:paraId="0C3F7F9D" w14:textId="77777777" w:rsidR="00482CB4" w:rsidRPr="00482CB4" w:rsidRDefault="00482CB4" w:rsidP="00500FCF">
      <w:pPr>
        <w:pStyle w:val="Caption"/>
        <w:rPr>
          <w:rFonts w:eastAsia="Calibri"/>
        </w:rPr>
      </w:pPr>
      <w:bookmarkStart w:id="82" w:name="_Ref428852947"/>
      <w:bookmarkStart w:id="83" w:name="_Toc427833278"/>
      <w:bookmarkStart w:id="84" w:name="_Toc434208028"/>
      <w:r w:rsidRPr="00482CB4">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3</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7</w:t>
      </w:r>
      <w:r w:rsidR="00D243CD">
        <w:rPr>
          <w:rFonts w:eastAsia="Calibri"/>
        </w:rPr>
        <w:fldChar w:fldCharType="end"/>
      </w:r>
      <w:bookmarkEnd w:id="82"/>
      <w:r w:rsidRPr="00482CB4">
        <w:rPr>
          <w:rFonts w:eastAsia="Calibri"/>
        </w:rPr>
        <w:t>: MODIS true colour image of the 16</w:t>
      </w:r>
      <w:r w:rsidRPr="00500FCF">
        <w:rPr>
          <w:rFonts w:eastAsia="Calibri"/>
        </w:rPr>
        <w:t>th</w:t>
      </w:r>
      <w:r w:rsidRPr="00482CB4">
        <w:rPr>
          <w:rFonts w:eastAsia="Calibri"/>
        </w:rPr>
        <w:t xml:space="preserve"> of March 2013 showing waters from the Pioneer River deflected toward the south from their northern Coriolis-induced movement.</w:t>
      </w:r>
      <w:bookmarkEnd w:id="83"/>
      <w:bookmarkEnd w:id="84"/>
    </w:p>
    <w:p w14:paraId="0C3F7F9E" w14:textId="77777777" w:rsidR="00482CB4" w:rsidRPr="00482CB4" w:rsidRDefault="00482CB4" w:rsidP="00482CB4">
      <w:pPr>
        <w:rPr>
          <w:rFonts w:ascii="Cambria" w:hAnsi="Cambria" w:cs="Times New Roman"/>
          <w:bCs/>
          <w:szCs w:val="24"/>
          <w:lang w:eastAsia="en-US"/>
        </w:rPr>
      </w:pPr>
      <w:bookmarkStart w:id="85" w:name="_Toc428793338"/>
      <w:bookmarkStart w:id="86" w:name="_Toc427831208"/>
      <w:bookmarkStart w:id="87" w:name="_Toc428793339"/>
      <w:bookmarkEnd w:id="85"/>
    </w:p>
    <w:p w14:paraId="0C3F7F9F" w14:textId="77777777" w:rsidR="00482CB4" w:rsidRPr="00A65EC2" w:rsidRDefault="00482CB4" w:rsidP="00500FCF">
      <w:pPr>
        <w:pStyle w:val="Heading3"/>
        <w:numPr>
          <w:ilvl w:val="2"/>
          <w:numId w:val="3"/>
        </w:numPr>
      </w:pPr>
      <w:bookmarkStart w:id="88" w:name="_Toc427831210"/>
      <w:bookmarkStart w:id="89" w:name="_Toc428793341"/>
      <w:bookmarkStart w:id="90" w:name="_Toc428851332"/>
      <w:bookmarkStart w:id="91" w:name="_Toc434207991"/>
      <w:bookmarkEnd w:id="86"/>
      <w:bookmarkEnd w:id="87"/>
      <w:r w:rsidRPr="00A65EC2">
        <w:t>Regional differences</w:t>
      </w:r>
      <w:bookmarkEnd w:id="88"/>
      <w:bookmarkEnd w:id="89"/>
      <w:bookmarkEnd w:id="90"/>
      <w:bookmarkEnd w:id="91"/>
    </w:p>
    <w:p w14:paraId="0C3F7FA0" w14:textId="77777777" w:rsidR="00482CB4" w:rsidRPr="00482CB4" w:rsidRDefault="00482CB4" w:rsidP="00482CB4">
      <w:pPr>
        <w:rPr>
          <w:rFonts w:ascii="Calibri" w:eastAsia="Calibri" w:hAnsi="Calibri" w:cs="Times New Roman"/>
          <w:lang w:eastAsia="en-US"/>
        </w:rPr>
      </w:pPr>
      <w:r w:rsidRPr="00482CB4">
        <w:rPr>
          <w:rFonts w:ascii="Calibri" w:eastAsia="Calibri" w:hAnsi="Calibri" w:cs="Times New Roman"/>
          <w:lang w:eastAsia="en-US"/>
        </w:rPr>
        <w:t>These snapshots of river plume dynamic</w:t>
      </w:r>
      <w:r w:rsidR="00593896">
        <w:rPr>
          <w:rFonts w:ascii="Calibri" w:eastAsia="Calibri" w:hAnsi="Calibri" w:cs="Times New Roman"/>
          <w:lang w:eastAsia="en-US"/>
        </w:rPr>
        <w:t>s</w:t>
      </w:r>
      <w:r w:rsidRPr="00482CB4">
        <w:rPr>
          <w:rFonts w:ascii="Calibri" w:eastAsia="Calibri" w:hAnsi="Calibri" w:cs="Times New Roman"/>
          <w:lang w:eastAsia="en-US"/>
        </w:rPr>
        <w:t xml:space="preserve"> in each NRM during the wet season 2012-13 are in agreement with theoretical models</w:t>
      </w:r>
      <w:r w:rsidR="00FB5AAA">
        <w:rPr>
          <w:rFonts w:ascii="Calibri" w:eastAsia="Calibri" w:hAnsi="Calibri" w:cs="Times New Roman"/>
          <w:lang w:eastAsia="en-US"/>
        </w:rPr>
        <w:t xml:space="preserve"> </w:t>
      </w:r>
      <w:r w:rsidR="00FB5AAA">
        <w:rPr>
          <w:rFonts w:ascii="Calibri" w:eastAsia="Calibri" w:hAnsi="Calibri" w:cs="Times New Roman"/>
          <w:lang w:eastAsia="en-US"/>
        </w:rPr>
        <w:fldChar w:fldCharType="begin"/>
      </w:r>
      <w:r w:rsidR="00FB5AAA">
        <w:rPr>
          <w:rFonts w:ascii="Calibri" w:eastAsia="Calibri" w:hAnsi="Calibri" w:cs="Times New Roman"/>
          <w:lang w:eastAsia="en-US"/>
        </w:rPr>
        <w:instrText xml:space="preserve"> ADDIN EN.CITE &lt;EndNote&gt;&lt;Cite&gt;&lt;Author&gt;Geyer&lt;/Author&gt;&lt;Year&gt;2004&lt;/Year&gt;&lt;RecNum&gt;1152&lt;/RecNum&gt;&lt;DisplayText&gt;(Geyer et al., 2004)&lt;/DisplayText&gt;&lt;record&gt;&lt;rec-number&gt;1152&lt;/rec-number&gt;&lt;foreign-keys&gt;&lt;key app="EN" db-id="wwzpfssaux292keptesxd5t6srsfvpzsde2p"&gt;1152&lt;/key&gt;&lt;/foreign-keys&gt;&lt;ref-type name="Journal Article"&gt;17&lt;/ref-type&gt;&lt;contributors&gt;&lt;authors&gt;&lt;author&gt;Geyer, WR&lt;/author&gt;&lt;author&gt;Hill, PS&lt;/author&gt;&lt;author&gt;Kineke, GC&lt;/author&gt;&lt;/authors&gt;&lt;/contributors&gt;&lt;titles&gt;&lt;title&gt;The transport, transformation and dispersal of sediment by buoyant coastal flows&lt;/title&gt;&lt;secondary-title&gt;Continental Shelf Research&lt;/secondary-title&gt;&lt;/titles&gt;&lt;periodical&gt;&lt;full-title&gt;Continental Shelf Research&lt;/full-title&gt;&lt;/periodical&gt;&lt;pages&gt;927-949&lt;/pages&gt;&lt;volume&gt;24&lt;/volume&gt;&lt;number&gt;7&lt;/number&gt;&lt;dates&gt;&lt;year&gt;2004&lt;/year&gt;&lt;/dates&gt;&lt;isbn&gt;0278-4343&lt;/isbn&gt;&lt;urls&gt;&lt;/urls&gt;&lt;/record&gt;&lt;/Cite&gt;&lt;/EndNote&gt;</w:instrText>
      </w:r>
      <w:r w:rsidR="00FB5AAA">
        <w:rPr>
          <w:rFonts w:ascii="Calibri" w:eastAsia="Calibri" w:hAnsi="Calibri" w:cs="Times New Roman"/>
          <w:lang w:eastAsia="en-US"/>
        </w:rPr>
        <w:fldChar w:fldCharType="separate"/>
      </w:r>
      <w:r w:rsidR="00FB5AAA">
        <w:rPr>
          <w:rFonts w:ascii="Calibri" w:eastAsia="Calibri" w:hAnsi="Calibri" w:cs="Times New Roman"/>
          <w:noProof/>
          <w:lang w:eastAsia="en-US"/>
        </w:rPr>
        <w:t>(</w:t>
      </w:r>
      <w:hyperlink w:anchor="_ENREF_21" w:tooltip="Geyer, 2004 #1152" w:history="1">
        <w:r w:rsidR="00D23C68">
          <w:rPr>
            <w:rFonts w:ascii="Calibri" w:eastAsia="Calibri" w:hAnsi="Calibri" w:cs="Times New Roman"/>
            <w:noProof/>
            <w:lang w:eastAsia="en-US"/>
          </w:rPr>
          <w:t>Geyer et al., 2004</w:t>
        </w:r>
      </w:hyperlink>
      <w:r w:rsidR="00FB5AAA">
        <w:rPr>
          <w:rFonts w:ascii="Calibri" w:eastAsia="Calibri" w:hAnsi="Calibri" w:cs="Times New Roman"/>
          <w:noProof/>
          <w:lang w:eastAsia="en-US"/>
        </w:rPr>
        <w:t>)</w:t>
      </w:r>
      <w:r w:rsidR="00FB5AAA">
        <w:rPr>
          <w:rFonts w:ascii="Calibri" w:eastAsia="Calibri" w:hAnsi="Calibri" w:cs="Times New Roman"/>
          <w:lang w:eastAsia="en-US"/>
        </w:rPr>
        <w:fldChar w:fldCharType="end"/>
      </w:r>
      <w:r w:rsidRPr="00482CB4">
        <w:rPr>
          <w:rFonts w:ascii="Calibri" w:eastAsia="Calibri" w:hAnsi="Calibri" w:cs="Times New Roman"/>
          <w:lang w:eastAsia="en-US"/>
        </w:rPr>
        <w:t>, previous physical oceanographic studies</w:t>
      </w:r>
      <w:r w:rsidR="00FB5AAA">
        <w:rPr>
          <w:rFonts w:ascii="Calibri" w:eastAsia="Calibri" w:hAnsi="Calibri" w:cs="Times New Roman"/>
          <w:lang w:eastAsia="en-US"/>
        </w:rPr>
        <w:t xml:space="preserve"> </w:t>
      </w:r>
      <w:r w:rsidR="00FB5AAA">
        <w:rPr>
          <w:rFonts w:ascii="Calibri" w:eastAsia="Calibri" w:hAnsi="Calibri" w:cs="Times New Roman"/>
          <w:lang w:eastAsia="en-US"/>
        </w:rPr>
        <w:fldChar w:fldCharType="begin"/>
      </w:r>
      <w:r w:rsidR="00FB5AAA">
        <w:rPr>
          <w:rFonts w:ascii="Calibri" w:eastAsia="Calibri" w:hAnsi="Calibri" w:cs="Times New Roman"/>
          <w:lang w:eastAsia="en-US"/>
        </w:rPr>
        <w:instrText xml:space="preserve"> ADDIN EN.CITE &lt;EndNote&gt;&lt;Cite&gt;&lt;Author&gt;Wolanski&lt;/Author&gt;&lt;Year&gt;1981&lt;/Year&gt;&lt;RecNum&gt;1000&lt;/RecNum&gt;&lt;DisplayText&gt;(Wolanski and Jones, 1981; Wolanski and Van Senden, 1983)&lt;/DisplayText&gt;&lt;record&gt;&lt;rec-number&gt;1000&lt;/rec-number&gt;&lt;foreign-keys&gt;&lt;key app="EN" db-id="wwzpfssaux292keptesxd5t6srsfvpzsde2p"&gt;1000&lt;/key&gt;&lt;/foreign-keys&gt;&lt;ref-type name="Journal Article"&gt;17&lt;/ref-type&gt;&lt;contributors&gt;&lt;authors&gt;&lt;author&gt;Wolanski, Eric&lt;/author&gt;&lt;author&gt;Jones, Martin&lt;/author&gt;&lt;/authors&gt;&lt;/contributors&gt;&lt;titles&gt;&lt;title&gt;Physical properties of Great Barrier Reef lagoon waters near Townsville. I. Effects of Burdekin River floods&lt;/title&gt;&lt;secondary-title&gt;Marine and Freshwater Research&lt;/secondary-title&gt;&lt;/titles&gt;&lt;periodical&gt;&lt;full-title&gt;Marine and Freshwater Research&lt;/full-title&gt;&lt;/periodical&gt;&lt;pages&gt;305-319&lt;/pages&gt;&lt;volume&gt;32&lt;/volume&gt;&lt;number&gt;3&lt;/number&gt;&lt;dates&gt;&lt;year&gt;1981&lt;/year&gt;&lt;/dates&gt;&lt;isbn&gt;1448-6059&lt;/isbn&gt;&lt;urls&gt;&lt;/urls&gt;&lt;/record&gt;&lt;/Cite&gt;&lt;Cite&gt;&lt;Author&gt;Wolanski&lt;/Author&gt;&lt;Year&gt;1983&lt;/Year&gt;&lt;RecNum&gt;999&lt;/RecNum&gt;&lt;record&gt;&lt;rec-number&gt;999&lt;/rec-number&gt;&lt;foreign-keys&gt;&lt;key app="EN" db-id="wwzpfssaux292keptesxd5t6srsfvpzsde2p"&gt;999&lt;/key&gt;&lt;/foreign-keys&gt;&lt;ref-type name="Journal Article"&gt;17&lt;/ref-type&gt;&lt;contributors&gt;&lt;authors&gt;&lt;author&gt;Wolanski, Eric&lt;/author&gt;&lt;author&gt;Van Senden, D&lt;/author&gt;&lt;/authors&gt;&lt;/contributors&gt;&lt;titles&gt;&lt;title&gt;Mixing of Burdekin river flood waters in the Great Barrier Reef&lt;/title&gt;&lt;secondary-title&gt;Marine and Freshwater Research&lt;/secondary-title&gt;&lt;/titles&gt;&lt;periodical&gt;&lt;full-title&gt;Marine and Freshwater Research&lt;/full-title&gt;&lt;/periodical&gt;&lt;pages&gt;49-63&lt;/pages&gt;&lt;volume&gt;34&lt;/volume&gt;&lt;number&gt;1&lt;/number&gt;&lt;dates&gt;&lt;year&gt;1983&lt;/year&gt;&lt;/dates&gt;&lt;isbn&gt;1448-6059&lt;/isbn&gt;&lt;urls&gt;&lt;/urls&gt;&lt;/record&gt;&lt;/Cite&gt;&lt;/EndNote&gt;</w:instrText>
      </w:r>
      <w:r w:rsidR="00FB5AAA">
        <w:rPr>
          <w:rFonts w:ascii="Calibri" w:eastAsia="Calibri" w:hAnsi="Calibri" w:cs="Times New Roman"/>
          <w:lang w:eastAsia="en-US"/>
        </w:rPr>
        <w:fldChar w:fldCharType="separate"/>
      </w:r>
      <w:r w:rsidR="00FB5AAA">
        <w:rPr>
          <w:rFonts w:ascii="Calibri" w:eastAsia="Calibri" w:hAnsi="Calibri" w:cs="Times New Roman"/>
          <w:noProof/>
          <w:lang w:eastAsia="en-US"/>
        </w:rPr>
        <w:t>(</w:t>
      </w:r>
      <w:hyperlink w:anchor="_ENREF_35" w:tooltip="Wolanski, 1981 #1000" w:history="1">
        <w:r w:rsidR="00D23C68">
          <w:rPr>
            <w:rFonts w:ascii="Calibri" w:eastAsia="Calibri" w:hAnsi="Calibri" w:cs="Times New Roman"/>
            <w:noProof/>
            <w:lang w:eastAsia="en-US"/>
          </w:rPr>
          <w:t>Wolanski and Jones, 1981</w:t>
        </w:r>
      </w:hyperlink>
      <w:r w:rsidR="00FB5AAA">
        <w:rPr>
          <w:rFonts w:ascii="Calibri" w:eastAsia="Calibri" w:hAnsi="Calibri" w:cs="Times New Roman"/>
          <w:noProof/>
          <w:lang w:eastAsia="en-US"/>
        </w:rPr>
        <w:t xml:space="preserve">; </w:t>
      </w:r>
      <w:hyperlink w:anchor="_ENREF_36" w:tooltip="Wolanski, 1983 #999" w:history="1">
        <w:r w:rsidR="00D23C68">
          <w:rPr>
            <w:rFonts w:ascii="Calibri" w:eastAsia="Calibri" w:hAnsi="Calibri" w:cs="Times New Roman"/>
            <w:noProof/>
            <w:lang w:eastAsia="en-US"/>
          </w:rPr>
          <w:t>Wolanski and Van Senden, 1983</w:t>
        </w:r>
      </w:hyperlink>
      <w:r w:rsidR="00FB5AAA">
        <w:rPr>
          <w:rFonts w:ascii="Calibri" w:eastAsia="Calibri" w:hAnsi="Calibri" w:cs="Times New Roman"/>
          <w:noProof/>
          <w:lang w:eastAsia="en-US"/>
        </w:rPr>
        <w:t>)</w:t>
      </w:r>
      <w:r w:rsidR="00FB5AAA">
        <w:rPr>
          <w:rFonts w:ascii="Calibri" w:eastAsia="Calibri" w:hAnsi="Calibri" w:cs="Times New Roman"/>
          <w:lang w:eastAsia="en-US"/>
        </w:rPr>
        <w:fldChar w:fldCharType="end"/>
      </w:r>
      <w:r w:rsidRPr="00482CB4">
        <w:rPr>
          <w:rFonts w:ascii="Calibri" w:eastAsia="Calibri" w:hAnsi="Calibri" w:cs="Times New Roman"/>
          <w:lang w:eastAsia="en-US"/>
        </w:rPr>
        <w:t xml:space="preserve">, modelling studies and previous MMP reports </w:t>
      </w:r>
      <w:r w:rsidR="00FB5AAA">
        <w:rPr>
          <w:rFonts w:ascii="Calibri" w:eastAsia="Calibri" w:hAnsi="Calibri" w:cs="Times New Roman"/>
          <w:lang w:eastAsia="en-US"/>
        </w:rPr>
        <w:fldChar w:fldCharType="begin"/>
      </w:r>
      <w:r w:rsidR="00FB5AAA">
        <w:rPr>
          <w:rFonts w:ascii="Calibri" w:eastAsia="Calibri" w:hAnsi="Calibri" w:cs="Times New Roman"/>
          <w:lang w:eastAsia="en-US"/>
        </w:rPr>
        <w:instrText xml:space="preserve"> ADDIN EN.CITE &lt;EndNote&gt;&lt;Cite&gt;&lt;Author&gt;Devlin&lt;/Author&gt;&lt;Year&gt;2001&lt;/Year&gt;&lt;RecNum&gt;792&lt;/RecNum&gt;&lt;DisplayText&gt;(Devlin et al., 2001)&lt;/DisplayText&gt;&lt;record&gt;&lt;rec-number&gt;792&lt;/rec-number&gt;&lt;foreign-keys&gt;&lt;key app="EN" db-id="wwzpfssaux292keptesxd5t6srsfvpzsde2p"&gt;792&lt;/key&gt;&lt;/foreign-keys&gt;&lt;ref-type name="Book"&gt;6&lt;/ref-type&gt;&lt;contributors&gt;&lt;authors&gt;&lt;author&gt;Devlin, Michelle&lt;/author&gt;&lt;author&gt;Waterhouse, Jane&lt;/author&gt;&lt;author&gt;Taylor, Jeremy&lt;/author&gt;&lt;author&gt;Brodie, JE&lt;/author&gt;&lt;/authors&gt;&lt;/contributors&gt;&lt;titles&gt;&lt;title&gt;Flood plumes in the Great Barrier Reef: spatial and temporal patterns in composition and distribution&lt;/title&gt;&lt;/titles&gt;&lt;dates&gt;&lt;year&gt;2001&lt;/year&gt;&lt;/dates&gt;&lt;publisher&gt;Great Barrier Reef Marine Park Authority&lt;/publisher&gt;&lt;isbn&gt;0642230978&lt;/isbn&gt;&lt;urls&gt;&lt;/urls&gt;&lt;/record&gt;&lt;/Cite&gt;&lt;/EndNote&gt;</w:instrText>
      </w:r>
      <w:r w:rsidR="00FB5AAA">
        <w:rPr>
          <w:rFonts w:ascii="Calibri" w:eastAsia="Calibri" w:hAnsi="Calibri" w:cs="Times New Roman"/>
          <w:lang w:eastAsia="en-US"/>
        </w:rPr>
        <w:fldChar w:fldCharType="separate"/>
      </w:r>
      <w:r w:rsidR="00FB5AAA">
        <w:rPr>
          <w:rFonts w:ascii="Calibri" w:eastAsia="Calibri" w:hAnsi="Calibri" w:cs="Times New Roman"/>
          <w:noProof/>
          <w:lang w:eastAsia="en-US"/>
        </w:rPr>
        <w:t>(</w:t>
      </w:r>
      <w:hyperlink w:anchor="_ENREF_17" w:tooltip="Devlin, 2001 #792" w:history="1">
        <w:r w:rsidR="00D23C68">
          <w:rPr>
            <w:rFonts w:ascii="Calibri" w:eastAsia="Calibri" w:hAnsi="Calibri" w:cs="Times New Roman"/>
            <w:noProof/>
            <w:lang w:eastAsia="en-US"/>
          </w:rPr>
          <w:t>Devlin et al., 2001</w:t>
        </w:r>
      </w:hyperlink>
      <w:r w:rsidR="00FB5AAA">
        <w:rPr>
          <w:rFonts w:ascii="Calibri" w:eastAsia="Calibri" w:hAnsi="Calibri" w:cs="Times New Roman"/>
          <w:noProof/>
          <w:lang w:eastAsia="en-US"/>
        </w:rPr>
        <w:t>)</w:t>
      </w:r>
      <w:r w:rsidR="00FB5AAA">
        <w:rPr>
          <w:rFonts w:ascii="Calibri" w:eastAsia="Calibri" w:hAnsi="Calibri" w:cs="Times New Roman"/>
          <w:lang w:eastAsia="en-US"/>
        </w:rPr>
        <w:fldChar w:fldCharType="end"/>
      </w:r>
      <w:r w:rsidR="00593896">
        <w:rPr>
          <w:rFonts w:ascii="Calibri" w:eastAsia="Calibri" w:hAnsi="Calibri" w:cs="Times New Roman"/>
          <w:lang w:eastAsia="en-US"/>
        </w:rPr>
        <w:t>. The movement of plumes highlights</w:t>
      </w:r>
      <w:r w:rsidRPr="00482CB4">
        <w:rPr>
          <w:rFonts w:ascii="Calibri" w:eastAsia="Calibri" w:hAnsi="Calibri" w:cs="Times New Roman"/>
          <w:lang w:eastAsia="en-US"/>
        </w:rPr>
        <w:t xml:space="preserve"> </w:t>
      </w:r>
      <w:r w:rsidR="00593896">
        <w:rPr>
          <w:rFonts w:ascii="Calibri" w:eastAsia="Calibri" w:hAnsi="Calibri" w:cs="Times New Roman"/>
          <w:lang w:eastAsia="en-US"/>
        </w:rPr>
        <w:t xml:space="preserve">that </w:t>
      </w:r>
      <w:r w:rsidRPr="00482CB4">
        <w:rPr>
          <w:rFonts w:ascii="Calibri" w:eastAsia="Calibri" w:hAnsi="Calibri" w:cs="Times New Roman"/>
          <w:lang w:eastAsia="en-US"/>
        </w:rPr>
        <w:t xml:space="preserve">GBR river plumes are mainly constrained close to the coast by the Coriolis effect and the prevailing wind regime, but regional differences in plume orientation and aerial extent are shaped by a combination of hydro-climatic forces, including (i) the river discharge rates, (ii) the wind strength and orientation and (iii) the local currents. </w:t>
      </w:r>
    </w:p>
    <w:p w14:paraId="0C3F7FA1" w14:textId="77777777" w:rsidR="00482CB4" w:rsidRPr="00482CB4" w:rsidRDefault="00482CB4" w:rsidP="00482CB4">
      <w:pPr>
        <w:rPr>
          <w:rFonts w:ascii="Calibri" w:eastAsia="Calibri" w:hAnsi="Calibri" w:cs="Times New Roman"/>
          <w:lang w:eastAsia="en-US"/>
        </w:rPr>
      </w:pPr>
      <w:r w:rsidRPr="00482CB4">
        <w:rPr>
          <w:rFonts w:ascii="Calibri" w:eastAsia="Calibri" w:hAnsi="Calibri" w:cs="Times New Roman"/>
          <w:lang w:eastAsia="en-US"/>
        </w:rPr>
        <w:t xml:space="preserve">Plume exposure on the more offshore ecosystems, like coral reefs, is often limited while onshore ecosystems like coastal seagrass beds are under a greatest exposure from river plumes and </w:t>
      </w:r>
      <w:r w:rsidRPr="00500FCF">
        <w:rPr>
          <w:rFonts w:eastAsia="Calibri"/>
        </w:rPr>
        <w:t>associated pollutants. However under offshore wind conditions, river plumes can be deflected seaward, like observed on the 27th and 29th of Jan 2013 in the Burdekin NRM (e.g</w:t>
      </w:r>
      <w:r w:rsidR="007A6C72">
        <w:rPr>
          <w:rFonts w:eastAsia="Calibri"/>
        </w:rPr>
        <w:t xml:space="preserve"> Figure 3-4</w:t>
      </w:r>
      <w:r w:rsidRPr="00500FCF">
        <w:rPr>
          <w:rFonts w:eastAsia="Calibri"/>
        </w:rPr>
        <w:t>)</w:t>
      </w:r>
      <w:r w:rsidR="00FB5AAA">
        <w:rPr>
          <w:rFonts w:eastAsia="Calibri"/>
        </w:rPr>
        <w:t>. River</w:t>
      </w:r>
      <w:r w:rsidRPr="00500FCF">
        <w:rPr>
          <w:rFonts w:eastAsia="Calibri"/>
        </w:rPr>
        <w:t xml:space="preserve"> plumes reach the mid and outer-shelf of the GBR reef</w:t>
      </w:r>
      <w:r w:rsidR="00FB5AAA">
        <w:rPr>
          <w:rFonts w:eastAsia="Calibri"/>
        </w:rPr>
        <w:t xml:space="preserve"> over “rare”and “occasional” scales (at the wet season scale) as observed on the t</w:t>
      </w:r>
      <w:r w:rsidRPr="00500FCF">
        <w:rPr>
          <w:rFonts w:eastAsia="Calibri"/>
        </w:rPr>
        <w:t>rue colour images of the Barron River, on</w:t>
      </w:r>
      <w:r w:rsidRPr="00482CB4">
        <w:rPr>
          <w:rFonts w:ascii="Calibri" w:eastAsia="Calibri" w:hAnsi="Calibri" w:cs="Times New Roman"/>
          <w:lang w:eastAsia="en-US"/>
        </w:rPr>
        <w:t xml:space="preserve"> the 25</w:t>
      </w:r>
      <w:r w:rsidRPr="00482CB4">
        <w:rPr>
          <w:rFonts w:ascii="Calibri" w:eastAsia="Calibri" w:hAnsi="Calibri" w:cs="Times New Roman"/>
          <w:vertAlign w:val="superscript"/>
          <w:lang w:eastAsia="en-US"/>
        </w:rPr>
        <w:t>th</w:t>
      </w:r>
      <w:r w:rsidRPr="00482CB4">
        <w:rPr>
          <w:rFonts w:ascii="Calibri" w:eastAsia="Calibri" w:hAnsi="Calibri" w:cs="Times New Roman"/>
          <w:lang w:eastAsia="en-US"/>
        </w:rPr>
        <w:t xml:space="preserve"> of January (</w:t>
      </w:r>
      <w:r w:rsidR="00500FCF">
        <w:rPr>
          <w:rFonts w:ascii="Calibri" w:eastAsia="Calibri" w:hAnsi="Calibri" w:cs="Times New Roman"/>
          <w:lang w:eastAsia="en-US"/>
        </w:rPr>
        <w:fldChar w:fldCharType="begin"/>
      </w:r>
      <w:r w:rsidR="00500FCF">
        <w:rPr>
          <w:rFonts w:ascii="Calibri" w:eastAsia="Calibri" w:hAnsi="Calibri" w:cs="Times New Roman"/>
          <w:lang w:eastAsia="en-US"/>
        </w:rPr>
        <w:instrText xml:space="preserve"> REF _Ref428871352 \h </w:instrText>
      </w:r>
      <w:r w:rsidR="00500FCF">
        <w:rPr>
          <w:rFonts w:ascii="Calibri" w:eastAsia="Calibri" w:hAnsi="Calibri" w:cs="Times New Roman"/>
          <w:lang w:eastAsia="en-US"/>
        </w:rPr>
      </w:r>
      <w:r w:rsidR="00500FCF">
        <w:rPr>
          <w:rFonts w:ascii="Calibri" w:eastAsia="Calibri" w:hAnsi="Calibri" w:cs="Times New Roman"/>
          <w:lang w:eastAsia="en-US"/>
        </w:rPr>
        <w:fldChar w:fldCharType="separate"/>
      </w:r>
      <w:r w:rsidR="00B62B50">
        <w:t xml:space="preserve">Figure </w:t>
      </w:r>
      <w:r w:rsidR="00B62B50">
        <w:rPr>
          <w:noProof/>
        </w:rPr>
        <w:t>3</w:t>
      </w:r>
      <w:r w:rsidR="00B62B50">
        <w:noBreakHyphen/>
      </w:r>
      <w:r w:rsidR="00B62B50">
        <w:rPr>
          <w:noProof/>
        </w:rPr>
        <w:t>2</w:t>
      </w:r>
      <w:r w:rsidR="00500FCF">
        <w:rPr>
          <w:rFonts w:ascii="Calibri" w:eastAsia="Calibri" w:hAnsi="Calibri" w:cs="Times New Roman"/>
          <w:lang w:eastAsia="en-US"/>
        </w:rPr>
        <w:fldChar w:fldCharType="end"/>
      </w:r>
      <w:r w:rsidRPr="00482CB4">
        <w:rPr>
          <w:rFonts w:ascii="Calibri" w:eastAsia="Calibri" w:hAnsi="Calibri" w:cs="Times New Roman"/>
          <w:lang w:eastAsia="en-US"/>
        </w:rPr>
        <w:t>). Mid and outer-shelf of the GBR reef are nevertheless more</w:t>
      </w:r>
      <w:r w:rsidR="00FB5AAA">
        <w:rPr>
          <w:rFonts w:ascii="Calibri" w:eastAsia="Calibri" w:hAnsi="Calibri" w:cs="Times New Roman"/>
          <w:lang w:eastAsia="en-US"/>
        </w:rPr>
        <w:t xml:space="preserve"> than</w:t>
      </w:r>
      <w:r w:rsidRPr="00482CB4">
        <w:rPr>
          <w:rFonts w:ascii="Calibri" w:eastAsia="Calibri" w:hAnsi="Calibri" w:cs="Times New Roman"/>
          <w:lang w:eastAsia="en-US"/>
        </w:rPr>
        <w:t xml:space="preserve"> likely to be </w:t>
      </w:r>
      <w:r w:rsidR="00FB5AAA">
        <w:rPr>
          <w:rFonts w:ascii="Calibri" w:eastAsia="Calibri" w:hAnsi="Calibri" w:cs="Times New Roman"/>
          <w:lang w:eastAsia="en-US"/>
        </w:rPr>
        <w:t xml:space="preserve">only </w:t>
      </w:r>
      <w:r w:rsidRPr="00482CB4">
        <w:rPr>
          <w:rFonts w:ascii="Calibri" w:eastAsia="Calibri" w:hAnsi="Calibri" w:cs="Times New Roman"/>
          <w:lang w:eastAsia="en-US"/>
        </w:rPr>
        <w:t xml:space="preserve">affected by the Tertiary water type (i.e., less concentrated in land-sourced pollutants) than the Primary turbid core (i.e., more concentrated in land-sourced pollutants) of the river plumes. </w:t>
      </w:r>
    </w:p>
    <w:p w14:paraId="0C3F7FA2" w14:textId="77777777" w:rsidR="00482CB4" w:rsidRPr="00482CB4" w:rsidRDefault="00482CB4" w:rsidP="00482CB4">
      <w:pPr>
        <w:rPr>
          <w:rFonts w:ascii="Calibri" w:eastAsia="Calibri" w:hAnsi="Calibri" w:cs="Times New Roman"/>
          <w:lang w:eastAsia="en-US"/>
        </w:rPr>
      </w:pPr>
      <w:r w:rsidRPr="00482CB4">
        <w:rPr>
          <w:rFonts w:ascii="Calibri" w:eastAsia="Calibri" w:hAnsi="Calibri" w:cs="Times New Roman"/>
          <w:lang w:eastAsia="en-US"/>
        </w:rPr>
        <w:t>Primary (highly turbid) coastal water surface areas are mainly modulat</w:t>
      </w:r>
      <w:r w:rsidR="007A6C72">
        <w:rPr>
          <w:rFonts w:ascii="Calibri" w:eastAsia="Calibri" w:hAnsi="Calibri" w:cs="Times New Roman"/>
          <w:lang w:eastAsia="en-US"/>
        </w:rPr>
        <w:t xml:space="preserve">ed by the river discharge rates. </w:t>
      </w:r>
      <w:r w:rsidRPr="00482CB4">
        <w:rPr>
          <w:rFonts w:ascii="Calibri" w:eastAsia="Calibri" w:hAnsi="Calibri" w:cs="Times New Roman"/>
          <w:lang w:eastAsia="en-US"/>
        </w:rPr>
        <w:t>More offshore</w:t>
      </w:r>
      <w:r w:rsidR="007A6C72">
        <w:rPr>
          <w:rFonts w:ascii="Calibri" w:eastAsia="Calibri" w:hAnsi="Calibri" w:cs="Times New Roman"/>
          <w:lang w:eastAsia="en-US"/>
        </w:rPr>
        <w:t xml:space="preserve"> plume types (</w:t>
      </w:r>
      <w:r w:rsidRPr="00482CB4">
        <w:rPr>
          <w:rFonts w:ascii="Calibri" w:eastAsia="Calibri" w:hAnsi="Calibri" w:cs="Times New Roman"/>
          <w:lang w:eastAsia="en-US"/>
        </w:rPr>
        <w:t>Secondary and Tertiary river plumes</w:t>
      </w:r>
      <w:r w:rsidR="007A6C72">
        <w:rPr>
          <w:rFonts w:ascii="Calibri" w:eastAsia="Calibri" w:hAnsi="Calibri" w:cs="Times New Roman"/>
          <w:lang w:eastAsia="en-US"/>
        </w:rPr>
        <w:t>)</w:t>
      </w:r>
      <w:r w:rsidRPr="00482CB4">
        <w:rPr>
          <w:rFonts w:ascii="Calibri" w:eastAsia="Calibri" w:hAnsi="Calibri" w:cs="Times New Roman"/>
          <w:lang w:eastAsia="en-US"/>
        </w:rPr>
        <w:t xml:space="preserve"> are also correlated to the river discharge, but their shapes and orientations are s</w:t>
      </w:r>
      <w:r w:rsidR="007A6C72">
        <w:rPr>
          <w:rFonts w:ascii="Calibri" w:eastAsia="Calibri" w:hAnsi="Calibri" w:cs="Times New Roman"/>
          <w:lang w:eastAsia="en-US"/>
        </w:rPr>
        <w:t>trongly modulated by the wind</w:t>
      </w:r>
      <w:r w:rsidR="00500FCF">
        <w:rPr>
          <w:rFonts w:ascii="Calibri" w:eastAsia="Calibri" w:hAnsi="Calibri" w:cs="Times New Roman"/>
          <w:lang w:eastAsia="en-US"/>
        </w:rPr>
        <w:t xml:space="preserve">, the local currents </w:t>
      </w:r>
      <w:r w:rsidRPr="00482CB4">
        <w:rPr>
          <w:rFonts w:ascii="Calibri" w:eastAsia="Calibri" w:hAnsi="Calibri" w:cs="Times New Roman"/>
          <w:lang w:eastAsia="en-US"/>
        </w:rPr>
        <w:t>and Secondary and Tertiary plume waters from different river plumes are often merged all together.</w:t>
      </w:r>
    </w:p>
    <w:bookmarkEnd w:id="45"/>
    <w:p w14:paraId="0C3F7FA3" w14:textId="77777777" w:rsidR="00CD3E9C" w:rsidRDefault="00CD3E9C" w:rsidP="0053157C"/>
    <w:p w14:paraId="0C3F7FA4" w14:textId="77777777" w:rsidR="00A3096D" w:rsidRPr="000054D1" w:rsidRDefault="00A3096D" w:rsidP="006424EB">
      <w:pPr>
        <w:sectPr w:rsidR="00A3096D" w:rsidRPr="000054D1" w:rsidSect="00330E11">
          <w:pgSz w:w="11907" w:h="16840" w:code="9"/>
          <w:pgMar w:top="1440" w:right="1440" w:bottom="1440" w:left="1440" w:header="680" w:footer="851" w:gutter="0"/>
          <w:cols w:space="708"/>
          <w:docGrid w:linePitch="326"/>
        </w:sectPr>
      </w:pPr>
    </w:p>
    <w:p w14:paraId="0C3F7FA5" w14:textId="77777777" w:rsidR="005E0A0B" w:rsidRPr="00FB5AAA" w:rsidRDefault="00FB5AAA" w:rsidP="00FB5AAA">
      <w:pPr>
        <w:pStyle w:val="Heading1"/>
        <w:numPr>
          <w:ilvl w:val="0"/>
          <w:numId w:val="3"/>
        </w:numPr>
        <w:spacing w:after="240" w:line="80" w:lineRule="atLeast"/>
        <w:rPr>
          <w:caps w:val="0"/>
        </w:rPr>
      </w:pPr>
      <w:bookmarkStart w:id="92" w:name="_Toc434207992"/>
      <w:r w:rsidRPr="0015270F">
        <w:rPr>
          <w:i/>
          <w:caps w:val="0"/>
        </w:rPr>
        <w:t>In-situ</w:t>
      </w:r>
      <w:r w:rsidRPr="00FB5AAA">
        <w:rPr>
          <w:caps w:val="0"/>
        </w:rPr>
        <w:t xml:space="preserve"> Water Quality</w:t>
      </w:r>
      <w:bookmarkEnd w:id="92"/>
    </w:p>
    <w:p w14:paraId="0C3F7FA6" w14:textId="77777777" w:rsidR="0015270F" w:rsidRDefault="0015270F" w:rsidP="0098332C">
      <w:pPr>
        <w:pStyle w:val="Heading2"/>
        <w:keepNext/>
        <w:numPr>
          <w:ilvl w:val="1"/>
          <w:numId w:val="8"/>
        </w:numPr>
        <w:spacing w:line="80" w:lineRule="atLeast"/>
      </w:pPr>
      <w:bookmarkStart w:id="93" w:name="_Toc434207993"/>
      <w:bookmarkStart w:id="94" w:name="_Toc413861556"/>
      <w:r>
        <w:t>Sampling design – 2012-2013</w:t>
      </w:r>
      <w:bookmarkEnd w:id="93"/>
    </w:p>
    <w:p w14:paraId="0C3F7FA7" w14:textId="77777777" w:rsidR="0015270F" w:rsidRDefault="0015270F" w:rsidP="0015270F">
      <w:bookmarkStart w:id="95" w:name="_Toc416533899"/>
      <w:bookmarkEnd w:id="94"/>
      <w:r>
        <w:t xml:space="preserve">Sampling of wet season conditions at MMP sites were carried out within the Cape York, Daintree, Barron, Russell-Mulgrave, Tully, Herbert, Burdekin and </w:t>
      </w:r>
      <w:r w:rsidR="00362A9F">
        <w:t>Burnett</w:t>
      </w:r>
      <w:r>
        <w:t>-Mary marine regions. Water quality samples collected in the Daintree, Barron and Russell-</w:t>
      </w:r>
      <w:r w:rsidR="00362A9F">
        <w:t>Mulgrave</w:t>
      </w:r>
      <w:r>
        <w:t xml:space="preserve"> sites were collected on route to Cape York and </w:t>
      </w:r>
      <w:r w:rsidR="00362A9F">
        <w:t>whilst</w:t>
      </w:r>
      <w:r>
        <w:t xml:space="preserve"> providing </w:t>
      </w:r>
      <w:r w:rsidR="00362A9F">
        <w:t>longer-term</w:t>
      </w:r>
      <w:r>
        <w:t xml:space="preserve"> data for the Wet Tropics, they will not be reported on</w:t>
      </w:r>
      <w:r w:rsidR="00362A9F">
        <w:t>,</w:t>
      </w:r>
      <w:r>
        <w:t xml:space="preserve"> at a regional level</w:t>
      </w:r>
      <w:r w:rsidR="00362A9F">
        <w:t>,</w:t>
      </w:r>
      <w:r>
        <w:t xml:space="preserve"> due to the low number of samples. </w:t>
      </w:r>
      <w:r w:rsidR="00362A9F">
        <w:t>Additionally</w:t>
      </w:r>
      <w:r>
        <w:t xml:space="preserve"> </w:t>
      </w:r>
      <w:r w:rsidR="00362A9F">
        <w:t xml:space="preserve">plume </w:t>
      </w:r>
      <w:r>
        <w:t>samples collected in Cape York form part of a larger study and will be reported on separately</w:t>
      </w:r>
      <w:r w:rsidR="005031BD">
        <w:t xml:space="preserve"> (Howley et al., 2015)</w:t>
      </w:r>
      <w:r>
        <w:t xml:space="preserve">. Burnett-Mary samples were taken as part of </w:t>
      </w:r>
      <w:r w:rsidR="00362A9F">
        <w:t>an</w:t>
      </w:r>
      <w:r>
        <w:t xml:space="preserve"> integrated monitoring exercise with the Burnett Mary Regional Group, and has been reported elsewhere </w:t>
      </w:r>
      <w:r>
        <w:fldChar w:fldCharType="begin"/>
      </w:r>
      <w:r>
        <w:instrText xml:space="preserve"> ADDIN EN.CITE &lt;EndNote&gt;&lt;Cite&gt;&lt;Author&gt;Da Silva&lt;/Author&gt;&lt;Year&gt;2013&lt;/Year&gt;&lt;RecNum&gt;1153&lt;/RecNum&gt;&lt;DisplayText&gt;(Da Silva et al., 2013)&lt;/DisplayText&gt;&lt;record&gt;&lt;rec-number&gt;1153&lt;/rec-number&gt;&lt;foreign-keys&gt;&lt;key app="EN" db-id="wwzpfssaux292keptesxd5t6srsfvpzsde2p"&gt;1153&lt;/key&gt;&lt;/foreign-keys&gt;&lt;ref-type name="Report"&gt;27&lt;/ref-type&gt;&lt;contributors&gt;&lt;authors&gt;&lt;author&gt;Da Silva, ET&lt;/author&gt;&lt;author&gt;Devlin, M&lt;/author&gt;&lt;author&gt;Wenger, A&lt;/author&gt;&lt;author&gt;Petus, C&lt;/author&gt;&lt;/authors&gt;&lt;/contributors&gt;&lt;titles&gt;&lt;title&gt;Burnett-‐Mary Wet Season 2012-‐2013: Water Quality Data Sampling, Analysis and Comparison against Wet Season 2010-‐2011 data&lt;/title&gt;&lt;secondary-title&gt;Centre for Tropical Water &amp;amp; Aquatic Ecosystems Research (TropWater) Publications&lt;/secondary-title&gt;&lt;/titles&gt;&lt;pages&gt;31&lt;/pages&gt;&lt;dates&gt;&lt;year&gt;2013&lt;/year&gt;&lt;/dates&gt;&lt;pub-location&gt;James Cook University, Townsville&lt;/pub-location&gt;&lt;publisher&gt;JCU&lt;/publisher&gt;&lt;urls&gt;&lt;/urls&gt;&lt;/record&gt;&lt;/Cite&gt;&lt;/EndNote&gt;</w:instrText>
      </w:r>
      <w:r>
        <w:fldChar w:fldCharType="separate"/>
      </w:r>
      <w:r>
        <w:rPr>
          <w:noProof/>
        </w:rPr>
        <w:t>(</w:t>
      </w:r>
      <w:hyperlink w:anchor="_ENREF_14" w:tooltip="Da Silva, 2013 #1153" w:history="1">
        <w:r w:rsidR="00F46A03">
          <w:rPr>
            <w:noProof/>
          </w:rPr>
          <w:t>da Silva et al., 2013</w:t>
        </w:r>
      </w:hyperlink>
      <w:r>
        <w:rPr>
          <w:noProof/>
        </w:rPr>
        <w:t>)</w:t>
      </w:r>
      <w:r>
        <w:fldChar w:fldCharType="end"/>
      </w:r>
      <w:r w:rsidR="00F46A03">
        <w:t>.</w:t>
      </w:r>
      <w:r>
        <w:t xml:space="preserve"> Water quality reporting will focus on the samples collected in 2012-2013 in the Tully, Herbert and Burdekin rivers </w:t>
      </w:r>
      <w:r w:rsidR="007A6C72">
        <w:t>(</w:t>
      </w:r>
      <w:r>
        <w:fldChar w:fldCharType="begin"/>
      </w:r>
      <w:r>
        <w:instrText xml:space="preserve"> REF _Ref428873590 \h </w:instrText>
      </w:r>
      <w:r>
        <w:fldChar w:fldCharType="separate"/>
      </w:r>
      <w:r w:rsidR="00B62B50">
        <w:t xml:space="preserve">Table </w:t>
      </w:r>
      <w:r w:rsidR="00B62B50">
        <w:rPr>
          <w:noProof/>
        </w:rPr>
        <w:t>4</w:t>
      </w:r>
      <w:r w:rsidR="00B62B50">
        <w:noBreakHyphen/>
      </w:r>
      <w:r w:rsidR="00B62B50">
        <w:rPr>
          <w:noProof/>
        </w:rPr>
        <w:t>1</w:t>
      </w:r>
      <w:r>
        <w:fldChar w:fldCharType="end"/>
      </w:r>
      <w:r>
        <w:t xml:space="preserve">). </w:t>
      </w:r>
    </w:p>
    <w:p w14:paraId="0C3F7FA8" w14:textId="77777777" w:rsidR="0015270F" w:rsidRDefault="0015270F" w:rsidP="0015270F">
      <w:pPr>
        <w:pStyle w:val="Caption"/>
      </w:pPr>
      <w:bookmarkStart w:id="96" w:name="_Ref428873590"/>
      <w:bookmarkStart w:id="97" w:name="_Toc434208068"/>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1</w:t>
      </w:r>
      <w:r w:rsidR="00AE4287">
        <w:fldChar w:fldCharType="end"/>
      </w:r>
      <w:bookmarkEnd w:id="96"/>
      <w:r>
        <w:t>: Summary of the sampling effort carried out in the 2012-13 wet season campaign by NRM, presenting the number of field trips, sites sampled and the sampling period for each river visited within each NRMs.</w:t>
      </w:r>
      <w:bookmarkEnd w:id="97"/>
    </w:p>
    <w:tbl>
      <w:tblPr>
        <w:tblW w:w="7827" w:type="dxa"/>
        <w:tblInd w:w="93" w:type="dxa"/>
        <w:tblLook w:val="04A0" w:firstRow="1" w:lastRow="0" w:firstColumn="1" w:lastColumn="0" w:noHBand="0" w:noVBand="1"/>
      </w:tblPr>
      <w:tblGrid>
        <w:gridCol w:w="1249"/>
        <w:gridCol w:w="1919"/>
        <w:gridCol w:w="912"/>
        <w:gridCol w:w="1149"/>
        <w:gridCol w:w="1299"/>
        <w:gridCol w:w="1299"/>
      </w:tblGrid>
      <w:tr w:rsidR="007A6C72" w:rsidRPr="0015270F" w14:paraId="0C3F7FB0" w14:textId="77777777" w:rsidTr="007A6C72">
        <w:trPr>
          <w:trHeight w:val="20"/>
        </w:trPr>
        <w:tc>
          <w:tcPr>
            <w:tcW w:w="1249" w:type="dxa"/>
            <w:tcBorders>
              <w:top w:val="single" w:sz="4" w:space="0" w:color="auto"/>
              <w:left w:val="nil"/>
              <w:bottom w:val="single" w:sz="4" w:space="0" w:color="auto"/>
              <w:right w:val="nil"/>
            </w:tcBorders>
            <w:shd w:val="clear" w:color="auto" w:fill="auto"/>
            <w:noWrap/>
            <w:vAlign w:val="center"/>
            <w:hideMark/>
          </w:tcPr>
          <w:p w14:paraId="0C3F7FA9" w14:textId="77777777" w:rsidR="007A6C72" w:rsidRPr="0015270F" w:rsidRDefault="007A6C72" w:rsidP="0015270F">
            <w:pPr>
              <w:spacing w:before="0" w:after="0"/>
              <w:rPr>
                <w:rStyle w:val="BookTitle"/>
              </w:rPr>
            </w:pPr>
            <w:r w:rsidRPr="0015270F">
              <w:rPr>
                <w:rStyle w:val="BookTitle"/>
              </w:rPr>
              <w:t>NRM</w:t>
            </w:r>
          </w:p>
        </w:tc>
        <w:tc>
          <w:tcPr>
            <w:tcW w:w="1919" w:type="dxa"/>
            <w:tcBorders>
              <w:top w:val="single" w:sz="4" w:space="0" w:color="auto"/>
              <w:left w:val="nil"/>
              <w:bottom w:val="single" w:sz="4" w:space="0" w:color="auto"/>
              <w:right w:val="nil"/>
            </w:tcBorders>
            <w:shd w:val="clear" w:color="auto" w:fill="auto"/>
            <w:noWrap/>
            <w:vAlign w:val="center"/>
            <w:hideMark/>
          </w:tcPr>
          <w:p w14:paraId="0C3F7FAA" w14:textId="77777777" w:rsidR="007A6C72" w:rsidRPr="0015270F" w:rsidRDefault="007A6C72" w:rsidP="0015270F">
            <w:pPr>
              <w:spacing w:before="0" w:after="0"/>
              <w:rPr>
                <w:rStyle w:val="BookTitle"/>
              </w:rPr>
            </w:pPr>
            <w:r w:rsidRPr="0015270F">
              <w:rPr>
                <w:rStyle w:val="BookTitle"/>
              </w:rPr>
              <w:t>River</w:t>
            </w:r>
          </w:p>
        </w:tc>
        <w:tc>
          <w:tcPr>
            <w:tcW w:w="912" w:type="dxa"/>
            <w:tcBorders>
              <w:top w:val="single" w:sz="4" w:space="0" w:color="auto"/>
              <w:left w:val="nil"/>
              <w:bottom w:val="single" w:sz="4" w:space="0" w:color="auto"/>
              <w:right w:val="nil"/>
            </w:tcBorders>
            <w:shd w:val="clear" w:color="auto" w:fill="auto"/>
            <w:vAlign w:val="center"/>
            <w:hideMark/>
          </w:tcPr>
          <w:p w14:paraId="0C3F7FAB" w14:textId="77777777" w:rsidR="007A6C72" w:rsidRPr="0015270F" w:rsidRDefault="007A6C72" w:rsidP="0015270F">
            <w:pPr>
              <w:spacing w:before="0" w:after="0"/>
              <w:rPr>
                <w:rStyle w:val="BookTitle"/>
              </w:rPr>
            </w:pPr>
            <w:r w:rsidRPr="0015270F">
              <w:rPr>
                <w:rStyle w:val="BookTitle"/>
              </w:rPr>
              <w:t>No. of Field Trips</w:t>
            </w:r>
          </w:p>
        </w:tc>
        <w:tc>
          <w:tcPr>
            <w:tcW w:w="1149" w:type="dxa"/>
            <w:tcBorders>
              <w:top w:val="single" w:sz="4" w:space="0" w:color="auto"/>
              <w:left w:val="nil"/>
              <w:bottom w:val="single" w:sz="4" w:space="0" w:color="auto"/>
              <w:right w:val="nil"/>
            </w:tcBorders>
            <w:shd w:val="clear" w:color="auto" w:fill="auto"/>
            <w:vAlign w:val="center"/>
            <w:hideMark/>
          </w:tcPr>
          <w:p w14:paraId="0C3F7FAC" w14:textId="77777777" w:rsidR="007A6C72" w:rsidRPr="0015270F" w:rsidRDefault="007A6C72" w:rsidP="0015270F">
            <w:pPr>
              <w:spacing w:before="0" w:after="0"/>
              <w:rPr>
                <w:rStyle w:val="BookTitle"/>
              </w:rPr>
            </w:pPr>
            <w:r w:rsidRPr="0015270F">
              <w:rPr>
                <w:rStyle w:val="BookTitle"/>
              </w:rPr>
              <w:t>No. of Sites</w:t>
            </w:r>
          </w:p>
        </w:tc>
        <w:tc>
          <w:tcPr>
            <w:tcW w:w="1299" w:type="dxa"/>
            <w:tcBorders>
              <w:top w:val="single" w:sz="4" w:space="0" w:color="auto"/>
              <w:left w:val="nil"/>
              <w:bottom w:val="single" w:sz="4" w:space="0" w:color="auto"/>
              <w:right w:val="nil"/>
            </w:tcBorders>
            <w:shd w:val="clear" w:color="auto" w:fill="auto"/>
            <w:vAlign w:val="center"/>
            <w:hideMark/>
          </w:tcPr>
          <w:p w14:paraId="0C3F7FAD" w14:textId="77777777" w:rsidR="007A6C72" w:rsidRPr="0015270F" w:rsidRDefault="007A6C72" w:rsidP="0015270F">
            <w:pPr>
              <w:spacing w:before="0" w:after="0"/>
              <w:rPr>
                <w:rStyle w:val="BookTitle"/>
              </w:rPr>
            </w:pPr>
            <w:r w:rsidRPr="0015270F">
              <w:rPr>
                <w:rStyle w:val="BookTitle"/>
              </w:rPr>
              <w:t>Start Date – 2013/2014</w:t>
            </w:r>
          </w:p>
        </w:tc>
        <w:tc>
          <w:tcPr>
            <w:tcW w:w="1299" w:type="dxa"/>
            <w:tcBorders>
              <w:top w:val="single" w:sz="4" w:space="0" w:color="auto"/>
              <w:left w:val="nil"/>
              <w:bottom w:val="single" w:sz="4" w:space="0" w:color="auto"/>
              <w:right w:val="nil"/>
            </w:tcBorders>
            <w:shd w:val="clear" w:color="auto" w:fill="auto"/>
            <w:vAlign w:val="center"/>
            <w:hideMark/>
          </w:tcPr>
          <w:p w14:paraId="0C3F7FAE" w14:textId="77777777" w:rsidR="007A6C72" w:rsidRPr="0015270F" w:rsidRDefault="007A6C72" w:rsidP="0015270F">
            <w:pPr>
              <w:spacing w:before="0" w:after="0"/>
              <w:rPr>
                <w:rStyle w:val="BookTitle"/>
              </w:rPr>
            </w:pPr>
            <w:r w:rsidRPr="0015270F">
              <w:rPr>
                <w:rStyle w:val="BookTitle"/>
              </w:rPr>
              <w:t>End Date</w:t>
            </w:r>
          </w:p>
          <w:p w14:paraId="0C3F7FAF" w14:textId="77777777" w:rsidR="007A6C72" w:rsidRPr="0015270F" w:rsidRDefault="007A6C72" w:rsidP="0015270F">
            <w:pPr>
              <w:spacing w:before="0" w:after="0"/>
              <w:rPr>
                <w:rStyle w:val="BookTitle"/>
              </w:rPr>
            </w:pPr>
            <w:r w:rsidRPr="0015270F">
              <w:rPr>
                <w:rStyle w:val="BookTitle"/>
              </w:rPr>
              <w:t>2013/2014</w:t>
            </w:r>
          </w:p>
        </w:tc>
      </w:tr>
      <w:tr w:rsidR="007A6C72" w:rsidRPr="0015270F" w14:paraId="0C3F7FB7" w14:textId="77777777" w:rsidTr="007A6C72">
        <w:trPr>
          <w:trHeight w:val="20"/>
        </w:trPr>
        <w:tc>
          <w:tcPr>
            <w:tcW w:w="1249" w:type="dxa"/>
            <w:vMerge w:val="restart"/>
            <w:tcBorders>
              <w:top w:val="nil"/>
              <w:left w:val="nil"/>
              <w:bottom w:val="single" w:sz="4" w:space="0" w:color="000000"/>
              <w:right w:val="nil"/>
            </w:tcBorders>
            <w:shd w:val="clear" w:color="auto" w:fill="auto"/>
            <w:noWrap/>
            <w:vAlign w:val="center"/>
            <w:hideMark/>
          </w:tcPr>
          <w:p w14:paraId="0C3F7FB1" w14:textId="77777777" w:rsidR="007A6C72" w:rsidRPr="0015270F" w:rsidRDefault="007A6C72" w:rsidP="0015270F">
            <w:pPr>
              <w:spacing w:before="0" w:after="0"/>
              <w:rPr>
                <w:rStyle w:val="BookTitle"/>
              </w:rPr>
            </w:pPr>
            <w:r w:rsidRPr="0015270F">
              <w:rPr>
                <w:rStyle w:val="BookTitle"/>
              </w:rPr>
              <w:t>Wet Tropics</w:t>
            </w:r>
          </w:p>
        </w:tc>
        <w:tc>
          <w:tcPr>
            <w:tcW w:w="1919" w:type="dxa"/>
            <w:tcBorders>
              <w:top w:val="nil"/>
              <w:left w:val="nil"/>
              <w:bottom w:val="nil"/>
              <w:right w:val="nil"/>
            </w:tcBorders>
            <w:shd w:val="clear" w:color="auto" w:fill="auto"/>
            <w:noWrap/>
            <w:vAlign w:val="center"/>
            <w:hideMark/>
          </w:tcPr>
          <w:p w14:paraId="0C3F7FB2" w14:textId="77777777" w:rsidR="007A6C72" w:rsidRPr="0015270F" w:rsidRDefault="007A6C72" w:rsidP="0015270F">
            <w:pPr>
              <w:spacing w:before="0" w:after="0"/>
              <w:rPr>
                <w:rStyle w:val="BookTitle"/>
              </w:rPr>
            </w:pPr>
            <w:r w:rsidRPr="0015270F">
              <w:rPr>
                <w:rStyle w:val="BookTitle"/>
              </w:rPr>
              <w:t>Daintree/Mossman</w:t>
            </w:r>
          </w:p>
        </w:tc>
        <w:tc>
          <w:tcPr>
            <w:tcW w:w="912" w:type="dxa"/>
            <w:tcBorders>
              <w:top w:val="nil"/>
              <w:left w:val="nil"/>
              <w:bottom w:val="nil"/>
              <w:right w:val="nil"/>
            </w:tcBorders>
            <w:shd w:val="clear" w:color="auto" w:fill="auto"/>
            <w:noWrap/>
            <w:vAlign w:val="center"/>
            <w:hideMark/>
          </w:tcPr>
          <w:p w14:paraId="0C3F7FB3" w14:textId="77777777" w:rsidR="007A6C72" w:rsidRPr="0015270F" w:rsidRDefault="007A6C72" w:rsidP="0015270F">
            <w:pPr>
              <w:spacing w:before="0" w:after="0"/>
              <w:rPr>
                <w:rStyle w:val="BookTitle"/>
              </w:rPr>
            </w:pPr>
            <w:r w:rsidRPr="0015270F">
              <w:rPr>
                <w:rStyle w:val="BookTitle"/>
              </w:rPr>
              <w:t>1</w:t>
            </w:r>
          </w:p>
        </w:tc>
        <w:tc>
          <w:tcPr>
            <w:tcW w:w="1149" w:type="dxa"/>
            <w:tcBorders>
              <w:top w:val="nil"/>
              <w:left w:val="nil"/>
              <w:bottom w:val="nil"/>
              <w:right w:val="nil"/>
            </w:tcBorders>
            <w:shd w:val="clear" w:color="auto" w:fill="auto"/>
            <w:noWrap/>
            <w:vAlign w:val="center"/>
            <w:hideMark/>
          </w:tcPr>
          <w:p w14:paraId="0C3F7FB4" w14:textId="77777777" w:rsidR="007A6C72" w:rsidRPr="0015270F" w:rsidRDefault="007A6C72" w:rsidP="0015270F">
            <w:pPr>
              <w:spacing w:before="0" w:after="0"/>
              <w:rPr>
                <w:rStyle w:val="BookTitle"/>
              </w:rPr>
            </w:pPr>
            <w:r w:rsidRPr="0015270F">
              <w:rPr>
                <w:rStyle w:val="BookTitle"/>
              </w:rPr>
              <w:t>5</w:t>
            </w:r>
          </w:p>
        </w:tc>
        <w:tc>
          <w:tcPr>
            <w:tcW w:w="1299" w:type="dxa"/>
            <w:tcBorders>
              <w:top w:val="nil"/>
              <w:left w:val="nil"/>
              <w:bottom w:val="nil"/>
              <w:right w:val="nil"/>
            </w:tcBorders>
            <w:shd w:val="clear" w:color="auto" w:fill="auto"/>
            <w:noWrap/>
            <w:vAlign w:val="center"/>
            <w:hideMark/>
          </w:tcPr>
          <w:p w14:paraId="0C3F7FB5" w14:textId="77777777" w:rsidR="007A6C72" w:rsidRPr="0015270F" w:rsidRDefault="007A6C72" w:rsidP="0015270F">
            <w:pPr>
              <w:spacing w:before="0" w:after="0"/>
              <w:rPr>
                <w:rStyle w:val="BookTitle"/>
              </w:rPr>
            </w:pPr>
            <w:r w:rsidRPr="0015270F">
              <w:rPr>
                <w:rStyle w:val="BookTitle"/>
              </w:rPr>
              <w:t>30/11/2012</w:t>
            </w:r>
          </w:p>
        </w:tc>
        <w:tc>
          <w:tcPr>
            <w:tcW w:w="1299" w:type="dxa"/>
            <w:tcBorders>
              <w:top w:val="nil"/>
              <w:left w:val="nil"/>
              <w:bottom w:val="nil"/>
              <w:right w:val="nil"/>
            </w:tcBorders>
            <w:shd w:val="clear" w:color="auto" w:fill="auto"/>
            <w:noWrap/>
            <w:vAlign w:val="center"/>
            <w:hideMark/>
          </w:tcPr>
          <w:p w14:paraId="0C3F7FB6" w14:textId="77777777" w:rsidR="007A6C72" w:rsidRPr="0015270F" w:rsidRDefault="007A6C72" w:rsidP="0015270F">
            <w:pPr>
              <w:spacing w:before="0" w:after="0"/>
              <w:rPr>
                <w:rStyle w:val="BookTitle"/>
              </w:rPr>
            </w:pPr>
            <w:r w:rsidRPr="0015270F">
              <w:rPr>
                <w:rStyle w:val="BookTitle"/>
              </w:rPr>
              <w:t>02/02/2013</w:t>
            </w:r>
          </w:p>
        </w:tc>
      </w:tr>
      <w:tr w:rsidR="007A6C72" w:rsidRPr="0015270F" w14:paraId="0C3F7FBE" w14:textId="77777777" w:rsidTr="007A6C72">
        <w:trPr>
          <w:trHeight w:val="20"/>
        </w:trPr>
        <w:tc>
          <w:tcPr>
            <w:tcW w:w="1249" w:type="dxa"/>
            <w:vMerge/>
            <w:tcBorders>
              <w:top w:val="nil"/>
              <w:left w:val="nil"/>
              <w:bottom w:val="single" w:sz="4" w:space="0" w:color="000000"/>
              <w:right w:val="nil"/>
            </w:tcBorders>
            <w:vAlign w:val="center"/>
            <w:hideMark/>
          </w:tcPr>
          <w:p w14:paraId="0C3F7FB8" w14:textId="77777777" w:rsidR="007A6C72" w:rsidRPr="0015270F" w:rsidRDefault="007A6C72" w:rsidP="0015270F">
            <w:pPr>
              <w:spacing w:before="0" w:after="0"/>
              <w:rPr>
                <w:rStyle w:val="BookTitle"/>
              </w:rPr>
            </w:pPr>
          </w:p>
        </w:tc>
        <w:tc>
          <w:tcPr>
            <w:tcW w:w="1919" w:type="dxa"/>
            <w:tcBorders>
              <w:top w:val="nil"/>
              <w:left w:val="nil"/>
              <w:bottom w:val="nil"/>
              <w:right w:val="nil"/>
            </w:tcBorders>
            <w:shd w:val="clear" w:color="auto" w:fill="auto"/>
            <w:noWrap/>
            <w:vAlign w:val="center"/>
            <w:hideMark/>
          </w:tcPr>
          <w:p w14:paraId="0C3F7FB9" w14:textId="77777777" w:rsidR="007A6C72" w:rsidRPr="0015270F" w:rsidRDefault="007A6C72" w:rsidP="0015270F">
            <w:pPr>
              <w:spacing w:before="0" w:after="0"/>
              <w:rPr>
                <w:rStyle w:val="BookTitle"/>
              </w:rPr>
            </w:pPr>
            <w:r w:rsidRPr="0015270F">
              <w:rPr>
                <w:rStyle w:val="BookTitle"/>
              </w:rPr>
              <w:t>Barron</w:t>
            </w:r>
          </w:p>
        </w:tc>
        <w:tc>
          <w:tcPr>
            <w:tcW w:w="912" w:type="dxa"/>
            <w:tcBorders>
              <w:top w:val="nil"/>
              <w:left w:val="nil"/>
              <w:bottom w:val="nil"/>
              <w:right w:val="nil"/>
            </w:tcBorders>
            <w:shd w:val="clear" w:color="auto" w:fill="auto"/>
            <w:noWrap/>
            <w:vAlign w:val="center"/>
            <w:hideMark/>
          </w:tcPr>
          <w:p w14:paraId="0C3F7FBA" w14:textId="77777777" w:rsidR="007A6C72" w:rsidRPr="0015270F" w:rsidRDefault="007A6C72" w:rsidP="0015270F">
            <w:pPr>
              <w:spacing w:before="0" w:after="0"/>
              <w:rPr>
                <w:rStyle w:val="BookTitle"/>
              </w:rPr>
            </w:pPr>
            <w:r w:rsidRPr="0015270F">
              <w:rPr>
                <w:rStyle w:val="BookTitle"/>
              </w:rPr>
              <w:t>1</w:t>
            </w:r>
          </w:p>
        </w:tc>
        <w:tc>
          <w:tcPr>
            <w:tcW w:w="1149" w:type="dxa"/>
            <w:tcBorders>
              <w:top w:val="nil"/>
              <w:left w:val="nil"/>
              <w:bottom w:val="nil"/>
              <w:right w:val="nil"/>
            </w:tcBorders>
            <w:shd w:val="clear" w:color="auto" w:fill="auto"/>
            <w:noWrap/>
            <w:vAlign w:val="center"/>
            <w:hideMark/>
          </w:tcPr>
          <w:p w14:paraId="0C3F7FBB" w14:textId="77777777" w:rsidR="007A6C72" w:rsidRPr="0015270F" w:rsidRDefault="007A6C72" w:rsidP="0015270F">
            <w:pPr>
              <w:spacing w:before="0" w:after="0"/>
              <w:rPr>
                <w:rStyle w:val="BookTitle"/>
              </w:rPr>
            </w:pPr>
            <w:r w:rsidRPr="0015270F">
              <w:rPr>
                <w:rStyle w:val="BookTitle"/>
              </w:rPr>
              <w:t>5</w:t>
            </w:r>
          </w:p>
        </w:tc>
        <w:tc>
          <w:tcPr>
            <w:tcW w:w="1299" w:type="dxa"/>
            <w:tcBorders>
              <w:top w:val="nil"/>
              <w:left w:val="nil"/>
              <w:bottom w:val="nil"/>
              <w:right w:val="nil"/>
            </w:tcBorders>
            <w:shd w:val="clear" w:color="auto" w:fill="auto"/>
            <w:noWrap/>
            <w:vAlign w:val="center"/>
            <w:hideMark/>
          </w:tcPr>
          <w:p w14:paraId="0C3F7FBC" w14:textId="77777777" w:rsidR="007A6C72" w:rsidRPr="0015270F" w:rsidRDefault="007A6C72" w:rsidP="0015270F">
            <w:pPr>
              <w:spacing w:before="0" w:after="0"/>
              <w:rPr>
                <w:rStyle w:val="BookTitle"/>
              </w:rPr>
            </w:pPr>
            <w:r w:rsidRPr="0015270F">
              <w:rPr>
                <w:rStyle w:val="BookTitle"/>
              </w:rPr>
              <w:t>05/12/2012</w:t>
            </w:r>
          </w:p>
        </w:tc>
        <w:tc>
          <w:tcPr>
            <w:tcW w:w="1299" w:type="dxa"/>
            <w:tcBorders>
              <w:top w:val="nil"/>
              <w:left w:val="nil"/>
              <w:bottom w:val="nil"/>
              <w:right w:val="nil"/>
            </w:tcBorders>
            <w:shd w:val="clear" w:color="auto" w:fill="auto"/>
            <w:noWrap/>
            <w:vAlign w:val="center"/>
            <w:hideMark/>
          </w:tcPr>
          <w:p w14:paraId="0C3F7FBD" w14:textId="77777777" w:rsidR="007A6C72" w:rsidRPr="0015270F" w:rsidRDefault="007A6C72" w:rsidP="0015270F">
            <w:pPr>
              <w:spacing w:before="0" w:after="0"/>
              <w:rPr>
                <w:rStyle w:val="BookTitle"/>
              </w:rPr>
            </w:pPr>
            <w:r w:rsidRPr="0015270F">
              <w:rPr>
                <w:rStyle w:val="BookTitle"/>
              </w:rPr>
              <w:t>03/02/2013</w:t>
            </w:r>
          </w:p>
        </w:tc>
      </w:tr>
      <w:tr w:rsidR="007A6C72" w:rsidRPr="0015270F" w14:paraId="0C3F7FC5" w14:textId="77777777" w:rsidTr="007A6C72">
        <w:trPr>
          <w:trHeight w:val="20"/>
        </w:trPr>
        <w:tc>
          <w:tcPr>
            <w:tcW w:w="1249" w:type="dxa"/>
            <w:vMerge/>
            <w:tcBorders>
              <w:top w:val="nil"/>
              <w:left w:val="nil"/>
              <w:bottom w:val="single" w:sz="4" w:space="0" w:color="000000"/>
              <w:right w:val="nil"/>
            </w:tcBorders>
            <w:vAlign w:val="center"/>
            <w:hideMark/>
          </w:tcPr>
          <w:p w14:paraId="0C3F7FBF" w14:textId="77777777" w:rsidR="007A6C72" w:rsidRPr="0015270F" w:rsidRDefault="007A6C72" w:rsidP="0015270F">
            <w:pPr>
              <w:spacing w:before="0" w:after="0"/>
              <w:rPr>
                <w:rStyle w:val="BookTitle"/>
              </w:rPr>
            </w:pPr>
          </w:p>
        </w:tc>
        <w:tc>
          <w:tcPr>
            <w:tcW w:w="1919" w:type="dxa"/>
            <w:tcBorders>
              <w:top w:val="nil"/>
              <w:left w:val="nil"/>
              <w:bottom w:val="nil"/>
              <w:right w:val="nil"/>
            </w:tcBorders>
            <w:shd w:val="clear" w:color="auto" w:fill="auto"/>
            <w:noWrap/>
            <w:vAlign w:val="center"/>
            <w:hideMark/>
          </w:tcPr>
          <w:p w14:paraId="0C3F7FC0" w14:textId="77777777" w:rsidR="007A6C72" w:rsidRPr="0015270F" w:rsidRDefault="007A6C72" w:rsidP="0015270F">
            <w:pPr>
              <w:spacing w:before="0" w:after="0"/>
              <w:rPr>
                <w:rStyle w:val="BookTitle"/>
              </w:rPr>
            </w:pPr>
            <w:r w:rsidRPr="0015270F">
              <w:rPr>
                <w:rStyle w:val="BookTitle"/>
              </w:rPr>
              <w:t>Russell/Mulgrave</w:t>
            </w:r>
          </w:p>
        </w:tc>
        <w:tc>
          <w:tcPr>
            <w:tcW w:w="912" w:type="dxa"/>
            <w:tcBorders>
              <w:top w:val="nil"/>
              <w:left w:val="nil"/>
              <w:bottom w:val="nil"/>
              <w:right w:val="nil"/>
            </w:tcBorders>
            <w:shd w:val="clear" w:color="auto" w:fill="auto"/>
            <w:noWrap/>
            <w:vAlign w:val="center"/>
            <w:hideMark/>
          </w:tcPr>
          <w:p w14:paraId="0C3F7FC1" w14:textId="77777777" w:rsidR="007A6C72" w:rsidRPr="0015270F" w:rsidRDefault="007A6C72" w:rsidP="0015270F">
            <w:pPr>
              <w:spacing w:before="0" w:after="0"/>
              <w:rPr>
                <w:rStyle w:val="BookTitle"/>
              </w:rPr>
            </w:pPr>
            <w:r w:rsidRPr="0015270F">
              <w:rPr>
                <w:rStyle w:val="BookTitle"/>
              </w:rPr>
              <w:t>1</w:t>
            </w:r>
          </w:p>
        </w:tc>
        <w:tc>
          <w:tcPr>
            <w:tcW w:w="1149" w:type="dxa"/>
            <w:tcBorders>
              <w:top w:val="nil"/>
              <w:left w:val="nil"/>
              <w:bottom w:val="nil"/>
              <w:right w:val="nil"/>
            </w:tcBorders>
            <w:shd w:val="clear" w:color="auto" w:fill="auto"/>
            <w:noWrap/>
            <w:vAlign w:val="center"/>
            <w:hideMark/>
          </w:tcPr>
          <w:p w14:paraId="0C3F7FC2" w14:textId="77777777" w:rsidR="007A6C72" w:rsidRPr="0015270F" w:rsidRDefault="00F46A03" w:rsidP="0015270F">
            <w:pPr>
              <w:spacing w:before="0" w:after="0"/>
              <w:rPr>
                <w:rStyle w:val="BookTitle"/>
              </w:rPr>
            </w:pPr>
            <w:r>
              <w:rPr>
                <w:rStyle w:val="BookTitle"/>
              </w:rPr>
              <w:t>7</w:t>
            </w:r>
          </w:p>
        </w:tc>
        <w:tc>
          <w:tcPr>
            <w:tcW w:w="1299" w:type="dxa"/>
            <w:tcBorders>
              <w:top w:val="nil"/>
              <w:left w:val="nil"/>
              <w:bottom w:val="nil"/>
              <w:right w:val="nil"/>
            </w:tcBorders>
            <w:shd w:val="clear" w:color="auto" w:fill="auto"/>
            <w:noWrap/>
            <w:vAlign w:val="center"/>
            <w:hideMark/>
          </w:tcPr>
          <w:p w14:paraId="0C3F7FC3" w14:textId="77777777" w:rsidR="007A6C72" w:rsidRPr="0015270F" w:rsidRDefault="007A6C72" w:rsidP="0015270F">
            <w:pPr>
              <w:spacing w:before="0" w:after="0"/>
              <w:rPr>
                <w:rStyle w:val="BookTitle"/>
              </w:rPr>
            </w:pPr>
            <w:r w:rsidRPr="0015270F">
              <w:rPr>
                <w:rStyle w:val="BookTitle"/>
              </w:rPr>
              <w:t>10/12/2012</w:t>
            </w:r>
          </w:p>
        </w:tc>
        <w:tc>
          <w:tcPr>
            <w:tcW w:w="1299" w:type="dxa"/>
            <w:tcBorders>
              <w:top w:val="nil"/>
              <w:left w:val="nil"/>
              <w:bottom w:val="nil"/>
              <w:right w:val="nil"/>
            </w:tcBorders>
            <w:shd w:val="clear" w:color="auto" w:fill="auto"/>
            <w:noWrap/>
            <w:vAlign w:val="center"/>
            <w:hideMark/>
          </w:tcPr>
          <w:p w14:paraId="0C3F7FC4" w14:textId="77777777" w:rsidR="007A6C72" w:rsidRPr="0015270F" w:rsidRDefault="007A6C72" w:rsidP="0015270F">
            <w:pPr>
              <w:spacing w:before="0" w:after="0"/>
              <w:rPr>
                <w:rStyle w:val="BookTitle"/>
              </w:rPr>
            </w:pPr>
            <w:r w:rsidRPr="0015270F">
              <w:rPr>
                <w:rStyle w:val="BookTitle"/>
              </w:rPr>
              <w:t>03/02/2013</w:t>
            </w:r>
          </w:p>
        </w:tc>
      </w:tr>
      <w:tr w:rsidR="007A6C72" w:rsidRPr="0015270F" w14:paraId="0C3F7FCC" w14:textId="77777777" w:rsidTr="007A6C72">
        <w:trPr>
          <w:trHeight w:val="20"/>
        </w:trPr>
        <w:tc>
          <w:tcPr>
            <w:tcW w:w="1249" w:type="dxa"/>
            <w:vMerge/>
            <w:tcBorders>
              <w:top w:val="nil"/>
              <w:left w:val="nil"/>
              <w:bottom w:val="single" w:sz="4" w:space="0" w:color="000000"/>
              <w:right w:val="nil"/>
            </w:tcBorders>
            <w:vAlign w:val="center"/>
            <w:hideMark/>
          </w:tcPr>
          <w:p w14:paraId="0C3F7FC6" w14:textId="77777777" w:rsidR="007A6C72" w:rsidRPr="0015270F" w:rsidRDefault="007A6C72" w:rsidP="0015270F">
            <w:pPr>
              <w:spacing w:before="0" w:after="0"/>
              <w:rPr>
                <w:rStyle w:val="BookTitle"/>
              </w:rPr>
            </w:pPr>
          </w:p>
        </w:tc>
        <w:tc>
          <w:tcPr>
            <w:tcW w:w="1919" w:type="dxa"/>
            <w:tcBorders>
              <w:top w:val="nil"/>
              <w:left w:val="nil"/>
              <w:bottom w:val="nil"/>
              <w:right w:val="nil"/>
            </w:tcBorders>
            <w:shd w:val="clear" w:color="auto" w:fill="auto"/>
            <w:noWrap/>
            <w:vAlign w:val="center"/>
            <w:hideMark/>
          </w:tcPr>
          <w:p w14:paraId="0C3F7FC7" w14:textId="77777777" w:rsidR="007A6C72" w:rsidRPr="0015270F" w:rsidRDefault="007A6C72" w:rsidP="0015270F">
            <w:pPr>
              <w:spacing w:before="0" w:after="0"/>
              <w:rPr>
                <w:rStyle w:val="BookTitle"/>
              </w:rPr>
            </w:pPr>
            <w:r w:rsidRPr="0015270F">
              <w:rPr>
                <w:rStyle w:val="BookTitle"/>
              </w:rPr>
              <w:t>Tully</w:t>
            </w:r>
          </w:p>
        </w:tc>
        <w:tc>
          <w:tcPr>
            <w:tcW w:w="912" w:type="dxa"/>
            <w:tcBorders>
              <w:top w:val="nil"/>
              <w:left w:val="nil"/>
              <w:bottom w:val="nil"/>
              <w:right w:val="nil"/>
            </w:tcBorders>
            <w:shd w:val="clear" w:color="auto" w:fill="auto"/>
            <w:noWrap/>
            <w:vAlign w:val="center"/>
            <w:hideMark/>
          </w:tcPr>
          <w:p w14:paraId="0C3F7FC8" w14:textId="77777777" w:rsidR="007A6C72" w:rsidRPr="0015270F" w:rsidRDefault="007A6C72" w:rsidP="0015270F">
            <w:pPr>
              <w:spacing w:before="0" w:after="0"/>
              <w:rPr>
                <w:rStyle w:val="BookTitle"/>
              </w:rPr>
            </w:pPr>
            <w:r w:rsidRPr="0015270F">
              <w:rPr>
                <w:rStyle w:val="BookTitle"/>
              </w:rPr>
              <w:t>4</w:t>
            </w:r>
          </w:p>
        </w:tc>
        <w:tc>
          <w:tcPr>
            <w:tcW w:w="1149" w:type="dxa"/>
            <w:tcBorders>
              <w:top w:val="nil"/>
              <w:left w:val="nil"/>
              <w:bottom w:val="nil"/>
              <w:right w:val="nil"/>
            </w:tcBorders>
            <w:shd w:val="clear" w:color="auto" w:fill="auto"/>
            <w:noWrap/>
            <w:vAlign w:val="center"/>
            <w:hideMark/>
          </w:tcPr>
          <w:p w14:paraId="0C3F7FC9" w14:textId="77777777" w:rsidR="007A6C72" w:rsidRPr="0015270F" w:rsidRDefault="00F46A03" w:rsidP="00F46A03">
            <w:pPr>
              <w:spacing w:before="0" w:after="0"/>
              <w:rPr>
                <w:rStyle w:val="BookTitle"/>
              </w:rPr>
            </w:pPr>
            <w:r w:rsidRPr="0015270F">
              <w:rPr>
                <w:rStyle w:val="BookTitle"/>
              </w:rPr>
              <w:t>4</w:t>
            </w:r>
            <w:r>
              <w:rPr>
                <w:rStyle w:val="BookTitle"/>
              </w:rPr>
              <w:t>3</w:t>
            </w:r>
          </w:p>
        </w:tc>
        <w:tc>
          <w:tcPr>
            <w:tcW w:w="1299" w:type="dxa"/>
            <w:tcBorders>
              <w:top w:val="nil"/>
              <w:left w:val="nil"/>
              <w:bottom w:val="nil"/>
              <w:right w:val="nil"/>
            </w:tcBorders>
            <w:shd w:val="clear" w:color="auto" w:fill="auto"/>
            <w:noWrap/>
            <w:vAlign w:val="center"/>
            <w:hideMark/>
          </w:tcPr>
          <w:p w14:paraId="0C3F7FCA" w14:textId="77777777" w:rsidR="007A6C72" w:rsidRPr="0015270F" w:rsidRDefault="007A6C72" w:rsidP="0015270F">
            <w:pPr>
              <w:spacing w:before="0" w:after="0"/>
              <w:rPr>
                <w:rStyle w:val="BookTitle"/>
              </w:rPr>
            </w:pPr>
            <w:r w:rsidRPr="0015270F">
              <w:rPr>
                <w:rStyle w:val="BookTitle"/>
              </w:rPr>
              <w:t>10/11/2012</w:t>
            </w:r>
          </w:p>
        </w:tc>
        <w:tc>
          <w:tcPr>
            <w:tcW w:w="1299" w:type="dxa"/>
            <w:tcBorders>
              <w:top w:val="nil"/>
              <w:left w:val="nil"/>
              <w:bottom w:val="nil"/>
              <w:right w:val="nil"/>
            </w:tcBorders>
            <w:shd w:val="clear" w:color="auto" w:fill="auto"/>
            <w:noWrap/>
            <w:vAlign w:val="center"/>
            <w:hideMark/>
          </w:tcPr>
          <w:p w14:paraId="0C3F7FCB" w14:textId="77777777" w:rsidR="007A6C72" w:rsidRPr="0015270F" w:rsidRDefault="007A6C72" w:rsidP="0015270F">
            <w:pPr>
              <w:spacing w:before="0" w:after="0"/>
              <w:rPr>
                <w:rStyle w:val="BookTitle"/>
              </w:rPr>
            </w:pPr>
            <w:r w:rsidRPr="0015270F">
              <w:rPr>
                <w:rStyle w:val="BookTitle"/>
              </w:rPr>
              <w:t>16/04/2013</w:t>
            </w:r>
          </w:p>
        </w:tc>
      </w:tr>
      <w:tr w:rsidR="007A6C72" w:rsidRPr="0015270F" w14:paraId="0C3F7FD3" w14:textId="77777777" w:rsidTr="007A6C72">
        <w:trPr>
          <w:trHeight w:val="20"/>
        </w:trPr>
        <w:tc>
          <w:tcPr>
            <w:tcW w:w="1249" w:type="dxa"/>
            <w:vMerge/>
            <w:tcBorders>
              <w:top w:val="nil"/>
              <w:left w:val="nil"/>
              <w:bottom w:val="single" w:sz="4" w:space="0" w:color="000000"/>
              <w:right w:val="nil"/>
            </w:tcBorders>
            <w:vAlign w:val="center"/>
            <w:hideMark/>
          </w:tcPr>
          <w:p w14:paraId="0C3F7FCD" w14:textId="77777777" w:rsidR="007A6C72" w:rsidRPr="0015270F" w:rsidRDefault="007A6C72" w:rsidP="0015270F">
            <w:pPr>
              <w:spacing w:before="0" w:after="0"/>
              <w:rPr>
                <w:rStyle w:val="BookTitle"/>
              </w:rPr>
            </w:pPr>
          </w:p>
        </w:tc>
        <w:tc>
          <w:tcPr>
            <w:tcW w:w="1919" w:type="dxa"/>
            <w:tcBorders>
              <w:top w:val="nil"/>
              <w:left w:val="nil"/>
              <w:right w:val="nil"/>
            </w:tcBorders>
            <w:shd w:val="clear" w:color="auto" w:fill="auto"/>
            <w:noWrap/>
            <w:vAlign w:val="center"/>
            <w:hideMark/>
          </w:tcPr>
          <w:p w14:paraId="0C3F7FCE" w14:textId="77777777" w:rsidR="007A6C72" w:rsidRPr="0015270F" w:rsidRDefault="007A6C72" w:rsidP="0015270F">
            <w:pPr>
              <w:spacing w:before="0" w:after="0"/>
              <w:rPr>
                <w:rStyle w:val="BookTitle"/>
              </w:rPr>
            </w:pPr>
            <w:r w:rsidRPr="0015270F">
              <w:rPr>
                <w:rStyle w:val="BookTitle"/>
              </w:rPr>
              <w:t>Northern Herbert</w:t>
            </w:r>
          </w:p>
        </w:tc>
        <w:tc>
          <w:tcPr>
            <w:tcW w:w="912" w:type="dxa"/>
            <w:tcBorders>
              <w:top w:val="nil"/>
              <w:left w:val="nil"/>
              <w:right w:val="nil"/>
            </w:tcBorders>
            <w:shd w:val="clear" w:color="auto" w:fill="auto"/>
            <w:noWrap/>
            <w:vAlign w:val="center"/>
            <w:hideMark/>
          </w:tcPr>
          <w:p w14:paraId="0C3F7FCF" w14:textId="77777777" w:rsidR="007A6C72" w:rsidRPr="0015270F" w:rsidRDefault="007A6C72" w:rsidP="0015270F">
            <w:pPr>
              <w:spacing w:before="0" w:after="0"/>
              <w:rPr>
                <w:rStyle w:val="BookTitle"/>
              </w:rPr>
            </w:pPr>
            <w:r w:rsidRPr="0015270F">
              <w:rPr>
                <w:rStyle w:val="BookTitle"/>
              </w:rPr>
              <w:t>2</w:t>
            </w:r>
          </w:p>
        </w:tc>
        <w:tc>
          <w:tcPr>
            <w:tcW w:w="1149" w:type="dxa"/>
            <w:tcBorders>
              <w:top w:val="nil"/>
              <w:left w:val="nil"/>
              <w:right w:val="nil"/>
            </w:tcBorders>
            <w:shd w:val="clear" w:color="auto" w:fill="auto"/>
            <w:noWrap/>
            <w:vAlign w:val="center"/>
            <w:hideMark/>
          </w:tcPr>
          <w:p w14:paraId="0C3F7FD0" w14:textId="77777777" w:rsidR="007A6C72" w:rsidRPr="0015270F" w:rsidRDefault="007A6C72" w:rsidP="0015270F">
            <w:pPr>
              <w:spacing w:before="0" w:after="0"/>
              <w:rPr>
                <w:rStyle w:val="BookTitle"/>
              </w:rPr>
            </w:pPr>
            <w:r w:rsidRPr="0015270F">
              <w:rPr>
                <w:rStyle w:val="BookTitle"/>
              </w:rPr>
              <w:t>12</w:t>
            </w:r>
          </w:p>
        </w:tc>
        <w:tc>
          <w:tcPr>
            <w:tcW w:w="1299" w:type="dxa"/>
            <w:tcBorders>
              <w:top w:val="nil"/>
              <w:left w:val="nil"/>
              <w:right w:val="nil"/>
            </w:tcBorders>
            <w:shd w:val="clear" w:color="auto" w:fill="auto"/>
            <w:noWrap/>
            <w:vAlign w:val="center"/>
            <w:hideMark/>
          </w:tcPr>
          <w:p w14:paraId="0C3F7FD1" w14:textId="77777777" w:rsidR="007A6C72" w:rsidRPr="0015270F" w:rsidRDefault="007A6C72" w:rsidP="0015270F">
            <w:pPr>
              <w:spacing w:before="0" w:after="0"/>
              <w:rPr>
                <w:rStyle w:val="BookTitle"/>
              </w:rPr>
            </w:pPr>
            <w:r w:rsidRPr="0015270F">
              <w:rPr>
                <w:rStyle w:val="BookTitle"/>
              </w:rPr>
              <w:t>16/01/2013</w:t>
            </w:r>
          </w:p>
        </w:tc>
        <w:tc>
          <w:tcPr>
            <w:tcW w:w="1299" w:type="dxa"/>
            <w:tcBorders>
              <w:top w:val="nil"/>
              <w:left w:val="nil"/>
              <w:right w:val="nil"/>
            </w:tcBorders>
            <w:shd w:val="clear" w:color="auto" w:fill="auto"/>
            <w:noWrap/>
            <w:vAlign w:val="center"/>
            <w:hideMark/>
          </w:tcPr>
          <w:p w14:paraId="0C3F7FD2" w14:textId="77777777" w:rsidR="007A6C72" w:rsidRPr="0015270F" w:rsidRDefault="007A6C72" w:rsidP="0015270F">
            <w:pPr>
              <w:spacing w:before="0" w:after="0"/>
              <w:rPr>
                <w:rStyle w:val="BookTitle"/>
              </w:rPr>
            </w:pPr>
            <w:r w:rsidRPr="0015270F">
              <w:rPr>
                <w:rStyle w:val="BookTitle"/>
              </w:rPr>
              <w:t>25/03/2013</w:t>
            </w:r>
          </w:p>
        </w:tc>
      </w:tr>
      <w:tr w:rsidR="007A6C72" w:rsidRPr="0015270F" w14:paraId="0C3F7FDA" w14:textId="77777777" w:rsidTr="007A6C72">
        <w:trPr>
          <w:trHeight w:val="20"/>
        </w:trPr>
        <w:tc>
          <w:tcPr>
            <w:tcW w:w="1249" w:type="dxa"/>
            <w:vMerge/>
            <w:tcBorders>
              <w:top w:val="nil"/>
              <w:left w:val="nil"/>
              <w:bottom w:val="single" w:sz="4" w:space="0" w:color="000000"/>
              <w:right w:val="nil"/>
            </w:tcBorders>
            <w:vAlign w:val="center"/>
            <w:hideMark/>
          </w:tcPr>
          <w:p w14:paraId="0C3F7FD4" w14:textId="77777777" w:rsidR="007A6C72" w:rsidRPr="0015270F" w:rsidRDefault="007A6C72" w:rsidP="0015270F">
            <w:pPr>
              <w:spacing w:before="0" w:after="0"/>
              <w:rPr>
                <w:rStyle w:val="BookTitle"/>
              </w:rPr>
            </w:pPr>
          </w:p>
        </w:tc>
        <w:tc>
          <w:tcPr>
            <w:tcW w:w="1919" w:type="dxa"/>
            <w:tcBorders>
              <w:top w:val="nil"/>
              <w:left w:val="nil"/>
              <w:bottom w:val="single" w:sz="4" w:space="0" w:color="auto"/>
              <w:right w:val="nil"/>
            </w:tcBorders>
            <w:shd w:val="clear" w:color="auto" w:fill="auto"/>
            <w:noWrap/>
            <w:vAlign w:val="center"/>
            <w:hideMark/>
          </w:tcPr>
          <w:p w14:paraId="0C3F7FD5" w14:textId="77777777" w:rsidR="007A6C72" w:rsidRPr="0015270F" w:rsidRDefault="007A6C72" w:rsidP="0015270F">
            <w:pPr>
              <w:spacing w:before="0" w:after="0"/>
              <w:rPr>
                <w:rStyle w:val="BookTitle"/>
              </w:rPr>
            </w:pPr>
            <w:r w:rsidRPr="0015270F">
              <w:rPr>
                <w:rStyle w:val="BookTitle"/>
              </w:rPr>
              <w:t>Southern Herbert</w:t>
            </w:r>
          </w:p>
        </w:tc>
        <w:tc>
          <w:tcPr>
            <w:tcW w:w="912" w:type="dxa"/>
            <w:tcBorders>
              <w:top w:val="nil"/>
              <w:left w:val="nil"/>
              <w:bottom w:val="single" w:sz="4" w:space="0" w:color="auto"/>
              <w:right w:val="nil"/>
            </w:tcBorders>
            <w:shd w:val="clear" w:color="auto" w:fill="auto"/>
            <w:noWrap/>
            <w:vAlign w:val="center"/>
            <w:hideMark/>
          </w:tcPr>
          <w:p w14:paraId="0C3F7FD6" w14:textId="77777777" w:rsidR="007A6C72" w:rsidRPr="0015270F" w:rsidRDefault="007A6C72" w:rsidP="0015270F">
            <w:pPr>
              <w:spacing w:before="0" w:after="0"/>
              <w:rPr>
                <w:rStyle w:val="BookTitle"/>
              </w:rPr>
            </w:pPr>
            <w:r w:rsidRPr="0015270F">
              <w:rPr>
                <w:rStyle w:val="BookTitle"/>
              </w:rPr>
              <w:t>2</w:t>
            </w:r>
          </w:p>
        </w:tc>
        <w:tc>
          <w:tcPr>
            <w:tcW w:w="1149" w:type="dxa"/>
            <w:tcBorders>
              <w:top w:val="nil"/>
              <w:left w:val="nil"/>
              <w:bottom w:val="single" w:sz="4" w:space="0" w:color="auto"/>
              <w:right w:val="nil"/>
            </w:tcBorders>
            <w:shd w:val="clear" w:color="auto" w:fill="auto"/>
            <w:noWrap/>
            <w:vAlign w:val="center"/>
            <w:hideMark/>
          </w:tcPr>
          <w:p w14:paraId="0C3F7FD7" w14:textId="77777777" w:rsidR="007A6C72" w:rsidRPr="0015270F" w:rsidRDefault="007A6C72" w:rsidP="0015270F">
            <w:pPr>
              <w:spacing w:before="0" w:after="0"/>
              <w:rPr>
                <w:rStyle w:val="BookTitle"/>
              </w:rPr>
            </w:pPr>
            <w:r w:rsidRPr="0015270F">
              <w:rPr>
                <w:rStyle w:val="BookTitle"/>
              </w:rPr>
              <w:t>14</w:t>
            </w:r>
          </w:p>
        </w:tc>
        <w:tc>
          <w:tcPr>
            <w:tcW w:w="1299" w:type="dxa"/>
            <w:tcBorders>
              <w:top w:val="nil"/>
              <w:left w:val="nil"/>
              <w:bottom w:val="single" w:sz="4" w:space="0" w:color="auto"/>
              <w:right w:val="nil"/>
            </w:tcBorders>
            <w:shd w:val="clear" w:color="auto" w:fill="auto"/>
            <w:noWrap/>
            <w:vAlign w:val="center"/>
            <w:hideMark/>
          </w:tcPr>
          <w:p w14:paraId="0C3F7FD8" w14:textId="77777777" w:rsidR="007A6C72" w:rsidRPr="0015270F" w:rsidRDefault="007A6C72" w:rsidP="0015270F">
            <w:pPr>
              <w:spacing w:before="0" w:after="0"/>
              <w:rPr>
                <w:rStyle w:val="BookTitle"/>
              </w:rPr>
            </w:pPr>
            <w:r w:rsidRPr="0015270F">
              <w:rPr>
                <w:rStyle w:val="BookTitle"/>
              </w:rPr>
              <w:t>17/01/2013</w:t>
            </w:r>
          </w:p>
        </w:tc>
        <w:tc>
          <w:tcPr>
            <w:tcW w:w="1299" w:type="dxa"/>
            <w:tcBorders>
              <w:top w:val="nil"/>
              <w:left w:val="nil"/>
              <w:bottom w:val="single" w:sz="4" w:space="0" w:color="auto"/>
              <w:right w:val="nil"/>
            </w:tcBorders>
            <w:shd w:val="clear" w:color="auto" w:fill="auto"/>
            <w:noWrap/>
            <w:vAlign w:val="center"/>
            <w:hideMark/>
          </w:tcPr>
          <w:p w14:paraId="0C3F7FD9" w14:textId="77777777" w:rsidR="007A6C72" w:rsidRPr="0015270F" w:rsidRDefault="007A6C72" w:rsidP="0015270F">
            <w:pPr>
              <w:spacing w:before="0" w:after="0"/>
              <w:rPr>
                <w:rStyle w:val="BookTitle"/>
              </w:rPr>
            </w:pPr>
            <w:r w:rsidRPr="0015270F">
              <w:rPr>
                <w:rStyle w:val="BookTitle"/>
              </w:rPr>
              <w:t>25/03/2013</w:t>
            </w:r>
          </w:p>
        </w:tc>
      </w:tr>
      <w:tr w:rsidR="007A6C72" w:rsidRPr="0015270F" w14:paraId="0C3F7FE1" w14:textId="77777777" w:rsidTr="007A6C72">
        <w:trPr>
          <w:trHeight w:val="20"/>
        </w:trPr>
        <w:tc>
          <w:tcPr>
            <w:tcW w:w="1249" w:type="dxa"/>
            <w:vMerge w:val="restart"/>
            <w:tcBorders>
              <w:top w:val="nil"/>
              <w:left w:val="nil"/>
              <w:right w:val="nil"/>
            </w:tcBorders>
            <w:shd w:val="clear" w:color="auto" w:fill="auto"/>
            <w:noWrap/>
            <w:vAlign w:val="center"/>
            <w:hideMark/>
          </w:tcPr>
          <w:p w14:paraId="0C3F7FDB" w14:textId="77777777" w:rsidR="007A6C72" w:rsidRPr="0015270F" w:rsidRDefault="007A6C72" w:rsidP="0015270F">
            <w:pPr>
              <w:spacing w:before="0" w:after="0"/>
              <w:rPr>
                <w:rStyle w:val="BookTitle"/>
              </w:rPr>
            </w:pPr>
            <w:r w:rsidRPr="0015270F">
              <w:rPr>
                <w:rStyle w:val="BookTitle"/>
              </w:rPr>
              <w:t>Burdekin</w:t>
            </w:r>
          </w:p>
        </w:tc>
        <w:tc>
          <w:tcPr>
            <w:tcW w:w="1919" w:type="dxa"/>
            <w:tcBorders>
              <w:top w:val="single" w:sz="4" w:space="0" w:color="auto"/>
              <w:left w:val="nil"/>
              <w:right w:val="nil"/>
            </w:tcBorders>
            <w:shd w:val="clear" w:color="auto" w:fill="auto"/>
            <w:noWrap/>
            <w:vAlign w:val="center"/>
            <w:hideMark/>
          </w:tcPr>
          <w:p w14:paraId="0C3F7FDC" w14:textId="77777777" w:rsidR="007A6C72" w:rsidRPr="0015270F" w:rsidRDefault="007A6C72" w:rsidP="0015270F">
            <w:pPr>
              <w:spacing w:before="0" w:after="0"/>
              <w:rPr>
                <w:rStyle w:val="BookTitle"/>
              </w:rPr>
            </w:pPr>
            <w:r w:rsidRPr="0015270F">
              <w:rPr>
                <w:rStyle w:val="BookTitle"/>
              </w:rPr>
              <w:t>Burdekin</w:t>
            </w:r>
          </w:p>
        </w:tc>
        <w:tc>
          <w:tcPr>
            <w:tcW w:w="912" w:type="dxa"/>
            <w:tcBorders>
              <w:top w:val="single" w:sz="4" w:space="0" w:color="auto"/>
              <w:left w:val="nil"/>
              <w:right w:val="nil"/>
            </w:tcBorders>
            <w:shd w:val="clear" w:color="auto" w:fill="auto"/>
            <w:noWrap/>
            <w:vAlign w:val="center"/>
            <w:hideMark/>
          </w:tcPr>
          <w:p w14:paraId="0C3F7FDD" w14:textId="77777777" w:rsidR="007A6C72" w:rsidRPr="0015270F" w:rsidRDefault="007A6C72" w:rsidP="0015270F">
            <w:pPr>
              <w:spacing w:before="0" w:after="0"/>
              <w:rPr>
                <w:rStyle w:val="BookTitle"/>
              </w:rPr>
            </w:pPr>
            <w:r w:rsidRPr="0015270F">
              <w:rPr>
                <w:rStyle w:val="BookTitle"/>
              </w:rPr>
              <w:t>1</w:t>
            </w:r>
          </w:p>
        </w:tc>
        <w:tc>
          <w:tcPr>
            <w:tcW w:w="1149" w:type="dxa"/>
            <w:tcBorders>
              <w:top w:val="single" w:sz="4" w:space="0" w:color="auto"/>
              <w:left w:val="nil"/>
              <w:right w:val="nil"/>
            </w:tcBorders>
            <w:shd w:val="clear" w:color="auto" w:fill="auto"/>
            <w:noWrap/>
            <w:vAlign w:val="center"/>
            <w:hideMark/>
          </w:tcPr>
          <w:p w14:paraId="0C3F7FDE" w14:textId="77777777" w:rsidR="007A6C72" w:rsidRPr="0015270F" w:rsidRDefault="00593896" w:rsidP="0015270F">
            <w:pPr>
              <w:spacing w:before="0" w:after="0"/>
              <w:rPr>
                <w:rStyle w:val="BookTitle"/>
              </w:rPr>
            </w:pPr>
            <w:r>
              <w:rPr>
                <w:rStyle w:val="BookTitle"/>
              </w:rPr>
              <w:t>25</w:t>
            </w:r>
          </w:p>
        </w:tc>
        <w:tc>
          <w:tcPr>
            <w:tcW w:w="1299" w:type="dxa"/>
            <w:tcBorders>
              <w:top w:val="single" w:sz="4" w:space="0" w:color="auto"/>
              <w:left w:val="nil"/>
              <w:right w:val="nil"/>
            </w:tcBorders>
            <w:shd w:val="clear" w:color="auto" w:fill="auto"/>
            <w:noWrap/>
            <w:vAlign w:val="center"/>
            <w:hideMark/>
          </w:tcPr>
          <w:p w14:paraId="0C3F7FDF" w14:textId="77777777" w:rsidR="007A6C72" w:rsidRPr="0015270F" w:rsidRDefault="007A6C72" w:rsidP="0015270F">
            <w:pPr>
              <w:spacing w:before="0" w:after="0"/>
              <w:rPr>
                <w:rStyle w:val="BookTitle"/>
              </w:rPr>
            </w:pPr>
            <w:r w:rsidRPr="0015270F">
              <w:rPr>
                <w:rStyle w:val="BookTitle"/>
              </w:rPr>
              <w:t>13/03/2013</w:t>
            </w:r>
          </w:p>
        </w:tc>
        <w:tc>
          <w:tcPr>
            <w:tcW w:w="1299" w:type="dxa"/>
            <w:tcBorders>
              <w:top w:val="single" w:sz="4" w:space="0" w:color="auto"/>
              <w:left w:val="nil"/>
              <w:right w:val="nil"/>
            </w:tcBorders>
            <w:shd w:val="clear" w:color="auto" w:fill="auto"/>
            <w:noWrap/>
            <w:vAlign w:val="center"/>
            <w:hideMark/>
          </w:tcPr>
          <w:p w14:paraId="0C3F7FE0" w14:textId="77777777" w:rsidR="007A6C72" w:rsidRPr="0015270F" w:rsidRDefault="007A6C72" w:rsidP="0015270F">
            <w:pPr>
              <w:spacing w:before="0" w:after="0"/>
              <w:rPr>
                <w:rStyle w:val="BookTitle"/>
              </w:rPr>
            </w:pPr>
            <w:r w:rsidRPr="0015270F">
              <w:rPr>
                <w:rStyle w:val="BookTitle"/>
              </w:rPr>
              <w:t>18/03/2013</w:t>
            </w:r>
          </w:p>
        </w:tc>
      </w:tr>
      <w:tr w:rsidR="007A6C72" w:rsidRPr="0015270F" w14:paraId="0C3F7FE8" w14:textId="77777777" w:rsidTr="007A6C72">
        <w:trPr>
          <w:trHeight w:val="20"/>
        </w:trPr>
        <w:tc>
          <w:tcPr>
            <w:tcW w:w="1249" w:type="dxa"/>
            <w:vMerge/>
            <w:tcBorders>
              <w:left w:val="nil"/>
              <w:bottom w:val="single" w:sz="4" w:space="0" w:color="auto"/>
              <w:right w:val="nil"/>
            </w:tcBorders>
            <w:shd w:val="clear" w:color="auto" w:fill="auto"/>
            <w:noWrap/>
            <w:vAlign w:val="center"/>
          </w:tcPr>
          <w:p w14:paraId="0C3F7FE2" w14:textId="77777777" w:rsidR="007A6C72" w:rsidRPr="0015270F" w:rsidRDefault="007A6C72" w:rsidP="0015270F">
            <w:pPr>
              <w:spacing w:before="0" w:after="0"/>
              <w:rPr>
                <w:rStyle w:val="BookTitle"/>
              </w:rPr>
            </w:pPr>
          </w:p>
        </w:tc>
        <w:tc>
          <w:tcPr>
            <w:tcW w:w="1919" w:type="dxa"/>
            <w:tcBorders>
              <w:top w:val="nil"/>
              <w:left w:val="nil"/>
              <w:bottom w:val="single" w:sz="4" w:space="0" w:color="auto"/>
              <w:right w:val="nil"/>
            </w:tcBorders>
            <w:shd w:val="clear" w:color="auto" w:fill="auto"/>
            <w:noWrap/>
            <w:vAlign w:val="center"/>
          </w:tcPr>
          <w:p w14:paraId="0C3F7FE3" w14:textId="77777777" w:rsidR="007A6C72" w:rsidRPr="0015270F" w:rsidRDefault="007A6C72" w:rsidP="0015270F">
            <w:pPr>
              <w:spacing w:before="0" w:after="0"/>
              <w:rPr>
                <w:rStyle w:val="BookTitle"/>
              </w:rPr>
            </w:pPr>
            <w:r w:rsidRPr="0015270F">
              <w:rPr>
                <w:rStyle w:val="BookTitle"/>
              </w:rPr>
              <w:t>Don</w:t>
            </w:r>
          </w:p>
        </w:tc>
        <w:tc>
          <w:tcPr>
            <w:tcW w:w="912" w:type="dxa"/>
            <w:tcBorders>
              <w:top w:val="nil"/>
              <w:left w:val="nil"/>
              <w:bottom w:val="single" w:sz="4" w:space="0" w:color="auto"/>
              <w:right w:val="nil"/>
            </w:tcBorders>
            <w:shd w:val="clear" w:color="auto" w:fill="auto"/>
            <w:noWrap/>
            <w:vAlign w:val="center"/>
          </w:tcPr>
          <w:p w14:paraId="0C3F7FE4" w14:textId="77777777" w:rsidR="007A6C72" w:rsidRPr="0015270F" w:rsidRDefault="007A6C72" w:rsidP="0015270F">
            <w:pPr>
              <w:spacing w:before="0" w:after="0"/>
              <w:rPr>
                <w:rStyle w:val="BookTitle"/>
              </w:rPr>
            </w:pPr>
            <w:r w:rsidRPr="0015270F">
              <w:rPr>
                <w:rStyle w:val="BookTitle"/>
              </w:rPr>
              <w:t>1</w:t>
            </w:r>
          </w:p>
        </w:tc>
        <w:tc>
          <w:tcPr>
            <w:tcW w:w="1149" w:type="dxa"/>
            <w:tcBorders>
              <w:top w:val="nil"/>
              <w:left w:val="nil"/>
              <w:bottom w:val="single" w:sz="4" w:space="0" w:color="auto"/>
              <w:right w:val="nil"/>
            </w:tcBorders>
            <w:shd w:val="clear" w:color="auto" w:fill="auto"/>
            <w:noWrap/>
            <w:vAlign w:val="center"/>
          </w:tcPr>
          <w:p w14:paraId="0C3F7FE5" w14:textId="77777777" w:rsidR="007A6C72" w:rsidRPr="0015270F" w:rsidRDefault="007A6C72" w:rsidP="0015270F">
            <w:pPr>
              <w:spacing w:before="0" w:after="0"/>
              <w:rPr>
                <w:rStyle w:val="BookTitle"/>
              </w:rPr>
            </w:pPr>
            <w:r w:rsidRPr="0015270F">
              <w:rPr>
                <w:rStyle w:val="BookTitle"/>
              </w:rPr>
              <w:t>11</w:t>
            </w:r>
          </w:p>
        </w:tc>
        <w:tc>
          <w:tcPr>
            <w:tcW w:w="1299" w:type="dxa"/>
            <w:tcBorders>
              <w:top w:val="nil"/>
              <w:left w:val="nil"/>
              <w:bottom w:val="single" w:sz="4" w:space="0" w:color="auto"/>
              <w:right w:val="nil"/>
            </w:tcBorders>
            <w:shd w:val="clear" w:color="auto" w:fill="auto"/>
            <w:noWrap/>
            <w:vAlign w:val="center"/>
          </w:tcPr>
          <w:p w14:paraId="0C3F7FE6" w14:textId="77777777" w:rsidR="007A6C72" w:rsidRPr="0015270F" w:rsidRDefault="007A6C72" w:rsidP="0015270F">
            <w:pPr>
              <w:spacing w:before="0" w:after="0"/>
              <w:rPr>
                <w:rStyle w:val="BookTitle"/>
              </w:rPr>
            </w:pPr>
            <w:r w:rsidRPr="0015270F">
              <w:rPr>
                <w:rStyle w:val="BookTitle"/>
              </w:rPr>
              <w:t>14/03/2013</w:t>
            </w:r>
          </w:p>
        </w:tc>
        <w:tc>
          <w:tcPr>
            <w:tcW w:w="1299" w:type="dxa"/>
            <w:tcBorders>
              <w:top w:val="nil"/>
              <w:left w:val="nil"/>
              <w:bottom w:val="single" w:sz="4" w:space="0" w:color="auto"/>
              <w:right w:val="nil"/>
            </w:tcBorders>
            <w:shd w:val="clear" w:color="auto" w:fill="auto"/>
            <w:noWrap/>
            <w:vAlign w:val="center"/>
          </w:tcPr>
          <w:p w14:paraId="0C3F7FE7" w14:textId="77777777" w:rsidR="007A6C72" w:rsidRPr="0015270F" w:rsidRDefault="007A6C72" w:rsidP="0015270F">
            <w:pPr>
              <w:spacing w:before="0" w:after="0"/>
              <w:rPr>
                <w:rStyle w:val="BookTitle"/>
              </w:rPr>
            </w:pPr>
            <w:r w:rsidRPr="0015270F">
              <w:rPr>
                <w:rStyle w:val="BookTitle"/>
              </w:rPr>
              <w:t>16/03/2013</w:t>
            </w:r>
          </w:p>
        </w:tc>
      </w:tr>
    </w:tbl>
    <w:p w14:paraId="0C3F7FE9" w14:textId="77777777" w:rsidR="0015270F" w:rsidRDefault="0015270F" w:rsidP="0015270F"/>
    <w:p w14:paraId="0C3F7FEA" w14:textId="77777777" w:rsidR="0015270F" w:rsidRDefault="0015270F" w:rsidP="0015270F">
      <w:r w:rsidRPr="00AE27CD">
        <w:t xml:space="preserve">Sites within the </w:t>
      </w:r>
      <w:r>
        <w:t>Wet Tropics</w:t>
      </w:r>
      <w:r w:rsidRPr="00AE27CD">
        <w:t xml:space="preserve"> region extended </w:t>
      </w:r>
      <w:r>
        <w:t>from</w:t>
      </w:r>
      <w:r w:rsidRPr="00AE27CD">
        <w:t xml:space="preserve"> the </w:t>
      </w:r>
      <w:r>
        <w:t>south of Palm Island</w:t>
      </w:r>
      <w:r w:rsidRPr="00AE27CD">
        <w:t xml:space="preserve"> </w:t>
      </w:r>
      <w:r>
        <w:t>to</w:t>
      </w:r>
      <w:r w:rsidRPr="00AE27CD">
        <w:t xml:space="preserve"> the </w:t>
      </w:r>
      <w:r>
        <w:t>north of the Daintree River mouth (</w:t>
      </w:r>
      <w:r>
        <w:fldChar w:fldCharType="begin"/>
      </w:r>
      <w:r>
        <w:instrText xml:space="preserve"> REF _Ref428873488 \h </w:instrText>
      </w:r>
      <w:r>
        <w:fldChar w:fldCharType="separate"/>
      </w:r>
      <w:r w:rsidR="00B62B50">
        <w:t xml:space="preserve">Figure </w:t>
      </w:r>
      <w:r w:rsidR="00B62B50">
        <w:rPr>
          <w:noProof/>
        </w:rPr>
        <w:t>4</w:t>
      </w:r>
      <w:r w:rsidR="00B62B50">
        <w:noBreakHyphen/>
      </w:r>
      <w:r w:rsidR="00B62B50">
        <w:rPr>
          <w:noProof/>
        </w:rPr>
        <w:t>1</w:t>
      </w:r>
      <w:r>
        <w:fldChar w:fldCharType="end"/>
      </w:r>
      <w:r>
        <w:t>). Sampling dates covered the period between 30/11/2012 to 16/04/2013, where three major flood events were sampled: (a) on 23/01/2013 with a total daily discharge of 291,901 ML; (b) on 24/03/2013 with a total daily discharge of 102,154 ML and (c) on 13/04/2012 with a</w:t>
      </w:r>
      <w:r w:rsidRPr="00B11F49">
        <w:t xml:space="preserve"> </w:t>
      </w:r>
      <w:r>
        <w:t>total daily discharge of 83,340 ML (</w:t>
      </w:r>
      <w:r>
        <w:fldChar w:fldCharType="begin"/>
      </w:r>
      <w:r>
        <w:instrText xml:space="preserve"> REF _Ref428873545 \h </w:instrText>
      </w:r>
      <w:r>
        <w:fldChar w:fldCharType="separate"/>
      </w:r>
      <w:r w:rsidR="00B62B50">
        <w:t xml:space="preserve">Figure </w:t>
      </w:r>
      <w:r w:rsidR="00B62B50">
        <w:rPr>
          <w:noProof/>
        </w:rPr>
        <w:t>4</w:t>
      </w:r>
      <w:r w:rsidR="00B62B50">
        <w:noBreakHyphen/>
      </w:r>
      <w:r w:rsidR="00B62B50">
        <w:rPr>
          <w:noProof/>
        </w:rPr>
        <w:t>2</w:t>
      </w:r>
      <w:r>
        <w:fldChar w:fldCharType="end"/>
      </w:r>
      <w:r>
        <w:t xml:space="preserve">). Flow rates </w:t>
      </w:r>
      <w:r w:rsidRPr="0015270F">
        <w:t>in 2012-2013</w:t>
      </w:r>
      <w:r>
        <w:t xml:space="preserve"> presented the 8</w:t>
      </w:r>
      <w:r w:rsidRPr="0015270F">
        <w:rPr>
          <w:vertAlign w:val="superscript"/>
        </w:rPr>
        <w:t>th</w:t>
      </w:r>
      <w:r>
        <w:t xml:space="preserve"> highest total annual discharge within the last 13 years (</w:t>
      </w:r>
      <w:r>
        <w:fldChar w:fldCharType="begin"/>
      </w:r>
      <w:r>
        <w:instrText xml:space="preserve"> REF _Ref428873620 \h </w:instrText>
      </w:r>
      <w:r>
        <w:fldChar w:fldCharType="separate"/>
      </w:r>
      <w:r w:rsidR="00B62B50">
        <w:t xml:space="preserve">Figure </w:t>
      </w:r>
      <w:r w:rsidR="00B62B50">
        <w:rPr>
          <w:noProof/>
        </w:rPr>
        <w:t>4</w:t>
      </w:r>
      <w:r w:rsidR="00B62B50">
        <w:noBreakHyphen/>
      </w:r>
      <w:r w:rsidR="00B62B50">
        <w:rPr>
          <w:noProof/>
        </w:rPr>
        <w:t>3</w:t>
      </w:r>
      <w:r>
        <w:fldChar w:fldCharType="end"/>
      </w:r>
      <w:r>
        <w:t>).</w:t>
      </w:r>
    </w:p>
    <w:p w14:paraId="0C3F7FEB" w14:textId="77777777" w:rsidR="0015270F" w:rsidRDefault="0015270F" w:rsidP="0015270F">
      <w:r w:rsidRPr="00AE27CD">
        <w:t xml:space="preserve">Sites within the </w:t>
      </w:r>
      <w:r>
        <w:t>Burdekin</w:t>
      </w:r>
      <w:r w:rsidRPr="00AE27CD">
        <w:t xml:space="preserve"> region extended towards the </w:t>
      </w:r>
      <w:r>
        <w:t>south of Palm Island</w:t>
      </w:r>
      <w:r w:rsidRPr="00AE27CD">
        <w:t xml:space="preserve"> at the </w:t>
      </w:r>
      <w:r>
        <w:t>Edgecumbe B</w:t>
      </w:r>
      <w:r w:rsidRPr="00BF2733">
        <w:t xml:space="preserve">ay </w:t>
      </w:r>
      <w:r>
        <w:t>at B</w:t>
      </w:r>
      <w:r w:rsidRPr="00BF2733">
        <w:t>owen</w:t>
      </w:r>
      <w:r>
        <w:t xml:space="preserve"> (Figure </w:t>
      </w:r>
      <w:r w:rsidR="00F46A03">
        <w:t>4-1</w:t>
      </w:r>
      <w:r>
        <w:t>). Two regions were visited within this area, the Burdekin River and the Don River, just after the second highest peak discharge occurred in the 2012-2013 wet season (07-03-2013, 173,312 ML,</w:t>
      </w:r>
      <w:r w:rsidR="00362A9F">
        <w:t xml:space="preserve"> </w:t>
      </w:r>
      <w:r>
        <w:fldChar w:fldCharType="begin"/>
      </w:r>
      <w:r>
        <w:instrText xml:space="preserve"> REF _Ref428873545 \h </w:instrText>
      </w:r>
      <w:r>
        <w:fldChar w:fldCharType="separate"/>
      </w:r>
      <w:r w:rsidR="00B62B50">
        <w:t xml:space="preserve">Figure </w:t>
      </w:r>
      <w:r w:rsidR="00B62B50">
        <w:rPr>
          <w:noProof/>
        </w:rPr>
        <w:t>4</w:t>
      </w:r>
      <w:r w:rsidR="00B62B50">
        <w:noBreakHyphen/>
      </w:r>
      <w:r w:rsidR="00B62B50">
        <w:rPr>
          <w:noProof/>
        </w:rPr>
        <w:t>2</w:t>
      </w:r>
      <w:r>
        <w:fldChar w:fldCharType="end"/>
      </w:r>
      <w:r>
        <w:t xml:space="preserve">). Burdekin river </w:t>
      </w:r>
      <w:r w:rsidRPr="0015270F">
        <w:t>flow in 2012-2013 presented</w:t>
      </w:r>
      <w:r>
        <w:t xml:space="preserve"> the 10</w:t>
      </w:r>
      <w:r w:rsidRPr="0015270F">
        <w:rPr>
          <w:vertAlign w:val="superscript"/>
        </w:rPr>
        <w:t>th</w:t>
      </w:r>
      <w:r>
        <w:t xml:space="preserve"> highest total annual discharge within the last 13 years (</w:t>
      </w:r>
      <w:r>
        <w:fldChar w:fldCharType="begin"/>
      </w:r>
      <w:r>
        <w:instrText xml:space="preserve"> REF _Ref428873620 \h </w:instrText>
      </w:r>
      <w:r>
        <w:fldChar w:fldCharType="separate"/>
      </w:r>
      <w:r w:rsidR="00B62B50">
        <w:t xml:space="preserve">Figure </w:t>
      </w:r>
      <w:r w:rsidR="00B62B50">
        <w:rPr>
          <w:noProof/>
        </w:rPr>
        <w:t>4</w:t>
      </w:r>
      <w:r w:rsidR="00B62B50">
        <w:noBreakHyphen/>
      </w:r>
      <w:r w:rsidR="00B62B50">
        <w:rPr>
          <w:noProof/>
        </w:rPr>
        <w:t>3</w:t>
      </w:r>
      <w:r>
        <w:fldChar w:fldCharType="end"/>
      </w:r>
      <w:r>
        <w:t xml:space="preserve">). </w:t>
      </w:r>
    </w:p>
    <w:p w14:paraId="0C3F7FEC" w14:textId="77777777" w:rsidR="0015270F" w:rsidRDefault="0015270F" w:rsidP="0015270F"/>
    <w:p w14:paraId="0C3F7FED" w14:textId="77777777" w:rsidR="0015270F" w:rsidRPr="0015270F" w:rsidRDefault="007A6C72" w:rsidP="0015270F">
      <w:pPr>
        <w:rPr>
          <w:rFonts w:cs="Arial"/>
        </w:rPr>
      </w:pPr>
      <w:r>
        <w:rPr>
          <w:noProof/>
        </w:rPr>
        <w:drawing>
          <wp:inline distT="0" distB="0" distL="0" distR="0" wp14:anchorId="0C3F8FC5" wp14:editId="0C3F8FC6">
            <wp:extent cx="5412338" cy="7786838"/>
            <wp:effectExtent l="0" t="0" r="0" b="5080"/>
            <wp:docPr id="39" name="Picture 39" descr="Location of the Marine Monitoring Sites sampled in the 2012-2013 wet season under the MMP terrestrial discharge program. Site locations for the two regions sampled (Wet Tropics, Burdekin are identified by colours (see legend). " title="Location of the Marine Monitoring Sites sampled in the 2012-2013 wet season under the MMP terrestrial discharge program. Site locations for the two regions sampled (Wet Tropics, Burdekin are identified by colours (see leg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20A119-9F2B-45BF-90CD-E20EEFDD6FCB" descr="cid:6A38044F-D096-4ED1-9C06-F63916ECB53B"/>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5411091" cy="7785044"/>
                    </a:xfrm>
                    <a:prstGeom prst="rect">
                      <a:avLst/>
                    </a:prstGeom>
                    <a:noFill/>
                    <a:ln>
                      <a:noFill/>
                    </a:ln>
                  </pic:spPr>
                </pic:pic>
              </a:graphicData>
            </a:graphic>
          </wp:inline>
        </w:drawing>
      </w:r>
    </w:p>
    <w:p w14:paraId="0C3F7FEE" w14:textId="77777777" w:rsidR="0015270F" w:rsidRDefault="0015270F" w:rsidP="0015270F">
      <w:pPr>
        <w:pStyle w:val="Caption"/>
      </w:pPr>
      <w:bookmarkStart w:id="98" w:name="_Ref428873488"/>
      <w:bookmarkStart w:id="99" w:name="_Toc434208029"/>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1</w:t>
      </w:r>
      <w:r w:rsidR="00D243CD">
        <w:fldChar w:fldCharType="end"/>
      </w:r>
      <w:bookmarkEnd w:id="98"/>
      <w:r>
        <w:t xml:space="preserve">: </w:t>
      </w:r>
      <w:r w:rsidRPr="00F50DFB">
        <w:t xml:space="preserve">Location of the Marine Monitoring Sites sampled in the 2012-2013 wet season under the MMP terrestrial discharge program. Site locations for the </w:t>
      </w:r>
      <w:r>
        <w:t>two</w:t>
      </w:r>
      <w:r w:rsidRPr="00F50DFB">
        <w:t xml:space="preserve"> regions sampled (Wet Tropics, Burdekin are identified by colours (see legend).</w:t>
      </w:r>
      <w:bookmarkEnd w:id="99"/>
      <w:r>
        <w:t xml:space="preserve"> </w:t>
      </w:r>
    </w:p>
    <w:p w14:paraId="0C3F7FEF" w14:textId="77777777" w:rsidR="0015270F" w:rsidRDefault="0015270F" w:rsidP="0015270F"/>
    <w:p w14:paraId="0C3F7FF0" w14:textId="77777777" w:rsidR="0015270F" w:rsidRDefault="0015270F" w:rsidP="0015270F"/>
    <w:p w14:paraId="0C3F7FF1" w14:textId="77777777" w:rsidR="0015270F" w:rsidRPr="0015270F" w:rsidRDefault="0015270F" w:rsidP="0015270F">
      <w:pPr>
        <w:rPr>
          <w:rFonts w:cs="Arial"/>
        </w:rPr>
      </w:pPr>
      <w:r>
        <w:rPr>
          <w:noProof/>
        </w:rPr>
        <w:drawing>
          <wp:inline distT="0" distB="0" distL="0" distR="0" wp14:anchorId="0C3F8FC7" wp14:editId="0C3F8FC8">
            <wp:extent cx="5798824" cy="2907792"/>
            <wp:effectExtent l="0" t="0" r="0" b="0"/>
            <wp:docPr id="20" name="Picture 20" descr="Total daily discharge (megalitres/day) for the main NRM Wet Tropics and Burdekin rivers for the 2012-2013 wet season (Source: DNRM, http://watermonitoring.dnrm.qld.gov.au/host.htm). Dots indicate the sampling dates and colours stand for sites close to or under influence of a particular river." title="Total daily discharge (megalitres/day) for the main NRM Wet Tropics and Burdekin rivers for the 2012-2013 wet season (Source: DNRM, http://watermonitoring.dnrm.qld.gov.au/host.htm). Dots indicate the sampling dates and colours stand for sites close to or under influence of a particular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9767" r="3442" b="9535"/>
                    <a:stretch/>
                  </pic:blipFill>
                  <pic:spPr bwMode="auto">
                    <a:xfrm>
                      <a:off x="0" y="0"/>
                      <a:ext cx="5811831" cy="2914314"/>
                    </a:xfrm>
                    <a:prstGeom prst="rect">
                      <a:avLst/>
                    </a:prstGeom>
                    <a:noFill/>
                    <a:ln>
                      <a:noFill/>
                    </a:ln>
                    <a:extLst>
                      <a:ext uri="{53640926-AAD7-44D8-BBD7-CCE9431645EC}">
                        <a14:shadowObscured xmlns:a14="http://schemas.microsoft.com/office/drawing/2010/main"/>
                      </a:ext>
                    </a:extLst>
                  </pic:spPr>
                </pic:pic>
              </a:graphicData>
            </a:graphic>
          </wp:inline>
        </w:drawing>
      </w:r>
    </w:p>
    <w:p w14:paraId="0C3F7FF2" w14:textId="77777777" w:rsidR="0015270F" w:rsidRPr="0015270F" w:rsidRDefault="0015270F" w:rsidP="0015270F">
      <w:pPr>
        <w:rPr>
          <w:rFonts w:cs="Arial"/>
        </w:rPr>
      </w:pPr>
      <w:r>
        <w:rPr>
          <w:noProof/>
        </w:rPr>
        <w:drawing>
          <wp:inline distT="0" distB="0" distL="0" distR="0" wp14:anchorId="0C3F8FC9" wp14:editId="0C3F8FCA">
            <wp:extent cx="5861304" cy="2879979"/>
            <wp:effectExtent l="0" t="0" r="6350" b="0"/>
            <wp:docPr id="21" name="Picture 21" descr="Total daily discharge (megalitres/day) for the main NRM Wet Tropics and Burdekin rivers for the 2012-2013 wet season (Source: DNRM, http://watermonitoring.dnrm.qld.gov.au/host.htm). Dots indicate the sampling dates and colours stand for sites close to or under influence of a particular river." title="Total daily discharge (megalitres/day) for the main NRM Wet Tropics and Burdekin rivers for the 2012-2013 wet season (Source: DNRM, http://watermonitoring.dnrm.qld.gov.au/host.htm). Dots indicate the sampling dates and colours stand for sites close to or under influence of a particular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1627" r="3163" b="9069"/>
                    <a:stretch/>
                  </pic:blipFill>
                  <pic:spPr bwMode="auto">
                    <a:xfrm>
                      <a:off x="0" y="0"/>
                      <a:ext cx="5860996" cy="2879828"/>
                    </a:xfrm>
                    <a:prstGeom prst="rect">
                      <a:avLst/>
                    </a:prstGeom>
                    <a:noFill/>
                    <a:ln>
                      <a:noFill/>
                    </a:ln>
                    <a:extLst>
                      <a:ext uri="{53640926-AAD7-44D8-BBD7-CCE9431645EC}">
                        <a14:shadowObscured xmlns:a14="http://schemas.microsoft.com/office/drawing/2010/main"/>
                      </a:ext>
                    </a:extLst>
                  </pic:spPr>
                </pic:pic>
              </a:graphicData>
            </a:graphic>
          </wp:inline>
        </w:drawing>
      </w:r>
    </w:p>
    <w:p w14:paraId="0C3F7FF3" w14:textId="77777777" w:rsidR="0015270F" w:rsidRPr="0015270F" w:rsidRDefault="0015270F" w:rsidP="0015270F">
      <w:pPr>
        <w:pStyle w:val="Caption"/>
      </w:pPr>
      <w:bookmarkStart w:id="100" w:name="_Ref428873545"/>
      <w:bookmarkStart w:id="101" w:name="_Toc434208030"/>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2</w:t>
      </w:r>
      <w:r w:rsidR="00D243CD">
        <w:fldChar w:fldCharType="end"/>
      </w:r>
      <w:bookmarkEnd w:id="100"/>
      <w:r>
        <w:t xml:space="preserve">: </w:t>
      </w:r>
      <w:r w:rsidRPr="0015270F">
        <w:t xml:space="preserve">Total daily discharge (megalitres/day) for the main NRM Wet Tropics and Burdekin rivers for the 2012-2013 wet season (Source: DNRM, </w:t>
      </w:r>
      <w:hyperlink r:id="rId56" w:tooltip="more information" w:history="1">
        <w:r w:rsidRPr="0015270F">
          <w:rPr>
            <w:rStyle w:val="Hyperlink"/>
            <w:rFonts w:cs="Arial"/>
          </w:rPr>
          <w:t>http://watermonitoring.dnrm.qld.gov.au/host.htm</w:t>
        </w:r>
      </w:hyperlink>
      <w:r w:rsidRPr="0015270F">
        <w:t>). Dots indicate the sampling dates and colours stand for sites close to or under influence of a particular river.</w:t>
      </w:r>
      <w:bookmarkEnd w:id="101"/>
    </w:p>
    <w:p w14:paraId="0C3F7FF4" w14:textId="77777777" w:rsidR="0015270F" w:rsidRPr="0015270F" w:rsidRDefault="0015270F" w:rsidP="0015270F">
      <w:pPr>
        <w:rPr>
          <w:rFonts w:cs="Arial"/>
        </w:rPr>
      </w:pPr>
    </w:p>
    <w:p w14:paraId="0C3F7FF5" w14:textId="77777777" w:rsidR="0015270F" w:rsidRPr="0015270F" w:rsidRDefault="0015270F" w:rsidP="0015270F">
      <w:pPr>
        <w:rPr>
          <w:rFonts w:cs="Arial"/>
        </w:rPr>
      </w:pPr>
    </w:p>
    <w:p w14:paraId="0C3F7FF6" w14:textId="77777777" w:rsidR="0015270F" w:rsidRPr="0015270F" w:rsidRDefault="0015270F" w:rsidP="0015270F">
      <w:pPr>
        <w:rPr>
          <w:rFonts w:cs="Arial"/>
        </w:rPr>
      </w:pPr>
      <w:r>
        <w:rPr>
          <w:noProof/>
        </w:rPr>
        <w:drawing>
          <wp:inline distT="0" distB="0" distL="0" distR="0" wp14:anchorId="0C3F8FCB" wp14:editId="0C3F8FCC">
            <wp:extent cx="5760000" cy="2694332"/>
            <wp:effectExtent l="0" t="0" r="0" b="0"/>
            <wp:docPr id="26" name="Picture 26" descr="Total annual discharge (ML, megalitres), calculated from October, 1st to September, 30th, for the main NRM Wet Tropics and Burdekin rivers (Source: DNRM, http://watermonitoring.dnrm.qld.gov.au/host.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000" cy="2694332"/>
                    </a:xfrm>
                    <a:prstGeom prst="rect">
                      <a:avLst/>
                    </a:prstGeom>
                    <a:noFill/>
                  </pic:spPr>
                </pic:pic>
              </a:graphicData>
            </a:graphic>
          </wp:inline>
        </w:drawing>
      </w:r>
    </w:p>
    <w:p w14:paraId="0C3F7FF7" w14:textId="77777777" w:rsidR="0015270F" w:rsidRPr="0015270F" w:rsidRDefault="0015270F" w:rsidP="0015270F">
      <w:pPr>
        <w:rPr>
          <w:rFonts w:cs="Arial"/>
        </w:rPr>
      </w:pPr>
      <w:r>
        <w:rPr>
          <w:noProof/>
        </w:rPr>
        <w:drawing>
          <wp:inline distT="0" distB="0" distL="0" distR="0" wp14:anchorId="0C3F8FCD" wp14:editId="0C3F8FCE">
            <wp:extent cx="5731510" cy="2686290"/>
            <wp:effectExtent l="0" t="0" r="2540" b="0"/>
            <wp:docPr id="27" name="Picture 27" descr="Total annual discharge (ML, megalitres), calculated from October, 1st to September, 30th, for the main NRM Wet Tropics and Burdekin rivers (Source: DNRM, http://watermonitoring.dnrm.qld.gov.au/host.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1510" cy="2686290"/>
                    </a:xfrm>
                    <a:prstGeom prst="rect">
                      <a:avLst/>
                    </a:prstGeom>
                    <a:noFill/>
                  </pic:spPr>
                </pic:pic>
              </a:graphicData>
            </a:graphic>
          </wp:inline>
        </w:drawing>
      </w:r>
    </w:p>
    <w:p w14:paraId="0C3F7FF8" w14:textId="77777777" w:rsidR="0015270F" w:rsidRDefault="0015270F" w:rsidP="0015270F">
      <w:pPr>
        <w:pStyle w:val="Caption"/>
      </w:pPr>
      <w:bookmarkStart w:id="102" w:name="_Ref428873620"/>
      <w:bookmarkStart w:id="103" w:name="_Toc434208031"/>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3</w:t>
      </w:r>
      <w:r w:rsidR="00D243CD">
        <w:fldChar w:fldCharType="end"/>
      </w:r>
      <w:bookmarkEnd w:id="102"/>
      <w:r>
        <w:t xml:space="preserve">:  </w:t>
      </w:r>
      <w:r w:rsidRPr="0015270F">
        <w:t>Total annual discharge (ML, megalitres), calculated from October, 1</w:t>
      </w:r>
      <w:r w:rsidRPr="0015270F">
        <w:rPr>
          <w:vertAlign w:val="superscript"/>
        </w:rPr>
        <w:t>st</w:t>
      </w:r>
      <w:r w:rsidRPr="0015270F">
        <w:t xml:space="preserve"> to September, 30</w:t>
      </w:r>
      <w:r w:rsidRPr="0015270F">
        <w:rPr>
          <w:vertAlign w:val="superscript"/>
        </w:rPr>
        <w:t>th</w:t>
      </w:r>
      <w:r w:rsidRPr="0015270F">
        <w:t xml:space="preserve">, for the main NRM Wet Tropics and Burdekin rivers (Source: DNRM, </w:t>
      </w:r>
      <w:hyperlink r:id="rId59" w:tooltip="more information" w:history="1">
        <w:r w:rsidRPr="0015270F">
          <w:rPr>
            <w:rStyle w:val="Hyperlink"/>
            <w:rFonts w:cs="Arial"/>
          </w:rPr>
          <w:t>http://watermonitoring.dnrm.qld.gov.au/host.htm</w:t>
        </w:r>
      </w:hyperlink>
      <w:r w:rsidRPr="0015270F">
        <w:t>).</w:t>
      </w:r>
      <w:bookmarkEnd w:id="103"/>
    </w:p>
    <w:p w14:paraId="0C3F7FF9" w14:textId="77777777" w:rsidR="00162359" w:rsidRDefault="00162359">
      <w:pPr>
        <w:spacing w:before="0" w:after="0"/>
        <w:jc w:val="left"/>
        <w:rPr>
          <w:b/>
          <w:sz w:val="24"/>
        </w:rPr>
      </w:pPr>
      <w:r>
        <w:br w:type="page"/>
      </w:r>
    </w:p>
    <w:p w14:paraId="0C3F7FFA" w14:textId="77777777" w:rsidR="0015270F" w:rsidRDefault="0015270F" w:rsidP="00C05A63">
      <w:pPr>
        <w:pStyle w:val="Heading2"/>
        <w:keepNext/>
        <w:numPr>
          <w:ilvl w:val="1"/>
          <w:numId w:val="13"/>
        </w:numPr>
        <w:spacing w:line="80" w:lineRule="atLeast"/>
      </w:pPr>
      <w:bookmarkStart w:id="104" w:name="_Toc434207994"/>
      <w:r w:rsidRPr="0015270F">
        <w:t>Methodology</w:t>
      </w:r>
      <w:r>
        <w:t xml:space="preserve"> – Water Quality</w:t>
      </w:r>
      <w:bookmarkEnd w:id="104"/>
    </w:p>
    <w:p w14:paraId="0C3F7FFB" w14:textId="77777777" w:rsidR="0015270F" w:rsidRDefault="0015270F" w:rsidP="00C05A63">
      <w:pPr>
        <w:pStyle w:val="Heading2"/>
        <w:keepNext/>
        <w:numPr>
          <w:ilvl w:val="2"/>
          <w:numId w:val="13"/>
        </w:numPr>
        <w:spacing w:line="80" w:lineRule="atLeast"/>
      </w:pPr>
      <w:bookmarkStart w:id="105" w:name="_Toc434207995"/>
      <w:r>
        <w:t>Water samples – 2012-2013</w:t>
      </w:r>
      <w:bookmarkEnd w:id="105"/>
    </w:p>
    <w:p w14:paraId="0C3F7FFC" w14:textId="77777777" w:rsidR="0015270F" w:rsidRDefault="0015270F" w:rsidP="0015270F">
      <w:r>
        <w:t>Water Quality for</w:t>
      </w:r>
      <w:r w:rsidRPr="007E554A">
        <w:t xml:space="preserve"> the 201</w:t>
      </w:r>
      <w:r>
        <w:t>2</w:t>
      </w:r>
      <w:r w:rsidRPr="007E554A">
        <w:t>-1</w:t>
      </w:r>
      <w:r>
        <w:t>3</w:t>
      </w:r>
      <w:r w:rsidRPr="007E554A">
        <w:t xml:space="preserve"> wet season </w:t>
      </w:r>
      <w:r>
        <w:t xml:space="preserve">is discussed for the Wet Tropics </w:t>
      </w:r>
      <w:r w:rsidRPr="00A65EC2">
        <w:t>and Burdekin Water</w:t>
      </w:r>
      <w:r>
        <w:t xml:space="preserve"> sampling</w:t>
      </w:r>
      <w:r w:rsidRPr="007E554A">
        <w:t xml:space="preserve"> included the collection of </w:t>
      </w:r>
      <w:r>
        <w:t xml:space="preserve">surface </w:t>
      </w:r>
      <w:r w:rsidRPr="007E554A">
        <w:t xml:space="preserve">samples </w:t>
      </w:r>
      <w:r>
        <w:t xml:space="preserve">(within the first 50 cm) </w:t>
      </w:r>
      <w:r w:rsidRPr="007E554A">
        <w:t xml:space="preserve">for the analysis of TSS, </w:t>
      </w:r>
      <w:r w:rsidR="00593896">
        <w:t>chl</w:t>
      </w:r>
      <w:r w:rsidRPr="007E554A">
        <w:t>-a</w:t>
      </w:r>
      <w:r>
        <w:t>, CDOM</w:t>
      </w:r>
      <w:r w:rsidRPr="007E554A">
        <w:t xml:space="preserve">, </w:t>
      </w:r>
      <w:r>
        <w:t>DIN, DIP, PN, PP,</w:t>
      </w:r>
      <w:r w:rsidRPr="007E554A">
        <w:t xml:space="preserve"> salinity, temperature</w:t>
      </w:r>
      <w:r>
        <w:t xml:space="preserve"> and </w:t>
      </w:r>
      <w:r w:rsidR="00362A9F">
        <w:t>Kd(PAR)</w:t>
      </w:r>
      <w:r>
        <w:t xml:space="preserve">. For full details of field and laboratory methods, refer to the MMP QA/QC manual </w:t>
      </w:r>
      <w:r>
        <w:fldChar w:fldCharType="begin"/>
      </w:r>
      <w:r>
        <w:instrText xml:space="preserve"> ADDIN EN.CITE &lt;EndNote&gt;&lt;Cite&gt;&lt;Author&gt;Anon&lt;/Author&gt;&lt;Year&gt;2013&lt;/Year&gt;&lt;RecNum&gt;1137&lt;/RecNum&gt;&lt;DisplayText&gt;(Anon, 2013, 2014)&lt;/DisplayText&gt;&lt;record&gt;&lt;rec-number&gt;1137&lt;/rec-number&gt;&lt;foreign-keys&gt;&lt;key app="EN" db-id="wwzpfssaux292keptesxd5t6srsfvpzsde2p"&gt;1137&lt;/key&gt;&lt;/foreign-keys&gt;&lt;ref-type name="Report"&gt;27&lt;/ref-type&gt;&lt;contributors&gt;&lt;authors&gt;&lt;author&gt;Anon&lt;/author&gt;&lt;/authors&gt;&lt;secondary-authors&gt;&lt;author&gt;Great Barrier Reef Marine Park Authority&lt;/author&gt;&lt;/secondary-authors&gt;&lt;/contributors&gt;&lt;titles&gt;&lt;title&gt;Reef rescue marine monitoring program quality assurance and quality control manual. 2010/11&lt;/title&gt;&lt;secondary-title&gt;GBRMPA&lt;/secondary-title&gt;&lt;/titles&gt;&lt;dates&gt;&lt;year&gt;2013&lt;/year&gt;&lt;/dates&gt;&lt;pub-location&gt;Townsville&lt;/pub-location&gt;&lt;urls&gt;&lt;/urls&gt;&lt;/record&gt;&lt;/Cite&gt;&lt;Cite&gt;&lt;Author&gt;Anon&lt;/Author&gt;&lt;Year&gt;2014&lt;/Year&gt;&lt;RecNum&gt;1140&lt;/RecNum&gt;&lt;record&gt;&lt;rec-number&gt;1140&lt;/rec-number&gt;&lt;foreign-keys&gt;&lt;key app="EN" db-id="wwzpfssaux292keptesxd5t6srsfvpzsde2p"&gt;1140&lt;/key&gt;&lt;/foreign-keys&gt;&lt;ref-type name="Report"&gt;27&lt;/ref-type&gt;&lt;contributors&gt;&lt;authors&gt;&lt;author&gt;Anon&lt;/author&gt;&lt;/authors&gt;&lt;secondary-authors&gt;&lt;author&gt;Great Barrier Reef Marine Park Authority&lt;/author&gt;&lt;/secondary-authors&gt;&lt;/contributors&gt;&lt;titles&gt;&lt;title&gt;Reef rescue marine monitoring program quality assurance and quality control manual. 2013/14&lt;/title&gt;&lt;secondary-title&gt;GBRMPA&lt;/secondary-title&gt;&lt;/titles&gt;&lt;dates&gt;&lt;year&gt;2014&lt;/year&gt;&lt;/dates&gt;&lt;pub-location&gt;Townsville&lt;/pub-location&gt;&lt;urls&gt;&lt;/urls&gt;&lt;/record&gt;&lt;/Cite&gt;&lt;/EndNote&gt;</w:instrText>
      </w:r>
      <w:r>
        <w:fldChar w:fldCharType="separate"/>
      </w:r>
      <w:r>
        <w:rPr>
          <w:noProof/>
        </w:rPr>
        <w:t>(</w:t>
      </w:r>
      <w:hyperlink w:anchor="_ENREF_2" w:tooltip="Anon, 2013 #1137" w:history="1">
        <w:r w:rsidR="00D23C68">
          <w:rPr>
            <w:noProof/>
          </w:rPr>
          <w:t>Anon, 2013</w:t>
        </w:r>
      </w:hyperlink>
      <w:r>
        <w:rPr>
          <w:noProof/>
        </w:rPr>
        <w:t xml:space="preserve">, </w:t>
      </w:r>
      <w:hyperlink w:anchor="_ENREF_3" w:tooltip="Anon, 2014 #1140" w:history="1">
        <w:r w:rsidR="00D23C68">
          <w:rPr>
            <w:noProof/>
          </w:rPr>
          <w:t>2014</w:t>
        </w:r>
      </w:hyperlink>
      <w:r>
        <w:rPr>
          <w:noProof/>
        </w:rPr>
        <w:t>)</w:t>
      </w:r>
      <w:r>
        <w:fldChar w:fldCharType="end"/>
      </w:r>
      <w:r>
        <w:t xml:space="preserve">. </w:t>
      </w:r>
      <w:r w:rsidRPr="007E554A">
        <w:t>Depth profiling was undertaken</w:t>
      </w:r>
      <w:r>
        <w:t xml:space="preserve"> using </w:t>
      </w:r>
      <w:r w:rsidRPr="00E37776">
        <w:t>a CTD from Sea-Bird Electronics (SBE-19Plus) equipped with sensors for temperature, salinity, depth, oxygen and light. The CTD profiler was kept at the water surface for 3 minutes for sensors stabiliza</w:t>
      </w:r>
      <w:r>
        <w:t>tion before starting downcast. CTD d</w:t>
      </w:r>
      <w:r w:rsidRPr="00E37776">
        <w:t xml:space="preserve">ata reported herein </w:t>
      </w:r>
      <w:r>
        <w:t>represents</w:t>
      </w:r>
      <w:r w:rsidRPr="00E37776">
        <w:t xml:space="preserve"> surface salinity and surface water temperature only, calculated as an average of readings between 0.3 m and 0.7 m below the water surface, after visual removal of outliers corresponding to the 3 minutes stabilization period</w:t>
      </w:r>
      <w:r w:rsidR="00782908">
        <w:t>.</w:t>
      </w:r>
      <w:r w:rsidRPr="007E554A">
        <w:t xml:space="preserve"> </w:t>
      </w:r>
      <w:r>
        <w:t>Underwater light extinction coefficient (Kd, m</w:t>
      </w:r>
      <w:r w:rsidRPr="0015270F">
        <w:rPr>
          <w:vertAlign w:val="superscript"/>
        </w:rPr>
        <w:t>-1</w:t>
      </w:r>
      <w:r>
        <w:t xml:space="preserve">) was </w:t>
      </w:r>
      <w:r w:rsidRPr="00E37776">
        <w:t xml:space="preserve">calculated using the Lambert-Beer </w:t>
      </w:r>
      <w:r>
        <w:t>equation</w:t>
      </w:r>
      <w:r w:rsidRPr="00E37776">
        <w:t xml:space="preserve"> </w:t>
      </w:r>
      <w:r>
        <w:t xml:space="preserve">on the CTD light profile with a summary of the </w:t>
      </w:r>
      <w:r w:rsidR="00362A9F">
        <w:t>parameters</w:t>
      </w:r>
      <w:r>
        <w:t xml:space="preserve"> collecte</w:t>
      </w:r>
      <w:r w:rsidR="00362A9F">
        <w:t>d</w:t>
      </w:r>
      <w:r>
        <w:t xml:space="preserve"> in the program provided in </w:t>
      </w:r>
      <w:r>
        <w:fldChar w:fldCharType="begin"/>
      </w:r>
      <w:r>
        <w:instrText xml:space="preserve"> REF _Ref428874797 \h </w:instrText>
      </w:r>
      <w:r>
        <w:fldChar w:fldCharType="separate"/>
      </w:r>
      <w:r w:rsidR="00B62B50">
        <w:t xml:space="preserve">Table </w:t>
      </w:r>
      <w:r w:rsidR="00B62B50">
        <w:rPr>
          <w:noProof/>
        </w:rPr>
        <w:t>4</w:t>
      </w:r>
      <w:r w:rsidR="00B62B50">
        <w:noBreakHyphen/>
      </w:r>
      <w:r w:rsidR="00B62B50">
        <w:rPr>
          <w:noProof/>
        </w:rPr>
        <w:t>2</w:t>
      </w:r>
      <w:r>
        <w:fldChar w:fldCharType="end"/>
      </w:r>
      <w:r>
        <w:t>.</w:t>
      </w:r>
    </w:p>
    <w:p w14:paraId="0C3F7FFD" w14:textId="77777777" w:rsidR="0015270F" w:rsidRPr="0015270F" w:rsidRDefault="0015270F" w:rsidP="0015270F">
      <w:pPr>
        <w:pStyle w:val="Caption"/>
      </w:pPr>
      <w:bookmarkStart w:id="106" w:name="_Ref428874797"/>
      <w:bookmarkStart w:id="107" w:name="_Toc434208069"/>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2</w:t>
      </w:r>
      <w:r w:rsidR="00AE4287">
        <w:fldChar w:fldCharType="end"/>
      </w:r>
      <w:bookmarkEnd w:id="106"/>
      <w:r>
        <w:t xml:space="preserve">: </w:t>
      </w:r>
      <w:r w:rsidRPr="0015270F">
        <w:t>Summary of chemical and biological parameters sampled for the MMP flood plume monitoring.</w:t>
      </w:r>
      <w:bookmarkEnd w:id="107"/>
    </w:p>
    <w:tbl>
      <w:tblPr>
        <w:tblW w:w="5000" w:type="pct"/>
        <w:jc w:val="center"/>
        <w:tblLook w:val="01E0" w:firstRow="1" w:lastRow="1" w:firstColumn="1" w:lastColumn="1" w:noHBand="0" w:noVBand="0"/>
      </w:tblPr>
      <w:tblGrid>
        <w:gridCol w:w="2052"/>
        <w:gridCol w:w="3753"/>
        <w:gridCol w:w="2157"/>
        <w:gridCol w:w="1281"/>
      </w:tblGrid>
      <w:tr w:rsidR="0015270F" w:rsidRPr="0015270F" w14:paraId="0C3F8002" w14:textId="77777777" w:rsidTr="0015270F">
        <w:trPr>
          <w:trHeight w:val="57"/>
          <w:jc w:val="center"/>
        </w:trPr>
        <w:tc>
          <w:tcPr>
            <w:tcW w:w="1110" w:type="pct"/>
            <w:tcBorders>
              <w:top w:val="single" w:sz="4" w:space="0" w:color="auto"/>
              <w:bottom w:val="single" w:sz="4" w:space="0" w:color="auto"/>
            </w:tcBorders>
          </w:tcPr>
          <w:p w14:paraId="0C3F7FFE" w14:textId="77777777" w:rsidR="0015270F" w:rsidRPr="0015270F" w:rsidRDefault="0015270F" w:rsidP="0015270F">
            <w:pPr>
              <w:spacing w:before="0" w:after="0"/>
              <w:rPr>
                <w:rStyle w:val="BookTitle"/>
              </w:rPr>
            </w:pPr>
            <w:r w:rsidRPr="0015270F">
              <w:rPr>
                <w:rStyle w:val="BookTitle"/>
              </w:rPr>
              <w:t>Type of data</w:t>
            </w:r>
          </w:p>
        </w:tc>
        <w:tc>
          <w:tcPr>
            <w:tcW w:w="2030" w:type="pct"/>
            <w:tcBorders>
              <w:top w:val="single" w:sz="4" w:space="0" w:color="auto"/>
              <w:bottom w:val="single" w:sz="4" w:space="0" w:color="auto"/>
            </w:tcBorders>
          </w:tcPr>
          <w:p w14:paraId="0C3F7FFF" w14:textId="77777777" w:rsidR="0015270F" w:rsidRPr="0015270F" w:rsidRDefault="0015270F" w:rsidP="0015270F">
            <w:pPr>
              <w:spacing w:before="0" w:after="0"/>
              <w:rPr>
                <w:rStyle w:val="BookTitle"/>
              </w:rPr>
            </w:pPr>
            <w:r w:rsidRPr="0015270F">
              <w:rPr>
                <w:rStyle w:val="BookTitle"/>
              </w:rPr>
              <w:t>Parameter</w:t>
            </w:r>
          </w:p>
        </w:tc>
        <w:tc>
          <w:tcPr>
            <w:tcW w:w="1167" w:type="pct"/>
            <w:tcBorders>
              <w:top w:val="single" w:sz="4" w:space="0" w:color="auto"/>
              <w:bottom w:val="single" w:sz="4" w:space="0" w:color="auto"/>
            </w:tcBorders>
          </w:tcPr>
          <w:p w14:paraId="0C3F8000" w14:textId="77777777" w:rsidR="0015270F" w:rsidRPr="0015270F" w:rsidRDefault="0015270F" w:rsidP="0015270F">
            <w:pPr>
              <w:spacing w:before="0" w:after="0"/>
              <w:rPr>
                <w:rStyle w:val="BookTitle"/>
              </w:rPr>
            </w:pPr>
            <w:r w:rsidRPr="0015270F">
              <w:rPr>
                <w:rStyle w:val="BookTitle"/>
              </w:rPr>
              <w:t>Comments</w:t>
            </w:r>
          </w:p>
        </w:tc>
        <w:tc>
          <w:tcPr>
            <w:tcW w:w="693" w:type="pct"/>
            <w:tcBorders>
              <w:top w:val="single" w:sz="4" w:space="0" w:color="auto"/>
              <w:bottom w:val="single" w:sz="4" w:space="0" w:color="auto"/>
            </w:tcBorders>
          </w:tcPr>
          <w:p w14:paraId="0C3F8001" w14:textId="77777777" w:rsidR="0015270F" w:rsidRPr="0015270F" w:rsidRDefault="0015270F" w:rsidP="0015270F">
            <w:pPr>
              <w:spacing w:before="0" w:after="0"/>
              <w:rPr>
                <w:rStyle w:val="BookTitle"/>
              </w:rPr>
            </w:pPr>
            <w:r w:rsidRPr="0015270F">
              <w:rPr>
                <w:rStyle w:val="BookTitle"/>
              </w:rPr>
              <w:t>Reported</w:t>
            </w:r>
          </w:p>
        </w:tc>
      </w:tr>
      <w:tr w:rsidR="0015270F" w:rsidRPr="0015270F" w14:paraId="0C3F8008" w14:textId="77777777" w:rsidTr="0015270F">
        <w:trPr>
          <w:trHeight w:val="57"/>
          <w:jc w:val="center"/>
        </w:trPr>
        <w:tc>
          <w:tcPr>
            <w:tcW w:w="1110" w:type="pct"/>
            <w:tcBorders>
              <w:top w:val="single" w:sz="4" w:space="0" w:color="auto"/>
            </w:tcBorders>
          </w:tcPr>
          <w:p w14:paraId="0C3F8003" w14:textId="77777777" w:rsidR="0015270F" w:rsidRPr="0015270F" w:rsidRDefault="0015270F" w:rsidP="0015270F">
            <w:pPr>
              <w:spacing w:before="0" w:after="0"/>
              <w:rPr>
                <w:rStyle w:val="BookTitle"/>
              </w:rPr>
            </w:pPr>
            <w:r w:rsidRPr="0015270F">
              <w:rPr>
                <w:rStyle w:val="BookTitle"/>
              </w:rPr>
              <w:t>Physico-chemical</w:t>
            </w:r>
          </w:p>
        </w:tc>
        <w:tc>
          <w:tcPr>
            <w:tcW w:w="2030" w:type="pct"/>
            <w:tcBorders>
              <w:top w:val="single" w:sz="4" w:space="0" w:color="auto"/>
            </w:tcBorders>
          </w:tcPr>
          <w:p w14:paraId="0C3F8004" w14:textId="77777777" w:rsidR="0015270F" w:rsidRPr="0015270F" w:rsidRDefault="0015270F" w:rsidP="0015270F">
            <w:pPr>
              <w:spacing w:before="0" w:after="0"/>
              <w:rPr>
                <w:rStyle w:val="BookTitle"/>
              </w:rPr>
            </w:pPr>
            <w:r w:rsidRPr="0015270F">
              <w:rPr>
                <w:rStyle w:val="BookTitle"/>
              </w:rPr>
              <w:t>Depth (m)</w:t>
            </w:r>
          </w:p>
        </w:tc>
        <w:tc>
          <w:tcPr>
            <w:tcW w:w="1167" w:type="pct"/>
            <w:vMerge w:val="restart"/>
            <w:tcBorders>
              <w:top w:val="single" w:sz="4" w:space="0" w:color="auto"/>
            </w:tcBorders>
          </w:tcPr>
          <w:p w14:paraId="0C3F8005" w14:textId="77777777" w:rsidR="0015270F" w:rsidRPr="0015270F" w:rsidRDefault="0015270F" w:rsidP="0015270F">
            <w:pPr>
              <w:spacing w:before="0" w:after="0"/>
              <w:rPr>
                <w:rStyle w:val="BookTitle"/>
              </w:rPr>
            </w:pPr>
            <w:r w:rsidRPr="0015270F">
              <w:rPr>
                <w:rStyle w:val="BookTitle"/>
              </w:rPr>
              <w:t>Taken continuously through the water column at each site. Sampled with a SeaBird profiler</w:t>
            </w:r>
          </w:p>
          <w:p w14:paraId="0C3F8006" w14:textId="77777777" w:rsidR="0015270F" w:rsidRPr="0015270F" w:rsidRDefault="0015270F" w:rsidP="0015270F">
            <w:pPr>
              <w:spacing w:before="0" w:after="0"/>
              <w:rPr>
                <w:rStyle w:val="BookTitle"/>
              </w:rPr>
            </w:pPr>
            <w:r w:rsidRPr="0015270F">
              <w:rPr>
                <w:rStyle w:val="BookTitle"/>
              </w:rPr>
              <w:t>Not at all sites</w:t>
            </w:r>
          </w:p>
        </w:tc>
        <w:tc>
          <w:tcPr>
            <w:tcW w:w="693" w:type="pct"/>
            <w:tcBorders>
              <w:top w:val="single" w:sz="4" w:space="0" w:color="auto"/>
            </w:tcBorders>
          </w:tcPr>
          <w:p w14:paraId="0C3F8007"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0D" w14:textId="77777777" w:rsidTr="0015270F">
        <w:trPr>
          <w:trHeight w:val="57"/>
          <w:jc w:val="center"/>
        </w:trPr>
        <w:tc>
          <w:tcPr>
            <w:tcW w:w="1110" w:type="pct"/>
          </w:tcPr>
          <w:p w14:paraId="0C3F8009" w14:textId="77777777" w:rsidR="0015270F" w:rsidRPr="0015270F" w:rsidRDefault="0015270F" w:rsidP="0015270F">
            <w:pPr>
              <w:spacing w:before="0" w:after="0"/>
              <w:rPr>
                <w:rStyle w:val="BookTitle"/>
              </w:rPr>
            </w:pPr>
          </w:p>
        </w:tc>
        <w:tc>
          <w:tcPr>
            <w:tcW w:w="2030" w:type="pct"/>
          </w:tcPr>
          <w:p w14:paraId="0C3F800A" w14:textId="77777777" w:rsidR="0015270F" w:rsidRPr="0015270F" w:rsidRDefault="0015270F" w:rsidP="0015270F">
            <w:pPr>
              <w:spacing w:before="0" w:after="0"/>
              <w:rPr>
                <w:rStyle w:val="BookTitle"/>
              </w:rPr>
            </w:pPr>
            <w:r w:rsidRPr="0015270F">
              <w:rPr>
                <w:rStyle w:val="BookTitle"/>
              </w:rPr>
              <w:t>Salinity</w:t>
            </w:r>
          </w:p>
        </w:tc>
        <w:tc>
          <w:tcPr>
            <w:tcW w:w="1167" w:type="pct"/>
            <w:vMerge/>
          </w:tcPr>
          <w:p w14:paraId="0C3F800B" w14:textId="77777777" w:rsidR="0015270F" w:rsidRPr="0015270F" w:rsidRDefault="0015270F" w:rsidP="0015270F">
            <w:pPr>
              <w:spacing w:before="0" w:after="0"/>
              <w:rPr>
                <w:rStyle w:val="BookTitle"/>
              </w:rPr>
            </w:pPr>
          </w:p>
        </w:tc>
        <w:tc>
          <w:tcPr>
            <w:tcW w:w="693" w:type="pct"/>
          </w:tcPr>
          <w:p w14:paraId="0C3F800C"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12" w14:textId="77777777" w:rsidTr="0015270F">
        <w:trPr>
          <w:trHeight w:val="57"/>
          <w:jc w:val="center"/>
        </w:trPr>
        <w:tc>
          <w:tcPr>
            <w:tcW w:w="1110" w:type="pct"/>
          </w:tcPr>
          <w:p w14:paraId="0C3F800E" w14:textId="77777777" w:rsidR="0015270F" w:rsidRPr="0015270F" w:rsidRDefault="0015270F" w:rsidP="0015270F">
            <w:pPr>
              <w:spacing w:before="0" w:after="0"/>
              <w:rPr>
                <w:rStyle w:val="BookTitle"/>
              </w:rPr>
            </w:pPr>
          </w:p>
        </w:tc>
        <w:tc>
          <w:tcPr>
            <w:tcW w:w="2030" w:type="pct"/>
          </w:tcPr>
          <w:p w14:paraId="0C3F800F" w14:textId="77777777" w:rsidR="0015270F" w:rsidRPr="0015270F" w:rsidRDefault="0015270F" w:rsidP="0015270F">
            <w:pPr>
              <w:spacing w:before="0" w:after="0"/>
              <w:rPr>
                <w:rStyle w:val="BookTitle"/>
              </w:rPr>
            </w:pPr>
            <w:r w:rsidRPr="0015270F">
              <w:rPr>
                <w:rStyle w:val="BookTitle"/>
              </w:rPr>
              <w:t>Temperature (˚C)</w:t>
            </w:r>
          </w:p>
        </w:tc>
        <w:tc>
          <w:tcPr>
            <w:tcW w:w="1167" w:type="pct"/>
            <w:vMerge/>
          </w:tcPr>
          <w:p w14:paraId="0C3F8010" w14:textId="77777777" w:rsidR="0015270F" w:rsidRPr="0015270F" w:rsidRDefault="0015270F" w:rsidP="0015270F">
            <w:pPr>
              <w:spacing w:before="0" w:after="0"/>
              <w:rPr>
                <w:rStyle w:val="BookTitle"/>
              </w:rPr>
            </w:pPr>
          </w:p>
        </w:tc>
        <w:tc>
          <w:tcPr>
            <w:tcW w:w="693" w:type="pct"/>
          </w:tcPr>
          <w:p w14:paraId="0C3F8011"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17" w14:textId="77777777" w:rsidTr="0015270F">
        <w:trPr>
          <w:trHeight w:val="57"/>
          <w:jc w:val="center"/>
        </w:trPr>
        <w:tc>
          <w:tcPr>
            <w:tcW w:w="1110" w:type="pct"/>
          </w:tcPr>
          <w:p w14:paraId="0C3F8013" w14:textId="77777777" w:rsidR="0015270F" w:rsidRPr="0015270F" w:rsidRDefault="0015270F" w:rsidP="0015270F">
            <w:pPr>
              <w:spacing w:before="0" w:after="0"/>
              <w:rPr>
                <w:rStyle w:val="BookTitle"/>
              </w:rPr>
            </w:pPr>
          </w:p>
        </w:tc>
        <w:tc>
          <w:tcPr>
            <w:tcW w:w="2030" w:type="pct"/>
          </w:tcPr>
          <w:p w14:paraId="0C3F8014" w14:textId="77777777" w:rsidR="0015270F" w:rsidRPr="0015270F" w:rsidRDefault="0015270F" w:rsidP="0015270F">
            <w:pPr>
              <w:spacing w:before="0" w:after="0"/>
              <w:rPr>
                <w:rStyle w:val="BookTitle"/>
              </w:rPr>
            </w:pPr>
            <w:r w:rsidRPr="0015270F">
              <w:rPr>
                <w:rStyle w:val="BookTitle"/>
              </w:rPr>
              <w:t>Turbidity (ntu)</w:t>
            </w:r>
          </w:p>
        </w:tc>
        <w:tc>
          <w:tcPr>
            <w:tcW w:w="1167" w:type="pct"/>
            <w:vMerge/>
          </w:tcPr>
          <w:p w14:paraId="0C3F8015" w14:textId="77777777" w:rsidR="0015270F" w:rsidRPr="0015270F" w:rsidRDefault="0015270F" w:rsidP="0015270F">
            <w:pPr>
              <w:spacing w:before="0" w:after="0"/>
              <w:rPr>
                <w:rStyle w:val="BookTitle"/>
              </w:rPr>
            </w:pPr>
          </w:p>
        </w:tc>
        <w:tc>
          <w:tcPr>
            <w:tcW w:w="693" w:type="pct"/>
          </w:tcPr>
          <w:p w14:paraId="0C3F8016"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1C" w14:textId="77777777" w:rsidTr="0015270F">
        <w:trPr>
          <w:trHeight w:val="57"/>
          <w:jc w:val="center"/>
        </w:trPr>
        <w:tc>
          <w:tcPr>
            <w:tcW w:w="1110" w:type="pct"/>
            <w:tcBorders>
              <w:bottom w:val="single" w:sz="4" w:space="0" w:color="auto"/>
            </w:tcBorders>
          </w:tcPr>
          <w:p w14:paraId="0C3F8018" w14:textId="77777777" w:rsidR="0015270F" w:rsidRPr="0015270F" w:rsidRDefault="0015270F" w:rsidP="0015270F">
            <w:pPr>
              <w:spacing w:before="0" w:after="0"/>
              <w:rPr>
                <w:rStyle w:val="BookTitle"/>
              </w:rPr>
            </w:pPr>
          </w:p>
        </w:tc>
        <w:tc>
          <w:tcPr>
            <w:tcW w:w="2030" w:type="pct"/>
            <w:tcBorders>
              <w:bottom w:val="single" w:sz="4" w:space="0" w:color="auto"/>
            </w:tcBorders>
          </w:tcPr>
          <w:p w14:paraId="0C3F8019" w14:textId="77777777" w:rsidR="0015270F" w:rsidRPr="0015270F" w:rsidRDefault="0015270F" w:rsidP="0015270F">
            <w:pPr>
              <w:spacing w:before="0" w:after="0"/>
              <w:rPr>
                <w:rStyle w:val="BookTitle"/>
              </w:rPr>
            </w:pPr>
            <w:r w:rsidRPr="0015270F">
              <w:rPr>
                <w:rStyle w:val="BookTitle"/>
              </w:rPr>
              <w:t>Light Attenuation (PAR)*</w:t>
            </w:r>
          </w:p>
        </w:tc>
        <w:tc>
          <w:tcPr>
            <w:tcW w:w="1167" w:type="pct"/>
            <w:vMerge/>
            <w:tcBorders>
              <w:bottom w:val="single" w:sz="4" w:space="0" w:color="auto"/>
            </w:tcBorders>
          </w:tcPr>
          <w:p w14:paraId="0C3F801A" w14:textId="77777777" w:rsidR="0015270F" w:rsidRPr="0015270F" w:rsidRDefault="0015270F" w:rsidP="0015270F">
            <w:pPr>
              <w:spacing w:before="0" w:after="0"/>
              <w:rPr>
                <w:rStyle w:val="BookTitle"/>
              </w:rPr>
            </w:pPr>
          </w:p>
        </w:tc>
        <w:tc>
          <w:tcPr>
            <w:tcW w:w="693" w:type="pct"/>
            <w:tcBorders>
              <w:bottom w:val="single" w:sz="4" w:space="0" w:color="auto"/>
            </w:tcBorders>
          </w:tcPr>
          <w:p w14:paraId="0C3F801B"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21" w14:textId="77777777" w:rsidTr="0015270F">
        <w:trPr>
          <w:trHeight w:val="57"/>
          <w:jc w:val="center"/>
        </w:trPr>
        <w:tc>
          <w:tcPr>
            <w:tcW w:w="1110" w:type="pct"/>
            <w:tcBorders>
              <w:top w:val="single" w:sz="4" w:space="0" w:color="auto"/>
            </w:tcBorders>
          </w:tcPr>
          <w:p w14:paraId="0C3F801D" w14:textId="77777777" w:rsidR="0015270F" w:rsidRPr="0015270F" w:rsidRDefault="0015270F" w:rsidP="0015270F">
            <w:pPr>
              <w:spacing w:before="0" w:after="0"/>
              <w:rPr>
                <w:rStyle w:val="BookTitle"/>
              </w:rPr>
            </w:pPr>
            <w:r w:rsidRPr="0015270F">
              <w:rPr>
                <w:rStyle w:val="BookTitle"/>
              </w:rPr>
              <w:t>Water quality</w:t>
            </w:r>
          </w:p>
        </w:tc>
        <w:tc>
          <w:tcPr>
            <w:tcW w:w="2030" w:type="pct"/>
            <w:tcBorders>
              <w:top w:val="single" w:sz="4" w:space="0" w:color="auto"/>
            </w:tcBorders>
          </w:tcPr>
          <w:p w14:paraId="0C3F801E" w14:textId="77777777" w:rsidR="0015270F" w:rsidRPr="0015270F" w:rsidRDefault="0015270F" w:rsidP="0015270F">
            <w:pPr>
              <w:spacing w:before="0" w:after="0"/>
              <w:rPr>
                <w:rStyle w:val="BookTitle"/>
              </w:rPr>
            </w:pPr>
            <w:r w:rsidRPr="0015270F">
              <w:rPr>
                <w:rStyle w:val="BookTitle"/>
              </w:rPr>
              <w:t>Dissolved nutrients (µM)</w:t>
            </w:r>
          </w:p>
        </w:tc>
        <w:tc>
          <w:tcPr>
            <w:tcW w:w="1167" w:type="pct"/>
            <w:vMerge w:val="restart"/>
            <w:tcBorders>
              <w:top w:val="single" w:sz="4" w:space="0" w:color="auto"/>
            </w:tcBorders>
          </w:tcPr>
          <w:p w14:paraId="0C3F801F" w14:textId="77777777" w:rsidR="0015270F" w:rsidRPr="0015270F" w:rsidRDefault="0015270F" w:rsidP="0015270F">
            <w:pPr>
              <w:spacing w:before="0" w:after="0"/>
              <w:rPr>
                <w:rStyle w:val="BookTitle"/>
              </w:rPr>
            </w:pPr>
            <w:r w:rsidRPr="0015270F">
              <w:rPr>
                <w:rStyle w:val="BookTitle"/>
              </w:rPr>
              <w:t>Surface sampling only</w:t>
            </w:r>
          </w:p>
        </w:tc>
        <w:tc>
          <w:tcPr>
            <w:tcW w:w="693" w:type="pct"/>
            <w:tcBorders>
              <w:top w:val="single" w:sz="4" w:space="0" w:color="auto"/>
            </w:tcBorders>
          </w:tcPr>
          <w:p w14:paraId="0C3F8020"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26" w14:textId="77777777" w:rsidTr="0015270F">
        <w:trPr>
          <w:trHeight w:val="57"/>
          <w:jc w:val="center"/>
        </w:trPr>
        <w:tc>
          <w:tcPr>
            <w:tcW w:w="1110" w:type="pct"/>
          </w:tcPr>
          <w:p w14:paraId="0C3F8022" w14:textId="77777777" w:rsidR="0015270F" w:rsidRPr="0015270F" w:rsidRDefault="0015270F" w:rsidP="0015270F">
            <w:pPr>
              <w:spacing w:before="0" w:after="0"/>
              <w:rPr>
                <w:rStyle w:val="BookTitle"/>
              </w:rPr>
            </w:pPr>
          </w:p>
        </w:tc>
        <w:tc>
          <w:tcPr>
            <w:tcW w:w="2030" w:type="pct"/>
          </w:tcPr>
          <w:p w14:paraId="0C3F8023" w14:textId="77777777" w:rsidR="0015270F" w:rsidRPr="0015270F" w:rsidRDefault="0015270F" w:rsidP="0015270F">
            <w:pPr>
              <w:spacing w:before="0" w:after="0"/>
              <w:rPr>
                <w:rStyle w:val="BookTitle"/>
              </w:rPr>
            </w:pPr>
            <w:r w:rsidRPr="0015270F">
              <w:rPr>
                <w:rStyle w:val="BookTitle"/>
              </w:rPr>
              <w:t>Particulate Nutrients (µM)</w:t>
            </w:r>
          </w:p>
        </w:tc>
        <w:tc>
          <w:tcPr>
            <w:tcW w:w="1167" w:type="pct"/>
            <w:vMerge/>
          </w:tcPr>
          <w:p w14:paraId="0C3F8024" w14:textId="77777777" w:rsidR="0015270F" w:rsidRPr="0015270F" w:rsidRDefault="0015270F" w:rsidP="0015270F">
            <w:pPr>
              <w:spacing w:before="0" w:after="0"/>
              <w:rPr>
                <w:rStyle w:val="BookTitle"/>
              </w:rPr>
            </w:pPr>
          </w:p>
        </w:tc>
        <w:tc>
          <w:tcPr>
            <w:tcW w:w="693" w:type="pct"/>
          </w:tcPr>
          <w:p w14:paraId="0C3F8025"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2B" w14:textId="77777777" w:rsidTr="0015270F">
        <w:trPr>
          <w:trHeight w:val="57"/>
          <w:jc w:val="center"/>
        </w:trPr>
        <w:tc>
          <w:tcPr>
            <w:tcW w:w="1110" w:type="pct"/>
          </w:tcPr>
          <w:p w14:paraId="0C3F8027" w14:textId="77777777" w:rsidR="0015270F" w:rsidRPr="0015270F" w:rsidRDefault="0015270F" w:rsidP="0015270F">
            <w:pPr>
              <w:spacing w:before="0" w:after="0"/>
              <w:rPr>
                <w:rStyle w:val="BookTitle"/>
              </w:rPr>
            </w:pPr>
          </w:p>
        </w:tc>
        <w:tc>
          <w:tcPr>
            <w:tcW w:w="2030" w:type="pct"/>
          </w:tcPr>
          <w:p w14:paraId="0C3F8028" w14:textId="77777777" w:rsidR="0015270F" w:rsidRPr="0015270F" w:rsidRDefault="00782908" w:rsidP="0015270F">
            <w:pPr>
              <w:spacing w:before="0" w:after="0"/>
              <w:rPr>
                <w:rStyle w:val="BookTitle"/>
              </w:rPr>
            </w:pPr>
            <w:r>
              <w:rPr>
                <w:rStyle w:val="BookTitle"/>
              </w:rPr>
              <w:t>Chlorophyll</w:t>
            </w:r>
            <w:r w:rsidR="0015270F" w:rsidRPr="0015270F">
              <w:rPr>
                <w:rStyle w:val="BookTitle"/>
              </w:rPr>
              <w:t>-a (µg/L)</w:t>
            </w:r>
          </w:p>
        </w:tc>
        <w:tc>
          <w:tcPr>
            <w:tcW w:w="1167" w:type="pct"/>
            <w:vMerge/>
          </w:tcPr>
          <w:p w14:paraId="0C3F8029" w14:textId="77777777" w:rsidR="0015270F" w:rsidRPr="0015270F" w:rsidRDefault="0015270F" w:rsidP="0015270F">
            <w:pPr>
              <w:spacing w:before="0" w:after="0"/>
              <w:rPr>
                <w:rStyle w:val="BookTitle"/>
              </w:rPr>
            </w:pPr>
          </w:p>
        </w:tc>
        <w:tc>
          <w:tcPr>
            <w:tcW w:w="693" w:type="pct"/>
          </w:tcPr>
          <w:p w14:paraId="0C3F802A"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30" w14:textId="77777777" w:rsidTr="0015270F">
        <w:trPr>
          <w:trHeight w:val="57"/>
          <w:jc w:val="center"/>
        </w:trPr>
        <w:tc>
          <w:tcPr>
            <w:tcW w:w="1110" w:type="pct"/>
          </w:tcPr>
          <w:p w14:paraId="0C3F802C" w14:textId="77777777" w:rsidR="0015270F" w:rsidRPr="0015270F" w:rsidRDefault="0015270F" w:rsidP="0015270F">
            <w:pPr>
              <w:spacing w:before="0" w:after="0"/>
              <w:rPr>
                <w:rStyle w:val="BookTitle"/>
              </w:rPr>
            </w:pPr>
          </w:p>
        </w:tc>
        <w:tc>
          <w:tcPr>
            <w:tcW w:w="2030" w:type="pct"/>
          </w:tcPr>
          <w:p w14:paraId="0C3F802D" w14:textId="77777777" w:rsidR="0015270F" w:rsidRPr="0015270F" w:rsidRDefault="0015270F" w:rsidP="0015270F">
            <w:pPr>
              <w:spacing w:before="0" w:after="0"/>
              <w:rPr>
                <w:rStyle w:val="BookTitle"/>
              </w:rPr>
            </w:pPr>
            <w:r w:rsidRPr="0015270F">
              <w:rPr>
                <w:rStyle w:val="BookTitle"/>
              </w:rPr>
              <w:t>Phaeophytin (µg/L)</w:t>
            </w:r>
          </w:p>
        </w:tc>
        <w:tc>
          <w:tcPr>
            <w:tcW w:w="1167" w:type="pct"/>
            <w:vMerge/>
          </w:tcPr>
          <w:p w14:paraId="0C3F802E" w14:textId="77777777" w:rsidR="0015270F" w:rsidRPr="0015270F" w:rsidRDefault="0015270F" w:rsidP="0015270F">
            <w:pPr>
              <w:spacing w:before="0" w:after="0"/>
              <w:rPr>
                <w:rStyle w:val="BookTitle"/>
              </w:rPr>
            </w:pPr>
          </w:p>
        </w:tc>
        <w:tc>
          <w:tcPr>
            <w:tcW w:w="693" w:type="pct"/>
          </w:tcPr>
          <w:p w14:paraId="0C3F802F"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35" w14:textId="77777777" w:rsidTr="0015270F">
        <w:trPr>
          <w:trHeight w:val="57"/>
          <w:jc w:val="center"/>
        </w:trPr>
        <w:tc>
          <w:tcPr>
            <w:tcW w:w="1110" w:type="pct"/>
          </w:tcPr>
          <w:p w14:paraId="0C3F8031" w14:textId="77777777" w:rsidR="0015270F" w:rsidRPr="0015270F" w:rsidRDefault="0015270F" w:rsidP="0015270F">
            <w:pPr>
              <w:spacing w:before="0" w:after="0"/>
              <w:rPr>
                <w:rStyle w:val="BookTitle"/>
              </w:rPr>
            </w:pPr>
          </w:p>
        </w:tc>
        <w:tc>
          <w:tcPr>
            <w:tcW w:w="2030" w:type="pct"/>
          </w:tcPr>
          <w:p w14:paraId="0C3F8032" w14:textId="77777777" w:rsidR="0015270F" w:rsidRPr="0015270F" w:rsidRDefault="0015270F" w:rsidP="0015270F">
            <w:pPr>
              <w:spacing w:before="0" w:after="0"/>
              <w:rPr>
                <w:rStyle w:val="BookTitle"/>
              </w:rPr>
            </w:pPr>
            <w:r w:rsidRPr="0015270F">
              <w:rPr>
                <w:rStyle w:val="BookTitle"/>
              </w:rPr>
              <w:t>Total Suspended solids(mg/L)</w:t>
            </w:r>
          </w:p>
        </w:tc>
        <w:tc>
          <w:tcPr>
            <w:tcW w:w="1167" w:type="pct"/>
            <w:vMerge/>
          </w:tcPr>
          <w:p w14:paraId="0C3F8033" w14:textId="77777777" w:rsidR="0015270F" w:rsidRPr="0015270F" w:rsidRDefault="0015270F" w:rsidP="0015270F">
            <w:pPr>
              <w:spacing w:before="0" w:after="0"/>
              <w:rPr>
                <w:rStyle w:val="BookTitle"/>
              </w:rPr>
            </w:pPr>
          </w:p>
        </w:tc>
        <w:tc>
          <w:tcPr>
            <w:tcW w:w="693" w:type="pct"/>
          </w:tcPr>
          <w:p w14:paraId="0C3F8034"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3A" w14:textId="77777777" w:rsidTr="0015270F">
        <w:trPr>
          <w:trHeight w:val="57"/>
          <w:jc w:val="center"/>
        </w:trPr>
        <w:tc>
          <w:tcPr>
            <w:tcW w:w="1110" w:type="pct"/>
          </w:tcPr>
          <w:p w14:paraId="0C3F8036" w14:textId="77777777" w:rsidR="0015270F" w:rsidRPr="0015270F" w:rsidRDefault="0015270F" w:rsidP="0015270F">
            <w:pPr>
              <w:spacing w:before="0" w:after="0"/>
              <w:rPr>
                <w:rStyle w:val="BookTitle"/>
              </w:rPr>
            </w:pPr>
          </w:p>
        </w:tc>
        <w:tc>
          <w:tcPr>
            <w:tcW w:w="2030" w:type="pct"/>
          </w:tcPr>
          <w:p w14:paraId="0C3F8037" w14:textId="77777777" w:rsidR="0015270F" w:rsidRPr="0015270F" w:rsidRDefault="0015270F" w:rsidP="0015270F">
            <w:pPr>
              <w:spacing w:before="0" w:after="0"/>
              <w:rPr>
                <w:rStyle w:val="BookTitle"/>
              </w:rPr>
            </w:pPr>
            <w:r w:rsidRPr="0015270F">
              <w:rPr>
                <w:rStyle w:val="BookTitle"/>
              </w:rPr>
              <w:t>Coloured Dissolved Organic Matter (443 m</w:t>
            </w:r>
            <w:r w:rsidRPr="00935052">
              <w:rPr>
                <w:rStyle w:val="BookTitle"/>
                <w:vertAlign w:val="superscript"/>
              </w:rPr>
              <w:t>-1</w:t>
            </w:r>
            <w:r w:rsidRPr="0015270F">
              <w:rPr>
                <w:rStyle w:val="BookTitle"/>
              </w:rPr>
              <w:t>)</w:t>
            </w:r>
          </w:p>
        </w:tc>
        <w:tc>
          <w:tcPr>
            <w:tcW w:w="1167" w:type="pct"/>
            <w:vMerge/>
          </w:tcPr>
          <w:p w14:paraId="0C3F8038" w14:textId="77777777" w:rsidR="0015270F" w:rsidRPr="0015270F" w:rsidRDefault="0015270F" w:rsidP="0015270F">
            <w:pPr>
              <w:spacing w:before="0" w:after="0"/>
              <w:rPr>
                <w:rStyle w:val="BookTitle"/>
              </w:rPr>
            </w:pPr>
          </w:p>
        </w:tc>
        <w:tc>
          <w:tcPr>
            <w:tcW w:w="693" w:type="pct"/>
          </w:tcPr>
          <w:p w14:paraId="0C3F8039" w14:textId="77777777" w:rsidR="0015270F" w:rsidRPr="0015270F" w:rsidRDefault="0015270F" w:rsidP="0015270F">
            <w:pPr>
              <w:spacing w:before="0" w:after="0"/>
              <w:rPr>
                <w:rStyle w:val="BookTitle"/>
              </w:rPr>
            </w:pPr>
            <w:r w:rsidRPr="0015270F">
              <w:rPr>
                <w:rStyle w:val="BookTitle"/>
              </w:rPr>
              <w:sym w:font="Symbol" w:char="F0D6"/>
            </w:r>
          </w:p>
        </w:tc>
      </w:tr>
      <w:tr w:rsidR="0015270F" w:rsidRPr="0015270F" w14:paraId="0C3F803F" w14:textId="77777777" w:rsidTr="0015270F">
        <w:trPr>
          <w:trHeight w:val="57"/>
          <w:jc w:val="center"/>
        </w:trPr>
        <w:tc>
          <w:tcPr>
            <w:tcW w:w="1110" w:type="pct"/>
            <w:tcBorders>
              <w:bottom w:val="single" w:sz="4" w:space="0" w:color="auto"/>
            </w:tcBorders>
          </w:tcPr>
          <w:p w14:paraId="0C3F803B" w14:textId="77777777" w:rsidR="0015270F" w:rsidRPr="0015270F" w:rsidRDefault="0015270F" w:rsidP="0015270F">
            <w:pPr>
              <w:spacing w:before="0" w:after="0"/>
              <w:rPr>
                <w:rStyle w:val="BookTitle"/>
              </w:rPr>
            </w:pPr>
          </w:p>
        </w:tc>
        <w:tc>
          <w:tcPr>
            <w:tcW w:w="2030" w:type="pct"/>
            <w:tcBorders>
              <w:bottom w:val="single" w:sz="4" w:space="0" w:color="auto"/>
            </w:tcBorders>
          </w:tcPr>
          <w:p w14:paraId="0C3F803C" w14:textId="77777777" w:rsidR="0015270F" w:rsidRPr="0015270F" w:rsidRDefault="0015270F" w:rsidP="0015270F">
            <w:pPr>
              <w:spacing w:before="0" w:after="0"/>
              <w:rPr>
                <w:rStyle w:val="BookTitle"/>
              </w:rPr>
            </w:pPr>
            <w:r w:rsidRPr="0015270F">
              <w:rPr>
                <w:rStyle w:val="BookTitle"/>
              </w:rPr>
              <w:t>Pesticides (PS-II herbicides) (ng/L)*</w:t>
            </w:r>
          </w:p>
        </w:tc>
        <w:tc>
          <w:tcPr>
            <w:tcW w:w="1167" w:type="pct"/>
            <w:tcBorders>
              <w:bottom w:val="single" w:sz="4" w:space="0" w:color="auto"/>
            </w:tcBorders>
          </w:tcPr>
          <w:p w14:paraId="0C3F803D" w14:textId="77777777" w:rsidR="0015270F" w:rsidRPr="0015270F" w:rsidRDefault="0015270F" w:rsidP="0015270F">
            <w:pPr>
              <w:spacing w:before="0" w:after="0"/>
              <w:rPr>
                <w:rStyle w:val="BookTitle"/>
              </w:rPr>
            </w:pPr>
          </w:p>
        </w:tc>
        <w:tc>
          <w:tcPr>
            <w:tcW w:w="693" w:type="pct"/>
            <w:tcBorders>
              <w:bottom w:val="single" w:sz="4" w:space="0" w:color="auto"/>
            </w:tcBorders>
          </w:tcPr>
          <w:p w14:paraId="0C3F803E" w14:textId="77777777" w:rsidR="0015270F" w:rsidRPr="0015270F" w:rsidRDefault="0015270F" w:rsidP="0015270F">
            <w:pPr>
              <w:spacing w:before="0" w:after="0"/>
              <w:rPr>
                <w:rStyle w:val="BookTitle"/>
              </w:rPr>
            </w:pPr>
          </w:p>
        </w:tc>
      </w:tr>
      <w:tr w:rsidR="0015270F" w:rsidRPr="0015270F" w14:paraId="0C3F8044" w14:textId="77777777" w:rsidTr="0015270F">
        <w:trPr>
          <w:trHeight w:val="57"/>
          <w:jc w:val="center"/>
        </w:trPr>
        <w:tc>
          <w:tcPr>
            <w:tcW w:w="1110" w:type="pct"/>
            <w:tcBorders>
              <w:top w:val="single" w:sz="4" w:space="0" w:color="auto"/>
              <w:bottom w:val="single" w:sz="4" w:space="0" w:color="auto"/>
            </w:tcBorders>
          </w:tcPr>
          <w:p w14:paraId="0C3F8040" w14:textId="77777777" w:rsidR="0015270F" w:rsidRPr="0015270F" w:rsidRDefault="0015270F" w:rsidP="0015270F">
            <w:pPr>
              <w:spacing w:before="0" w:after="0"/>
              <w:rPr>
                <w:rStyle w:val="BookTitle"/>
              </w:rPr>
            </w:pPr>
            <w:r w:rsidRPr="0015270F">
              <w:rPr>
                <w:rStyle w:val="BookTitle"/>
              </w:rPr>
              <w:t>Biological</w:t>
            </w:r>
          </w:p>
        </w:tc>
        <w:tc>
          <w:tcPr>
            <w:tcW w:w="2030" w:type="pct"/>
            <w:tcBorders>
              <w:top w:val="single" w:sz="4" w:space="0" w:color="auto"/>
              <w:bottom w:val="single" w:sz="4" w:space="0" w:color="auto"/>
            </w:tcBorders>
          </w:tcPr>
          <w:p w14:paraId="0C3F8041" w14:textId="77777777" w:rsidR="0015270F" w:rsidRPr="0015270F" w:rsidRDefault="0015270F" w:rsidP="0015270F">
            <w:pPr>
              <w:spacing w:before="0" w:after="0"/>
              <w:rPr>
                <w:rStyle w:val="BookTitle"/>
              </w:rPr>
            </w:pPr>
            <w:r w:rsidRPr="0015270F">
              <w:rPr>
                <w:rStyle w:val="BookTitle"/>
              </w:rPr>
              <w:t>Phytoplankton counts*</w:t>
            </w:r>
          </w:p>
        </w:tc>
        <w:tc>
          <w:tcPr>
            <w:tcW w:w="1167" w:type="pct"/>
            <w:tcBorders>
              <w:top w:val="single" w:sz="4" w:space="0" w:color="auto"/>
              <w:bottom w:val="single" w:sz="4" w:space="0" w:color="auto"/>
            </w:tcBorders>
          </w:tcPr>
          <w:p w14:paraId="0C3F8042" w14:textId="77777777" w:rsidR="0015270F" w:rsidRPr="0015270F" w:rsidRDefault="0015270F" w:rsidP="0015270F">
            <w:pPr>
              <w:spacing w:before="0" w:after="0"/>
              <w:rPr>
                <w:rStyle w:val="BookTitle"/>
              </w:rPr>
            </w:pPr>
          </w:p>
        </w:tc>
        <w:tc>
          <w:tcPr>
            <w:tcW w:w="693" w:type="pct"/>
            <w:tcBorders>
              <w:top w:val="single" w:sz="4" w:space="0" w:color="auto"/>
              <w:bottom w:val="single" w:sz="4" w:space="0" w:color="auto"/>
            </w:tcBorders>
          </w:tcPr>
          <w:p w14:paraId="0C3F8043" w14:textId="77777777" w:rsidR="0015270F" w:rsidRPr="0015270F" w:rsidRDefault="0015270F" w:rsidP="0015270F">
            <w:pPr>
              <w:spacing w:before="0" w:after="0"/>
              <w:rPr>
                <w:rStyle w:val="BookTitle"/>
              </w:rPr>
            </w:pPr>
          </w:p>
        </w:tc>
      </w:tr>
    </w:tbl>
    <w:p w14:paraId="0C3F8045" w14:textId="77777777" w:rsidR="0015270F" w:rsidRPr="0015270F" w:rsidRDefault="0015270F" w:rsidP="0015270F">
      <w:pPr>
        <w:rPr>
          <w:sz w:val="18"/>
          <w:szCs w:val="18"/>
        </w:rPr>
      </w:pPr>
      <w:r w:rsidRPr="0015270F">
        <w:rPr>
          <w:sz w:val="18"/>
          <w:szCs w:val="18"/>
        </w:rPr>
        <w:t xml:space="preserve">* </w:t>
      </w:r>
      <w:r w:rsidR="00EA39D4">
        <w:rPr>
          <w:sz w:val="18"/>
          <w:szCs w:val="18"/>
        </w:rPr>
        <w:t>not sampled at all sites</w:t>
      </w:r>
    </w:p>
    <w:p w14:paraId="0C3F8046" w14:textId="77777777" w:rsidR="0015270F" w:rsidRDefault="0015270F" w:rsidP="00C05A63">
      <w:pPr>
        <w:pStyle w:val="Heading2"/>
        <w:keepNext/>
        <w:numPr>
          <w:ilvl w:val="2"/>
          <w:numId w:val="13"/>
        </w:numPr>
        <w:spacing w:line="80" w:lineRule="atLeast"/>
      </w:pPr>
      <w:bookmarkStart w:id="108" w:name="_Toc428793317"/>
      <w:bookmarkStart w:id="109" w:name="_Toc428851336"/>
      <w:bookmarkStart w:id="110" w:name="_Toc434207996"/>
      <w:r>
        <w:t>Data analysis - spatial</w:t>
      </w:r>
      <w:bookmarkEnd w:id="108"/>
      <w:bookmarkEnd w:id="109"/>
      <w:bookmarkEnd w:id="110"/>
    </w:p>
    <w:p w14:paraId="0C3F8047" w14:textId="77777777" w:rsidR="0015270F" w:rsidRDefault="006D2F0A" w:rsidP="0015270F">
      <w:r>
        <w:t xml:space="preserve">Four </w:t>
      </w:r>
      <w:r w:rsidR="0015270F">
        <w:t xml:space="preserve">strategies were adopted in order to analyse the sampled data. Firstly, </w:t>
      </w:r>
      <w:r>
        <w:t xml:space="preserve">mixing </w:t>
      </w:r>
      <w:r w:rsidR="0015270F">
        <w:t xml:space="preserve">plots were produced for each WQ parameter grouped by </w:t>
      </w:r>
      <w:r>
        <w:t>sampling events for the main sampled rivers (i.e., rivers with more than 20 samples: Tully, Herbert, and Burdekin)</w:t>
      </w:r>
      <w:r w:rsidR="003C19C2">
        <w:t xml:space="preserve">. </w:t>
      </w:r>
      <w:r w:rsidR="00DC605B">
        <w:t xml:space="preserve">The WQ parameters sampled in the Tully, Herbert and Burdekin </w:t>
      </w:r>
      <w:r w:rsidR="003C19C2">
        <w:t xml:space="preserve">area </w:t>
      </w:r>
      <w:r>
        <w:t xml:space="preserve">were </w:t>
      </w:r>
      <w:r w:rsidR="003C19C2">
        <w:t>also</w:t>
      </w:r>
      <w:r w:rsidR="00DC605B">
        <w:t xml:space="preserve"> plotted against two parameters: (a) the distance between the sampling site and the nearest (or influential) river mouth, (b) 5-days average river discharge calculated from the sampling date. </w:t>
      </w:r>
      <w:r w:rsidR="0015270F">
        <w:t>These plots aimed to investigate the temporal and spatial variation of the sampled WQ parameters and describe the influence of river discharge. In order to facilitate the identification of WQ patterns, a non-parametric fitting curve (</w:t>
      </w:r>
      <w:r w:rsidR="0015270F" w:rsidRPr="0015270F">
        <w:rPr>
          <w:i/>
        </w:rPr>
        <w:t>loess</w:t>
      </w:r>
      <w:r w:rsidR="0015270F">
        <w:t xml:space="preserve"> model, see Crawley, 2007) was adjusted to the data.</w:t>
      </w:r>
      <w:r w:rsidR="0015270F" w:rsidRPr="00D85611">
        <w:t xml:space="preserve"> </w:t>
      </w:r>
      <w:r w:rsidR="0015270F">
        <w:t xml:space="preserve">For the distance calculation, sites were assigned to the nearest (or influential) river based on the site </w:t>
      </w:r>
      <w:r w:rsidR="0015270F" w:rsidRPr="00DC605B">
        <w:t>locat</w:t>
      </w:r>
      <w:r w:rsidR="00BD7FB0" w:rsidRPr="00DC605B">
        <w:t xml:space="preserve">ion. </w:t>
      </w:r>
      <w:r w:rsidR="00DC605B">
        <w:t>The “</w:t>
      </w:r>
      <w:r w:rsidR="0015270F" w:rsidRPr="00DC605B">
        <w:rPr>
          <w:rFonts w:cs="Courier New"/>
        </w:rPr>
        <w:t>5-day</w:t>
      </w:r>
      <w:r w:rsidR="00DC605B">
        <w:rPr>
          <w:rFonts w:cs="Courier New"/>
        </w:rPr>
        <w:t>”</w:t>
      </w:r>
      <w:r w:rsidR="0015270F" w:rsidRPr="0015270F">
        <w:rPr>
          <w:rFonts w:cs="Courier New"/>
        </w:rPr>
        <w:t xml:space="preserve"> average was arbitrarily selected as a way to represent a potential delay between water passing the river gauge measurements (average dist. ~36 km from river mouth, ranging from 6 – 91 km) and the measurement at the sampling site (within 1 – 270 km from the river mouth, average dist. ~47 km).</w:t>
      </w:r>
      <w:r w:rsidR="00DC605B">
        <w:t xml:space="preserve"> Furthermore, </w:t>
      </w:r>
      <w:r w:rsidR="0015270F">
        <w:t xml:space="preserve">a correlation table was produced comparing </w:t>
      </w:r>
      <w:r w:rsidR="0015270F" w:rsidRPr="00DC605B">
        <w:t xml:space="preserve">each </w:t>
      </w:r>
      <w:r w:rsidR="0095562E" w:rsidRPr="00DC605B">
        <w:t>water quality</w:t>
      </w:r>
      <w:r w:rsidR="0015270F" w:rsidRPr="00DC605B">
        <w:t xml:space="preserve"> parameter</w:t>
      </w:r>
      <w:r w:rsidR="00DC605B" w:rsidRPr="00DC605B">
        <w:t>,</w:t>
      </w:r>
      <w:r w:rsidR="0015270F" w:rsidRPr="00DC605B">
        <w:t xml:space="preserve"> grouped</w:t>
      </w:r>
      <w:r w:rsidR="0015270F">
        <w:t xml:space="preserve"> by river</w:t>
      </w:r>
      <w:r w:rsidR="00DC605B">
        <w:t>,</w:t>
      </w:r>
      <w:r w:rsidR="0015270F">
        <w:t xml:space="preserve"> </w:t>
      </w:r>
      <w:r w:rsidR="00DC605B">
        <w:t xml:space="preserve">against </w:t>
      </w:r>
      <w:r w:rsidR="0015270F">
        <w:t xml:space="preserve">the two supporting parameters (i.e., distance and discharge). Correlations were </w:t>
      </w:r>
      <w:r w:rsidR="0015270F" w:rsidRPr="00CD4E47">
        <w:t xml:space="preserve">calculated using the Spearman's rank correlation coefficient because </w:t>
      </w:r>
      <w:r w:rsidR="00DC605B">
        <w:t xml:space="preserve">the majority of </w:t>
      </w:r>
      <w:r w:rsidR="003C19C2">
        <w:t xml:space="preserve">the </w:t>
      </w:r>
      <w:r w:rsidR="003C19C2" w:rsidRPr="00CD4E47">
        <w:t>variables</w:t>
      </w:r>
      <w:r w:rsidR="0015270F" w:rsidRPr="00CD4E47">
        <w:t xml:space="preserve"> did </w:t>
      </w:r>
      <w:r w:rsidR="00DC605B">
        <w:t xml:space="preserve">not present normal </w:t>
      </w:r>
      <w:r w:rsidR="003C19C2">
        <w:t>distribution (</w:t>
      </w:r>
      <w:r w:rsidR="0015270F">
        <w:fldChar w:fldCharType="begin"/>
      </w:r>
      <w:r w:rsidR="0015270F">
        <w:instrText xml:space="preserve"> REF _Ref428787955 \h  \* MERGEFORMAT </w:instrText>
      </w:r>
      <w:r w:rsidR="0015270F">
        <w:fldChar w:fldCharType="separate"/>
      </w:r>
      <w:r w:rsidR="00B62B50">
        <w:t xml:space="preserve">Table </w:t>
      </w:r>
      <w:r w:rsidR="00B62B50">
        <w:rPr>
          <w:noProof/>
        </w:rPr>
        <w:t>4</w:t>
      </w:r>
      <w:r w:rsidR="00B62B50">
        <w:rPr>
          <w:noProof/>
        </w:rPr>
        <w:noBreakHyphen/>
        <w:t>3</w:t>
      </w:r>
      <w:r w:rsidR="0015270F">
        <w:fldChar w:fldCharType="end"/>
      </w:r>
      <w:r w:rsidR="0015270F">
        <w:t>).</w:t>
      </w:r>
    </w:p>
    <w:p w14:paraId="0C3F8048" w14:textId="77777777" w:rsidR="00162359" w:rsidRDefault="00162359" w:rsidP="0015270F"/>
    <w:p w14:paraId="0C3F8049" w14:textId="77777777" w:rsidR="00162359" w:rsidRDefault="00162359" w:rsidP="0015270F"/>
    <w:p w14:paraId="0C3F804A" w14:textId="77777777" w:rsidR="0015270F" w:rsidRPr="0015270F" w:rsidRDefault="0015270F" w:rsidP="0095562E">
      <w:pPr>
        <w:pStyle w:val="Caption"/>
      </w:pPr>
      <w:bookmarkStart w:id="111" w:name="_Ref428787955"/>
      <w:bookmarkStart w:id="112" w:name="_Toc434208070"/>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3</w:t>
      </w:r>
      <w:r w:rsidR="00AE4287">
        <w:fldChar w:fldCharType="end"/>
      </w:r>
      <w:bookmarkEnd w:id="111"/>
      <w:r>
        <w:t xml:space="preserve">: </w:t>
      </w:r>
      <w:r w:rsidRPr="0015270F">
        <w:t>Summary of statistical analysis</w:t>
      </w:r>
      <w:r w:rsidR="00BD7FB0">
        <w:t xml:space="preserve"> techniques exploring spatial variation</w:t>
      </w:r>
      <w:r w:rsidRPr="0015270F">
        <w:t xml:space="preserve"> applied to the WQ parameters sampled </w:t>
      </w:r>
      <w:r w:rsidR="00BD7FB0">
        <w:t>within the wet 2012-2013 wet season.</w:t>
      </w:r>
      <w:bookmarkEnd w:id="112"/>
    </w:p>
    <w:tbl>
      <w:tblPr>
        <w:tblW w:w="9404" w:type="dxa"/>
        <w:tblInd w:w="93" w:type="dxa"/>
        <w:tblLook w:val="04A0" w:firstRow="1" w:lastRow="0" w:firstColumn="1" w:lastColumn="0" w:noHBand="0" w:noVBand="1"/>
      </w:tblPr>
      <w:tblGrid>
        <w:gridCol w:w="1275"/>
        <w:gridCol w:w="3971"/>
        <w:gridCol w:w="4158"/>
      </w:tblGrid>
      <w:tr w:rsidR="0015270F" w:rsidRPr="0015270F" w14:paraId="0C3F804E" w14:textId="77777777" w:rsidTr="00282ECB">
        <w:trPr>
          <w:trHeight w:val="170"/>
        </w:trPr>
        <w:tc>
          <w:tcPr>
            <w:tcW w:w="1275" w:type="dxa"/>
            <w:tcBorders>
              <w:top w:val="single" w:sz="4" w:space="0" w:color="auto"/>
              <w:left w:val="nil"/>
              <w:bottom w:val="single" w:sz="4" w:space="0" w:color="auto"/>
              <w:right w:val="nil"/>
            </w:tcBorders>
            <w:shd w:val="clear" w:color="auto" w:fill="auto"/>
            <w:noWrap/>
            <w:vAlign w:val="center"/>
            <w:hideMark/>
          </w:tcPr>
          <w:p w14:paraId="0C3F804B" w14:textId="77777777" w:rsidR="0015270F" w:rsidRPr="0015270F" w:rsidRDefault="0015270F" w:rsidP="0015270F">
            <w:pPr>
              <w:spacing w:before="0" w:after="0"/>
              <w:rPr>
                <w:rStyle w:val="BookTitle"/>
              </w:rPr>
            </w:pPr>
            <w:r w:rsidRPr="0015270F">
              <w:rPr>
                <w:rStyle w:val="BookTitle"/>
              </w:rPr>
              <w:t>Statistical approach</w:t>
            </w:r>
          </w:p>
        </w:tc>
        <w:tc>
          <w:tcPr>
            <w:tcW w:w="3971" w:type="dxa"/>
            <w:tcBorders>
              <w:top w:val="single" w:sz="4" w:space="0" w:color="auto"/>
              <w:left w:val="nil"/>
              <w:bottom w:val="single" w:sz="4" w:space="0" w:color="auto"/>
              <w:right w:val="nil"/>
            </w:tcBorders>
            <w:shd w:val="clear" w:color="auto" w:fill="auto"/>
            <w:noWrap/>
            <w:vAlign w:val="center"/>
            <w:hideMark/>
          </w:tcPr>
          <w:p w14:paraId="0C3F804C" w14:textId="77777777" w:rsidR="0015270F" w:rsidRPr="0015270F" w:rsidRDefault="0015270F" w:rsidP="0015270F">
            <w:pPr>
              <w:spacing w:before="0" w:after="0"/>
              <w:rPr>
                <w:rStyle w:val="BookTitle"/>
              </w:rPr>
            </w:pPr>
            <w:r w:rsidRPr="0015270F">
              <w:rPr>
                <w:rStyle w:val="BookTitle"/>
              </w:rPr>
              <w:t>Data set used and method</w:t>
            </w:r>
          </w:p>
        </w:tc>
        <w:tc>
          <w:tcPr>
            <w:tcW w:w="4158" w:type="dxa"/>
            <w:tcBorders>
              <w:top w:val="single" w:sz="4" w:space="0" w:color="auto"/>
              <w:left w:val="nil"/>
              <w:bottom w:val="single" w:sz="4" w:space="0" w:color="auto"/>
              <w:right w:val="nil"/>
            </w:tcBorders>
            <w:shd w:val="clear" w:color="auto" w:fill="auto"/>
            <w:noWrap/>
            <w:vAlign w:val="center"/>
            <w:hideMark/>
          </w:tcPr>
          <w:p w14:paraId="0C3F804D" w14:textId="77777777" w:rsidR="0015270F" w:rsidRPr="0015270F" w:rsidRDefault="0015270F" w:rsidP="0015270F">
            <w:pPr>
              <w:spacing w:before="0" w:after="0"/>
              <w:rPr>
                <w:rStyle w:val="BookTitle"/>
              </w:rPr>
            </w:pPr>
            <w:r w:rsidRPr="0015270F">
              <w:rPr>
                <w:rStyle w:val="BookTitle"/>
              </w:rPr>
              <w:t>Potential outcome</w:t>
            </w:r>
          </w:p>
        </w:tc>
      </w:tr>
      <w:tr w:rsidR="00282ECB" w:rsidRPr="0015270F" w14:paraId="0C3F8052" w14:textId="77777777" w:rsidTr="00282ECB">
        <w:trPr>
          <w:trHeight w:val="170"/>
        </w:trPr>
        <w:tc>
          <w:tcPr>
            <w:tcW w:w="1275" w:type="dxa"/>
            <w:tcBorders>
              <w:top w:val="single" w:sz="4" w:space="0" w:color="auto"/>
              <w:left w:val="nil"/>
              <w:right w:val="nil"/>
            </w:tcBorders>
            <w:shd w:val="clear" w:color="auto" w:fill="auto"/>
            <w:noWrap/>
            <w:vAlign w:val="center"/>
          </w:tcPr>
          <w:p w14:paraId="0C3F804F" w14:textId="77777777" w:rsidR="00282ECB" w:rsidRPr="0015270F" w:rsidRDefault="006D2F0A" w:rsidP="0015270F">
            <w:pPr>
              <w:spacing w:before="0" w:after="0"/>
              <w:rPr>
                <w:rStyle w:val="BookTitle"/>
              </w:rPr>
            </w:pPr>
            <w:r>
              <w:rPr>
                <w:rStyle w:val="BookTitle"/>
              </w:rPr>
              <w:t xml:space="preserve">Mixing </w:t>
            </w:r>
            <w:r w:rsidR="00282ECB">
              <w:rPr>
                <w:rStyle w:val="BookTitle"/>
              </w:rPr>
              <w:t>plots</w:t>
            </w:r>
          </w:p>
        </w:tc>
        <w:tc>
          <w:tcPr>
            <w:tcW w:w="3971" w:type="dxa"/>
            <w:tcBorders>
              <w:top w:val="single" w:sz="4" w:space="0" w:color="auto"/>
              <w:left w:val="nil"/>
              <w:right w:val="nil"/>
            </w:tcBorders>
            <w:shd w:val="clear" w:color="auto" w:fill="auto"/>
            <w:noWrap/>
            <w:vAlign w:val="center"/>
          </w:tcPr>
          <w:p w14:paraId="0C3F8050" w14:textId="77777777" w:rsidR="00282ECB" w:rsidRPr="0015270F" w:rsidRDefault="00282ECB" w:rsidP="006D2F0A">
            <w:pPr>
              <w:spacing w:before="0" w:after="0"/>
              <w:rPr>
                <w:rStyle w:val="BookTitle"/>
              </w:rPr>
            </w:pPr>
            <w:r w:rsidRPr="0015270F">
              <w:rPr>
                <w:rStyle w:val="BookTitle"/>
              </w:rPr>
              <w:t xml:space="preserve">2012-2013 WQ data grouped by </w:t>
            </w:r>
            <w:r w:rsidR="006D2F0A">
              <w:rPr>
                <w:rStyle w:val="BookTitle"/>
              </w:rPr>
              <w:t>sampling events</w:t>
            </w:r>
            <w:r w:rsidR="006D2F0A" w:rsidRPr="0015270F">
              <w:rPr>
                <w:rStyle w:val="BookTitle"/>
              </w:rPr>
              <w:t xml:space="preserve"> </w:t>
            </w:r>
            <w:r w:rsidRPr="0015270F">
              <w:rPr>
                <w:rStyle w:val="BookTitle"/>
              </w:rPr>
              <w:t>against salinity</w:t>
            </w:r>
            <w:r>
              <w:rPr>
                <w:rStyle w:val="BookTitle"/>
              </w:rPr>
              <w:t>. Lower salinity point taken by average NRM value &lt; 5ppt</w:t>
            </w:r>
          </w:p>
        </w:tc>
        <w:tc>
          <w:tcPr>
            <w:tcW w:w="4158" w:type="dxa"/>
            <w:tcBorders>
              <w:top w:val="single" w:sz="4" w:space="0" w:color="auto"/>
              <w:left w:val="nil"/>
              <w:right w:val="nil"/>
            </w:tcBorders>
            <w:shd w:val="clear" w:color="auto" w:fill="auto"/>
            <w:noWrap/>
            <w:vAlign w:val="center"/>
          </w:tcPr>
          <w:p w14:paraId="0C3F8051" w14:textId="77777777" w:rsidR="00282ECB" w:rsidRPr="0015270F" w:rsidRDefault="00282ECB" w:rsidP="006D2F0A">
            <w:pPr>
              <w:spacing w:before="0" w:after="0"/>
              <w:rPr>
                <w:rStyle w:val="BookTitle"/>
              </w:rPr>
            </w:pPr>
            <w:r>
              <w:rPr>
                <w:rStyle w:val="BookTitle"/>
              </w:rPr>
              <w:t xml:space="preserve">Scatter plots identifying </w:t>
            </w:r>
            <w:r w:rsidR="006D2F0A">
              <w:rPr>
                <w:rStyle w:val="BookTitle"/>
              </w:rPr>
              <w:t xml:space="preserve">superficial mixing profiles </w:t>
            </w:r>
            <w:r>
              <w:rPr>
                <w:rStyle w:val="BookTitle"/>
              </w:rPr>
              <w:t xml:space="preserve">and </w:t>
            </w:r>
            <w:r w:rsidR="006D2F0A">
              <w:rPr>
                <w:rStyle w:val="BookTitle"/>
              </w:rPr>
              <w:t xml:space="preserve">WQ parameter </w:t>
            </w:r>
            <w:r>
              <w:rPr>
                <w:rStyle w:val="BookTitle"/>
              </w:rPr>
              <w:t>reduction from a potential freshwater value</w:t>
            </w:r>
          </w:p>
        </w:tc>
      </w:tr>
      <w:tr w:rsidR="0015270F" w:rsidRPr="0015270F" w14:paraId="0C3F8056" w14:textId="77777777" w:rsidTr="00282ECB">
        <w:trPr>
          <w:trHeight w:val="170"/>
        </w:trPr>
        <w:tc>
          <w:tcPr>
            <w:tcW w:w="1275" w:type="dxa"/>
            <w:tcBorders>
              <w:left w:val="nil"/>
              <w:bottom w:val="nil"/>
              <w:right w:val="nil"/>
            </w:tcBorders>
            <w:shd w:val="clear" w:color="auto" w:fill="auto"/>
            <w:noWrap/>
            <w:vAlign w:val="center"/>
            <w:hideMark/>
          </w:tcPr>
          <w:p w14:paraId="0C3F8053" w14:textId="77777777" w:rsidR="0015270F" w:rsidRPr="0015270F" w:rsidRDefault="0015270F" w:rsidP="0015270F">
            <w:pPr>
              <w:spacing w:before="0" w:after="0"/>
              <w:rPr>
                <w:rStyle w:val="BookTitle"/>
              </w:rPr>
            </w:pPr>
            <w:r w:rsidRPr="0015270F">
              <w:rPr>
                <w:rStyle w:val="BookTitle"/>
              </w:rPr>
              <w:t>Scatter plots</w:t>
            </w:r>
          </w:p>
        </w:tc>
        <w:tc>
          <w:tcPr>
            <w:tcW w:w="3971" w:type="dxa"/>
            <w:tcBorders>
              <w:left w:val="nil"/>
              <w:bottom w:val="nil"/>
              <w:right w:val="nil"/>
            </w:tcBorders>
            <w:shd w:val="clear" w:color="auto" w:fill="auto"/>
            <w:noWrap/>
            <w:vAlign w:val="center"/>
            <w:hideMark/>
          </w:tcPr>
          <w:p w14:paraId="0C3F8054" w14:textId="77777777" w:rsidR="0015270F" w:rsidRPr="0015270F" w:rsidRDefault="0015270F" w:rsidP="006D2F0A">
            <w:pPr>
              <w:spacing w:before="0" w:after="0"/>
              <w:rPr>
                <w:rStyle w:val="BookTitle"/>
              </w:rPr>
            </w:pPr>
            <w:r w:rsidRPr="0015270F">
              <w:rPr>
                <w:rStyle w:val="BookTitle"/>
              </w:rPr>
              <w:t xml:space="preserve">2012-2013 WQ data grouped by </w:t>
            </w:r>
            <w:r w:rsidR="006D2F0A">
              <w:rPr>
                <w:rStyle w:val="BookTitle"/>
              </w:rPr>
              <w:t>River</w:t>
            </w:r>
            <w:r w:rsidR="006D2F0A" w:rsidRPr="0015270F">
              <w:rPr>
                <w:rStyle w:val="BookTitle"/>
              </w:rPr>
              <w:t xml:space="preserve"> </w:t>
            </w:r>
            <w:r w:rsidRPr="0015270F">
              <w:rPr>
                <w:rStyle w:val="BookTitle"/>
              </w:rPr>
              <w:t>against distance and discharge</w:t>
            </w:r>
          </w:p>
        </w:tc>
        <w:tc>
          <w:tcPr>
            <w:tcW w:w="4158" w:type="dxa"/>
            <w:tcBorders>
              <w:left w:val="nil"/>
              <w:bottom w:val="nil"/>
              <w:right w:val="nil"/>
            </w:tcBorders>
            <w:shd w:val="clear" w:color="auto" w:fill="auto"/>
            <w:noWrap/>
            <w:vAlign w:val="center"/>
            <w:hideMark/>
          </w:tcPr>
          <w:p w14:paraId="0C3F8055" w14:textId="77777777" w:rsidR="0015270F" w:rsidRPr="0015270F" w:rsidRDefault="0015270F" w:rsidP="0015270F">
            <w:pPr>
              <w:spacing w:before="0" w:after="0"/>
              <w:rPr>
                <w:rStyle w:val="BookTitle"/>
              </w:rPr>
            </w:pPr>
            <w:r w:rsidRPr="0015270F">
              <w:rPr>
                <w:rStyle w:val="BookTitle"/>
              </w:rPr>
              <w:t>Patterns on the temporal and spatial variation of WQ as resulted from river discharge and proximity to source (i.e., river mouth).</w:t>
            </w:r>
          </w:p>
        </w:tc>
      </w:tr>
      <w:tr w:rsidR="0015270F" w:rsidRPr="0015270F" w14:paraId="0C3F805A" w14:textId="77777777" w:rsidTr="0015270F">
        <w:trPr>
          <w:trHeight w:val="170"/>
        </w:trPr>
        <w:tc>
          <w:tcPr>
            <w:tcW w:w="1275" w:type="dxa"/>
            <w:tcBorders>
              <w:top w:val="nil"/>
              <w:left w:val="nil"/>
              <w:right w:val="nil"/>
            </w:tcBorders>
            <w:shd w:val="clear" w:color="auto" w:fill="auto"/>
            <w:noWrap/>
            <w:vAlign w:val="center"/>
            <w:hideMark/>
          </w:tcPr>
          <w:p w14:paraId="0C3F8057" w14:textId="77777777" w:rsidR="0015270F" w:rsidRPr="0015270F" w:rsidRDefault="0015270F" w:rsidP="0015270F">
            <w:pPr>
              <w:spacing w:before="0" w:after="0"/>
              <w:rPr>
                <w:rStyle w:val="BookTitle"/>
              </w:rPr>
            </w:pPr>
            <w:r w:rsidRPr="00DC605B">
              <w:rPr>
                <w:rStyle w:val="BookTitle"/>
              </w:rPr>
              <w:t>Correlation table</w:t>
            </w:r>
          </w:p>
        </w:tc>
        <w:tc>
          <w:tcPr>
            <w:tcW w:w="3971" w:type="dxa"/>
            <w:tcBorders>
              <w:top w:val="nil"/>
              <w:left w:val="nil"/>
              <w:right w:val="nil"/>
            </w:tcBorders>
            <w:shd w:val="clear" w:color="auto" w:fill="auto"/>
            <w:noWrap/>
            <w:vAlign w:val="center"/>
            <w:hideMark/>
          </w:tcPr>
          <w:p w14:paraId="0C3F8058" w14:textId="77777777" w:rsidR="0015270F" w:rsidRPr="0015270F" w:rsidRDefault="0015270F" w:rsidP="0015270F">
            <w:pPr>
              <w:spacing w:before="0" w:after="0"/>
              <w:rPr>
                <w:rStyle w:val="BookTitle"/>
              </w:rPr>
            </w:pPr>
            <w:r w:rsidRPr="0015270F">
              <w:rPr>
                <w:rStyle w:val="BookTitle"/>
              </w:rPr>
              <w:t>The Spearman's rank correlation was computed for all 2012-2013 WQ and also distance and river discharge.</w:t>
            </w:r>
          </w:p>
        </w:tc>
        <w:tc>
          <w:tcPr>
            <w:tcW w:w="4158" w:type="dxa"/>
            <w:tcBorders>
              <w:top w:val="nil"/>
              <w:left w:val="nil"/>
              <w:right w:val="nil"/>
            </w:tcBorders>
            <w:shd w:val="clear" w:color="auto" w:fill="auto"/>
            <w:noWrap/>
            <w:vAlign w:val="center"/>
            <w:hideMark/>
          </w:tcPr>
          <w:p w14:paraId="0C3F8059" w14:textId="77777777" w:rsidR="0015270F" w:rsidRPr="0015270F" w:rsidRDefault="0015270F" w:rsidP="0015270F">
            <w:pPr>
              <w:spacing w:before="0" w:after="0"/>
              <w:rPr>
                <w:rStyle w:val="BookTitle"/>
              </w:rPr>
            </w:pPr>
            <w:r w:rsidRPr="0015270F">
              <w:rPr>
                <w:rStyle w:val="BookTitle"/>
              </w:rPr>
              <w:t xml:space="preserve">Find out correlated WQ parameters between themselves and with river discharge and distance </w:t>
            </w:r>
          </w:p>
        </w:tc>
      </w:tr>
      <w:tr w:rsidR="0015270F" w:rsidRPr="0015270F" w14:paraId="0C3F805E" w14:textId="77777777" w:rsidTr="00282ECB">
        <w:trPr>
          <w:trHeight w:val="52"/>
        </w:trPr>
        <w:tc>
          <w:tcPr>
            <w:tcW w:w="1275" w:type="dxa"/>
            <w:tcBorders>
              <w:top w:val="nil"/>
              <w:left w:val="nil"/>
              <w:bottom w:val="single" w:sz="4" w:space="0" w:color="auto"/>
              <w:right w:val="nil"/>
            </w:tcBorders>
            <w:shd w:val="clear" w:color="auto" w:fill="auto"/>
            <w:noWrap/>
            <w:vAlign w:val="center"/>
          </w:tcPr>
          <w:p w14:paraId="0C3F805B" w14:textId="77777777" w:rsidR="0015270F" w:rsidRPr="0015270F" w:rsidRDefault="0015270F" w:rsidP="0015270F">
            <w:pPr>
              <w:spacing w:before="0" w:after="0"/>
              <w:rPr>
                <w:rStyle w:val="BookTitle"/>
              </w:rPr>
            </w:pPr>
          </w:p>
        </w:tc>
        <w:tc>
          <w:tcPr>
            <w:tcW w:w="3971" w:type="dxa"/>
            <w:tcBorders>
              <w:top w:val="nil"/>
              <w:left w:val="nil"/>
              <w:bottom w:val="single" w:sz="4" w:space="0" w:color="auto"/>
              <w:right w:val="nil"/>
            </w:tcBorders>
            <w:shd w:val="clear" w:color="auto" w:fill="auto"/>
            <w:noWrap/>
            <w:vAlign w:val="center"/>
          </w:tcPr>
          <w:p w14:paraId="0C3F805C" w14:textId="77777777" w:rsidR="0015270F" w:rsidRPr="0015270F" w:rsidRDefault="0015270F" w:rsidP="0015270F">
            <w:pPr>
              <w:spacing w:before="0" w:after="0"/>
              <w:rPr>
                <w:rStyle w:val="BookTitle"/>
              </w:rPr>
            </w:pPr>
          </w:p>
        </w:tc>
        <w:tc>
          <w:tcPr>
            <w:tcW w:w="4158" w:type="dxa"/>
            <w:tcBorders>
              <w:top w:val="nil"/>
              <w:left w:val="nil"/>
              <w:bottom w:val="single" w:sz="4" w:space="0" w:color="auto"/>
              <w:right w:val="nil"/>
            </w:tcBorders>
            <w:shd w:val="clear" w:color="auto" w:fill="auto"/>
            <w:noWrap/>
            <w:vAlign w:val="center"/>
          </w:tcPr>
          <w:p w14:paraId="0C3F805D" w14:textId="77777777" w:rsidR="0015270F" w:rsidRPr="0015270F" w:rsidRDefault="0015270F" w:rsidP="0015270F">
            <w:pPr>
              <w:spacing w:before="0" w:after="0"/>
              <w:rPr>
                <w:rStyle w:val="BookTitle"/>
              </w:rPr>
            </w:pPr>
          </w:p>
        </w:tc>
      </w:tr>
    </w:tbl>
    <w:p w14:paraId="0C3F805F" w14:textId="77777777" w:rsidR="0015270F" w:rsidRDefault="0015270F" w:rsidP="0015270F"/>
    <w:p w14:paraId="0C3F8060" w14:textId="77777777" w:rsidR="0015270F" w:rsidRPr="0015270F" w:rsidRDefault="0015270F" w:rsidP="00C05A63">
      <w:pPr>
        <w:pStyle w:val="Heading2"/>
        <w:keepNext/>
        <w:numPr>
          <w:ilvl w:val="2"/>
          <w:numId w:val="13"/>
        </w:numPr>
        <w:spacing w:line="80" w:lineRule="atLeast"/>
      </w:pPr>
      <w:bookmarkStart w:id="113" w:name="_Toc428793318"/>
      <w:bookmarkStart w:id="114" w:name="_Toc428851337"/>
      <w:bookmarkStart w:id="115" w:name="_Toc434207997"/>
      <w:r w:rsidRPr="0015270F">
        <w:t>Data analysis – Temporal</w:t>
      </w:r>
      <w:bookmarkEnd w:id="113"/>
      <w:bookmarkEnd w:id="114"/>
      <w:bookmarkEnd w:id="115"/>
    </w:p>
    <w:p w14:paraId="0C3F8061" w14:textId="77777777" w:rsidR="00282ECB" w:rsidRDefault="00DC605B" w:rsidP="00282ECB">
      <w:bookmarkStart w:id="116" w:name="_Ref428875333"/>
      <w:r>
        <w:t>T</w:t>
      </w:r>
      <w:r w:rsidRPr="00CD4E47">
        <w:t xml:space="preserve">he temporal variation of WQ parameters sampled at selected transects were plotted on top of the temporal </w:t>
      </w:r>
      <w:r w:rsidRPr="00E91179">
        <w:t xml:space="preserve">variation of the </w:t>
      </w:r>
      <w:r>
        <w:t>total wet season river discharge. When</w:t>
      </w:r>
      <w:r w:rsidR="00282ECB" w:rsidRPr="0015270F">
        <w:t xml:space="preserve"> comparing multi-annual data sets for temporal variation it is important to consider that differences can be imposed on temporal trends due to inter-annual environmental changes and to differences in the sampling frequency rate and/or in the size of the covered sampling area. </w:t>
      </w:r>
      <w:r w:rsidR="00282ECB">
        <w:t xml:space="preserve">These issues of limitation are true for all data when comparing across </w:t>
      </w:r>
      <w:r w:rsidR="006D2F0A">
        <w:t>long-</w:t>
      </w:r>
      <w:r w:rsidR="00282ECB">
        <w:t xml:space="preserve">term data, where the variability of the parameter can be influenced by many factors. </w:t>
      </w:r>
    </w:p>
    <w:p w14:paraId="0C3F8062" w14:textId="77777777" w:rsidR="002854A3" w:rsidRDefault="002854A3" w:rsidP="002854A3">
      <w:r>
        <w:t>The annual river discharge for 5 GBR rivers is presented for the 4 transects considered in the WQ temporal variation analysis, compared against their long term mean annual discharge (</w:t>
      </w:r>
      <w:r>
        <w:fldChar w:fldCharType="begin"/>
      </w:r>
      <w:r>
        <w:instrText xml:space="preserve"> REF _Ref428875333 \h </w:instrText>
      </w:r>
      <w:r>
        <w:fldChar w:fldCharType="separate"/>
      </w:r>
      <w:r w:rsidR="00B62B50">
        <w:rPr>
          <w:b/>
          <w:bCs/>
          <w:lang w:val="en-US"/>
        </w:rPr>
        <w:t>Error! Not a valid bookmark self-reference.</w:t>
      </w:r>
      <w:r>
        <w:fldChar w:fldCharType="end"/>
      </w:r>
      <w:r>
        <w:t xml:space="preserve">). All the rivers considered presented discharge above the </w:t>
      </w:r>
      <w:r w:rsidR="00E77510">
        <w:t>long-term</w:t>
      </w:r>
      <w:r>
        <w:t xml:space="preserve"> mean in the 2010-2011 wet season (period of the TC Yasi). The Fitzroy River exhibited annual discharges above its mean annual value more often than the other rivers, followed by the Burdekin River. The Russell, Mulgrave and Tully rivers exhibited relative unchanged discharge over the past 8 years with a peak in the 2010-2011 wet season only.</w:t>
      </w:r>
    </w:p>
    <w:p w14:paraId="0C3F8063" w14:textId="77777777" w:rsidR="008172FD" w:rsidRPr="008172FD" w:rsidRDefault="008172FD" w:rsidP="008172FD">
      <w:r w:rsidRPr="008172FD">
        <w:t xml:space="preserve">Temporal trends on the WQ components collected under the Marine Monitoring Program, at surface waters over the Great Barrier Reef, were investigated using Generalized Additive Mixed Models </w:t>
      </w:r>
      <w:r w:rsidRPr="008172FD">
        <w:fldChar w:fldCharType="begin"/>
      </w:r>
      <w:r w:rsidRPr="008172FD">
        <w:instrText xml:space="preserve"> ADDIN ZOTERO_ITEM CSL_CITATION {"citationID":"2fl56qd47i","properties":{"formattedCitation":"(Crawley, 2007)","plainCitation":"(Crawley, 2007)"},"citationItems":[{"id":60,"uris":["http://zotero.org/users/2324349/items/QR8T7IEI"],"uri":["http://zotero.org/users/2324349/items/QR8T7IEI"],"itemData":{"id":60,"type":"book","title":"The R Book","publisher":"John Wiley &amp; Sons, Ltd","publisher-place":"Imperial College London at Silwood Park, UK","number-of-pages":"942","source":"www.bookdepository.com","event-place":"Imperial College London at Silwood Park, UK","URL":"http://www.bookdepository.com/R-Book-Mick-Crawley/9780470973929","author":[{"family":"Crawley","given":"Michael J."}],"issued":{"date-parts":[["2007"]]},"accessed":{"date-parts":[["2015",5,21]]}}}],"schema":"https://github.com/citation-style-language/schema/raw/master/csl-citation.json"} </w:instrText>
      </w:r>
      <w:r w:rsidRPr="008172FD">
        <w:fldChar w:fldCharType="separate"/>
      </w:r>
      <w:r w:rsidRPr="008172FD">
        <w:t>(GAMM, Crawley, 2007)</w:t>
      </w:r>
      <w:r w:rsidRPr="008172FD">
        <w:fldChar w:fldCharType="end"/>
      </w:r>
      <w:r w:rsidRPr="008172FD">
        <w:t xml:space="preserve"> in R language </w:t>
      </w:r>
      <w:r w:rsidRPr="008172FD">
        <w:fldChar w:fldCharType="begin"/>
      </w:r>
      <w:r w:rsidRPr="008172FD">
        <w:instrText xml:space="preserve"> ADDIN ZOTERO_ITEM CSL_CITATION {"citationID":"xbR7D09C","properties":{"formattedCitation":"(R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Pr="008172FD">
        <w:fldChar w:fldCharType="separate"/>
      </w:r>
      <w:r w:rsidRPr="008172FD">
        <w:t>(R Development Core Team, 2015)</w:t>
      </w:r>
      <w:r w:rsidRPr="008172FD">
        <w:fldChar w:fldCharType="end"/>
      </w:r>
      <w:r w:rsidRPr="008172FD">
        <w:t>. Data sampled from December, 2005 to April, 2013 (inclusive) constrained to the Central and Southern GRB regions was selected for this analysis because of their better temporal and spatial coverage. The following WQ components were analysis by GAMM: light attenuation coefficient (Kd), coloured dissolved organic matter (CDOM), total suspended solids (TSS), chlorophyll-a (chl-a), particulate nitrogen (PN), dissolved inorganic nitrogen (DIN), particulate phosphorous (PP), dissolved inorganic phosphorous (DIP) and silica (Si), which are the main WQ components driving corals and seagrass communities in the Great Barrier Reef ecosystems.</w:t>
      </w:r>
    </w:p>
    <w:p w14:paraId="0C3F8064" w14:textId="77777777" w:rsidR="008172FD" w:rsidRPr="008172FD" w:rsidRDefault="008172FD" w:rsidP="008172FD">
      <w:r w:rsidRPr="008172FD">
        <w:t xml:space="preserve">The investigation of temporal patterns on the selected WQ components was performed in two steps. Firstly, a multiple regression analysis using non-parametric smoothers in a Generalized Additive Model </w:t>
      </w:r>
      <w:r w:rsidRPr="008172FD">
        <w:fldChar w:fldCharType="begin"/>
      </w:r>
      <w:r w:rsidRPr="008172FD">
        <w:instrText xml:space="preserve"> ADDIN ZOTERO_ITEM CSL_CITATION {"citationID":"UQONisM1","properties":{"formattedCitation":"(GAMM, R Development Core Team, 2015)","plainCitation":"(GAMM, 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Team","given":""}],"issued":{"date-parts":[["2015",2,10]]},"accessed":{"date-parts":[["2015",5,20]]}},"prefix":"GAMM, "}],"schema":"https://github.com/citation-style-language/schema/raw/master/csl-citation.json"} </w:instrText>
      </w:r>
      <w:r w:rsidRPr="008172FD">
        <w:fldChar w:fldCharType="separate"/>
      </w:r>
      <w:r w:rsidRPr="008172FD">
        <w:t>(GAM, R Development Core Team, 2015)</w:t>
      </w:r>
      <w:r w:rsidRPr="008172FD">
        <w:fldChar w:fldCharType="end"/>
      </w:r>
      <w:r w:rsidRPr="008172FD">
        <w:t xml:space="preserve"> was performed to choose a set of predictors that best explain each WQ component. The predictors included (i) mean of 5-days river discharge, (ii) distance between the sampling site and the nearest river mouth, and (iii) surface salinity. These components were used as predictors in the multiple regression analyses and in order to select the most appropriated smooth terms (or predictors), the residual maximum likelihood (REML) method was applied. This method uses a likelihood function calculated from a transformed set of data, so that irrelevant predictors have no effect in the model </w:t>
      </w:r>
      <w:r w:rsidRPr="008172FD">
        <w:fldChar w:fldCharType="begin"/>
      </w:r>
      <w:r w:rsidRPr="008172FD">
        <w:instrText xml:space="preserve"> ADDIN ZOTERO_ITEM CSL_CITATION {"citationID":"pPutF3aP","properties":{"formattedCitation":"(R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Pr="008172FD">
        <w:fldChar w:fldCharType="separate"/>
      </w:r>
      <w:r w:rsidRPr="008172FD">
        <w:t>(R Development Core Team, 2015)</w:t>
      </w:r>
      <w:r w:rsidRPr="008172FD">
        <w:fldChar w:fldCharType="end"/>
      </w:r>
      <w:r w:rsidRPr="008172FD">
        <w:t xml:space="preserve">. This method is similar to a stepwise regression analysis but where one uses, in this case, cubic spline to fit each predictor rather than a straight line. In order to investigate the predictors which have more influence in the GAM analysis, the relative importance analysis </w:t>
      </w:r>
      <w:r w:rsidRPr="008172FD">
        <w:fldChar w:fldCharType="begin"/>
      </w:r>
      <w:r w:rsidRPr="008172FD">
        <w:instrText xml:space="preserve"> ADDIN ZOTERO_ITEM CSL_CITATION {"citationID":"1vnec69thc","properties":{"formattedCitation":"{\\rtf (Gr\\uc0\\u246{}mping, 2006)}","plainCitation":"(Grömping, 2006)"},"citationItems":[{"id":150,"uris":["http://zotero.org/users/2324349/items/ANXQFAFK"],"uri":["http://zotero.org/users/2324349/items/ANXQFAFK"],"itemData":{"id":150,"type":"article-journal","title":"Relative Importance for Linear Regression in R: The Package relaimpo.","container-title":"Journal of Statistical Software","page":"1-17","volume":"17","issue":"1","author":[{"family":"Grömping","given":"G."}],"issued":{"date-parts":[["2006"]]}}}],"schema":"https://github.com/citation-style-language/schema/raw/master/csl-citation.json"} </w:instrText>
      </w:r>
      <w:r w:rsidRPr="008172FD">
        <w:fldChar w:fldCharType="separate"/>
      </w:r>
      <w:r w:rsidRPr="008172FD">
        <w:t>(Grömping, 2006)</w:t>
      </w:r>
      <w:r w:rsidRPr="008172FD">
        <w:fldChar w:fldCharType="end"/>
      </w:r>
      <w:r w:rsidRPr="008172FD">
        <w:t xml:space="preserve"> was performed on the data.</w:t>
      </w:r>
    </w:p>
    <w:p w14:paraId="0C3F8065" w14:textId="77777777" w:rsidR="008172FD" w:rsidRPr="008172FD" w:rsidRDefault="008172FD" w:rsidP="008172FD">
      <w:r w:rsidRPr="008172FD">
        <w:t>Secondly, the set of predictors selected from the multiple regression analysis was used in a Generalized Additive Mixed Model (GAMM) in order to investigate temporal trends in each WQ component. In these temporal trend models, time (i.e., Sample Date) was used as fixed effect, which is the variable that influences the mean of the WQ component, and the other selected predictors were used as random effects, i.e., what influences the variance of the WQ component.</w:t>
      </w:r>
    </w:p>
    <w:p w14:paraId="0C3F8066" w14:textId="77777777" w:rsidR="008172FD" w:rsidRDefault="008172FD" w:rsidP="002854A3"/>
    <w:p w14:paraId="0C3F8067" w14:textId="77777777" w:rsidR="0015270F" w:rsidRPr="0015270F" w:rsidRDefault="0015270F" w:rsidP="0015270F">
      <w:pPr>
        <w:pStyle w:val="Caption"/>
      </w:pPr>
      <w:bookmarkStart w:id="117" w:name="_Toc434208071"/>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4</w:t>
      </w:r>
      <w:r w:rsidR="00AE4287">
        <w:fldChar w:fldCharType="end"/>
      </w:r>
      <w:bookmarkEnd w:id="116"/>
      <w:r>
        <w:t xml:space="preserve">: </w:t>
      </w:r>
      <w:r w:rsidRPr="0015270F">
        <w:t>Long term wet season river discharge (ML, megalitre) statistics of five GBR rivers for the last 8 years (c.a., Nov-1 to Apr-30), compared against their long-term (LT) median. Colours indicate levels above the long term median: yellow for 1.5 to 2 times; orange for 2 to 3 times, and red for greater than 3 times. Long term statistics were calculated based on a hydrological year taking into account measurements from 1915 to 2000 (where data available). (Data source: DNRM).</w:t>
      </w:r>
      <w:bookmarkEnd w:id="117"/>
    </w:p>
    <w:p w14:paraId="0C3F8068" w14:textId="77777777" w:rsidR="0015270F" w:rsidRPr="0015270F" w:rsidRDefault="0015270F" w:rsidP="0015270F">
      <w:pPr>
        <w:rPr>
          <w:rFonts w:cs="Arial"/>
        </w:rPr>
      </w:pPr>
    </w:p>
    <w:tbl>
      <w:tblPr>
        <w:tblW w:w="4684" w:type="pct"/>
        <w:tblLayout w:type="fixed"/>
        <w:tblLook w:val="04A0" w:firstRow="1" w:lastRow="0" w:firstColumn="1" w:lastColumn="0" w:noHBand="0" w:noVBand="1"/>
      </w:tblPr>
      <w:tblGrid>
        <w:gridCol w:w="1012"/>
        <w:gridCol w:w="923"/>
        <w:gridCol w:w="814"/>
        <w:gridCol w:w="989"/>
        <w:gridCol w:w="895"/>
        <w:gridCol w:w="814"/>
        <w:gridCol w:w="786"/>
        <w:gridCol w:w="807"/>
        <w:gridCol w:w="809"/>
        <w:gridCol w:w="810"/>
      </w:tblGrid>
      <w:tr w:rsidR="004F15BA" w:rsidRPr="00E77510" w14:paraId="0C3F8073" w14:textId="77777777" w:rsidTr="004F15BA">
        <w:trPr>
          <w:trHeight w:val="57"/>
        </w:trPr>
        <w:tc>
          <w:tcPr>
            <w:tcW w:w="584" w:type="pct"/>
            <w:tcBorders>
              <w:top w:val="single" w:sz="4" w:space="0" w:color="auto"/>
              <w:left w:val="nil"/>
              <w:bottom w:val="single" w:sz="4" w:space="0" w:color="auto"/>
              <w:right w:val="nil"/>
            </w:tcBorders>
            <w:shd w:val="clear" w:color="auto" w:fill="auto"/>
            <w:noWrap/>
            <w:vAlign w:val="center"/>
            <w:hideMark/>
          </w:tcPr>
          <w:p w14:paraId="0C3F8069"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River</w:t>
            </w:r>
          </w:p>
        </w:tc>
        <w:tc>
          <w:tcPr>
            <w:tcW w:w="533" w:type="pct"/>
            <w:tcBorders>
              <w:top w:val="single" w:sz="4" w:space="0" w:color="auto"/>
              <w:left w:val="nil"/>
              <w:bottom w:val="single" w:sz="4" w:space="0" w:color="auto"/>
              <w:right w:val="nil"/>
            </w:tcBorders>
            <w:shd w:val="clear" w:color="auto" w:fill="auto"/>
            <w:noWrap/>
            <w:vAlign w:val="center"/>
            <w:hideMark/>
          </w:tcPr>
          <w:p w14:paraId="0C3F806A"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LT median</w:t>
            </w:r>
          </w:p>
        </w:tc>
        <w:tc>
          <w:tcPr>
            <w:tcW w:w="470" w:type="pct"/>
            <w:tcBorders>
              <w:top w:val="single" w:sz="4" w:space="0" w:color="auto"/>
              <w:left w:val="nil"/>
              <w:bottom w:val="single" w:sz="4" w:space="0" w:color="auto"/>
              <w:right w:val="nil"/>
            </w:tcBorders>
            <w:shd w:val="clear" w:color="auto" w:fill="auto"/>
            <w:noWrap/>
            <w:vAlign w:val="center"/>
            <w:hideMark/>
          </w:tcPr>
          <w:p w14:paraId="0C3F806B"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2005-2006</w:t>
            </w:r>
          </w:p>
        </w:tc>
        <w:tc>
          <w:tcPr>
            <w:tcW w:w="571" w:type="pct"/>
            <w:tcBorders>
              <w:top w:val="single" w:sz="4" w:space="0" w:color="auto"/>
              <w:left w:val="nil"/>
              <w:bottom w:val="single" w:sz="4" w:space="0" w:color="auto"/>
              <w:right w:val="nil"/>
            </w:tcBorders>
            <w:shd w:val="clear" w:color="auto" w:fill="auto"/>
            <w:noWrap/>
            <w:vAlign w:val="center"/>
            <w:hideMark/>
          </w:tcPr>
          <w:p w14:paraId="0C3F806C"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2006-2007</w:t>
            </w:r>
          </w:p>
        </w:tc>
        <w:tc>
          <w:tcPr>
            <w:tcW w:w="517" w:type="pct"/>
            <w:tcBorders>
              <w:top w:val="single" w:sz="4" w:space="0" w:color="auto"/>
              <w:left w:val="nil"/>
              <w:bottom w:val="single" w:sz="4" w:space="0" w:color="auto"/>
              <w:right w:val="nil"/>
            </w:tcBorders>
            <w:shd w:val="clear" w:color="auto" w:fill="auto"/>
            <w:noWrap/>
            <w:vAlign w:val="center"/>
            <w:hideMark/>
          </w:tcPr>
          <w:p w14:paraId="0C3F806D"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2007-2008</w:t>
            </w:r>
          </w:p>
        </w:tc>
        <w:tc>
          <w:tcPr>
            <w:tcW w:w="470" w:type="pct"/>
            <w:tcBorders>
              <w:top w:val="single" w:sz="4" w:space="0" w:color="auto"/>
              <w:left w:val="nil"/>
              <w:bottom w:val="single" w:sz="4" w:space="0" w:color="auto"/>
              <w:right w:val="nil"/>
            </w:tcBorders>
            <w:shd w:val="clear" w:color="auto" w:fill="auto"/>
            <w:noWrap/>
            <w:vAlign w:val="center"/>
            <w:hideMark/>
          </w:tcPr>
          <w:p w14:paraId="0C3F806E"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2008-2009</w:t>
            </w:r>
          </w:p>
        </w:tc>
        <w:tc>
          <w:tcPr>
            <w:tcW w:w="454" w:type="pct"/>
            <w:tcBorders>
              <w:top w:val="single" w:sz="4" w:space="0" w:color="auto"/>
              <w:left w:val="nil"/>
              <w:bottom w:val="single" w:sz="4" w:space="0" w:color="auto"/>
              <w:right w:val="nil"/>
            </w:tcBorders>
            <w:shd w:val="clear" w:color="auto" w:fill="auto"/>
            <w:noWrap/>
            <w:vAlign w:val="center"/>
            <w:hideMark/>
          </w:tcPr>
          <w:p w14:paraId="0C3F806F"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2009-2010</w:t>
            </w:r>
          </w:p>
        </w:tc>
        <w:tc>
          <w:tcPr>
            <w:tcW w:w="466" w:type="pct"/>
            <w:tcBorders>
              <w:top w:val="single" w:sz="4" w:space="0" w:color="auto"/>
              <w:left w:val="nil"/>
              <w:bottom w:val="single" w:sz="4" w:space="0" w:color="auto"/>
              <w:right w:val="nil"/>
            </w:tcBorders>
            <w:shd w:val="clear" w:color="auto" w:fill="auto"/>
            <w:noWrap/>
            <w:vAlign w:val="center"/>
            <w:hideMark/>
          </w:tcPr>
          <w:p w14:paraId="0C3F8070"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2010-2011</w:t>
            </w:r>
          </w:p>
        </w:tc>
        <w:tc>
          <w:tcPr>
            <w:tcW w:w="467" w:type="pct"/>
            <w:tcBorders>
              <w:top w:val="single" w:sz="4" w:space="0" w:color="auto"/>
              <w:left w:val="nil"/>
              <w:bottom w:val="single" w:sz="4" w:space="0" w:color="auto"/>
              <w:right w:val="nil"/>
            </w:tcBorders>
            <w:shd w:val="clear" w:color="auto" w:fill="auto"/>
            <w:noWrap/>
            <w:vAlign w:val="center"/>
            <w:hideMark/>
          </w:tcPr>
          <w:p w14:paraId="0C3F8071" w14:textId="77777777" w:rsidR="0015270F" w:rsidRPr="00935052" w:rsidRDefault="0015270F" w:rsidP="00E77510">
            <w:pPr>
              <w:spacing w:before="0" w:after="0"/>
              <w:rPr>
                <w:rStyle w:val="BookTitle"/>
                <w:rFonts w:asciiTheme="minorHAnsi" w:hAnsiTheme="minorHAnsi"/>
              </w:rPr>
            </w:pPr>
            <w:r w:rsidRPr="00935052">
              <w:rPr>
                <w:rStyle w:val="BookTitle"/>
                <w:rFonts w:asciiTheme="minorHAnsi" w:hAnsiTheme="minorHAnsi"/>
              </w:rPr>
              <w:t>2011</w:t>
            </w:r>
            <w:r w:rsidR="00E77510">
              <w:rPr>
                <w:rStyle w:val="BookTitle"/>
                <w:rFonts w:asciiTheme="minorHAnsi" w:hAnsiTheme="minorHAnsi"/>
              </w:rPr>
              <w:t>-</w:t>
            </w:r>
            <w:r w:rsidRPr="00935052">
              <w:rPr>
                <w:rStyle w:val="BookTitle"/>
                <w:rFonts w:asciiTheme="minorHAnsi" w:hAnsiTheme="minorHAnsi"/>
              </w:rPr>
              <w:t>2012</w:t>
            </w:r>
          </w:p>
        </w:tc>
        <w:tc>
          <w:tcPr>
            <w:tcW w:w="468" w:type="pct"/>
            <w:tcBorders>
              <w:top w:val="single" w:sz="4" w:space="0" w:color="auto"/>
              <w:left w:val="nil"/>
              <w:bottom w:val="single" w:sz="4" w:space="0" w:color="auto"/>
              <w:right w:val="nil"/>
            </w:tcBorders>
            <w:shd w:val="clear" w:color="auto" w:fill="auto"/>
            <w:noWrap/>
            <w:vAlign w:val="center"/>
            <w:hideMark/>
          </w:tcPr>
          <w:p w14:paraId="0C3F8072" w14:textId="77777777" w:rsidR="0015270F" w:rsidRPr="00935052" w:rsidRDefault="0015270F" w:rsidP="00E77510">
            <w:pPr>
              <w:spacing w:before="0" w:after="0"/>
              <w:rPr>
                <w:rStyle w:val="BookTitle"/>
                <w:rFonts w:asciiTheme="minorHAnsi" w:hAnsiTheme="minorHAnsi"/>
              </w:rPr>
            </w:pPr>
            <w:r w:rsidRPr="00935052">
              <w:rPr>
                <w:rStyle w:val="BookTitle"/>
                <w:rFonts w:asciiTheme="minorHAnsi" w:hAnsiTheme="minorHAnsi"/>
              </w:rPr>
              <w:t>2012</w:t>
            </w:r>
            <w:r w:rsidR="00E77510">
              <w:rPr>
                <w:rStyle w:val="BookTitle"/>
                <w:rFonts w:asciiTheme="minorHAnsi" w:hAnsiTheme="minorHAnsi"/>
              </w:rPr>
              <w:t>-</w:t>
            </w:r>
            <w:r w:rsidRPr="00935052">
              <w:rPr>
                <w:rStyle w:val="BookTitle"/>
                <w:rFonts w:asciiTheme="minorHAnsi" w:hAnsiTheme="minorHAnsi"/>
              </w:rPr>
              <w:t>2013</w:t>
            </w:r>
          </w:p>
        </w:tc>
      </w:tr>
      <w:tr w:rsidR="004F15BA" w:rsidRPr="00E77510" w14:paraId="0C3F807E" w14:textId="77777777" w:rsidTr="004F15BA">
        <w:trPr>
          <w:trHeight w:val="57"/>
        </w:trPr>
        <w:tc>
          <w:tcPr>
            <w:tcW w:w="584" w:type="pct"/>
            <w:tcBorders>
              <w:top w:val="single" w:sz="4" w:space="0" w:color="auto"/>
              <w:left w:val="nil"/>
              <w:bottom w:val="nil"/>
              <w:right w:val="nil"/>
            </w:tcBorders>
            <w:shd w:val="clear" w:color="auto" w:fill="auto"/>
            <w:noWrap/>
            <w:vAlign w:val="center"/>
            <w:hideMark/>
          </w:tcPr>
          <w:p w14:paraId="0C3F8074" w14:textId="77777777" w:rsidR="0015270F" w:rsidRPr="00935052" w:rsidRDefault="0015270F" w:rsidP="00935052">
            <w:pPr>
              <w:spacing w:before="0" w:after="0"/>
              <w:rPr>
                <w:rStyle w:val="BookTitle"/>
                <w:rFonts w:asciiTheme="minorHAnsi" w:hAnsiTheme="minorHAnsi"/>
              </w:rPr>
            </w:pPr>
            <w:r w:rsidRPr="00935052">
              <w:rPr>
                <w:rStyle w:val="BookTitle"/>
                <w:rFonts w:asciiTheme="minorHAnsi" w:hAnsiTheme="minorHAnsi"/>
              </w:rPr>
              <w:t>Russ</w:t>
            </w:r>
            <w:r w:rsidR="004F15BA">
              <w:rPr>
                <w:rStyle w:val="BookTitle"/>
                <w:rFonts w:asciiTheme="minorHAnsi" w:hAnsiTheme="minorHAnsi"/>
              </w:rPr>
              <w:t>el</w:t>
            </w:r>
          </w:p>
        </w:tc>
        <w:tc>
          <w:tcPr>
            <w:tcW w:w="533" w:type="pct"/>
            <w:tcBorders>
              <w:top w:val="single" w:sz="4" w:space="0" w:color="auto"/>
              <w:left w:val="nil"/>
              <w:bottom w:val="nil"/>
              <w:right w:val="nil"/>
            </w:tcBorders>
            <w:shd w:val="clear" w:color="auto" w:fill="auto"/>
            <w:noWrap/>
            <w:vAlign w:val="center"/>
            <w:hideMark/>
          </w:tcPr>
          <w:p w14:paraId="0C3F8075"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632,309</w:t>
            </w:r>
          </w:p>
        </w:tc>
        <w:tc>
          <w:tcPr>
            <w:tcW w:w="470" w:type="pct"/>
            <w:tcBorders>
              <w:top w:val="single" w:sz="4" w:space="0" w:color="auto"/>
              <w:left w:val="nil"/>
              <w:bottom w:val="nil"/>
              <w:right w:val="nil"/>
            </w:tcBorders>
            <w:shd w:val="clear" w:color="auto" w:fill="auto"/>
            <w:noWrap/>
            <w:vAlign w:val="center"/>
            <w:hideMark/>
          </w:tcPr>
          <w:p w14:paraId="0C3F8076"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817,392</w:t>
            </w:r>
          </w:p>
        </w:tc>
        <w:tc>
          <w:tcPr>
            <w:tcW w:w="571" w:type="pct"/>
            <w:tcBorders>
              <w:top w:val="single" w:sz="4" w:space="0" w:color="auto"/>
              <w:left w:val="nil"/>
              <w:bottom w:val="nil"/>
              <w:right w:val="nil"/>
            </w:tcBorders>
            <w:shd w:val="clear" w:color="auto" w:fill="auto"/>
            <w:noWrap/>
            <w:vAlign w:val="center"/>
            <w:hideMark/>
          </w:tcPr>
          <w:p w14:paraId="0C3F8077"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912,129</w:t>
            </w:r>
          </w:p>
        </w:tc>
        <w:tc>
          <w:tcPr>
            <w:tcW w:w="517" w:type="pct"/>
            <w:tcBorders>
              <w:top w:val="single" w:sz="4" w:space="0" w:color="auto"/>
              <w:left w:val="nil"/>
              <w:bottom w:val="nil"/>
              <w:right w:val="nil"/>
            </w:tcBorders>
            <w:shd w:val="clear" w:color="auto" w:fill="auto"/>
            <w:noWrap/>
            <w:vAlign w:val="center"/>
            <w:hideMark/>
          </w:tcPr>
          <w:p w14:paraId="0C3F8078"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858,993</w:t>
            </w:r>
          </w:p>
        </w:tc>
        <w:tc>
          <w:tcPr>
            <w:tcW w:w="470" w:type="pct"/>
            <w:tcBorders>
              <w:top w:val="single" w:sz="4" w:space="0" w:color="auto"/>
              <w:left w:val="nil"/>
              <w:bottom w:val="nil"/>
              <w:right w:val="nil"/>
            </w:tcBorders>
            <w:shd w:val="clear" w:color="000000" w:fill="FFFF00"/>
            <w:noWrap/>
            <w:vAlign w:val="center"/>
            <w:hideMark/>
          </w:tcPr>
          <w:p w14:paraId="0C3F8079"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966,983</w:t>
            </w:r>
          </w:p>
        </w:tc>
        <w:tc>
          <w:tcPr>
            <w:tcW w:w="454" w:type="pct"/>
            <w:tcBorders>
              <w:top w:val="single" w:sz="4" w:space="0" w:color="auto"/>
              <w:left w:val="nil"/>
              <w:bottom w:val="nil"/>
              <w:right w:val="nil"/>
            </w:tcBorders>
            <w:shd w:val="clear" w:color="auto" w:fill="auto"/>
            <w:noWrap/>
            <w:vAlign w:val="center"/>
            <w:hideMark/>
          </w:tcPr>
          <w:p w14:paraId="0C3F807A"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878,223</w:t>
            </w:r>
          </w:p>
        </w:tc>
        <w:tc>
          <w:tcPr>
            <w:tcW w:w="466" w:type="pct"/>
            <w:tcBorders>
              <w:top w:val="single" w:sz="4" w:space="0" w:color="auto"/>
              <w:left w:val="nil"/>
              <w:bottom w:val="nil"/>
              <w:right w:val="nil"/>
            </w:tcBorders>
            <w:shd w:val="clear" w:color="000000" w:fill="FFC000"/>
            <w:noWrap/>
            <w:vAlign w:val="center"/>
            <w:hideMark/>
          </w:tcPr>
          <w:p w14:paraId="0C3F807B"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1,293,058</w:t>
            </w:r>
          </w:p>
        </w:tc>
        <w:tc>
          <w:tcPr>
            <w:tcW w:w="467" w:type="pct"/>
            <w:tcBorders>
              <w:top w:val="single" w:sz="4" w:space="0" w:color="auto"/>
              <w:left w:val="nil"/>
              <w:bottom w:val="nil"/>
              <w:right w:val="nil"/>
            </w:tcBorders>
            <w:shd w:val="clear" w:color="auto" w:fill="auto"/>
            <w:noWrap/>
            <w:vAlign w:val="center"/>
            <w:hideMark/>
          </w:tcPr>
          <w:p w14:paraId="0C3F807C"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815,652</w:t>
            </w:r>
          </w:p>
        </w:tc>
        <w:tc>
          <w:tcPr>
            <w:tcW w:w="468" w:type="pct"/>
            <w:tcBorders>
              <w:top w:val="single" w:sz="4" w:space="0" w:color="auto"/>
              <w:left w:val="nil"/>
              <w:bottom w:val="nil"/>
              <w:right w:val="nil"/>
            </w:tcBorders>
            <w:shd w:val="clear" w:color="auto" w:fill="auto"/>
            <w:noWrap/>
            <w:vAlign w:val="center"/>
            <w:hideMark/>
          </w:tcPr>
          <w:p w14:paraId="0C3F807D"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409,489</w:t>
            </w:r>
          </w:p>
        </w:tc>
      </w:tr>
      <w:tr w:rsidR="004F15BA" w:rsidRPr="00E77510" w14:paraId="0C3F8089" w14:textId="77777777" w:rsidTr="004F15BA">
        <w:trPr>
          <w:trHeight w:val="57"/>
        </w:trPr>
        <w:tc>
          <w:tcPr>
            <w:tcW w:w="584" w:type="pct"/>
            <w:tcBorders>
              <w:top w:val="nil"/>
              <w:left w:val="nil"/>
              <w:bottom w:val="nil"/>
              <w:right w:val="nil"/>
            </w:tcBorders>
            <w:shd w:val="clear" w:color="auto" w:fill="auto"/>
            <w:noWrap/>
            <w:vAlign w:val="center"/>
            <w:hideMark/>
          </w:tcPr>
          <w:p w14:paraId="0C3F807F" w14:textId="77777777" w:rsidR="0015270F" w:rsidRPr="00935052" w:rsidRDefault="0015270F" w:rsidP="00E67427">
            <w:pPr>
              <w:spacing w:before="0" w:after="0"/>
              <w:rPr>
                <w:rStyle w:val="BookTitle"/>
                <w:rFonts w:asciiTheme="minorHAnsi" w:hAnsiTheme="minorHAnsi"/>
              </w:rPr>
            </w:pPr>
            <w:r w:rsidRPr="00935052">
              <w:rPr>
                <w:rStyle w:val="BookTitle"/>
                <w:rFonts w:asciiTheme="minorHAnsi" w:hAnsiTheme="minorHAnsi"/>
              </w:rPr>
              <w:t>Mulg</w:t>
            </w:r>
            <w:r w:rsidR="004F15BA">
              <w:rPr>
                <w:rStyle w:val="BookTitle"/>
                <w:rFonts w:asciiTheme="minorHAnsi" w:hAnsiTheme="minorHAnsi"/>
              </w:rPr>
              <w:t>rave</w:t>
            </w:r>
          </w:p>
        </w:tc>
        <w:tc>
          <w:tcPr>
            <w:tcW w:w="533" w:type="pct"/>
            <w:tcBorders>
              <w:top w:val="nil"/>
              <w:left w:val="nil"/>
              <w:bottom w:val="nil"/>
              <w:right w:val="nil"/>
            </w:tcBorders>
            <w:shd w:val="clear" w:color="auto" w:fill="auto"/>
            <w:noWrap/>
            <w:vAlign w:val="center"/>
            <w:hideMark/>
          </w:tcPr>
          <w:p w14:paraId="0C3F8080"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440,347</w:t>
            </w:r>
          </w:p>
        </w:tc>
        <w:tc>
          <w:tcPr>
            <w:tcW w:w="470" w:type="pct"/>
            <w:tcBorders>
              <w:top w:val="nil"/>
              <w:left w:val="nil"/>
              <w:bottom w:val="nil"/>
              <w:right w:val="nil"/>
            </w:tcBorders>
            <w:shd w:val="clear" w:color="auto" w:fill="auto"/>
            <w:noWrap/>
            <w:vAlign w:val="center"/>
            <w:hideMark/>
          </w:tcPr>
          <w:p w14:paraId="0C3F8081"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643,907</w:t>
            </w:r>
          </w:p>
        </w:tc>
        <w:tc>
          <w:tcPr>
            <w:tcW w:w="571" w:type="pct"/>
            <w:tcBorders>
              <w:top w:val="nil"/>
              <w:left w:val="nil"/>
              <w:bottom w:val="nil"/>
              <w:right w:val="nil"/>
            </w:tcBorders>
            <w:shd w:val="clear" w:color="auto" w:fill="auto"/>
            <w:noWrap/>
            <w:vAlign w:val="center"/>
            <w:hideMark/>
          </w:tcPr>
          <w:p w14:paraId="0C3F8082"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530,609</w:t>
            </w:r>
          </w:p>
        </w:tc>
        <w:tc>
          <w:tcPr>
            <w:tcW w:w="517" w:type="pct"/>
            <w:tcBorders>
              <w:top w:val="nil"/>
              <w:left w:val="nil"/>
              <w:bottom w:val="nil"/>
              <w:right w:val="nil"/>
            </w:tcBorders>
            <w:shd w:val="clear" w:color="000000" w:fill="FFFF00"/>
            <w:noWrap/>
            <w:vAlign w:val="center"/>
            <w:hideMark/>
          </w:tcPr>
          <w:p w14:paraId="0C3F8083"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835,704</w:t>
            </w:r>
          </w:p>
        </w:tc>
        <w:tc>
          <w:tcPr>
            <w:tcW w:w="470" w:type="pct"/>
            <w:tcBorders>
              <w:top w:val="nil"/>
              <w:left w:val="nil"/>
              <w:bottom w:val="nil"/>
              <w:right w:val="nil"/>
            </w:tcBorders>
            <w:shd w:val="clear" w:color="auto" w:fill="auto"/>
            <w:noWrap/>
            <w:vAlign w:val="center"/>
            <w:hideMark/>
          </w:tcPr>
          <w:p w14:paraId="0C3F8084"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591,860</w:t>
            </w:r>
          </w:p>
        </w:tc>
        <w:tc>
          <w:tcPr>
            <w:tcW w:w="454" w:type="pct"/>
            <w:tcBorders>
              <w:top w:val="nil"/>
              <w:left w:val="nil"/>
              <w:bottom w:val="nil"/>
              <w:right w:val="nil"/>
            </w:tcBorders>
            <w:shd w:val="clear" w:color="auto" w:fill="auto"/>
            <w:noWrap/>
            <w:vAlign w:val="center"/>
            <w:hideMark/>
          </w:tcPr>
          <w:p w14:paraId="0C3F8085"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541,997</w:t>
            </w:r>
          </w:p>
        </w:tc>
        <w:tc>
          <w:tcPr>
            <w:tcW w:w="466" w:type="pct"/>
            <w:tcBorders>
              <w:top w:val="nil"/>
              <w:left w:val="nil"/>
              <w:bottom w:val="nil"/>
              <w:right w:val="nil"/>
            </w:tcBorders>
            <w:shd w:val="clear" w:color="000000" w:fill="FFC000"/>
            <w:noWrap/>
            <w:vAlign w:val="center"/>
            <w:hideMark/>
          </w:tcPr>
          <w:p w14:paraId="0C3F8086"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1,315,073</w:t>
            </w:r>
          </w:p>
        </w:tc>
        <w:tc>
          <w:tcPr>
            <w:tcW w:w="467" w:type="pct"/>
            <w:tcBorders>
              <w:top w:val="nil"/>
              <w:left w:val="nil"/>
              <w:bottom w:val="nil"/>
              <w:right w:val="nil"/>
            </w:tcBorders>
            <w:shd w:val="clear" w:color="000000" w:fill="FFFF00"/>
            <w:noWrap/>
            <w:vAlign w:val="center"/>
            <w:hideMark/>
          </w:tcPr>
          <w:p w14:paraId="0C3F8087"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751,882</w:t>
            </w:r>
          </w:p>
        </w:tc>
        <w:tc>
          <w:tcPr>
            <w:tcW w:w="468" w:type="pct"/>
            <w:tcBorders>
              <w:top w:val="nil"/>
              <w:left w:val="nil"/>
              <w:bottom w:val="nil"/>
              <w:right w:val="nil"/>
            </w:tcBorders>
            <w:shd w:val="clear" w:color="auto" w:fill="auto"/>
            <w:noWrap/>
            <w:vAlign w:val="center"/>
            <w:hideMark/>
          </w:tcPr>
          <w:p w14:paraId="0C3F8088"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277,050</w:t>
            </w:r>
          </w:p>
        </w:tc>
      </w:tr>
      <w:tr w:rsidR="004F15BA" w:rsidRPr="00E77510" w14:paraId="0C3F8094" w14:textId="77777777" w:rsidTr="004F15BA">
        <w:trPr>
          <w:trHeight w:val="57"/>
        </w:trPr>
        <w:tc>
          <w:tcPr>
            <w:tcW w:w="584" w:type="pct"/>
            <w:tcBorders>
              <w:top w:val="nil"/>
              <w:left w:val="nil"/>
              <w:bottom w:val="nil"/>
              <w:right w:val="nil"/>
            </w:tcBorders>
            <w:shd w:val="clear" w:color="auto" w:fill="auto"/>
            <w:noWrap/>
            <w:vAlign w:val="center"/>
            <w:hideMark/>
          </w:tcPr>
          <w:p w14:paraId="0C3F808A" w14:textId="77777777" w:rsidR="0015270F" w:rsidRPr="00935052" w:rsidRDefault="0015270F" w:rsidP="0015270F">
            <w:pPr>
              <w:spacing w:before="0" w:after="0"/>
              <w:rPr>
                <w:rStyle w:val="BookTitle"/>
                <w:rFonts w:asciiTheme="minorHAnsi" w:hAnsiTheme="minorHAnsi"/>
              </w:rPr>
            </w:pPr>
            <w:r w:rsidRPr="00935052">
              <w:rPr>
                <w:rStyle w:val="BookTitle"/>
                <w:rFonts w:asciiTheme="minorHAnsi" w:hAnsiTheme="minorHAnsi"/>
              </w:rPr>
              <w:t>Tully</w:t>
            </w:r>
          </w:p>
        </w:tc>
        <w:tc>
          <w:tcPr>
            <w:tcW w:w="533" w:type="pct"/>
            <w:tcBorders>
              <w:top w:val="nil"/>
              <w:left w:val="nil"/>
              <w:bottom w:val="nil"/>
              <w:right w:val="nil"/>
            </w:tcBorders>
            <w:shd w:val="clear" w:color="auto" w:fill="auto"/>
            <w:noWrap/>
            <w:vAlign w:val="center"/>
            <w:hideMark/>
          </w:tcPr>
          <w:p w14:paraId="0C3F808B"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1,894,102</w:t>
            </w:r>
          </w:p>
        </w:tc>
        <w:tc>
          <w:tcPr>
            <w:tcW w:w="470" w:type="pct"/>
            <w:tcBorders>
              <w:top w:val="nil"/>
              <w:left w:val="nil"/>
              <w:bottom w:val="nil"/>
              <w:right w:val="nil"/>
            </w:tcBorders>
            <w:shd w:val="clear" w:color="auto" w:fill="auto"/>
            <w:noWrap/>
            <w:vAlign w:val="center"/>
            <w:hideMark/>
          </w:tcPr>
          <w:p w14:paraId="0C3F808C"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2,254,263</w:t>
            </w:r>
          </w:p>
        </w:tc>
        <w:tc>
          <w:tcPr>
            <w:tcW w:w="571" w:type="pct"/>
            <w:tcBorders>
              <w:top w:val="nil"/>
              <w:left w:val="nil"/>
              <w:bottom w:val="nil"/>
              <w:right w:val="nil"/>
            </w:tcBorders>
            <w:shd w:val="clear" w:color="auto" w:fill="auto"/>
            <w:noWrap/>
            <w:vAlign w:val="center"/>
            <w:hideMark/>
          </w:tcPr>
          <w:p w14:paraId="0C3F808D"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2,714,150</w:t>
            </w:r>
          </w:p>
        </w:tc>
        <w:tc>
          <w:tcPr>
            <w:tcW w:w="517" w:type="pct"/>
            <w:tcBorders>
              <w:top w:val="nil"/>
              <w:left w:val="nil"/>
              <w:bottom w:val="nil"/>
              <w:right w:val="nil"/>
            </w:tcBorders>
            <w:shd w:val="clear" w:color="auto" w:fill="auto"/>
            <w:noWrap/>
            <w:vAlign w:val="center"/>
            <w:hideMark/>
          </w:tcPr>
          <w:p w14:paraId="0C3F808E"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2,437,338</w:t>
            </w:r>
          </w:p>
        </w:tc>
        <w:tc>
          <w:tcPr>
            <w:tcW w:w="470" w:type="pct"/>
            <w:tcBorders>
              <w:top w:val="nil"/>
              <w:left w:val="nil"/>
              <w:bottom w:val="nil"/>
              <w:right w:val="nil"/>
            </w:tcBorders>
            <w:shd w:val="clear" w:color="000000" w:fill="FFFF00"/>
            <w:noWrap/>
            <w:vAlign w:val="center"/>
            <w:hideMark/>
          </w:tcPr>
          <w:p w14:paraId="0C3F808F"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2,852,481</w:t>
            </w:r>
          </w:p>
        </w:tc>
        <w:tc>
          <w:tcPr>
            <w:tcW w:w="454" w:type="pct"/>
            <w:tcBorders>
              <w:top w:val="nil"/>
              <w:left w:val="nil"/>
              <w:bottom w:val="nil"/>
              <w:right w:val="nil"/>
            </w:tcBorders>
            <w:shd w:val="clear" w:color="auto" w:fill="auto"/>
            <w:noWrap/>
            <w:vAlign w:val="center"/>
            <w:hideMark/>
          </w:tcPr>
          <w:p w14:paraId="0C3F8090"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1,860,031</w:t>
            </w:r>
          </w:p>
        </w:tc>
        <w:tc>
          <w:tcPr>
            <w:tcW w:w="466" w:type="pct"/>
            <w:tcBorders>
              <w:top w:val="nil"/>
              <w:left w:val="nil"/>
              <w:bottom w:val="nil"/>
              <w:right w:val="nil"/>
            </w:tcBorders>
            <w:shd w:val="clear" w:color="000000" w:fill="FFC000"/>
            <w:noWrap/>
            <w:vAlign w:val="center"/>
            <w:hideMark/>
          </w:tcPr>
          <w:p w14:paraId="0C3F8091"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4,642,874</w:t>
            </w:r>
          </w:p>
        </w:tc>
        <w:tc>
          <w:tcPr>
            <w:tcW w:w="467" w:type="pct"/>
            <w:tcBorders>
              <w:top w:val="nil"/>
              <w:left w:val="nil"/>
              <w:bottom w:val="nil"/>
              <w:right w:val="nil"/>
            </w:tcBorders>
            <w:shd w:val="clear" w:color="auto" w:fill="auto"/>
            <w:noWrap/>
            <w:vAlign w:val="center"/>
            <w:hideMark/>
          </w:tcPr>
          <w:p w14:paraId="0C3F8092"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1,445,101</w:t>
            </w:r>
          </w:p>
        </w:tc>
        <w:tc>
          <w:tcPr>
            <w:tcW w:w="468" w:type="pct"/>
            <w:tcBorders>
              <w:top w:val="nil"/>
              <w:left w:val="nil"/>
              <w:bottom w:val="nil"/>
              <w:right w:val="nil"/>
            </w:tcBorders>
            <w:shd w:val="clear" w:color="auto" w:fill="auto"/>
            <w:noWrap/>
            <w:vAlign w:val="center"/>
            <w:hideMark/>
          </w:tcPr>
          <w:p w14:paraId="0C3F8093"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1,576,555</w:t>
            </w:r>
          </w:p>
        </w:tc>
      </w:tr>
      <w:tr w:rsidR="004F15BA" w:rsidRPr="00E77510" w14:paraId="0C3F809F" w14:textId="77777777" w:rsidTr="004F15BA">
        <w:trPr>
          <w:trHeight w:val="57"/>
        </w:trPr>
        <w:tc>
          <w:tcPr>
            <w:tcW w:w="584" w:type="pct"/>
            <w:tcBorders>
              <w:top w:val="nil"/>
              <w:left w:val="nil"/>
              <w:right w:val="nil"/>
            </w:tcBorders>
            <w:shd w:val="clear" w:color="auto" w:fill="auto"/>
            <w:noWrap/>
            <w:vAlign w:val="center"/>
            <w:hideMark/>
          </w:tcPr>
          <w:p w14:paraId="0C3F8095" w14:textId="77777777" w:rsidR="0015270F" w:rsidRPr="00935052" w:rsidRDefault="0015270F" w:rsidP="00E67427">
            <w:pPr>
              <w:spacing w:before="0" w:after="0"/>
              <w:rPr>
                <w:rStyle w:val="BookTitle"/>
                <w:rFonts w:asciiTheme="minorHAnsi" w:hAnsiTheme="minorHAnsi"/>
              </w:rPr>
            </w:pPr>
            <w:r w:rsidRPr="00935052">
              <w:rPr>
                <w:rStyle w:val="BookTitle"/>
                <w:rFonts w:asciiTheme="minorHAnsi" w:hAnsiTheme="minorHAnsi"/>
              </w:rPr>
              <w:t>Burd</w:t>
            </w:r>
            <w:r w:rsidR="004F15BA">
              <w:rPr>
                <w:rStyle w:val="BookTitle"/>
                <w:rFonts w:asciiTheme="minorHAnsi" w:hAnsiTheme="minorHAnsi"/>
              </w:rPr>
              <w:t>ekin</w:t>
            </w:r>
          </w:p>
        </w:tc>
        <w:tc>
          <w:tcPr>
            <w:tcW w:w="533" w:type="pct"/>
            <w:tcBorders>
              <w:top w:val="nil"/>
              <w:left w:val="nil"/>
              <w:right w:val="nil"/>
            </w:tcBorders>
            <w:shd w:val="clear" w:color="auto" w:fill="auto"/>
            <w:noWrap/>
            <w:vAlign w:val="center"/>
            <w:hideMark/>
          </w:tcPr>
          <w:p w14:paraId="0C3F8096"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4,669,849</w:t>
            </w:r>
          </w:p>
        </w:tc>
        <w:tc>
          <w:tcPr>
            <w:tcW w:w="470" w:type="pct"/>
            <w:tcBorders>
              <w:top w:val="nil"/>
              <w:left w:val="nil"/>
              <w:right w:val="nil"/>
            </w:tcBorders>
            <w:shd w:val="clear" w:color="auto" w:fill="auto"/>
            <w:noWrap/>
            <w:vAlign w:val="center"/>
            <w:hideMark/>
          </w:tcPr>
          <w:p w14:paraId="0C3F8097"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1,798,930</w:t>
            </w:r>
          </w:p>
        </w:tc>
        <w:tc>
          <w:tcPr>
            <w:tcW w:w="571" w:type="pct"/>
            <w:tcBorders>
              <w:top w:val="nil"/>
              <w:left w:val="nil"/>
              <w:right w:val="nil"/>
            </w:tcBorders>
            <w:shd w:val="clear" w:color="000000" w:fill="FFFF00"/>
            <w:noWrap/>
            <w:vAlign w:val="center"/>
            <w:hideMark/>
          </w:tcPr>
          <w:p w14:paraId="0C3F8098"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8,656,136</w:t>
            </w:r>
          </w:p>
        </w:tc>
        <w:tc>
          <w:tcPr>
            <w:tcW w:w="517" w:type="pct"/>
            <w:tcBorders>
              <w:top w:val="nil"/>
              <w:left w:val="nil"/>
              <w:right w:val="nil"/>
            </w:tcBorders>
            <w:shd w:val="clear" w:color="000000" w:fill="FF0000"/>
            <w:noWrap/>
            <w:vAlign w:val="center"/>
            <w:hideMark/>
          </w:tcPr>
          <w:p w14:paraId="0C3F8099"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27,130,969</w:t>
            </w:r>
          </w:p>
        </w:tc>
        <w:tc>
          <w:tcPr>
            <w:tcW w:w="470" w:type="pct"/>
            <w:tcBorders>
              <w:top w:val="nil"/>
              <w:left w:val="nil"/>
              <w:right w:val="nil"/>
            </w:tcBorders>
            <w:shd w:val="clear" w:color="000000" w:fill="FF0000"/>
            <w:noWrap/>
            <w:vAlign w:val="center"/>
            <w:hideMark/>
          </w:tcPr>
          <w:p w14:paraId="0C3F809A"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29,091,190</w:t>
            </w:r>
          </w:p>
        </w:tc>
        <w:tc>
          <w:tcPr>
            <w:tcW w:w="454" w:type="pct"/>
            <w:tcBorders>
              <w:top w:val="nil"/>
              <w:left w:val="nil"/>
              <w:right w:val="nil"/>
            </w:tcBorders>
            <w:shd w:val="clear" w:color="000000" w:fill="FFFF00"/>
            <w:noWrap/>
            <w:vAlign w:val="center"/>
            <w:hideMark/>
          </w:tcPr>
          <w:p w14:paraId="0C3F809B"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7,661,648</w:t>
            </w:r>
          </w:p>
        </w:tc>
        <w:tc>
          <w:tcPr>
            <w:tcW w:w="466" w:type="pct"/>
            <w:tcBorders>
              <w:top w:val="nil"/>
              <w:left w:val="nil"/>
              <w:right w:val="nil"/>
            </w:tcBorders>
            <w:shd w:val="clear" w:color="000000" w:fill="FF0000"/>
            <w:noWrap/>
            <w:vAlign w:val="center"/>
            <w:hideMark/>
          </w:tcPr>
          <w:p w14:paraId="0C3F809C"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33,885,815</w:t>
            </w:r>
          </w:p>
        </w:tc>
        <w:tc>
          <w:tcPr>
            <w:tcW w:w="467" w:type="pct"/>
            <w:tcBorders>
              <w:top w:val="nil"/>
              <w:left w:val="nil"/>
              <w:right w:val="nil"/>
            </w:tcBorders>
            <w:shd w:val="clear" w:color="000000" w:fill="FF0000"/>
            <w:noWrap/>
            <w:vAlign w:val="center"/>
            <w:hideMark/>
          </w:tcPr>
          <w:p w14:paraId="0C3F809D"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14,333,639</w:t>
            </w:r>
          </w:p>
        </w:tc>
        <w:tc>
          <w:tcPr>
            <w:tcW w:w="468" w:type="pct"/>
            <w:tcBorders>
              <w:top w:val="nil"/>
              <w:left w:val="nil"/>
              <w:right w:val="nil"/>
            </w:tcBorders>
            <w:shd w:val="clear" w:color="auto" w:fill="auto"/>
            <w:noWrap/>
            <w:vAlign w:val="center"/>
            <w:hideMark/>
          </w:tcPr>
          <w:p w14:paraId="0C3F809E"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3,110,545</w:t>
            </w:r>
          </w:p>
        </w:tc>
      </w:tr>
      <w:tr w:rsidR="004F15BA" w:rsidRPr="00E77510" w14:paraId="0C3F80AA" w14:textId="77777777" w:rsidTr="004F15BA">
        <w:trPr>
          <w:trHeight w:val="57"/>
        </w:trPr>
        <w:tc>
          <w:tcPr>
            <w:tcW w:w="584" w:type="pct"/>
            <w:tcBorders>
              <w:top w:val="nil"/>
              <w:left w:val="nil"/>
              <w:bottom w:val="single" w:sz="4" w:space="0" w:color="auto"/>
              <w:right w:val="nil"/>
            </w:tcBorders>
            <w:shd w:val="clear" w:color="auto" w:fill="auto"/>
            <w:noWrap/>
            <w:vAlign w:val="center"/>
            <w:hideMark/>
          </w:tcPr>
          <w:p w14:paraId="0C3F80A0" w14:textId="77777777" w:rsidR="0015270F" w:rsidRPr="00935052" w:rsidRDefault="00E67427" w:rsidP="0015270F">
            <w:pPr>
              <w:spacing w:before="0" w:after="0"/>
              <w:rPr>
                <w:rStyle w:val="BookTitle"/>
                <w:rFonts w:asciiTheme="minorHAnsi" w:hAnsiTheme="minorHAnsi"/>
              </w:rPr>
            </w:pPr>
            <w:r w:rsidRPr="00935052">
              <w:rPr>
                <w:rStyle w:val="BookTitle"/>
                <w:rFonts w:asciiTheme="minorHAnsi" w:hAnsiTheme="minorHAnsi"/>
              </w:rPr>
              <w:t>Fitz</w:t>
            </w:r>
            <w:r w:rsidR="004F15BA">
              <w:rPr>
                <w:rStyle w:val="BookTitle"/>
                <w:rFonts w:asciiTheme="minorHAnsi" w:hAnsiTheme="minorHAnsi"/>
              </w:rPr>
              <w:t>roy</w:t>
            </w:r>
          </w:p>
        </w:tc>
        <w:tc>
          <w:tcPr>
            <w:tcW w:w="533" w:type="pct"/>
            <w:tcBorders>
              <w:top w:val="nil"/>
              <w:left w:val="nil"/>
              <w:bottom w:val="single" w:sz="4" w:space="0" w:color="auto"/>
              <w:right w:val="nil"/>
            </w:tcBorders>
            <w:shd w:val="clear" w:color="auto" w:fill="auto"/>
            <w:noWrap/>
            <w:vAlign w:val="center"/>
            <w:hideMark/>
          </w:tcPr>
          <w:p w14:paraId="0C3F80A1"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1,880,471</w:t>
            </w:r>
          </w:p>
        </w:tc>
        <w:tc>
          <w:tcPr>
            <w:tcW w:w="470" w:type="pct"/>
            <w:tcBorders>
              <w:top w:val="nil"/>
              <w:left w:val="nil"/>
              <w:bottom w:val="single" w:sz="4" w:space="0" w:color="auto"/>
              <w:right w:val="nil"/>
            </w:tcBorders>
            <w:shd w:val="clear" w:color="auto" w:fill="auto"/>
            <w:noWrap/>
            <w:vAlign w:val="center"/>
            <w:hideMark/>
          </w:tcPr>
          <w:p w14:paraId="0C3F80A2"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547,415</w:t>
            </w:r>
          </w:p>
        </w:tc>
        <w:tc>
          <w:tcPr>
            <w:tcW w:w="571" w:type="pct"/>
            <w:tcBorders>
              <w:top w:val="nil"/>
              <w:left w:val="nil"/>
              <w:bottom w:val="single" w:sz="4" w:space="0" w:color="auto"/>
              <w:right w:val="nil"/>
            </w:tcBorders>
            <w:shd w:val="clear" w:color="auto" w:fill="auto"/>
            <w:noWrap/>
            <w:vAlign w:val="center"/>
            <w:hideMark/>
          </w:tcPr>
          <w:p w14:paraId="0C3F80A3"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870,801</w:t>
            </w:r>
          </w:p>
        </w:tc>
        <w:tc>
          <w:tcPr>
            <w:tcW w:w="517" w:type="pct"/>
            <w:tcBorders>
              <w:top w:val="nil"/>
              <w:left w:val="nil"/>
              <w:bottom w:val="single" w:sz="4" w:space="0" w:color="auto"/>
              <w:right w:val="nil"/>
            </w:tcBorders>
            <w:shd w:val="clear" w:color="000000" w:fill="FF0000"/>
            <w:noWrap/>
            <w:vAlign w:val="center"/>
            <w:hideMark/>
          </w:tcPr>
          <w:p w14:paraId="0C3F80A4"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12,209,913</w:t>
            </w:r>
          </w:p>
        </w:tc>
        <w:tc>
          <w:tcPr>
            <w:tcW w:w="470" w:type="pct"/>
            <w:tcBorders>
              <w:top w:val="nil"/>
              <w:left w:val="nil"/>
              <w:bottom w:val="single" w:sz="4" w:space="0" w:color="auto"/>
              <w:right w:val="nil"/>
            </w:tcBorders>
            <w:shd w:val="clear" w:color="auto" w:fill="auto"/>
            <w:noWrap/>
            <w:vAlign w:val="center"/>
            <w:hideMark/>
          </w:tcPr>
          <w:p w14:paraId="0C3F80A5"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1,982,217</w:t>
            </w:r>
          </w:p>
        </w:tc>
        <w:tc>
          <w:tcPr>
            <w:tcW w:w="454" w:type="pct"/>
            <w:tcBorders>
              <w:top w:val="nil"/>
              <w:left w:val="nil"/>
              <w:bottom w:val="single" w:sz="4" w:space="0" w:color="auto"/>
              <w:right w:val="nil"/>
            </w:tcBorders>
            <w:shd w:val="clear" w:color="000000" w:fill="FF0000"/>
            <w:noWrap/>
            <w:vAlign w:val="center"/>
            <w:hideMark/>
          </w:tcPr>
          <w:p w14:paraId="0C3F80A6"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10,906,736</w:t>
            </w:r>
          </w:p>
        </w:tc>
        <w:tc>
          <w:tcPr>
            <w:tcW w:w="466" w:type="pct"/>
            <w:tcBorders>
              <w:top w:val="nil"/>
              <w:left w:val="nil"/>
              <w:bottom w:val="single" w:sz="4" w:space="0" w:color="auto"/>
              <w:right w:val="nil"/>
            </w:tcBorders>
            <w:shd w:val="clear" w:color="000000" w:fill="FF0000"/>
            <w:noWrap/>
            <w:vAlign w:val="center"/>
            <w:hideMark/>
          </w:tcPr>
          <w:p w14:paraId="0C3F80A7"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35,886,042</w:t>
            </w:r>
          </w:p>
        </w:tc>
        <w:tc>
          <w:tcPr>
            <w:tcW w:w="467" w:type="pct"/>
            <w:tcBorders>
              <w:top w:val="nil"/>
              <w:left w:val="nil"/>
              <w:bottom w:val="single" w:sz="4" w:space="0" w:color="auto"/>
              <w:right w:val="nil"/>
            </w:tcBorders>
            <w:shd w:val="clear" w:color="000000" w:fill="FF0000"/>
            <w:noWrap/>
            <w:vAlign w:val="center"/>
            <w:hideMark/>
          </w:tcPr>
          <w:p w14:paraId="0C3F80A8"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6,479,801</w:t>
            </w:r>
          </w:p>
        </w:tc>
        <w:tc>
          <w:tcPr>
            <w:tcW w:w="468" w:type="pct"/>
            <w:tcBorders>
              <w:top w:val="nil"/>
              <w:left w:val="nil"/>
              <w:bottom w:val="single" w:sz="4" w:space="0" w:color="auto"/>
              <w:right w:val="nil"/>
            </w:tcBorders>
            <w:shd w:val="clear" w:color="000000" w:fill="FF0000"/>
            <w:noWrap/>
            <w:vAlign w:val="center"/>
            <w:hideMark/>
          </w:tcPr>
          <w:p w14:paraId="0C3F80A9" w14:textId="77777777" w:rsidR="0015270F" w:rsidRPr="00935052" w:rsidRDefault="0015270F" w:rsidP="0015270F">
            <w:pPr>
              <w:spacing w:before="0" w:after="0"/>
              <w:rPr>
                <w:rStyle w:val="BookTitle"/>
                <w:rFonts w:asciiTheme="minorHAnsi" w:hAnsiTheme="minorHAnsi"/>
                <w:sz w:val="18"/>
                <w:szCs w:val="18"/>
                <w:vertAlign w:val="subscript"/>
              </w:rPr>
            </w:pPr>
            <w:r w:rsidRPr="00935052">
              <w:rPr>
                <w:rStyle w:val="BookTitle"/>
                <w:rFonts w:asciiTheme="minorHAnsi" w:hAnsiTheme="minorHAnsi"/>
                <w:sz w:val="18"/>
                <w:szCs w:val="18"/>
                <w:vertAlign w:val="subscript"/>
              </w:rPr>
              <w:t>8,307,455</w:t>
            </w:r>
          </w:p>
        </w:tc>
      </w:tr>
    </w:tbl>
    <w:p w14:paraId="0C3F80AB" w14:textId="77777777" w:rsidR="0015270F" w:rsidRPr="0015270F" w:rsidRDefault="0015270F" w:rsidP="0015270F">
      <w:pPr>
        <w:rPr>
          <w:rFonts w:cs="Arial"/>
        </w:rPr>
      </w:pPr>
    </w:p>
    <w:p w14:paraId="0C3F80AC" w14:textId="77777777" w:rsidR="00162359" w:rsidRDefault="00162359">
      <w:pPr>
        <w:spacing w:before="0" w:after="0"/>
        <w:jc w:val="left"/>
        <w:rPr>
          <w:b/>
          <w:sz w:val="24"/>
        </w:rPr>
      </w:pPr>
      <w:r>
        <w:br w:type="page"/>
      </w:r>
    </w:p>
    <w:p w14:paraId="0C3F80AD" w14:textId="77777777" w:rsidR="0015270F" w:rsidRPr="0095562E" w:rsidRDefault="0015270F" w:rsidP="00C05A63">
      <w:pPr>
        <w:pStyle w:val="Heading2"/>
        <w:keepNext/>
        <w:numPr>
          <w:ilvl w:val="1"/>
          <w:numId w:val="13"/>
        </w:numPr>
        <w:spacing w:line="80" w:lineRule="atLeast"/>
      </w:pPr>
      <w:bookmarkStart w:id="118" w:name="_Toc434207998"/>
      <w:r w:rsidRPr="0095562E">
        <w:t>Results</w:t>
      </w:r>
      <w:bookmarkEnd w:id="118"/>
    </w:p>
    <w:p w14:paraId="0C3F80AE" w14:textId="77777777" w:rsidR="0095562E" w:rsidRDefault="0095562E" w:rsidP="00C05A63">
      <w:pPr>
        <w:pStyle w:val="Heading2"/>
        <w:keepNext/>
        <w:numPr>
          <w:ilvl w:val="2"/>
          <w:numId w:val="13"/>
        </w:numPr>
        <w:spacing w:line="80" w:lineRule="atLeast"/>
      </w:pPr>
      <w:bookmarkStart w:id="119" w:name="_Toc434207999"/>
      <w:r>
        <w:t>Data analysis - spatial</w:t>
      </w:r>
      <w:bookmarkEnd w:id="119"/>
    </w:p>
    <w:p w14:paraId="0C3F80AF" w14:textId="77777777" w:rsidR="0015270F" w:rsidRDefault="00BD7FB0" w:rsidP="0015270F">
      <w:r>
        <w:t xml:space="preserve">Two transects in the </w:t>
      </w:r>
      <w:r w:rsidRPr="005A5D87">
        <w:rPr>
          <w:u w:val="single"/>
        </w:rPr>
        <w:t>Wet Tropics region</w:t>
      </w:r>
      <w:r>
        <w:t xml:space="preserve"> are included in this report</w:t>
      </w:r>
      <w:r w:rsidR="0015270F" w:rsidRPr="006B0902">
        <w:t xml:space="preserve"> </w:t>
      </w:r>
      <w:r w:rsidR="00282ECB">
        <w:t xml:space="preserve">(Tully and </w:t>
      </w:r>
      <w:r w:rsidR="0015270F">
        <w:t>Herbert</w:t>
      </w:r>
      <w:r w:rsidR="00282ECB">
        <w:t>) and the Burdekin in the Dry Tropics</w:t>
      </w:r>
      <w:r w:rsidR="0015270F">
        <w:t xml:space="preserve"> </w:t>
      </w:r>
      <w:r w:rsidR="0015270F" w:rsidRPr="006B0902">
        <w:t xml:space="preserve">(Table </w:t>
      </w:r>
      <w:r w:rsidR="00282ECB">
        <w:t>4-5</w:t>
      </w:r>
      <w:r w:rsidR="0015270F" w:rsidRPr="006B0902">
        <w:t xml:space="preserve">). </w:t>
      </w:r>
      <w:r w:rsidR="0015270F">
        <w:t xml:space="preserve">Overall, the mean values for each WQ parameters sampled in the Wet Tropics were highest in the Southern Herbert transect followed by the sites in the Tully transect. The lowest mean values were observed on average in the Northern Herbert transect. Total suspended solids (TSS) ranged between </w:t>
      </w:r>
      <w:r w:rsidR="00E77510">
        <w:t>3.1</w:t>
      </w:r>
      <w:r w:rsidR="0015270F">
        <w:t xml:space="preserve"> – 57 mg/L, with the highest value sampled at the Herbert River mouth on 25-03-2013, corresponding to a 5-days average river discharge of 11,677 ML/d (below 75</w:t>
      </w:r>
      <w:r w:rsidR="0015270F" w:rsidRPr="0015270F">
        <w:rPr>
          <w:vertAlign w:val="superscript"/>
        </w:rPr>
        <w:t>th</w:t>
      </w:r>
      <w:r w:rsidR="0015270F">
        <w:t xml:space="preserve"> </w:t>
      </w:r>
      <w:r w:rsidR="0015270F" w:rsidRPr="00A75B20">
        <w:t xml:space="preserve">percentile, </w:t>
      </w:r>
      <w:r w:rsidR="0015270F" w:rsidRPr="0015270F">
        <w:rPr>
          <w:color w:val="000000"/>
        </w:rPr>
        <w:t xml:space="preserve">16,470 ML/d, Table </w:t>
      </w:r>
      <w:r w:rsidR="002854A3">
        <w:rPr>
          <w:color w:val="000000"/>
        </w:rPr>
        <w:t>4-5</w:t>
      </w:r>
      <w:r w:rsidR="0015270F" w:rsidRPr="00A75B20">
        <w:t>), suggesting</w:t>
      </w:r>
      <w:r w:rsidR="0015270F">
        <w:t xml:space="preserve"> a potential high suspended solid load from the Herbert catchment. Chl-a ranged </w:t>
      </w:r>
      <w:r w:rsidR="0015270F" w:rsidRPr="003C503B">
        <w:t>between 0.</w:t>
      </w:r>
      <w:r w:rsidR="00E77510">
        <w:t>20</w:t>
      </w:r>
      <w:r w:rsidR="00E77510" w:rsidRPr="003C503B">
        <w:t xml:space="preserve"> </w:t>
      </w:r>
      <w:r w:rsidR="0015270F" w:rsidRPr="003C503B">
        <w:t xml:space="preserve">– 9.74 µg/L, and </w:t>
      </w:r>
      <w:r w:rsidR="0015270F">
        <w:t xml:space="preserve">in </w:t>
      </w:r>
      <w:r w:rsidR="0015270F" w:rsidRPr="003C503B">
        <w:t>70% of the sampled sites it was above the (annual) water quality guideline (i.e., 0.45 µg/L, GBRMPA, 2009</w:t>
      </w:r>
      <w:r w:rsidR="0015270F">
        <w:t>)</w:t>
      </w:r>
      <w:r w:rsidR="0015270F" w:rsidRPr="00C57511">
        <w:t>.</w:t>
      </w:r>
      <w:r w:rsidR="0015270F">
        <w:t xml:space="preserve"> The highest chl-a value was observed at the King Reef (approx. 30 km form the Tully River mouth), u</w:t>
      </w:r>
      <w:r w:rsidR="002854A3">
        <w:t>nder the influence of secondary</w:t>
      </w:r>
      <w:r w:rsidR="000F26F1">
        <w:t xml:space="preserve">, phytoplankton enriched </w:t>
      </w:r>
      <w:r w:rsidR="0015270F">
        <w:t>waters.</w:t>
      </w:r>
      <w:r w:rsidR="0015270F" w:rsidRPr="00A75B20">
        <w:t xml:space="preserve"> The minimum</w:t>
      </w:r>
      <w:r w:rsidR="0015270F">
        <w:t xml:space="preserve"> values for DIN ranged from 0.5 – 1.1</w:t>
      </w:r>
      <w:r w:rsidR="0015270F" w:rsidRPr="00A75B20">
        <w:t xml:space="preserve"> </w:t>
      </w:r>
      <w:r w:rsidR="0015270F">
        <w:t>µ</w:t>
      </w:r>
      <w:r w:rsidR="0015270F" w:rsidRPr="00A75B20">
        <w:t xml:space="preserve">M and minimum DIP values ranged from </w:t>
      </w:r>
      <w:r w:rsidR="0015270F">
        <w:t>0.03 – 0.</w:t>
      </w:r>
      <w:r w:rsidR="00E77510">
        <w:t>06</w:t>
      </w:r>
      <w:r w:rsidR="00E77510" w:rsidRPr="00A75B20">
        <w:t xml:space="preserve"> </w:t>
      </w:r>
      <w:r w:rsidR="0015270F" w:rsidRPr="00A75B20">
        <w:t xml:space="preserve">µM. The maximum values for DIN ranged from </w:t>
      </w:r>
      <w:r w:rsidR="0015270F">
        <w:t>1.</w:t>
      </w:r>
      <w:r w:rsidR="00E77510">
        <w:t>8</w:t>
      </w:r>
      <w:r w:rsidR="00E77510" w:rsidRPr="00A75B20">
        <w:t xml:space="preserve"> </w:t>
      </w:r>
      <w:r w:rsidR="0015270F" w:rsidRPr="00A75B20">
        <w:t xml:space="preserve">– </w:t>
      </w:r>
      <w:r w:rsidR="0015270F">
        <w:t>12.6</w:t>
      </w:r>
      <w:r w:rsidR="0015270F" w:rsidRPr="00A75B20">
        <w:t xml:space="preserve"> </w:t>
      </w:r>
      <w:r w:rsidR="0015270F">
        <w:t>µ</w:t>
      </w:r>
      <w:r w:rsidR="0015270F" w:rsidRPr="00A75B20">
        <w:t xml:space="preserve">M and maximum DIP values ranged from </w:t>
      </w:r>
      <w:r w:rsidR="0015270F">
        <w:t>0.13 – 0.29</w:t>
      </w:r>
      <w:r w:rsidR="0015270F" w:rsidRPr="00A75B20">
        <w:t xml:space="preserve"> µM.  The high</w:t>
      </w:r>
      <w:r w:rsidR="0015270F">
        <w:t>est</w:t>
      </w:r>
      <w:r w:rsidR="0015270F" w:rsidRPr="00A75B20">
        <w:t xml:space="preserve"> value of DIN (</w:t>
      </w:r>
      <w:r w:rsidR="0015270F">
        <w:t>12.6</w:t>
      </w:r>
      <w:r w:rsidR="0015270F" w:rsidRPr="00A75B20">
        <w:t xml:space="preserve"> </w:t>
      </w:r>
      <w:r w:rsidR="0015270F">
        <w:t>µ</w:t>
      </w:r>
      <w:r w:rsidR="0015270F" w:rsidRPr="00A75B20">
        <w:t xml:space="preserve">M) was recorded at </w:t>
      </w:r>
      <w:r w:rsidR="0015270F">
        <w:t>Tully River mouth</w:t>
      </w:r>
      <w:r w:rsidR="0015270F" w:rsidRPr="00A75B20">
        <w:t xml:space="preserve"> on </w:t>
      </w:r>
      <w:r w:rsidR="0015270F">
        <w:t>26-01-2013</w:t>
      </w:r>
      <w:r w:rsidR="0015270F" w:rsidRPr="00A75B20">
        <w:t xml:space="preserve"> at a salinity of </w:t>
      </w:r>
      <w:r w:rsidR="0015270F">
        <w:t>9.5 and under a 5-days average discharge of 64,443 ML/d (higher than the 95</w:t>
      </w:r>
      <w:r w:rsidR="0015270F" w:rsidRPr="0015270F">
        <w:rPr>
          <w:vertAlign w:val="superscript"/>
        </w:rPr>
        <w:t>th</w:t>
      </w:r>
      <w:r w:rsidR="0015270F">
        <w:t xml:space="preserve"> percentile, 28,441 ML/d, Table 2-2), suggesting a strong continental contribution of DIN during flood conditions</w:t>
      </w:r>
      <w:r w:rsidR="0015270F" w:rsidRPr="00A75B20">
        <w:t>.</w:t>
      </w:r>
      <w:r w:rsidR="0015270F">
        <w:t xml:space="preserve"> </w:t>
      </w:r>
      <w:r w:rsidR="00935052">
        <w:t>T</w:t>
      </w:r>
      <w:r w:rsidR="0015270F">
        <w:t xml:space="preserve">he largest variation between WQ parameters was for Si, which varied more than </w:t>
      </w:r>
      <w:r w:rsidR="00E77510">
        <w:t xml:space="preserve">3 </w:t>
      </w:r>
      <w:r w:rsidR="0015270F">
        <w:t xml:space="preserve">fold between Southern Herbert transect (43.97 ± 93.37 µM, mean ± 1SD) and the </w:t>
      </w:r>
      <w:r w:rsidR="00E77510">
        <w:t>Burdekin</w:t>
      </w:r>
      <w:r w:rsidR="0015270F">
        <w:t xml:space="preserve"> transect (</w:t>
      </w:r>
      <w:r w:rsidR="00E77510">
        <w:t>7.72</w:t>
      </w:r>
      <w:r w:rsidR="0015270F">
        <w:t xml:space="preserve"> ± </w:t>
      </w:r>
      <w:r w:rsidR="00E77510">
        <w:t>13.8</w:t>
      </w:r>
      <w:r w:rsidR="0015270F">
        <w:t xml:space="preserve"> µM). </w:t>
      </w:r>
    </w:p>
    <w:p w14:paraId="0C3F80B0" w14:textId="77777777" w:rsidR="005A5D87" w:rsidRDefault="00E77510" w:rsidP="005A5D87">
      <w:r>
        <w:t xml:space="preserve">A long </w:t>
      </w:r>
      <w:r w:rsidR="005A5D87">
        <w:t xml:space="preserve">transect </w:t>
      </w:r>
      <w:r>
        <w:t xml:space="preserve">was </w:t>
      </w:r>
      <w:r w:rsidR="005A5D87">
        <w:t xml:space="preserve">sampled in </w:t>
      </w:r>
      <w:r w:rsidR="005A5D87" w:rsidRPr="005A5D87">
        <w:rPr>
          <w:u w:val="single"/>
        </w:rPr>
        <w:t>the Burdekin region</w:t>
      </w:r>
      <w:r w:rsidR="005A5D87">
        <w:t xml:space="preserve">, </w:t>
      </w:r>
      <w:r>
        <w:t xml:space="preserve">covering </w:t>
      </w:r>
      <w:r w:rsidR="005A5D87">
        <w:t>the Burdekin and Don River</w:t>
      </w:r>
      <w:r>
        <w:t>s</w:t>
      </w:r>
      <w:r w:rsidR="005A5D87">
        <w:t xml:space="preserve">, </w:t>
      </w:r>
      <w:r>
        <w:t xml:space="preserve">with </w:t>
      </w:r>
      <w:r w:rsidR="005A5D87">
        <w:t xml:space="preserve">a total of 36 sites </w:t>
      </w:r>
      <w:r>
        <w:t xml:space="preserve">sampled </w:t>
      </w:r>
      <w:r w:rsidR="005A5D87">
        <w:t xml:space="preserve">from </w:t>
      </w:r>
      <w:r w:rsidR="005A5D87" w:rsidRPr="00C1037B">
        <w:t xml:space="preserve">the Edgecumbe Bay at Bowen </w:t>
      </w:r>
      <w:r w:rsidR="005A5D87">
        <w:t xml:space="preserve">to the </w:t>
      </w:r>
      <w:r w:rsidR="005A5D87" w:rsidRPr="00C1037B">
        <w:t xml:space="preserve">south of Palm Island </w:t>
      </w:r>
      <w:r w:rsidR="005A5D87">
        <w:t xml:space="preserve">(Table </w:t>
      </w:r>
      <w:r>
        <w:t>4-5</w:t>
      </w:r>
      <w:r w:rsidR="005A5D87">
        <w:t xml:space="preserve">). Overall, the mean values for each WQ parameters sampled in </w:t>
      </w:r>
      <w:r>
        <w:t xml:space="preserve">this transect </w:t>
      </w:r>
      <w:r w:rsidR="005A5D87">
        <w:t xml:space="preserve">were higher in the Burdekin </w:t>
      </w:r>
      <w:r>
        <w:t xml:space="preserve">region </w:t>
      </w:r>
      <w:r w:rsidR="005A5D87">
        <w:t xml:space="preserve">than in the Don </w:t>
      </w:r>
      <w:r>
        <w:t>region</w:t>
      </w:r>
      <w:r w:rsidR="005A5D87">
        <w:t>. Total suspended solids (TSS) ranged between 3.10 – 12 mg/L. The highest TSS value was sampled at the Burdekin River plume on 17-03-2013, 10 days after the second major flood event (peak discharge of 173,173 ML/d), at 14 km from the Burdekin River mouth, under a salinity of 33, and under a 5-days average river discharge of 17,981 ML/d (below 95</w:t>
      </w:r>
      <w:r w:rsidR="005A5D87" w:rsidRPr="0015270F">
        <w:rPr>
          <w:vertAlign w:val="superscript"/>
        </w:rPr>
        <w:t>th</w:t>
      </w:r>
      <w:r w:rsidR="005A5D87">
        <w:t xml:space="preserve"> </w:t>
      </w:r>
      <w:r w:rsidR="005A5D87" w:rsidRPr="00A75B20">
        <w:t xml:space="preserve">percentile, </w:t>
      </w:r>
      <w:r w:rsidR="005A5D87" w:rsidRPr="0015270F">
        <w:rPr>
          <w:color w:val="000000"/>
        </w:rPr>
        <w:t>115,249 ML/d, Table 2-2</w:t>
      </w:r>
      <w:r w:rsidR="005A5D87">
        <w:t>). Chl-a ranged between 0.2 – 1.</w:t>
      </w:r>
      <w:r>
        <w:t xml:space="preserve">08 </w:t>
      </w:r>
      <w:r w:rsidR="005A5D87">
        <w:t xml:space="preserve">µg/L, and 60% of the sampled sites were above the </w:t>
      </w:r>
      <w:r w:rsidR="005A5D87" w:rsidRPr="00C57511">
        <w:t xml:space="preserve">(annual) water quality guideline </w:t>
      </w:r>
      <w:r w:rsidR="005A5D87" w:rsidRPr="003C503B">
        <w:t>(i.e., 0.45 µg/L, GBRMPA</w:t>
      </w:r>
      <w:r w:rsidR="005A5D87">
        <w:t>, 2009)</w:t>
      </w:r>
      <w:r w:rsidR="005A5D87" w:rsidRPr="00C57511">
        <w:t>.</w:t>
      </w:r>
      <w:r w:rsidR="005A5D87">
        <w:t xml:space="preserve"> The highest chl-a va</w:t>
      </w:r>
      <w:r w:rsidR="00A26858">
        <w:t xml:space="preserve">lue was observed on 15-03-2013 </w:t>
      </w:r>
      <w:r w:rsidR="005A5D87">
        <w:t>near the Sinclairs Bay (35 km from the Don River mouth), under influence of secondary waters.</w:t>
      </w:r>
      <w:r w:rsidR="005A5D87" w:rsidRPr="00A75B20">
        <w:t xml:space="preserve"> The minimum</w:t>
      </w:r>
      <w:r w:rsidR="005A5D87">
        <w:t xml:space="preserve"> values for DIN ranged from 0.8 – 1.1</w:t>
      </w:r>
      <w:r w:rsidR="005A5D87" w:rsidRPr="00A75B20">
        <w:t xml:space="preserve"> </w:t>
      </w:r>
      <w:r w:rsidR="005A5D87">
        <w:t>µ</w:t>
      </w:r>
      <w:r w:rsidR="005A5D87" w:rsidRPr="00A75B20">
        <w:t xml:space="preserve">M and minimum DIP values ranged from </w:t>
      </w:r>
      <w:r w:rsidR="005A5D87">
        <w:t>0.03 – 0.06</w:t>
      </w:r>
      <w:r w:rsidR="005A5D87" w:rsidRPr="00A75B20">
        <w:t xml:space="preserve"> µM. DIN </w:t>
      </w:r>
      <w:r>
        <w:t xml:space="preserve">values </w:t>
      </w:r>
      <w:r w:rsidR="005A5D87" w:rsidRPr="00A75B20">
        <w:t xml:space="preserve">ranged from </w:t>
      </w:r>
      <w:r w:rsidR="005A5D87">
        <w:t>1.</w:t>
      </w:r>
      <w:r>
        <w:t>07</w:t>
      </w:r>
      <w:r w:rsidRPr="00A75B20">
        <w:t xml:space="preserve"> </w:t>
      </w:r>
      <w:r w:rsidR="005A5D87" w:rsidRPr="00A75B20">
        <w:t xml:space="preserve">– </w:t>
      </w:r>
      <w:r w:rsidR="005A5D87">
        <w:t>3.0</w:t>
      </w:r>
      <w:r w:rsidR="005A5D87" w:rsidRPr="00A75B20">
        <w:t xml:space="preserve"> </w:t>
      </w:r>
      <w:r w:rsidR="005A5D87">
        <w:t>µ</w:t>
      </w:r>
      <w:r w:rsidR="005A5D87" w:rsidRPr="00A75B20">
        <w:t xml:space="preserve">M and DIP values ranged from </w:t>
      </w:r>
      <w:r w:rsidR="005A5D87">
        <w:t>0.</w:t>
      </w:r>
      <w:r>
        <w:t xml:space="preserve">03 </w:t>
      </w:r>
      <w:r w:rsidR="005A5D87">
        <w:t>– 0.23</w:t>
      </w:r>
      <w:r w:rsidR="005A5D87" w:rsidRPr="00A75B20">
        <w:t xml:space="preserve"> µM.  The high</w:t>
      </w:r>
      <w:r w:rsidR="005A5D87">
        <w:t>est</w:t>
      </w:r>
      <w:r w:rsidR="005A5D87" w:rsidRPr="00A75B20">
        <w:t xml:space="preserve"> value of DIN (</w:t>
      </w:r>
      <w:r w:rsidR="005A5D87">
        <w:t>3.0</w:t>
      </w:r>
      <w:r w:rsidR="005A5D87" w:rsidRPr="00A75B20">
        <w:t xml:space="preserve"> </w:t>
      </w:r>
      <w:r w:rsidR="005A5D87">
        <w:t>µ</w:t>
      </w:r>
      <w:r w:rsidR="005A5D87" w:rsidRPr="00A75B20">
        <w:t xml:space="preserve">M) was recorded at </w:t>
      </w:r>
      <w:r w:rsidR="005A5D87">
        <w:t xml:space="preserve">Cape Cleveland </w:t>
      </w:r>
      <w:r w:rsidR="005A5D87" w:rsidRPr="00A75B20">
        <w:t xml:space="preserve">on </w:t>
      </w:r>
      <w:r w:rsidR="005A5D87">
        <w:t>14-03-2013</w:t>
      </w:r>
      <w:r w:rsidR="005A5D87" w:rsidRPr="00A75B20">
        <w:t xml:space="preserve"> at a salinity of </w:t>
      </w:r>
      <w:r w:rsidR="005A5D87">
        <w:t>22.8 and under a 5-days average discharge of 34,057 ML/d (lower than the 95</w:t>
      </w:r>
      <w:r w:rsidR="005A5D87" w:rsidRPr="0015270F">
        <w:rPr>
          <w:vertAlign w:val="superscript"/>
        </w:rPr>
        <w:t>th</w:t>
      </w:r>
      <w:r w:rsidR="005A5D87">
        <w:t xml:space="preserve"> percentile, </w:t>
      </w:r>
      <w:r w:rsidR="005A5D87" w:rsidRPr="0015270F">
        <w:rPr>
          <w:color w:val="000000"/>
        </w:rPr>
        <w:t xml:space="preserve">115,249 </w:t>
      </w:r>
      <w:r w:rsidR="005A5D87">
        <w:t>ML/d, Table 2-2)</w:t>
      </w:r>
      <w:r w:rsidR="005A5D87" w:rsidRPr="00A75B20">
        <w:t>.</w:t>
      </w:r>
      <w:r w:rsidR="005A5D87">
        <w:t xml:space="preserve"> As observed for the previous two NRMs, the largest variation between WQ parameters was for Si, which varied 4.6 fold between Don </w:t>
      </w:r>
      <w:r>
        <w:t xml:space="preserve">area </w:t>
      </w:r>
      <w:r w:rsidR="005A5D87">
        <w:t xml:space="preserve">(1.66 ± 0 µM, mean ± 1SD) and the Burdekin </w:t>
      </w:r>
      <w:r>
        <w:t xml:space="preserve">area </w:t>
      </w:r>
      <w:r w:rsidR="005A5D87">
        <w:t>(7.72 ± 13.81 µM).</w:t>
      </w:r>
    </w:p>
    <w:p w14:paraId="0C3F80B1" w14:textId="77777777" w:rsidR="005A5D87" w:rsidRDefault="005A5D87" w:rsidP="0015270F"/>
    <w:p w14:paraId="0C3F80B2" w14:textId="77777777" w:rsidR="00162359" w:rsidRDefault="00162359" w:rsidP="0015270F"/>
    <w:p w14:paraId="0C3F80B3" w14:textId="77777777" w:rsidR="00162359" w:rsidRDefault="00162359" w:rsidP="0015270F"/>
    <w:p w14:paraId="0C3F80B4" w14:textId="77777777" w:rsidR="00935052" w:rsidRDefault="00935052" w:rsidP="0015270F"/>
    <w:p w14:paraId="0C3F80B5" w14:textId="77777777" w:rsidR="00162359" w:rsidRDefault="00162359" w:rsidP="0015270F"/>
    <w:p w14:paraId="0C3F80B6" w14:textId="77777777" w:rsidR="00BD7FB0" w:rsidRDefault="00BD7FB0" w:rsidP="00BD7FB0">
      <w:pPr>
        <w:pStyle w:val="Caption"/>
      </w:pPr>
      <w:bookmarkStart w:id="120" w:name="_Toc434208072"/>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5</w:t>
      </w:r>
      <w:r w:rsidR="00AE4287">
        <w:fldChar w:fldCharType="end"/>
      </w:r>
      <w:r>
        <w:t xml:space="preserve">: </w:t>
      </w:r>
      <w:r w:rsidRPr="008F1CE3">
        <w:t xml:space="preserve">Summary of </w:t>
      </w:r>
      <w:r>
        <w:t>transects</w:t>
      </w:r>
      <w:r w:rsidRPr="00DF53A4">
        <w:t xml:space="preserve"> that were completed </w:t>
      </w:r>
      <w:r w:rsidR="00282ECB">
        <w:t xml:space="preserve">and including in this report </w:t>
      </w:r>
      <w:r w:rsidRPr="00DF53A4">
        <w:t>during the 201</w:t>
      </w:r>
      <w:r>
        <w:t>2</w:t>
      </w:r>
      <w:r w:rsidRPr="00DF53A4">
        <w:t>-201</w:t>
      </w:r>
      <w:r>
        <w:t>3</w:t>
      </w:r>
      <w:r w:rsidRPr="00DF53A4">
        <w:t xml:space="preserve"> wet season</w:t>
      </w:r>
      <w:r>
        <w:t xml:space="preserve"> </w:t>
      </w:r>
      <w:r w:rsidRPr="00DF53A4">
        <w:t>under the MMP program.</w:t>
      </w:r>
      <w:r>
        <w:t xml:space="preserve"> Minimum (min), maximum (max), mean, standard deviation (SD) and the number of samples are calculated over multiple sites and multiple dates within each river plume water surface and are provided as a guidance of the range of values within each sampling transect.</w:t>
      </w:r>
      <w:bookmarkEnd w:id="120"/>
      <w:r>
        <w:t xml:space="preserve"> </w:t>
      </w:r>
    </w:p>
    <w:tbl>
      <w:tblPr>
        <w:tblW w:w="4030" w:type="pct"/>
        <w:tblInd w:w="1081" w:type="dxa"/>
        <w:tblLook w:val="04A0" w:firstRow="1" w:lastRow="0" w:firstColumn="1" w:lastColumn="0" w:noHBand="0" w:noVBand="1"/>
      </w:tblPr>
      <w:tblGrid>
        <w:gridCol w:w="2154"/>
        <w:gridCol w:w="725"/>
        <w:gridCol w:w="1361"/>
        <w:gridCol w:w="1011"/>
        <w:gridCol w:w="1069"/>
        <w:gridCol w:w="1130"/>
      </w:tblGrid>
      <w:tr w:rsidR="009D74F9" w:rsidRPr="004B2104" w14:paraId="0C3F80BD" w14:textId="77777777" w:rsidTr="009D74F9">
        <w:trPr>
          <w:trHeight w:val="20"/>
          <w:tblHeader/>
        </w:trPr>
        <w:tc>
          <w:tcPr>
            <w:tcW w:w="1484" w:type="pct"/>
            <w:tcBorders>
              <w:top w:val="single" w:sz="4" w:space="0" w:color="auto"/>
              <w:left w:val="nil"/>
              <w:bottom w:val="single" w:sz="4" w:space="0" w:color="auto"/>
              <w:right w:val="nil"/>
            </w:tcBorders>
            <w:shd w:val="clear" w:color="auto" w:fill="auto"/>
            <w:vAlign w:val="center"/>
            <w:hideMark/>
          </w:tcPr>
          <w:p w14:paraId="0C3F80B7" w14:textId="77777777" w:rsidR="009D74F9" w:rsidRPr="004B2104" w:rsidRDefault="009D74F9" w:rsidP="00BD7FB0">
            <w:pPr>
              <w:spacing w:before="0" w:after="0"/>
              <w:jc w:val="left"/>
              <w:rPr>
                <w:rStyle w:val="BookTitle"/>
              </w:rPr>
            </w:pPr>
            <w:r w:rsidRPr="004B2104">
              <w:rPr>
                <w:rStyle w:val="BookTitle"/>
              </w:rPr>
              <w:t>Parameters</w:t>
            </w:r>
          </w:p>
        </w:tc>
        <w:tc>
          <w:tcPr>
            <w:tcW w:w="456" w:type="pct"/>
            <w:tcBorders>
              <w:top w:val="single" w:sz="4" w:space="0" w:color="auto"/>
              <w:left w:val="nil"/>
              <w:bottom w:val="single" w:sz="4" w:space="0" w:color="auto"/>
              <w:right w:val="nil"/>
            </w:tcBorders>
            <w:shd w:val="clear" w:color="auto" w:fill="auto"/>
            <w:vAlign w:val="center"/>
            <w:hideMark/>
          </w:tcPr>
          <w:p w14:paraId="0C3F80B8" w14:textId="77777777" w:rsidR="009D74F9" w:rsidRPr="004B2104" w:rsidRDefault="009D74F9" w:rsidP="00BD7FB0">
            <w:pPr>
              <w:spacing w:before="0" w:after="0"/>
              <w:jc w:val="left"/>
              <w:rPr>
                <w:rStyle w:val="BookTitle"/>
              </w:rPr>
            </w:pPr>
            <w:r w:rsidRPr="004B2104">
              <w:rPr>
                <w:rStyle w:val="BookTitle"/>
              </w:rPr>
              <w:t>Stats.</w:t>
            </w:r>
          </w:p>
        </w:tc>
        <w:tc>
          <w:tcPr>
            <w:tcW w:w="952" w:type="pct"/>
            <w:tcBorders>
              <w:top w:val="single" w:sz="4" w:space="0" w:color="auto"/>
              <w:left w:val="nil"/>
              <w:bottom w:val="single" w:sz="4" w:space="0" w:color="auto"/>
              <w:right w:val="nil"/>
            </w:tcBorders>
            <w:shd w:val="clear" w:color="auto" w:fill="auto"/>
            <w:vAlign w:val="center"/>
            <w:hideMark/>
          </w:tcPr>
          <w:p w14:paraId="0C3F80B9" w14:textId="77777777" w:rsidR="009D74F9" w:rsidRPr="004B2104" w:rsidRDefault="009D74F9" w:rsidP="00BD7FB0">
            <w:pPr>
              <w:spacing w:before="0" w:after="0"/>
              <w:jc w:val="center"/>
              <w:rPr>
                <w:rStyle w:val="BookTitle"/>
              </w:rPr>
            </w:pPr>
            <w:r w:rsidRPr="004B2104">
              <w:rPr>
                <w:rStyle w:val="BookTitle"/>
              </w:rPr>
              <w:t>Tully</w:t>
            </w:r>
          </w:p>
        </w:tc>
        <w:tc>
          <w:tcPr>
            <w:tcW w:w="637" w:type="pct"/>
            <w:tcBorders>
              <w:top w:val="single" w:sz="4" w:space="0" w:color="auto"/>
              <w:left w:val="nil"/>
              <w:bottom w:val="single" w:sz="4" w:space="0" w:color="auto"/>
              <w:right w:val="nil"/>
            </w:tcBorders>
            <w:shd w:val="clear" w:color="auto" w:fill="auto"/>
            <w:vAlign w:val="center"/>
            <w:hideMark/>
          </w:tcPr>
          <w:p w14:paraId="0C3F80BA" w14:textId="77777777" w:rsidR="009D74F9" w:rsidRPr="004B2104" w:rsidRDefault="009D74F9" w:rsidP="00BD7FB0">
            <w:pPr>
              <w:spacing w:before="0" w:after="0"/>
              <w:jc w:val="center"/>
              <w:rPr>
                <w:rStyle w:val="BookTitle"/>
              </w:rPr>
            </w:pPr>
            <w:r w:rsidRPr="004B2104">
              <w:rPr>
                <w:rStyle w:val="BookTitle"/>
              </w:rPr>
              <w:t>Northern Herbert</w:t>
            </w:r>
          </w:p>
        </w:tc>
        <w:tc>
          <w:tcPr>
            <w:tcW w:w="675" w:type="pct"/>
            <w:tcBorders>
              <w:top w:val="single" w:sz="4" w:space="0" w:color="auto"/>
              <w:left w:val="nil"/>
              <w:bottom w:val="single" w:sz="4" w:space="0" w:color="auto"/>
              <w:right w:val="single" w:sz="4" w:space="0" w:color="auto"/>
            </w:tcBorders>
            <w:shd w:val="clear" w:color="auto" w:fill="auto"/>
            <w:vAlign w:val="center"/>
            <w:hideMark/>
          </w:tcPr>
          <w:p w14:paraId="0C3F80BB" w14:textId="77777777" w:rsidR="009D74F9" w:rsidRPr="004B2104" w:rsidRDefault="009D74F9" w:rsidP="00BD7FB0">
            <w:pPr>
              <w:spacing w:before="0" w:after="0"/>
              <w:jc w:val="center"/>
              <w:rPr>
                <w:rStyle w:val="BookTitle"/>
              </w:rPr>
            </w:pPr>
            <w:r w:rsidRPr="004B2104">
              <w:rPr>
                <w:rStyle w:val="BookTitle"/>
              </w:rPr>
              <w:t>Southern-Herbert</w:t>
            </w:r>
          </w:p>
        </w:tc>
        <w:tc>
          <w:tcPr>
            <w:tcW w:w="796" w:type="pct"/>
            <w:tcBorders>
              <w:top w:val="single" w:sz="4" w:space="0" w:color="auto"/>
              <w:left w:val="nil"/>
              <w:bottom w:val="single" w:sz="4" w:space="0" w:color="auto"/>
              <w:right w:val="nil"/>
            </w:tcBorders>
            <w:shd w:val="clear" w:color="auto" w:fill="auto"/>
            <w:vAlign w:val="center"/>
            <w:hideMark/>
          </w:tcPr>
          <w:p w14:paraId="0C3F80BC" w14:textId="77777777" w:rsidR="009D74F9" w:rsidRPr="004B2104" w:rsidRDefault="009D74F9" w:rsidP="00BD7FB0">
            <w:pPr>
              <w:spacing w:before="0" w:after="0"/>
              <w:jc w:val="center"/>
              <w:rPr>
                <w:rStyle w:val="BookTitle"/>
              </w:rPr>
            </w:pPr>
            <w:r w:rsidRPr="004B2104">
              <w:rPr>
                <w:rStyle w:val="BookTitle"/>
              </w:rPr>
              <w:t>Burdekin</w:t>
            </w:r>
          </w:p>
        </w:tc>
      </w:tr>
      <w:tr w:rsidR="009D74F9" w:rsidRPr="004B2104" w14:paraId="0C3F80C4"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0BE" w14:textId="77777777" w:rsidR="009D74F9" w:rsidRPr="004B2104" w:rsidRDefault="009D74F9" w:rsidP="00BD7FB0">
            <w:pPr>
              <w:spacing w:before="0" w:after="0"/>
              <w:jc w:val="center"/>
              <w:rPr>
                <w:rStyle w:val="BookTitle"/>
              </w:rPr>
            </w:pPr>
            <w:r w:rsidRPr="004B2104">
              <w:rPr>
                <w:rStyle w:val="BookTitle"/>
              </w:rPr>
              <w:t>Temperature (˚C)</w:t>
            </w:r>
          </w:p>
        </w:tc>
        <w:tc>
          <w:tcPr>
            <w:tcW w:w="456" w:type="pct"/>
            <w:tcBorders>
              <w:top w:val="nil"/>
              <w:left w:val="nil"/>
              <w:bottom w:val="nil"/>
              <w:right w:val="nil"/>
            </w:tcBorders>
            <w:shd w:val="clear" w:color="auto" w:fill="auto"/>
            <w:noWrap/>
            <w:vAlign w:val="center"/>
            <w:hideMark/>
          </w:tcPr>
          <w:p w14:paraId="0C3F80BF"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0C0" w14:textId="77777777" w:rsidR="009D74F9" w:rsidRPr="004B2104" w:rsidRDefault="009D74F9" w:rsidP="00BD7FB0">
            <w:pPr>
              <w:spacing w:before="0" w:after="0"/>
              <w:jc w:val="center"/>
              <w:rPr>
                <w:rStyle w:val="BookTitle"/>
              </w:rPr>
            </w:pPr>
            <w:r w:rsidRPr="004B2104">
              <w:rPr>
                <w:rStyle w:val="BookTitle"/>
              </w:rPr>
              <w:t>25.70</w:t>
            </w:r>
          </w:p>
        </w:tc>
        <w:tc>
          <w:tcPr>
            <w:tcW w:w="637" w:type="pct"/>
            <w:tcBorders>
              <w:top w:val="nil"/>
              <w:left w:val="nil"/>
              <w:bottom w:val="nil"/>
              <w:right w:val="nil"/>
            </w:tcBorders>
            <w:shd w:val="clear" w:color="auto" w:fill="auto"/>
            <w:noWrap/>
            <w:vAlign w:val="center"/>
            <w:hideMark/>
          </w:tcPr>
          <w:p w14:paraId="0C3F80C1" w14:textId="77777777" w:rsidR="009D74F9" w:rsidRPr="004B2104" w:rsidRDefault="009D74F9" w:rsidP="00BD7FB0">
            <w:pPr>
              <w:spacing w:before="0" w:after="0"/>
              <w:jc w:val="center"/>
              <w:rPr>
                <w:rStyle w:val="BookTitle"/>
              </w:rPr>
            </w:pPr>
            <w:r w:rsidRPr="004B2104">
              <w:rPr>
                <w:rStyle w:val="BookTitle"/>
              </w:rPr>
              <w:t>28.20</w:t>
            </w:r>
          </w:p>
        </w:tc>
        <w:tc>
          <w:tcPr>
            <w:tcW w:w="675" w:type="pct"/>
            <w:tcBorders>
              <w:top w:val="nil"/>
              <w:left w:val="nil"/>
              <w:bottom w:val="nil"/>
              <w:right w:val="single" w:sz="4" w:space="0" w:color="auto"/>
            </w:tcBorders>
            <w:shd w:val="clear" w:color="auto" w:fill="auto"/>
            <w:noWrap/>
            <w:vAlign w:val="center"/>
            <w:hideMark/>
          </w:tcPr>
          <w:p w14:paraId="0C3F80C2" w14:textId="77777777" w:rsidR="009D74F9" w:rsidRPr="004B2104" w:rsidRDefault="009D74F9" w:rsidP="00BD7FB0">
            <w:pPr>
              <w:spacing w:before="0" w:after="0"/>
              <w:jc w:val="center"/>
              <w:rPr>
                <w:rStyle w:val="BookTitle"/>
              </w:rPr>
            </w:pPr>
            <w:r w:rsidRPr="004B2104">
              <w:rPr>
                <w:rStyle w:val="BookTitle"/>
              </w:rPr>
              <w:t>28.40</w:t>
            </w:r>
          </w:p>
        </w:tc>
        <w:tc>
          <w:tcPr>
            <w:tcW w:w="796" w:type="pct"/>
            <w:tcBorders>
              <w:top w:val="nil"/>
              <w:left w:val="nil"/>
              <w:bottom w:val="nil"/>
              <w:right w:val="single" w:sz="4" w:space="0" w:color="auto"/>
            </w:tcBorders>
            <w:shd w:val="clear" w:color="auto" w:fill="auto"/>
            <w:noWrap/>
            <w:vAlign w:val="center"/>
            <w:hideMark/>
          </w:tcPr>
          <w:p w14:paraId="0C3F80C3" w14:textId="77777777" w:rsidR="009D74F9" w:rsidRPr="004B2104" w:rsidRDefault="009D74F9" w:rsidP="00BD7FB0">
            <w:pPr>
              <w:spacing w:before="0" w:after="0"/>
              <w:jc w:val="center"/>
              <w:rPr>
                <w:rStyle w:val="BookTitle"/>
              </w:rPr>
            </w:pPr>
            <w:r w:rsidRPr="004B2104">
              <w:rPr>
                <w:rStyle w:val="BookTitle"/>
              </w:rPr>
              <w:t>27.33</w:t>
            </w:r>
          </w:p>
        </w:tc>
      </w:tr>
      <w:tr w:rsidR="009D74F9" w:rsidRPr="004B2104" w14:paraId="0C3F80CB" w14:textId="77777777" w:rsidTr="009D74F9">
        <w:trPr>
          <w:trHeight w:val="20"/>
        </w:trPr>
        <w:tc>
          <w:tcPr>
            <w:tcW w:w="1484" w:type="pct"/>
            <w:vMerge/>
            <w:tcBorders>
              <w:top w:val="nil"/>
              <w:left w:val="nil"/>
              <w:bottom w:val="single" w:sz="4" w:space="0" w:color="000000"/>
              <w:right w:val="nil"/>
            </w:tcBorders>
            <w:vAlign w:val="center"/>
            <w:hideMark/>
          </w:tcPr>
          <w:p w14:paraId="0C3F80C5"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0C6"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0C7" w14:textId="77777777" w:rsidR="009D74F9" w:rsidRPr="004B2104" w:rsidRDefault="009D74F9" w:rsidP="00BD7FB0">
            <w:pPr>
              <w:spacing w:before="0" w:after="0"/>
              <w:jc w:val="center"/>
              <w:rPr>
                <w:rStyle w:val="BookTitle"/>
              </w:rPr>
            </w:pPr>
            <w:r w:rsidRPr="004B2104">
              <w:rPr>
                <w:rStyle w:val="BookTitle"/>
              </w:rPr>
              <w:t>30.75</w:t>
            </w:r>
          </w:p>
        </w:tc>
        <w:tc>
          <w:tcPr>
            <w:tcW w:w="637" w:type="pct"/>
            <w:tcBorders>
              <w:top w:val="nil"/>
              <w:left w:val="nil"/>
              <w:bottom w:val="nil"/>
              <w:right w:val="nil"/>
            </w:tcBorders>
            <w:shd w:val="clear" w:color="auto" w:fill="auto"/>
            <w:noWrap/>
            <w:vAlign w:val="center"/>
            <w:hideMark/>
          </w:tcPr>
          <w:p w14:paraId="0C3F80C8" w14:textId="77777777" w:rsidR="009D74F9" w:rsidRPr="004B2104" w:rsidRDefault="009D74F9" w:rsidP="00BD7FB0">
            <w:pPr>
              <w:spacing w:before="0" w:after="0"/>
              <w:jc w:val="center"/>
              <w:rPr>
                <w:rStyle w:val="BookTitle"/>
              </w:rPr>
            </w:pPr>
            <w:r w:rsidRPr="004B2104">
              <w:rPr>
                <w:rStyle w:val="BookTitle"/>
              </w:rPr>
              <w:t>30.47</w:t>
            </w:r>
          </w:p>
        </w:tc>
        <w:tc>
          <w:tcPr>
            <w:tcW w:w="675" w:type="pct"/>
            <w:tcBorders>
              <w:top w:val="nil"/>
              <w:left w:val="nil"/>
              <w:bottom w:val="nil"/>
              <w:right w:val="single" w:sz="4" w:space="0" w:color="auto"/>
            </w:tcBorders>
            <w:shd w:val="clear" w:color="auto" w:fill="auto"/>
            <w:noWrap/>
            <w:vAlign w:val="center"/>
            <w:hideMark/>
          </w:tcPr>
          <w:p w14:paraId="0C3F80C9" w14:textId="77777777" w:rsidR="009D74F9" w:rsidRPr="004B2104" w:rsidRDefault="009D74F9" w:rsidP="00BD7FB0">
            <w:pPr>
              <w:spacing w:before="0" w:after="0"/>
              <w:jc w:val="center"/>
              <w:rPr>
                <w:rStyle w:val="BookTitle"/>
              </w:rPr>
            </w:pPr>
            <w:r w:rsidRPr="004B2104">
              <w:rPr>
                <w:rStyle w:val="BookTitle"/>
              </w:rPr>
              <w:t>30.79</w:t>
            </w:r>
          </w:p>
        </w:tc>
        <w:tc>
          <w:tcPr>
            <w:tcW w:w="796" w:type="pct"/>
            <w:tcBorders>
              <w:top w:val="nil"/>
              <w:left w:val="nil"/>
              <w:bottom w:val="nil"/>
              <w:right w:val="single" w:sz="4" w:space="0" w:color="auto"/>
            </w:tcBorders>
            <w:shd w:val="clear" w:color="auto" w:fill="auto"/>
            <w:noWrap/>
            <w:vAlign w:val="center"/>
            <w:hideMark/>
          </w:tcPr>
          <w:p w14:paraId="0C3F80CA" w14:textId="77777777" w:rsidR="009D74F9" w:rsidRPr="004B2104" w:rsidRDefault="009D74F9" w:rsidP="00BD7FB0">
            <w:pPr>
              <w:spacing w:before="0" w:after="0"/>
              <w:jc w:val="center"/>
              <w:rPr>
                <w:rStyle w:val="BookTitle"/>
              </w:rPr>
            </w:pPr>
            <w:r w:rsidRPr="004B2104">
              <w:rPr>
                <w:rStyle w:val="BookTitle"/>
              </w:rPr>
              <w:t>28.52</w:t>
            </w:r>
          </w:p>
        </w:tc>
      </w:tr>
      <w:tr w:rsidR="009D74F9" w:rsidRPr="004B2104" w14:paraId="0C3F80D2" w14:textId="77777777" w:rsidTr="009D74F9">
        <w:trPr>
          <w:trHeight w:val="20"/>
        </w:trPr>
        <w:tc>
          <w:tcPr>
            <w:tcW w:w="1484" w:type="pct"/>
            <w:vMerge/>
            <w:tcBorders>
              <w:top w:val="nil"/>
              <w:left w:val="nil"/>
              <w:bottom w:val="single" w:sz="4" w:space="0" w:color="000000"/>
              <w:right w:val="nil"/>
            </w:tcBorders>
            <w:vAlign w:val="center"/>
            <w:hideMark/>
          </w:tcPr>
          <w:p w14:paraId="0C3F80CC"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0CD"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0CE" w14:textId="77777777" w:rsidR="009D74F9" w:rsidRPr="004B2104" w:rsidRDefault="009D74F9" w:rsidP="00BD7FB0">
            <w:pPr>
              <w:spacing w:before="0" w:after="0"/>
              <w:jc w:val="center"/>
              <w:rPr>
                <w:rStyle w:val="BookTitle"/>
              </w:rPr>
            </w:pPr>
            <w:r w:rsidRPr="004B2104">
              <w:rPr>
                <w:rStyle w:val="BookTitle"/>
              </w:rPr>
              <w:t>28.08</w:t>
            </w:r>
          </w:p>
        </w:tc>
        <w:tc>
          <w:tcPr>
            <w:tcW w:w="637" w:type="pct"/>
            <w:tcBorders>
              <w:top w:val="nil"/>
              <w:left w:val="nil"/>
              <w:bottom w:val="nil"/>
              <w:right w:val="nil"/>
            </w:tcBorders>
            <w:shd w:val="clear" w:color="auto" w:fill="auto"/>
            <w:noWrap/>
            <w:vAlign w:val="center"/>
            <w:hideMark/>
          </w:tcPr>
          <w:p w14:paraId="0C3F80CF" w14:textId="77777777" w:rsidR="009D74F9" w:rsidRPr="004B2104" w:rsidRDefault="009D74F9" w:rsidP="00BD7FB0">
            <w:pPr>
              <w:spacing w:before="0" w:after="0"/>
              <w:jc w:val="center"/>
              <w:rPr>
                <w:rStyle w:val="BookTitle"/>
              </w:rPr>
            </w:pPr>
            <w:r w:rsidRPr="004B2104">
              <w:rPr>
                <w:rStyle w:val="BookTitle"/>
              </w:rPr>
              <w:t>29.17</w:t>
            </w:r>
          </w:p>
        </w:tc>
        <w:tc>
          <w:tcPr>
            <w:tcW w:w="675" w:type="pct"/>
            <w:tcBorders>
              <w:top w:val="nil"/>
              <w:left w:val="nil"/>
              <w:bottom w:val="nil"/>
              <w:right w:val="single" w:sz="4" w:space="0" w:color="auto"/>
            </w:tcBorders>
            <w:shd w:val="clear" w:color="auto" w:fill="auto"/>
            <w:noWrap/>
            <w:vAlign w:val="center"/>
            <w:hideMark/>
          </w:tcPr>
          <w:p w14:paraId="0C3F80D0" w14:textId="77777777" w:rsidR="009D74F9" w:rsidRPr="004B2104" w:rsidRDefault="009D74F9" w:rsidP="00BD7FB0">
            <w:pPr>
              <w:spacing w:before="0" w:after="0"/>
              <w:jc w:val="center"/>
              <w:rPr>
                <w:rStyle w:val="BookTitle"/>
              </w:rPr>
            </w:pPr>
            <w:r w:rsidRPr="004B2104">
              <w:rPr>
                <w:rStyle w:val="BookTitle"/>
              </w:rPr>
              <w:t>29.39</w:t>
            </w:r>
          </w:p>
        </w:tc>
        <w:tc>
          <w:tcPr>
            <w:tcW w:w="796" w:type="pct"/>
            <w:tcBorders>
              <w:top w:val="nil"/>
              <w:left w:val="nil"/>
              <w:bottom w:val="nil"/>
              <w:right w:val="single" w:sz="4" w:space="0" w:color="auto"/>
            </w:tcBorders>
            <w:shd w:val="clear" w:color="auto" w:fill="auto"/>
            <w:noWrap/>
            <w:vAlign w:val="center"/>
            <w:hideMark/>
          </w:tcPr>
          <w:p w14:paraId="0C3F80D1" w14:textId="77777777" w:rsidR="009D74F9" w:rsidRPr="004B2104" w:rsidRDefault="009D74F9" w:rsidP="00BD7FB0">
            <w:pPr>
              <w:spacing w:before="0" w:after="0"/>
              <w:jc w:val="center"/>
              <w:rPr>
                <w:rStyle w:val="BookTitle"/>
              </w:rPr>
            </w:pPr>
            <w:r w:rsidRPr="004B2104">
              <w:rPr>
                <w:rStyle w:val="BookTitle"/>
              </w:rPr>
              <w:t>27.89</w:t>
            </w:r>
          </w:p>
        </w:tc>
      </w:tr>
      <w:tr w:rsidR="009D74F9" w:rsidRPr="004B2104" w14:paraId="0C3F80D9" w14:textId="77777777" w:rsidTr="009D74F9">
        <w:trPr>
          <w:trHeight w:val="20"/>
        </w:trPr>
        <w:tc>
          <w:tcPr>
            <w:tcW w:w="1484" w:type="pct"/>
            <w:vMerge/>
            <w:tcBorders>
              <w:top w:val="nil"/>
              <w:left w:val="nil"/>
              <w:bottom w:val="single" w:sz="4" w:space="0" w:color="000000"/>
              <w:right w:val="nil"/>
            </w:tcBorders>
            <w:vAlign w:val="center"/>
            <w:hideMark/>
          </w:tcPr>
          <w:p w14:paraId="0C3F80D3"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0D4"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0D5" w14:textId="77777777" w:rsidR="009D74F9" w:rsidRPr="004B2104" w:rsidRDefault="009D74F9" w:rsidP="00BD7FB0">
            <w:pPr>
              <w:spacing w:before="0" w:after="0"/>
              <w:jc w:val="center"/>
              <w:rPr>
                <w:rStyle w:val="BookTitle"/>
              </w:rPr>
            </w:pPr>
            <w:r w:rsidRPr="004B2104">
              <w:rPr>
                <w:rStyle w:val="BookTitle"/>
              </w:rPr>
              <w:t>1.38</w:t>
            </w:r>
          </w:p>
        </w:tc>
        <w:tc>
          <w:tcPr>
            <w:tcW w:w="637" w:type="pct"/>
            <w:tcBorders>
              <w:top w:val="nil"/>
              <w:left w:val="nil"/>
              <w:bottom w:val="nil"/>
              <w:right w:val="nil"/>
            </w:tcBorders>
            <w:shd w:val="clear" w:color="auto" w:fill="auto"/>
            <w:noWrap/>
            <w:vAlign w:val="center"/>
            <w:hideMark/>
          </w:tcPr>
          <w:p w14:paraId="0C3F80D6" w14:textId="77777777" w:rsidR="009D74F9" w:rsidRPr="004B2104" w:rsidRDefault="009D74F9" w:rsidP="00BD7FB0">
            <w:pPr>
              <w:spacing w:before="0" w:after="0"/>
              <w:jc w:val="center"/>
              <w:rPr>
                <w:rStyle w:val="BookTitle"/>
              </w:rPr>
            </w:pPr>
            <w:r w:rsidRPr="004B2104">
              <w:rPr>
                <w:rStyle w:val="BookTitle"/>
              </w:rPr>
              <w:t>0.89</w:t>
            </w:r>
          </w:p>
        </w:tc>
        <w:tc>
          <w:tcPr>
            <w:tcW w:w="675" w:type="pct"/>
            <w:tcBorders>
              <w:top w:val="nil"/>
              <w:left w:val="nil"/>
              <w:bottom w:val="nil"/>
              <w:right w:val="single" w:sz="4" w:space="0" w:color="auto"/>
            </w:tcBorders>
            <w:shd w:val="clear" w:color="auto" w:fill="auto"/>
            <w:noWrap/>
            <w:vAlign w:val="center"/>
            <w:hideMark/>
          </w:tcPr>
          <w:p w14:paraId="0C3F80D7" w14:textId="77777777" w:rsidR="009D74F9" w:rsidRPr="004B2104" w:rsidRDefault="009D74F9" w:rsidP="00BD7FB0">
            <w:pPr>
              <w:spacing w:before="0" w:after="0"/>
              <w:jc w:val="center"/>
              <w:rPr>
                <w:rStyle w:val="BookTitle"/>
              </w:rPr>
            </w:pPr>
            <w:r w:rsidRPr="004B2104">
              <w:rPr>
                <w:rStyle w:val="BookTitle"/>
              </w:rPr>
              <w:t>0.70</w:t>
            </w:r>
          </w:p>
        </w:tc>
        <w:tc>
          <w:tcPr>
            <w:tcW w:w="796" w:type="pct"/>
            <w:tcBorders>
              <w:top w:val="nil"/>
              <w:left w:val="nil"/>
              <w:bottom w:val="nil"/>
              <w:right w:val="single" w:sz="4" w:space="0" w:color="auto"/>
            </w:tcBorders>
            <w:shd w:val="clear" w:color="auto" w:fill="auto"/>
            <w:noWrap/>
            <w:vAlign w:val="center"/>
            <w:hideMark/>
          </w:tcPr>
          <w:p w14:paraId="0C3F80D8" w14:textId="77777777" w:rsidR="009D74F9" w:rsidRPr="004B2104" w:rsidRDefault="009D74F9" w:rsidP="00BD7FB0">
            <w:pPr>
              <w:spacing w:before="0" w:after="0"/>
              <w:jc w:val="center"/>
              <w:rPr>
                <w:rStyle w:val="BookTitle"/>
              </w:rPr>
            </w:pPr>
            <w:r w:rsidRPr="004B2104">
              <w:rPr>
                <w:rStyle w:val="BookTitle"/>
              </w:rPr>
              <w:t>0.37</w:t>
            </w:r>
          </w:p>
        </w:tc>
      </w:tr>
      <w:tr w:rsidR="009D74F9" w:rsidRPr="004B2104" w14:paraId="0C3F80E0" w14:textId="77777777" w:rsidTr="009D74F9">
        <w:trPr>
          <w:trHeight w:val="20"/>
        </w:trPr>
        <w:tc>
          <w:tcPr>
            <w:tcW w:w="1484" w:type="pct"/>
            <w:vMerge/>
            <w:tcBorders>
              <w:top w:val="nil"/>
              <w:left w:val="nil"/>
              <w:bottom w:val="single" w:sz="4" w:space="0" w:color="000000"/>
              <w:right w:val="nil"/>
            </w:tcBorders>
            <w:vAlign w:val="center"/>
            <w:hideMark/>
          </w:tcPr>
          <w:p w14:paraId="0C3F80DA"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0DB"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0DC"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0DD"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0DE"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0DF" w14:textId="77777777" w:rsidR="009D74F9" w:rsidRPr="004B2104" w:rsidRDefault="009D74F9" w:rsidP="00BD7FB0">
            <w:pPr>
              <w:spacing w:before="0" w:after="0"/>
              <w:jc w:val="center"/>
              <w:rPr>
                <w:rStyle w:val="BookTitle"/>
              </w:rPr>
            </w:pPr>
            <w:r w:rsidRPr="004B2104">
              <w:rPr>
                <w:rStyle w:val="BookTitle"/>
              </w:rPr>
              <w:t>22</w:t>
            </w:r>
          </w:p>
        </w:tc>
      </w:tr>
      <w:tr w:rsidR="009D74F9" w:rsidRPr="004B2104" w14:paraId="0C3F80E7"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0E1" w14:textId="77777777" w:rsidR="009D74F9" w:rsidRPr="004B2104" w:rsidRDefault="009D74F9" w:rsidP="00BD7FB0">
            <w:pPr>
              <w:spacing w:before="0" w:after="0"/>
              <w:jc w:val="center"/>
              <w:rPr>
                <w:rStyle w:val="BookTitle"/>
              </w:rPr>
            </w:pPr>
            <w:r w:rsidRPr="004B2104">
              <w:rPr>
                <w:rStyle w:val="BookTitle"/>
              </w:rPr>
              <w:t>Salinity</w:t>
            </w:r>
          </w:p>
        </w:tc>
        <w:tc>
          <w:tcPr>
            <w:tcW w:w="456" w:type="pct"/>
            <w:tcBorders>
              <w:top w:val="nil"/>
              <w:left w:val="nil"/>
              <w:bottom w:val="nil"/>
              <w:right w:val="nil"/>
            </w:tcBorders>
            <w:shd w:val="clear" w:color="auto" w:fill="auto"/>
            <w:noWrap/>
            <w:vAlign w:val="center"/>
            <w:hideMark/>
          </w:tcPr>
          <w:p w14:paraId="0C3F80E2"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0E3" w14:textId="77777777" w:rsidR="009D74F9" w:rsidRPr="004B2104" w:rsidRDefault="009D74F9" w:rsidP="00BD7FB0">
            <w:pPr>
              <w:spacing w:before="0" w:after="0"/>
              <w:jc w:val="center"/>
              <w:rPr>
                <w:rStyle w:val="BookTitle"/>
              </w:rPr>
            </w:pPr>
            <w:r w:rsidRPr="004B2104">
              <w:rPr>
                <w:rStyle w:val="BookTitle"/>
              </w:rPr>
              <w:t>9.56</w:t>
            </w:r>
          </w:p>
        </w:tc>
        <w:tc>
          <w:tcPr>
            <w:tcW w:w="637" w:type="pct"/>
            <w:tcBorders>
              <w:top w:val="nil"/>
              <w:left w:val="nil"/>
              <w:bottom w:val="nil"/>
              <w:right w:val="nil"/>
            </w:tcBorders>
            <w:shd w:val="clear" w:color="auto" w:fill="auto"/>
            <w:noWrap/>
            <w:vAlign w:val="center"/>
            <w:hideMark/>
          </w:tcPr>
          <w:p w14:paraId="0C3F80E4" w14:textId="77777777" w:rsidR="009D74F9" w:rsidRPr="004B2104" w:rsidRDefault="009D74F9" w:rsidP="00BD7FB0">
            <w:pPr>
              <w:spacing w:before="0" w:after="0"/>
              <w:jc w:val="center"/>
              <w:rPr>
                <w:rStyle w:val="BookTitle"/>
              </w:rPr>
            </w:pPr>
            <w:r w:rsidRPr="004B2104">
              <w:rPr>
                <w:rStyle w:val="BookTitle"/>
              </w:rPr>
              <w:t>29.44</w:t>
            </w:r>
          </w:p>
        </w:tc>
        <w:tc>
          <w:tcPr>
            <w:tcW w:w="675" w:type="pct"/>
            <w:tcBorders>
              <w:top w:val="nil"/>
              <w:left w:val="nil"/>
              <w:bottom w:val="nil"/>
              <w:right w:val="single" w:sz="4" w:space="0" w:color="auto"/>
            </w:tcBorders>
            <w:shd w:val="clear" w:color="auto" w:fill="auto"/>
            <w:noWrap/>
            <w:vAlign w:val="center"/>
            <w:hideMark/>
          </w:tcPr>
          <w:p w14:paraId="0C3F80E5" w14:textId="77777777" w:rsidR="009D74F9" w:rsidRPr="004B2104" w:rsidRDefault="009D74F9" w:rsidP="00BD7FB0">
            <w:pPr>
              <w:spacing w:before="0" w:after="0"/>
              <w:jc w:val="center"/>
              <w:rPr>
                <w:rStyle w:val="BookTitle"/>
              </w:rPr>
            </w:pPr>
            <w:r w:rsidRPr="004B2104">
              <w:rPr>
                <w:rStyle w:val="BookTitle"/>
              </w:rPr>
              <w:t>3.12</w:t>
            </w:r>
          </w:p>
        </w:tc>
        <w:tc>
          <w:tcPr>
            <w:tcW w:w="796" w:type="pct"/>
            <w:tcBorders>
              <w:top w:val="nil"/>
              <w:left w:val="nil"/>
              <w:bottom w:val="nil"/>
              <w:right w:val="single" w:sz="4" w:space="0" w:color="auto"/>
            </w:tcBorders>
            <w:shd w:val="clear" w:color="auto" w:fill="auto"/>
            <w:noWrap/>
            <w:vAlign w:val="center"/>
            <w:hideMark/>
          </w:tcPr>
          <w:p w14:paraId="0C3F80E6" w14:textId="77777777" w:rsidR="009D74F9" w:rsidRPr="004B2104" w:rsidRDefault="009D74F9" w:rsidP="00BD7FB0">
            <w:pPr>
              <w:spacing w:before="0" w:after="0"/>
              <w:jc w:val="center"/>
              <w:rPr>
                <w:rStyle w:val="BookTitle"/>
              </w:rPr>
            </w:pPr>
            <w:r w:rsidRPr="004B2104">
              <w:rPr>
                <w:rStyle w:val="BookTitle"/>
              </w:rPr>
              <w:t>21.55</w:t>
            </w:r>
          </w:p>
        </w:tc>
      </w:tr>
      <w:tr w:rsidR="009D74F9" w:rsidRPr="004B2104" w14:paraId="0C3F80EE" w14:textId="77777777" w:rsidTr="009D74F9">
        <w:trPr>
          <w:trHeight w:val="20"/>
        </w:trPr>
        <w:tc>
          <w:tcPr>
            <w:tcW w:w="1484" w:type="pct"/>
            <w:vMerge/>
            <w:tcBorders>
              <w:top w:val="nil"/>
              <w:left w:val="nil"/>
              <w:bottom w:val="single" w:sz="4" w:space="0" w:color="000000"/>
              <w:right w:val="nil"/>
            </w:tcBorders>
            <w:vAlign w:val="center"/>
            <w:hideMark/>
          </w:tcPr>
          <w:p w14:paraId="0C3F80E8"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0E9"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0EA" w14:textId="77777777" w:rsidR="009D74F9" w:rsidRPr="004B2104" w:rsidRDefault="009D74F9" w:rsidP="00BD7FB0">
            <w:pPr>
              <w:spacing w:before="0" w:after="0"/>
              <w:jc w:val="center"/>
              <w:rPr>
                <w:rStyle w:val="BookTitle"/>
              </w:rPr>
            </w:pPr>
            <w:r w:rsidRPr="004B2104">
              <w:rPr>
                <w:rStyle w:val="BookTitle"/>
              </w:rPr>
              <w:t>35.37</w:t>
            </w:r>
          </w:p>
        </w:tc>
        <w:tc>
          <w:tcPr>
            <w:tcW w:w="637" w:type="pct"/>
            <w:tcBorders>
              <w:top w:val="nil"/>
              <w:left w:val="nil"/>
              <w:bottom w:val="nil"/>
              <w:right w:val="nil"/>
            </w:tcBorders>
            <w:shd w:val="clear" w:color="auto" w:fill="auto"/>
            <w:noWrap/>
            <w:vAlign w:val="center"/>
            <w:hideMark/>
          </w:tcPr>
          <w:p w14:paraId="0C3F80EB" w14:textId="77777777" w:rsidR="009D74F9" w:rsidRPr="004B2104" w:rsidRDefault="009D74F9" w:rsidP="00BD7FB0">
            <w:pPr>
              <w:spacing w:before="0" w:after="0"/>
              <w:jc w:val="center"/>
              <w:rPr>
                <w:rStyle w:val="BookTitle"/>
              </w:rPr>
            </w:pPr>
            <w:r w:rsidRPr="004B2104">
              <w:rPr>
                <w:rStyle w:val="BookTitle"/>
              </w:rPr>
              <w:t>35.64</w:t>
            </w:r>
          </w:p>
        </w:tc>
        <w:tc>
          <w:tcPr>
            <w:tcW w:w="675" w:type="pct"/>
            <w:tcBorders>
              <w:top w:val="nil"/>
              <w:left w:val="nil"/>
              <w:bottom w:val="nil"/>
              <w:right w:val="single" w:sz="4" w:space="0" w:color="auto"/>
            </w:tcBorders>
            <w:shd w:val="clear" w:color="auto" w:fill="auto"/>
            <w:noWrap/>
            <w:vAlign w:val="center"/>
            <w:hideMark/>
          </w:tcPr>
          <w:p w14:paraId="0C3F80EC" w14:textId="77777777" w:rsidR="009D74F9" w:rsidRPr="004B2104" w:rsidRDefault="009D74F9" w:rsidP="00BD7FB0">
            <w:pPr>
              <w:spacing w:before="0" w:after="0"/>
              <w:jc w:val="center"/>
              <w:rPr>
                <w:rStyle w:val="BookTitle"/>
              </w:rPr>
            </w:pPr>
            <w:r w:rsidRPr="004B2104">
              <w:rPr>
                <w:rStyle w:val="BookTitle"/>
              </w:rPr>
              <w:t>35.73</w:t>
            </w:r>
          </w:p>
        </w:tc>
        <w:tc>
          <w:tcPr>
            <w:tcW w:w="796" w:type="pct"/>
            <w:tcBorders>
              <w:top w:val="nil"/>
              <w:left w:val="nil"/>
              <w:bottom w:val="nil"/>
              <w:right w:val="single" w:sz="4" w:space="0" w:color="auto"/>
            </w:tcBorders>
            <w:shd w:val="clear" w:color="auto" w:fill="auto"/>
            <w:noWrap/>
            <w:vAlign w:val="center"/>
            <w:hideMark/>
          </w:tcPr>
          <w:p w14:paraId="0C3F80ED" w14:textId="77777777" w:rsidR="009D74F9" w:rsidRPr="004B2104" w:rsidRDefault="009D74F9" w:rsidP="00BD7FB0">
            <w:pPr>
              <w:spacing w:before="0" w:after="0"/>
              <w:jc w:val="center"/>
              <w:rPr>
                <w:rStyle w:val="BookTitle"/>
              </w:rPr>
            </w:pPr>
            <w:r w:rsidRPr="004B2104">
              <w:rPr>
                <w:rStyle w:val="BookTitle"/>
              </w:rPr>
              <w:t>34.04</w:t>
            </w:r>
          </w:p>
        </w:tc>
      </w:tr>
      <w:tr w:rsidR="009D74F9" w:rsidRPr="004B2104" w14:paraId="0C3F80F5" w14:textId="77777777" w:rsidTr="009D74F9">
        <w:trPr>
          <w:trHeight w:val="20"/>
        </w:trPr>
        <w:tc>
          <w:tcPr>
            <w:tcW w:w="1484" w:type="pct"/>
            <w:vMerge/>
            <w:tcBorders>
              <w:top w:val="nil"/>
              <w:left w:val="nil"/>
              <w:bottom w:val="single" w:sz="4" w:space="0" w:color="000000"/>
              <w:right w:val="nil"/>
            </w:tcBorders>
            <w:vAlign w:val="center"/>
            <w:hideMark/>
          </w:tcPr>
          <w:p w14:paraId="0C3F80EF"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0F0"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0F1" w14:textId="77777777" w:rsidR="009D74F9" w:rsidRPr="004B2104" w:rsidRDefault="009D74F9" w:rsidP="00BD7FB0">
            <w:pPr>
              <w:spacing w:before="0" w:after="0"/>
              <w:jc w:val="center"/>
              <w:rPr>
                <w:rStyle w:val="BookTitle"/>
              </w:rPr>
            </w:pPr>
            <w:r w:rsidRPr="004B2104">
              <w:rPr>
                <w:rStyle w:val="BookTitle"/>
              </w:rPr>
              <w:t>30.56</w:t>
            </w:r>
          </w:p>
        </w:tc>
        <w:tc>
          <w:tcPr>
            <w:tcW w:w="637" w:type="pct"/>
            <w:tcBorders>
              <w:top w:val="nil"/>
              <w:left w:val="nil"/>
              <w:bottom w:val="nil"/>
              <w:right w:val="nil"/>
            </w:tcBorders>
            <w:shd w:val="clear" w:color="auto" w:fill="auto"/>
            <w:noWrap/>
            <w:vAlign w:val="center"/>
            <w:hideMark/>
          </w:tcPr>
          <w:p w14:paraId="0C3F80F2" w14:textId="77777777" w:rsidR="009D74F9" w:rsidRPr="004B2104" w:rsidRDefault="009D74F9" w:rsidP="00BD7FB0">
            <w:pPr>
              <w:spacing w:before="0" w:after="0"/>
              <w:jc w:val="center"/>
              <w:rPr>
                <w:rStyle w:val="BookTitle"/>
              </w:rPr>
            </w:pPr>
            <w:r w:rsidRPr="004B2104">
              <w:rPr>
                <w:rStyle w:val="BookTitle"/>
              </w:rPr>
              <w:t>33.50</w:t>
            </w:r>
          </w:p>
        </w:tc>
        <w:tc>
          <w:tcPr>
            <w:tcW w:w="675" w:type="pct"/>
            <w:tcBorders>
              <w:top w:val="nil"/>
              <w:left w:val="nil"/>
              <w:bottom w:val="nil"/>
              <w:right w:val="single" w:sz="4" w:space="0" w:color="auto"/>
            </w:tcBorders>
            <w:shd w:val="clear" w:color="auto" w:fill="auto"/>
            <w:noWrap/>
            <w:vAlign w:val="center"/>
            <w:hideMark/>
          </w:tcPr>
          <w:p w14:paraId="0C3F80F3" w14:textId="77777777" w:rsidR="009D74F9" w:rsidRPr="004B2104" w:rsidRDefault="009D74F9" w:rsidP="00BD7FB0">
            <w:pPr>
              <w:spacing w:before="0" w:after="0"/>
              <w:jc w:val="center"/>
              <w:rPr>
                <w:rStyle w:val="BookTitle"/>
              </w:rPr>
            </w:pPr>
            <w:r w:rsidRPr="004B2104">
              <w:rPr>
                <w:rStyle w:val="BookTitle"/>
              </w:rPr>
              <w:t>30.54</w:t>
            </w:r>
          </w:p>
        </w:tc>
        <w:tc>
          <w:tcPr>
            <w:tcW w:w="796" w:type="pct"/>
            <w:tcBorders>
              <w:top w:val="nil"/>
              <w:left w:val="nil"/>
              <w:bottom w:val="nil"/>
              <w:right w:val="single" w:sz="4" w:space="0" w:color="auto"/>
            </w:tcBorders>
            <w:shd w:val="clear" w:color="auto" w:fill="auto"/>
            <w:noWrap/>
            <w:vAlign w:val="center"/>
            <w:hideMark/>
          </w:tcPr>
          <w:p w14:paraId="0C3F80F4" w14:textId="77777777" w:rsidR="009D74F9" w:rsidRPr="004B2104" w:rsidRDefault="009D74F9" w:rsidP="00BD7FB0">
            <w:pPr>
              <w:spacing w:before="0" w:after="0"/>
              <w:jc w:val="center"/>
              <w:rPr>
                <w:rStyle w:val="BookTitle"/>
              </w:rPr>
            </w:pPr>
            <w:r w:rsidRPr="004B2104">
              <w:rPr>
                <w:rStyle w:val="BookTitle"/>
              </w:rPr>
              <w:t>32.60</w:t>
            </w:r>
          </w:p>
        </w:tc>
      </w:tr>
      <w:tr w:rsidR="009D74F9" w:rsidRPr="004B2104" w14:paraId="0C3F80FC" w14:textId="77777777" w:rsidTr="009D74F9">
        <w:trPr>
          <w:trHeight w:val="20"/>
        </w:trPr>
        <w:tc>
          <w:tcPr>
            <w:tcW w:w="1484" w:type="pct"/>
            <w:vMerge/>
            <w:tcBorders>
              <w:top w:val="nil"/>
              <w:left w:val="nil"/>
              <w:bottom w:val="single" w:sz="4" w:space="0" w:color="000000"/>
              <w:right w:val="nil"/>
            </w:tcBorders>
            <w:vAlign w:val="center"/>
            <w:hideMark/>
          </w:tcPr>
          <w:p w14:paraId="0C3F80F6"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0F7"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0F8" w14:textId="77777777" w:rsidR="009D74F9" w:rsidRPr="004B2104" w:rsidRDefault="009D74F9" w:rsidP="00BD7FB0">
            <w:pPr>
              <w:spacing w:before="0" w:after="0"/>
              <w:jc w:val="center"/>
              <w:rPr>
                <w:rStyle w:val="BookTitle"/>
              </w:rPr>
            </w:pPr>
            <w:r w:rsidRPr="004B2104">
              <w:rPr>
                <w:rStyle w:val="BookTitle"/>
              </w:rPr>
              <w:t>6.11</w:t>
            </w:r>
          </w:p>
        </w:tc>
        <w:tc>
          <w:tcPr>
            <w:tcW w:w="637" w:type="pct"/>
            <w:tcBorders>
              <w:top w:val="nil"/>
              <w:left w:val="nil"/>
              <w:bottom w:val="nil"/>
              <w:right w:val="nil"/>
            </w:tcBorders>
            <w:shd w:val="clear" w:color="auto" w:fill="auto"/>
            <w:noWrap/>
            <w:vAlign w:val="center"/>
            <w:hideMark/>
          </w:tcPr>
          <w:p w14:paraId="0C3F80F9" w14:textId="77777777" w:rsidR="009D74F9" w:rsidRPr="004B2104" w:rsidRDefault="009D74F9" w:rsidP="00BD7FB0">
            <w:pPr>
              <w:spacing w:before="0" w:after="0"/>
              <w:jc w:val="center"/>
              <w:rPr>
                <w:rStyle w:val="BookTitle"/>
              </w:rPr>
            </w:pPr>
            <w:r w:rsidRPr="004B2104">
              <w:rPr>
                <w:rStyle w:val="BookTitle"/>
              </w:rPr>
              <w:t>2.03</w:t>
            </w:r>
          </w:p>
        </w:tc>
        <w:tc>
          <w:tcPr>
            <w:tcW w:w="675" w:type="pct"/>
            <w:tcBorders>
              <w:top w:val="nil"/>
              <w:left w:val="nil"/>
              <w:bottom w:val="nil"/>
              <w:right w:val="single" w:sz="4" w:space="0" w:color="auto"/>
            </w:tcBorders>
            <w:shd w:val="clear" w:color="auto" w:fill="auto"/>
            <w:noWrap/>
            <w:vAlign w:val="center"/>
            <w:hideMark/>
          </w:tcPr>
          <w:p w14:paraId="0C3F80FA" w14:textId="77777777" w:rsidR="009D74F9" w:rsidRPr="004B2104" w:rsidRDefault="009D74F9" w:rsidP="00BD7FB0">
            <w:pPr>
              <w:spacing w:before="0" w:after="0"/>
              <w:jc w:val="center"/>
              <w:rPr>
                <w:rStyle w:val="BookTitle"/>
              </w:rPr>
            </w:pPr>
            <w:r w:rsidRPr="004B2104">
              <w:rPr>
                <w:rStyle w:val="BookTitle"/>
              </w:rPr>
              <w:t>8.74</w:t>
            </w:r>
          </w:p>
        </w:tc>
        <w:tc>
          <w:tcPr>
            <w:tcW w:w="796" w:type="pct"/>
            <w:tcBorders>
              <w:top w:val="nil"/>
              <w:left w:val="nil"/>
              <w:bottom w:val="nil"/>
              <w:right w:val="single" w:sz="4" w:space="0" w:color="auto"/>
            </w:tcBorders>
            <w:shd w:val="clear" w:color="auto" w:fill="auto"/>
            <w:noWrap/>
            <w:vAlign w:val="center"/>
            <w:hideMark/>
          </w:tcPr>
          <w:p w14:paraId="0C3F80FB" w14:textId="77777777" w:rsidR="009D74F9" w:rsidRPr="004B2104" w:rsidRDefault="009D74F9" w:rsidP="00BD7FB0">
            <w:pPr>
              <w:spacing w:before="0" w:after="0"/>
              <w:jc w:val="center"/>
              <w:rPr>
                <w:rStyle w:val="BookTitle"/>
              </w:rPr>
            </w:pPr>
            <w:r w:rsidRPr="004B2104">
              <w:rPr>
                <w:rStyle w:val="BookTitle"/>
              </w:rPr>
              <w:t>3.16</w:t>
            </w:r>
          </w:p>
        </w:tc>
      </w:tr>
      <w:tr w:rsidR="009D74F9" w:rsidRPr="004B2104" w14:paraId="0C3F8103" w14:textId="77777777" w:rsidTr="009D74F9">
        <w:trPr>
          <w:trHeight w:val="20"/>
        </w:trPr>
        <w:tc>
          <w:tcPr>
            <w:tcW w:w="1484" w:type="pct"/>
            <w:vMerge/>
            <w:tcBorders>
              <w:top w:val="nil"/>
              <w:left w:val="nil"/>
              <w:bottom w:val="single" w:sz="4" w:space="0" w:color="000000"/>
              <w:right w:val="nil"/>
            </w:tcBorders>
            <w:vAlign w:val="center"/>
            <w:hideMark/>
          </w:tcPr>
          <w:p w14:paraId="0C3F80FD"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0FE"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0FF"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100"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01"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102"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10A"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04" w14:textId="77777777" w:rsidR="009D74F9" w:rsidRPr="004B2104" w:rsidRDefault="009D74F9" w:rsidP="00BD7FB0">
            <w:pPr>
              <w:spacing w:before="0" w:after="0"/>
              <w:jc w:val="center"/>
              <w:rPr>
                <w:rStyle w:val="BookTitle"/>
              </w:rPr>
            </w:pPr>
            <w:r w:rsidRPr="004B2104">
              <w:rPr>
                <w:rStyle w:val="BookTitle"/>
              </w:rPr>
              <w:t>Underwater Light Extinction Coefficient (/m)</w:t>
            </w:r>
          </w:p>
        </w:tc>
        <w:tc>
          <w:tcPr>
            <w:tcW w:w="456" w:type="pct"/>
            <w:tcBorders>
              <w:top w:val="nil"/>
              <w:left w:val="nil"/>
              <w:bottom w:val="nil"/>
              <w:right w:val="nil"/>
            </w:tcBorders>
            <w:shd w:val="clear" w:color="auto" w:fill="auto"/>
            <w:noWrap/>
            <w:vAlign w:val="center"/>
            <w:hideMark/>
          </w:tcPr>
          <w:p w14:paraId="0C3F8105"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06" w14:textId="77777777" w:rsidR="009D74F9" w:rsidRPr="004B2104" w:rsidRDefault="009D74F9" w:rsidP="00BD7FB0">
            <w:pPr>
              <w:spacing w:before="0" w:after="0"/>
              <w:jc w:val="center"/>
              <w:rPr>
                <w:rStyle w:val="BookTitle"/>
              </w:rPr>
            </w:pPr>
            <w:r w:rsidRPr="004B2104">
              <w:rPr>
                <w:rStyle w:val="BookTitle"/>
              </w:rPr>
              <w:t>0.04</w:t>
            </w:r>
          </w:p>
        </w:tc>
        <w:tc>
          <w:tcPr>
            <w:tcW w:w="637" w:type="pct"/>
            <w:tcBorders>
              <w:top w:val="nil"/>
              <w:left w:val="nil"/>
              <w:bottom w:val="nil"/>
              <w:right w:val="nil"/>
            </w:tcBorders>
            <w:shd w:val="clear" w:color="auto" w:fill="auto"/>
            <w:noWrap/>
            <w:vAlign w:val="center"/>
            <w:hideMark/>
          </w:tcPr>
          <w:p w14:paraId="0C3F8107" w14:textId="77777777" w:rsidR="009D74F9" w:rsidRPr="004B2104" w:rsidRDefault="009D74F9" w:rsidP="00BD7FB0">
            <w:pPr>
              <w:spacing w:before="0" w:after="0"/>
              <w:jc w:val="center"/>
              <w:rPr>
                <w:rStyle w:val="BookTitle"/>
              </w:rPr>
            </w:pPr>
            <w:r w:rsidRPr="004B2104">
              <w:rPr>
                <w:rStyle w:val="BookTitle"/>
              </w:rPr>
              <w:t>0.12</w:t>
            </w:r>
          </w:p>
        </w:tc>
        <w:tc>
          <w:tcPr>
            <w:tcW w:w="675" w:type="pct"/>
            <w:tcBorders>
              <w:top w:val="nil"/>
              <w:left w:val="nil"/>
              <w:bottom w:val="nil"/>
              <w:right w:val="single" w:sz="4" w:space="0" w:color="auto"/>
            </w:tcBorders>
            <w:shd w:val="clear" w:color="auto" w:fill="auto"/>
            <w:noWrap/>
            <w:vAlign w:val="center"/>
            <w:hideMark/>
          </w:tcPr>
          <w:p w14:paraId="0C3F8108" w14:textId="77777777" w:rsidR="009D74F9" w:rsidRPr="004B2104" w:rsidRDefault="009D74F9" w:rsidP="00BD7FB0">
            <w:pPr>
              <w:spacing w:before="0" w:after="0"/>
              <w:jc w:val="center"/>
              <w:rPr>
                <w:rStyle w:val="BookTitle"/>
              </w:rPr>
            </w:pPr>
            <w:r w:rsidRPr="004B2104">
              <w:rPr>
                <w:rStyle w:val="BookTitle"/>
              </w:rPr>
              <w:t>0.18</w:t>
            </w:r>
          </w:p>
        </w:tc>
        <w:tc>
          <w:tcPr>
            <w:tcW w:w="796" w:type="pct"/>
            <w:tcBorders>
              <w:top w:val="nil"/>
              <w:left w:val="nil"/>
              <w:bottom w:val="nil"/>
              <w:right w:val="single" w:sz="4" w:space="0" w:color="auto"/>
            </w:tcBorders>
            <w:shd w:val="clear" w:color="auto" w:fill="auto"/>
            <w:noWrap/>
            <w:vAlign w:val="center"/>
            <w:hideMark/>
          </w:tcPr>
          <w:p w14:paraId="0C3F8109" w14:textId="77777777" w:rsidR="009D74F9" w:rsidRPr="004B2104" w:rsidRDefault="009D74F9" w:rsidP="00BD7FB0">
            <w:pPr>
              <w:spacing w:before="0" w:after="0"/>
              <w:jc w:val="center"/>
              <w:rPr>
                <w:rStyle w:val="BookTitle"/>
              </w:rPr>
            </w:pPr>
            <w:r w:rsidRPr="004B2104">
              <w:rPr>
                <w:rStyle w:val="BookTitle"/>
              </w:rPr>
              <w:t>0.03</w:t>
            </w:r>
          </w:p>
        </w:tc>
      </w:tr>
      <w:tr w:rsidR="009D74F9" w:rsidRPr="004B2104" w14:paraId="0C3F8111" w14:textId="77777777" w:rsidTr="009D74F9">
        <w:trPr>
          <w:trHeight w:val="20"/>
        </w:trPr>
        <w:tc>
          <w:tcPr>
            <w:tcW w:w="1484" w:type="pct"/>
            <w:vMerge/>
            <w:tcBorders>
              <w:top w:val="nil"/>
              <w:left w:val="nil"/>
              <w:bottom w:val="single" w:sz="4" w:space="0" w:color="000000"/>
              <w:right w:val="nil"/>
            </w:tcBorders>
            <w:vAlign w:val="center"/>
            <w:hideMark/>
          </w:tcPr>
          <w:p w14:paraId="0C3F810B"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0C"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0D" w14:textId="77777777" w:rsidR="009D74F9" w:rsidRPr="004B2104" w:rsidRDefault="009D74F9" w:rsidP="00BD7FB0">
            <w:pPr>
              <w:spacing w:before="0" w:after="0"/>
              <w:jc w:val="center"/>
              <w:rPr>
                <w:rStyle w:val="BookTitle"/>
              </w:rPr>
            </w:pPr>
            <w:r w:rsidRPr="004B2104">
              <w:rPr>
                <w:rStyle w:val="BookTitle"/>
              </w:rPr>
              <w:t>1.26</w:t>
            </w:r>
          </w:p>
        </w:tc>
        <w:tc>
          <w:tcPr>
            <w:tcW w:w="637" w:type="pct"/>
            <w:tcBorders>
              <w:top w:val="nil"/>
              <w:left w:val="nil"/>
              <w:bottom w:val="nil"/>
              <w:right w:val="nil"/>
            </w:tcBorders>
            <w:shd w:val="clear" w:color="auto" w:fill="auto"/>
            <w:noWrap/>
            <w:vAlign w:val="center"/>
            <w:hideMark/>
          </w:tcPr>
          <w:p w14:paraId="0C3F810E" w14:textId="77777777" w:rsidR="009D74F9" w:rsidRPr="004B2104" w:rsidRDefault="009D74F9" w:rsidP="00BD7FB0">
            <w:pPr>
              <w:spacing w:before="0" w:after="0"/>
              <w:jc w:val="center"/>
              <w:rPr>
                <w:rStyle w:val="BookTitle"/>
              </w:rPr>
            </w:pPr>
            <w:r w:rsidRPr="004B2104">
              <w:rPr>
                <w:rStyle w:val="BookTitle"/>
              </w:rPr>
              <w:t>0.90</w:t>
            </w:r>
          </w:p>
        </w:tc>
        <w:tc>
          <w:tcPr>
            <w:tcW w:w="675" w:type="pct"/>
            <w:tcBorders>
              <w:top w:val="nil"/>
              <w:left w:val="nil"/>
              <w:bottom w:val="nil"/>
              <w:right w:val="single" w:sz="4" w:space="0" w:color="auto"/>
            </w:tcBorders>
            <w:shd w:val="clear" w:color="auto" w:fill="auto"/>
            <w:noWrap/>
            <w:vAlign w:val="center"/>
            <w:hideMark/>
          </w:tcPr>
          <w:p w14:paraId="0C3F810F" w14:textId="77777777" w:rsidR="009D74F9" w:rsidRPr="004B2104" w:rsidRDefault="009D74F9" w:rsidP="00BD7FB0">
            <w:pPr>
              <w:spacing w:before="0" w:after="0"/>
              <w:jc w:val="center"/>
              <w:rPr>
                <w:rStyle w:val="BookTitle"/>
              </w:rPr>
            </w:pPr>
            <w:r w:rsidRPr="004B2104">
              <w:rPr>
                <w:rStyle w:val="BookTitle"/>
              </w:rPr>
              <w:t>0.92</w:t>
            </w:r>
          </w:p>
        </w:tc>
        <w:tc>
          <w:tcPr>
            <w:tcW w:w="796" w:type="pct"/>
            <w:tcBorders>
              <w:top w:val="nil"/>
              <w:left w:val="nil"/>
              <w:bottom w:val="nil"/>
              <w:right w:val="single" w:sz="4" w:space="0" w:color="auto"/>
            </w:tcBorders>
            <w:shd w:val="clear" w:color="auto" w:fill="auto"/>
            <w:noWrap/>
            <w:vAlign w:val="center"/>
            <w:hideMark/>
          </w:tcPr>
          <w:p w14:paraId="0C3F8110" w14:textId="77777777" w:rsidR="009D74F9" w:rsidRPr="004B2104" w:rsidRDefault="009D74F9" w:rsidP="00BD7FB0">
            <w:pPr>
              <w:spacing w:before="0" w:after="0"/>
              <w:jc w:val="center"/>
              <w:rPr>
                <w:rStyle w:val="BookTitle"/>
              </w:rPr>
            </w:pPr>
            <w:r w:rsidRPr="004B2104">
              <w:rPr>
                <w:rStyle w:val="BookTitle"/>
              </w:rPr>
              <w:t>0.78</w:t>
            </w:r>
          </w:p>
        </w:tc>
      </w:tr>
      <w:tr w:rsidR="009D74F9" w:rsidRPr="004B2104" w14:paraId="0C3F8118" w14:textId="77777777" w:rsidTr="009D74F9">
        <w:trPr>
          <w:trHeight w:val="20"/>
        </w:trPr>
        <w:tc>
          <w:tcPr>
            <w:tcW w:w="1484" w:type="pct"/>
            <w:vMerge/>
            <w:tcBorders>
              <w:top w:val="nil"/>
              <w:left w:val="nil"/>
              <w:bottom w:val="single" w:sz="4" w:space="0" w:color="000000"/>
              <w:right w:val="nil"/>
            </w:tcBorders>
            <w:vAlign w:val="center"/>
            <w:hideMark/>
          </w:tcPr>
          <w:p w14:paraId="0C3F8112"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13"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14" w14:textId="77777777" w:rsidR="009D74F9" w:rsidRPr="004B2104" w:rsidRDefault="009D74F9" w:rsidP="00BD7FB0">
            <w:pPr>
              <w:spacing w:before="0" w:after="0"/>
              <w:jc w:val="center"/>
              <w:rPr>
                <w:rStyle w:val="BookTitle"/>
              </w:rPr>
            </w:pPr>
            <w:r w:rsidRPr="004B2104">
              <w:rPr>
                <w:rStyle w:val="BookTitle"/>
              </w:rPr>
              <w:t>0.36</w:t>
            </w:r>
          </w:p>
        </w:tc>
        <w:tc>
          <w:tcPr>
            <w:tcW w:w="637" w:type="pct"/>
            <w:tcBorders>
              <w:top w:val="nil"/>
              <w:left w:val="nil"/>
              <w:bottom w:val="nil"/>
              <w:right w:val="nil"/>
            </w:tcBorders>
            <w:shd w:val="clear" w:color="auto" w:fill="auto"/>
            <w:noWrap/>
            <w:vAlign w:val="center"/>
            <w:hideMark/>
          </w:tcPr>
          <w:p w14:paraId="0C3F8115" w14:textId="77777777" w:rsidR="009D74F9" w:rsidRPr="004B2104" w:rsidRDefault="009D74F9" w:rsidP="00BD7FB0">
            <w:pPr>
              <w:spacing w:before="0" w:after="0"/>
              <w:jc w:val="center"/>
              <w:rPr>
                <w:rStyle w:val="BookTitle"/>
              </w:rPr>
            </w:pPr>
            <w:r w:rsidRPr="004B2104">
              <w:rPr>
                <w:rStyle w:val="BookTitle"/>
              </w:rPr>
              <w:t>0.41</w:t>
            </w:r>
          </w:p>
        </w:tc>
        <w:tc>
          <w:tcPr>
            <w:tcW w:w="675" w:type="pct"/>
            <w:tcBorders>
              <w:top w:val="nil"/>
              <w:left w:val="nil"/>
              <w:bottom w:val="nil"/>
              <w:right w:val="single" w:sz="4" w:space="0" w:color="auto"/>
            </w:tcBorders>
            <w:shd w:val="clear" w:color="auto" w:fill="auto"/>
            <w:noWrap/>
            <w:vAlign w:val="center"/>
            <w:hideMark/>
          </w:tcPr>
          <w:p w14:paraId="0C3F8116" w14:textId="77777777" w:rsidR="009D74F9" w:rsidRPr="004B2104" w:rsidRDefault="009D74F9" w:rsidP="00BD7FB0">
            <w:pPr>
              <w:spacing w:before="0" w:after="0"/>
              <w:jc w:val="center"/>
              <w:rPr>
                <w:rStyle w:val="BookTitle"/>
              </w:rPr>
            </w:pPr>
            <w:r w:rsidRPr="004B2104">
              <w:rPr>
                <w:rStyle w:val="BookTitle"/>
              </w:rPr>
              <w:t>0.48</w:t>
            </w:r>
          </w:p>
        </w:tc>
        <w:tc>
          <w:tcPr>
            <w:tcW w:w="796" w:type="pct"/>
            <w:tcBorders>
              <w:top w:val="nil"/>
              <w:left w:val="nil"/>
              <w:bottom w:val="nil"/>
              <w:right w:val="single" w:sz="4" w:space="0" w:color="auto"/>
            </w:tcBorders>
            <w:shd w:val="clear" w:color="auto" w:fill="auto"/>
            <w:noWrap/>
            <w:vAlign w:val="center"/>
            <w:hideMark/>
          </w:tcPr>
          <w:p w14:paraId="0C3F8117" w14:textId="77777777" w:rsidR="009D74F9" w:rsidRPr="004B2104" w:rsidRDefault="009D74F9" w:rsidP="00BD7FB0">
            <w:pPr>
              <w:spacing w:before="0" w:after="0"/>
              <w:jc w:val="center"/>
              <w:rPr>
                <w:rStyle w:val="BookTitle"/>
              </w:rPr>
            </w:pPr>
            <w:r w:rsidRPr="004B2104">
              <w:rPr>
                <w:rStyle w:val="BookTitle"/>
              </w:rPr>
              <w:t>0.35</w:t>
            </w:r>
          </w:p>
        </w:tc>
      </w:tr>
      <w:tr w:rsidR="009D74F9" w:rsidRPr="004B2104" w14:paraId="0C3F811F" w14:textId="77777777" w:rsidTr="009D74F9">
        <w:trPr>
          <w:trHeight w:val="20"/>
        </w:trPr>
        <w:tc>
          <w:tcPr>
            <w:tcW w:w="1484" w:type="pct"/>
            <w:vMerge/>
            <w:tcBorders>
              <w:top w:val="nil"/>
              <w:left w:val="nil"/>
              <w:bottom w:val="single" w:sz="4" w:space="0" w:color="000000"/>
              <w:right w:val="nil"/>
            </w:tcBorders>
            <w:vAlign w:val="center"/>
            <w:hideMark/>
          </w:tcPr>
          <w:p w14:paraId="0C3F8119"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1A"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1B" w14:textId="77777777" w:rsidR="009D74F9" w:rsidRPr="004B2104" w:rsidRDefault="009D74F9" w:rsidP="00BD7FB0">
            <w:pPr>
              <w:spacing w:before="0" w:after="0"/>
              <w:jc w:val="center"/>
              <w:rPr>
                <w:rStyle w:val="BookTitle"/>
              </w:rPr>
            </w:pPr>
            <w:r w:rsidRPr="004B2104">
              <w:rPr>
                <w:rStyle w:val="BookTitle"/>
              </w:rPr>
              <w:t>0.27</w:t>
            </w:r>
          </w:p>
        </w:tc>
        <w:tc>
          <w:tcPr>
            <w:tcW w:w="637" w:type="pct"/>
            <w:tcBorders>
              <w:top w:val="nil"/>
              <w:left w:val="nil"/>
              <w:bottom w:val="nil"/>
              <w:right w:val="nil"/>
            </w:tcBorders>
            <w:shd w:val="clear" w:color="auto" w:fill="auto"/>
            <w:noWrap/>
            <w:vAlign w:val="center"/>
            <w:hideMark/>
          </w:tcPr>
          <w:p w14:paraId="0C3F811C" w14:textId="77777777" w:rsidR="009D74F9" w:rsidRPr="004B2104" w:rsidRDefault="009D74F9" w:rsidP="00BD7FB0">
            <w:pPr>
              <w:spacing w:before="0" w:after="0"/>
              <w:jc w:val="center"/>
              <w:rPr>
                <w:rStyle w:val="BookTitle"/>
              </w:rPr>
            </w:pPr>
            <w:r w:rsidRPr="004B2104">
              <w:rPr>
                <w:rStyle w:val="BookTitle"/>
              </w:rPr>
              <w:t>0.29</w:t>
            </w:r>
          </w:p>
        </w:tc>
        <w:tc>
          <w:tcPr>
            <w:tcW w:w="675" w:type="pct"/>
            <w:tcBorders>
              <w:top w:val="nil"/>
              <w:left w:val="nil"/>
              <w:bottom w:val="nil"/>
              <w:right w:val="single" w:sz="4" w:space="0" w:color="auto"/>
            </w:tcBorders>
            <w:shd w:val="clear" w:color="auto" w:fill="auto"/>
            <w:noWrap/>
            <w:vAlign w:val="center"/>
            <w:hideMark/>
          </w:tcPr>
          <w:p w14:paraId="0C3F811D" w14:textId="77777777" w:rsidR="009D74F9" w:rsidRPr="004B2104" w:rsidRDefault="009D74F9" w:rsidP="00BD7FB0">
            <w:pPr>
              <w:spacing w:before="0" w:after="0"/>
              <w:jc w:val="center"/>
              <w:rPr>
                <w:rStyle w:val="BookTitle"/>
              </w:rPr>
            </w:pPr>
            <w:r w:rsidRPr="004B2104">
              <w:rPr>
                <w:rStyle w:val="BookTitle"/>
              </w:rPr>
              <w:t>0.29</w:t>
            </w:r>
          </w:p>
        </w:tc>
        <w:tc>
          <w:tcPr>
            <w:tcW w:w="796" w:type="pct"/>
            <w:tcBorders>
              <w:top w:val="nil"/>
              <w:left w:val="nil"/>
              <w:bottom w:val="nil"/>
              <w:right w:val="single" w:sz="4" w:space="0" w:color="auto"/>
            </w:tcBorders>
            <w:shd w:val="clear" w:color="auto" w:fill="auto"/>
            <w:noWrap/>
            <w:vAlign w:val="center"/>
            <w:hideMark/>
          </w:tcPr>
          <w:p w14:paraId="0C3F811E" w14:textId="77777777" w:rsidR="009D74F9" w:rsidRPr="004B2104" w:rsidRDefault="009D74F9" w:rsidP="00BD7FB0">
            <w:pPr>
              <w:spacing w:before="0" w:after="0"/>
              <w:jc w:val="center"/>
              <w:rPr>
                <w:rStyle w:val="BookTitle"/>
              </w:rPr>
            </w:pPr>
            <w:r w:rsidRPr="004B2104">
              <w:rPr>
                <w:rStyle w:val="BookTitle"/>
              </w:rPr>
              <w:t>0.18</w:t>
            </w:r>
          </w:p>
        </w:tc>
      </w:tr>
      <w:tr w:rsidR="009D74F9" w:rsidRPr="004B2104" w14:paraId="0C3F8126" w14:textId="77777777" w:rsidTr="009D74F9">
        <w:trPr>
          <w:trHeight w:val="20"/>
        </w:trPr>
        <w:tc>
          <w:tcPr>
            <w:tcW w:w="1484" w:type="pct"/>
            <w:vMerge/>
            <w:tcBorders>
              <w:top w:val="nil"/>
              <w:left w:val="nil"/>
              <w:bottom w:val="single" w:sz="4" w:space="0" w:color="000000"/>
              <w:right w:val="nil"/>
            </w:tcBorders>
            <w:vAlign w:val="center"/>
            <w:hideMark/>
          </w:tcPr>
          <w:p w14:paraId="0C3F8120"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121"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22" w14:textId="77777777" w:rsidR="009D74F9" w:rsidRPr="004B2104" w:rsidRDefault="009D74F9" w:rsidP="00BD7FB0">
            <w:pPr>
              <w:spacing w:before="0" w:after="0"/>
              <w:jc w:val="center"/>
              <w:rPr>
                <w:rStyle w:val="BookTitle"/>
              </w:rPr>
            </w:pPr>
            <w:r w:rsidRPr="004B2104">
              <w:rPr>
                <w:rStyle w:val="BookTitle"/>
              </w:rPr>
              <w:t>34</w:t>
            </w:r>
          </w:p>
        </w:tc>
        <w:tc>
          <w:tcPr>
            <w:tcW w:w="637" w:type="pct"/>
            <w:tcBorders>
              <w:top w:val="nil"/>
              <w:left w:val="nil"/>
              <w:bottom w:val="single" w:sz="4" w:space="0" w:color="auto"/>
              <w:right w:val="nil"/>
            </w:tcBorders>
            <w:shd w:val="clear" w:color="auto" w:fill="auto"/>
            <w:noWrap/>
            <w:vAlign w:val="center"/>
            <w:hideMark/>
          </w:tcPr>
          <w:p w14:paraId="0C3F8123" w14:textId="77777777" w:rsidR="009D74F9" w:rsidRPr="004B2104" w:rsidRDefault="009D74F9" w:rsidP="00BD7FB0">
            <w:pPr>
              <w:spacing w:before="0" w:after="0"/>
              <w:jc w:val="center"/>
              <w:rPr>
                <w:rStyle w:val="BookTitle"/>
              </w:rPr>
            </w:pPr>
            <w:r w:rsidRPr="004B2104">
              <w:rPr>
                <w:rStyle w:val="BookTitle"/>
              </w:rPr>
              <w:t>6</w:t>
            </w:r>
          </w:p>
        </w:tc>
        <w:tc>
          <w:tcPr>
            <w:tcW w:w="675" w:type="pct"/>
            <w:tcBorders>
              <w:top w:val="nil"/>
              <w:left w:val="nil"/>
              <w:bottom w:val="single" w:sz="4" w:space="0" w:color="auto"/>
              <w:right w:val="single" w:sz="4" w:space="0" w:color="auto"/>
            </w:tcBorders>
            <w:shd w:val="clear" w:color="auto" w:fill="auto"/>
            <w:noWrap/>
            <w:vAlign w:val="center"/>
            <w:hideMark/>
          </w:tcPr>
          <w:p w14:paraId="0C3F8124" w14:textId="77777777" w:rsidR="009D74F9" w:rsidRPr="004B2104" w:rsidRDefault="009D74F9" w:rsidP="00BD7FB0">
            <w:pPr>
              <w:spacing w:before="0" w:after="0"/>
              <w:jc w:val="center"/>
              <w:rPr>
                <w:rStyle w:val="BookTitle"/>
              </w:rPr>
            </w:pPr>
            <w:r w:rsidRPr="004B2104">
              <w:rPr>
                <w:rStyle w:val="BookTitle"/>
              </w:rPr>
              <w:t>12</w:t>
            </w:r>
          </w:p>
        </w:tc>
        <w:tc>
          <w:tcPr>
            <w:tcW w:w="796" w:type="pct"/>
            <w:tcBorders>
              <w:top w:val="nil"/>
              <w:left w:val="nil"/>
              <w:bottom w:val="single" w:sz="4" w:space="0" w:color="auto"/>
              <w:right w:val="single" w:sz="4" w:space="0" w:color="auto"/>
            </w:tcBorders>
            <w:shd w:val="clear" w:color="auto" w:fill="auto"/>
            <w:noWrap/>
            <w:vAlign w:val="center"/>
            <w:hideMark/>
          </w:tcPr>
          <w:p w14:paraId="0C3F8125" w14:textId="77777777" w:rsidR="009D74F9" w:rsidRPr="004B2104" w:rsidRDefault="009D74F9" w:rsidP="00BD7FB0">
            <w:pPr>
              <w:spacing w:before="0" w:after="0"/>
              <w:jc w:val="center"/>
              <w:rPr>
                <w:rStyle w:val="BookTitle"/>
              </w:rPr>
            </w:pPr>
            <w:r w:rsidRPr="004B2104">
              <w:rPr>
                <w:rStyle w:val="BookTitle"/>
              </w:rPr>
              <w:t>21</w:t>
            </w:r>
          </w:p>
        </w:tc>
      </w:tr>
      <w:tr w:rsidR="009D74F9" w:rsidRPr="004B2104" w14:paraId="0C3F812D"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27" w14:textId="77777777" w:rsidR="009D74F9" w:rsidRPr="004B2104" w:rsidRDefault="009D74F9" w:rsidP="00BD7FB0">
            <w:pPr>
              <w:spacing w:before="0" w:after="0"/>
              <w:jc w:val="center"/>
              <w:rPr>
                <w:rStyle w:val="BookTitle"/>
              </w:rPr>
            </w:pPr>
            <w:r w:rsidRPr="004B2104">
              <w:rPr>
                <w:rStyle w:val="BookTitle"/>
              </w:rPr>
              <w:t>Coloured Dissolved Organic Matter (/m)</w:t>
            </w:r>
          </w:p>
        </w:tc>
        <w:tc>
          <w:tcPr>
            <w:tcW w:w="456" w:type="pct"/>
            <w:tcBorders>
              <w:top w:val="nil"/>
              <w:left w:val="nil"/>
              <w:bottom w:val="nil"/>
              <w:right w:val="single" w:sz="4" w:space="0" w:color="auto"/>
            </w:tcBorders>
            <w:shd w:val="clear" w:color="auto" w:fill="auto"/>
            <w:noWrap/>
            <w:vAlign w:val="center"/>
            <w:hideMark/>
          </w:tcPr>
          <w:p w14:paraId="0C3F8128"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29" w14:textId="77777777" w:rsidR="009D74F9" w:rsidRPr="004B2104" w:rsidRDefault="009D74F9" w:rsidP="00BD7FB0">
            <w:pPr>
              <w:spacing w:before="0" w:after="0"/>
              <w:jc w:val="center"/>
              <w:rPr>
                <w:rStyle w:val="BookTitle"/>
              </w:rPr>
            </w:pPr>
            <w:r w:rsidRPr="004B2104">
              <w:rPr>
                <w:rStyle w:val="BookTitle"/>
              </w:rPr>
              <w:t>0</w:t>
            </w:r>
          </w:p>
        </w:tc>
        <w:tc>
          <w:tcPr>
            <w:tcW w:w="637" w:type="pct"/>
            <w:tcBorders>
              <w:top w:val="nil"/>
              <w:left w:val="nil"/>
              <w:bottom w:val="nil"/>
              <w:right w:val="nil"/>
            </w:tcBorders>
            <w:shd w:val="clear" w:color="auto" w:fill="auto"/>
            <w:noWrap/>
            <w:vAlign w:val="center"/>
            <w:hideMark/>
          </w:tcPr>
          <w:p w14:paraId="0C3F812A" w14:textId="77777777" w:rsidR="009D74F9" w:rsidRPr="004B2104" w:rsidRDefault="009D74F9" w:rsidP="00BD7FB0">
            <w:pPr>
              <w:spacing w:before="0" w:after="0"/>
              <w:jc w:val="center"/>
              <w:rPr>
                <w:rStyle w:val="BookTitle"/>
              </w:rPr>
            </w:pPr>
            <w:r w:rsidRPr="004B2104">
              <w:rPr>
                <w:rStyle w:val="BookTitle"/>
              </w:rPr>
              <w:t>0</w:t>
            </w:r>
          </w:p>
        </w:tc>
        <w:tc>
          <w:tcPr>
            <w:tcW w:w="675" w:type="pct"/>
            <w:tcBorders>
              <w:top w:val="nil"/>
              <w:left w:val="nil"/>
              <w:bottom w:val="nil"/>
              <w:right w:val="single" w:sz="4" w:space="0" w:color="auto"/>
            </w:tcBorders>
            <w:shd w:val="clear" w:color="auto" w:fill="auto"/>
            <w:noWrap/>
            <w:vAlign w:val="center"/>
            <w:hideMark/>
          </w:tcPr>
          <w:p w14:paraId="0C3F812B" w14:textId="77777777" w:rsidR="009D74F9" w:rsidRPr="004B2104" w:rsidRDefault="009D74F9" w:rsidP="00BD7FB0">
            <w:pPr>
              <w:spacing w:before="0" w:after="0"/>
              <w:jc w:val="center"/>
              <w:rPr>
                <w:rStyle w:val="BookTitle"/>
              </w:rPr>
            </w:pPr>
            <w:r w:rsidRPr="004B2104">
              <w:rPr>
                <w:rStyle w:val="BookTitle"/>
              </w:rPr>
              <w:t>0</w:t>
            </w:r>
          </w:p>
        </w:tc>
        <w:tc>
          <w:tcPr>
            <w:tcW w:w="796" w:type="pct"/>
            <w:tcBorders>
              <w:top w:val="nil"/>
              <w:left w:val="nil"/>
              <w:bottom w:val="nil"/>
              <w:right w:val="single" w:sz="4" w:space="0" w:color="auto"/>
            </w:tcBorders>
            <w:shd w:val="clear" w:color="auto" w:fill="auto"/>
            <w:noWrap/>
            <w:vAlign w:val="center"/>
            <w:hideMark/>
          </w:tcPr>
          <w:p w14:paraId="0C3F812C" w14:textId="77777777" w:rsidR="009D74F9" w:rsidRPr="004B2104" w:rsidRDefault="009D74F9" w:rsidP="00BD7FB0">
            <w:pPr>
              <w:spacing w:before="0" w:after="0"/>
              <w:jc w:val="center"/>
              <w:rPr>
                <w:rStyle w:val="BookTitle"/>
              </w:rPr>
            </w:pPr>
            <w:r w:rsidRPr="004B2104">
              <w:rPr>
                <w:rStyle w:val="BookTitle"/>
              </w:rPr>
              <w:t>0</w:t>
            </w:r>
          </w:p>
        </w:tc>
      </w:tr>
      <w:tr w:rsidR="009D74F9" w:rsidRPr="004B2104" w14:paraId="0C3F8134" w14:textId="77777777" w:rsidTr="009D74F9">
        <w:trPr>
          <w:trHeight w:val="20"/>
        </w:trPr>
        <w:tc>
          <w:tcPr>
            <w:tcW w:w="1484" w:type="pct"/>
            <w:vMerge/>
            <w:tcBorders>
              <w:top w:val="nil"/>
              <w:left w:val="nil"/>
              <w:bottom w:val="single" w:sz="4" w:space="0" w:color="000000"/>
              <w:right w:val="nil"/>
            </w:tcBorders>
            <w:vAlign w:val="center"/>
            <w:hideMark/>
          </w:tcPr>
          <w:p w14:paraId="0C3F812E"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2F"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30" w14:textId="77777777" w:rsidR="009D74F9" w:rsidRPr="004B2104" w:rsidRDefault="009D74F9" w:rsidP="00BD7FB0">
            <w:pPr>
              <w:spacing w:before="0" w:after="0"/>
              <w:jc w:val="center"/>
              <w:rPr>
                <w:rStyle w:val="BookTitle"/>
              </w:rPr>
            </w:pPr>
            <w:r w:rsidRPr="004B2104">
              <w:rPr>
                <w:rStyle w:val="BookTitle"/>
              </w:rPr>
              <w:t>2.90</w:t>
            </w:r>
          </w:p>
        </w:tc>
        <w:tc>
          <w:tcPr>
            <w:tcW w:w="637" w:type="pct"/>
            <w:tcBorders>
              <w:top w:val="nil"/>
              <w:left w:val="nil"/>
              <w:bottom w:val="nil"/>
              <w:right w:val="nil"/>
            </w:tcBorders>
            <w:shd w:val="clear" w:color="auto" w:fill="auto"/>
            <w:noWrap/>
            <w:vAlign w:val="center"/>
            <w:hideMark/>
          </w:tcPr>
          <w:p w14:paraId="0C3F8131" w14:textId="77777777" w:rsidR="009D74F9" w:rsidRPr="004B2104" w:rsidRDefault="009D74F9" w:rsidP="00BD7FB0">
            <w:pPr>
              <w:spacing w:before="0" w:after="0"/>
              <w:jc w:val="center"/>
              <w:rPr>
                <w:rStyle w:val="BookTitle"/>
              </w:rPr>
            </w:pPr>
            <w:r w:rsidRPr="004B2104">
              <w:rPr>
                <w:rStyle w:val="BookTitle"/>
              </w:rPr>
              <w:t>0.39</w:t>
            </w:r>
          </w:p>
        </w:tc>
        <w:tc>
          <w:tcPr>
            <w:tcW w:w="675" w:type="pct"/>
            <w:tcBorders>
              <w:top w:val="nil"/>
              <w:left w:val="nil"/>
              <w:bottom w:val="nil"/>
              <w:right w:val="single" w:sz="4" w:space="0" w:color="auto"/>
            </w:tcBorders>
            <w:shd w:val="clear" w:color="auto" w:fill="auto"/>
            <w:noWrap/>
            <w:vAlign w:val="center"/>
            <w:hideMark/>
          </w:tcPr>
          <w:p w14:paraId="0C3F8132" w14:textId="77777777" w:rsidR="009D74F9" w:rsidRPr="004B2104" w:rsidRDefault="009D74F9" w:rsidP="00BD7FB0">
            <w:pPr>
              <w:spacing w:before="0" w:after="0"/>
              <w:jc w:val="center"/>
              <w:rPr>
                <w:rStyle w:val="BookTitle"/>
              </w:rPr>
            </w:pPr>
            <w:r w:rsidRPr="004B2104">
              <w:rPr>
                <w:rStyle w:val="BookTitle"/>
              </w:rPr>
              <w:t>1.24</w:t>
            </w:r>
          </w:p>
        </w:tc>
        <w:tc>
          <w:tcPr>
            <w:tcW w:w="796" w:type="pct"/>
            <w:tcBorders>
              <w:top w:val="nil"/>
              <w:left w:val="nil"/>
              <w:bottom w:val="nil"/>
              <w:right w:val="single" w:sz="4" w:space="0" w:color="auto"/>
            </w:tcBorders>
            <w:shd w:val="clear" w:color="auto" w:fill="auto"/>
            <w:noWrap/>
            <w:vAlign w:val="center"/>
            <w:hideMark/>
          </w:tcPr>
          <w:p w14:paraId="0C3F8133" w14:textId="77777777" w:rsidR="009D74F9" w:rsidRPr="004B2104" w:rsidRDefault="009D74F9" w:rsidP="00BD7FB0">
            <w:pPr>
              <w:spacing w:before="0" w:after="0"/>
              <w:jc w:val="center"/>
              <w:rPr>
                <w:rStyle w:val="BookTitle"/>
              </w:rPr>
            </w:pPr>
            <w:r w:rsidRPr="004B2104">
              <w:rPr>
                <w:rStyle w:val="BookTitle"/>
              </w:rPr>
              <w:t>0.25</w:t>
            </w:r>
          </w:p>
        </w:tc>
      </w:tr>
      <w:tr w:rsidR="009D74F9" w:rsidRPr="004B2104" w14:paraId="0C3F813B" w14:textId="77777777" w:rsidTr="009D74F9">
        <w:trPr>
          <w:trHeight w:val="20"/>
        </w:trPr>
        <w:tc>
          <w:tcPr>
            <w:tcW w:w="1484" w:type="pct"/>
            <w:vMerge/>
            <w:tcBorders>
              <w:top w:val="nil"/>
              <w:left w:val="nil"/>
              <w:bottom w:val="single" w:sz="4" w:space="0" w:color="000000"/>
              <w:right w:val="nil"/>
            </w:tcBorders>
            <w:vAlign w:val="center"/>
            <w:hideMark/>
          </w:tcPr>
          <w:p w14:paraId="0C3F8135"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36"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37" w14:textId="77777777" w:rsidR="009D74F9" w:rsidRPr="004B2104" w:rsidRDefault="009D74F9" w:rsidP="00BD7FB0">
            <w:pPr>
              <w:spacing w:before="0" w:after="0"/>
              <w:jc w:val="center"/>
              <w:rPr>
                <w:rStyle w:val="BookTitle"/>
              </w:rPr>
            </w:pPr>
            <w:r w:rsidRPr="004B2104">
              <w:rPr>
                <w:rStyle w:val="BookTitle"/>
              </w:rPr>
              <w:t>0.80</w:t>
            </w:r>
          </w:p>
        </w:tc>
        <w:tc>
          <w:tcPr>
            <w:tcW w:w="637" w:type="pct"/>
            <w:tcBorders>
              <w:top w:val="nil"/>
              <w:left w:val="nil"/>
              <w:bottom w:val="nil"/>
              <w:right w:val="nil"/>
            </w:tcBorders>
            <w:shd w:val="clear" w:color="auto" w:fill="auto"/>
            <w:noWrap/>
            <w:vAlign w:val="center"/>
            <w:hideMark/>
          </w:tcPr>
          <w:p w14:paraId="0C3F8138" w14:textId="77777777" w:rsidR="009D74F9" w:rsidRPr="004B2104" w:rsidRDefault="009D74F9" w:rsidP="00BD7FB0">
            <w:pPr>
              <w:spacing w:before="0" w:after="0"/>
              <w:jc w:val="center"/>
              <w:rPr>
                <w:rStyle w:val="BookTitle"/>
              </w:rPr>
            </w:pPr>
            <w:r w:rsidRPr="004B2104">
              <w:rPr>
                <w:rStyle w:val="BookTitle"/>
              </w:rPr>
              <w:t>0.12</w:t>
            </w:r>
          </w:p>
        </w:tc>
        <w:tc>
          <w:tcPr>
            <w:tcW w:w="675" w:type="pct"/>
            <w:tcBorders>
              <w:top w:val="nil"/>
              <w:left w:val="nil"/>
              <w:bottom w:val="nil"/>
              <w:right w:val="single" w:sz="4" w:space="0" w:color="auto"/>
            </w:tcBorders>
            <w:shd w:val="clear" w:color="auto" w:fill="auto"/>
            <w:noWrap/>
            <w:vAlign w:val="center"/>
            <w:hideMark/>
          </w:tcPr>
          <w:p w14:paraId="0C3F8139" w14:textId="77777777" w:rsidR="009D74F9" w:rsidRPr="004B2104" w:rsidRDefault="009D74F9" w:rsidP="00BD7FB0">
            <w:pPr>
              <w:spacing w:before="0" w:after="0"/>
              <w:jc w:val="center"/>
              <w:rPr>
                <w:rStyle w:val="BookTitle"/>
              </w:rPr>
            </w:pPr>
            <w:r w:rsidRPr="004B2104">
              <w:rPr>
                <w:rStyle w:val="BookTitle"/>
              </w:rPr>
              <w:t>0.44</w:t>
            </w:r>
          </w:p>
        </w:tc>
        <w:tc>
          <w:tcPr>
            <w:tcW w:w="796" w:type="pct"/>
            <w:tcBorders>
              <w:top w:val="nil"/>
              <w:left w:val="nil"/>
              <w:bottom w:val="nil"/>
              <w:right w:val="single" w:sz="4" w:space="0" w:color="auto"/>
            </w:tcBorders>
            <w:shd w:val="clear" w:color="auto" w:fill="auto"/>
            <w:noWrap/>
            <w:vAlign w:val="center"/>
            <w:hideMark/>
          </w:tcPr>
          <w:p w14:paraId="0C3F813A" w14:textId="77777777" w:rsidR="009D74F9" w:rsidRPr="004B2104" w:rsidRDefault="009D74F9" w:rsidP="00BD7FB0">
            <w:pPr>
              <w:spacing w:before="0" w:after="0"/>
              <w:jc w:val="center"/>
              <w:rPr>
                <w:rStyle w:val="BookTitle"/>
              </w:rPr>
            </w:pPr>
            <w:r w:rsidRPr="004B2104">
              <w:rPr>
                <w:rStyle w:val="BookTitle"/>
              </w:rPr>
              <w:t>0.12</w:t>
            </w:r>
          </w:p>
        </w:tc>
      </w:tr>
      <w:tr w:rsidR="009D74F9" w:rsidRPr="004B2104" w14:paraId="0C3F8142" w14:textId="77777777" w:rsidTr="009D74F9">
        <w:trPr>
          <w:trHeight w:val="20"/>
        </w:trPr>
        <w:tc>
          <w:tcPr>
            <w:tcW w:w="1484" w:type="pct"/>
            <w:vMerge/>
            <w:tcBorders>
              <w:top w:val="nil"/>
              <w:left w:val="nil"/>
              <w:bottom w:val="single" w:sz="4" w:space="0" w:color="000000"/>
              <w:right w:val="nil"/>
            </w:tcBorders>
            <w:vAlign w:val="center"/>
            <w:hideMark/>
          </w:tcPr>
          <w:p w14:paraId="0C3F813C"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3D"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3E" w14:textId="77777777" w:rsidR="009D74F9" w:rsidRPr="004B2104" w:rsidRDefault="009D74F9" w:rsidP="00BD7FB0">
            <w:pPr>
              <w:spacing w:before="0" w:after="0"/>
              <w:jc w:val="center"/>
              <w:rPr>
                <w:rStyle w:val="BookTitle"/>
              </w:rPr>
            </w:pPr>
            <w:r w:rsidRPr="004B2104">
              <w:rPr>
                <w:rStyle w:val="BookTitle"/>
              </w:rPr>
              <w:t>0.96</w:t>
            </w:r>
          </w:p>
        </w:tc>
        <w:tc>
          <w:tcPr>
            <w:tcW w:w="637" w:type="pct"/>
            <w:tcBorders>
              <w:top w:val="nil"/>
              <w:left w:val="nil"/>
              <w:bottom w:val="nil"/>
              <w:right w:val="nil"/>
            </w:tcBorders>
            <w:shd w:val="clear" w:color="auto" w:fill="auto"/>
            <w:noWrap/>
            <w:vAlign w:val="center"/>
            <w:hideMark/>
          </w:tcPr>
          <w:p w14:paraId="0C3F813F" w14:textId="77777777" w:rsidR="009D74F9" w:rsidRPr="004B2104" w:rsidRDefault="009D74F9" w:rsidP="00BD7FB0">
            <w:pPr>
              <w:spacing w:before="0" w:after="0"/>
              <w:jc w:val="center"/>
              <w:rPr>
                <w:rStyle w:val="BookTitle"/>
              </w:rPr>
            </w:pPr>
            <w:r w:rsidRPr="004B2104">
              <w:rPr>
                <w:rStyle w:val="BookTitle"/>
              </w:rPr>
              <w:t>0.12</w:t>
            </w:r>
          </w:p>
        </w:tc>
        <w:tc>
          <w:tcPr>
            <w:tcW w:w="675" w:type="pct"/>
            <w:tcBorders>
              <w:top w:val="nil"/>
              <w:left w:val="nil"/>
              <w:bottom w:val="nil"/>
              <w:right w:val="single" w:sz="4" w:space="0" w:color="auto"/>
            </w:tcBorders>
            <w:shd w:val="clear" w:color="auto" w:fill="auto"/>
            <w:noWrap/>
            <w:vAlign w:val="center"/>
            <w:hideMark/>
          </w:tcPr>
          <w:p w14:paraId="0C3F8140" w14:textId="77777777" w:rsidR="009D74F9" w:rsidRPr="004B2104" w:rsidRDefault="009D74F9" w:rsidP="00BD7FB0">
            <w:pPr>
              <w:spacing w:before="0" w:after="0"/>
              <w:jc w:val="center"/>
              <w:rPr>
                <w:rStyle w:val="BookTitle"/>
              </w:rPr>
            </w:pPr>
            <w:r w:rsidRPr="004B2104">
              <w:rPr>
                <w:rStyle w:val="BookTitle"/>
              </w:rPr>
              <w:t>0.32</w:t>
            </w:r>
          </w:p>
        </w:tc>
        <w:tc>
          <w:tcPr>
            <w:tcW w:w="796" w:type="pct"/>
            <w:tcBorders>
              <w:top w:val="nil"/>
              <w:left w:val="nil"/>
              <w:bottom w:val="nil"/>
              <w:right w:val="single" w:sz="4" w:space="0" w:color="auto"/>
            </w:tcBorders>
            <w:shd w:val="clear" w:color="auto" w:fill="auto"/>
            <w:noWrap/>
            <w:vAlign w:val="center"/>
            <w:hideMark/>
          </w:tcPr>
          <w:p w14:paraId="0C3F8141" w14:textId="77777777" w:rsidR="009D74F9" w:rsidRPr="004B2104" w:rsidRDefault="009D74F9" w:rsidP="00BD7FB0">
            <w:pPr>
              <w:spacing w:before="0" w:after="0"/>
              <w:jc w:val="center"/>
              <w:rPr>
                <w:rStyle w:val="BookTitle"/>
              </w:rPr>
            </w:pPr>
            <w:r w:rsidRPr="004B2104">
              <w:rPr>
                <w:rStyle w:val="BookTitle"/>
              </w:rPr>
              <w:t>0.06</w:t>
            </w:r>
          </w:p>
        </w:tc>
      </w:tr>
      <w:tr w:rsidR="009D74F9" w:rsidRPr="004B2104" w14:paraId="0C3F8149" w14:textId="77777777" w:rsidTr="009D74F9">
        <w:trPr>
          <w:trHeight w:val="20"/>
        </w:trPr>
        <w:tc>
          <w:tcPr>
            <w:tcW w:w="1484" w:type="pct"/>
            <w:vMerge/>
            <w:tcBorders>
              <w:top w:val="nil"/>
              <w:left w:val="nil"/>
              <w:bottom w:val="single" w:sz="4" w:space="0" w:color="000000"/>
              <w:right w:val="nil"/>
            </w:tcBorders>
            <w:vAlign w:val="center"/>
            <w:hideMark/>
          </w:tcPr>
          <w:p w14:paraId="0C3F8143"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144"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45" w14:textId="77777777" w:rsidR="009D74F9" w:rsidRPr="004B2104" w:rsidRDefault="009D74F9" w:rsidP="00BD7FB0">
            <w:pPr>
              <w:spacing w:before="0" w:after="0"/>
              <w:jc w:val="center"/>
              <w:rPr>
                <w:rStyle w:val="BookTitle"/>
              </w:rPr>
            </w:pPr>
            <w:r w:rsidRPr="004B2104">
              <w:rPr>
                <w:rStyle w:val="BookTitle"/>
              </w:rPr>
              <w:t>39</w:t>
            </w:r>
          </w:p>
        </w:tc>
        <w:tc>
          <w:tcPr>
            <w:tcW w:w="637" w:type="pct"/>
            <w:tcBorders>
              <w:top w:val="nil"/>
              <w:left w:val="nil"/>
              <w:bottom w:val="single" w:sz="4" w:space="0" w:color="auto"/>
              <w:right w:val="nil"/>
            </w:tcBorders>
            <w:shd w:val="clear" w:color="auto" w:fill="auto"/>
            <w:noWrap/>
            <w:vAlign w:val="center"/>
            <w:hideMark/>
          </w:tcPr>
          <w:p w14:paraId="0C3F8146"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47" w14:textId="77777777" w:rsidR="009D74F9" w:rsidRPr="004B2104" w:rsidRDefault="009D74F9" w:rsidP="00BD7FB0">
            <w:pPr>
              <w:spacing w:before="0" w:after="0"/>
              <w:jc w:val="center"/>
              <w:rPr>
                <w:rStyle w:val="BookTitle"/>
              </w:rPr>
            </w:pPr>
            <w:r w:rsidRPr="004B2104">
              <w:rPr>
                <w:rStyle w:val="BookTitle"/>
              </w:rPr>
              <w:t>9</w:t>
            </w:r>
          </w:p>
        </w:tc>
        <w:tc>
          <w:tcPr>
            <w:tcW w:w="796" w:type="pct"/>
            <w:tcBorders>
              <w:top w:val="nil"/>
              <w:left w:val="nil"/>
              <w:bottom w:val="single" w:sz="4" w:space="0" w:color="auto"/>
              <w:right w:val="single" w:sz="4" w:space="0" w:color="auto"/>
            </w:tcBorders>
            <w:shd w:val="clear" w:color="auto" w:fill="auto"/>
            <w:noWrap/>
            <w:vAlign w:val="center"/>
            <w:hideMark/>
          </w:tcPr>
          <w:p w14:paraId="0C3F8148" w14:textId="77777777" w:rsidR="009D74F9" w:rsidRPr="004B2104" w:rsidRDefault="009D74F9" w:rsidP="00BD7FB0">
            <w:pPr>
              <w:spacing w:before="0" w:after="0"/>
              <w:jc w:val="center"/>
              <w:rPr>
                <w:rStyle w:val="BookTitle"/>
              </w:rPr>
            </w:pPr>
            <w:r w:rsidRPr="004B2104">
              <w:rPr>
                <w:rStyle w:val="BookTitle"/>
              </w:rPr>
              <w:t>12</w:t>
            </w:r>
          </w:p>
        </w:tc>
      </w:tr>
      <w:tr w:rsidR="009D74F9" w:rsidRPr="004B2104" w14:paraId="0C3F8150"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4A" w14:textId="77777777" w:rsidR="009D74F9" w:rsidRPr="004B2104" w:rsidRDefault="009D74F9" w:rsidP="00BD7FB0">
            <w:pPr>
              <w:spacing w:before="0" w:after="0"/>
              <w:jc w:val="center"/>
              <w:rPr>
                <w:rStyle w:val="BookTitle"/>
              </w:rPr>
            </w:pPr>
            <w:r w:rsidRPr="004B2104">
              <w:rPr>
                <w:rStyle w:val="BookTitle"/>
              </w:rPr>
              <w:t>Total Suspended Solids (mg/L)</w:t>
            </w:r>
          </w:p>
        </w:tc>
        <w:tc>
          <w:tcPr>
            <w:tcW w:w="456" w:type="pct"/>
            <w:tcBorders>
              <w:top w:val="nil"/>
              <w:left w:val="nil"/>
              <w:bottom w:val="nil"/>
              <w:right w:val="nil"/>
            </w:tcBorders>
            <w:shd w:val="clear" w:color="auto" w:fill="auto"/>
            <w:noWrap/>
            <w:vAlign w:val="center"/>
            <w:hideMark/>
          </w:tcPr>
          <w:p w14:paraId="0C3F814B"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4C" w14:textId="77777777" w:rsidR="009D74F9" w:rsidRPr="004B2104" w:rsidRDefault="009D74F9" w:rsidP="00BD7FB0">
            <w:pPr>
              <w:spacing w:before="0" w:after="0"/>
              <w:jc w:val="center"/>
              <w:rPr>
                <w:rStyle w:val="BookTitle"/>
              </w:rPr>
            </w:pPr>
            <w:r w:rsidRPr="004B2104">
              <w:rPr>
                <w:rStyle w:val="BookTitle"/>
              </w:rPr>
              <w:t>3.50</w:t>
            </w:r>
          </w:p>
        </w:tc>
        <w:tc>
          <w:tcPr>
            <w:tcW w:w="637" w:type="pct"/>
            <w:tcBorders>
              <w:top w:val="nil"/>
              <w:left w:val="nil"/>
              <w:bottom w:val="nil"/>
              <w:right w:val="nil"/>
            </w:tcBorders>
            <w:shd w:val="clear" w:color="auto" w:fill="auto"/>
            <w:noWrap/>
            <w:vAlign w:val="center"/>
            <w:hideMark/>
          </w:tcPr>
          <w:p w14:paraId="0C3F814D" w14:textId="77777777" w:rsidR="009D74F9" w:rsidRPr="004B2104" w:rsidRDefault="009D74F9" w:rsidP="00BD7FB0">
            <w:pPr>
              <w:spacing w:before="0" w:after="0"/>
              <w:jc w:val="center"/>
              <w:rPr>
                <w:rStyle w:val="BookTitle"/>
              </w:rPr>
            </w:pPr>
            <w:r w:rsidRPr="004B2104">
              <w:rPr>
                <w:rStyle w:val="BookTitle"/>
              </w:rPr>
              <w:t>4.40</w:t>
            </w:r>
          </w:p>
        </w:tc>
        <w:tc>
          <w:tcPr>
            <w:tcW w:w="675" w:type="pct"/>
            <w:tcBorders>
              <w:top w:val="nil"/>
              <w:left w:val="nil"/>
              <w:bottom w:val="nil"/>
              <w:right w:val="single" w:sz="4" w:space="0" w:color="auto"/>
            </w:tcBorders>
            <w:shd w:val="clear" w:color="auto" w:fill="auto"/>
            <w:noWrap/>
            <w:vAlign w:val="center"/>
            <w:hideMark/>
          </w:tcPr>
          <w:p w14:paraId="0C3F814E" w14:textId="77777777" w:rsidR="009D74F9" w:rsidRPr="004B2104" w:rsidRDefault="009D74F9" w:rsidP="00BD7FB0">
            <w:pPr>
              <w:spacing w:before="0" w:after="0"/>
              <w:jc w:val="center"/>
              <w:rPr>
                <w:rStyle w:val="BookTitle"/>
              </w:rPr>
            </w:pPr>
            <w:r w:rsidRPr="004B2104">
              <w:rPr>
                <w:rStyle w:val="BookTitle"/>
              </w:rPr>
              <w:t>3.50</w:t>
            </w:r>
          </w:p>
        </w:tc>
        <w:tc>
          <w:tcPr>
            <w:tcW w:w="796" w:type="pct"/>
            <w:tcBorders>
              <w:top w:val="nil"/>
              <w:left w:val="nil"/>
              <w:bottom w:val="nil"/>
              <w:right w:val="single" w:sz="4" w:space="0" w:color="auto"/>
            </w:tcBorders>
            <w:shd w:val="clear" w:color="auto" w:fill="auto"/>
            <w:noWrap/>
            <w:vAlign w:val="center"/>
            <w:hideMark/>
          </w:tcPr>
          <w:p w14:paraId="0C3F814F" w14:textId="77777777" w:rsidR="009D74F9" w:rsidRPr="004B2104" w:rsidRDefault="009D74F9" w:rsidP="00BD7FB0">
            <w:pPr>
              <w:spacing w:before="0" w:after="0"/>
              <w:jc w:val="center"/>
              <w:rPr>
                <w:rStyle w:val="BookTitle"/>
              </w:rPr>
            </w:pPr>
            <w:r w:rsidRPr="004B2104">
              <w:rPr>
                <w:rStyle w:val="BookTitle"/>
              </w:rPr>
              <w:t>3.10</w:t>
            </w:r>
          </w:p>
        </w:tc>
      </w:tr>
      <w:tr w:rsidR="009D74F9" w:rsidRPr="004B2104" w14:paraId="0C3F8157" w14:textId="77777777" w:rsidTr="009D74F9">
        <w:trPr>
          <w:trHeight w:val="20"/>
        </w:trPr>
        <w:tc>
          <w:tcPr>
            <w:tcW w:w="1484" w:type="pct"/>
            <w:vMerge/>
            <w:tcBorders>
              <w:top w:val="nil"/>
              <w:left w:val="nil"/>
              <w:bottom w:val="single" w:sz="4" w:space="0" w:color="000000"/>
              <w:right w:val="nil"/>
            </w:tcBorders>
            <w:vAlign w:val="center"/>
            <w:hideMark/>
          </w:tcPr>
          <w:p w14:paraId="0C3F8151"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52"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53" w14:textId="77777777" w:rsidR="009D74F9" w:rsidRPr="004B2104" w:rsidRDefault="009D74F9" w:rsidP="00BD7FB0">
            <w:pPr>
              <w:spacing w:before="0" w:after="0"/>
              <w:jc w:val="center"/>
              <w:rPr>
                <w:rStyle w:val="BookTitle"/>
              </w:rPr>
            </w:pPr>
            <w:r w:rsidRPr="004B2104">
              <w:rPr>
                <w:rStyle w:val="BookTitle"/>
              </w:rPr>
              <w:t>21.00</w:t>
            </w:r>
          </w:p>
        </w:tc>
        <w:tc>
          <w:tcPr>
            <w:tcW w:w="637" w:type="pct"/>
            <w:tcBorders>
              <w:top w:val="nil"/>
              <w:left w:val="nil"/>
              <w:bottom w:val="nil"/>
              <w:right w:val="nil"/>
            </w:tcBorders>
            <w:shd w:val="clear" w:color="auto" w:fill="auto"/>
            <w:noWrap/>
            <w:vAlign w:val="center"/>
            <w:hideMark/>
          </w:tcPr>
          <w:p w14:paraId="0C3F8154" w14:textId="77777777" w:rsidR="009D74F9" w:rsidRPr="004B2104" w:rsidRDefault="009D74F9" w:rsidP="00BD7FB0">
            <w:pPr>
              <w:spacing w:before="0" w:after="0"/>
              <w:jc w:val="center"/>
              <w:rPr>
                <w:rStyle w:val="BookTitle"/>
              </w:rPr>
            </w:pPr>
            <w:r w:rsidRPr="004B2104">
              <w:rPr>
                <w:rStyle w:val="BookTitle"/>
              </w:rPr>
              <w:t>24.00</w:t>
            </w:r>
          </w:p>
        </w:tc>
        <w:tc>
          <w:tcPr>
            <w:tcW w:w="675" w:type="pct"/>
            <w:tcBorders>
              <w:top w:val="nil"/>
              <w:left w:val="nil"/>
              <w:bottom w:val="nil"/>
              <w:right w:val="single" w:sz="4" w:space="0" w:color="auto"/>
            </w:tcBorders>
            <w:shd w:val="clear" w:color="auto" w:fill="auto"/>
            <w:noWrap/>
            <w:vAlign w:val="center"/>
            <w:hideMark/>
          </w:tcPr>
          <w:p w14:paraId="0C3F8155" w14:textId="77777777" w:rsidR="009D74F9" w:rsidRPr="004B2104" w:rsidRDefault="009D74F9" w:rsidP="00BD7FB0">
            <w:pPr>
              <w:spacing w:before="0" w:after="0"/>
              <w:jc w:val="center"/>
              <w:rPr>
                <w:rStyle w:val="BookTitle"/>
              </w:rPr>
            </w:pPr>
            <w:r w:rsidRPr="004B2104">
              <w:rPr>
                <w:rStyle w:val="BookTitle"/>
              </w:rPr>
              <w:t>57.00</w:t>
            </w:r>
          </w:p>
        </w:tc>
        <w:tc>
          <w:tcPr>
            <w:tcW w:w="796" w:type="pct"/>
            <w:tcBorders>
              <w:top w:val="nil"/>
              <w:left w:val="nil"/>
              <w:bottom w:val="nil"/>
              <w:right w:val="single" w:sz="4" w:space="0" w:color="auto"/>
            </w:tcBorders>
            <w:shd w:val="clear" w:color="auto" w:fill="auto"/>
            <w:noWrap/>
            <w:vAlign w:val="center"/>
            <w:hideMark/>
          </w:tcPr>
          <w:p w14:paraId="0C3F8156" w14:textId="77777777" w:rsidR="009D74F9" w:rsidRPr="004B2104" w:rsidRDefault="009D74F9" w:rsidP="00BD7FB0">
            <w:pPr>
              <w:spacing w:before="0" w:after="0"/>
              <w:jc w:val="center"/>
              <w:rPr>
                <w:rStyle w:val="BookTitle"/>
              </w:rPr>
            </w:pPr>
            <w:r w:rsidRPr="004B2104">
              <w:rPr>
                <w:rStyle w:val="BookTitle"/>
              </w:rPr>
              <w:t>12.00</w:t>
            </w:r>
          </w:p>
        </w:tc>
      </w:tr>
      <w:tr w:rsidR="009D74F9" w:rsidRPr="004B2104" w14:paraId="0C3F815E" w14:textId="77777777" w:rsidTr="009D74F9">
        <w:trPr>
          <w:trHeight w:val="20"/>
        </w:trPr>
        <w:tc>
          <w:tcPr>
            <w:tcW w:w="1484" w:type="pct"/>
            <w:vMerge/>
            <w:tcBorders>
              <w:top w:val="nil"/>
              <w:left w:val="nil"/>
              <w:bottom w:val="single" w:sz="4" w:space="0" w:color="000000"/>
              <w:right w:val="nil"/>
            </w:tcBorders>
            <w:vAlign w:val="center"/>
            <w:hideMark/>
          </w:tcPr>
          <w:p w14:paraId="0C3F8158"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59"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5A" w14:textId="77777777" w:rsidR="009D74F9" w:rsidRPr="004B2104" w:rsidRDefault="009D74F9" w:rsidP="00BD7FB0">
            <w:pPr>
              <w:spacing w:before="0" w:after="0"/>
              <w:jc w:val="center"/>
              <w:rPr>
                <w:rStyle w:val="BookTitle"/>
              </w:rPr>
            </w:pPr>
            <w:r w:rsidRPr="004B2104">
              <w:rPr>
                <w:rStyle w:val="BookTitle"/>
              </w:rPr>
              <w:t>7.84</w:t>
            </w:r>
          </w:p>
        </w:tc>
        <w:tc>
          <w:tcPr>
            <w:tcW w:w="637" w:type="pct"/>
            <w:tcBorders>
              <w:top w:val="nil"/>
              <w:left w:val="nil"/>
              <w:bottom w:val="nil"/>
              <w:right w:val="nil"/>
            </w:tcBorders>
            <w:shd w:val="clear" w:color="auto" w:fill="auto"/>
            <w:noWrap/>
            <w:vAlign w:val="center"/>
            <w:hideMark/>
          </w:tcPr>
          <w:p w14:paraId="0C3F815B" w14:textId="77777777" w:rsidR="009D74F9" w:rsidRPr="004B2104" w:rsidRDefault="009D74F9" w:rsidP="00BD7FB0">
            <w:pPr>
              <w:spacing w:before="0" w:after="0"/>
              <w:jc w:val="center"/>
              <w:rPr>
                <w:rStyle w:val="BookTitle"/>
              </w:rPr>
            </w:pPr>
            <w:r w:rsidRPr="004B2104">
              <w:rPr>
                <w:rStyle w:val="BookTitle"/>
              </w:rPr>
              <w:t>9.74</w:t>
            </w:r>
          </w:p>
        </w:tc>
        <w:tc>
          <w:tcPr>
            <w:tcW w:w="675" w:type="pct"/>
            <w:tcBorders>
              <w:top w:val="nil"/>
              <w:left w:val="nil"/>
              <w:bottom w:val="nil"/>
              <w:right w:val="single" w:sz="4" w:space="0" w:color="auto"/>
            </w:tcBorders>
            <w:shd w:val="clear" w:color="auto" w:fill="auto"/>
            <w:noWrap/>
            <w:vAlign w:val="center"/>
            <w:hideMark/>
          </w:tcPr>
          <w:p w14:paraId="0C3F815C" w14:textId="77777777" w:rsidR="009D74F9" w:rsidRPr="004B2104" w:rsidRDefault="009D74F9" w:rsidP="00BD7FB0">
            <w:pPr>
              <w:spacing w:before="0" w:after="0"/>
              <w:jc w:val="center"/>
              <w:rPr>
                <w:rStyle w:val="BookTitle"/>
              </w:rPr>
            </w:pPr>
            <w:r w:rsidRPr="004B2104">
              <w:rPr>
                <w:rStyle w:val="BookTitle"/>
              </w:rPr>
              <w:t>15.66</w:t>
            </w:r>
          </w:p>
        </w:tc>
        <w:tc>
          <w:tcPr>
            <w:tcW w:w="796" w:type="pct"/>
            <w:tcBorders>
              <w:top w:val="nil"/>
              <w:left w:val="nil"/>
              <w:bottom w:val="nil"/>
              <w:right w:val="single" w:sz="4" w:space="0" w:color="auto"/>
            </w:tcBorders>
            <w:shd w:val="clear" w:color="auto" w:fill="auto"/>
            <w:noWrap/>
            <w:vAlign w:val="center"/>
            <w:hideMark/>
          </w:tcPr>
          <w:p w14:paraId="0C3F815D" w14:textId="77777777" w:rsidR="009D74F9" w:rsidRPr="004B2104" w:rsidRDefault="009D74F9" w:rsidP="00BD7FB0">
            <w:pPr>
              <w:spacing w:before="0" w:after="0"/>
              <w:jc w:val="center"/>
              <w:rPr>
                <w:rStyle w:val="BookTitle"/>
              </w:rPr>
            </w:pPr>
            <w:r w:rsidRPr="004B2104">
              <w:rPr>
                <w:rStyle w:val="BookTitle"/>
              </w:rPr>
              <w:t>7.83</w:t>
            </w:r>
          </w:p>
        </w:tc>
      </w:tr>
      <w:tr w:rsidR="009D74F9" w:rsidRPr="004B2104" w14:paraId="0C3F8165" w14:textId="77777777" w:rsidTr="009D74F9">
        <w:trPr>
          <w:trHeight w:val="20"/>
        </w:trPr>
        <w:tc>
          <w:tcPr>
            <w:tcW w:w="1484" w:type="pct"/>
            <w:vMerge/>
            <w:tcBorders>
              <w:top w:val="nil"/>
              <w:left w:val="nil"/>
              <w:bottom w:val="single" w:sz="4" w:space="0" w:color="000000"/>
              <w:right w:val="nil"/>
            </w:tcBorders>
            <w:vAlign w:val="center"/>
            <w:hideMark/>
          </w:tcPr>
          <w:p w14:paraId="0C3F815F"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60"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61" w14:textId="77777777" w:rsidR="009D74F9" w:rsidRPr="004B2104" w:rsidRDefault="009D74F9" w:rsidP="00BD7FB0">
            <w:pPr>
              <w:spacing w:before="0" w:after="0"/>
              <w:jc w:val="center"/>
              <w:rPr>
                <w:rStyle w:val="BookTitle"/>
              </w:rPr>
            </w:pPr>
            <w:r w:rsidRPr="004B2104">
              <w:rPr>
                <w:rStyle w:val="BookTitle"/>
              </w:rPr>
              <w:t>3.78</w:t>
            </w:r>
          </w:p>
        </w:tc>
        <w:tc>
          <w:tcPr>
            <w:tcW w:w="637" w:type="pct"/>
            <w:tcBorders>
              <w:top w:val="nil"/>
              <w:left w:val="nil"/>
              <w:bottom w:val="nil"/>
              <w:right w:val="nil"/>
            </w:tcBorders>
            <w:shd w:val="clear" w:color="auto" w:fill="auto"/>
            <w:noWrap/>
            <w:vAlign w:val="center"/>
            <w:hideMark/>
          </w:tcPr>
          <w:p w14:paraId="0C3F8162" w14:textId="77777777" w:rsidR="009D74F9" w:rsidRPr="004B2104" w:rsidRDefault="009D74F9" w:rsidP="00BD7FB0">
            <w:pPr>
              <w:spacing w:before="0" w:after="0"/>
              <w:jc w:val="center"/>
              <w:rPr>
                <w:rStyle w:val="BookTitle"/>
              </w:rPr>
            </w:pPr>
            <w:r w:rsidRPr="004B2104">
              <w:rPr>
                <w:rStyle w:val="BookTitle"/>
              </w:rPr>
              <w:t>6.08</w:t>
            </w:r>
          </w:p>
        </w:tc>
        <w:tc>
          <w:tcPr>
            <w:tcW w:w="675" w:type="pct"/>
            <w:tcBorders>
              <w:top w:val="nil"/>
              <w:left w:val="nil"/>
              <w:bottom w:val="nil"/>
              <w:right w:val="single" w:sz="4" w:space="0" w:color="auto"/>
            </w:tcBorders>
            <w:shd w:val="clear" w:color="auto" w:fill="auto"/>
            <w:noWrap/>
            <w:vAlign w:val="center"/>
            <w:hideMark/>
          </w:tcPr>
          <w:p w14:paraId="0C3F8163" w14:textId="77777777" w:rsidR="009D74F9" w:rsidRPr="004B2104" w:rsidRDefault="009D74F9" w:rsidP="00BD7FB0">
            <w:pPr>
              <w:spacing w:before="0" w:after="0"/>
              <w:jc w:val="center"/>
              <w:rPr>
                <w:rStyle w:val="BookTitle"/>
              </w:rPr>
            </w:pPr>
            <w:r w:rsidRPr="004B2104">
              <w:rPr>
                <w:rStyle w:val="BookTitle"/>
              </w:rPr>
              <w:t>17.86</w:t>
            </w:r>
          </w:p>
        </w:tc>
        <w:tc>
          <w:tcPr>
            <w:tcW w:w="796" w:type="pct"/>
            <w:tcBorders>
              <w:top w:val="nil"/>
              <w:left w:val="nil"/>
              <w:bottom w:val="nil"/>
              <w:right w:val="single" w:sz="4" w:space="0" w:color="auto"/>
            </w:tcBorders>
            <w:shd w:val="clear" w:color="auto" w:fill="auto"/>
            <w:noWrap/>
            <w:vAlign w:val="center"/>
            <w:hideMark/>
          </w:tcPr>
          <w:p w14:paraId="0C3F8164" w14:textId="77777777" w:rsidR="009D74F9" w:rsidRPr="004B2104" w:rsidRDefault="009D74F9" w:rsidP="00BD7FB0">
            <w:pPr>
              <w:spacing w:before="0" w:after="0"/>
              <w:jc w:val="center"/>
              <w:rPr>
                <w:rStyle w:val="BookTitle"/>
              </w:rPr>
            </w:pPr>
            <w:r w:rsidRPr="004B2104">
              <w:rPr>
                <w:rStyle w:val="BookTitle"/>
              </w:rPr>
              <w:t>2.25</w:t>
            </w:r>
          </w:p>
        </w:tc>
      </w:tr>
      <w:tr w:rsidR="009D74F9" w:rsidRPr="004B2104" w14:paraId="0C3F816C" w14:textId="77777777" w:rsidTr="009D74F9">
        <w:trPr>
          <w:trHeight w:val="20"/>
        </w:trPr>
        <w:tc>
          <w:tcPr>
            <w:tcW w:w="1484" w:type="pct"/>
            <w:vMerge/>
            <w:tcBorders>
              <w:top w:val="nil"/>
              <w:left w:val="nil"/>
              <w:bottom w:val="single" w:sz="4" w:space="0" w:color="000000"/>
              <w:right w:val="nil"/>
            </w:tcBorders>
            <w:vAlign w:val="center"/>
            <w:hideMark/>
          </w:tcPr>
          <w:p w14:paraId="0C3F8166"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167"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68" w14:textId="77777777" w:rsidR="009D74F9" w:rsidRPr="004B2104" w:rsidRDefault="009D74F9" w:rsidP="00BD7FB0">
            <w:pPr>
              <w:spacing w:before="0" w:after="0"/>
              <w:jc w:val="center"/>
              <w:rPr>
                <w:rStyle w:val="BookTitle"/>
              </w:rPr>
            </w:pPr>
            <w:r w:rsidRPr="004B2104">
              <w:rPr>
                <w:rStyle w:val="BookTitle"/>
              </w:rPr>
              <w:t>31</w:t>
            </w:r>
          </w:p>
        </w:tc>
        <w:tc>
          <w:tcPr>
            <w:tcW w:w="637" w:type="pct"/>
            <w:tcBorders>
              <w:top w:val="nil"/>
              <w:left w:val="nil"/>
              <w:bottom w:val="single" w:sz="4" w:space="0" w:color="auto"/>
              <w:right w:val="nil"/>
            </w:tcBorders>
            <w:shd w:val="clear" w:color="auto" w:fill="auto"/>
            <w:noWrap/>
            <w:vAlign w:val="center"/>
            <w:hideMark/>
          </w:tcPr>
          <w:p w14:paraId="0C3F8169"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6A" w14:textId="77777777" w:rsidR="009D74F9" w:rsidRPr="004B2104" w:rsidRDefault="009D74F9" w:rsidP="00BD7FB0">
            <w:pPr>
              <w:spacing w:before="0" w:after="0"/>
              <w:jc w:val="center"/>
              <w:rPr>
                <w:rStyle w:val="BookTitle"/>
              </w:rPr>
            </w:pPr>
            <w:r w:rsidRPr="004B2104">
              <w:rPr>
                <w:rStyle w:val="BookTitle"/>
              </w:rPr>
              <w:t>9</w:t>
            </w:r>
          </w:p>
        </w:tc>
        <w:tc>
          <w:tcPr>
            <w:tcW w:w="796" w:type="pct"/>
            <w:tcBorders>
              <w:top w:val="nil"/>
              <w:left w:val="nil"/>
              <w:bottom w:val="single" w:sz="4" w:space="0" w:color="auto"/>
              <w:right w:val="single" w:sz="4" w:space="0" w:color="auto"/>
            </w:tcBorders>
            <w:shd w:val="clear" w:color="auto" w:fill="auto"/>
            <w:noWrap/>
            <w:vAlign w:val="center"/>
            <w:hideMark/>
          </w:tcPr>
          <w:p w14:paraId="0C3F816B"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173"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6D" w14:textId="77777777" w:rsidR="009D74F9" w:rsidRPr="004B2104" w:rsidRDefault="00E77510" w:rsidP="00E77510">
            <w:pPr>
              <w:spacing w:before="0" w:after="0"/>
              <w:jc w:val="center"/>
              <w:rPr>
                <w:rStyle w:val="BookTitle"/>
              </w:rPr>
            </w:pPr>
            <w:r>
              <w:rPr>
                <w:rStyle w:val="BookTitle"/>
              </w:rPr>
              <w:t>Chlorophyll</w:t>
            </w:r>
            <w:r w:rsidR="009D74F9" w:rsidRPr="004B2104">
              <w:rPr>
                <w:rStyle w:val="BookTitle"/>
              </w:rPr>
              <w:t>-a (</w:t>
            </w:r>
            <w:r w:rsidRPr="004B2104">
              <w:rPr>
                <w:rStyle w:val="BookTitle"/>
              </w:rPr>
              <w:t>µ</w:t>
            </w:r>
            <w:r>
              <w:rPr>
                <w:rStyle w:val="BookTitle"/>
              </w:rPr>
              <w:t>g</w:t>
            </w:r>
            <w:r w:rsidR="009D74F9" w:rsidRPr="004B2104">
              <w:rPr>
                <w:rStyle w:val="BookTitle"/>
              </w:rPr>
              <w:t>/L)</w:t>
            </w:r>
          </w:p>
        </w:tc>
        <w:tc>
          <w:tcPr>
            <w:tcW w:w="456" w:type="pct"/>
            <w:tcBorders>
              <w:top w:val="nil"/>
              <w:left w:val="nil"/>
              <w:bottom w:val="nil"/>
              <w:right w:val="nil"/>
            </w:tcBorders>
            <w:shd w:val="clear" w:color="auto" w:fill="auto"/>
            <w:noWrap/>
            <w:vAlign w:val="center"/>
            <w:hideMark/>
          </w:tcPr>
          <w:p w14:paraId="0C3F816E"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6F" w14:textId="77777777" w:rsidR="009D74F9" w:rsidRPr="004B2104" w:rsidRDefault="009D74F9" w:rsidP="00BD7FB0">
            <w:pPr>
              <w:spacing w:before="0" w:after="0"/>
              <w:jc w:val="center"/>
              <w:rPr>
                <w:rStyle w:val="BookTitle"/>
              </w:rPr>
            </w:pPr>
            <w:r w:rsidRPr="004B2104">
              <w:rPr>
                <w:rStyle w:val="BookTitle"/>
              </w:rPr>
              <w:t>0.23</w:t>
            </w:r>
          </w:p>
        </w:tc>
        <w:tc>
          <w:tcPr>
            <w:tcW w:w="637" w:type="pct"/>
            <w:tcBorders>
              <w:top w:val="nil"/>
              <w:left w:val="nil"/>
              <w:bottom w:val="nil"/>
              <w:right w:val="nil"/>
            </w:tcBorders>
            <w:shd w:val="clear" w:color="auto" w:fill="auto"/>
            <w:noWrap/>
            <w:vAlign w:val="center"/>
            <w:hideMark/>
          </w:tcPr>
          <w:p w14:paraId="0C3F8170" w14:textId="77777777" w:rsidR="009D74F9" w:rsidRPr="004B2104" w:rsidRDefault="009D74F9" w:rsidP="00BD7FB0">
            <w:pPr>
              <w:spacing w:before="0" w:after="0"/>
              <w:jc w:val="center"/>
              <w:rPr>
                <w:rStyle w:val="BookTitle"/>
              </w:rPr>
            </w:pPr>
            <w:r w:rsidRPr="004B2104">
              <w:rPr>
                <w:rStyle w:val="BookTitle"/>
              </w:rPr>
              <w:t>0.29</w:t>
            </w:r>
          </w:p>
        </w:tc>
        <w:tc>
          <w:tcPr>
            <w:tcW w:w="675" w:type="pct"/>
            <w:tcBorders>
              <w:top w:val="nil"/>
              <w:left w:val="nil"/>
              <w:bottom w:val="nil"/>
              <w:right w:val="single" w:sz="4" w:space="0" w:color="auto"/>
            </w:tcBorders>
            <w:shd w:val="clear" w:color="auto" w:fill="auto"/>
            <w:noWrap/>
            <w:vAlign w:val="center"/>
            <w:hideMark/>
          </w:tcPr>
          <w:p w14:paraId="0C3F8171" w14:textId="77777777" w:rsidR="009D74F9" w:rsidRPr="004B2104" w:rsidRDefault="009D74F9" w:rsidP="00BD7FB0">
            <w:pPr>
              <w:spacing w:before="0" w:after="0"/>
              <w:jc w:val="center"/>
              <w:rPr>
                <w:rStyle w:val="BookTitle"/>
              </w:rPr>
            </w:pPr>
            <w:r w:rsidRPr="004B2104">
              <w:rPr>
                <w:rStyle w:val="BookTitle"/>
              </w:rPr>
              <w:t>0.49</w:t>
            </w:r>
          </w:p>
        </w:tc>
        <w:tc>
          <w:tcPr>
            <w:tcW w:w="796" w:type="pct"/>
            <w:tcBorders>
              <w:top w:val="nil"/>
              <w:left w:val="nil"/>
              <w:bottom w:val="nil"/>
              <w:right w:val="single" w:sz="4" w:space="0" w:color="auto"/>
            </w:tcBorders>
            <w:shd w:val="clear" w:color="auto" w:fill="auto"/>
            <w:noWrap/>
            <w:vAlign w:val="center"/>
            <w:hideMark/>
          </w:tcPr>
          <w:p w14:paraId="0C3F8172" w14:textId="77777777" w:rsidR="009D74F9" w:rsidRPr="004B2104" w:rsidRDefault="009D74F9" w:rsidP="00BD7FB0">
            <w:pPr>
              <w:spacing w:before="0" w:after="0"/>
              <w:jc w:val="center"/>
              <w:rPr>
                <w:rStyle w:val="BookTitle"/>
              </w:rPr>
            </w:pPr>
            <w:r w:rsidRPr="004B2104">
              <w:rPr>
                <w:rStyle w:val="BookTitle"/>
              </w:rPr>
              <w:t>0.20</w:t>
            </w:r>
          </w:p>
        </w:tc>
      </w:tr>
      <w:tr w:rsidR="009D74F9" w:rsidRPr="004B2104" w14:paraId="0C3F817A" w14:textId="77777777" w:rsidTr="009D74F9">
        <w:trPr>
          <w:trHeight w:val="20"/>
        </w:trPr>
        <w:tc>
          <w:tcPr>
            <w:tcW w:w="1484" w:type="pct"/>
            <w:vMerge/>
            <w:tcBorders>
              <w:top w:val="nil"/>
              <w:left w:val="nil"/>
              <w:bottom w:val="single" w:sz="4" w:space="0" w:color="000000"/>
              <w:right w:val="nil"/>
            </w:tcBorders>
            <w:vAlign w:val="center"/>
            <w:hideMark/>
          </w:tcPr>
          <w:p w14:paraId="0C3F8174"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75"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76" w14:textId="77777777" w:rsidR="009D74F9" w:rsidRPr="004B2104" w:rsidRDefault="009D74F9" w:rsidP="00BD7FB0">
            <w:pPr>
              <w:spacing w:before="0" w:after="0"/>
              <w:jc w:val="center"/>
              <w:rPr>
                <w:rStyle w:val="BookTitle"/>
              </w:rPr>
            </w:pPr>
            <w:r w:rsidRPr="004B2104">
              <w:rPr>
                <w:rStyle w:val="BookTitle"/>
              </w:rPr>
              <w:t>9.74</w:t>
            </w:r>
          </w:p>
        </w:tc>
        <w:tc>
          <w:tcPr>
            <w:tcW w:w="637" w:type="pct"/>
            <w:tcBorders>
              <w:top w:val="nil"/>
              <w:left w:val="nil"/>
              <w:bottom w:val="nil"/>
              <w:right w:val="nil"/>
            </w:tcBorders>
            <w:shd w:val="clear" w:color="auto" w:fill="auto"/>
            <w:noWrap/>
            <w:vAlign w:val="center"/>
            <w:hideMark/>
          </w:tcPr>
          <w:p w14:paraId="0C3F8177" w14:textId="77777777" w:rsidR="009D74F9" w:rsidRPr="004B2104" w:rsidRDefault="009D74F9" w:rsidP="00BD7FB0">
            <w:pPr>
              <w:spacing w:before="0" w:after="0"/>
              <w:jc w:val="center"/>
              <w:rPr>
                <w:rStyle w:val="BookTitle"/>
              </w:rPr>
            </w:pPr>
            <w:r w:rsidRPr="004B2104">
              <w:rPr>
                <w:rStyle w:val="BookTitle"/>
              </w:rPr>
              <w:t>2.90</w:t>
            </w:r>
          </w:p>
        </w:tc>
        <w:tc>
          <w:tcPr>
            <w:tcW w:w="675" w:type="pct"/>
            <w:tcBorders>
              <w:top w:val="nil"/>
              <w:left w:val="nil"/>
              <w:bottom w:val="nil"/>
              <w:right w:val="single" w:sz="4" w:space="0" w:color="auto"/>
            </w:tcBorders>
            <w:shd w:val="clear" w:color="auto" w:fill="auto"/>
            <w:noWrap/>
            <w:vAlign w:val="center"/>
            <w:hideMark/>
          </w:tcPr>
          <w:p w14:paraId="0C3F8178" w14:textId="77777777" w:rsidR="009D74F9" w:rsidRPr="004B2104" w:rsidRDefault="009D74F9" w:rsidP="00BD7FB0">
            <w:pPr>
              <w:spacing w:before="0" w:after="0"/>
              <w:jc w:val="center"/>
              <w:rPr>
                <w:rStyle w:val="BookTitle"/>
              </w:rPr>
            </w:pPr>
            <w:r w:rsidRPr="004B2104">
              <w:rPr>
                <w:rStyle w:val="BookTitle"/>
              </w:rPr>
              <w:t>3.00</w:t>
            </w:r>
          </w:p>
        </w:tc>
        <w:tc>
          <w:tcPr>
            <w:tcW w:w="796" w:type="pct"/>
            <w:tcBorders>
              <w:top w:val="nil"/>
              <w:left w:val="nil"/>
              <w:bottom w:val="nil"/>
              <w:right w:val="single" w:sz="4" w:space="0" w:color="auto"/>
            </w:tcBorders>
            <w:shd w:val="clear" w:color="auto" w:fill="auto"/>
            <w:noWrap/>
            <w:vAlign w:val="center"/>
            <w:hideMark/>
          </w:tcPr>
          <w:p w14:paraId="0C3F8179" w14:textId="77777777" w:rsidR="009D74F9" w:rsidRPr="004B2104" w:rsidRDefault="009D74F9" w:rsidP="00BD7FB0">
            <w:pPr>
              <w:spacing w:before="0" w:after="0"/>
              <w:jc w:val="center"/>
              <w:rPr>
                <w:rStyle w:val="BookTitle"/>
              </w:rPr>
            </w:pPr>
            <w:r w:rsidRPr="004B2104">
              <w:rPr>
                <w:rStyle w:val="BookTitle"/>
              </w:rPr>
              <w:t>1.08</w:t>
            </w:r>
          </w:p>
        </w:tc>
      </w:tr>
      <w:tr w:rsidR="009D74F9" w:rsidRPr="004B2104" w14:paraId="0C3F8181" w14:textId="77777777" w:rsidTr="009D74F9">
        <w:trPr>
          <w:trHeight w:val="20"/>
        </w:trPr>
        <w:tc>
          <w:tcPr>
            <w:tcW w:w="1484" w:type="pct"/>
            <w:vMerge/>
            <w:tcBorders>
              <w:top w:val="nil"/>
              <w:left w:val="nil"/>
              <w:bottom w:val="single" w:sz="4" w:space="0" w:color="000000"/>
              <w:right w:val="nil"/>
            </w:tcBorders>
            <w:vAlign w:val="center"/>
            <w:hideMark/>
          </w:tcPr>
          <w:p w14:paraId="0C3F817B"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7C"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7D" w14:textId="77777777" w:rsidR="009D74F9" w:rsidRPr="004B2104" w:rsidRDefault="009D74F9" w:rsidP="00BD7FB0">
            <w:pPr>
              <w:spacing w:before="0" w:after="0"/>
              <w:jc w:val="center"/>
              <w:rPr>
                <w:rStyle w:val="BookTitle"/>
              </w:rPr>
            </w:pPr>
            <w:r w:rsidRPr="004B2104">
              <w:rPr>
                <w:rStyle w:val="BookTitle"/>
              </w:rPr>
              <w:t>1.28</w:t>
            </w:r>
          </w:p>
        </w:tc>
        <w:tc>
          <w:tcPr>
            <w:tcW w:w="637" w:type="pct"/>
            <w:tcBorders>
              <w:top w:val="nil"/>
              <w:left w:val="nil"/>
              <w:bottom w:val="nil"/>
              <w:right w:val="nil"/>
            </w:tcBorders>
            <w:shd w:val="clear" w:color="auto" w:fill="auto"/>
            <w:noWrap/>
            <w:vAlign w:val="center"/>
            <w:hideMark/>
          </w:tcPr>
          <w:p w14:paraId="0C3F817E" w14:textId="77777777" w:rsidR="009D74F9" w:rsidRPr="004B2104" w:rsidRDefault="009D74F9" w:rsidP="00BD7FB0">
            <w:pPr>
              <w:spacing w:before="0" w:after="0"/>
              <w:jc w:val="center"/>
              <w:rPr>
                <w:rStyle w:val="BookTitle"/>
              </w:rPr>
            </w:pPr>
            <w:r w:rsidRPr="004B2104">
              <w:rPr>
                <w:rStyle w:val="BookTitle"/>
              </w:rPr>
              <w:t>0.97</w:t>
            </w:r>
          </w:p>
        </w:tc>
        <w:tc>
          <w:tcPr>
            <w:tcW w:w="675" w:type="pct"/>
            <w:tcBorders>
              <w:top w:val="nil"/>
              <w:left w:val="nil"/>
              <w:bottom w:val="nil"/>
              <w:right w:val="single" w:sz="4" w:space="0" w:color="auto"/>
            </w:tcBorders>
            <w:shd w:val="clear" w:color="auto" w:fill="auto"/>
            <w:noWrap/>
            <w:vAlign w:val="center"/>
            <w:hideMark/>
          </w:tcPr>
          <w:p w14:paraId="0C3F817F" w14:textId="77777777" w:rsidR="009D74F9" w:rsidRPr="004B2104" w:rsidRDefault="009D74F9" w:rsidP="00BD7FB0">
            <w:pPr>
              <w:spacing w:before="0" w:after="0"/>
              <w:jc w:val="center"/>
              <w:rPr>
                <w:rStyle w:val="BookTitle"/>
              </w:rPr>
            </w:pPr>
            <w:r w:rsidRPr="004B2104">
              <w:rPr>
                <w:rStyle w:val="BookTitle"/>
              </w:rPr>
              <w:t>1.62</w:t>
            </w:r>
          </w:p>
        </w:tc>
        <w:tc>
          <w:tcPr>
            <w:tcW w:w="796" w:type="pct"/>
            <w:tcBorders>
              <w:top w:val="nil"/>
              <w:left w:val="nil"/>
              <w:bottom w:val="nil"/>
              <w:right w:val="single" w:sz="4" w:space="0" w:color="auto"/>
            </w:tcBorders>
            <w:shd w:val="clear" w:color="auto" w:fill="auto"/>
            <w:noWrap/>
            <w:vAlign w:val="center"/>
            <w:hideMark/>
          </w:tcPr>
          <w:p w14:paraId="0C3F8180" w14:textId="77777777" w:rsidR="009D74F9" w:rsidRPr="004B2104" w:rsidRDefault="009D74F9" w:rsidP="00BD7FB0">
            <w:pPr>
              <w:spacing w:before="0" w:after="0"/>
              <w:jc w:val="center"/>
              <w:rPr>
                <w:rStyle w:val="BookTitle"/>
              </w:rPr>
            </w:pPr>
            <w:r w:rsidRPr="004B2104">
              <w:rPr>
                <w:rStyle w:val="BookTitle"/>
              </w:rPr>
              <w:t>0.65</w:t>
            </w:r>
          </w:p>
        </w:tc>
      </w:tr>
      <w:tr w:rsidR="009D74F9" w:rsidRPr="004B2104" w14:paraId="0C3F8188" w14:textId="77777777" w:rsidTr="009D74F9">
        <w:trPr>
          <w:trHeight w:val="20"/>
        </w:trPr>
        <w:tc>
          <w:tcPr>
            <w:tcW w:w="1484" w:type="pct"/>
            <w:vMerge/>
            <w:tcBorders>
              <w:top w:val="nil"/>
              <w:left w:val="nil"/>
              <w:bottom w:val="single" w:sz="4" w:space="0" w:color="000000"/>
              <w:right w:val="nil"/>
            </w:tcBorders>
            <w:vAlign w:val="center"/>
            <w:hideMark/>
          </w:tcPr>
          <w:p w14:paraId="0C3F8182"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83"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84" w14:textId="77777777" w:rsidR="009D74F9" w:rsidRPr="004B2104" w:rsidRDefault="009D74F9" w:rsidP="00BD7FB0">
            <w:pPr>
              <w:spacing w:before="0" w:after="0"/>
              <w:jc w:val="center"/>
              <w:rPr>
                <w:rStyle w:val="BookTitle"/>
              </w:rPr>
            </w:pPr>
            <w:r w:rsidRPr="004B2104">
              <w:rPr>
                <w:rStyle w:val="BookTitle"/>
              </w:rPr>
              <w:t>1.46</w:t>
            </w:r>
          </w:p>
        </w:tc>
        <w:tc>
          <w:tcPr>
            <w:tcW w:w="637" w:type="pct"/>
            <w:tcBorders>
              <w:top w:val="nil"/>
              <w:left w:val="nil"/>
              <w:bottom w:val="nil"/>
              <w:right w:val="nil"/>
            </w:tcBorders>
            <w:shd w:val="clear" w:color="auto" w:fill="auto"/>
            <w:noWrap/>
            <w:vAlign w:val="center"/>
            <w:hideMark/>
          </w:tcPr>
          <w:p w14:paraId="0C3F8185" w14:textId="77777777" w:rsidR="009D74F9" w:rsidRPr="004B2104" w:rsidRDefault="009D74F9" w:rsidP="00BD7FB0">
            <w:pPr>
              <w:spacing w:before="0" w:after="0"/>
              <w:jc w:val="center"/>
              <w:rPr>
                <w:rStyle w:val="BookTitle"/>
              </w:rPr>
            </w:pPr>
            <w:r w:rsidRPr="004B2104">
              <w:rPr>
                <w:rStyle w:val="BookTitle"/>
              </w:rPr>
              <w:t>0.77</w:t>
            </w:r>
          </w:p>
        </w:tc>
        <w:tc>
          <w:tcPr>
            <w:tcW w:w="675" w:type="pct"/>
            <w:tcBorders>
              <w:top w:val="nil"/>
              <w:left w:val="nil"/>
              <w:bottom w:val="nil"/>
              <w:right w:val="single" w:sz="4" w:space="0" w:color="auto"/>
            </w:tcBorders>
            <w:shd w:val="clear" w:color="auto" w:fill="auto"/>
            <w:noWrap/>
            <w:vAlign w:val="center"/>
            <w:hideMark/>
          </w:tcPr>
          <w:p w14:paraId="0C3F8186" w14:textId="77777777" w:rsidR="009D74F9" w:rsidRPr="004B2104" w:rsidRDefault="009D74F9" w:rsidP="00BD7FB0">
            <w:pPr>
              <w:spacing w:before="0" w:after="0"/>
              <w:jc w:val="center"/>
              <w:rPr>
                <w:rStyle w:val="BookTitle"/>
              </w:rPr>
            </w:pPr>
            <w:r w:rsidRPr="004B2104">
              <w:rPr>
                <w:rStyle w:val="BookTitle"/>
              </w:rPr>
              <w:t>0.86</w:t>
            </w:r>
          </w:p>
        </w:tc>
        <w:tc>
          <w:tcPr>
            <w:tcW w:w="796" w:type="pct"/>
            <w:tcBorders>
              <w:top w:val="nil"/>
              <w:left w:val="nil"/>
              <w:bottom w:val="nil"/>
              <w:right w:val="single" w:sz="4" w:space="0" w:color="auto"/>
            </w:tcBorders>
            <w:shd w:val="clear" w:color="auto" w:fill="auto"/>
            <w:noWrap/>
            <w:vAlign w:val="center"/>
            <w:hideMark/>
          </w:tcPr>
          <w:p w14:paraId="0C3F8187" w14:textId="77777777" w:rsidR="009D74F9" w:rsidRPr="004B2104" w:rsidRDefault="009D74F9" w:rsidP="00BD7FB0">
            <w:pPr>
              <w:spacing w:before="0" w:after="0"/>
              <w:jc w:val="center"/>
              <w:rPr>
                <w:rStyle w:val="BookTitle"/>
              </w:rPr>
            </w:pPr>
            <w:r w:rsidRPr="004B2104">
              <w:rPr>
                <w:rStyle w:val="BookTitle"/>
              </w:rPr>
              <w:t>0.28</w:t>
            </w:r>
          </w:p>
        </w:tc>
      </w:tr>
      <w:tr w:rsidR="009D74F9" w:rsidRPr="004B2104" w14:paraId="0C3F818F" w14:textId="77777777" w:rsidTr="009D74F9">
        <w:trPr>
          <w:trHeight w:val="20"/>
        </w:trPr>
        <w:tc>
          <w:tcPr>
            <w:tcW w:w="1484" w:type="pct"/>
            <w:vMerge/>
            <w:tcBorders>
              <w:top w:val="nil"/>
              <w:left w:val="nil"/>
              <w:bottom w:val="single" w:sz="4" w:space="0" w:color="000000"/>
              <w:right w:val="nil"/>
            </w:tcBorders>
            <w:vAlign w:val="center"/>
            <w:hideMark/>
          </w:tcPr>
          <w:p w14:paraId="0C3F8189"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18A"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8B" w14:textId="77777777" w:rsidR="009D74F9" w:rsidRPr="004B2104" w:rsidRDefault="009D74F9" w:rsidP="00BD7FB0">
            <w:pPr>
              <w:spacing w:before="0" w:after="0"/>
              <w:jc w:val="center"/>
              <w:rPr>
                <w:rStyle w:val="BookTitle"/>
              </w:rPr>
            </w:pPr>
            <w:r w:rsidRPr="004B2104">
              <w:rPr>
                <w:rStyle w:val="BookTitle"/>
              </w:rPr>
              <w:t>44</w:t>
            </w:r>
          </w:p>
        </w:tc>
        <w:tc>
          <w:tcPr>
            <w:tcW w:w="637" w:type="pct"/>
            <w:tcBorders>
              <w:top w:val="nil"/>
              <w:left w:val="nil"/>
              <w:bottom w:val="single" w:sz="4" w:space="0" w:color="auto"/>
              <w:right w:val="nil"/>
            </w:tcBorders>
            <w:shd w:val="clear" w:color="auto" w:fill="auto"/>
            <w:noWrap/>
            <w:vAlign w:val="center"/>
            <w:hideMark/>
          </w:tcPr>
          <w:p w14:paraId="0C3F818C"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8D"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18E"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196"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90" w14:textId="77777777" w:rsidR="009D74F9" w:rsidRPr="004B2104" w:rsidRDefault="009D74F9" w:rsidP="00BD7FB0">
            <w:pPr>
              <w:spacing w:before="0" w:after="0"/>
              <w:jc w:val="center"/>
              <w:rPr>
                <w:rStyle w:val="BookTitle"/>
              </w:rPr>
            </w:pPr>
            <w:r w:rsidRPr="004B2104">
              <w:rPr>
                <w:rStyle w:val="BookTitle"/>
              </w:rPr>
              <w:t>Total Nitrogen (µM)</w:t>
            </w:r>
          </w:p>
        </w:tc>
        <w:tc>
          <w:tcPr>
            <w:tcW w:w="456" w:type="pct"/>
            <w:tcBorders>
              <w:top w:val="nil"/>
              <w:left w:val="nil"/>
              <w:bottom w:val="nil"/>
              <w:right w:val="nil"/>
            </w:tcBorders>
            <w:shd w:val="clear" w:color="auto" w:fill="auto"/>
            <w:noWrap/>
            <w:vAlign w:val="center"/>
            <w:hideMark/>
          </w:tcPr>
          <w:p w14:paraId="0C3F8191"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92" w14:textId="77777777" w:rsidR="009D74F9" w:rsidRPr="004B2104" w:rsidRDefault="009D74F9" w:rsidP="00BD7FB0">
            <w:pPr>
              <w:spacing w:before="0" w:after="0"/>
              <w:jc w:val="center"/>
              <w:rPr>
                <w:rStyle w:val="BookTitle"/>
              </w:rPr>
            </w:pPr>
            <w:r w:rsidRPr="004B2104">
              <w:rPr>
                <w:rStyle w:val="BookTitle"/>
              </w:rPr>
              <w:t>5.50</w:t>
            </w:r>
          </w:p>
        </w:tc>
        <w:tc>
          <w:tcPr>
            <w:tcW w:w="637" w:type="pct"/>
            <w:tcBorders>
              <w:top w:val="nil"/>
              <w:left w:val="nil"/>
              <w:bottom w:val="nil"/>
              <w:right w:val="nil"/>
            </w:tcBorders>
            <w:shd w:val="clear" w:color="auto" w:fill="auto"/>
            <w:noWrap/>
            <w:vAlign w:val="center"/>
            <w:hideMark/>
          </w:tcPr>
          <w:p w14:paraId="0C3F8193" w14:textId="77777777" w:rsidR="009D74F9" w:rsidRPr="004B2104" w:rsidRDefault="009D74F9" w:rsidP="00BD7FB0">
            <w:pPr>
              <w:spacing w:before="0" w:after="0"/>
              <w:jc w:val="center"/>
              <w:rPr>
                <w:rStyle w:val="BookTitle"/>
              </w:rPr>
            </w:pPr>
            <w:r w:rsidRPr="004B2104">
              <w:rPr>
                <w:rStyle w:val="BookTitle"/>
              </w:rPr>
              <w:t>5.71</w:t>
            </w:r>
          </w:p>
        </w:tc>
        <w:tc>
          <w:tcPr>
            <w:tcW w:w="675" w:type="pct"/>
            <w:tcBorders>
              <w:top w:val="nil"/>
              <w:left w:val="nil"/>
              <w:bottom w:val="nil"/>
              <w:right w:val="single" w:sz="4" w:space="0" w:color="auto"/>
            </w:tcBorders>
            <w:shd w:val="clear" w:color="auto" w:fill="auto"/>
            <w:noWrap/>
            <w:vAlign w:val="center"/>
            <w:hideMark/>
          </w:tcPr>
          <w:p w14:paraId="0C3F8194" w14:textId="77777777" w:rsidR="009D74F9" w:rsidRPr="004B2104" w:rsidRDefault="009D74F9" w:rsidP="00BD7FB0">
            <w:pPr>
              <w:spacing w:before="0" w:after="0"/>
              <w:jc w:val="center"/>
              <w:rPr>
                <w:rStyle w:val="BookTitle"/>
              </w:rPr>
            </w:pPr>
            <w:r w:rsidRPr="004B2104">
              <w:rPr>
                <w:rStyle w:val="BookTitle"/>
              </w:rPr>
              <w:t>6.43</w:t>
            </w:r>
          </w:p>
        </w:tc>
        <w:tc>
          <w:tcPr>
            <w:tcW w:w="796" w:type="pct"/>
            <w:tcBorders>
              <w:top w:val="nil"/>
              <w:left w:val="nil"/>
              <w:bottom w:val="nil"/>
              <w:right w:val="single" w:sz="4" w:space="0" w:color="auto"/>
            </w:tcBorders>
            <w:shd w:val="clear" w:color="auto" w:fill="auto"/>
            <w:noWrap/>
            <w:vAlign w:val="center"/>
            <w:hideMark/>
          </w:tcPr>
          <w:p w14:paraId="0C3F8195" w14:textId="77777777" w:rsidR="009D74F9" w:rsidRPr="004B2104" w:rsidRDefault="009D74F9" w:rsidP="00BD7FB0">
            <w:pPr>
              <w:spacing w:before="0" w:after="0"/>
              <w:jc w:val="center"/>
              <w:rPr>
                <w:rStyle w:val="BookTitle"/>
              </w:rPr>
            </w:pPr>
            <w:r w:rsidRPr="004B2104">
              <w:rPr>
                <w:rStyle w:val="BookTitle"/>
              </w:rPr>
              <w:t>8.21</w:t>
            </w:r>
          </w:p>
        </w:tc>
      </w:tr>
      <w:tr w:rsidR="009D74F9" w:rsidRPr="004B2104" w14:paraId="0C3F819D" w14:textId="77777777" w:rsidTr="009D74F9">
        <w:trPr>
          <w:trHeight w:val="20"/>
        </w:trPr>
        <w:tc>
          <w:tcPr>
            <w:tcW w:w="1484" w:type="pct"/>
            <w:vMerge/>
            <w:tcBorders>
              <w:top w:val="nil"/>
              <w:left w:val="nil"/>
              <w:bottom w:val="single" w:sz="4" w:space="0" w:color="000000"/>
              <w:right w:val="nil"/>
            </w:tcBorders>
            <w:vAlign w:val="center"/>
            <w:hideMark/>
          </w:tcPr>
          <w:p w14:paraId="0C3F8197"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98"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99" w14:textId="77777777" w:rsidR="009D74F9" w:rsidRPr="004B2104" w:rsidRDefault="009D74F9" w:rsidP="00BD7FB0">
            <w:pPr>
              <w:spacing w:before="0" w:after="0"/>
              <w:jc w:val="center"/>
              <w:rPr>
                <w:rStyle w:val="BookTitle"/>
              </w:rPr>
            </w:pPr>
            <w:r w:rsidRPr="004B2104">
              <w:rPr>
                <w:rStyle w:val="BookTitle"/>
              </w:rPr>
              <w:t>24.77</w:t>
            </w:r>
          </w:p>
        </w:tc>
        <w:tc>
          <w:tcPr>
            <w:tcW w:w="637" w:type="pct"/>
            <w:tcBorders>
              <w:top w:val="nil"/>
              <w:left w:val="nil"/>
              <w:bottom w:val="nil"/>
              <w:right w:val="nil"/>
            </w:tcBorders>
            <w:shd w:val="clear" w:color="auto" w:fill="auto"/>
            <w:noWrap/>
            <w:vAlign w:val="center"/>
            <w:hideMark/>
          </w:tcPr>
          <w:p w14:paraId="0C3F819A" w14:textId="77777777" w:rsidR="009D74F9" w:rsidRPr="004B2104" w:rsidRDefault="009D74F9" w:rsidP="00BD7FB0">
            <w:pPr>
              <w:spacing w:before="0" w:after="0"/>
              <w:jc w:val="center"/>
              <w:rPr>
                <w:rStyle w:val="BookTitle"/>
              </w:rPr>
            </w:pPr>
            <w:r w:rsidRPr="004B2104">
              <w:rPr>
                <w:rStyle w:val="BookTitle"/>
              </w:rPr>
              <w:t>11.99</w:t>
            </w:r>
          </w:p>
        </w:tc>
        <w:tc>
          <w:tcPr>
            <w:tcW w:w="675" w:type="pct"/>
            <w:tcBorders>
              <w:top w:val="nil"/>
              <w:left w:val="nil"/>
              <w:bottom w:val="nil"/>
              <w:right w:val="single" w:sz="4" w:space="0" w:color="auto"/>
            </w:tcBorders>
            <w:shd w:val="clear" w:color="auto" w:fill="auto"/>
            <w:noWrap/>
            <w:vAlign w:val="center"/>
            <w:hideMark/>
          </w:tcPr>
          <w:p w14:paraId="0C3F819B" w14:textId="77777777" w:rsidR="009D74F9" w:rsidRPr="004B2104" w:rsidRDefault="009D74F9" w:rsidP="00BD7FB0">
            <w:pPr>
              <w:spacing w:before="0" w:after="0"/>
              <w:jc w:val="center"/>
              <w:rPr>
                <w:rStyle w:val="BookTitle"/>
              </w:rPr>
            </w:pPr>
            <w:r w:rsidRPr="004B2104">
              <w:rPr>
                <w:rStyle w:val="BookTitle"/>
              </w:rPr>
              <w:t>20.56</w:t>
            </w:r>
          </w:p>
        </w:tc>
        <w:tc>
          <w:tcPr>
            <w:tcW w:w="796" w:type="pct"/>
            <w:tcBorders>
              <w:top w:val="nil"/>
              <w:left w:val="nil"/>
              <w:bottom w:val="nil"/>
              <w:right w:val="single" w:sz="4" w:space="0" w:color="auto"/>
            </w:tcBorders>
            <w:shd w:val="clear" w:color="auto" w:fill="auto"/>
            <w:noWrap/>
            <w:vAlign w:val="center"/>
            <w:hideMark/>
          </w:tcPr>
          <w:p w14:paraId="0C3F819C" w14:textId="77777777" w:rsidR="009D74F9" w:rsidRPr="004B2104" w:rsidRDefault="009D74F9" w:rsidP="00BD7FB0">
            <w:pPr>
              <w:spacing w:before="0" w:after="0"/>
              <w:jc w:val="center"/>
              <w:rPr>
                <w:rStyle w:val="BookTitle"/>
              </w:rPr>
            </w:pPr>
            <w:r w:rsidRPr="004B2104">
              <w:rPr>
                <w:rStyle w:val="BookTitle"/>
              </w:rPr>
              <w:t>16.78</w:t>
            </w:r>
          </w:p>
        </w:tc>
      </w:tr>
      <w:tr w:rsidR="009D74F9" w:rsidRPr="004B2104" w14:paraId="0C3F81A4" w14:textId="77777777" w:rsidTr="009D74F9">
        <w:trPr>
          <w:trHeight w:val="20"/>
        </w:trPr>
        <w:tc>
          <w:tcPr>
            <w:tcW w:w="1484" w:type="pct"/>
            <w:vMerge/>
            <w:tcBorders>
              <w:top w:val="nil"/>
              <w:left w:val="nil"/>
              <w:bottom w:val="single" w:sz="4" w:space="0" w:color="000000"/>
              <w:right w:val="nil"/>
            </w:tcBorders>
            <w:vAlign w:val="center"/>
            <w:hideMark/>
          </w:tcPr>
          <w:p w14:paraId="0C3F819E"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9F"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A0" w14:textId="77777777" w:rsidR="009D74F9" w:rsidRPr="004B2104" w:rsidRDefault="009D74F9" w:rsidP="00BD7FB0">
            <w:pPr>
              <w:spacing w:before="0" w:after="0"/>
              <w:jc w:val="center"/>
              <w:rPr>
                <w:rStyle w:val="BookTitle"/>
              </w:rPr>
            </w:pPr>
            <w:r w:rsidRPr="004B2104">
              <w:rPr>
                <w:rStyle w:val="BookTitle"/>
              </w:rPr>
              <w:t>13.01</w:t>
            </w:r>
          </w:p>
        </w:tc>
        <w:tc>
          <w:tcPr>
            <w:tcW w:w="637" w:type="pct"/>
            <w:tcBorders>
              <w:top w:val="nil"/>
              <w:left w:val="nil"/>
              <w:bottom w:val="nil"/>
              <w:right w:val="nil"/>
            </w:tcBorders>
            <w:shd w:val="clear" w:color="auto" w:fill="auto"/>
            <w:noWrap/>
            <w:vAlign w:val="center"/>
            <w:hideMark/>
          </w:tcPr>
          <w:p w14:paraId="0C3F81A1" w14:textId="77777777" w:rsidR="009D74F9" w:rsidRPr="004B2104" w:rsidRDefault="009D74F9" w:rsidP="00BD7FB0">
            <w:pPr>
              <w:spacing w:before="0" w:after="0"/>
              <w:jc w:val="center"/>
              <w:rPr>
                <w:rStyle w:val="BookTitle"/>
              </w:rPr>
            </w:pPr>
            <w:r w:rsidRPr="004B2104">
              <w:rPr>
                <w:rStyle w:val="BookTitle"/>
              </w:rPr>
              <w:t>9.83</w:t>
            </w:r>
          </w:p>
        </w:tc>
        <w:tc>
          <w:tcPr>
            <w:tcW w:w="675" w:type="pct"/>
            <w:tcBorders>
              <w:top w:val="nil"/>
              <w:left w:val="nil"/>
              <w:bottom w:val="nil"/>
              <w:right w:val="single" w:sz="4" w:space="0" w:color="auto"/>
            </w:tcBorders>
            <w:shd w:val="clear" w:color="auto" w:fill="auto"/>
            <w:noWrap/>
            <w:vAlign w:val="center"/>
            <w:hideMark/>
          </w:tcPr>
          <w:p w14:paraId="0C3F81A2" w14:textId="77777777" w:rsidR="009D74F9" w:rsidRPr="004B2104" w:rsidRDefault="009D74F9" w:rsidP="00BD7FB0">
            <w:pPr>
              <w:spacing w:before="0" w:after="0"/>
              <w:jc w:val="center"/>
              <w:rPr>
                <w:rStyle w:val="BookTitle"/>
              </w:rPr>
            </w:pPr>
            <w:r w:rsidRPr="004B2104">
              <w:rPr>
                <w:rStyle w:val="BookTitle"/>
              </w:rPr>
              <w:t>12.02</w:t>
            </w:r>
          </w:p>
        </w:tc>
        <w:tc>
          <w:tcPr>
            <w:tcW w:w="796" w:type="pct"/>
            <w:tcBorders>
              <w:top w:val="nil"/>
              <w:left w:val="nil"/>
              <w:bottom w:val="nil"/>
              <w:right w:val="single" w:sz="4" w:space="0" w:color="auto"/>
            </w:tcBorders>
            <w:shd w:val="clear" w:color="auto" w:fill="auto"/>
            <w:noWrap/>
            <w:vAlign w:val="center"/>
            <w:hideMark/>
          </w:tcPr>
          <w:p w14:paraId="0C3F81A3" w14:textId="77777777" w:rsidR="009D74F9" w:rsidRPr="004B2104" w:rsidRDefault="009D74F9" w:rsidP="00BD7FB0">
            <w:pPr>
              <w:spacing w:before="0" w:after="0"/>
              <w:jc w:val="center"/>
              <w:rPr>
                <w:rStyle w:val="BookTitle"/>
              </w:rPr>
            </w:pPr>
            <w:r w:rsidRPr="004B2104">
              <w:rPr>
                <w:rStyle w:val="BookTitle"/>
              </w:rPr>
              <w:t>10.74</w:t>
            </w:r>
          </w:p>
        </w:tc>
      </w:tr>
      <w:tr w:rsidR="009D74F9" w:rsidRPr="004B2104" w14:paraId="0C3F81AB" w14:textId="77777777" w:rsidTr="009D74F9">
        <w:trPr>
          <w:trHeight w:val="20"/>
        </w:trPr>
        <w:tc>
          <w:tcPr>
            <w:tcW w:w="1484" w:type="pct"/>
            <w:vMerge/>
            <w:tcBorders>
              <w:top w:val="nil"/>
              <w:left w:val="nil"/>
              <w:bottom w:val="single" w:sz="4" w:space="0" w:color="000000"/>
              <w:right w:val="nil"/>
            </w:tcBorders>
            <w:vAlign w:val="center"/>
            <w:hideMark/>
          </w:tcPr>
          <w:p w14:paraId="0C3F81A5"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A6"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A7" w14:textId="77777777" w:rsidR="009D74F9" w:rsidRPr="004B2104" w:rsidRDefault="009D74F9" w:rsidP="00BD7FB0">
            <w:pPr>
              <w:spacing w:before="0" w:after="0"/>
              <w:jc w:val="center"/>
              <w:rPr>
                <w:rStyle w:val="BookTitle"/>
              </w:rPr>
            </w:pPr>
            <w:r w:rsidRPr="004B2104">
              <w:rPr>
                <w:rStyle w:val="BookTitle"/>
              </w:rPr>
              <w:t>4.61</w:t>
            </w:r>
          </w:p>
        </w:tc>
        <w:tc>
          <w:tcPr>
            <w:tcW w:w="637" w:type="pct"/>
            <w:tcBorders>
              <w:top w:val="nil"/>
              <w:left w:val="nil"/>
              <w:bottom w:val="nil"/>
              <w:right w:val="nil"/>
            </w:tcBorders>
            <w:shd w:val="clear" w:color="auto" w:fill="auto"/>
            <w:noWrap/>
            <w:vAlign w:val="center"/>
            <w:hideMark/>
          </w:tcPr>
          <w:p w14:paraId="0C3F81A8" w14:textId="77777777" w:rsidR="009D74F9" w:rsidRPr="004B2104" w:rsidRDefault="009D74F9" w:rsidP="00BD7FB0">
            <w:pPr>
              <w:spacing w:before="0" w:after="0"/>
              <w:jc w:val="center"/>
              <w:rPr>
                <w:rStyle w:val="BookTitle"/>
              </w:rPr>
            </w:pPr>
            <w:r w:rsidRPr="004B2104">
              <w:rPr>
                <w:rStyle w:val="BookTitle"/>
              </w:rPr>
              <w:t>1.84</w:t>
            </w:r>
          </w:p>
        </w:tc>
        <w:tc>
          <w:tcPr>
            <w:tcW w:w="675" w:type="pct"/>
            <w:tcBorders>
              <w:top w:val="nil"/>
              <w:left w:val="nil"/>
              <w:bottom w:val="nil"/>
              <w:right w:val="single" w:sz="4" w:space="0" w:color="auto"/>
            </w:tcBorders>
            <w:shd w:val="clear" w:color="auto" w:fill="auto"/>
            <w:noWrap/>
            <w:vAlign w:val="center"/>
            <w:hideMark/>
          </w:tcPr>
          <w:p w14:paraId="0C3F81A9" w14:textId="77777777" w:rsidR="009D74F9" w:rsidRPr="004B2104" w:rsidRDefault="009D74F9" w:rsidP="00BD7FB0">
            <w:pPr>
              <w:spacing w:before="0" w:after="0"/>
              <w:jc w:val="center"/>
              <w:rPr>
                <w:rStyle w:val="BookTitle"/>
              </w:rPr>
            </w:pPr>
            <w:r w:rsidRPr="004B2104">
              <w:rPr>
                <w:rStyle w:val="BookTitle"/>
              </w:rPr>
              <w:t>4.32</w:t>
            </w:r>
          </w:p>
        </w:tc>
        <w:tc>
          <w:tcPr>
            <w:tcW w:w="796" w:type="pct"/>
            <w:tcBorders>
              <w:top w:val="nil"/>
              <w:left w:val="nil"/>
              <w:bottom w:val="nil"/>
              <w:right w:val="single" w:sz="4" w:space="0" w:color="auto"/>
            </w:tcBorders>
            <w:shd w:val="clear" w:color="auto" w:fill="auto"/>
            <w:noWrap/>
            <w:vAlign w:val="center"/>
            <w:hideMark/>
          </w:tcPr>
          <w:p w14:paraId="0C3F81AA" w14:textId="77777777" w:rsidR="009D74F9" w:rsidRPr="004B2104" w:rsidRDefault="009D74F9" w:rsidP="00BD7FB0">
            <w:pPr>
              <w:spacing w:before="0" w:after="0"/>
              <w:jc w:val="center"/>
              <w:rPr>
                <w:rStyle w:val="BookTitle"/>
              </w:rPr>
            </w:pPr>
            <w:r w:rsidRPr="004B2104">
              <w:rPr>
                <w:rStyle w:val="BookTitle"/>
              </w:rPr>
              <w:t>2.03</w:t>
            </w:r>
          </w:p>
        </w:tc>
      </w:tr>
      <w:tr w:rsidR="009D74F9" w:rsidRPr="004B2104" w14:paraId="0C3F81B2" w14:textId="77777777" w:rsidTr="009D74F9">
        <w:trPr>
          <w:trHeight w:val="20"/>
        </w:trPr>
        <w:tc>
          <w:tcPr>
            <w:tcW w:w="1484" w:type="pct"/>
            <w:vMerge/>
            <w:tcBorders>
              <w:top w:val="nil"/>
              <w:left w:val="nil"/>
              <w:bottom w:val="single" w:sz="4" w:space="0" w:color="000000"/>
              <w:right w:val="nil"/>
            </w:tcBorders>
            <w:vAlign w:val="center"/>
            <w:hideMark/>
          </w:tcPr>
          <w:p w14:paraId="0C3F81AC"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1AD"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AE"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1AF"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B0"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1B1"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1B9"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B3" w14:textId="77777777" w:rsidR="009D74F9" w:rsidRPr="004B2104" w:rsidRDefault="009D74F9" w:rsidP="00BD7FB0">
            <w:pPr>
              <w:spacing w:before="0" w:after="0"/>
              <w:jc w:val="center"/>
              <w:rPr>
                <w:rStyle w:val="BookTitle"/>
              </w:rPr>
            </w:pPr>
            <w:r w:rsidRPr="004B2104">
              <w:rPr>
                <w:rStyle w:val="BookTitle"/>
              </w:rPr>
              <w:t>Total Phosphorus (µM)</w:t>
            </w:r>
          </w:p>
        </w:tc>
        <w:tc>
          <w:tcPr>
            <w:tcW w:w="456" w:type="pct"/>
            <w:tcBorders>
              <w:top w:val="nil"/>
              <w:left w:val="nil"/>
              <w:bottom w:val="nil"/>
              <w:right w:val="nil"/>
            </w:tcBorders>
            <w:shd w:val="clear" w:color="auto" w:fill="auto"/>
            <w:noWrap/>
            <w:vAlign w:val="center"/>
            <w:hideMark/>
          </w:tcPr>
          <w:p w14:paraId="0C3F81B4"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B5" w14:textId="77777777" w:rsidR="009D74F9" w:rsidRPr="004B2104" w:rsidRDefault="009D74F9" w:rsidP="00BD7FB0">
            <w:pPr>
              <w:spacing w:before="0" w:after="0"/>
              <w:jc w:val="center"/>
              <w:rPr>
                <w:rStyle w:val="BookTitle"/>
              </w:rPr>
            </w:pPr>
            <w:r w:rsidRPr="004B2104">
              <w:rPr>
                <w:rStyle w:val="BookTitle"/>
              </w:rPr>
              <w:t>0.13</w:t>
            </w:r>
          </w:p>
        </w:tc>
        <w:tc>
          <w:tcPr>
            <w:tcW w:w="637" w:type="pct"/>
            <w:tcBorders>
              <w:top w:val="nil"/>
              <w:left w:val="nil"/>
              <w:bottom w:val="nil"/>
              <w:right w:val="nil"/>
            </w:tcBorders>
            <w:shd w:val="clear" w:color="auto" w:fill="auto"/>
            <w:noWrap/>
            <w:vAlign w:val="center"/>
            <w:hideMark/>
          </w:tcPr>
          <w:p w14:paraId="0C3F81B6" w14:textId="77777777" w:rsidR="009D74F9" w:rsidRPr="004B2104" w:rsidRDefault="009D74F9" w:rsidP="00BD7FB0">
            <w:pPr>
              <w:spacing w:before="0" w:after="0"/>
              <w:jc w:val="center"/>
              <w:rPr>
                <w:rStyle w:val="BookTitle"/>
              </w:rPr>
            </w:pPr>
            <w:r w:rsidRPr="004B2104">
              <w:rPr>
                <w:rStyle w:val="BookTitle"/>
              </w:rPr>
              <w:t>0.10</w:t>
            </w:r>
          </w:p>
        </w:tc>
        <w:tc>
          <w:tcPr>
            <w:tcW w:w="675" w:type="pct"/>
            <w:tcBorders>
              <w:top w:val="nil"/>
              <w:left w:val="nil"/>
              <w:bottom w:val="nil"/>
              <w:right w:val="single" w:sz="4" w:space="0" w:color="auto"/>
            </w:tcBorders>
            <w:shd w:val="clear" w:color="auto" w:fill="auto"/>
            <w:noWrap/>
            <w:vAlign w:val="center"/>
            <w:hideMark/>
          </w:tcPr>
          <w:p w14:paraId="0C3F81B7" w14:textId="77777777" w:rsidR="009D74F9" w:rsidRPr="004B2104" w:rsidRDefault="009D74F9" w:rsidP="00BD7FB0">
            <w:pPr>
              <w:spacing w:before="0" w:after="0"/>
              <w:jc w:val="center"/>
              <w:rPr>
                <w:rStyle w:val="BookTitle"/>
              </w:rPr>
            </w:pPr>
            <w:r w:rsidRPr="004B2104">
              <w:rPr>
                <w:rStyle w:val="BookTitle"/>
              </w:rPr>
              <w:t>0.10</w:t>
            </w:r>
          </w:p>
        </w:tc>
        <w:tc>
          <w:tcPr>
            <w:tcW w:w="796" w:type="pct"/>
            <w:tcBorders>
              <w:top w:val="nil"/>
              <w:left w:val="nil"/>
              <w:bottom w:val="nil"/>
              <w:right w:val="single" w:sz="4" w:space="0" w:color="auto"/>
            </w:tcBorders>
            <w:shd w:val="clear" w:color="auto" w:fill="auto"/>
            <w:noWrap/>
            <w:vAlign w:val="center"/>
            <w:hideMark/>
          </w:tcPr>
          <w:p w14:paraId="0C3F81B8" w14:textId="77777777" w:rsidR="009D74F9" w:rsidRPr="004B2104" w:rsidRDefault="009D74F9" w:rsidP="00BD7FB0">
            <w:pPr>
              <w:spacing w:before="0" w:after="0"/>
              <w:jc w:val="center"/>
              <w:rPr>
                <w:rStyle w:val="BookTitle"/>
              </w:rPr>
            </w:pPr>
            <w:r w:rsidRPr="004B2104">
              <w:rPr>
                <w:rStyle w:val="BookTitle"/>
              </w:rPr>
              <w:t>0.16</w:t>
            </w:r>
          </w:p>
        </w:tc>
      </w:tr>
      <w:tr w:rsidR="009D74F9" w:rsidRPr="004B2104" w14:paraId="0C3F81C0" w14:textId="77777777" w:rsidTr="009D74F9">
        <w:trPr>
          <w:trHeight w:val="20"/>
        </w:trPr>
        <w:tc>
          <w:tcPr>
            <w:tcW w:w="1484" w:type="pct"/>
            <w:vMerge/>
            <w:tcBorders>
              <w:top w:val="nil"/>
              <w:left w:val="nil"/>
              <w:bottom w:val="single" w:sz="4" w:space="0" w:color="000000"/>
              <w:right w:val="nil"/>
            </w:tcBorders>
            <w:vAlign w:val="center"/>
            <w:hideMark/>
          </w:tcPr>
          <w:p w14:paraId="0C3F81BA"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BB"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BC" w14:textId="77777777" w:rsidR="009D74F9" w:rsidRPr="004B2104" w:rsidRDefault="009D74F9" w:rsidP="00BD7FB0">
            <w:pPr>
              <w:spacing w:before="0" w:after="0"/>
              <w:jc w:val="center"/>
              <w:rPr>
                <w:rStyle w:val="BookTitle"/>
              </w:rPr>
            </w:pPr>
            <w:r w:rsidRPr="004B2104">
              <w:rPr>
                <w:rStyle w:val="BookTitle"/>
              </w:rPr>
              <w:t>0.65</w:t>
            </w:r>
          </w:p>
        </w:tc>
        <w:tc>
          <w:tcPr>
            <w:tcW w:w="637" w:type="pct"/>
            <w:tcBorders>
              <w:top w:val="nil"/>
              <w:left w:val="nil"/>
              <w:bottom w:val="nil"/>
              <w:right w:val="nil"/>
            </w:tcBorders>
            <w:shd w:val="clear" w:color="auto" w:fill="auto"/>
            <w:noWrap/>
            <w:vAlign w:val="center"/>
            <w:hideMark/>
          </w:tcPr>
          <w:p w14:paraId="0C3F81BD" w14:textId="77777777" w:rsidR="009D74F9" w:rsidRPr="004B2104" w:rsidRDefault="009D74F9" w:rsidP="00BD7FB0">
            <w:pPr>
              <w:spacing w:before="0" w:after="0"/>
              <w:jc w:val="center"/>
              <w:rPr>
                <w:rStyle w:val="BookTitle"/>
              </w:rPr>
            </w:pPr>
            <w:r w:rsidRPr="004B2104">
              <w:rPr>
                <w:rStyle w:val="BookTitle"/>
              </w:rPr>
              <w:t>0.36</w:t>
            </w:r>
          </w:p>
        </w:tc>
        <w:tc>
          <w:tcPr>
            <w:tcW w:w="675" w:type="pct"/>
            <w:tcBorders>
              <w:top w:val="nil"/>
              <w:left w:val="nil"/>
              <w:bottom w:val="nil"/>
              <w:right w:val="single" w:sz="4" w:space="0" w:color="auto"/>
            </w:tcBorders>
            <w:shd w:val="clear" w:color="auto" w:fill="auto"/>
            <w:noWrap/>
            <w:vAlign w:val="center"/>
            <w:hideMark/>
          </w:tcPr>
          <w:p w14:paraId="0C3F81BE" w14:textId="77777777" w:rsidR="009D74F9" w:rsidRPr="004B2104" w:rsidRDefault="009D74F9" w:rsidP="00BD7FB0">
            <w:pPr>
              <w:spacing w:before="0" w:after="0"/>
              <w:jc w:val="center"/>
              <w:rPr>
                <w:rStyle w:val="BookTitle"/>
              </w:rPr>
            </w:pPr>
            <w:r w:rsidRPr="004B2104">
              <w:rPr>
                <w:rStyle w:val="BookTitle"/>
              </w:rPr>
              <w:t>1.10</w:t>
            </w:r>
          </w:p>
        </w:tc>
        <w:tc>
          <w:tcPr>
            <w:tcW w:w="796" w:type="pct"/>
            <w:tcBorders>
              <w:top w:val="nil"/>
              <w:left w:val="nil"/>
              <w:bottom w:val="nil"/>
              <w:right w:val="single" w:sz="4" w:space="0" w:color="auto"/>
            </w:tcBorders>
            <w:shd w:val="clear" w:color="auto" w:fill="auto"/>
            <w:noWrap/>
            <w:vAlign w:val="center"/>
            <w:hideMark/>
          </w:tcPr>
          <w:p w14:paraId="0C3F81BF" w14:textId="77777777" w:rsidR="009D74F9" w:rsidRPr="004B2104" w:rsidRDefault="009D74F9" w:rsidP="00BD7FB0">
            <w:pPr>
              <w:spacing w:before="0" w:after="0"/>
              <w:jc w:val="center"/>
              <w:rPr>
                <w:rStyle w:val="BookTitle"/>
              </w:rPr>
            </w:pPr>
            <w:r w:rsidRPr="004B2104">
              <w:rPr>
                <w:rStyle w:val="BookTitle"/>
              </w:rPr>
              <w:t>0.42</w:t>
            </w:r>
          </w:p>
        </w:tc>
      </w:tr>
      <w:tr w:rsidR="009D74F9" w:rsidRPr="004B2104" w14:paraId="0C3F81C7" w14:textId="77777777" w:rsidTr="009D74F9">
        <w:trPr>
          <w:trHeight w:val="20"/>
        </w:trPr>
        <w:tc>
          <w:tcPr>
            <w:tcW w:w="1484" w:type="pct"/>
            <w:vMerge/>
            <w:tcBorders>
              <w:top w:val="nil"/>
              <w:left w:val="nil"/>
              <w:bottom w:val="single" w:sz="4" w:space="0" w:color="000000"/>
              <w:right w:val="nil"/>
            </w:tcBorders>
            <w:vAlign w:val="center"/>
            <w:hideMark/>
          </w:tcPr>
          <w:p w14:paraId="0C3F81C1"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C2"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C3" w14:textId="77777777" w:rsidR="009D74F9" w:rsidRPr="004B2104" w:rsidRDefault="009D74F9" w:rsidP="00BD7FB0">
            <w:pPr>
              <w:spacing w:before="0" w:after="0"/>
              <w:jc w:val="center"/>
              <w:rPr>
                <w:rStyle w:val="BookTitle"/>
              </w:rPr>
            </w:pPr>
            <w:r w:rsidRPr="004B2104">
              <w:rPr>
                <w:rStyle w:val="BookTitle"/>
              </w:rPr>
              <w:t>0.29</w:t>
            </w:r>
          </w:p>
        </w:tc>
        <w:tc>
          <w:tcPr>
            <w:tcW w:w="637" w:type="pct"/>
            <w:tcBorders>
              <w:top w:val="nil"/>
              <w:left w:val="nil"/>
              <w:bottom w:val="nil"/>
              <w:right w:val="nil"/>
            </w:tcBorders>
            <w:shd w:val="clear" w:color="auto" w:fill="auto"/>
            <w:noWrap/>
            <w:vAlign w:val="center"/>
            <w:hideMark/>
          </w:tcPr>
          <w:p w14:paraId="0C3F81C4" w14:textId="77777777" w:rsidR="009D74F9" w:rsidRPr="004B2104" w:rsidRDefault="009D74F9" w:rsidP="00BD7FB0">
            <w:pPr>
              <w:spacing w:before="0" w:after="0"/>
              <w:jc w:val="center"/>
              <w:rPr>
                <w:rStyle w:val="BookTitle"/>
              </w:rPr>
            </w:pPr>
            <w:r w:rsidRPr="004B2104">
              <w:rPr>
                <w:rStyle w:val="BookTitle"/>
              </w:rPr>
              <w:t>0.19</w:t>
            </w:r>
          </w:p>
        </w:tc>
        <w:tc>
          <w:tcPr>
            <w:tcW w:w="675" w:type="pct"/>
            <w:tcBorders>
              <w:top w:val="nil"/>
              <w:left w:val="nil"/>
              <w:bottom w:val="nil"/>
              <w:right w:val="single" w:sz="4" w:space="0" w:color="auto"/>
            </w:tcBorders>
            <w:shd w:val="clear" w:color="auto" w:fill="auto"/>
            <w:noWrap/>
            <w:vAlign w:val="center"/>
            <w:hideMark/>
          </w:tcPr>
          <w:p w14:paraId="0C3F81C5" w14:textId="77777777" w:rsidR="009D74F9" w:rsidRPr="004B2104" w:rsidRDefault="009D74F9" w:rsidP="00BD7FB0">
            <w:pPr>
              <w:spacing w:before="0" w:after="0"/>
              <w:jc w:val="center"/>
              <w:rPr>
                <w:rStyle w:val="BookTitle"/>
              </w:rPr>
            </w:pPr>
            <w:r w:rsidRPr="004B2104">
              <w:rPr>
                <w:rStyle w:val="BookTitle"/>
              </w:rPr>
              <w:t>0.32</w:t>
            </w:r>
          </w:p>
        </w:tc>
        <w:tc>
          <w:tcPr>
            <w:tcW w:w="796" w:type="pct"/>
            <w:tcBorders>
              <w:top w:val="nil"/>
              <w:left w:val="nil"/>
              <w:bottom w:val="nil"/>
              <w:right w:val="single" w:sz="4" w:space="0" w:color="auto"/>
            </w:tcBorders>
            <w:shd w:val="clear" w:color="auto" w:fill="auto"/>
            <w:noWrap/>
            <w:vAlign w:val="center"/>
            <w:hideMark/>
          </w:tcPr>
          <w:p w14:paraId="0C3F81C6" w14:textId="77777777" w:rsidR="009D74F9" w:rsidRPr="004B2104" w:rsidRDefault="009D74F9" w:rsidP="00BD7FB0">
            <w:pPr>
              <w:spacing w:before="0" w:after="0"/>
              <w:jc w:val="center"/>
              <w:rPr>
                <w:rStyle w:val="BookTitle"/>
              </w:rPr>
            </w:pPr>
            <w:r w:rsidRPr="004B2104">
              <w:rPr>
                <w:rStyle w:val="BookTitle"/>
              </w:rPr>
              <w:t>0.25</w:t>
            </w:r>
          </w:p>
        </w:tc>
      </w:tr>
      <w:tr w:rsidR="009D74F9" w:rsidRPr="004B2104" w14:paraId="0C3F81CE" w14:textId="77777777" w:rsidTr="009D74F9">
        <w:trPr>
          <w:trHeight w:val="20"/>
        </w:trPr>
        <w:tc>
          <w:tcPr>
            <w:tcW w:w="1484" w:type="pct"/>
            <w:vMerge/>
            <w:tcBorders>
              <w:top w:val="nil"/>
              <w:left w:val="nil"/>
              <w:bottom w:val="single" w:sz="4" w:space="0" w:color="000000"/>
              <w:right w:val="nil"/>
            </w:tcBorders>
            <w:vAlign w:val="center"/>
            <w:hideMark/>
          </w:tcPr>
          <w:p w14:paraId="0C3F81C8"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C9"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CA" w14:textId="77777777" w:rsidR="009D74F9" w:rsidRPr="004B2104" w:rsidRDefault="009D74F9" w:rsidP="00BD7FB0">
            <w:pPr>
              <w:spacing w:before="0" w:after="0"/>
              <w:jc w:val="center"/>
              <w:rPr>
                <w:rStyle w:val="BookTitle"/>
              </w:rPr>
            </w:pPr>
            <w:r w:rsidRPr="004B2104">
              <w:rPr>
                <w:rStyle w:val="BookTitle"/>
              </w:rPr>
              <w:t>0.14</w:t>
            </w:r>
          </w:p>
        </w:tc>
        <w:tc>
          <w:tcPr>
            <w:tcW w:w="637" w:type="pct"/>
            <w:tcBorders>
              <w:top w:val="nil"/>
              <w:left w:val="nil"/>
              <w:bottom w:val="nil"/>
              <w:right w:val="nil"/>
            </w:tcBorders>
            <w:shd w:val="clear" w:color="auto" w:fill="auto"/>
            <w:noWrap/>
            <w:vAlign w:val="center"/>
            <w:hideMark/>
          </w:tcPr>
          <w:p w14:paraId="0C3F81CB" w14:textId="77777777" w:rsidR="009D74F9" w:rsidRPr="004B2104" w:rsidRDefault="009D74F9" w:rsidP="00BD7FB0">
            <w:pPr>
              <w:spacing w:before="0" w:after="0"/>
              <w:jc w:val="center"/>
              <w:rPr>
                <w:rStyle w:val="BookTitle"/>
              </w:rPr>
            </w:pPr>
            <w:r w:rsidRPr="004B2104">
              <w:rPr>
                <w:rStyle w:val="BookTitle"/>
              </w:rPr>
              <w:t>0.08</w:t>
            </w:r>
          </w:p>
        </w:tc>
        <w:tc>
          <w:tcPr>
            <w:tcW w:w="675" w:type="pct"/>
            <w:tcBorders>
              <w:top w:val="nil"/>
              <w:left w:val="nil"/>
              <w:bottom w:val="nil"/>
              <w:right w:val="single" w:sz="4" w:space="0" w:color="auto"/>
            </w:tcBorders>
            <w:shd w:val="clear" w:color="auto" w:fill="auto"/>
            <w:noWrap/>
            <w:vAlign w:val="center"/>
            <w:hideMark/>
          </w:tcPr>
          <w:p w14:paraId="0C3F81CC" w14:textId="77777777" w:rsidR="009D74F9" w:rsidRPr="004B2104" w:rsidRDefault="009D74F9" w:rsidP="00BD7FB0">
            <w:pPr>
              <w:spacing w:before="0" w:after="0"/>
              <w:jc w:val="center"/>
              <w:rPr>
                <w:rStyle w:val="BookTitle"/>
              </w:rPr>
            </w:pPr>
            <w:r w:rsidRPr="004B2104">
              <w:rPr>
                <w:rStyle w:val="BookTitle"/>
              </w:rPr>
              <w:t>0.28</w:t>
            </w:r>
          </w:p>
        </w:tc>
        <w:tc>
          <w:tcPr>
            <w:tcW w:w="796" w:type="pct"/>
            <w:tcBorders>
              <w:top w:val="nil"/>
              <w:left w:val="nil"/>
              <w:bottom w:val="nil"/>
              <w:right w:val="single" w:sz="4" w:space="0" w:color="auto"/>
            </w:tcBorders>
            <w:shd w:val="clear" w:color="auto" w:fill="auto"/>
            <w:noWrap/>
            <w:vAlign w:val="center"/>
            <w:hideMark/>
          </w:tcPr>
          <w:p w14:paraId="0C3F81CD" w14:textId="77777777" w:rsidR="009D74F9" w:rsidRPr="004B2104" w:rsidRDefault="009D74F9" w:rsidP="00BD7FB0">
            <w:pPr>
              <w:spacing w:before="0" w:after="0"/>
              <w:jc w:val="center"/>
              <w:rPr>
                <w:rStyle w:val="BookTitle"/>
              </w:rPr>
            </w:pPr>
            <w:r w:rsidRPr="004B2104">
              <w:rPr>
                <w:rStyle w:val="BookTitle"/>
              </w:rPr>
              <w:t>0.06</w:t>
            </w:r>
          </w:p>
        </w:tc>
      </w:tr>
      <w:tr w:rsidR="009D74F9" w:rsidRPr="004B2104" w14:paraId="0C3F81D5" w14:textId="77777777" w:rsidTr="009D74F9">
        <w:trPr>
          <w:trHeight w:val="20"/>
        </w:trPr>
        <w:tc>
          <w:tcPr>
            <w:tcW w:w="1484" w:type="pct"/>
            <w:vMerge/>
            <w:tcBorders>
              <w:top w:val="nil"/>
              <w:left w:val="nil"/>
              <w:bottom w:val="single" w:sz="4" w:space="0" w:color="000000"/>
              <w:right w:val="nil"/>
            </w:tcBorders>
            <w:vAlign w:val="center"/>
            <w:hideMark/>
          </w:tcPr>
          <w:p w14:paraId="0C3F81CF"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1D0"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D1"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1D2"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D3"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1D4"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1DC"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D6" w14:textId="77777777" w:rsidR="009D74F9" w:rsidRPr="004B2104" w:rsidRDefault="009D74F9" w:rsidP="00BD7FB0">
            <w:pPr>
              <w:spacing w:before="0" w:after="0"/>
              <w:jc w:val="center"/>
              <w:rPr>
                <w:rStyle w:val="BookTitle"/>
              </w:rPr>
            </w:pPr>
            <w:r w:rsidRPr="004B2104">
              <w:rPr>
                <w:rStyle w:val="BookTitle"/>
              </w:rPr>
              <w:t>Dissolved Inorganic Nitrogen (µM)</w:t>
            </w:r>
          </w:p>
        </w:tc>
        <w:tc>
          <w:tcPr>
            <w:tcW w:w="456" w:type="pct"/>
            <w:tcBorders>
              <w:top w:val="nil"/>
              <w:left w:val="nil"/>
              <w:bottom w:val="nil"/>
              <w:right w:val="nil"/>
            </w:tcBorders>
            <w:shd w:val="clear" w:color="auto" w:fill="auto"/>
            <w:noWrap/>
            <w:vAlign w:val="center"/>
            <w:hideMark/>
          </w:tcPr>
          <w:p w14:paraId="0C3F81D7"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D8" w14:textId="77777777" w:rsidR="009D74F9" w:rsidRPr="004B2104" w:rsidRDefault="009D74F9" w:rsidP="00BD7FB0">
            <w:pPr>
              <w:spacing w:before="0" w:after="0"/>
              <w:jc w:val="center"/>
              <w:rPr>
                <w:rStyle w:val="BookTitle"/>
              </w:rPr>
            </w:pPr>
            <w:r w:rsidRPr="004B2104">
              <w:rPr>
                <w:rStyle w:val="BookTitle"/>
              </w:rPr>
              <w:t>0.50</w:t>
            </w:r>
          </w:p>
        </w:tc>
        <w:tc>
          <w:tcPr>
            <w:tcW w:w="637" w:type="pct"/>
            <w:tcBorders>
              <w:top w:val="nil"/>
              <w:left w:val="nil"/>
              <w:bottom w:val="nil"/>
              <w:right w:val="nil"/>
            </w:tcBorders>
            <w:shd w:val="clear" w:color="auto" w:fill="auto"/>
            <w:noWrap/>
            <w:vAlign w:val="center"/>
            <w:hideMark/>
          </w:tcPr>
          <w:p w14:paraId="0C3F81D9" w14:textId="77777777" w:rsidR="009D74F9" w:rsidRPr="004B2104" w:rsidRDefault="009D74F9" w:rsidP="00BD7FB0">
            <w:pPr>
              <w:spacing w:before="0" w:after="0"/>
              <w:jc w:val="center"/>
              <w:rPr>
                <w:rStyle w:val="BookTitle"/>
              </w:rPr>
            </w:pPr>
            <w:r w:rsidRPr="004B2104">
              <w:rPr>
                <w:rStyle w:val="BookTitle"/>
              </w:rPr>
              <w:t>1.07</w:t>
            </w:r>
          </w:p>
        </w:tc>
        <w:tc>
          <w:tcPr>
            <w:tcW w:w="675" w:type="pct"/>
            <w:tcBorders>
              <w:top w:val="nil"/>
              <w:left w:val="nil"/>
              <w:bottom w:val="nil"/>
              <w:right w:val="single" w:sz="4" w:space="0" w:color="auto"/>
            </w:tcBorders>
            <w:shd w:val="clear" w:color="auto" w:fill="auto"/>
            <w:noWrap/>
            <w:vAlign w:val="center"/>
            <w:hideMark/>
          </w:tcPr>
          <w:p w14:paraId="0C3F81DA" w14:textId="77777777" w:rsidR="009D74F9" w:rsidRPr="004B2104" w:rsidRDefault="009D74F9" w:rsidP="00BD7FB0">
            <w:pPr>
              <w:spacing w:before="0" w:after="0"/>
              <w:jc w:val="center"/>
              <w:rPr>
                <w:rStyle w:val="BookTitle"/>
              </w:rPr>
            </w:pPr>
            <w:r w:rsidRPr="004B2104">
              <w:rPr>
                <w:rStyle w:val="BookTitle"/>
              </w:rPr>
              <w:t>1.14</w:t>
            </w:r>
          </w:p>
        </w:tc>
        <w:tc>
          <w:tcPr>
            <w:tcW w:w="796" w:type="pct"/>
            <w:tcBorders>
              <w:top w:val="nil"/>
              <w:left w:val="nil"/>
              <w:bottom w:val="nil"/>
              <w:right w:val="single" w:sz="4" w:space="0" w:color="auto"/>
            </w:tcBorders>
            <w:shd w:val="clear" w:color="auto" w:fill="auto"/>
            <w:noWrap/>
            <w:vAlign w:val="center"/>
            <w:hideMark/>
          </w:tcPr>
          <w:p w14:paraId="0C3F81DB" w14:textId="77777777" w:rsidR="009D74F9" w:rsidRPr="004B2104" w:rsidRDefault="009D74F9" w:rsidP="00BD7FB0">
            <w:pPr>
              <w:spacing w:before="0" w:after="0"/>
              <w:jc w:val="center"/>
              <w:rPr>
                <w:rStyle w:val="BookTitle"/>
              </w:rPr>
            </w:pPr>
            <w:r w:rsidRPr="004B2104">
              <w:rPr>
                <w:rStyle w:val="BookTitle"/>
              </w:rPr>
              <w:t>1.07</w:t>
            </w:r>
          </w:p>
        </w:tc>
      </w:tr>
      <w:tr w:rsidR="009D74F9" w:rsidRPr="004B2104" w14:paraId="0C3F81E3" w14:textId="77777777" w:rsidTr="009D74F9">
        <w:trPr>
          <w:trHeight w:val="20"/>
        </w:trPr>
        <w:tc>
          <w:tcPr>
            <w:tcW w:w="1484" w:type="pct"/>
            <w:vMerge/>
            <w:tcBorders>
              <w:top w:val="nil"/>
              <w:left w:val="nil"/>
              <w:bottom w:val="single" w:sz="4" w:space="0" w:color="000000"/>
              <w:right w:val="nil"/>
            </w:tcBorders>
            <w:vAlign w:val="center"/>
            <w:hideMark/>
          </w:tcPr>
          <w:p w14:paraId="0C3F81DD"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DE"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1DF" w14:textId="77777777" w:rsidR="009D74F9" w:rsidRPr="004B2104" w:rsidRDefault="009D74F9" w:rsidP="00BD7FB0">
            <w:pPr>
              <w:spacing w:before="0" w:after="0"/>
              <w:jc w:val="center"/>
              <w:rPr>
                <w:rStyle w:val="BookTitle"/>
              </w:rPr>
            </w:pPr>
            <w:r w:rsidRPr="004B2104">
              <w:rPr>
                <w:rStyle w:val="BookTitle"/>
              </w:rPr>
              <w:t>12.64</w:t>
            </w:r>
          </w:p>
        </w:tc>
        <w:tc>
          <w:tcPr>
            <w:tcW w:w="637" w:type="pct"/>
            <w:tcBorders>
              <w:top w:val="nil"/>
              <w:left w:val="nil"/>
              <w:bottom w:val="nil"/>
              <w:right w:val="nil"/>
            </w:tcBorders>
            <w:shd w:val="clear" w:color="auto" w:fill="auto"/>
            <w:noWrap/>
            <w:vAlign w:val="center"/>
            <w:hideMark/>
          </w:tcPr>
          <w:p w14:paraId="0C3F81E0" w14:textId="77777777" w:rsidR="009D74F9" w:rsidRPr="004B2104" w:rsidRDefault="009D74F9" w:rsidP="00BD7FB0">
            <w:pPr>
              <w:spacing w:before="0" w:after="0"/>
              <w:jc w:val="center"/>
              <w:rPr>
                <w:rStyle w:val="BookTitle"/>
              </w:rPr>
            </w:pPr>
            <w:r w:rsidRPr="004B2104">
              <w:rPr>
                <w:rStyle w:val="BookTitle"/>
              </w:rPr>
              <w:t>1.78</w:t>
            </w:r>
          </w:p>
        </w:tc>
        <w:tc>
          <w:tcPr>
            <w:tcW w:w="675" w:type="pct"/>
            <w:tcBorders>
              <w:top w:val="nil"/>
              <w:left w:val="nil"/>
              <w:bottom w:val="nil"/>
              <w:right w:val="single" w:sz="4" w:space="0" w:color="auto"/>
            </w:tcBorders>
            <w:shd w:val="clear" w:color="auto" w:fill="auto"/>
            <w:noWrap/>
            <w:vAlign w:val="center"/>
            <w:hideMark/>
          </w:tcPr>
          <w:p w14:paraId="0C3F81E1" w14:textId="77777777" w:rsidR="009D74F9" w:rsidRPr="004B2104" w:rsidRDefault="009D74F9" w:rsidP="00BD7FB0">
            <w:pPr>
              <w:spacing w:before="0" w:after="0"/>
              <w:jc w:val="center"/>
              <w:rPr>
                <w:rStyle w:val="BookTitle"/>
              </w:rPr>
            </w:pPr>
            <w:r w:rsidRPr="004B2104">
              <w:rPr>
                <w:rStyle w:val="BookTitle"/>
              </w:rPr>
              <w:t>9.50</w:t>
            </w:r>
          </w:p>
        </w:tc>
        <w:tc>
          <w:tcPr>
            <w:tcW w:w="796" w:type="pct"/>
            <w:tcBorders>
              <w:top w:val="nil"/>
              <w:left w:val="nil"/>
              <w:bottom w:val="nil"/>
              <w:right w:val="single" w:sz="4" w:space="0" w:color="auto"/>
            </w:tcBorders>
            <w:shd w:val="clear" w:color="auto" w:fill="auto"/>
            <w:noWrap/>
            <w:vAlign w:val="center"/>
            <w:hideMark/>
          </w:tcPr>
          <w:p w14:paraId="0C3F81E2" w14:textId="77777777" w:rsidR="009D74F9" w:rsidRPr="004B2104" w:rsidRDefault="009D74F9" w:rsidP="00BD7FB0">
            <w:pPr>
              <w:spacing w:before="0" w:after="0"/>
              <w:jc w:val="center"/>
              <w:rPr>
                <w:rStyle w:val="BookTitle"/>
              </w:rPr>
            </w:pPr>
            <w:r w:rsidRPr="004B2104">
              <w:rPr>
                <w:rStyle w:val="BookTitle"/>
              </w:rPr>
              <w:t>3.00</w:t>
            </w:r>
          </w:p>
        </w:tc>
      </w:tr>
      <w:tr w:rsidR="009D74F9" w:rsidRPr="004B2104" w14:paraId="0C3F81EA" w14:textId="77777777" w:rsidTr="009D74F9">
        <w:trPr>
          <w:trHeight w:val="20"/>
        </w:trPr>
        <w:tc>
          <w:tcPr>
            <w:tcW w:w="1484" w:type="pct"/>
            <w:vMerge/>
            <w:tcBorders>
              <w:top w:val="nil"/>
              <w:left w:val="nil"/>
              <w:bottom w:val="single" w:sz="4" w:space="0" w:color="000000"/>
              <w:right w:val="nil"/>
            </w:tcBorders>
            <w:vAlign w:val="center"/>
            <w:hideMark/>
          </w:tcPr>
          <w:p w14:paraId="0C3F81E4"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E5"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1E6" w14:textId="77777777" w:rsidR="009D74F9" w:rsidRPr="004B2104" w:rsidRDefault="009D74F9" w:rsidP="00BD7FB0">
            <w:pPr>
              <w:spacing w:before="0" w:after="0"/>
              <w:jc w:val="center"/>
              <w:rPr>
                <w:rStyle w:val="BookTitle"/>
              </w:rPr>
            </w:pPr>
            <w:r w:rsidRPr="004B2104">
              <w:rPr>
                <w:rStyle w:val="BookTitle"/>
              </w:rPr>
              <w:t>2.59</w:t>
            </w:r>
          </w:p>
        </w:tc>
        <w:tc>
          <w:tcPr>
            <w:tcW w:w="637" w:type="pct"/>
            <w:tcBorders>
              <w:top w:val="nil"/>
              <w:left w:val="nil"/>
              <w:bottom w:val="nil"/>
              <w:right w:val="nil"/>
            </w:tcBorders>
            <w:shd w:val="clear" w:color="auto" w:fill="auto"/>
            <w:noWrap/>
            <w:vAlign w:val="center"/>
            <w:hideMark/>
          </w:tcPr>
          <w:p w14:paraId="0C3F81E7" w14:textId="77777777" w:rsidR="009D74F9" w:rsidRPr="004B2104" w:rsidRDefault="009D74F9" w:rsidP="00BD7FB0">
            <w:pPr>
              <w:spacing w:before="0" w:after="0"/>
              <w:jc w:val="center"/>
              <w:rPr>
                <w:rStyle w:val="BookTitle"/>
              </w:rPr>
            </w:pPr>
            <w:r w:rsidRPr="004B2104">
              <w:rPr>
                <w:rStyle w:val="BookTitle"/>
              </w:rPr>
              <w:t>1.40</w:t>
            </w:r>
          </w:p>
        </w:tc>
        <w:tc>
          <w:tcPr>
            <w:tcW w:w="675" w:type="pct"/>
            <w:tcBorders>
              <w:top w:val="nil"/>
              <w:left w:val="nil"/>
              <w:bottom w:val="nil"/>
              <w:right w:val="single" w:sz="4" w:space="0" w:color="auto"/>
            </w:tcBorders>
            <w:shd w:val="clear" w:color="auto" w:fill="auto"/>
            <w:noWrap/>
            <w:vAlign w:val="center"/>
            <w:hideMark/>
          </w:tcPr>
          <w:p w14:paraId="0C3F81E8" w14:textId="77777777" w:rsidR="009D74F9" w:rsidRPr="004B2104" w:rsidRDefault="009D74F9" w:rsidP="00BD7FB0">
            <w:pPr>
              <w:spacing w:before="0" w:after="0"/>
              <w:jc w:val="center"/>
              <w:rPr>
                <w:rStyle w:val="BookTitle"/>
              </w:rPr>
            </w:pPr>
            <w:r w:rsidRPr="004B2104">
              <w:rPr>
                <w:rStyle w:val="BookTitle"/>
              </w:rPr>
              <w:t>3.29</w:t>
            </w:r>
          </w:p>
        </w:tc>
        <w:tc>
          <w:tcPr>
            <w:tcW w:w="796" w:type="pct"/>
            <w:tcBorders>
              <w:top w:val="nil"/>
              <w:left w:val="nil"/>
              <w:bottom w:val="nil"/>
              <w:right w:val="single" w:sz="4" w:space="0" w:color="auto"/>
            </w:tcBorders>
            <w:shd w:val="clear" w:color="auto" w:fill="auto"/>
            <w:noWrap/>
            <w:vAlign w:val="center"/>
            <w:hideMark/>
          </w:tcPr>
          <w:p w14:paraId="0C3F81E9" w14:textId="77777777" w:rsidR="009D74F9" w:rsidRPr="004B2104" w:rsidRDefault="009D74F9" w:rsidP="00BD7FB0">
            <w:pPr>
              <w:spacing w:before="0" w:after="0"/>
              <w:jc w:val="center"/>
              <w:rPr>
                <w:rStyle w:val="BookTitle"/>
              </w:rPr>
            </w:pPr>
            <w:r w:rsidRPr="004B2104">
              <w:rPr>
                <w:rStyle w:val="BookTitle"/>
              </w:rPr>
              <w:t>1.52</w:t>
            </w:r>
          </w:p>
        </w:tc>
      </w:tr>
      <w:tr w:rsidR="009D74F9" w:rsidRPr="004B2104" w14:paraId="0C3F81F1" w14:textId="77777777" w:rsidTr="009D74F9">
        <w:trPr>
          <w:trHeight w:val="20"/>
        </w:trPr>
        <w:tc>
          <w:tcPr>
            <w:tcW w:w="1484" w:type="pct"/>
            <w:vMerge/>
            <w:tcBorders>
              <w:top w:val="nil"/>
              <w:left w:val="nil"/>
              <w:bottom w:val="single" w:sz="4" w:space="0" w:color="000000"/>
              <w:right w:val="nil"/>
            </w:tcBorders>
            <w:vAlign w:val="center"/>
            <w:hideMark/>
          </w:tcPr>
          <w:p w14:paraId="0C3F81EB"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EC"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1ED" w14:textId="77777777" w:rsidR="009D74F9" w:rsidRPr="004B2104" w:rsidRDefault="009D74F9" w:rsidP="00BD7FB0">
            <w:pPr>
              <w:spacing w:before="0" w:after="0"/>
              <w:jc w:val="center"/>
              <w:rPr>
                <w:rStyle w:val="BookTitle"/>
              </w:rPr>
            </w:pPr>
            <w:r w:rsidRPr="004B2104">
              <w:rPr>
                <w:rStyle w:val="BookTitle"/>
              </w:rPr>
              <w:t>2.96</w:t>
            </w:r>
          </w:p>
        </w:tc>
        <w:tc>
          <w:tcPr>
            <w:tcW w:w="637" w:type="pct"/>
            <w:tcBorders>
              <w:top w:val="nil"/>
              <w:left w:val="nil"/>
              <w:bottom w:val="nil"/>
              <w:right w:val="nil"/>
            </w:tcBorders>
            <w:shd w:val="clear" w:color="auto" w:fill="auto"/>
            <w:noWrap/>
            <w:vAlign w:val="center"/>
            <w:hideMark/>
          </w:tcPr>
          <w:p w14:paraId="0C3F81EE" w14:textId="77777777" w:rsidR="009D74F9" w:rsidRPr="004B2104" w:rsidRDefault="009D74F9" w:rsidP="00BD7FB0">
            <w:pPr>
              <w:spacing w:before="0" w:after="0"/>
              <w:jc w:val="center"/>
              <w:rPr>
                <w:rStyle w:val="BookTitle"/>
              </w:rPr>
            </w:pPr>
            <w:r w:rsidRPr="004B2104">
              <w:rPr>
                <w:rStyle w:val="BookTitle"/>
              </w:rPr>
              <w:t>0.25</w:t>
            </w:r>
          </w:p>
        </w:tc>
        <w:tc>
          <w:tcPr>
            <w:tcW w:w="675" w:type="pct"/>
            <w:tcBorders>
              <w:top w:val="nil"/>
              <w:left w:val="nil"/>
              <w:bottom w:val="nil"/>
              <w:right w:val="single" w:sz="4" w:space="0" w:color="auto"/>
            </w:tcBorders>
            <w:shd w:val="clear" w:color="auto" w:fill="auto"/>
            <w:noWrap/>
            <w:vAlign w:val="center"/>
            <w:hideMark/>
          </w:tcPr>
          <w:p w14:paraId="0C3F81EF" w14:textId="77777777" w:rsidR="009D74F9" w:rsidRPr="004B2104" w:rsidRDefault="009D74F9" w:rsidP="00BD7FB0">
            <w:pPr>
              <w:spacing w:before="0" w:after="0"/>
              <w:jc w:val="center"/>
              <w:rPr>
                <w:rStyle w:val="BookTitle"/>
              </w:rPr>
            </w:pPr>
            <w:r w:rsidRPr="004B2104">
              <w:rPr>
                <w:rStyle w:val="BookTitle"/>
              </w:rPr>
              <w:t>2.88</w:t>
            </w:r>
          </w:p>
        </w:tc>
        <w:tc>
          <w:tcPr>
            <w:tcW w:w="796" w:type="pct"/>
            <w:tcBorders>
              <w:top w:val="nil"/>
              <w:left w:val="nil"/>
              <w:bottom w:val="nil"/>
              <w:right w:val="single" w:sz="4" w:space="0" w:color="auto"/>
            </w:tcBorders>
            <w:shd w:val="clear" w:color="auto" w:fill="auto"/>
            <w:noWrap/>
            <w:vAlign w:val="center"/>
            <w:hideMark/>
          </w:tcPr>
          <w:p w14:paraId="0C3F81F0" w14:textId="77777777" w:rsidR="009D74F9" w:rsidRPr="004B2104" w:rsidRDefault="009D74F9" w:rsidP="00BD7FB0">
            <w:pPr>
              <w:spacing w:before="0" w:after="0"/>
              <w:jc w:val="center"/>
              <w:rPr>
                <w:rStyle w:val="BookTitle"/>
              </w:rPr>
            </w:pPr>
            <w:r w:rsidRPr="004B2104">
              <w:rPr>
                <w:rStyle w:val="BookTitle"/>
              </w:rPr>
              <w:t>0.47</w:t>
            </w:r>
          </w:p>
        </w:tc>
      </w:tr>
      <w:tr w:rsidR="009D74F9" w:rsidRPr="004B2104" w14:paraId="0C3F81F8" w14:textId="77777777" w:rsidTr="009D74F9">
        <w:trPr>
          <w:trHeight w:val="20"/>
        </w:trPr>
        <w:tc>
          <w:tcPr>
            <w:tcW w:w="1484" w:type="pct"/>
            <w:vMerge/>
            <w:tcBorders>
              <w:top w:val="nil"/>
              <w:left w:val="nil"/>
              <w:bottom w:val="single" w:sz="4" w:space="0" w:color="000000"/>
              <w:right w:val="nil"/>
            </w:tcBorders>
            <w:vAlign w:val="center"/>
            <w:hideMark/>
          </w:tcPr>
          <w:p w14:paraId="0C3F81F2"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1F3"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1F4"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1F5"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1F6"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1F7"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1FF"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1F9" w14:textId="77777777" w:rsidR="009D74F9" w:rsidRPr="004B2104" w:rsidRDefault="009D74F9" w:rsidP="00BD7FB0">
            <w:pPr>
              <w:spacing w:before="0" w:after="0"/>
              <w:jc w:val="center"/>
              <w:rPr>
                <w:rStyle w:val="BookTitle"/>
              </w:rPr>
            </w:pPr>
            <w:r w:rsidRPr="004B2104">
              <w:rPr>
                <w:rStyle w:val="BookTitle"/>
              </w:rPr>
              <w:t>Dissolved Inorganic Phosphorus (µM)</w:t>
            </w:r>
          </w:p>
        </w:tc>
        <w:tc>
          <w:tcPr>
            <w:tcW w:w="456" w:type="pct"/>
            <w:tcBorders>
              <w:top w:val="single" w:sz="4" w:space="0" w:color="auto"/>
              <w:left w:val="nil"/>
              <w:bottom w:val="nil"/>
              <w:right w:val="single" w:sz="4" w:space="0" w:color="auto"/>
            </w:tcBorders>
            <w:shd w:val="clear" w:color="auto" w:fill="auto"/>
            <w:noWrap/>
            <w:vAlign w:val="center"/>
            <w:hideMark/>
          </w:tcPr>
          <w:p w14:paraId="0C3F81FA"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1FB" w14:textId="77777777" w:rsidR="009D74F9" w:rsidRPr="004B2104" w:rsidRDefault="009D74F9" w:rsidP="00BD7FB0">
            <w:pPr>
              <w:spacing w:before="0" w:after="0"/>
              <w:jc w:val="center"/>
              <w:rPr>
                <w:rStyle w:val="BookTitle"/>
              </w:rPr>
            </w:pPr>
            <w:r w:rsidRPr="004B2104">
              <w:rPr>
                <w:rStyle w:val="BookTitle"/>
              </w:rPr>
              <w:t>0.06</w:t>
            </w:r>
          </w:p>
        </w:tc>
        <w:tc>
          <w:tcPr>
            <w:tcW w:w="637" w:type="pct"/>
            <w:tcBorders>
              <w:top w:val="nil"/>
              <w:left w:val="nil"/>
              <w:bottom w:val="nil"/>
              <w:right w:val="nil"/>
            </w:tcBorders>
            <w:shd w:val="clear" w:color="auto" w:fill="auto"/>
            <w:noWrap/>
            <w:vAlign w:val="center"/>
            <w:hideMark/>
          </w:tcPr>
          <w:p w14:paraId="0C3F81FC" w14:textId="77777777" w:rsidR="009D74F9" w:rsidRPr="004B2104" w:rsidRDefault="009D74F9" w:rsidP="00BD7FB0">
            <w:pPr>
              <w:spacing w:before="0" w:after="0"/>
              <w:jc w:val="center"/>
              <w:rPr>
                <w:rStyle w:val="BookTitle"/>
              </w:rPr>
            </w:pPr>
            <w:r w:rsidRPr="004B2104">
              <w:rPr>
                <w:rStyle w:val="BookTitle"/>
              </w:rPr>
              <w:t>0.03</w:t>
            </w:r>
          </w:p>
        </w:tc>
        <w:tc>
          <w:tcPr>
            <w:tcW w:w="675" w:type="pct"/>
            <w:tcBorders>
              <w:top w:val="nil"/>
              <w:left w:val="nil"/>
              <w:bottom w:val="nil"/>
              <w:right w:val="single" w:sz="4" w:space="0" w:color="auto"/>
            </w:tcBorders>
            <w:shd w:val="clear" w:color="auto" w:fill="auto"/>
            <w:noWrap/>
            <w:vAlign w:val="center"/>
            <w:hideMark/>
          </w:tcPr>
          <w:p w14:paraId="0C3F81FD" w14:textId="77777777" w:rsidR="009D74F9" w:rsidRPr="004B2104" w:rsidRDefault="009D74F9" w:rsidP="00BD7FB0">
            <w:pPr>
              <w:spacing w:before="0" w:after="0"/>
              <w:jc w:val="center"/>
              <w:rPr>
                <w:rStyle w:val="BookTitle"/>
              </w:rPr>
            </w:pPr>
            <w:r w:rsidRPr="004B2104">
              <w:rPr>
                <w:rStyle w:val="BookTitle"/>
              </w:rPr>
              <w:t>0.06</w:t>
            </w:r>
          </w:p>
        </w:tc>
        <w:tc>
          <w:tcPr>
            <w:tcW w:w="796" w:type="pct"/>
            <w:tcBorders>
              <w:top w:val="nil"/>
              <w:left w:val="nil"/>
              <w:bottom w:val="nil"/>
              <w:right w:val="single" w:sz="4" w:space="0" w:color="auto"/>
            </w:tcBorders>
            <w:shd w:val="clear" w:color="auto" w:fill="auto"/>
            <w:noWrap/>
            <w:vAlign w:val="center"/>
            <w:hideMark/>
          </w:tcPr>
          <w:p w14:paraId="0C3F81FE" w14:textId="77777777" w:rsidR="009D74F9" w:rsidRPr="004B2104" w:rsidRDefault="009D74F9" w:rsidP="00BD7FB0">
            <w:pPr>
              <w:spacing w:before="0" w:after="0"/>
              <w:jc w:val="center"/>
              <w:rPr>
                <w:rStyle w:val="BookTitle"/>
              </w:rPr>
            </w:pPr>
            <w:r w:rsidRPr="004B2104">
              <w:rPr>
                <w:rStyle w:val="BookTitle"/>
              </w:rPr>
              <w:t>0.03</w:t>
            </w:r>
          </w:p>
        </w:tc>
      </w:tr>
      <w:tr w:rsidR="009D74F9" w:rsidRPr="004B2104" w14:paraId="0C3F8206" w14:textId="77777777" w:rsidTr="009D74F9">
        <w:trPr>
          <w:trHeight w:val="20"/>
        </w:trPr>
        <w:tc>
          <w:tcPr>
            <w:tcW w:w="1484" w:type="pct"/>
            <w:vMerge/>
            <w:tcBorders>
              <w:top w:val="nil"/>
              <w:left w:val="nil"/>
              <w:bottom w:val="single" w:sz="4" w:space="0" w:color="000000"/>
              <w:right w:val="nil"/>
            </w:tcBorders>
            <w:vAlign w:val="center"/>
            <w:hideMark/>
          </w:tcPr>
          <w:p w14:paraId="0C3F8200"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01"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202" w14:textId="77777777" w:rsidR="009D74F9" w:rsidRPr="004B2104" w:rsidRDefault="009D74F9" w:rsidP="00BD7FB0">
            <w:pPr>
              <w:spacing w:before="0" w:after="0"/>
              <w:jc w:val="center"/>
              <w:rPr>
                <w:rStyle w:val="BookTitle"/>
              </w:rPr>
            </w:pPr>
            <w:r w:rsidRPr="004B2104">
              <w:rPr>
                <w:rStyle w:val="BookTitle"/>
              </w:rPr>
              <w:t>0.29</w:t>
            </w:r>
          </w:p>
        </w:tc>
        <w:tc>
          <w:tcPr>
            <w:tcW w:w="637" w:type="pct"/>
            <w:tcBorders>
              <w:top w:val="nil"/>
              <w:left w:val="nil"/>
              <w:bottom w:val="nil"/>
              <w:right w:val="nil"/>
            </w:tcBorders>
            <w:shd w:val="clear" w:color="auto" w:fill="auto"/>
            <w:noWrap/>
            <w:vAlign w:val="center"/>
            <w:hideMark/>
          </w:tcPr>
          <w:p w14:paraId="0C3F8203" w14:textId="77777777" w:rsidR="009D74F9" w:rsidRPr="004B2104" w:rsidRDefault="009D74F9" w:rsidP="00BD7FB0">
            <w:pPr>
              <w:spacing w:before="0" w:after="0"/>
              <w:jc w:val="center"/>
              <w:rPr>
                <w:rStyle w:val="BookTitle"/>
              </w:rPr>
            </w:pPr>
            <w:r w:rsidRPr="004B2104">
              <w:rPr>
                <w:rStyle w:val="BookTitle"/>
              </w:rPr>
              <w:t>0.13</w:t>
            </w:r>
          </w:p>
        </w:tc>
        <w:tc>
          <w:tcPr>
            <w:tcW w:w="675" w:type="pct"/>
            <w:tcBorders>
              <w:top w:val="nil"/>
              <w:left w:val="nil"/>
              <w:bottom w:val="nil"/>
              <w:right w:val="single" w:sz="4" w:space="0" w:color="auto"/>
            </w:tcBorders>
            <w:shd w:val="clear" w:color="auto" w:fill="auto"/>
            <w:noWrap/>
            <w:vAlign w:val="center"/>
            <w:hideMark/>
          </w:tcPr>
          <w:p w14:paraId="0C3F8204" w14:textId="77777777" w:rsidR="009D74F9" w:rsidRPr="004B2104" w:rsidRDefault="009D74F9" w:rsidP="00BD7FB0">
            <w:pPr>
              <w:spacing w:before="0" w:after="0"/>
              <w:jc w:val="center"/>
              <w:rPr>
                <w:rStyle w:val="BookTitle"/>
              </w:rPr>
            </w:pPr>
            <w:r w:rsidRPr="004B2104">
              <w:rPr>
                <w:rStyle w:val="BookTitle"/>
              </w:rPr>
              <w:t>0.29</w:t>
            </w:r>
          </w:p>
        </w:tc>
        <w:tc>
          <w:tcPr>
            <w:tcW w:w="796" w:type="pct"/>
            <w:tcBorders>
              <w:top w:val="nil"/>
              <w:left w:val="nil"/>
              <w:bottom w:val="nil"/>
              <w:right w:val="single" w:sz="4" w:space="0" w:color="auto"/>
            </w:tcBorders>
            <w:shd w:val="clear" w:color="auto" w:fill="auto"/>
            <w:noWrap/>
            <w:vAlign w:val="center"/>
            <w:hideMark/>
          </w:tcPr>
          <w:p w14:paraId="0C3F8205" w14:textId="77777777" w:rsidR="009D74F9" w:rsidRPr="004B2104" w:rsidRDefault="009D74F9" w:rsidP="00BD7FB0">
            <w:pPr>
              <w:spacing w:before="0" w:after="0"/>
              <w:jc w:val="center"/>
              <w:rPr>
                <w:rStyle w:val="BookTitle"/>
              </w:rPr>
            </w:pPr>
            <w:r w:rsidRPr="004B2104">
              <w:rPr>
                <w:rStyle w:val="BookTitle"/>
              </w:rPr>
              <w:t>0.23</w:t>
            </w:r>
          </w:p>
        </w:tc>
      </w:tr>
      <w:tr w:rsidR="009D74F9" w:rsidRPr="004B2104" w14:paraId="0C3F820D" w14:textId="77777777" w:rsidTr="009D74F9">
        <w:trPr>
          <w:trHeight w:val="20"/>
        </w:trPr>
        <w:tc>
          <w:tcPr>
            <w:tcW w:w="1484" w:type="pct"/>
            <w:vMerge/>
            <w:tcBorders>
              <w:top w:val="nil"/>
              <w:left w:val="nil"/>
              <w:bottom w:val="single" w:sz="4" w:space="0" w:color="000000"/>
              <w:right w:val="nil"/>
            </w:tcBorders>
            <w:vAlign w:val="center"/>
            <w:hideMark/>
          </w:tcPr>
          <w:p w14:paraId="0C3F8207"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08"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209" w14:textId="77777777" w:rsidR="009D74F9" w:rsidRPr="004B2104" w:rsidRDefault="009D74F9" w:rsidP="00BD7FB0">
            <w:pPr>
              <w:spacing w:before="0" w:after="0"/>
              <w:jc w:val="center"/>
              <w:rPr>
                <w:rStyle w:val="BookTitle"/>
              </w:rPr>
            </w:pPr>
            <w:r w:rsidRPr="004B2104">
              <w:rPr>
                <w:rStyle w:val="BookTitle"/>
              </w:rPr>
              <w:t>0.13</w:t>
            </w:r>
          </w:p>
        </w:tc>
        <w:tc>
          <w:tcPr>
            <w:tcW w:w="637" w:type="pct"/>
            <w:tcBorders>
              <w:top w:val="nil"/>
              <w:left w:val="nil"/>
              <w:bottom w:val="nil"/>
              <w:right w:val="nil"/>
            </w:tcBorders>
            <w:shd w:val="clear" w:color="auto" w:fill="auto"/>
            <w:noWrap/>
            <w:vAlign w:val="center"/>
            <w:hideMark/>
          </w:tcPr>
          <w:p w14:paraId="0C3F820A" w14:textId="77777777" w:rsidR="009D74F9" w:rsidRPr="004B2104" w:rsidRDefault="009D74F9" w:rsidP="00BD7FB0">
            <w:pPr>
              <w:spacing w:before="0" w:after="0"/>
              <w:jc w:val="center"/>
              <w:rPr>
                <w:rStyle w:val="BookTitle"/>
              </w:rPr>
            </w:pPr>
            <w:r w:rsidRPr="004B2104">
              <w:rPr>
                <w:rStyle w:val="BookTitle"/>
              </w:rPr>
              <w:t>0.07</w:t>
            </w:r>
          </w:p>
        </w:tc>
        <w:tc>
          <w:tcPr>
            <w:tcW w:w="675" w:type="pct"/>
            <w:tcBorders>
              <w:top w:val="nil"/>
              <w:left w:val="nil"/>
              <w:bottom w:val="nil"/>
              <w:right w:val="single" w:sz="4" w:space="0" w:color="auto"/>
            </w:tcBorders>
            <w:shd w:val="clear" w:color="auto" w:fill="auto"/>
            <w:noWrap/>
            <w:vAlign w:val="center"/>
            <w:hideMark/>
          </w:tcPr>
          <w:p w14:paraId="0C3F820B" w14:textId="77777777" w:rsidR="009D74F9" w:rsidRPr="004B2104" w:rsidRDefault="009D74F9" w:rsidP="00BD7FB0">
            <w:pPr>
              <w:spacing w:before="0" w:after="0"/>
              <w:jc w:val="center"/>
              <w:rPr>
                <w:rStyle w:val="BookTitle"/>
              </w:rPr>
            </w:pPr>
            <w:r w:rsidRPr="004B2104">
              <w:rPr>
                <w:rStyle w:val="BookTitle"/>
              </w:rPr>
              <w:t>0.13</w:t>
            </w:r>
          </w:p>
        </w:tc>
        <w:tc>
          <w:tcPr>
            <w:tcW w:w="796" w:type="pct"/>
            <w:tcBorders>
              <w:top w:val="nil"/>
              <w:left w:val="nil"/>
              <w:bottom w:val="nil"/>
              <w:right w:val="single" w:sz="4" w:space="0" w:color="auto"/>
            </w:tcBorders>
            <w:shd w:val="clear" w:color="auto" w:fill="auto"/>
            <w:noWrap/>
            <w:vAlign w:val="center"/>
            <w:hideMark/>
          </w:tcPr>
          <w:p w14:paraId="0C3F820C" w14:textId="77777777" w:rsidR="009D74F9" w:rsidRPr="004B2104" w:rsidRDefault="009D74F9" w:rsidP="00BD7FB0">
            <w:pPr>
              <w:spacing w:before="0" w:after="0"/>
              <w:jc w:val="center"/>
              <w:rPr>
                <w:rStyle w:val="BookTitle"/>
              </w:rPr>
            </w:pPr>
            <w:r w:rsidRPr="004B2104">
              <w:rPr>
                <w:rStyle w:val="BookTitle"/>
              </w:rPr>
              <w:t>0.09</w:t>
            </w:r>
          </w:p>
        </w:tc>
      </w:tr>
      <w:tr w:rsidR="009D74F9" w:rsidRPr="004B2104" w14:paraId="0C3F8214" w14:textId="77777777" w:rsidTr="009D74F9">
        <w:trPr>
          <w:trHeight w:val="20"/>
        </w:trPr>
        <w:tc>
          <w:tcPr>
            <w:tcW w:w="1484" w:type="pct"/>
            <w:vMerge/>
            <w:tcBorders>
              <w:top w:val="nil"/>
              <w:left w:val="nil"/>
              <w:bottom w:val="single" w:sz="4" w:space="0" w:color="000000"/>
              <w:right w:val="nil"/>
            </w:tcBorders>
            <w:vAlign w:val="center"/>
            <w:hideMark/>
          </w:tcPr>
          <w:p w14:paraId="0C3F820E"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0F"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210" w14:textId="77777777" w:rsidR="009D74F9" w:rsidRPr="004B2104" w:rsidRDefault="009D74F9" w:rsidP="00BD7FB0">
            <w:pPr>
              <w:spacing w:before="0" w:after="0"/>
              <w:jc w:val="center"/>
              <w:rPr>
                <w:rStyle w:val="BookTitle"/>
              </w:rPr>
            </w:pPr>
            <w:r w:rsidRPr="004B2104">
              <w:rPr>
                <w:rStyle w:val="BookTitle"/>
              </w:rPr>
              <w:t>0.06</w:t>
            </w:r>
          </w:p>
        </w:tc>
        <w:tc>
          <w:tcPr>
            <w:tcW w:w="637" w:type="pct"/>
            <w:tcBorders>
              <w:top w:val="nil"/>
              <w:left w:val="nil"/>
              <w:bottom w:val="nil"/>
              <w:right w:val="nil"/>
            </w:tcBorders>
            <w:shd w:val="clear" w:color="auto" w:fill="auto"/>
            <w:noWrap/>
            <w:vAlign w:val="center"/>
            <w:hideMark/>
          </w:tcPr>
          <w:p w14:paraId="0C3F8211" w14:textId="77777777" w:rsidR="009D74F9" w:rsidRPr="004B2104" w:rsidRDefault="009D74F9" w:rsidP="00BD7FB0">
            <w:pPr>
              <w:spacing w:before="0" w:after="0"/>
              <w:jc w:val="center"/>
              <w:rPr>
                <w:rStyle w:val="BookTitle"/>
              </w:rPr>
            </w:pPr>
            <w:r w:rsidRPr="004B2104">
              <w:rPr>
                <w:rStyle w:val="BookTitle"/>
              </w:rPr>
              <w:t>0.04</w:t>
            </w:r>
          </w:p>
        </w:tc>
        <w:tc>
          <w:tcPr>
            <w:tcW w:w="675" w:type="pct"/>
            <w:tcBorders>
              <w:top w:val="nil"/>
              <w:left w:val="nil"/>
              <w:bottom w:val="nil"/>
              <w:right w:val="single" w:sz="4" w:space="0" w:color="auto"/>
            </w:tcBorders>
            <w:shd w:val="clear" w:color="auto" w:fill="auto"/>
            <w:noWrap/>
            <w:vAlign w:val="center"/>
            <w:hideMark/>
          </w:tcPr>
          <w:p w14:paraId="0C3F8212" w14:textId="77777777" w:rsidR="009D74F9" w:rsidRPr="004B2104" w:rsidRDefault="009D74F9" w:rsidP="00BD7FB0">
            <w:pPr>
              <w:spacing w:before="0" w:after="0"/>
              <w:jc w:val="center"/>
              <w:rPr>
                <w:rStyle w:val="BookTitle"/>
              </w:rPr>
            </w:pPr>
            <w:r w:rsidRPr="004B2104">
              <w:rPr>
                <w:rStyle w:val="BookTitle"/>
              </w:rPr>
              <w:t>0.06</w:t>
            </w:r>
          </w:p>
        </w:tc>
        <w:tc>
          <w:tcPr>
            <w:tcW w:w="796" w:type="pct"/>
            <w:tcBorders>
              <w:top w:val="nil"/>
              <w:left w:val="nil"/>
              <w:bottom w:val="nil"/>
              <w:right w:val="single" w:sz="4" w:space="0" w:color="auto"/>
            </w:tcBorders>
            <w:shd w:val="clear" w:color="auto" w:fill="auto"/>
            <w:noWrap/>
            <w:vAlign w:val="center"/>
            <w:hideMark/>
          </w:tcPr>
          <w:p w14:paraId="0C3F8213" w14:textId="77777777" w:rsidR="009D74F9" w:rsidRPr="004B2104" w:rsidRDefault="009D74F9" w:rsidP="00BD7FB0">
            <w:pPr>
              <w:spacing w:before="0" w:after="0"/>
              <w:jc w:val="center"/>
              <w:rPr>
                <w:rStyle w:val="BookTitle"/>
              </w:rPr>
            </w:pPr>
            <w:r w:rsidRPr="004B2104">
              <w:rPr>
                <w:rStyle w:val="BookTitle"/>
              </w:rPr>
              <w:t>0.04</w:t>
            </w:r>
          </w:p>
        </w:tc>
      </w:tr>
      <w:tr w:rsidR="009D74F9" w:rsidRPr="004B2104" w14:paraId="0C3F821B" w14:textId="77777777" w:rsidTr="009D74F9">
        <w:trPr>
          <w:trHeight w:val="20"/>
        </w:trPr>
        <w:tc>
          <w:tcPr>
            <w:tcW w:w="1484" w:type="pct"/>
            <w:vMerge/>
            <w:tcBorders>
              <w:top w:val="nil"/>
              <w:left w:val="nil"/>
              <w:bottom w:val="single" w:sz="4" w:space="0" w:color="000000"/>
              <w:right w:val="nil"/>
            </w:tcBorders>
            <w:vAlign w:val="center"/>
            <w:hideMark/>
          </w:tcPr>
          <w:p w14:paraId="0C3F8215"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216"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217"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218"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219"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21A"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222"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21C" w14:textId="77777777" w:rsidR="009D74F9" w:rsidRPr="004B2104" w:rsidRDefault="009D74F9" w:rsidP="00BD7FB0">
            <w:pPr>
              <w:spacing w:before="0" w:after="0"/>
              <w:jc w:val="center"/>
              <w:rPr>
                <w:rStyle w:val="BookTitle"/>
              </w:rPr>
            </w:pPr>
            <w:r w:rsidRPr="004B2104">
              <w:rPr>
                <w:rStyle w:val="BookTitle"/>
              </w:rPr>
              <w:t>Particulate Nitrogen (µM)</w:t>
            </w:r>
          </w:p>
        </w:tc>
        <w:tc>
          <w:tcPr>
            <w:tcW w:w="456" w:type="pct"/>
            <w:tcBorders>
              <w:top w:val="nil"/>
              <w:left w:val="nil"/>
              <w:bottom w:val="nil"/>
              <w:right w:val="nil"/>
            </w:tcBorders>
            <w:shd w:val="clear" w:color="auto" w:fill="auto"/>
            <w:noWrap/>
            <w:vAlign w:val="center"/>
            <w:hideMark/>
          </w:tcPr>
          <w:p w14:paraId="0C3F821D"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21E" w14:textId="77777777" w:rsidR="009D74F9" w:rsidRPr="004B2104" w:rsidRDefault="009D74F9" w:rsidP="00BD7FB0">
            <w:pPr>
              <w:spacing w:before="0" w:after="0"/>
              <w:jc w:val="center"/>
              <w:rPr>
                <w:rStyle w:val="BookTitle"/>
              </w:rPr>
            </w:pPr>
            <w:r w:rsidRPr="004B2104">
              <w:rPr>
                <w:rStyle w:val="BookTitle"/>
              </w:rPr>
              <w:t>0.07</w:t>
            </w:r>
          </w:p>
        </w:tc>
        <w:tc>
          <w:tcPr>
            <w:tcW w:w="637" w:type="pct"/>
            <w:tcBorders>
              <w:top w:val="nil"/>
              <w:left w:val="nil"/>
              <w:bottom w:val="nil"/>
              <w:right w:val="nil"/>
            </w:tcBorders>
            <w:shd w:val="clear" w:color="auto" w:fill="auto"/>
            <w:noWrap/>
            <w:vAlign w:val="center"/>
            <w:hideMark/>
          </w:tcPr>
          <w:p w14:paraId="0C3F821F" w14:textId="77777777" w:rsidR="009D74F9" w:rsidRPr="004B2104" w:rsidRDefault="009D74F9" w:rsidP="00BD7FB0">
            <w:pPr>
              <w:spacing w:before="0" w:after="0"/>
              <w:jc w:val="center"/>
              <w:rPr>
                <w:rStyle w:val="BookTitle"/>
              </w:rPr>
            </w:pPr>
            <w:r w:rsidRPr="004B2104">
              <w:rPr>
                <w:rStyle w:val="BookTitle"/>
              </w:rPr>
              <w:t>0.29</w:t>
            </w:r>
          </w:p>
        </w:tc>
        <w:tc>
          <w:tcPr>
            <w:tcW w:w="675" w:type="pct"/>
            <w:tcBorders>
              <w:top w:val="nil"/>
              <w:left w:val="nil"/>
              <w:bottom w:val="nil"/>
              <w:right w:val="single" w:sz="4" w:space="0" w:color="auto"/>
            </w:tcBorders>
            <w:shd w:val="clear" w:color="auto" w:fill="auto"/>
            <w:noWrap/>
            <w:vAlign w:val="center"/>
            <w:hideMark/>
          </w:tcPr>
          <w:p w14:paraId="0C3F8220" w14:textId="77777777" w:rsidR="009D74F9" w:rsidRPr="004B2104" w:rsidRDefault="009D74F9" w:rsidP="00BD7FB0">
            <w:pPr>
              <w:spacing w:before="0" w:after="0"/>
              <w:jc w:val="center"/>
              <w:rPr>
                <w:rStyle w:val="BookTitle"/>
              </w:rPr>
            </w:pPr>
            <w:r w:rsidRPr="004B2104">
              <w:rPr>
                <w:rStyle w:val="BookTitle"/>
              </w:rPr>
              <w:t>0.29</w:t>
            </w:r>
          </w:p>
        </w:tc>
        <w:tc>
          <w:tcPr>
            <w:tcW w:w="796" w:type="pct"/>
            <w:tcBorders>
              <w:top w:val="nil"/>
              <w:left w:val="nil"/>
              <w:bottom w:val="nil"/>
              <w:right w:val="single" w:sz="4" w:space="0" w:color="auto"/>
            </w:tcBorders>
            <w:shd w:val="clear" w:color="auto" w:fill="auto"/>
            <w:noWrap/>
            <w:vAlign w:val="center"/>
            <w:hideMark/>
          </w:tcPr>
          <w:p w14:paraId="0C3F8221" w14:textId="77777777" w:rsidR="009D74F9" w:rsidRPr="004B2104" w:rsidRDefault="009D74F9" w:rsidP="00BD7FB0">
            <w:pPr>
              <w:spacing w:before="0" w:after="0"/>
              <w:jc w:val="center"/>
              <w:rPr>
                <w:rStyle w:val="BookTitle"/>
              </w:rPr>
            </w:pPr>
            <w:r w:rsidRPr="004B2104">
              <w:rPr>
                <w:rStyle w:val="BookTitle"/>
              </w:rPr>
              <w:t>0.00</w:t>
            </w:r>
          </w:p>
        </w:tc>
      </w:tr>
      <w:tr w:rsidR="009D74F9" w:rsidRPr="004B2104" w14:paraId="0C3F8229" w14:textId="77777777" w:rsidTr="009D74F9">
        <w:trPr>
          <w:trHeight w:val="20"/>
        </w:trPr>
        <w:tc>
          <w:tcPr>
            <w:tcW w:w="1484" w:type="pct"/>
            <w:vMerge/>
            <w:tcBorders>
              <w:top w:val="nil"/>
              <w:left w:val="nil"/>
              <w:bottom w:val="single" w:sz="4" w:space="0" w:color="000000"/>
              <w:right w:val="nil"/>
            </w:tcBorders>
            <w:vAlign w:val="center"/>
            <w:hideMark/>
          </w:tcPr>
          <w:p w14:paraId="0C3F8223"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24"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225" w14:textId="77777777" w:rsidR="009D74F9" w:rsidRPr="004B2104" w:rsidRDefault="009D74F9" w:rsidP="00BD7FB0">
            <w:pPr>
              <w:spacing w:before="0" w:after="0"/>
              <w:jc w:val="center"/>
              <w:rPr>
                <w:rStyle w:val="BookTitle"/>
              </w:rPr>
            </w:pPr>
            <w:r w:rsidRPr="004B2104">
              <w:rPr>
                <w:rStyle w:val="BookTitle"/>
              </w:rPr>
              <w:t>8.07</w:t>
            </w:r>
          </w:p>
        </w:tc>
        <w:tc>
          <w:tcPr>
            <w:tcW w:w="637" w:type="pct"/>
            <w:tcBorders>
              <w:top w:val="nil"/>
              <w:left w:val="nil"/>
              <w:bottom w:val="nil"/>
              <w:right w:val="nil"/>
            </w:tcBorders>
            <w:shd w:val="clear" w:color="auto" w:fill="auto"/>
            <w:noWrap/>
            <w:vAlign w:val="center"/>
            <w:hideMark/>
          </w:tcPr>
          <w:p w14:paraId="0C3F8226" w14:textId="77777777" w:rsidR="009D74F9" w:rsidRPr="004B2104" w:rsidRDefault="009D74F9" w:rsidP="00BD7FB0">
            <w:pPr>
              <w:spacing w:before="0" w:after="0"/>
              <w:jc w:val="center"/>
              <w:rPr>
                <w:rStyle w:val="BookTitle"/>
              </w:rPr>
            </w:pPr>
            <w:r w:rsidRPr="004B2104">
              <w:rPr>
                <w:rStyle w:val="BookTitle"/>
              </w:rPr>
              <w:t>4.21</w:t>
            </w:r>
          </w:p>
        </w:tc>
        <w:tc>
          <w:tcPr>
            <w:tcW w:w="675" w:type="pct"/>
            <w:tcBorders>
              <w:top w:val="nil"/>
              <w:left w:val="nil"/>
              <w:bottom w:val="nil"/>
              <w:right w:val="single" w:sz="4" w:space="0" w:color="auto"/>
            </w:tcBorders>
            <w:shd w:val="clear" w:color="auto" w:fill="auto"/>
            <w:noWrap/>
            <w:vAlign w:val="center"/>
            <w:hideMark/>
          </w:tcPr>
          <w:p w14:paraId="0C3F8227" w14:textId="77777777" w:rsidR="009D74F9" w:rsidRPr="004B2104" w:rsidRDefault="009D74F9" w:rsidP="00BD7FB0">
            <w:pPr>
              <w:spacing w:before="0" w:after="0"/>
              <w:jc w:val="center"/>
              <w:rPr>
                <w:rStyle w:val="BookTitle"/>
              </w:rPr>
            </w:pPr>
            <w:r w:rsidRPr="004B2104">
              <w:rPr>
                <w:rStyle w:val="BookTitle"/>
              </w:rPr>
              <w:t>6.43</w:t>
            </w:r>
          </w:p>
        </w:tc>
        <w:tc>
          <w:tcPr>
            <w:tcW w:w="796" w:type="pct"/>
            <w:tcBorders>
              <w:top w:val="nil"/>
              <w:left w:val="nil"/>
              <w:bottom w:val="nil"/>
              <w:right w:val="single" w:sz="4" w:space="0" w:color="auto"/>
            </w:tcBorders>
            <w:shd w:val="clear" w:color="auto" w:fill="auto"/>
            <w:noWrap/>
            <w:vAlign w:val="center"/>
            <w:hideMark/>
          </w:tcPr>
          <w:p w14:paraId="0C3F8228" w14:textId="77777777" w:rsidR="009D74F9" w:rsidRPr="004B2104" w:rsidRDefault="009D74F9" w:rsidP="00BD7FB0">
            <w:pPr>
              <w:spacing w:before="0" w:after="0"/>
              <w:jc w:val="center"/>
              <w:rPr>
                <w:rStyle w:val="BookTitle"/>
              </w:rPr>
            </w:pPr>
            <w:r w:rsidRPr="004B2104">
              <w:rPr>
                <w:rStyle w:val="BookTitle"/>
              </w:rPr>
              <w:t>8.00</w:t>
            </w:r>
          </w:p>
        </w:tc>
      </w:tr>
      <w:tr w:rsidR="009D74F9" w:rsidRPr="004B2104" w14:paraId="0C3F8230" w14:textId="77777777" w:rsidTr="009D74F9">
        <w:trPr>
          <w:trHeight w:val="20"/>
        </w:trPr>
        <w:tc>
          <w:tcPr>
            <w:tcW w:w="1484" w:type="pct"/>
            <w:vMerge/>
            <w:tcBorders>
              <w:top w:val="nil"/>
              <w:left w:val="nil"/>
              <w:bottom w:val="single" w:sz="4" w:space="0" w:color="000000"/>
              <w:right w:val="nil"/>
            </w:tcBorders>
            <w:vAlign w:val="center"/>
            <w:hideMark/>
          </w:tcPr>
          <w:p w14:paraId="0C3F822A"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2B"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22C" w14:textId="77777777" w:rsidR="009D74F9" w:rsidRPr="004B2104" w:rsidRDefault="009D74F9" w:rsidP="00BD7FB0">
            <w:pPr>
              <w:spacing w:before="0" w:after="0"/>
              <w:jc w:val="center"/>
              <w:rPr>
                <w:rStyle w:val="BookTitle"/>
              </w:rPr>
            </w:pPr>
            <w:r w:rsidRPr="004B2104">
              <w:rPr>
                <w:rStyle w:val="BookTitle"/>
              </w:rPr>
              <w:t>1.75</w:t>
            </w:r>
          </w:p>
        </w:tc>
        <w:tc>
          <w:tcPr>
            <w:tcW w:w="637" w:type="pct"/>
            <w:tcBorders>
              <w:top w:val="nil"/>
              <w:left w:val="nil"/>
              <w:bottom w:val="nil"/>
              <w:right w:val="nil"/>
            </w:tcBorders>
            <w:shd w:val="clear" w:color="auto" w:fill="auto"/>
            <w:noWrap/>
            <w:vAlign w:val="center"/>
            <w:hideMark/>
          </w:tcPr>
          <w:p w14:paraId="0C3F822D" w14:textId="77777777" w:rsidR="009D74F9" w:rsidRPr="004B2104" w:rsidRDefault="009D74F9" w:rsidP="00BD7FB0">
            <w:pPr>
              <w:spacing w:before="0" w:after="0"/>
              <w:jc w:val="center"/>
              <w:rPr>
                <w:rStyle w:val="BookTitle"/>
              </w:rPr>
            </w:pPr>
            <w:r w:rsidRPr="004B2104">
              <w:rPr>
                <w:rStyle w:val="BookTitle"/>
              </w:rPr>
              <w:t>1.30</w:t>
            </w:r>
          </w:p>
        </w:tc>
        <w:tc>
          <w:tcPr>
            <w:tcW w:w="675" w:type="pct"/>
            <w:tcBorders>
              <w:top w:val="nil"/>
              <w:left w:val="nil"/>
              <w:bottom w:val="nil"/>
              <w:right w:val="single" w:sz="4" w:space="0" w:color="auto"/>
            </w:tcBorders>
            <w:shd w:val="clear" w:color="auto" w:fill="auto"/>
            <w:noWrap/>
            <w:vAlign w:val="center"/>
            <w:hideMark/>
          </w:tcPr>
          <w:p w14:paraId="0C3F822E" w14:textId="77777777" w:rsidR="009D74F9" w:rsidRPr="004B2104" w:rsidRDefault="009D74F9" w:rsidP="00BD7FB0">
            <w:pPr>
              <w:spacing w:before="0" w:after="0"/>
              <w:jc w:val="center"/>
              <w:rPr>
                <w:rStyle w:val="BookTitle"/>
              </w:rPr>
            </w:pPr>
            <w:r w:rsidRPr="004B2104">
              <w:rPr>
                <w:rStyle w:val="BookTitle"/>
              </w:rPr>
              <w:t>2.34</w:t>
            </w:r>
          </w:p>
        </w:tc>
        <w:tc>
          <w:tcPr>
            <w:tcW w:w="796" w:type="pct"/>
            <w:tcBorders>
              <w:top w:val="nil"/>
              <w:left w:val="nil"/>
              <w:bottom w:val="nil"/>
              <w:right w:val="single" w:sz="4" w:space="0" w:color="auto"/>
            </w:tcBorders>
            <w:shd w:val="clear" w:color="auto" w:fill="auto"/>
            <w:noWrap/>
            <w:vAlign w:val="center"/>
            <w:hideMark/>
          </w:tcPr>
          <w:p w14:paraId="0C3F822F" w14:textId="77777777" w:rsidR="009D74F9" w:rsidRPr="004B2104" w:rsidRDefault="009D74F9" w:rsidP="00BD7FB0">
            <w:pPr>
              <w:spacing w:before="0" w:after="0"/>
              <w:jc w:val="center"/>
              <w:rPr>
                <w:rStyle w:val="BookTitle"/>
              </w:rPr>
            </w:pPr>
            <w:r w:rsidRPr="004B2104">
              <w:rPr>
                <w:rStyle w:val="BookTitle"/>
              </w:rPr>
              <w:t>2.15</w:t>
            </w:r>
          </w:p>
        </w:tc>
      </w:tr>
      <w:tr w:rsidR="009D74F9" w:rsidRPr="004B2104" w14:paraId="0C3F8237" w14:textId="77777777" w:rsidTr="009D74F9">
        <w:trPr>
          <w:trHeight w:val="20"/>
        </w:trPr>
        <w:tc>
          <w:tcPr>
            <w:tcW w:w="1484" w:type="pct"/>
            <w:vMerge/>
            <w:tcBorders>
              <w:top w:val="nil"/>
              <w:left w:val="nil"/>
              <w:bottom w:val="single" w:sz="4" w:space="0" w:color="000000"/>
              <w:right w:val="nil"/>
            </w:tcBorders>
            <w:vAlign w:val="center"/>
            <w:hideMark/>
          </w:tcPr>
          <w:p w14:paraId="0C3F8231"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32"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233" w14:textId="77777777" w:rsidR="009D74F9" w:rsidRPr="004B2104" w:rsidRDefault="009D74F9" w:rsidP="00BD7FB0">
            <w:pPr>
              <w:spacing w:before="0" w:after="0"/>
              <w:jc w:val="center"/>
              <w:rPr>
                <w:rStyle w:val="BookTitle"/>
              </w:rPr>
            </w:pPr>
            <w:r w:rsidRPr="004B2104">
              <w:rPr>
                <w:rStyle w:val="BookTitle"/>
              </w:rPr>
              <w:t>1.82</w:t>
            </w:r>
          </w:p>
        </w:tc>
        <w:tc>
          <w:tcPr>
            <w:tcW w:w="637" w:type="pct"/>
            <w:tcBorders>
              <w:top w:val="nil"/>
              <w:left w:val="nil"/>
              <w:bottom w:val="nil"/>
              <w:right w:val="nil"/>
            </w:tcBorders>
            <w:shd w:val="clear" w:color="auto" w:fill="auto"/>
            <w:noWrap/>
            <w:vAlign w:val="center"/>
            <w:hideMark/>
          </w:tcPr>
          <w:p w14:paraId="0C3F8234" w14:textId="77777777" w:rsidR="009D74F9" w:rsidRPr="004B2104" w:rsidRDefault="009D74F9" w:rsidP="00BD7FB0">
            <w:pPr>
              <w:spacing w:before="0" w:after="0"/>
              <w:jc w:val="center"/>
              <w:rPr>
                <w:rStyle w:val="BookTitle"/>
              </w:rPr>
            </w:pPr>
            <w:r w:rsidRPr="004B2104">
              <w:rPr>
                <w:rStyle w:val="BookTitle"/>
              </w:rPr>
              <w:t>1.18</w:t>
            </w:r>
          </w:p>
        </w:tc>
        <w:tc>
          <w:tcPr>
            <w:tcW w:w="675" w:type="pct"/>
            <w:tcBorders>
              <w:top w:val="nil"/>
              <w:left w:val="nil"/>
              <w:bottom w:val="nil"/>
              <w:right w:val="single" w:sz="4" w:space="0" w:color="auto"/>
            </w:tcBorders>
            <w:shd w:val="clear" w:color="auto" w:fill="auto"/>
            <w:noWrap/>
            <w:vAlign w:val="center"/>
            <w:hideMark/>
          </w:tcPr>
          <w:p w14:paraId="0C3F8235" w14:textId="77777777" w:rsidR="009D74F9" w:rsidRPr="004B2104" w:rsidRDefault="009D74F9" w:rsidP="00BD7FB0">
            <w:pPr>
              <w:spacing w:before="0" w:after="0"/>
              <w:jc w:val="center"/>
              <w:rPr>
                <w:rStyle w:val="BookTitle"/>
              </w:rPr>
            </w:pPr>
            <w:r w:rsidRPr="004B2104">
              <w:rPr>
                <w:rStyle w:val="BookTitle"/>
              </w:rPr>
              <w:t>1.87</w:t>
            </w:r>
          </w:p>
        </w:tc>
        <w:tc>
          <w:tcPr>
            <w:tcW w:w="796" w:type="pct"/>
            <w:tcBorders>
              <w:top w:val="nil"/>
              <w:left w:val="nil"/>
              <w:bottom w:val="nil"/>
              <w:right w:val="single" w:sz="4" w:space="0" w:color="auto"/>
            </w:tcBorders>
            <w:shd w:val="clear" w:color="auto" w:fill="auto"/>
            <w:noWrap/>
            <w:vAlign w:val="center"/>
            <w:hideMark/>
          </w:tcPr>
          <w:p w14:paraId="0C3F8236" w14:textId="77777777" w:rsidR="009D74F9" w:rsidRPr="004B2104" w:rsidRDefault="009D74F9" w:rsidP="00BD7FB0">
            <w:pPr>
              <w:spacing w:before="0" w:after="0"/>
              <w:jc w:val="center"/>
              <w:rPr>
                <w:rStyle w:val="BookTitle"/>
              </w:rPr>
            </w:pPr>
            <w:r w:rsidRPr="004B2104">
              <w:rPr>
                <w:rStyle w:val="BookTitle"/>
              </w:rPr>
              <w:t>1.99</w:t>
            </w:r>
          </w:p>
        </w:tc>
      </w:tr>
      <w:tr w:rsidR="009D74F9" w:rsidRPr="004B2104" w14:paraId="0C3F823E" w14:textId="77777777" w:rsidTr="009D74F9">
        <w:trPr>
          <w:trHeight w:val="20"/>
        </w:trPr>
        <w:tc>
          <w:tcPr>
            <w:tcW w:w="1484" w:type="pct"/>
            <w:vMerge/>
            <w:tcBorders>
              <w:top w:val="nil"/>
              <w:left w:val="nil"/>
              <w:bottom w:val="single" w:sz="4" w:space="0" w:color="000000"/>
              <w:right w:val="nil"/>
            </w:tcBorders>
            <w:vAlign w:val="center"/>
            <w:hideMark/>
          </w:tcPr>
          <w:p w14:paraId="0C3F8238"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239"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23A"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23B"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23C"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23D"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245"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23F" w14:textId="77777777" w:rsidR="009D74F9" w:rsidRPr="004B2104" w:rsidRDefault="009D74F9" w:rsidP="00BD7FB0">
            <w:pPr>
              <w:spacing w:before="0" w:after="0"/>
              <w:jc w:val="center"/>
              <w:rPr>
                <w:rStyle w:val="BookTitle"/>
              </w:rPr>
            </w:pPr>
            <w:r w:rsidRPr="004B2104">
              <w:rPr>
                <w:rStyle w:val="BookTitle"/>
              </w:rPr>
              <w:t>Particulate Phosphorus (µM)</w:t>
            </w:r>
          </w:p>
        </w:tc>
        <w:tc>
          <w:tcPr>
            <w:tcW w:w="456" w:type="pct"/>
            <w:tcBorders>
              <w:top w:val="nil"/>
              <w:left w:val="nil"/>
              <w:bottom w:val="nil"/>
              <w:right w:val="nil"/>
            </w:tcBorders>
            <w:shd w:val="clear" w:color="auto" w:fill="auto"/>
            <w:noWrap/>
            <w:vAlign w:val="center"/>
            <w:hideMark/>
          </w:tcPr>
          <w:p w14:paraId="0C3F8240"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241" w14:textId="77777777" w:rsidR="009D74F9" w:rsidRPr="004B2104" w:rsidRDefault="009D74F9" w:rsidP="00BD7FB0">
            <w:pPr>
              <w:spacing w:before="0" w:after="0"/>
              <w:jc w:val="center"/>
              <w:rPr>
                <w:rStyle w:val="BookTitle"/>
              </w:rPr>
            </w:pPr>
            <w:r w:rsidRPr="004B2104">
              <w:rPr>
                <w:rStyle w:val="BookTitle"/>
              </w:rPr>
              <w:t>0.00</w:t>
            </w:r>
          </w:p>
        </w:tc>
        <w:tc>
          <w:tcPr>
            <w:tcW w:w="637" w:type="pct"/>
            <w:tcBorders>
              <w:top w:val="nil"/>
              <w:left w:val="nil"/>
              <w:bottom w:val="nil"/>
              <w:right w:val="nil"/>
            </w:tcBorders>
            <w:shd w:val="clear" w:color="auto" w:fill="auto"/>
            <w:noWrap/>
            <w:vAlign w:val="center"/>
            <w:hideMark/>
          </w:tcPr>
          <w:p w14:paraId="0C3F8242" w14:textId="77777777" w:rsidR="009D74F9" w:rsidRPr="004B2104" w:rsidRDefault="009D74F9" w:rsidP="00BD7FB0">
            <w:pPr>
              <w:spacing w:before="0" w:after="0"/>
              <w:jc w:val="center"/>
              <w:rPr>
                <w:rStyle w:val="BookTitle"/>
              </w:rPr>
            </w:pPr>
            <w:r w:rsidRPr="004B2104">
              <w:rPr>
                <w:rStyle w:val="BookTitle"/>
              </w:rPr>
              <w:t>0.00</w:t>
            </w:r>
          </w:p>
        </w:tc>
        <w:tc>
          <w:tcPr>
            <w:tcW w:w="675" w:type="pct"/>
            <w:tcBorders>
              <w:top w:val="nil"/>
              <w:left w:val="nil"/>
              <w:bottom w:val="nil"/>
              <w:right w:val="single" w:sz="4" w:space="0" w:color="auto"/>
            </w:tcBorders>
            <w:shd w:val="clear" w:color="auto" w:fill="auto"/>
            <w:noWrap/>
            <w:vAlign w:val="center"/>
            <w:hideMark/>
          </w:tcPr>
          <w:p w14:paraId="0C3F8243" w14:textId="77777777" w:rsidR="009D74F9" w:rsidRPr="004B2104" w:rsidRDefault="009D74F9" w:rsidP="00BD7FB0">
            <w:pPr>
              <w:spacing w:before="0" w:after="0"/>
              <w:jc w:val="center"/>
              <w:rPr>
                <w:rStyle w:val="BookTitle"/>
              </w:rPr>
            </w:pPr>
            <w:r w:rsidRPr="004B2104">
              <w:rPr>
                <w:rStyle w:val="BookTitle"/>
              </w:rPr>
              <w:t>0.00</w:t>
            </w:r>
          </w:p>
        </w:tc>
        <w:tc>
          <w:tcPr>
            <w:tcW w:w="796" w:type="pct"/>
            <w:tcBorders>
              <w:top w:val="nil"/>
              <w:left w:val="nil"/>
              <w:bottom w:val="nil"/>
              <w:right w:val="single" w:sz="4" w:space="0" w:color="auto"/>
            </w:tcBorders>
            <w:shd w:val="clear" w:color="auto" w:fill="auto"/>
            <w:noWrap/>
            <w:vAlign w:val="center"/>
            <w:hideMark/>
          </w:tcPr>
          <w:p w14:paraId="0C3F8244" w14:textId="77777777" w:rsidR="009D74F9" w:rsidRPr="004B2104" w:rsidRDefault="009D74F9" w:rsidP="00BD7FB0">
            <w:pPr>
              <w:spacing w:before="0" w:after="0"/>
              <w:jc w:val="center"/>
              <w:rPr>
                <w:rStyle w:val="BookTitle"/>
              </w:rPr>
            </w:pPr>
            <w:r w:rsidRPr="004B2104">
              <w:rPr>
                <w:rStyle w:val="BookTitle"/>
              </w:rPr>
              <w:t>0.00</w:t>
            </w:r>
          </w:p>
        </w:tc>
      </w:tr>
      <w:tr w:rsidR="009D74F9" w:rsidRPr="004B2104" w14:paraId="0C3F824C" w14:textId="77777777" w:rsidTr="009D74F9">
        <w:trPr>
          <w:trHeight w:val="20"/>
        </w:trPr>
        <w:tc>
          <w:tcPr>
            <w:tcW w:w="1484" w:type="pct"/>
            <w:vMerge/>
            <w:tcBorders>
              <w:top w:val="nil"/>
              <w:left w:val="nil"/>
              <w:bottom w:val="single" w:sz="4" w:space="0" w:color="000000"/>
              <w:right w:val="nil"/>
            </w:tcBorders>
            <w:vAlign w:val="center"/>
            <w:hideMark/>
          </w:tcPr>
          <w:p w14:paraId="0C3F8246"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47"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248" w14:textId="77777777" w:rsidR="009D74F9" w:rsidRPr="004B2104" w:rsidRDefault="009D74F9" w:rsidP="00BD7FB0">
            <w:pPr>
              <w:spacing w:before="0" w:after="0"/>
              <w:jc w:val="center"/>
              <w:rPr>
                <w:rStyle w:val="BookTitle"/>
              </w:rPr>
            </w:pPr>
            <w:r w:rsidRPr="004B2104">
              <w:rPr>
                <w:rStyle w:val="BookTitle"/>
              </w:rPr>
              <w:t>0.32</w:t>
            </w:r>
          </w:p>
        </w:tc>
        <w:tc>
          <w:tcPr>
            <w:tcW w:w="637" w:type="pct"/>
            <w:tcBorders>
              <w:top w:val="nil"/>
              <w:left w:val="nil"/>
              <w:bottom w:val="nil"/>
              <w:right w:val="nil"/>
            </w:tcBorders>
            <w:shd w:val="clear" w:color="auto" w:fill="auto"/>
            <w:noWrap/>
            <w:vAlign w:val="center"/>
            <w:hideMark/>
          </w:tcPr>
          <w:p w14:paraId="0C3F8249" w14:textId="77777777" w:rsidR="009D74F9" w:rsidRPr="004B2104" w:rsidRDefault="009D74F9" w:rsidP="00BD7FB0">
            <w:pPr>
              <w:spacing w:before="0" w:after="0"/>
              <w:jc w:val="center"/>
              <w:rPr>
                <w:rStyle w:val="BookTitle"/>
              </w:rPr>
            </w:pPr>
            <w:r w:rsidRPr="004B2104">
              <w:rPr>
                <w:rStyle w:val="BookTitle"/>
              </w:rPr>
              <w:t>0.16</w:t>
            </w:r>
          </w:p>
        </w:tc>
        <w:tc>
          <w:tcPr>
            <w:tcW w:w="675" w:type="pct"/>
            <w:tcBorders>
              <w:top w:val="nil"/>
              <w:left w:val="nil"/>
              <w:bottom w:val="nil"/>
              <w:right w:val="single" w:sz="4" w:space="0" w:color="auto"/>
            </w:tcBorders>
            <w:shd w:val="clear" w:color="auto" w:fill="auto"/>
            <w:noWrap/>
            <w:vAlign w:val="center"/>
            <w:hideMark/>
          </w:tcPr>
          <w:p w14:paraId="0C3F824A" w14:textId="77777777" w:rsidR="009D74F9" w:rsidRPr="004B2104" w:rsidRDefault="009D74F9" w:rsidP="00BD7FB0">
            <w:pPr>
              <w:spacing w:before="0" w:after="0"/>
              <w:jc w:val="center"/>
              <w:rPr>
                <w:rStyle w:val="BookTitle"/>
              </w:rPr>
            </w:pPr>
            <w:r w:rsidRPr="004B2104">
              <w:rPr>
                <w:rStyle w:val="BookTitle"/>
              </w:rPr>
              <w:t>0.87</w:t>
            </w:r>
          </w:p>
        </w:tc>
        <w:tc>
          <w:tcPr>
            <w:tcW w:w="796" w:type="pct"/>
            <w:tcBorders>
              <w:top w:val="nil"/>
              <w:left w:val="nil"/>
              <w:bottom w:val="nil"/>
              <w:right w:val="single" w:sz="4" w:space="0" w:color="auto"/>
            </w:tcBorders>
            <w:shd w:val="clear" w:color="auto" w:fill="auto"/>
            <w:noWrap/>
            <w:vAlign w:val="center"/>
            <w:hideMark/>
          </w:tcPr>
          <w:p w14:paraId="0C3F824B" w14:textId="77777777" w:rsidR="009D74F9" w:rsidRPr="004B2104" w:rsidRDefault="009D74F9" w:rsidP="00BD7FB0">
            <w:pPr>
              <w:spacing w:before="0" w:after="0"/>
              <w:jc w:val="center"/>
              <w:rPr>
                <w:rStyle w:val="BookTitle"/>
              </w:rPr>
            </w:pPr>
            <w:r w:rsidRPr="004B2104">
              <w:rPr>
                <w:rStyle w:val="BookTitle"/>
              </w:rPr>
              <w:t>0.23</w:t>
            </w:r>
          </w:p>
        </w:tc>
      </w:tr>
      <w:tr w:rsidR="009D74F9" w:rsidRPr="004B2104" w14:paraId="0C3F8253" w14:textId="77777777" w:rsidTr="009D74F9">
        <w:trPr>
          <w:trHeight w:val="20"/>
        </w:trPr>
        <w:tc>
          <w:tcPr>
            <w:tcW w:w="1484" w:type="pct"/>
            <w:vMerge/>
            <w:tcBorders>
              <w:top w:val="nil"/>
              <w:left w:val="nil"/>
              <w:bottom w:val="single" w:sz="4" w:space="0" w:color="000000"/>
              <w:right w:val="nil"/>
            </w:tcBorders>
            <w:vAlign w:val="center"/>
            <w:hideMark/>
          </w:tcPr>
          <w:p w14:paraId="0C3F824D"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4E"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24F" w14:textId="77777777" w:rsidR="009D74F9" w:rsidRPr="004B2104" w:rsidRDefault="009D74F9" w:rsidP="00BD7FB0">
            <w:pPr>
              <w:spacing w:before="0" w:after="0"/>
              <w:jc w:val="center"/>
              <w:rPr>
                <w:rStyle w:val="BookTitle"/>
              </w:rPr>
            </w:pPr>
            <w:r w:rsidRPr="004B2104">
              <w:rPr>
                <w:rStyle w:val="BookTitle"/>
              </w:rPr>
              <w:t>0.08</w:t>
            </w:r>
          </w:p>
        </w:tc>
        <w:tc>
          <w:tcPr>
            <w:tcW w:w="637" w:type="pct"/>
            <w:tcBorders>
              <w:top w:val="nil"/>
              <w:left w:val="nil"/>
              <w:bottom w:val="nil"/>
              <w:right w:val="nil"/>
            </w:tcBorders>
            <w:shd w:val="clear" w:color="auto" w:fill="auto"/>
            <w:noWrap/>
            <w:vAlign w:val="center"/>
            <w:hideMark/>
          </w:tcPr>
          <w:p w14:paraId="0C3F8250" w14:textId="77777777" w:rsidR="009D74F9" w:rsidRPr="004B2104" w:rsidRDefault="009D74F9" w:rsidP="00BD7FB0">
            <w:pPr>
              <w:spacing w:before="0" w:after="0"/>
              <w:jc w:val="center"/>
              <w:rPr>
                <w:rStyle w:val="BookTitle"/>
              </w:rPr>
            </w:pPr>
            <w:r w:rsidRPr="004B2104">
              <w:rPr>
                <w:rStyle w:val="BookTitle"/>
              </w:rPr>
              <w:t>0.04</w:t>
            </w:r>
          </w:p>
        </w:tc>
        <w:tc>
          <w:tcPr>
            <w:tcW w:w="675" w:type="pct"/>
            <w:tcBorders>
              <w:top w:val="nil"/>
              <w:left w:val="nil"/>
              <w:bottom w:val="nil"/>
              <w:right w:val="single" w:sz="4" w:space="0" w:color="auto"/>
            </w:tcBorders>
            <w:shd w:val="clear" w:color="auto" w:fill="auto"/>
            <w:noWrap/>
            <w:vAlign w:val="center"/>
            <w:hideMark/>
          </w:tcPr>
          <w:p w14:paraId="0C3F8251" w14:textId="77777777" w:rsidR="009D74F9" w:rsidRPr="004B2104" w:rsidRDefault="009D74F9" w:rsidP="00BD7FB0">
            <w:pPr>
              <w:spacing w:before="0" w:after="0"/>
              <w:jc w:val="center"/>
              <w:rPr>
                <w:rStyle w:val="BookTitle"/>
              </w:rPr>
            </w:pPr>
            <w:r w:rsidRPr="004B2104">
              <w:rPr>
                <w:rStyle w:val="BookTitle"/>
              </w:rPr>
              <w:t>0.15</w:t>
            </w:r>
          </w:p>
        </w:tc>
        <w:tc>
          <w:tcPr>
            <w:tcW w:w="796" w:type="pct"/>
            <w:tcBorders>
              <w:top w:val="nil"/>
              <w:left w:val="nil"/>
              <w:bottom w:val="nil"/>
              <w:right w:val="single" w:sz="4" w:space="0" w:color="auto"/>
            </w:tcBorders>
            <w:shd w:val="clear" w:color="auto" w:fill="auto"/>
            <w:noWrap/>
            <w:vAlign w:val="center"/>
            <w:hideMark/>
          </w:tcPr>
          <w:p w14:paraId="0C3F8252" w14:textId="77777777" w:rsidR="009D74F9" w:rsidRPr="004B2104" w:rsidRDefault="009D74F9" w:rsidP="00BD7FB0">
            <w:pPr>
              <w:spacing w:before="0" w:after="0"/>
              <w:jc w:val="center"/>
              <w:rPr>
                <w:rStyle w:val="BookTitle"/>
              </w:rPr>
            </w:pPr>
            <w:r w:rsidRPr="004B2104">
              <w:rPr>
                <w:rStyle w:val="BookTitle"/>
              </w:rPr>
              <w:t>0.06</w:t>
            </w:r>
          </w:p>
        </w:tc>
      </w:tr>
      <w:tr w:rsidR="009D74F9" w:rsidRPr="004B2104" w14:paraId="0C3F825A" w14:textId="77777777" w:rsidTr="009D74F9">
        <w:trPr>
          <w:trHeight w:val="20"/>
        </w:trPr>
        <w:tc>
          <w:tcPr>
            <w:tcW w:w="1484" w:type="pct"/>
            <w:vMerge/>
            <w:tcBorders>
              <w:top w:val="nil"/>
              <w:left w:val="nil"/>
              <w:bottom w:val="single" w:sz="4" w:space="0" w:color="000000"/>
              <w:right w:val="nil"/>
            </w:tcBorders>
            <w:vAlign w:val="center"/>
            <w:hideMark/>
          </w:tcPr>
          <w:p w14:paraId="0C3F8254"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55"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256" w14:textId="77777777" w:rsidR="009D74F9" w:rsidRPr="004B2104" w:rsidRDefault="009D74F9" w:rsidP="00BD7FB0">
            <w:pPr>
              <w:spacing w:before="0" w:after="0"/>
              <w:jc w:val="center"/>
              <w:rPr>
                <w:rStyle w:val="BookTitle"/>
              </w:rPr>
            </w:pPr>
            <w:r w:rsidRPr="004B2104">
              <w:rPr>
                <w:rStyle w:val="BookTitle"/>
              </w:rPr>
              <w:t>0.07</w:t>
            </w:r>
          </w:p>
        </w:tc>
        <w:tc>
          <w:tcPr>
            <w:tcW w:w="637" w:type="pct"/>
            <w:tcBorders>
              <w:top w:val="nil"/>
              <w:left w:val="nil"/>
              <w:bottom w:val="nil"/>
              <w:right w:val="nil"/>
            </w:tcBorders>
            <w:shd w:val="clear" w:color="auto" w:fill="auto"/>
            <w:noWrap/>
            <w:vAlign w:val="center"/>
            <w:hideMark/>
          </w:tcPr>
          <w:p w14:paraId="0C3F8257" w14:textId="77777777" w:rsidR="009D74F9" w:rsidRPr="004B2104" w:rsidRDefault="009D74F9" w:rsidP="00BD7FB0">
            <w:pPr>
              <w:spacing w:before="0" w:after="0"/>
              <w:jc w:val="center"/>
              <w:rPr>
                <w:rStyle w:val="BookTitle"/>
              </w:rPr>
            </w:pPr>
            <w:r w:rsidRPr="004B2104">
              <w:rPr>
                <w:rStyle w:val="BookTitle"/>
              </w:rPr>
              <w:t>0.05</w:t>
            </w:r>
          </w:p>
        </w:tc>
        <w:tc>
          <w:tcPr>
            <w:tcW w:w="675" w:type="pct"/>
            <w:tcBorders>
              <w:top w:val="nil"/>
              <w:left w:val="nil"/>
              <w:bottom w:val="nil"/>
              <w:right w:val="single" w:sz="4" w:space="0" w:color="auto"/>
            </w:tcBorders>
            <w:shd w:val="clear" w:color="auto" w:fill="auto"/>
            <w:noWrap/>
            <w:vAlign w:val="center"/>
            <w:hideMark/>
          </w:tcPr>
          <w:p w14:paraId="0C3F8258" w14:textId="77777777" w:rsidR="009D74F9" w:rsidRPr="004B2104" w:rsidRDefault="009D74F9" w:rsidP="00BD7FB0">
            <w:pPr>
              <w:spacing w:before="0" w:after="0"/>
              <w:jc w:val="center"/>
              <w:rPr>
                <w:rStyle w:val="BookTitle"/>
              </w:rPr>
            </w:pPr>
            <w:r w:rsidRPr="004B2104">
              <w:rPr>
                <w:rStyle w:val="BookTitle"/>
              </w:rPr>
              <w:t>0.25</w:t>
            </w:r>
          </w:p>
        </w:tc>
        <w:tc>
          <w:tcPr>
            <w:tcW w:w="796" w:type="pct"/>
            <w:tcBorders>
              <w:top w:val="nil"/>
              <w:left w:val="nil"/>
              <w:bottom w:val="nil"/>
              <w:right w:val="single" w:sz="4" w:space="0" w:color="auto"/>
            </w:tcBorders>
            <w:shd w:val="clear" w:color="auto" w:fill="auto"/>
            <w:noWrap/>
            <w:vAlign w:val="center"/>
            <w:hideMark/>
          </w:tcPr>
          <w:p w14:paraId="0C3F8259" w14:textId="77777777" w:rsidR="009D74F9" w:rsidRPr="004B2104" w:rsidRDefault="009D74F9" w:rsidP="00BD7FB0">
            <w:pPr>
              <w:spacing w:before="0" w:after="0"/>
              <w:jc w:val="center"/>
              <w:rPr>
                <w:rStyle w:val="BookTitle"/>
              </w:rPr>
            </w:pPr>
            <w:r w:rsidRPr="004B2104">
              <w:rPr>
                <w:rStyle w:val="BookTitle"/>
              </w:rPr>
              <w:t>0.06</w:t>
            </w:r>
          </w:p>
        </w:tc>
      </w:tr>
      <w:tr w:rsidR="009D74F9" w:rsidRPr="004B2104" w14:paraId="0C3F8261" w14:textId="77777777" w:rsidTr="009D74F9">
        <w:trPr>
          <w:trHeight w:val="20"/>
        </w:trPr>
        <w:tc>
          <w:tcPr>
            <w:tcW w:w="1484" w:type="pct"/>
            <w:vMerge/>
            <w:tcBorders>
              <w:top w:val="nil"/>
              <w:left w:val="nil"/>
              <w:bottom w:val="single" w:sz="4" w:space="0" w:color="000000"/>
              <w:right w:val="nil"/>
            </w:tcBorders>
            <w:vAlign w:val="center"/>
            <w:hideMark/>
          </w:tcPr>
          <w:p w14:paraId="0C3F825B"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25C"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25D" w14:textId="77777777" w:rsidR="009D74F9" w:rsidRPr="004B2104" w:rsidRDefault="009D74F9" w:rsidP="00BD7FB0">
            <w:pPr>
              <w:spacing w:before="0" w:after="0"/>
              <w:jc w:val="center"/>
              <w:rPr>
                <w:rStyle w:val="BookTitle"/>
              </w:rPr>
            </w:pPr>
            <w:r w:rsidRPr="004B2104">
              <w:rPr>
                <w:rStyle w:val="BookTitle"/>
              </w:rPr>
              <w:t>46</w:t>
            </w:r>
          </w:p>
        </w:tc>
        <w:tc>
          <w:tcPr>
            <w:tcW w:w="637" w:type="pct"/>
            <w:tcBorders>
              <w:top w:val="nil"/>
              <w:left w:val="nil"/>
              <w:bottom w:val="single" w:sz="4" w:space="0" w:color="auto"/>
              <w:right w:val="nil"/>
            </w:tcBorders>
            <w:shd w:val="clear" w:color="auto" w:fill="auto"/>
            <w:noWrap/>
            <w:vAlign w:val="center"/>
            <w:hideMark/>
          </w:tcPr>
          <w:p w14:paraId="0C3F825E"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25F" w14:textId="77777777" w:rsidR="009D74F9" w:rsidRPr="004B2104" w:rsidRDefault="009D74F9" w:rsidP="00BD7FB0">
            <w:pPr>
              <w:spacing w:before="0" w:after="0"/>
              <w:jc w:val="center"/>
              <w:rPr>
                <w:rStyle w:val="BookTitle"/>
              </w:rPr>
            </w:pPr>
            <w:r w:rsidRPr="004B2104">
              <w:rPr>
                <w:rStyle w:val="BookTitle"/>
              </w:rPr>
              <w:t>14</w:t>
            </w:r>
          </w:p>
        </w:tc>
        <w:tc>
          <w:tcPr>
            <w:tcW w:w="796" w:type="pct"/>
            <w:tcBorders>
              <w:top w:val="nil"/>
              <w:left w:val="nil"/>
              <w:bottom w:val="single" w:sz="4" w:space="0" w:color="auto"/>
              <w:right w:val="single" w:sz="4" w:space="0" w:color="auto"/>
            </w:tcBorders>
            <w:shd w:val="clear" w:color="auto" w:fill="auto"/>
            <w:noWrap/>
            <w:vAlign w:val="center"/>
            <w:hideMark/>
          </w:tcPr>
          <w:p w14:paraId="0C3F8260" w14:textId="77777777" w:rsidR="009D74F9" w:rsidRPr="004B2104" w:rsidRDefault="009D74F9" w:rsidP="00BD7FB0">
            <w:pPr>
              <w:spacing w:before="0" w:after="0"/>
              <w:jc w:val="center"/>
              <w:rPr>
                <w:rStyle w:val="BookTitle"/>
              </w:rPr>
            </w:pPr>
            <w:r w:rsidRPr="004B2104">
              <w:rPr>
                <w:rStyle w:val="BookTitle"/>
              </w:rPr>
              <w:t>25</w:t>
            </w:r>
          </w:p>
        </w:tc>
      </w:tr>
      <w:tr w:rsidR="009D74F9" w:rsidRPr="004B2104" w14:paraId="0C3F8268" w14:textId="77777777" w:rsidTr="009D74F9">
        <w:trPr>
          <w:trHeight w:val="20"/>
        </w:trPr>
        <w:tc>
          <w:tcPr>
            <w:tcW w:w="1484" w:type="pct"/>
            <w:vMerge w:val="restart"/>
            <w:tcBorders>
              <w:top w:val="nil"/>
              <w:left w:val="nil"/>
              <w:bottom w:val="single" w:sz="4" w:space="0" w:color="000000"/>
              <w:right w:val="nil"/>
            </w:tcBorders>
            <w:shd w:val="clear" w:color="auto" w:fill="auto"/>
            <w:vAlign w:val="center"/>
            <w:hideMark/>
          </w:tcPr>
          <w:p w14:paraId="0C3F8262" w14:textId="77777777" w:rsidR="009D74F9" w:rsidRPr="004B2104" w:rsidRDefault="009D74F9" w:rsidP="00BD7FB0">
            <w:pPr>
              <w:spacing w:before="0" w:after="0"/>
              <w:jc w:val="center"/>
              <w:rPr>
                <w:rStyle w:val="BookTitle"/>
              </w:rPr>
            </w:pPr>
            <w:r w:rsidRPr="004B2104">
              <w:rPr>
                <w:rStyle w:val="BookTitle"/>
              </w:rPr>
              <w:t>Silica (µM)</w:t>
            </w:r>
          </w:p>
        </w:tc>
        <w:tc>
          <w:tcPr>
            <w:tcW w:w="456" w:type="pct"/>
            <w:tcBorders>
              <w:top w:val="nil"/>
              <w:left w:val="nil"/>
              <w:bottom w:val="nil"/>
              <w:right w:val="nil"/>
            </w:tcBorders>
            <w:shd w:val="clear" w:color="auto" w:fill="auto"/>
            <w:noWrap/>
            <w:vAlign w:val="center"/>
            <w:hideMark/>
          </w:tcPr>
          <w:p w14:paraId="0C3F8263" w14:textId="77777777" w:rsidR="009D74F9" w:rsidRPr="004B2104" w:rsidRDefault="009D74F9" w:rsidP="00BD7FB0">
            <w:pPr>
              <w:spacing w:before="0" w:after="0"/>
              <w:jc w:val="left"/>
              <w:rPr>
                <w:rStyle w:val="BookTitle"/>
              </w:rPr>
            </w:pPr>
            <w:r w:rsidRPr="004B2104">
              <w:rPr>
                <w:rStyle w:val="BookTitle"/>
              </w:rPr>
              <w:t>Min.</w:t>
            </w:r>
          </w:p>
        </w:tc>
        <w:tc>
          <w:tcPr>
            <w:tcW w:w="952" w:type="pct"/>
            <w:tcBorders>
              <w:top w:val="nil"/>
              <w:left w:val="nil"/>
              <w:bottom w:val="nil"/>
              <w:right w:val="nil"/>
            </w:tcBorders>
            <w:shd w:val="clear" w:color="auto" w:fill="auto"/>
            <w:noWrap/>
            <w:vAlign w:val="center"/>
            <w:hideMark/>
          </w:tcPr>
          <w:p w14:paraId="0C3F8264" w14:textId="77777777" w:rsidR="009D74F9" w:rsidRPr="004B2104" w:rsidRDefault="009D74F9" w:rsidP="00BD7FB0">
            <w:pPr>
              <w:spacing w:before="0" w:after="0"/>
              <w:jc w:val="center"/>
              <w:rPr>
                <w:rStyle w:val="BookTitle"/>
              </w:rPr>
            </w:pPr>
            <w:r w:rsidRPr="004B2104">
              <w:rPr>
                <w:rStyle w:val="BookTitle"/>
              </w:rPr>
              <w:t>1.66</w:t>
            </w:r>
          </w:p>
        </w:tc>
        <w:tc>
          <w:tcPr>
            <w:tcW w:w="637" w:type="pct"/>
            <w:tcBorders>
              <w:top w:val="nil"/>
              <w:left w:val="nil"/>
              <w:bottom w:val="nil"/>
              <w:right w:val="nil"/>
            </w:tcBorders>
            <w:shd w:val="clear" w:color="auto" w:fill="auto"/>
            <w:noWrap/>
            <w:vAlign w:val="center"/>
            <w:hideMark/>
          </w:tcPr>
          <w:p w14:paraId="0C3F8265" w14:textId="77777777" w:rsidR="009D74F9" w:rsidRPr="004B2104" w:rsidRDefault="009D74F9" w:rsidP="00BD7FB0">
            <w:pPr>
              <w:spacing w:before="0" w:after="0"/>
              <w:jc w:val="center"/>
              <w:rPr>
                <w:rStyle w:val="BookTitle"/>
              </w:rPr>
            </w:pPr>
            <w:r w:rsidRPr="004B2104">
              <w:rPr>
                <w:rStyle w:val="BookTitle"/>
              </w:rPr>
              <w:t>1.66</w:t>
            </w:r>
          </w:p>
        </w:tc>
        <w:tc>
          <w:tcPr>
            <w:tcW w:w="675" w:type="pct"/>
            <w:tcBorders>
              <w:top w:val="nil"/>
              <w:left w:val="nil"/>
              <w:bottom w:val="nil"/>
              <w:right w:val="single" w:sz="4" w:space="0" w:color="auto"/>
            </w:tcBorders>
            <w:shd w:val="clear" w:color="auto" w:fill="auto"/>
            <w:noWrap/>
            <w:vAlign w:val="center"/>
            <w:hideMark/>
          </w:tcPr>
          <w:p w14:paraId="0C3F8266" w14:textId="77777777" w:rsidR="009D74F9" w:rsidRPr="004B2104" w:rsidRDefault="009D74F9" w:rsidP="00BD7FB0">
            <w:pPr>
              <w:spacing w:before="0" w:after="0"/>
              <w:jc w:val="center"/>
              <w:rPr>
                <w:rStyle w:val="BookTitle"/>
              </w:rPr>
            </w:pPr>
            <w:r w:rsidRPr="004B2104">
              <w:rPr>
                <w:rStyle w:val="BookTitle"/>
              </w:rPr>
              <w:t>3.33</w:t>
            </w:r>
          </w:p>
        </w:tc>
        <w:tc>
          <w:tcPr>
            <w:tcW w:w="796" w:type="pct"/>
            <w:tcBorders>
              <w:top w:val="nil"/>
              <w:left w:val="nil"/>
              <w:bottom w:val="nil"/>
              <w:right w:val="single" w:sz="4" w:space="0" w:color="auto"/>
            </w:tcBorders>
            <w:shd w:val="clear" w:color="auto" w:fill="auto"/>
            <w:noWrap/>
            <w:vAlign w:val="center"/>
            <w:hideMark/>
          </w:tcPr>
          <w:p w14:paraId="0C3F8267" w14:textId="77777777" w:rsidR="009D74F9" w:rsidRPr="004B2104" w:rsidRDefault="009D74F9" w:rsidP="00BD7FB0">
            <w:pPr>
              <w:spacing w:before="0" w:after="0"/>
              <w:jc w:val="center"/>
              <w:rPr>
                <w:rStyle w:val="BookTitle"/>
              </w:rPr>
            </w:pPr>
            <w:r w:rsidRPr="004B2104">
              <w:rPr>
                <w:rStyle w:val="BookTitle"/>
              </w:rPr>
              <w:t>1.66</w:t>
            </w:r>
          </w:p>
        </w:tc>
      </w:tr>
      <w:tr w:rsidR="009D74F9" w:rsidRPr="004B2104" w14:paraId="0C3F826F" w14:textId="77777777" w:rsidTr="009D74F9">
        <w:trPr>
          <w:trHeight w:val="20"/>
        </w:trPr>
        <w:tc>
          <w:tcPr>
            <w:tcW w:w="1484" w:type="pct"/>
            <w:vMerge/>
            <w:tcBorders>
              <w:top w:val="nil"/>
              <w:left w:val="nil"/>
              <w:bottom w:val="single" w:sz="4" w:space="0" w:color="000000"/>
              <w:right w:val="nil"/>
            </w:tcBorders>
            <w:vAlign w:val="center"/>
            <w:hideMark/>
          </w:tcPr>
          <w:p w14:paraId="0C3F8269"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6A" w14:textId="77777777" w:rsidR="009D74F9" w:rsidRPr="004B2104" w:rsidRDefault="009D74F9" w:rsidP="00BD7FB0">
            <w:pPr>
              <w:spacing w:before="0" w:after="0"/>
              <w:jc w:val="left"/>
              <w:rPr>
                <w:rStyle w:val="BookTitle"/>
              </w:rPr>
            </w:pPr>
            <w:r w:rsidRPr="004B2104">
              <w:rPr>
                <w:rStyle w:val="BookTitle"/>
              </w:rPr>
              <w:t>Max.</w:t>
            </w:r>
          </w:p>
        </w:tc>
        <w:tc>
          <w:tcPr>
            <w:tcW w:w="952" w:type="pct"/>
            <w:tcBorders>
              <w:top w:val="nil"/>
              <w:left w:val="nil"/>
              <w:bottom w:val="nil"/>
              <w:right w:val="nil"/>
            </w:tcBorders>
            <w:shd w:val="clear" w:color="auto" w:fill="auto"/>
            <w:noWrap/>
            <w:vAlign w:val="center"/>
            <w:hideMark/>
          </w:tcPr>
          <w:p w14:paraId="0C3F826B" w14:textId="77777777" w:rsidR="009D74F9" w:rsidRPr="004B2104" w:rsidRDefault="009D74F9" w:rsidP="00BD7FB0">
            <w:pPr>
              <w:spacing w:before="0" w:after="0"/>
              <w:jc w:val="center"/>
              <w:rPr>
                <w:rStyle w:val="BookTitle"/>
              </w:rPr>
            </w:pPr>
            <w:r w:rsidRPr="004B2104">
              <w:rPr>
                <w:rStyle w:val="BookTitle"/>
              </w:rPr>
              <w:t>184.57</w:t>
            </w:r>
          </w:p>
        </w:tc>
        <w:tc>
          <w:tcPr>
            <w:tcW w:w="637" w:type="pct"/>
            <w:tcBorders>
              <w:top w:val="nil"/>
              <w:left w:val="nil"/>
              <w:bottom w:val="nil"/>
              <w:right w:val="nil"/>
            </w:tcBorders>
            <w:shd w:val="clear" w:color="auto" w:fill="auto"/>
            <w:noWrap/>
            <w:vAlign w:val="center"/>
            <w:hideMark/>
          </w:tcPr>
          <w:p w14:paraId="0C3F826C" w14:textId="77777777" w:rsidR="009D74F9" w:rsidRPr="004B2104" w:rsidRDefault="009D74F9" w:rsidP="00BD7FB0">
            <w:pPr>
              <w:spacing w:before="0" w:after="0"/>
              <w:jc w:val="center"/>
              <w:rPr>
                <w:rStyle w:val="BookTitle"/>
              </w:rPr>
            </w:pPr>
            <w:r w:rsidRPr="004B2104">
              <w:rPr>
                <w:rStyle w:val="BookTitle"/>
              </w:rPr>
              <w:t>111.41</w:t>
            </w:r>
          </w:p>
        </w:tc>
        <w:tc>
          <w:tcPr>
            <w:tcW w:w="675" w:type="pct"/>
            <w:tcBorders>
              <w:top w:val="nil"/>
              <w:left w:val="nil"/>
              <w:bottom w:val="nil"/>
              <w:right w:val="single" w:sz="4" w:space="0" w:color="auto"/>
            </w:tcBorders>
            <w:shd w:val="clear" w:color="auto" w:fill="auto"/>
            <w:noWrap/>
            <w:vAlign w:val="center"/>
            <w:hideMark/>
          </w:tcPr>
          <w:p w14:paraId="0C3F826D" w14:textId="77777777" w:rsidR="009D74F9" w:rsidRPr="004B2104" w:rsidRDefault="009D74F9" w:rsidP="00BD7FB0">
            <w:pPr>
              <w:spacing w:before="0" w:after="0"/>
              <w:jc w:val="center"/>
              <w:rPr>
                <w:rStyle w:val="BookTitle"/>
              </w:rPr>
            </w:pPr>
            <w:r w:rsidRPr="004B2104">
              <w:rPr>
                <w:rStyle w:val="BookTitle"/>
              </w:rPr>
              <w:t>290.99</w:t>
            </w:r>
          </w:p>
        </w:tc>
        <w:tc>
          <w:tcPr>
            <w:tcW w:w="796" w:type="pct"/>
            <w:tcBorders>
              <w:top w:val="nil"/>
              <w:left w:val="nil"/>
              <w:bottom w:val="nil"/>
              <w:right w:val="single" w:sz="4" w:space="0" w:color="auto"/>
            </w:tcBorders>
            <w:shd w:val="clear" w:color="auto" w:fill="auto"/>
            <w:noWrap/>
            <w:vAlign w:val="center"/>
            <w:hideMark/>
          </w:tcPr>
          <w:p w14:paraId="0C3F826E" w14:textId="77777777" w:rsidR="009D74F9" w:rsidRPr="004B2104" w:rsidRDefault="009D74F9" w:rsidP="00BD7FB0">
            <w:pPr>
              <w:spacing w:before="0" w:after="0"/>
              <w:jc w:val="center"/>
              <w:rPr>
                <w:rStyle w:val="BookTitle"/>
              </w:rPr>
            </w:pPr>
            <w:r w:rsidRPr="004B2104">
              <w:rPr>
                <w:rStyle w:val="BookTitle"/>
              </w:rPr>
              <w:t>56.53</w:t>
            </w:r>
          </w:p>
        </w:tc>
      </w:tr>
      <w:tr w:rsidR="009D74F9" w:rsidRPr="004B2104" w14:paraId="0C3F8276" w14:textId="77777777" w:rsidTr="009D74F9">
        <w:trPr>
          <w:trHeight w:val="20"/>
        </w:trPr>
        <w:tc>
          <w:tcPr>
            <w:tcW w:w="1484" w:type="pct"/>
            <w:vMerge/>
            <w:tcBorders>
              <w:top w:val="nil"/>
              <w:left w:val="nil"/>
              <w:bottom w:val="single" w:sz="4" w:space="0" w:color="000000"/>
              <w:right w:val="nil"/>
            </w:tcBorders>
            <w:vAlign w:val="center"/>
            <w:hideMark/>
          </w:tcPr>
          <w:p w14:paraId="0C3F8270"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71" w14:textId="77777777" w:rsidR="009D74F9" w:rsidRPr="004B2104" w:rsidRDefault="009D74F9" w:rsidP="00BD7FB0">
            <w:pPr>
              <w:spacing w:before="0" w:after="0"/>
              <w:jc w:val="left"/>
              <w:rPr>
                <w:rStyle w:val="BookTitle"/>
              </w:rPr>
            </w:pPr>
            <w:r w:rsidRPr="004B2104">
              <w:rPr>
                <w:rStyle w:val="BookTitle"/>
              </w:rPr>
              <w:t>Mean</w:t>
            </w:r>
          </w:p>
        </w:tc>
        <w:tc>
          <w:tcPr>
            <w:tcW w:w="952" w:type="pct"/>
            <w:tcBorders>
              <w:top w:val="nil"/>
              <w:left w:val="nil"/>
              <w:bottom w:val="nil"/>
              <w:right w:val="nil"/>
            </w:tcBorders>
            <w:shd w:val="clear" w:color="auto" w:fill="auto"/>
            <w:noWrap/>
            <w:vAlign w:val="center"/>
            <w:hideMark/>
          </w:tcPr>
          <w:p w14:paraId="0C3F8272" w14:textId="77777777" w:rsidR="009D74F9" w:rsidRPr="004B2104" w:rsidRDefault="009D74F9" w:rsidP="00BD7FB0">
            <w:pPr>
              <w:spacing w:before="0" w:after="0"/>
              <w:jc w:val="center"/>
              <w:rPr>
                <w:rStyle w:val="BookTitle"/>
              </w:rPr>
            </w:pPr>
            <w:r w:rsidRPr="004B2104">
              <w:rPr>
                <w:rStyle w:val="BookTitle"/>
              </w:rPr>
              <w:t>27.59</w:t>
            </w:r>
          </w:p>
        </w:tc>
        <w:tc>
          <w:tcPr>
            <w:tcW w:w="637" w:type="pct"/>
            <w:tcBorders>
              <w:top w:val="nil"/>
              <w:left w:val="nil"/>
              <w:bottom w:val="nil"/>
              <w:right w:val="nil"/>
            </w:tcBorders>
            <w:shd w:val="clear" w:color="auto" w:fill="auto"/>
            <w:noWrap/>
            <w:vAlign w:val="center"/>
            <w:hideMark/>
          </w:tcPr>
          <w:p w14:paraId="0C3F8273" w14:textId="77777777" w:rsidR="009D74F9" w:rsidRPr="004B2104" w:rsidRDefault="009D74F9" w:rsidP="00BD7FB0">
            <w:pPr>
              <w:spacing w:before="0" w:after="0"/>
              <w:jc w:val="center"/>
              <w:rPr>
                <w:rStyle w:val="BookTitle"/>
              </w:rPr>
            </w:pPr>
            <w:r w:rsidRPr="004B2104">
              <w:rPr>
                <w:rStyle w:val="BookTitle"/>
              </w:rPr>
              <w:t>13.86</w:t>
            </w:r>
          </w:p>
        </w:tc>
        <w:tc>
          <w:tcPr>
            <w:tcW w:w="675" w:type="pct"/>
            <w:tcBorders>
              <w:top w:val="nil"/>
              <w:left w:val="nil"/>
              <w:bottom w:val="nil"/>
              <w:right w:val="single" w:sz="4" w:space="0" w:color="auto"/>
            </w:tcBorders>
            <w:shd w:val="clear" w:color="auto" w:fill="auto"/>
            <w:noWrap/>
            <w:vAlign w:val="center"/>
            <w:hideMark/>
          </w:tcPr>
          <w:p w14:paraId="0C3F8274" w14:textId="77777777" w:rsidR="009D74F9" w:rsidRPr="004B2104" w:rsidRDefault="009D74F9" w:rsidP="00BD7FB0">
            <w:pPr>
              <w:spacing w:before="0" w:after="0"/>
              <w:jc w:val="center"/>
              <w:rPr>
                <w:rStyle w:val="BookTitle"/>
              </w:rPr>
            </w:pPr>
            <w:r w:rsidRPr="004B2104">
              <w:rPr>
                <w:rStyle w:val="BookTitle"/>
              </w:rPr>
              <w:t>43.97</w:t>
            </w:r>
          </w:p>
        </w:tc>
        <w:tc>
          <w:tcPr>
            <w:tcW w:w="796" w:type="pct"/>
            <w:tcBorders>
              <w:top w:val="nil"/>
              <w:left w:val="nil"/>
              <w:bottom w:val="nil"/>
              <w:right w:val="single" w:sz="4" w:space="0" w:color="auto"/>
            </w:tcBorders>
            <w:shd w:val="clear" w:color="auto" w:fill="auto"/>
            <w:noWrap/>
            <w:vAlign w:val="center"/>
            <w:hideMark/>
          </w:tcPr>
          <w:p w14:paraId="0C3F8275" w14:textId="77777777" w:rsidR="009D74F9" w:rsidRPr="004B2104" w:rsidRDefault="009D74F9" w:rsidP="00BD7FB0">
            <w:pPr>
              <w:spacing w:before="0" w:after="0"/>
              <w:jc w:val="center"/>
              <w:rPr>
                <w:rStyle w:val="BookTitle"/>
              </w:rPr>
            </w:pPr>
            <w:r w:rsidRPr="004B2104">
              <w:rPr>
                <w:rStyle w:val="BookTitle"/>
              </w:rPr>
              <w:t>7.72</w:t>
            </w:r>
          </w:p>
        </w:tc>
      </w:tr>
      <w:tr w:rsidR="009D74F9" w:rsidRPr="004B2104" w14:paraId="0C3F827D" w14:textId="77777777" w:rsidTr="009D74F9">
        <w:trPr>
          <w:trHeight w:val="20"/>
        </w:trPr>
        <w:tc>
          <w:tcPr>
            <w:tcW w:w="1484" w:type="pct"/>
            <w:vMerge/>
            <w:tcBorders>
              <w:top w:val="nil"/>
              <w:left w:val="nil"/>
              <w:bottom w:val="single" w:sz="4" w:space="0" w:color="000000"/>
              <w:right w:val="nil"/>
            </w:tcBorders>
            <w:vAlign w:val="center"/>
            <w:hideMark/>
          </w:tcPr>
          <w:p w14:paraId="0C3F8277" w14:textId="77777777" w:rsidR="009D74F9" w:rsidRPr="004B2104" w:rsidRDefault="009D74F9" w:rsidP="00BD7FB0">
            <w:pPr>
              <w:spacing w:before="0" w:after="0"/>
              <w:jc w:val="left"/>
              <w:rPr>
                <w:rStyle w:val="BookTitle"/>
              </w:rPr>
            </w:pPr>
          </w:p>
        </w:tc>
        <w:tc>
          <w:tcPr>
            <w:tcW w:w="456" w:type="pct"/>
            <w:tcBorders>
              <w:top w:val="nil"/>
              <w:left w:val="nil"/>
              <w:bottom w:val="nil"/>
              <w:right w:val="nil"/>
            </w:tcBorders>
            <w:shd w:val="clear" w:color="auto" w:fill="auto"/>
            <w:noWrap/>
            <w:vAlign w:val="center"/>
            <w:hideMark/>
          </w:tcPr>
          <w:p w14:paraId="0C3F8278" w14:textId="77777777" w:rsidR="009D74F9" w:rsidRPr="004B2104" w:rsidRDefault="009D74F9" w:rsidP="00BD7FB0">
            <w:pPr>
              <w:spacing w:before="0" w:after="0"/>
              <w:jc w:val="left"/>
              <w:rPr>
                <w:rStyle w:val="BookTitle"/>
              </w:rPr>
            </w:pPr>
            <w:r w:rsidRPr="004B2104">
              <w:rPr>
                <w:rStyle w:val="BookTitle"/>
              </w:rPr>
              <w:t>SD</w:t>
            </w:r>
          </w:p>
        </w:tc>
        <w:tc>
          <w:tcPr>
            <w:tcW w:w="952" w:type="pct"/>
            <w:tcBorders>
              <w:top w:val="nil"/>
              <w:left w:val="nil"/>
              <w:bottom w:val="nil"/>
              <w:right w:val="nil"/>
            </w:tcBorders>
            <w:shd w:val="clear" w:color="auto" w:fill="auto"/>
            <w:noWrap/>
            <w:vAlign w:val="center"/>
            <w:hideMark/>
          </w:tcPr>
          <w:p w14:paraId="0C3F8279" w14:textId="77777777" w:rsidR="009D74F9" w:rsidRPr="004B2104" w:rsidRDefault="009D74F9" w:rsidP="00BD7FB0">
            <w:pPr>
              <w:spacing w:before="0" w:after="0"/>
              <w:jc w:val="center"/>
              <w:rPr>
                <w:rStyle w:val="BookTitle"/>
              </w:rPr>
            </w:pPr>
            <w:r w:rsidRPr="004B2104">
              <w:rPr>
                <w:rStyle w:val="BookTitle"/>
              </w:rPr>
              <w:t>37.70</w:t>
            </w:r>
          </w:p>
        </w:tc>
        <w:tc>
          <w:tcPr>
            <w:tcW w:w="637" w:type="pct"/>
            <w:tcBorders>
              <w:top w:val="nil"/>
              <w:left w:val="nil"/>
              <w:bottom w:val="nil"/>
              <w:right w:val="nil"/>
            </w:tcBorders>
            <w:shd w:val="clear" w:color="auto" w:fill="auto"/>
            <w:noWrap/>
            <w:vAlign w:val="center"/>
            <w:hideMark/>
          </w:tcPr>
          <w:p w14:paraId="0C3F827A" w14:textId="77777777" w:rsidR="009D74F9" w:rsidRPr="004B2104" w:rsidRDefault="009D74F9" w:rsidP="00BD7FB0">
            <w:pPr>
              <w:spacing w:before="0" w:after="0"/>
              <w:jc w:val="center"/>
              <w:rPr>
                <w:rStyle w:val="BookTitle"/>
              </w:rPr>
            </w:pPr>
            <w:r w:rsidRPr="004B2104">
              <w:rPr>
                <w:rStyle w:val="BookTitle"/>
              </w:rPr>
              <w:t>31.22</w:t>
            </w:r>
          </w:p>
        </w:tc>
        <w:tc>
          <w:tcPr>
            <w:tcW w:w="675" w:type="pct"/>
            <w:tcBorders>
              <w:top w:val="nil"/>
              <w:left w:val="nil"/>
              <w:bottom w:val="nil"/>
              <w:right w:val="single" w:sz="4" w:space="0" w:color="auto"/>
            </w:tcBorders>
            <w:shd w:val="clear" w:color="auto" w:fill="auto"/>
            <w:noWrap/>
            <w:vAlign w:val="center"/>
            <w:hideMark/>
          </w:tcPr>
          <w:p w14:paraId="0C3F827B" w14:textId="77777777" w:rsidR="009D74F9" w:rsidRPr="004B2104" w:rsidRDefault="009D74F9" w:rsidP="00BD7FB0">
            <w:pPr>
              <w:spacing w:before="0" w:after="0"/>
              <w:jc w:val="center"/>
              <w:rPr>
                <w:rStyle w:val="BookTitle"/>
              </w:rPr>
            </w:pPr>
            <w:r w:rsidRPr="004B2104">
              <w:rPr>
                <w:rStyle w:val="BookTitle"/>
              </w:rPr>
              <w:t>93.37</w:t>
            </w:r>
          </w:p>
        </w:tc>
        <w:tc>
          <w:tcPr>
            <w:tcW w:w="796" w:type="pct"/>
            <w:tcBorders>
              <w:top w:val="nil"/>
              <w:left w:val="nil"/>
              <w:bottom w:val="nil"/>
              <w:right w:val="single" w:sz="4" w:space="0" w:color="auto"/>
            </w:tcBorders>
            <w:shd w:val="clear" w:color="auto" w:fill="auto"/>
            <w:noWrap/>
            <w:vAlign w:val="center"/>
            <w:hideMark/>
          </w:tcPr>
          <w:p w14:paraId="0C3F827C" w14:textId="77777777" w:rsidR="009D74F9" w:rsidRPr="004B2104" w:rsidRDefault="009D74F9" w:rsidP="00BD7FB0">
            <w:pPr>
              <w:spacing w:before="0" w:after="0"/>
              <w:jc w:val="center"/>
              <w:rPr>
                <w:rStyle w:val="BookTitle"/>
              </w:rPr>
            </w:pPr>
            <w:r w:rsidRPr="004B2104">
              <w:rPr>
                <w:rStyle w:val="BookTitle"/>
              </w:rPr>
              <w:t>13.81</w:t>
            </w:r>
          </w:p>
        </w:tc>
      </w:tr>
      <w:tr w:rsidR="009D74F9" w:rsidRPr="004B2104" w14:paraId="0C3F8284" w14:textId="77777777" w:rsidTr="009D74F9">
        <w:trPr>
          <w:trHeight w:val="20"/>
        </w:trPr>
        <w:tc>
          <w:tcPr>
            <w:tcW w:w="1484" w:type="pct"/>
            <w:vMerge/>
            <w:tcBorders>
              <w:top w:val="nil"/>
              <w:left w:val="nil"/>
              <w:bottom w:val="single" w:sz="4" w:space="0" w:color="000000"/>
              <w:right w:val="nil"/>
            </w:tcBorders>
            <w:vAlign w:val="center"/>
            <w:hideMark/>
          </w:tcPr>
          <w:p w14:paraId="0C3F827E" w14:textId="77777777" w:rsidR="009D74F9" w:rsidRPr="004B2104" w:rsidRDefault="009D74F9" w:rsidP="00BD7FB0">
            <w:pPr>
              <w:spacing w:before="0" w:after="0"/>
              <w:jc w:val="left"/>
              <w:rPr>
                <w:rStyle w:val="BookTitle"/>
              </w:rPr>
            </w:pPr>
          </w:p>
        </w:tc>
        <w:tc>
          <w:tcPr>
            <w:tcW w:w="456" w:type="pct"/>
            <w:tcBorders>
              <w:top w:val="nil"/>
              <w:left w:val="nil"/>
              <w:bottom w:val="single" w:sz="4" w:space="0" w:color="auto"/>
              <w:right w:val="nil"/>
            </w:tcBorders>
            <w:shd w:val="clear" w:color="auto" w:fill="auto"/>
            <w:noWrap/>
            <w:vAlign w:val="center"/>
            <w:hideMark/>
          </w:tcPr>
          <w:p w14:paraId="0C3F827F" w14:textId="77777777" w:rsidR="009D74F9" w:rsidRPr="004B2104" w:rsidRDefault="009D74F9" w:rsidP="00BD7FB0">
            <w:pPr>
              <w:spacing w:before="0" w:after="0"/>
              <w:jc w:val="left"/>
              <w:rPr>
                <w:rStyle w:val="BookTitle"/>
              </w:rPr>
            </w:pPr>
            <w:r w:rsidRPr="004B2104">
              <w:rPr>
                <w:rStyle w:val="BookTitle"/>
              </w:rPr>
              <w:t>Count</w:t>
            </w:r>
          </w:p>
        </w:tc>
        <w:tc>
          <w:tcPr>
            <w:tcW w:w="952" w:type="pct"/>
            <w:tcBorders>
              <w:top w:val="nil"/>
              <w:left w:val="nil"/>
              <w:bottom w:val="single" w:sz="4" w:space="0" w:color="auto"/>
              <w:right w:val="nil"/>
            </w:tcBorders>
            <w:shd w:val="clear" w:color="auto" w:fill="auto"/>
            <w:noWrap/>
            <w:vAlign w:val="center"/>
            <w:hideMark/>
          </w:tcPr>
          <w:p w14:paraId="0C3F8280" w14:textId="77777777" w:rsidR="009D74F9" w:rsidRPr="004B2104" w:rsidRDefault="009D74F9" w:rsidP="00BD7FB0">
            <w:pPr>
              <w:spacing w:before="0" w:after="0"/>
              <w:jc w:val="center"/>
              <w:rPr>
                <w:rStyle w:val="BookTitle"/>
              </w:rPr>
            </w:pPr>
            <w:r w:rsidRPr="004B2104">
              <w:rPr>
                <w:rStyle w:val="BookTitle"/>
              </w:rPr>
              <w:t>42</w:t>
            </w:r>
          </w:p>
        </w:tc>
        <w:tc>
          <w:tcPr>
            <w:tcW w:w="637" w:type="pct"/>
            <w:tcBorders>
              <w:top w:val="nil"/>
              <w:left w:val="nil"/>
              <w:bottom w:val="single" w:sz="4" w:space="0" w:color="auto"/>
              <w:right w:val="nil"/>
            </w:tcBorders>
            <w:shd w:val="clear" w:color="auto" w:fill="auto"/>
            <w:noWrap/>
            <w:vAlign w:val="center"/>
            <w:hideMark/>
          </w:tcPr>
          <w:p w14:paraId="0C3F8281" w14:textId="77777777" w:rsidR="009D74F9" w:rsidRPr="004B2104" w:rsidRDefault="009D74F9" w:rsidP="00BD7FB0">
            <w:pPr>
              <w:spacing w:before="0" w:after="0"/>
              <w:jc w:val="center"/>
              <w:rPr>
                <w:rStyle w:val="BookTitle"/>
              </w:rPr>
            </w:pPr>
            <w:r w:rsidRPr="004B2104">
              <w:rPr>
                <w:rStyle w:val="BookTitle"/>
              </w:rPr>
              <w:t>12</w:t>
            </w:r>
          </w:p>
        </w:tc>
        <w:tc>
          <w:tcPr>
            <w:tcW w:w="675" w:type="pct"/>
            <w:tcBorders>
              <w:top w:val="nil"/>
              <w:left w:val="nil"/>
              <w:bottom w:val="single" w:sz="4" w:space="0" w:color="auto"/>
              <w:right w:val="single" w:sz="4" w:space="0" w:color="auto"/>
            </w:tcBorders>
            <w:shd w:val="clear" w:color="auto" w:fill="auto"/>
            <w:noWrap/>
            <w:vAlign w:val="center"/>
            <w:hideMark/>
          </w:tcPr>
          <w:p w14:paraId="0C3F8282" w14:textId="77777777" w:rsidR="009D74F9" w:rsidRPr="004B2104" w:rsidRDefault="009D74F9" w:rsidP="00BD7FB0">
            <w:pPr>
              <w:spacing w:before="0" w:after="0"/>
              <w:jc w:val="center"/>
              <w:rPr>
                <w:rStyle w:val="BookTitle"/>
              </w:rPr>
            </w:pPr>
            <w:r w:rsidRPr="004B2104">
              <w:rPr>
                <w:rStyle w:val="BookTitle"/>
              </w:rPr>
              <w:t>9</w:t>
            </w:r>
          </w:p>
        </w:tc>
        <w:tc>
          <w:tcPr>
            <w:tcW w:w="796" w:type="pct"/>
            <w:tcBorders>
              <w:top w:val="nil"/>
              <w:left w:val="nil"/>
              <w:bottom w:val="single" w:sz="4" w:space="0" w:color="auto"/>
              <w:right w:val="single" w:sz="4" w:space="0" w:color="auto"/>
            </w:tcBorders>
            <w:shd w:val="clear" w:color="auto" w:fill="auto"/>
            <w:noWrap/>
            <w:vAlign w:val="center"/>
            <w:hideMark/>
          </w:tcPr>
          <w:p w14:paraId="0C3F8283" w14:textId="77777777" w:rsidR="009D74F9" w:rsidRPr="004B2104" w:rsidRDefault="009D74F9" w:rsidP="00BD7FB0">
            <w:pPr>
              <w:spacing w:before="0" w:after="0"/>
              <w:jc w:val="center"/>
              <w:rPr>
                <w:rStyle w:val="BookTitle"/>
              </w:rPr>
            </w:pPr>
            <w:r w:rsidRPr="004B2104">
              <w:rPr>
                <w:rStyle w:val="BookTitle"/>
              </w:rPr>
              <w:t>25</w:t>
            </w:r>
          </w:p>
        </w:tc>
      </w:tr>
    </w:tbl>
    <w:p w14:paraId="0C3F8285" w14:textId="77777777" w:rsidR="00E77510" w:rsidRDefault="00E77510" w:rsidP="009D74F9"/>
    <w:p w14:paraId="0C3F8286" w14:textId="77777777" w:rsidR="009D74F9" w:rsidRDefault="002854A3" w:rsidP="009D74F9">
      <w:r>
        <w:t>It is difficult to compare and contrast data across one sampling period in wet season conditions due to the high variability of the water quality data</w:t>
      </w:r>
      <w:r w:rsidR="00A26858">
        <w:t xml:space="preserve"> in response to river flow and prevailing weather conditions</w:t>
      </w:r>
      <w:r>
        <w:t xml:space="preserve">. </w:t>
      </w:r>
      <w:r w:rsidR="009D74F9">
        <w:t xml:space="preserve">The concentrations of water quality </w:t>
      </w:r>
      <w:r w:rsidR="002827F5">
        <w:t>parameters</w:t>
      </w:r>
      <w:r w:rsidR="009D74F9">
        <w:t xml:space="preserve"> in plumes are directly related to the degree of mixing between the fresh and salt water. </w:t>
      </w:r>
      <w:r w:rsidR="00A26858">
        <w:t xml:space="preserve">If the </w:t>
      </w:r>
      <w:r w:rsidR="009D74F9">
        <w:t>changes in concentration result only from the dilution associated with mixing, the constituents are said to behave conservatively</w:t>
      </w:r>
      <w:r w:rsidR="00A26858">
        <w:t>. O</w:t>
      </w:r>
      <w:r w:rsidR="009D74F9">
        <w:t xml:space="preserve">ne of the most useful techniques available for interpreting mixing processes is to examine whether data is consistent with conservative behaviour. This is undertaken by testing the linearity of the relationship between the concentration of the water quality parameter and an index of conservative mixing. In applying this technique, salinity is usually used as an index of conservative mixing (Devlin et al., 2001). </w:t>
      </w:r>
      <w:r w:rsidR="00A26858">
        <w:t>Salinity m</w:t>
      </w:r>
      <w:r w:rsidR="001B7270">
        <w:t xml:space="preserve">ixing plots for Burdekin, Tully, Herbert are presented from data collected in the 2012-2013 wet season for DIN (Figure </w:t>
      </w:r>
      <w:r w:rsidR="00F81A7B">
        <w:t>4-</w:t>
      </w:r>
      <w:r w:rsidR="001B7270">
        <w:t xml:space="preserve">4a), DIP, (Figure </w:t>
      </w:r>
      <w:r w:rsidR="00F81A7B">
        <w:t>4-</w:t>
      </w:r>
      <w:r w:rsidR="001B7270">
        <w:t xml:space="preserve">4b), </w:t>
      </w:r>
      <w:r w:rsidR="00362A9F">
        <w:t>Kd(PAR)</w:t>
      </w:r>
      <w:r w:rsidR="001B7270">
        <w:t xml:space="preserve"> (Figure </w:t>
      </w:r>
      <w:r w:rsidR="00F81A7B">
        <w:t>4-</w:t>
      </w:r>
      <w:r w:rsidR="001B7270">
        <w:t xml:space="preserve">4c), TSS (Figure </w:t>
      </w:r>
      <w:r w:rsidR="00F81A7B">
        <w:t>4-</w:t>
      </w:r>
      <w:r w:rsidR="001B7270">
        <w:t>4d)</w:t>
      </w:r>
      <w:r w:rsidR="002210C7">
        <w:t xml:space="preserve">, </w:t>
      </w:r>
      <w:r w:rsidR="00362A9F">
        <w:t>chl</w:t>
      </w:r>
      <w:r w:rsidR="002210C7">
        <w:t xml:space="preserve">-a (Figure </w:t>
      </w:r>
      <w:r w:rsidR="00F81A7B">
        <w:t>4-</w:t>
      </w:r>
      <w:r w:rsidR="002210C7">
        <w:t xml:space="preserve">4e) and CDOM (Figure </w:t>
      </w:r>
      <w:r w:rsidR="00F81A7B">
        <w:t>4-</w:t>
      </w:r>
      <w:r w:rsidR="002210C7">
        <w:t>4f).</w:t>
      </w:r>
    </w:p>
    <w:p w14:paraId="0C3F8287" w14:textId="77777777" w:rsidR="002854A3" w:rsidRDefault="004316A7" w:rsidP="0015270F">
      <w:r>
        <w:t xml:space="preserve">No clear pattern </w:t>
      </w:r>
      <w:r w:rsidR="00F81A7B">
        <w:t xml:space="preserve">was </w:t>
      </w:r>
      <w:r>
        <w:t xml:space="preserve">observed for </w:t>
      </w:r>
      <w:r w:rsidR="00F81A7B">
        <w:t xml:space="preserve">the </w:t>
      </w:r>
      <w:r>
        <w:t xml:space="preserve">WQ parameters in the </w:t>
      </w:r>
      <w:r w:rsidR="00F81A7B">
        <w:t>Burdekin sites</w:t>
      </w:r>
      <w:r>
        <w:t xml:space="preserve"> against </w:t>
      </w:r>
      <w:r w:rsidR="00F81A7B">
        <w:t>salinity</w:t>
      </w:r>
      <w:r>
        <w:t xml:space="preserve"> </w:t>
      </w:r>
      <w:r w:rsidR="00F81A7B">
        <w:t xml:space="preserve">. The lack of pattern might be due to a </w:t>
      </w:r>
      <w:r>
        <w:t>low density of data points at low salinities (</w:t>
      </w:r>
      <w:r w:rsidR="00F81A7B">
        <w:fldChar w:fldCharType="begin"/>
      </w:r>
      <w:r w:rsidR="00F81A7B">
        <w:instrText xml:space="preserve"> REF _Ref432675019 \h </w:instrText>
      </w:r>
      <w:r w:rsidR="00F81A7B">
        <w:fldChar w:fldCharType="separate"/>
      </w:r>
      <w:r w:rsidR="00B62B50">
        <w:t xml:space="preserve">Figure </w:t>
      </w:r>
      <w:r w:rsidR="00B62B50">
        <w:rPr>
          <w:noProof/>
        </w:rPr>
        <w:t>4</w:t>
      </w:r>
      <w:r w:rsidR="00B62B50">
        <w:noBreakHyphen/>
      </w:r>
      <w:r w:rsidR="00B62B50">
        <w:rPr>
          <w:noProof/>
        </w:rPr>
        <w:t>5</w:t>
      </w:r>
      <w:r w:rsidR="00F81A7B">
        <w:fldChar w:fldCharType="end"/>
      </w:r>
      <w:r>
        <w:t xml:space="preserve">), even though </w:t>
      </w:r>
      <w:r w:rsidR="00F81A7B">
        <w:t xml:space="preserve"> the sites were sampled just after the second largest river discharge in the season</w:t>
      </w:r>
      <w:r>
        <w:t xml:space="preserve">. </w:t>
      </w:r>
      <w:r w:rsidR="00F81A7B">
        <w:t xml:space="preserve">The other two rivers, Tully and Herbert, exhibited some typical mixing plots with reduction of WQ parameters as moving away from the source (i.e., river mouth). Clearer patterns were always observed for WQ parameters when sites were sampled after some peak discharge. Examples are the </w:t>
      </w:r>
      <w:r w:rsidR="002210C7">
        <w:t>DIN</w:t>
      </w:r>
      <w:r w:rsidR="0002333D">
        <w:t xml:space="preserve"> and DIP concentrations </w:t>
      </w:r>
      <w:r w:rsidR="00F81A7B">
        <w:t xml:space="preserve">that </w:t>
      </w:r>
      <w:r w:rsidR="0002333D">
        <w:t>generally follow a conservative mixing process, diluting in a linear pattern in relation to the salinity concentrations (</w:t>
      </w:r>
      <w:r w:rsidR="00F81A7B">
        <w:t>Figs. 4-</w:t>
      </w:r>
      <w:r w:rsidR="002210C7">
        <w:t xml:space="preserve">4a, </w:t>
      </w:r>
      <w:r w:rsidR="00F81A7B">
        <w:t>4-</w:t>
      </w:r>
      <w:r w:rsidR="002210C7">
        <w:t>4b</w:t>
      </w:r>
      <w:r w:rsidR="0002333D">
        <w:t>). Source and end concentrations are variable between catchment and as a result, there are different slopes to the lines in relation to catchment</w:t>
      </w:r>
      <w:r w:rsidR="000D140E">
        <w:t>.</w:t>
      </w:r>
    </w:p>
    <w:p w14:paraId="0C3F8288" w14:textId="77777777" w:rsidR="00330E11" w:rsidRDefault="00330E11">
      <w:pPr>
        <w:spacing w:before="0" w:after="0"/>
        <w:jc w:val="left"/>
      </w:pPr>
      <w:r>
        <w:br w:type="page"/>
      </w:r>
    </w:p>
    <w:p w14:paraId="0C3F8289" w14:textId="77777777" w:rsidR="00782908" w:rsidRDefault="00782908" w:rsidP="0015270F">
      <w:pPr>
        <w:sectPr w:rsidR="00782908" w:rsidSect="00330E11">
          <w:footerReference w:type="default" r:id="rId60"/>
          <w:type w:val="continuous"/>
          <w:pgSz w:w="11907" w:h="16840" w:code="9"/>
          <w:pgMar w:top="1440" w:right="1440" w:bottom="1440" w:left="1440" w:header="709" w:footer="720" w:gutter="0"/>
          <w:cols w:space="708"/>
          <w:docGrid w:linePitch="360"/>
        </w:sectPr>
      </w:pPr>
    </w:p>
    <w:p w14:paraId="0C3F828A" w14:textId="77777777" w:rsidR="000D140E" w:rsidRDefault="001B7270" w:rsidP="0015270F">
      <w:r>
        <w:rPr>
          <w:noProof/>
        </w:rPr>
        <mc:AlternateContent>
          <mc:Choice Requires="wps">
            <w:drawing>
              <wp:anchor distT="0" distB="0" distL="114300" distR="114300" simplePos="0" relativeHeight="251768832" behindDoc="0" locked="0" layoutInCell="1" allowOverlap="1" wp14:anchorId="0C3F8FCF" wp14:editId="0C3F8FD0">
                <wp:simplePos x="0" y="0"/>
                <wp:positionH relativeFrom="column">
                  <wp:posOffset>5322469</wp:posOffset>
                </wp:positionH>
                <wp:positionV relativeFrom="paragraph">
                  <wp:posOffset>4903</wp:posOffset>
                </wp:positionV>
                <wp:extent cx="2972435" cy="19812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1981200"/>
                        </a:xfrm>
                        <a:prstGeom prst="rect">
                          <a:avLst/>
                        </a:prstGeom>
                        <a:noFill/>
                        <a:ln w="9525">
                          <a:noFill/>
                          <a:miter lim="800000"/>
                          <a:headEnd/>
                          <a:tailEnd/>
                        </a:ln>
                      </wps:spPr>
                      <wps:txbx>
                        <w:txbxContent>
                          <w:p w14:paraId="0C3F9087" w14:textId="77777777" w:rsidR="007E5BBF" w:rsidRPr="001B7270" w:rsidRDefault="007E5BBF" w:rsidP="000D140E">
                            <w:pPr>
                              <w:pStyle w:val="Caption"/>
                              <w:jc w:val="both"/>
                              <w:rPr>
                                <w:sz w:val="20"/>
                              </w:rPr>
                            </w:pPr>
                            <w:bookmarkStart w:id="121" w:name="_Toc434208032"/>
                            <w:r w:rsidRPr="001B7270">
                              <w:rPr>
                                <w:sz w:val="20"/>
                              </w:rPr>
                              <w:t xml:space="preserve">Figure </w:t>
                            </w:r>
                            <w:r>
                              <w:rPr>
                                <w:sz w:val="20"/>
                              </w:rPr>
                              <w:fldChar w:fldCharType="begin"/>
                            </w:r>
                            <w:r>
                              <w:rPr>
                                <w:sz w:val="20"/>
                              </w:rPr>
                              <w:instrText xml:space="preserve"> STYLEREF 1 \s </w:instrText>
                            </w:r>
                            <w:r>
                              <w:rPr>
                                <w:sz w:val="20"/>
                              </w:rPr>
                              <w:fldChar w:fldCharType="separate"/>
                            </w:r>
                            <w:r w:rsidR="00B62B50">
                              <w:rPr>
                                <w:noProof/>
                                <w:sz w:val="20"/>
                              </w:rPr>
                              <w:t>4</w:t>
                            </w:r>
                            <w:r>
                              <w:rPr>
                                <w:sz w:val="20"/>
                              </w:rPr>
                              <w:fldChar w:fldCharType="end"/>
                            </w:r>
                            <w:r>
                              <w:rPr>
                                <w:sz w:val="20"/>
                              </w:rPr>
                              <w:noBreakHyphen/>
                            </w:r>
                            <w:r>
                              <w:rPr>
                                <w:sz w:val="20"/>
                              </w:rPr>
                              <w:fldChar w:fldCharType="begin"/>
                            </w:r>
                            <w:r>
                              <w:rPr>
                                <w:sz w:val="20"/>
                              </w:rPr>
                              <w:instrText xml:space="preserve"> SEQ Figure \* ARABIC \s 1 </w:instrText>
                            </w:r>
                            <w:r>
                              <w:rPr>
                                <w:sz w:val="20"/>
                              </w:rPr>
                              <w:fldChar w:fldCharType="separate"/>
                            </w:r>
                            <w:r w:rsidR="00B62B50">
                              <w:rPr>
                                <w:noProof/>
                                <w:sz w:val="20"/>
                              </w:rPr>
                              <w:t>4</w:t>
                            </w:r>
                            <w:r>
                              <w:rPr>
                                <w:sz w:val="20"/>
                              </w:rPr>
                              <w:fldChar w:fldCharType="end"/>
                            </w:r>
                            <w:r w:rsidRPr="001B7270">
                              <w:rPr>
                                <w:sz w:val="20"/>
                              </w:rPr>
                              <w:t>a: (i) Sites are colour coded to identify location on maps, (ii) date of sampling relative to river flow over wet season, (iii)mixing plots for DIN in the Burdekin, Herbert and Tully</w:t>
                            </w:r>
                            <w:r>
                              <w:rPr>
                                <w:sz w:val="20"/>
                              </w:rPr>
                              <w:t xml:space="preserve"> regions for 2012-13</w:t>
                            </w:r>
                            <w:r w:rsidRPr="001B7270">
                              <w:rPr>
                                <w:sz w:val="20"/>
                              </w:rPr>
                              <w:t>.  Freshwater end end were estimed from all samples collected below 5ppt.</w:t>
                            </w:r>
                            <w:bookmarkEnd w:id="121"/>
                            <w:r w:rsidRPr="001B7270">
                              <w:rPr>
                                <w:sz w:val="20"/>
                              </w:rPr>
                              <w:t xml:space="preserve"> </w:t>
                            </w:r>
                          </w:p>
                          <w:p w14:paraId="0C3F9088" w14:textId="77777777" w:rsidR="007E5BBF" w:rsidRDefault="007E5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19.1pt;margin-top:.4pt;width:234.05pt;height:15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" filled="f" stroked="f">
                <v:textbox>
                  <w:txbxContent>
                    <w:p w14:paraId="0C3F9087" w14:textId="77777777" w:rsidR="007E5BBF" w:rsidRPr="001B7270" w:rsidRDefault="007E5BBF" w:rsidP="000D140E">
                      <w:pPr>
                        <w:pStyle w:val="Caption"/>
                        <w:jc w:val="both"/>
                        <w:rPr>
                          <w:sz w:val="20"/>
                        </w:rPr>
                      </w:pPr>
                      <w:bookmarkStart w:id="122" w:name="_Toc434208032"/>
                      <w:r w:rsidRPr="001B7270">
                        <w:rPr>
                          <w:sz w:val="20"/>
                        </w:rPr>
                        <w:t xml:space="preserve">Figure </w:t>
                      </w:r>
                      <w:r>
                        <w:rPr>
                          <w:sz w:val="20"/>
                        </w:rPr>
                        <w:fldChar w:fldCharType="begin"/>
                      </w:r>
                      <w:r>
                        <w:rPr>
                          <w:sz w:val="20"/>
                        </w:rPr>
                        <w:instrText xml:space="preserve"> STYLEREF 1 \s </w:instrText>
                      </w:r>
                      <w:r>
                        <w:rPr>
                          <w:sz w:val="20"/>
                        </w:rPr>
                        <w:fldChar w:fldCharType="separate"/>
                      </w:r>
                      <w:r w:rsidR="00B62B50">
                        <w:rPr>
                          <w:noProof/>
                          <w:sz w:val="20"/>
                        </w:rPr>
                        <w:t>4</w:t>
                      </w:r>
                      <w:r>
                        <w:rPr>
                          <w:sz w:val="20"/>
                        </w:rPr>
                        <w:fldChar w:fldCharType="end"/>
                      </w:r>
                      <w:r>
                        <w:rPr>
                          <w:sz w:val="20"/>
                        </w:rPr>
                        <w:noBreakHyphen/>
                      </w:r>
                      <w:r>
                        <w:rPr>
                          <w:sz w:val="20"/>
                        </w:rPr>
                        <w:fldChar w:fldCharType="begin"/>
                      </w:r>
                      <w:r>
                        <w:rPr>
                          <w:sz w:val="20"/>
                        </w:rPr>
                        <w:instrText xml:space="preserve"> SEQ Figure \* ARABIC \s 1 </w:instrText>
                      </w:r>
                      <w:r>
                        <w:rPr>
                          <w:sz w:val="20"/>
                        </w:rPr>
                        <w:fldChar w:fldCharType="separate"/>
                      </w:r>
                      <w:r w:rsidR="00B62B50">
                        <w:rPr>
                          <w:noProof/>
                          <w:sz w:val="20"/>
                        </w:rPr>
                        <w:t>4</w:t>
                      </w:r>
                      <w:r>
                        <w:rPr>
                          <w:sz w:val="20"/>
                        </w:rPr>
                        <w:fldChar w:fldCharType="end"/>
                      </w:r>
                      <w:r w:rsidRPr="001B7270">
                        <w:rPr>
                          <w:sz w:val="20"/>
                        </w:rPr>
                        <w:t>a: (i) Sites are colour coded to identify location on maps, (ii) date of sampling relative to river flow over wet season, (iii)mixing plots for DIN in the Burdekin, Herbert and Tully</w:t>
                      </w:r>
                      <w:r>
                        <w:rPr>
                          <w:sz w:val="20"/>
                        </w:rPr>
                        <w:t xml:space="preserve"> regions for 2012-13</w:t>
                      </w:r>
                      <w:r w:rsidRPr="001B7270">
                        <w:rPr>
                          <w:sz w:val="20"/>
                        </w:rPr>
                        <w:t>.  Freshwater end end were estimed from all samples collected below 5ppt.</w:t>
                      </w:r>
                      <w:bookmarkEnd w:id="122"/>
                      <w:r w:rsidRPr="001B7270">
                        <w:rPr>
                          <w:sz w:val="20"/>
                        </w:rPr>
                        <w:t xml:space="preserve"> </w:t>
                      </w:r>
                    </w:p>
                    <w:p w14:paraId="0C3F9088" w14:textId="77777777" w:rsidR="007E5BBF" w:rsidRDefault="007E5BBF"/>
                  </w:txbxContent>
                </v:textbox>
              </v:shape>
            </w:pict>
          </mc:Fallback>
        </mc:AlternateContent>
      </w:r>
      <w:r w:rsidR="000D140E" w:rsidRPr="000D140E">
        <w:rPr>
          <w:noProof/>
        </w:rPr>
        <w:drawing>
          <wp:inline distT="0" distB="0" distL="0" distR="0" wp14:anchorId="0C3F8FD1" wp14:editId="0C3F8FD2">
            <wp:extent cx="8280000" cy="5277616"/>
            <wp:effectExtent l="19050" t="19050" r="26035" b="18415"/>
            <wp:docPr id="12" name="Picture 12" descr="(i) Sites are colour coded to identify location on maps, (ii) date of sampling relative to river flow over wet season, (iii)mixing plots for DIN in the Burdekin, Herbert and Tully regions for 2012-13.  Freshwater end end were estimed from all samples collected below 5pp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280000" cy="5277616"/>
                    </a:xfrm>
                    <a:prstGeom prst="rect">
                      <a:avLst/>
                    </a:prstGeom>
                    <a:ln>
                      <a:solidFill>
                        <a:srgbClr val="000000"/>
                      </a:solidFill>
                    </a:ln>
                  </pic:spPr>
                </pic:pic>
              </a:graphicData>
            </a:graphic>
          </wp:inline>
        </w:drawing>
      </w:r>
    </w:p>
    <w:p w14:paraId="0C3F828B" w14:textId="77777777" w:rsidR="000D140E" w:rsidRDefault="00782908" w:rsidP="0015270F">
      <w:r>
        <w:rPr>
          <w:noProof/>
        </w:rPr>
        <mc:AlternateContent>
          <mc:Choice Requires="wps">
            <w:drawing>
              <wp:anchor distT="0" distB="0" distL="114300" distR="114300" simplePos="0" relativeHeight="251770880" behindDoc="0" locked="0" layoutInCell="1" allowOverlap="1" wp14:anchorId="0C3F8FD3" wp14:editId="0C3F8FD4">
                <wp:simplePos x="0" y="0"/>
                <wp:positionH relativeFrom="column">
                  <wp:posOffset>5489829</wp:posOffset>
                </wp:positionH>
                <wp:positionV relativeFrom="paragraph">
                  <wp:posOffset>9678</wp:posOffset>
                </wp:positionV>
                <wp:extent cx="2802255" cy="19812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981200"/>
                        </a:xfrm>
                        <a:prstGeom prst="rect">
                          <a:avLst/>
                        </a:prstGeom>
                        <a:noFill/>
                        <a:ln w="9525">
                          <a:noFill/>
                          <a:miter lim="800000"/>
                          <a:headEnd/>
                          <a:tailEnd/>
                        </a:ln>
                      </wps:spPr>
                      <wps:txbx>
                        <w:txbxContent>
                          <w:p w14:paraId="0C3F9089" w14:textId="77777777" w:rsidR="007E5BBF" w:rsidRPr="001B7270" w:rsidRDefault="007E5BBF" w:rsidP="001B7270">
                            <w:pPr>
                              <w:pStyle w:val="Caption"/>
                              <w:jc w:val="both"/>
                              <w:rPr>
                                <w:sz w:val="20"/>
                              </w:rPr>
                            </w:pPr>
                            <w:r>
                              <w:rPr>
                                <w:sz w:val="20"/>
                              </w:rPr>
                              <w:t>Figure 4-4b</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DIP</w:t>
                            </w:r>
                            <w:r w:rsidRPr="001B7270">
                              <w:rPr>
                                <w:sz w:val="20"/>
                              </w:rPr>
                              <w:t xml:space="preserve"> in </w:t>
                            </w:r>
                            <w:r>
                              <w:rPr>
                                <w:sz w:val="20"/>
                              </w:rPr>
                              <w:t>the Burdekin, Herbert and Tully regions for 2012-13.</w:t>
                            </w:r>
                            <w:r w:rsidRPr="001B7270">
                              <w:rPr>
                                <w:sz w:val="20"/>
                              </w:rPr>
                              <w:t xml:space="preserve">  </w:t>
                            </w:r>
                          </w:p>
                          <w:p w14:paraId="0C3F908A" w14:textId="77777777" w:rsidR="007E5BBF" w:rsidRDefault="007E5BBF" w:rsidP="001B7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32.25pt;margin-top:.75pt;width:220.65pt;height:15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" filled="f" stroked="f">
                <v:textbox>
                  <w:txbxContent>
                    <w:p w14:paraId="0C3F9089" w14:textId="77777777" w:rsidR="007E5BBF" w:rsidRPr="001B7270" w:rsidRDefault="007E5BBF" w:rsidP="001B7270">
                      <w:pPr>
                        <w:pStyle w:val="Caption"/>
                        <w:jc w:val="both"/>
                        <w:rPr>
                          <w:sz w:val="20"/>
                        </w:rPr>
                      </w:pPr>
                      <w:r>
                        <w:rPr>
                          <w:sz w:val="20"/>
                        </w:rPr>
                        <w:t>Figure 4-4b</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DIP</w:t>
                      </w:r>
                      <w:r w:rsidRPr="001B7270">
                        <w:rPr>
                          <w:sz w:val="20"/>
                        </w:rPr>
                        <w:t xml:space="preserve"> in </w:t>
                      </w:r>
                      <w:r>
                        <w:rPr>
                          <w:sz w:val="20"/>
                        </w:rPr>
                        <w:t>the Burdekin, Herbert and Tully regions for 2012-13.</w:t>
                      </w:r>
                      <w:r w:rsidRPr="001B7270">
                        <w:rPr>
                          <w:sz w:val="20"/>
                        </w:rPr>
                        <w:t xml:space="preserve">  </w:t>
                      </w:r>
                    </w:p>
                    <w:p w14:paraId="0C3F908A" w14:textId="77777777" w:rsidR="007E5BBF" w:rsidRDefault="007E5BBF" w:rsidP="001B7270"/>
                  </w:txbxContent>
                </v:textbox>
              </v:shape>
            </w:pict>
          </mc:Fallback>
        </mc:AlternateContent>
      </w:r>
      <w:r w:rsidR="000D140E" w:rsidRPr="000D140E">
        <w:rPr>
          <w:noProof/>
        </w:rPr>
        <w:drawing>
          <wp:inline distT="0" distB="0" distL="0" distR="0" wp14:anchorId="0C3F8FD5" wp14:editId="0C3F8FD6">
            <wp:extent cx="8280000" cy="5235153"/>
            <wp:effectExtent l="19050" t="19050" r="26035" b="22860"/>
            <wp:docPr id="13" name="Picture 13" descr="(i) Sites are colour coded to identify location on maps, (ii) date of sampling relative to river flow over wet season, (iii) mixing plots for DIP in the Burdekin, Herbert and Tully regions for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280000" cy="5235153"/>
                    </a:xfrm>
                    <a:prstGeom prst="rect">
                      <a:avLst/>
                    </a:prstGeom>
                    <a:ln>
                      <a:solidFill>
                        <a:srgbClr val="000000"/>
                      </a:solidFill>
                    </a:ln>
                  </pic:spPr>
                </pic:pic>
              </a:graphicData>
            </a:graphic>
          </wp:inline>
        </w:drawing>
      </w:r>
    </w:p>
    <w:p w14:paraId="0C3F828C" w14:textId="77777777" w:rsidR="002854A3" w:rsidRDefault="00782908" w:rsidP="0015270F">
      <w:r>
        <w:rPr>
          <w:noProof/>
        </w:rPr>
        <mc:AlternateContent>
          <mc:Choice Requires="wps">
            <w:drawing>
              <wp:anchor distT="0" distB="0" distL="114300" distR="114300" simplePos="0" relativeHeight="251772928" behindDoc="0" locked="0" layoutInCell="1" allowOverlap="1" wp14:anchorId="0C3F8FD7" wp14:editId="0C3F8FD8">
                <wp:simplePos x="0" y="0"/>
                <wp:positionH relativeFrom="column">
                  <wp:posOffset>5495925</wp:posOffset>
                </wp:positionH>
                <wp:positionV relativeFrom="paragraph">
                  <wp:posOffset>24765</wp:posOffset>
                </wp:positionV>
                <wp:extent cx="2802255" cy="19812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981200"/>
                        </a:xfrm>
                        <a:prstGeom prst="rect">
                          <a:avLst/>
                        </a:prstGeom>
                        <a:noFill/>
                        <a:ln w="9525">
                          <a:noFill/>
                          <a:miter lim="800000"/>
                          <a:headEnd/>
                          <a:tailEnd/>
                        </a:ln>
                      </wps:spPr>
                      <wps:txbx>
                        <w:txbxContent>
                          <w:p w14:paraId="0C3F908B" w14:textId="77777777" w:rsidR="007E5BBF" w:rsidRPr="001B7270" w:rsidRDefault="007E5BBF" w:rsidP="001B7270">
                            <w:pPr>
                              <w:pStyle w:val="Caption"/>
                              <w:jc w:val="both"/>
                              <w:rPr>
                                <w:sz w:val="20"/>
                              </w:rPr>
                            </w:pPr>
                            <w:r>
                              <w:rPr>
                                <w:sz w:val="20"/>
                              </w:rPr>
                              <w:t>Figure 4-4c</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K</w:t>
                            </w:r>
                            <w:r w:rsidRPr="001B7270">
                              <w:rPr>
                                <w:sz w:val="20"/>
                                <w:vertAlign w:val="subscript"/>
                              </w:rPr>
                              <w:t>d</w:t>
                            </w:r>
                            <w:r w:rsidRPr="001B7270">
                              <w:rPr>
                                <w:sz w:val="20"/>
                              </w:rPr>
                              <w:t xml:space="preserve"> in </w:t>
                            </w:r>
                            <w:r>
                              <w:rPr>
                                <w:sz w:val="20"/>
                              </w:rPr>
                              <w:t>the Burdekin, Herbert and Tully regions for 2012-13.</w:t>
                            </w:r>
                            <w:r w:rsidRPr="001B7270">
                              <w:rPr>
                                <w:sz w:val="20"/>
                              </w:rPr>
                              <w:t xml:space="preserve">  </w:t>
                            </w:r>
                          </w:p>
                          <w:p w14:paraId="0C3F908C" w14:textId="77777777" w:rsidR="007E5BBF" w:rsidRDefault="007E5BBF" w:rsidP="001B7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32.75pt;margin-top:1.95pt;width:220.65pt;height:15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" filled="f" stroked="f">
                <v:textbox>
                  <w:txbxContent>
                    <w:p w14:paraId="0C3F908B" w14:textId="77777777" w:rsidR="007E5BBF" w:rsidRPr="001B7270" w:rsidRDefault="007E5BBF" w:rsidP="001B7270">
                      <w:pPr>
                        <w:pStyle w:val="Caption"/>
                        <w:jc w:val="both"/>
                        <w:rPr>
                          <w:sz w:val="20"/>
                        </w:rPr>
                      </w:pPr>
                      <w:r>
                        <w:rPr>
                          <w:sz w:val="20"/>
                        </w:rPr>
                        <w:t>Figure 4-4c</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K</w:t>
                      </w:r>
                      <w:r w:rsidRPr="001B7270">
                        <w:rPr>
                          <w:sz w:val="20"/>
                          <w:vertAlign w:val="subscript"/>
                        </w:rPr>
                        <w:t>d</w:t>
                      </w:r>
                      <w:r w:rsidRPr="001B7270">
                        <w:rPr>
                          <w:sz w:val="20"/>
                        </w:rPr>
                        <w:t xml:space="preserve"> in </w:t>
                      </w:r>
                      <w:r>
                        <w:rPr>
                          <w:sz w:val="20"/>
                        </w:rPr>
                        <w:t>the Burdekin, Herbert and Tully regions for 2012-13.</w:t>
                      </w:r>
                      <w:r w:rsidRPr="001B7270">
                        <w:rPr>
                          <w:sz w:val="20"/>
                        </w:rPr>
                        <w:t xml:space="preserve">  </w:t>
                      </w:r>
                    </w:p>
                    <w:p w14:paraId="0C3F908C" w14:textId="77777777" w:rsidR="007E5BBF" w:rsidRDefault="007E5BBF" w:rsidP="001B7270"/>
                  </w:txbxContent>
                </v:textbox>
              </v:shape>
            </w:pict>
          </mc:Fallback>
        </mc:AlternateContent>
      </w:r>
      <w:r w:rsidR="002854A3" w:rsidRPr="002854A3">
        <w:rPr>
          <w:noProof/>
        </w:rPr>
        <w:drawing>
          <wp:inline distT="0" distB="0" distL="0" distR="0" wp14:anchorId="0C3F8FD9" wp14:editId="0C3F8FDA">
            <wp:extent cx="8280000" cy="5170577"/>
            <wp:effectExtent l="19050" t="19050" r="26035" b="11430"/>
            <wp:docPr id="11" name="Picture 11" descr="(i) Sites are colour coded to identify location on maps, (ii) date of sampling relative to river flow over wet season, (iii) mixing plots for Kd in the Burdekin, Herbert and Tully regions for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8280000" cy="5170577"/>
                    </a:xfrm>
                    <a:prstGeom prst="rect">
                      <a:avLst/>
                    </a:prstGeom>
                    <a:ln>
                      <a:solidFill>
                        <a:srgbClr val="000000"/>
                      </a:solidFill>
                    </a:ln>
                  </pic:spPr>
                </pic:pic>
              </a:graphicData>
            </a:graphic>
          </wp:inline>
        </w:drawing>
      </w:r>
    </w:p>
    <w:p w14:paraId="0C3F828D" w14:textId="77777777" w:rsidR="002210C7" w:rsidRDefault="00782908" w:rsidP="0015270F">
      <w:r>
        <w:rPr>
          <w:noProof/>
        </w:rPr>
        <mc:AlternateContent>
          <mc:Choice Requires="wps">
            <w:drawing>
              <wp:anchor distT="0" distB="0" distL="114300" distR="114300" simplePos="0" relativeHeight="251780096" behindDoc="0" locked="0" layoutInCell="1" allowOverlap="1" wp14:anchorId="0C3F8FDB" wp14:editId="0C3F8FDC">
                <wp:simplePos x="0" y="0"/>
                <wp:positionH relativeFrom="column">
                  <wp:posOffset>5513705</wp:posOffset>
                </wp:positionH>
                <wp:positionV relativeFrom="paragraph">
                  <wp:posOffset>19685</wp:posOffset>
                </wp:positionV>
                <wp:extent cx="2802255" cy="19812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981200"/>
                        </a:xfrm>
                        <a:prstGeom prst="rect">
                          <a:avLst/>
                        </a:prstGeom>
                        <a:noFill/>
                        <a:ln w="9525">
                          <a:noFill/>
                          <a:miter lim="800000"/>
                          <a:headEnd/>
                          <a:tailEnd/>
                        </a:ln>
                      </wps:spPr>
                      <wps:txbx>
                        <w:txbxContent>
                          <w:p w14:paraId="0C3F908D" w14:textId="77777777" w:rsidR="007E5BBF" w:rsidRPr="001B7270" w:rsidRDefault="007E5BBF" w:rsidP="002210C7">
                            <w:pPr>
                              <w:pStyle w:val="Caption"/>
                              <w:jc w:val="both"/>
                              <w:rPr>
                                <w:sz w:val="20"/>
                              </w:rPr>
                            </w:pPr>
                            <w:r>
                              <w:rPr>
                                <w:sz w:val="20"/>
                              </w:rPr>
                              <w:t>Figure 4-4d</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 xml:space="preserve">TSS </w:t>
                            </w:r>
                            <w:r w:rsidRPr="001B7270">
                              <w:rPr>
                                <w:sz w:val="20"/>
                              </w:rPr>
                              <w:t xml:space="preserve">in </w:t>
                            </w:r>
                            <w:r>
                              <w:rPr>
                                <w:sz w:val="20"/>
                              </w:rPr>
                              <w:t>the Burdekin, Herbert and Tully regions for 2012-13.</w:t>
                            </w:r>
                            <w:r w:rsidRPr="001B7270">
                              <w:rPr>
                                <w:sz w:val="20"/>
                              </w:rPr>
                              <w:t xml:space="preserve">  </w:t>
                            </w:r>
                          </w:p>
                          <w:p w14:paraId="0C3F908E" w14:textId="77777777" w:rsidR="007E5BBF" w:rsidRDefault="007E5BBF" w:rsidP="002210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34.15pt;margin-top:1.55pt;width:220.65pt;height:15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" filled="f" stroked="f">
                <v:textbox>
                  <w:txbxContent>
                    <w:p w14:paraId="0C3F908D" w14:textId="77777777" w:rsidR="007E5BBF" w:rsidRPr="001B7270" w:rsidRDefault="007E5BBF" w:rsidP="002210C7">
                      <w:pPr>
                        <w:pStyle w:val="Caption"/>
                        <w:jc w:val="both"/>
                        <w:rPr>
                          <w:sz w:val="20"/>
                        </w:rPr>
                      </w:pPr>
                      <w:r>
                        <w:rPr>
                          <w:sz w:val="20"/>
                        </w:rPr>
                        <w:t>Figure 4-4d</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 xml:space="preserve">TSS </w:t>
                      </w:r>
                      <w:r w:rsidRPr="001B7270">
                        <w:rPr>
                          <w:sz w:val="20"/>
                        </w:rPr>
                        <w:t xml:space="preserve">in </w:t>
                      </w:r>
                      <w:r>
                        <w:rPr>
                          <w:sz w:val="20"/>
                        </w:rPr>
                        <w:t>the Burdekin, Herbert and Tully regions for 2012-13.</w:t>
                      </w:r>
                      <w:r w:rsidRPr="001B7270">
                        <w:rPr>
                          <w:sz w:val="20"/>
                        </w:rPr>
                        <w:t xml:space="preserve">  </w:t>
                      </w:r>
                    </w:p>
                    <w:p w14:paraId="0C3F908E" w14:textId="77777777" w:rsidR="007E5BBF" w:rsidRDefault="007E5BBF" w:rsidP="002210C7"/>
                  </w:txbxContent>
                </v:textbox>
              </v:shape>
            </w:pict>
          </mc:Fallback>
        </mc:AlternateContent>
      </w:r>
      <w:r w:rsidR="002210C7" w:rsidRPr="002210C7">
        <w:rPr>
          <w:noProof/>
        </w:rPr>
        <w:drawing>
          <wp:inline distT="0" distB="0" distL="0" distR="0" wp14:anchorId="0C3F8FDD" wp14:editId="0C3F8FDE">
            <wp:extent cx="8280000" cy="5237534"/>
            <wp:effectExtent l="19050" t="19050" r="26035" b="20320"/>
            <wp:docPr id="32" name="Picture 32" descr="(i) Sites are colour coded to identify location on maps, (ii) date of sampling relative to river flow over wet season, (iii) mixing plots for TSS in the Burdekin, Herbert and Tully regions for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8280000" cy="5237534"/>
                    </a:xfrm>
                    <a:prstGeom prst="rect">
                      <a:avLst/>
                    </a:prstGeom>
                    <a:ln>
                      <a:solidFill>
                        <a:srgbClr val="000000"/>
                      </a:solidFill>
                    </a:ln>
                  </pic:spPr>
                </pic:pic>
              </a:graphicData>
            </a:graphic>
          </wp:inline>
        </w:drawing>
      </w:r>
    </w:p>
    <w:p w14:paraId="0C3F828E" w14:textId="77777777" w:rsidR="002210C7" w:rsidRDefault="00782908" w:rsidP="0015270F">
      <w:r>
        <w:rPr>
          <w:noProof/>
        </w:rPr>
        <mc:AlternateContent>
          <mc:Choice Requires="wps">
            <w:drawing>
              <wp:anchor distT="0" distB="0" distL="114300" distR="114300" simplePos="0" relativeHeight="251782144" behindDoc="0" locked="0" layoutInCell="1" allowOverlap="1" wp14:anchorId="0C3F8FDF" wp14:editId="0C3F8FE0">
                <wp:simplePos x="0" y="0"/>
                <wp:positionH relativeFrom="column">
                  <wp:posOffset>5502275</wp:posOffset>
                </wp:positionH>
                <wp:positionV relativeFrom="paragraph">
                  <wp:posOffset>23495</wp:posOffset>
                </wp:positionV>
                <wp:extent cx="2802255" cy="198120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981200"/>
                        </a:xfrm>
                        <a:prstGeom prst="rect">
                          <a:avLst/>
                        </a:prstGeom>
                        <a:noFill/>
                        <a:ln w="9525">
                          <a:noFill/>
                          <a:miter lim="800000"/>
                          <a:headEnd/>
                          <a:tailEnd/>
                        </a:ln>
                      </wps:spPr>
                      <wps:txbx>
                        <w:txbxContent>
                          <w:p w14:paraId="0C3F908F" w14:textId="77777777" w:rsidR="007E5BBF" w:rsidRPr="001B7270" w:rsidRDefault="007E5BBF" w:rsidP="002210C7">
                            <w:pPr>
                              <w:pStyle w:val="Caption"/>
                              <w:jc w:val="both"/>
                              <w:rPr>
                                <w:sz w:val="20"/>
                              </w:rPr>
                            </w:pPr>
                            <w:r>
                              <w:rPr>
                                <w:sz w:val="20"/>
                              </w:rPr>
                              <w:t>Figure 4-4e</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 xml:space="preserve">chlorophyll-a </w:t>
                            </w:r>
                            <w:r w:rsidRPr="001B7270">
                              <w:rPr>
                                <w:sz w:val="20"/>
                              </w:rPr>
                              <w:t xml:space="preserve">in </w:t>
                            </w:r>
                            <w:r>
                              <w:rPr>
                                <w:sz w:val="20"/>
                              </w:rPr>
                              <w:t>the Burdekin, Herbert and Tully regions for 2012-13.</w:t>
                            </w:r>
                            <w:r w:rsidRPr="001B7270">
                              <w:rPr>
                                <w:sz w:val="20"/>
                              </w:rPr>
                              <w:t xml:space="preserve">  </w:t>
                            </w:r>
                          </w:p>
                          <w:p w14:paraId="0C3F9090" w14:textId="77777777" w:rsidR="007E5BBF" w:rsidRDefault="007E5BBF" w:rsidP="002210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33.25pt;margin-top:1.85pt;width:220.65pt;height:15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" filled="f" stroked="f">
                <v:textbox>
                  <w:txbxContent>
                    <w:p w14:paraId="0C3F908F" w14:textId="77777777" w:rsidR="007E5BBF" w:rsidRPr="001B7270" w:rsidRDefault="007E5BBF" w:rsidP="002210C7">
                      <w:pPr>
                        <w:pStyle w:val="Caption"/>
                        <w:jc w:val="both"/>
                        <w:rPr>
                          <w:sz w:val="20"/>
                        </w:rPr>
                      </w:pPr>
                      <w:r>
                        <w:rPr>
                          <w:sz w:val="20"/>
                        </w:rPr>
                        <w:t>Figure 4-4e</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 xml:space="preserve">chlorophyll-a </w:t>
                      </w:r>
                      <w:r w:rsidRPr="001B7270">
                        <w:rPr>
                          <w:sz w:val="20"/>
                        </w:rPr>
                        <w:t xml:space="preserve">in </w:t>
                      </w:r>
                      <w:r>
                        <w:rPr>
                          <w:sz w:val="20"/>
                        </w:rPr>
                        <w:t>the Burdekin, Herbert and Tully regions for 2012-13.</w:t>
                      </w:r>
                      <w:r w:rsidRPr="001B7270">
                        <w:rPr>
                          <w:sz w:val="20"/>
                        </w:rPr>
                        <w:t xml:space="preserve">  </w:t>
                      </w:r>
                    </w:p>
                    <w:p w14:paraId="0C3F9090" w14:textId="77777777" w:rsidR="007E5BBF" w:rsidRDefault="007E5BBF" w:rsidP="002210C7"/>
                  </w:txbxContent>
                </v:textbox>
              </v:shape>
            </w:pict>
          </mc:Fallback>
        </mc:AlternateContent>
      </w:r>
      <w:r w:rsidR="002210C7" w:rsidRPr="002210C7">
        <w:rPr>
          <w:noProof/>
        </w:rPr>
        <w:drawing>
          <wp:inline distT="0" distB="0" distL="0" distR="0" wp14:anchorId="0C3F8FE1" wp14:editId="0C3F8FE2">
            <wp:extent cx="8280000" cy="5117499"/>
            <wp:effectExtent l="19050" t="19050" r="26035" b="26035"/>
            <wp:docPr id="33" name="Picture 33" descr="(i) Sites are colour coded to identify location on maps, (ii) date of sampling relative to river flow over wet season, (iii) mixing plots for chlorophyll-a in the Burdekin, Herbert and Tully regions for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8280000" cy="5117499"/>
                    </a:xfrm>
                    <a:prstGeom prst="rect">
                      <a:avLst/>
                    </a:prstGeom>
                    <a:ln>
                      <a:solidFill>
                        <a:srgbClr val="000000"/>
                      </a:solidFill>
                    </a:ln>
                  </pic:spPr>
                </pic:pic>
              </a:graphicData>
            </a:graphic>
          </wp:inline>
        </w:drawing>
      </w:r>
    </w:p>
    <w:p w14:paraId="0C3F828F" w14:textId="77777777" w:rsidR="002210C7" w:rsidRPr="00782908" w:rsidRDefault="00782908" w:rsidP="0015270F">
      <w:r>
        <w:rPr>
          <w:noProof/>
        </w:rPr>
        <mc:AlternateContent>
          <mc:Choice Requires="wps">
            <w:drawing>
              <wp:anchor distT="0" distB="0" distL="114300" distR="114300" simplePos="0" relativeHeight="251784192" behindDoc="0" locked="0" layoutInCell="1" allowOverlap="1" wp14:anchorId="0C3F8FE3" wp14:editId="0C3F8FE4">
                <wp:simplePos x="0" y="0"/>
                <wp:positionH relativeFrom="column">
                  <wp:posOffset>5506085</wp:posOffset>
                </wp:positionH>
                <wp:positionV relativeFrom="paragraph">
                  <wp:posOffset>12065</wp:posOffset>
                </wp:positionV>
                <wp:extent cx="2802255" cy="19812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981200"/>
                        </a:xfrm>
                        <a:prstGeom prst="rect">
                          <a:avLst/>
                        </a:prstGeom>
                        <a:noFill/>
                        <a:ln w="9525">
                          <a:noFill/>
                          <a:miter lim="800000"/>
                          <a:headEnd/>
                          <a:tailEnd/>
                        </a:ln>
                      </wps:spPr>
                      <wps:txbx>
                        <w:txbxContent>
                          <w:p w14:paraId="0C3F9091" w14:textId="77777777" w:rsidR="007E5BBF" w:rsidRPr="001B7270" w:rsidRDefault="007E5BBF" w:rsidP="002210C7">
                            <w:pPr>
                              <w:pStyle w:val="Caption"/>
                              <w:jc w:val="both"/>
                              <w:rPr>
                                <w:sz w:val="20"/>
                              </w:rPr>
                            </w:pPr>
                            <w:r>
                              <w:rPr>
                                <w:sz w:val="20"/>
                              </w:rPr>
                              <w:t>Figure 4-4f</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 xml:space="preserve">CDOM </w:t>
                            </w:r>
                            <w:r w:rsidRPr="001B7270">
                              <w:rPr>
                                <w:sz w:val="20"/>
                              </w:rPr>
                              <w:t xml:space="preserve">in </w:t>
                            </w:r>
                            <w:r>
                              <w:rPr>
                                <w:sz w:val="20"/>
                              </w:rPr>
                              <w:t>the Burdekin, Herbert and Tully regions for 2012-13.</w:t>
                            </w:r>
                            <w:r w:rsidRPr="001B7270">
                              <w:rPr>
                                <w:sz w:val="20"/>
                              </w:rPr>
                              <w:t xml:space="preserve">  </w:t>
                            </w:r>
                          </w:p>
                          <w:p w14:paraId="0C3F9092" w14:textId="77777777" w:rsidR="007E5BBF" w:rsidRDefault="007E5BBF" w:rsidP="002210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33.55pt;margin-top:.95pt;width:220.65pt;height:15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" filled="f" stroked="f">
                <v:textbox>
                  <w:txbxContent>
                    <w:p w14:paraId="0C3F9091" w14:textId="77777777" w:rsidR="007E5BBF" w:rsidRPr="001B7270" w:rsidRDefault="007E5BBF" w:rsidP="002210C7">
                      <w:pPr>
                        <w:pStyle w:val="Caption"/>
                        <w:jc w:val="both"/>
                        <w:rPr>
                          <w:sz w:val="20"/>
                        </w:rPr>
                      </w:pPr>
                      <w:r>
                        <w:rPr>
                          <w:sz w:val="20"/>
                        </w:rPr>
                        <w:t>Figure 4-4f</w:t>
                      </w:r>
                      <w:r w:rsidRPr="001B7270">
                        <w:rPr>
                          <w:sz w:val="20"/>
                        </w:rPr>
                        <w:t xml:space="preserve"> (i) Sites are colour coded to identify location on maps, (ii) date of sampling relative to river flow over wet season, (iii)</w:t>
                      </w:r>
                      <w:r>
                        <w:rPr>
                          <w:sz w:val="20"/>
                        </w:rPr>
                        <w:t xml:space="preserve"> </w:t>
                      </w:r>
                      <w:r w:rsidRPr="001B7270">
                        <w:rPr>
                          <w:sz w:val="20"/>
                        </w:rPr>
                        <w:t xml:space="preserve">mixing plots for </w:t>
                      </w:r>
                      <w:r>
                        <w:rPr>
                          <w:sz w:val="20"/>
                        </w:rPr>
                        <w:t xml:space="preserve">CDOM </w:t>
                      </w:r>
                      <w:r w:rsidRPr="001B7270">
                        <w:rPr>
                          <w:sz w:val="20"/>
                        </w:rPr>
                        <w:t xml:space="preserve">in </w:t>
                      </w:r>
                      <w:r>
                        <w:rPr>
                          <w:sz w:val="20"/>
                        </w:rPr>
                        <w:t>the Burdekin, Herbert and Tully regions for 2012-13.</w:t>
                      </w:r>
                      <w:r w:rsidRPr="001B7270">
                        <w:rPr>
                          <w:sz w:val="20"/>
                        </w:rPr>
                        <w:t xml:space="preserve">  </w:t>
                      </w:r>
                    </w:p>
                    <w:p w14:paraId="0C3F9092" w14:textId="77777777" w:rsidR="007E5BBF" w:rsidRDefault="007E5BBF" w:rsidP="002210C7"/>
                  </w:txbxContent>
                </v:textbox>
              </v:shape>
            </w:pict>
          </mc:Fallback>
        </mc:AlternateContent>
      </w:r>
      <w:r w:rsidR="002210C7" w:rsidRPr="00782908">
        <w:rPr>
          <w:noProof/>
        </w:rPr>
        <w:drawing>
          <wp:inline distT="0" distB="0" distL="0" distR="0" wp14:anchorId="0C3F8FE5" wp14:editId="0C3F8FE6">
            <wp:extent cx="8280000" cy="5103346"/>
            <wp:effectExtent l="19050" t="19050" r="26035" b="21590"/>
            <wp:docPr id="35" name="Picture 35" descr="(i) Sites are colour coded to identify location on maps, (ii) date of sampling relative to river flow over wet season, (iii) mixing plots for CDOM in the Burdekin, Herbert and Tully regions for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8280000" cy="5103346"/>
                    </a:xfrm>
                    <a:prstGeom prst="rect">
                      <a:avLst/>
                    </a:prstGeom>
                    <a:ln>
                      <a:solidFill>
                        <a:srgbClr val="000000"/>
                      </a:solidFill>
                    </a:ln>
                  </pic:spPr>
                </pic:pic>
              </a:graphicData>
            </a:graphic>
          </wp:inline>
        </w:drawing>
      </w:r>
    </w:p>
    <w:p w14:paraId="0C3F8290" w14:textId="77777777" w:rsidR="00782908" w:rsidRPr="00782908" w:rsidRDefault="00782908" w:rsidP="0015270F">
      <w:pPr>
        <w:sectPr w:rsidR="00782908" w:rsidRPr="00782908" w:rsidSect="00935052">
          <w:pgSz w:w="16840" w:h="11907" w:orient="landscape" w:code="9"/>
          <w:pgMar w:top="1440" w:right="1440" w:bottom="1440" w:left="1440" w:header="709" w:footer="720" w:gutter="0"/>
          <w:cols w:space="708"/>
          <w:docGrid w:linePitch="360"/>
        </w:sectPr>
      </w:pPr>
    </w:p>
    <w:p w14:paraId="0C3F8291" w14:textId="77777777" w:rsidR="002210C7" w:rsidRDefault="002210C7" w:rsidP="0015270F"/>
    <w:p w14:paraId="0C3F8292" w14:textId="77777777" w:rsidR="0015270F" w:rsidRDefault="0015270F" w:rsidP="0015270F">
      <w:r>
        <w:t>The WQ parameters</w:t>
      </w:r>
      <w:r w:rsidR="003C19C2">
        <w:t>,</w:t>
      </w:r>
      <w:r>
        <w:t xml:space="preserve"> sampled </w:t>
      </w:r>
      <w:r w:rsidR="00BD425B">
        <w:t>in</w:t>
      </w:r>
      <w:r>
        <w:t xml:space="preserve"> </w:t>
      </w:r>
      <w:r w:rsidR="003C535B">
        <w:t>the Tully (Figure 4-5</w:t>
      </w:r>
      <w:r w:rsidR="00A31E76">
        <w:t>)</w:t>
      </w:r>
      <w:r w:rsidR="003C19C2">
        <w:t>,</w:t>
      </w:r>
      <w:r w:rsidR="00A31E76">
        <w:t xml:space="preserve"> </w:t>
      </w:r>
      <w:r w:rsidR="003C19C2">
        <w:t>are</w:t>
      </w:r>
      <w:r>
        <w:t xml:space="preserve"> plotted against </w:t>
      </w:r>
      <w:r w:rsidR="003C535B">
        <w:t>two</w:t>
      </w:r>
      <w:r>
        <w:t xml:space="preserve"> parameters: (a) the distance between the sampling site and the nearest (or influential) river mouth, (b) 5-days average river discharge calculated from the sampling date. These plots </w:t>
      </w:r>
      <w:r w:rsidR="00A26858">
        <w:t xml:space="preserve">highlighted </w:t>
      </w:r>
      <w:r>
        <w:t>the variable river inputs from several Wet Tropics Rivers</w:t>
      </w:r>
      <w:r w:rsidR="00F81A7B">
        <w:t xml:space="preserve"> and events</w:t>
      </w:r>
      <w:r w:rsidR="003C19C2">
        <w:t>,</w:t>
      </w:r>
      <w:r w:rsidR="00A26858">
        <w:t xml:space="preserve"> which </w:t>
      </w:r>
      <w:r w:rsidR="003C19C2">
        <w:t xml:space="preserve">can </w:t>
      </w:r>
      <w:r w:rsidR="00A26858">
        <w:t>influence the shape of the model</w:t>
      </w:r>
      <w:r>
        <w:t xml:space="preserve">. For example, </w:t>
      </w:r>
      <w:r w:rsidR="00362A9F">
        <w:t>Kd(PAR)</w:t>
      </w:r>
      <w:r w:rsidR="00D22969">
        <w:t xml:space="preserve"> and TSS</w:t>
      </w:r>
      <w:r w:rsidR="004316A7">
        <w:t xml:space="preserve"> in the Tully</w:t>
      </w:r>
      <w:r w:rsidR="00D22969">
        <w:t xml:space="preserve"> exhibited a decreasing concentrations in response to </w:t>
      </w:r>
      <w:r>
        <w:t>the distance plots,</w:t>
      </w:r>
      <w:r w:rsidR="00D22969">
        <w:t xml:space="preserve"> with CDOM </w:t>
      </w:r>
      <w:r w:rsidR="003C19C2">
        <w:t xml:space="preserve">also </w:t>
      </w:r>
      <w:r w:rsidR="00D22969">
        <w:t>having</w:t>
      </w:r>
      <w:r w:rsidR="004316A7">
        <w:t xml:space="preserve"> the</w:t>
      </w:r>
      <w:r w:rsidR="00D22969">
        <w:t xml:space="preserve"> converse relationship with discharge</w:t>
      </w:r>
      <w:r w:rsidR="004316A7">
        <w:t>, increasing to a maximum value at maximum flow</w:t>
      </w:r>
      <w:r w:rsidR="003C19C2">
        <w:t>, but with high scatter in response to distance</w:t>
      </w:r>
      <w:r w:rsidR="004316A7">
        <w:t xml:space="preserve">. CDOM is a </w:t>
      </w:r>
      <w:r w:rsidR="002827F5">
        <w:t>well-recognised</w:t>
      </w:r>
      <w:r w:rsidR="004316A7">
        <w:t xml:space="preserve"> proxy for freshwater influence and generally exhibits strong linear patterns with </w:t>
      </w:r>
      <w:r w:rsidR="002827F5">
        <w:t>discharge</w:t>
      </w:r>
      <w:r w:rsidR="004316A7">
        <w:t>. TSS in the Tully sites is elevated at maximum flow, but high TSS values are also associated with low flow conditions, close to the shore</w:t>
      </w:r>
      <w:r w:rsidR="003C19C2">
        <w:t>,</w:t>
      </w:r>
      <w:r w:rsidR="004316A7">
        <w:t xml:space="preserve"> suggesting strong tidal influence, and/or first flush conditions. </w:t>
      </w:r>
      <w:r w:rsidR="00362A9F">
        <w:t>Chl-a</w:t>
      </w:r>
      <w:r w:rsidR="004316A7">
        <w:t xml:space="preserve"> in the Tully transect</w:t>
      </w:r>
      <w:r>
        <w:t xml:space="preserve"> remained constant across distance (</w:t>
      </w:r>
      <w:r w:rsidR="002210C7">
        <w:fldChar w:fldCharType="begin"/>
      </w:r>
      <w:r w:rsidR="002210C7">
        <w:instrText xml:space="preserve"> REF _Ref432675019 \h </w:instrText>
      </w:r>
      <w:r w:rsidR="002210C7">
        <w:fldChar w:fldCharType="separate"/>
      </w:r>
      <w:r w:rsidR="00B62B50">
        <w:t xml:space="preserve">Figure </w:t>
      </w:r>
      <w:r w:rsidR="00B62B50">
        <w:rPr>
          <w:noProof/>
        </w:rPr>
        <w:t>4</w:t>
      </w:r>
      <w:r w:rsidR="00B62B50">
        <w:noBreakHyphen/>
      </w:r>
      <w:r w:rsidR="00B62B50">
        <w:rPr>
          <w:noProof/>
        </w:rPr>
        <w:t>5</w:t>
      </w:r>
      <w:r w:rsidR="002210C7">
        <w:fldChar w:fldCharType="end"/>
      </w:r>
      <w:r>
        <w:t>)</w:t>
      </w:r>
      <w:r w:rsidR="004316A7">
        <w:t>, with some elevated peaks at 15 to 30km offshore</w:t>
      </w:r>
      <w:r>
        <w:t xml:space="preserve">. </w:t>
      </w:r>
      <w:r w:rsidR="004316A7">
        <w:t xml:space="preserve"> </w:t>
      </w:r>
    </w:p>
    <w:p w14:paraId="0C3F8293" w14:textId="77777777" w:rsidR="0015270F" w:rsidRDefault="00A14B19" w:rsidP="0015270F">
      <w:r>
        <w:t>DIN</w:t>
      </w:r>
      <w:r w:rsidR="0015270F">
        <w:t xml:space="preserve"> present</w:t>
      </w:r>
      <w:r w:rsidR="00F81A7B">
        <w:t>s</w:t>
      </w:r>
      <w:r w:rsidR="0015270F">
        <w:t xml:space="preserve"> a clear </w:t>
      </w:r>
      <w:r>
        <w:t>dilution</w:t>
      </w:r>
      <w:r w:rsidR="0015270F">
        <w:t xml:space="preserve"> pattern</w:t>
      </w:r>
      <w:r>
        <w:t xml:space="preserve"> in the Tully</w:t>
      </w:r>
      <w:r w:rsidR="0015270F">
        <w:t xml:space="preserve">, </w:t>
      </w:r>
      <w:r w:rsidR="005118C1">
        <w:t xml:space="preserve">with elevated concentrations </w:t>
      </w:r>
      <w:r w:rsidR="00F81A7B">
        <w:t>close to the river mouth, that is reduced moving away from the mouth.</w:t>
      </w:r>
      <w:r>
        <w:t xml:space="preserve">. </w:t>
      </w:r>
      <w:r w:rsidR="00F81A7B">
        <w:t xml:space="preserve">A clear trend is also observed </w:t>
      </w:r>
      <w:r w:rsidR="00935052">
        <w:t>against</w:t>
      </w:r>
      <w:r w:rsidR="00F81A7B">
        <w:t xml:space="preserve"> river discharge, as the greater the discharge the higher the DIN concentration. Such pattern was not observed for DIP, although in general DIP decreases away from the coast. </w:t>
      </w:r>
      <w:r w:rsidR="00A31E76" w:rsidRPr="00A75B20">
        <w:t>The minimum</w:t>
      </w:r>
      <w:r w:rsidR="00A31E76">
        <w:t xml:space="preserve"> values for DIN ranged from 0.5 – 1.1</w:t>
      </w:r>
      <w:r w:rsidR="00A31E76" w:rsidRPr="00A75B20">
        <w:t xml:space="preserve"> </w:t>
      </w:r>
      <w:r w:rsidR="00A31E76">
        <w:t>µ</w:t>
      </w:r>
      <w:r w:rsidR="00A31E76" w:rsidRPr="00A75B20">
        <w:t xml:space="preserve">M and minimum DIP values ranged from </w:t>
      </w:r>
      <w:r w:rsidR="00A31E76">
        <w:t>0.03 – 0.10</w:t>
      </w:r>
      <w:r w:rsidR="00A31E76" w:rsidRPr="00A75B20">
        <w:t xml:space="preserve"> µM. The maximum values for DIN ranged from </w:t>
      </w:r>
      <w:r w:rsidR="00A31E76">
        <w:t>1.6</w:t>
      </w:r>
      <w:r w:rsidR="00A31E76" w:rsidRPr="00A75B20">
        <w:t xml:space="preserve"> – </w:t>
      </w:r>
      <w:r w:rsidR="00A31E76">
        <w:t>12.6</w:t>
      </w:r>
      <w:r w:rsidR="00A31E76" w:rsidRPr="00A75B20">
        <w:t xml:space="preserve"> </w:t>
      </w:r>
      <w:r w:rsidR="00A31E76">
        <w:t>µ</w:t>
      </w:r>
      <w:r w:rsidR="00A31E76" w:rsidRPr="00A75B20">
        <w:t xml:space="preserve">M and maximum DIP values ranged from </w:t>
      </w:r>
      <w:r w:rsidR="00A31E76">
        <w:t>0.13 – 0.29</w:t>
      </w:r>
      <w:r w:rsidR="00A31E76" w:rsidRPr="00A75B20">
        <w:t xml:space="preserve"> µM.  The high</w:t>
      </w:r>
      <w:r w:rsidR="00A31E76">
        <w:t>est</w:t>
      </w:r>
      <w:r w:rsidR="00A31E76" w:rsidRPr="00A75B20">
        <w:t xml:space="preserve"> value of DIN (</w:t>
      </w:r>
      <w:r w:rsidR="00A31E76">
        <w:t>12.6</w:t>
      </w:r>
      <w:r w:rsidR="00A31E76" w:rsidRPr="00A75B20">
        <w:t xml:space="preserve"> </w:t>
      </w:r>
      <w:r w:rsidR="00A31E76">
        <w:t>µ</w:t>
      </w:r>
      <w:r w:rsidR="00A31E76" w:rsidRPr="00A75B20">
        <w:t xml:space="preserve">M) was recorded at </w:t>
      </w:r>
      <w:r w:rsidR="00A31E76">
        <w:t>Tully River mouth</w:t>
      </w:r>
      <w:r w:rsidR="00A31E76" w:rsidRPr="00A75B20">
        <w:t xml:space="preserve"> on </w:t>
      </w:r>
      <w:r w:rsidR="00A31E76">
        <w:t>26-01-2013</w:t>
      </w:r>
      <w:r w:rsidR="00A31E76" w:rsidRPr="00A75B20">
        <w:t xml:space="preserve"> at a salinity of </w:t>
      </w:r>
      <w:r w:rsidR="00A31E76">
        <w:t>9.5 and under a 5-days average discharge of 64,443 ML/d (higher than the 95</w:t>
      </w:r>
      <w:r w:rsidR="00A31E76" w:rsidRPr="0015270F">
        <w:rPr>
          <w:vertAlign w:val="superscript"/>
        </w:rPr>
        <w:t>th</w:t>
      </w:r>
      <w:r w:rsidR="00A31E76">
        <w:t xml:space="preserve"> percentile, 28,441 ML/d</w:t>
      </w:r>
      <w:r w:rsidR="003C19C2">
        <w:t xml:space="preserve">), suggesting either a </w:t>
      </w:r>
      <w:r w:rsidR="00A31E76">
        <w:t xml:space="preserve">strong continental contribution of DIN during flood </w:t>
      </w:r>
      <w:r w:rsidR="002827F5">
        <w:t>conditions</w:t>
      </w:r>
      <w:r w:rsidR="003C19C2">
        <w:t xml:space="preserve"> or in response to first flush</w:t>
      </w:r>
      <w:r w:rsidR="002827F5" w:rsidRPr="00A75B20">
        <w:t>.</w:t>
      </w:r>
      <w:r w:rsidR="002827F5">
        <w:t xml:space="preserve"> The</w:t>
      </w:r>
      <w:r w:rsidR="00D22969">
        <w:t xml:space="preserve"> highest concentrations of DIN was observed </w:t>
      </w:r>
      <w:r w:rsidR="00A31E76">
        <w:t>in moderate flow</w:t>
      </w:r>
      <w:r w:rsidR="00D22969">
        <w:t xml:space="preserve"> conditions, suggesting this was an example of first flush, where a small amount of flow can transport very high concentrations of pollutants into the nearshore marine environment. The site representing the “T</w:t>
      </w:r>
      <w:r w:rsidR="00BC0B37">
        <w:t xml:space="preserve">ully River mouth” is situated after extensive wet land and coastal areas, in which up to 40% of the Tully River can be discharged across, resulting in estuarine processes before the first </w:t>
      </w:r>
      <w:r w:rsidR="003C19C2">
        <w:t>plume-sampling</w:t>
      </w:r>
      <w:r w:rsidR="00BC0B37">
        <w:t xml:space="preserve"> site </w:t>
      </w:r>
      <w:r w:rsidR="0015270F">
        <w:t>(</w:t>
      </w:r>
      <w:r w:rsidR="002210C7">
        <w:fldChar w:fldCharType="begin"/>
      </w:r>
      <w:r w:rsidR="002210C7">
        <w:instrText xml:space="preserve"> REF _Ref432675019 \h </w:instrText>
      </w:r>
      <w:r w:rsidR="002210C7">
        <w:fldChar w:fldCharType="separate"/>
      </w:r>
      <w:r w:rsidR="00B62B50">
        <w:t xml:space="preserve">Figure </w:t>
      </w:r>
      <w:r w:rsidR="00B62B50">
        <w:rPr>
          <w:noProof/>
        </w:rPr>
        <w:t>4</w:t>
      </w:r>
      <w:r w:rsidR="00B62B50">
        <w:noBreakHyphen/>
      </w:r>
      <w:r w:rsidR="00B62B50">
        <w:rPr>
          <w:noProof/>
        </w:rPr>
        <w:t>5</w:t>
      </w:r>
      <w:r w:rsidR="002210C7">
        <w:fldChar w:fldCharType="end"/>
      </w:r>
      <w:r w:rsidR="00BC0B37">
        <w:t xml:space="preserve">). DIN </w:t>
      </w:r>
      <w:r>
        <w:t>also exhibits only a small increase</w:t>
      </w:r>
      <w:r w:rsidR="0015270F">
        <w:t xml:space="preserve"> against river discharge</w:t>
      </w:r>
      <w:r>
        <w:t xml:space="preserve">, however </w:t>
      </w:r>
      <w:r w:rsidR="00D22969">
        <w:t xml:space="preserve">high values </w:t>
      </w:r>
      <w:r>
        <w:t xml:space="preserve"> are associated with the high discharge</w:t>
      </w:r>
      <w:r w:rsidR="00D22969">
        <w:t xml:space="preserve"> condit</w:t>
      </w:r>
      <w:r w:rsidR="004316A7">
        <w:t>ions</w:t>
      </w:r>
      <w:r w:rsidR="0015270F">
        <w:t xml:space="preserve"> (</w:t>
      </w:r>
      <w:r w:rsidR="002210C7">
        <w:fldChar w:fldCharType="begin"/>
      </w:r>
      <w:r w:rsidR="002210C7">
        <w:instrText xml:space="preserve"> REF _Ref432675019 \h </w:instrText>
      </w:r>
      <w:r w:rsidR="002210C7">
        <w:fldChar w:fldCharType="separate"/>
      </w:r>
      <w:r w:rsidR="00B62B50">
        <w:t xml:space="preserve">Figure </w:t>
      </w:r>
      <w:r w:rsidR="00B62B50">
        <w:rPr>
          <w:noProof/>
        </w:rPr>
        <w:t>4</w:t>
      </w:r>
      <w:r w:rsidR="00B62B50">
        <w:noBreakHyphen/>
      </w:r>
      <w:r w:rsidR="00B62B50">
        <w:rPr>
          <w:noProof/>
        </w:rPr>
        <w:t>5</w:t>
      </w:r>
      <w:r w:rsidR="002210C7">
        <w:fldChar w:fldCharType="end"/>
      </w:r>
      <w:r w:rsidR="0015270F">
        <w:t xml:space="preserve">), but </w:t>
      </w:r>
      <w:r w:rsidR="00BC0B37">
        <w:t xml:space="preserve">only </w:t>
      </w:r>
      <w:r w:rsidR="00D22969">
        <w:t>one</w:t>
      </w:r>
      <w:r w:rsidR="00BC0B37">
        <w:t xml:space="preserve"> maximum</w:t>
      </w:r>
      <w:r w:rsidR="0015270F">
        <w:t xml:space="preserve"> discharge </w:t>
      </w:r>
      <w:r w:rsidR="00BC0B37">
        <w:t xml:space="preserve">event </w:t>
      </w:r>
      <w:r w:rsidR="0015270F">
        <w:t>were capture by the 2012-2013 wet season sampling</w:t>
      </w:r>
      <w:r w:rsidR="00BC0B37">
        <w:t>, with most data representing flux or fall of the river flow</w:t>
      </w:r>
      <w:r w:rsidR="0015270F">
        <w:t xml:space="preserve">. </w:t>
      </w:r>
    </w:p>
    <w:p w14:paraId="0C3F8294" w14:textId="77777777" w:rsidR="00A31E76" w:rsidRDefault="00A31E76" w:rsidP="00A31E76">
      <w:r>
        <w:t xml:space="preserve">The WQ parameters sampled in the Herbert (Figure 4-6) were plotted against two parameters: (a) the distance between the sampling site and the nearest (or influential) river mouth, (b) 5-days average river discharge calculated from the sampling date. These plots highlighted the variable river inputs from </w:t>
      </w:r>
      <w:r w:rsidR="003C19C2">
        <w:t>the Herbert River</w:t>
      </w:r>
      <w:r w:rsidR="00F81A7B">
        <w:t xml:space="preserve"> on several events</w:t>
      </w:r>
      <w:r w:rsidR="003C19C2">
        <w:t>, smaller coastal rivers and Hinchinbrook Channel, all which can</w:t>
      </w:r>
      <w:r>
        <w:t xml:space="preserve"> influence the shape of the model. </w:t>
      </w:r>
      <w:r w:rsidR="00362A9F">
        <w:t>Kd(PAR)</w:t>
      </w:r>
      <w:r>
        <w:t xml:space="preserve"> in the Herbert River exhibited a ‘U’ shape curve for the distance plots, with the initial reduction in </w:t>
      </w:r>
      <w:r w:rsidR="00362A9F">
        <w:t>Kd(PAR)</w:t>
      </w:r>
      <w:r>
        <w:t xml:space="preserve"> following similar reductions in </w:t>
      </w:r>
      <w:r w:rsidR="00F81A7B">
        <w:t>chlorophyll</w:t>
      </w:r>
      <w:r>
        <w:t>-a and CDOM across distance. Highest TSS in the Herbert sites is against the maximum flow conditions</w:t>
      </w:r>
      <w:r w:rsidR="0036562E">
        <w:t>.</w:t>
      </w:r>
      <w:r>
        <w:t xml:space="preserve"> </w:t>
      </w:r>
      <w:r w:rsidR="00362A9F">
        <w:t xml:space="preserve">Chl-a </w:t>
      </w:r>
      <w:r>
        <w:t xml:space="preserve"> in the Herbert transect reduces from </w:t>
      </w:r>
      <w:r w:rsidR="002827F5">
        <w:t>initial</w:t>
      </w:r>
      <w:r>
        <w:t xml:space="preserve"> high values between 0.5 </w:t>
      </w:r>
      <w:r w:rsidR="00F81A7B">
        <w:t xml:space="preserve">µg/L </w:t>
      </w:r>
      <w:r>
        <w:t>and 3.0</w:t>
      </w:r>
      <w:r w:rsidR="00F81A7B">
        <w:t xml:space="preserve"> µ</w:t>
      </w:r>
      <w:r>
        <w:t>g/L in the first  10km, with some reduction across distance, but increasing or stabilising at 35km distance (</w:t>
      </w:r>
      <w:r w:rsidR="0036562E">
        <w:t>6</w:t>
      </w:r>
      <w:r>
        <w:t>), with some elevated peaks at 15</w:t>
      </w:r>
      <w:r w:rsidR="00F81A7B">
        <w:t xml:space="preserve"> km</w:t>
      </w:r>
      <w:r>
        <w:t xml:space="preserve"> to 30</w:t>
      </w:r>
      <w:r w:rsidR="00F81A7B">
        <w:t xml:space="preserve"> </w:t>
      </w:r>
      <w:r>
        <w:t>km offshore</w:t>
      </w:r>
      <w:r w:rsidR="00362A9F">
        <w:t xml:space="preserve">. </w:t>
      </w:r>
      <w:r>
        <w:t xml:space="preserve">All of the Herbert plots for OAC’s and </w:t>
      </w:r>
      <w:r w:rsidR="00362A9F">
        <w:t>Kd(PAR)</w:t>
      </w:r>
      <w:r>
        <w:t xml:space="preserve"> represent two sources of river inputs, (north and south transects with different river inputs)</w:t>
      </w:r>
      <w:r w:rsidR="005118C1">
        <w:t xml:space="preserve"> and are also influenced by the movement of water around and through the Hinchinbrook channel</w:t>
      </w:r>
      <w:r>
        <w:t xml:space="preserve"> and are variable due to the mixing of </w:t>
      </w:r>
      <w:r w:rsidR="005118C1">
        <w:t>the</w:t>
      </w:r>
      <w:r>
        <w:t xml:space="preserve"> fresh-end sources</w:t>
      </w:r>
      <w:r w:rsidR="005118C1">
        <w:t xml:space="preserve"> and the tidal dynamics around Hinchinbrook Island</w:t>
      </w:r>
      <w:r>
        <w:t>.</w:t>
      </w:r>
    </w:p>
    <w:p w14:paraId="0C3F8295" w14:textId="77777777" w:rsidR="00A31E76" w:rsidRDefault="00A31E76" w:rsidP="00A31E76">
      <w:r>
        <w:t>DIN</w:t>
      </w:r>
      <w:r w:rsidR="005118C1">
        <w:t xml:space="preserve"> and DIP do</w:t>
      </w:r>
      <w:r>
        <w:t xml:space="preserve"> not presented a clear dilution pattern in the Herbert, with </w:t>
      </w:r>
      <w:r w:rsidR="005118C1">
        <w:t xml:space="preserve">elevated concentrations </w:t>
      </w:r>
      <w:r>
        <w:t xml:space="preserve">across </w:t>
      </w:r>
      <w:r w:rsidR="005118C1">
        <w:t xml:space="preserve">the whole of </w:t>
      </w:r>
      <w:r>
        <w:t>distance</w:t>
      </w:r>
      <w:r w:rsidR="005118C1">
        <w:t xml:space="preserve"> plots</w:t>
      </w:r>
      <w:r>
        <w:t xml:space="preserve">, with </w:t>
      </w:r>
      <w:r w:rsidR="005118C1">
        <w:t>highest</w:t>
      </w:r>
      <w:r>
        <w:t xml:space="preserve"> concentrations measured </w:t>
      </w:r>
      <w:r w:rsidR="005118C1">
        <w:t>between 50</w:t>
      </w:r>
      <w:r w:rsidR="00F81A7B">
        <w:t xml:space="preserve"> km</w:t>
      </w:r>
      <w:r w:rsidR="005118C1">
        <w:t xml:space="preserve"> to 100</w:t>
      </w:r>
      <w:r w:rsidR="00F81A7B">
        <w:t xml:space="preserve"> </w:t>
      </w:r>
      <w:r w:rsidR="005118C1">
        <w:t>km</w:t>
      </w:r>
      <w:r w:rsidR="0036562E">
        <w:t xml:space="preserve"> </w:t>
      </w:r>
      <w:r w:rsidR="008E03E9">
        <w:t>distances</w:t>
      </w:r>
      <w:r w:rsidR="0036562E">
        <w:t xml:space="preserve"> from the Herbert mouth</w:t>
      </w:r>
      <w:r>
        <w:t>.</w:t>
      </w:r>
      <w:r w:rsidR="002521E6">
        <w:t xml:space="preserve"> These distance plots are taken from the point of the Herbert River, and the high DIN concentration was taken just north of the Hinchinbrook Channel, where the influence</w:t>
      </w:r>
      <w:r w:rsidR="0036562E">
        <w:t xml:space="preserve"> of the Hinchinbrook channel is significant.</w:t>
      </w:r>
      <w:r w:rsidR="002521E6">
        <w:t xml:space="preserve"> </w:t>
      </w:r>
      <w:r>
        <w:t xml:space="preserve"> </w:t>
      </w:r>
    </w:p>
    <w:p w14:paraId="0C3F8296" w14:textId="77777777" w:rsidR="00A31E76" w:rsidRDefault="00377B44" w:rsidP="0015270F">
      <w:r>
        <w:rPr>
          <w:noProof/>
        </w:rPr>
        <mc:AlternateContent>
          <mc:Choice Requires="wps">
            <w:drawing>
              <wp:anchor distT="0" distB="0" distL="114300" distR="114300" simplePos="0" relativeHeight="251777024" behindDoc="0" locked="0" layoutInCell="1" allowOverlap="1" wp14:anchorId="0C3F8FE7" wp14:editId="0C3F8FE8">
                <wp:simplePos x="0" y="0"/>
                <wp:positionH relativeFrom="column">
                  <wp:posOffset>3552190</wp:posOffset>
                </wp:positionH>
                <wp:positionV relativeFrom="paragraph">
                  <wp:posOffset>314960</wp:posOffset>
                </wp:positionV>
                <wp:extent cx="533400" cy="3124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3" w14:textId="77777777" w:rsidR="007E5BBF" w:rsidRDefault="007E5BBF" w:rsidP="00AF2690">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79.7pt;margin-top:24.8pt;width:42pt;height:24.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" filled="f" stroked="f">
                <v:textbox>
                  <w:txbxContent>
                    <w:p w14:paraId="0C3F9093" w14:textId="77777777" w:rsidR="007E5BBF" w:rsidRDefault="007E5BBF" w:rsidP="00AF2690">
                      <w:r>
                        <w:t>(a)</w:t>
                      </w:r>
                    </w:p>
                  </w:txbxContent>
                </v:textbox>
              </v:shape>
            </w:pict>
          </mc:Fallback>
        </mc:AlternateContent>
      </w:r>
    </w:p>
    <w:p w14:paraId="0C3F8297" w14:textId="77777777" w:rsidR="00AF2690" w:rsidRDefault="00377B44" w:rsidP="00AF2690">
      <w:r>
        <w:rPr>
          <w:noProof/>
        </w:rPr>
        <mc:AlternateContent>
          <mc:Choice Requires="wps">
            <w:drawing>
              <wp:anchor distT="0" distB="0" distL="114300" distR="114300" simplePos="0" relativeHeight="251778048" behindDoc="0" locked="0" layoutInCell="1" allowOverlap="1" wp14:anchorId="0C3F8FE9" wp14:editId="0C3F8FEA">
                <wp:simplePos x="0" y="0"/>
                <wp:positionH relativeFrom="column">
                  <wp:posOffset>4949645</wp:posOffset>
                </wp:positionH>
                <wp:positionV relativeFrom="paragraph">
                  <wp:posOffset>1593</wp:posOffset>
                </wp:positionV>
                <wp:extent cx="533400" cy="3124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4" w14:textId="77777777" w:rsidR="007E5BBF" w:rsidRDefault="007E5BBF" w:rsidP="00AF2690">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89.75pt;margin-top:.15pt;width:42pt;height:24.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" filled="f" stroked="f">
                <v:textbox>
                  <w:txbxContent>
                    <w:p w14:paraId="0C3F9094" w14:textId="77777777" w:rsidR="007E5BBF" w:rsidRDefault="007E5BBF" w:rsidP="00AF2690">
                      <w:r>
                        <w:t>(b)</w:t>
                      </w:r>
                    </w:p>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0C3F8FEB" wp14:editId="0C3F8FEC">
                <wp:simplePos x="0" y="0"/>
                <wp:positionH relativeFrom="column">
                  <wp:posOffset>2188210</wp:posOffset>
                </wp:positionH>
                <wp:positionV relativeFrom="paragraph">
                  <wp:posOffset>17780</wp:posOffset>
                </wp:positionV>
                <wp:extent cx="533400" cy="3124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5" w14:textId="77777777" w:rsidR="007E5BBF" w:rsidRDefault="007E5BBF" w:rsidP="00AF2690">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72.3pt;margin-top:1.4pt;width:42pt;height:24.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" filled="f" stroked="f">
                <v:textbox>
                  <w:txbxContent>
                    <w:p w14:paraId="0C3F9095" w14:textId="77777777" w:rsidR="007E5BBF" w:rsidRDefault="007E5BBF" w:rsidP="00AF2690">
                      <w:r>
                        <w:t>(b)</w:t>
                      </w:r>
                    </w:p>
                  </w:txbxContent>
                </v:textbox>
              </v:shape>
            </w:pict>
          </mc:Fallback>
        </mc:AlternateContent>
      </w:r>
      <w:r>
        <w:rPr>
          <w:noProof/>
        </w:rPr>
        <mc:AlternateContent>
          <mc:Choice Requires="wps">
            <w:drawing>
              <wp:anchor distT="0" distB="0" distL="114300" distR="114300" simplePos="0" relativeHeight="251774976" behindDoc="0" locked="0" layoutInCell="1" allowOverlap="1" wp14:anchorId="0C3F8FED" wp14:editId="0C3F8FEE">
                <wp:simplePos x="0" y="0"/>
                <wp:positionH relativeFrom="column">
                  <wp:posOffset>829310</wp:posOffset>
                </wp:positionH>
                <wp:positionV relativeFrom="paragraph">
                  <wp:posOffset>15240</wp:posOffset>
                </wp:positionV>
                <wp:extent cx="533400" cy="3124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6" w14:textId="77777777" w:rsidR="007E5BBF" w:rsidRDefault="007E5BBF" w:rsidP="00AF2690">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65.3pt;margin-top:1.2pt;width:42pt;height:24.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" filled="f" stroked="f">
                <v:textbox>
                  <w:txbxContent>
                    <w:p w14:paraId="0C3F9096" w14:textId="77777777" w:rsidR="007E5BBF" w:rsidRDefault="007E5BBF" w:rsidP="00AF2690">
                      <w:r>
                        <w:t>(a)</w:t>
                      </w:r>
                    </w:p>
                  </w:txbxContent>
                </v:textbox>
              </v:shape>
            </w:pict>
          </mc:Fallback>
        </mc:AlternateContent>
      </w:r>
      <w:r w:rsidR="003C19C2" w:rsidRPr="003C19C2">
        <w:rPr>
          <w:noProof/>
        </w:rPr>
        <w:drawing>
          <wp:inline distT="0" distB="0" distL="0" distR="0" wp14:anchorId="0C3F8FEF" wp14:editId="0C3F8FF0">
            <wp:extent cx="5732145" cy="5732145"/>
            <wp:effectExtent l="0" t="0" r="1905" b="1905"/>
            <wp:docPr id="17" name="Picture 17" descr="Variation of selected WQ parameters sampled in the Tully region for Kd(PAR), CDOM, TSS, and chl-a, dissolved and particulate nutrients. All water quality parameters are plotted against (a) distance between the sampling site and nearest/influential river mouth (distance), (b) 5-day average river discharge calculated from the sampling date (discharge). Red solid line stands for a non-parametric fitting curve (loess model, see Crawley, 2007) and red dashed lines stand for 2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32145" cy="5732145"/>
                    </a:xfrm>
                    <a:prstGeom prst="rect">
                      <a:avLst/>
                    </a:prstGeom>
                  </pic:spPr>
                </pic:pic>
              </a:graphicData>
            </a:graphic>
          </wp:inline>
        </w:drawing>
      </w:r>
    </w:p>
    <w:p w14:paraId="0C3F8298" w14:textId="77777777" w:rsidR="00AF2690" w:rsidRDefault="00AF2690" w:rsidP="00AF2690">
      <w:pPr>
        <w:pStyle w:val="Caption"/>
      </w:pPr>
      <w:bookmarkStart w:id="123" w:name="_Ref432675019"/>
      <w:bookmarkStart w:id="124" w:name="_Toc434208033"/>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5</w:t>
      </w:r>
      <w:r w:rsidR="00D243CD">
        <w:fldChar w:fldCharType="end"/>
      </w:r>
      <w:bookmarkEnd w:id="123"/>
      <w:r>
        <w:t xml:space="preserve">: Variation of selected WQ parameters </w:t>
      </w:r>
      <w:r w:rsidR="00BC0B37">
        <w:t xml:space="preserve">sampled </w:t>
      </w:r>
      <w:r>
        <w:t xml:space="preserve">in the </w:t>
      </w:r>
      <w:r w:rsidR="00BC0B37">
        <w:t>Tully</w:t>
      </w:r>
      <w:r>
        <w:t xml:space="preserve"> region</w:t>
      </w:r>
      <w:r w:rsidR="00BC0B37">
        <w:t xml:space="preserve"> for </w:t>
      </w:r>
      <w:r w:rsidR="00362A9F">
        <w:t>Kd(PAR)</w:t>
      </w:r>
      <w:r>
        <w:t xml:space="preserve">, CDOM, TSS, and </w:t>
      </w:r>
      <w:r w:rsidR="005F304A">
        <w:t>chl</w:t>
      </w:r>
      <w:r>
        <w:t>-a, dissolved and particulate nutrients</w:t>
      </w:r>
      <w:r w:rsidR="00BC0B37">
        <w:t xml:space="preserve">. All water quality </w:t>
      </w:r>
      <w:r w:rsidR="002827F5">
        <w:t>parameters</w:t>
      </w:r>
      <w:r>
        <w:t xml:space="preserve"> are plotted against (a) distance between the sampling site and nearest/influential river mouth (distance), (b) 5-day average river discharge calculated from the sampling date (discharge). Red solid line stands for a non-parametric fitting curve (</w:t>
      </w:r>
      <w:r w:rsidRPr="0015270F">
        <w:rPr>
          <w:i/>
        </w:rPr>
        <w:t>loess</w:t>
      </w:r>
      <w:r>
        <w:t xml:space="preserve"> model, see Crawley, 2007) and red dashed lines stand for 2 SE</w:t>
      </w:r>
      <w:r w:rsidRPr="00577FE1">
        <w:t>.</w:t>
      </w:r>
      <w:bookmarkEnd w:id="124"/>
    </w:p>
    <w:p w14:paraId="0C3F8299" w14:textId="77777777" w:rsidR="00AF2690" w:rsidRDefault="003C19C2" w:rsidP="0015270F">
      <w:r w:rsidRPr="003C19C2">
        <w:rPr>
          <w:noProof/>
        </w:rPr>
        <mc:AlternateContent>
          <mc:Choice Requires="wps">
            <w:drawing>
              <wp:anchor distT="0" distB="0" distL="114300" distR="114300" simplePos="0" relativeHeight="251791360" behindDoc="0" locked="0" layoutInCell="1" allowOverlap="1" wp14:anchorId="0C3F8FF1" wp14:editId="0C3F8FF2">
                <wp:simplePos x="0" y="0"/>
                <wp:positionH relativeFrom="column">
                  <wp:posOffset>3887971</wp:posOffset>
                </wp:positionH>
                <wp:positionV relativeFrom="paragraph">
                  <wp:posOffset>220044</wp:posOffset>
                </wp:positionV>
                <wp:extent cx="533400" cy="31242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7" w14:textId="77777777" w:rsidR="007E5BBF" w:rsidRDefault="007E5BBF" w:rsidP="003C19C2">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06.15pt;margin-top:17.35pt;width:42pt;height:24.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" filled="f" stroked="f">
                <v:textbox>
                  <w:txbxContent>
                    <w:p w14:paraId="0C3F9097" w14:textId="77777777" w:rsidR="007E5BBF" w:rsidRDefault="007E5BBF" w:rsidP="003C19C2">
                      <w:r>
                        <w:t>(a)</w:t>
                      </w:r>
                    </w:p>
                  </w:txbxContent>
                </v:textbox>
              </v:shape>
            </w:pict>
          </mc:Fallback>
        </mc:AlternateContent>
      </w:r>
      <w:r w:rsidRPr="003C19C2">
        <w:rPr>
          <w:noProof/>
        </w:rPr>
        <mc:AlternateContent>
          <mc:Choice Requires="wps">
            <w:drawing>
              <wp:anchor distT="0" distB="0" distL="114300" distR="114300" simplePos="0" relativeHeight="251792384" behindDoc="0" locked="0" layoutInCell="1" allowOverlap="1" wp14:anchorId="0C3F8FF3" wp14:editId="0C3F8FF4">
                <wp:simplePos x="0" y="0"/>
                <wp:positionH relativeFrom="column">
                  <wp:posOffset>5158105</wp:posOffset>
                </wp:positionH>
                <wp:positionV relativeFrom="paragraph">
                  <wp:posOffset>256540</wp:posOffset>
                </wp:positionV>
                <wp:extent cx="533400" cy="31242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8" w14:textId="77777777" w:rsidR="007E5BBF" w:rsidRDefault="007E5BBF" w:rsidP="003C19C2">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06.15pt;margin-top:20.2pt;width:42pt;height:24.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" filled="f" stroked="f">
                <v:textbox>
                  <w:txbxContent>
                    <w:p w14:paraId="0C3F9098" w14:textId="77777777" w:rsidR="007E5BBF" w:rsidRDefault="007E5BBF" w:rsidP="003C19C2">
                      <w:r>
                        <w:t>(b)</w:t>
                      </w:r>
                    </w:p>
                  </w:txbxContent>
                </v:textbox>
              </v:shape>
            </w:pict>
          </mc:Fallback>
        </mc:AlternateContent>
      </w:r>
      <w:r w:rsidRPr="003C19C2">
        <w:rPr>
          <w:noProof/>
        </w:rPr>
        <mc:AlternateContent>
          <mc:Choice Requires="wps">
            <w:drawing>
              <wp:anchor distT="0" distB="0" distL="114300" distR="114300" simplePos="0" relativeHeight="251790336" behindDoc="0" locked="0" layoutInCell="1" allowOverlap="1" wp14:anchorId="0C3F8FF5" wp14:editId="0C3F8FF6">
                <wp:simplePos x="0" y="0"/>
                <wp:positionH relativeFrom="column">
                  <wp:posOffset>2196465</wp:posOffset>
                </wp:positionH>
                <wp:positionV relativeFrom="paragraph">
                  <wp:posOffset>218440</wp:posOffset>
                </wp:positionV>
                <wp:extent cx="533400" cy="31242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9" w14:textId="77777777" w:rsidR="007E5BBF" w:rsidRDefault="007E5BBF" w:rsidP="003C19C2">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72.95pt;margin-top:17.2pt;width:42pt;height:24.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" filled="f" stroked="f">
                <v:textbox>
                  <w:txbxContent>
                    <w:p w14:paraId="0C3F9099" w14:textId="77777777" w:rsidR="007E5BBF" w:rsidRDefault="007E5BBF" w:rsidP="003C19C2">
                      <w:r>
                        <w:t>(b)</w:t>
                      </w:r>
                    </w:p>
                  </w:txbxContent>
                </v:textbox>
              </v:shape>
            </w:pict>
          </mc:Fallback>
        </mc:AlternateContent>
      </w:r>
      <w:r w:rsidRPr="003C19C2">
        <w:rPr>
          <w:noProof/>
        </w:rPr>
        <mc:AlternateContent>
          <mc:Choice Requires="wps">
            <w:drawing>
              <wp:anchor distT="0" distB="0" distL="114300" distR="114300" simplePos="0" relativeHeight="251789312" behindDoc="0" locked="0" layoutInCell="1" allowOverlap="1" wp14:anchorId="0C3F8FF7" wp14:editId="0C3F8FF8">
                <wp:simplePos x="0" y="0"/>
                <wp:positionH relativeFrom="column">
                  <wp:posOffset>770088</wp:posOffset>
                </wp:positionH>
                <wp:positionV relativeFrom="paragraph">
                  <wp:posOffset>217738</wp:posOffset>
                </wp:positionV>
                <wp:extent cx="533400" cy="31242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2420"/>
                        </a:xfrm>
                        <a:prstGeom prst="rect">
                          <a:avLst/>
                        </a:prstGeom>
                        <a:noFill/>
                        <a:ln w="9525">
                          <a:noFill/>
                          <a:miter lim="800000"/>
                          <a:headEnd/>
                          <a:tailEnd/>
                        </a:ln>
                      </wps:spPr>
                      <wps:txbx>
                        <w:txbxContent>
                          <w:p w14:paraId="0C3F909A" w14:textId="77777777" w:rsidR="007E5BBF" w:rsidRDefault="007E5BBF" w:rsidP="003C19C2">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60.65pt;margin-top:17.15pt;width:42pt;height:24.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" filled="f" stroked="f">
                <v:textbox>
                  <w:txbxContent>
                    <w:p w14:paraId="0C3F909A" w14:textId="77777777" w:rsidR="007E5BBF" w:rsidRDefault="007E5BBF" w:rsidP="003C19C2">
                      <w:r>
                        <w:t>(a)</w:t>
                      </w:r>
                    </w:p>
                  </w:txbxContent>
                </v:textbox>
              </v:shape>
            </w:pict>
          </mc:Fallback>
        </mc:AlternateContent>
      </w:r>
      <w:r w:rsidRPr="003C19C2">
        <w:rPr>
          <w:noProof/>
        </w:rPr>
        <w:drawing>
          <wp:inline distT="0" distB="0" distL="0" distR="0" wp14:anchorId="0C3F8FF9" wp14:editId="0C3F8FFA">
            <wp:extent cx="5732145" cy="5732145"/>
            <wp:effectExtent l="0" t="0" r="1905" b="1905"/>
            <wp:docPr id="40" name="Picture 40" descr="Variation of selected WQ parameters sampled in the Herbert region for Kd(PAR), CDOM, TSS, and chl-a, dissolved and particulate nutrients. All water quality parameters are plotted against (a) distance between the sampling site and nearest/influential river mouth (distance), (b) 5-day average river discharge calculated from the sampling date (discharge). Red solid line stands for a non-parametric fitting curve (loess model, see Crawley, 2007) and red dashed lines stand for 2 SE." title="Variation of selected WQ parameters sampled in the Herbert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32145" cy="5732145"/>
                    </a:xfrm>
                    <a:prstGeom prst="rect">
                      <a:avLst/>
                    </a:prstGeom>
                  </pic:spPr>
                </pic:pic>
              </a:graphicData>
            </a:graphic>
          </wp:inline>
        </w:drawing>
      </w:r>
    </w:p>
    <w:p w14:paraId="0C3F829A" w14:textId="77777777" w:rsidR="00BC0B37" w:rsidRDefault="00BC0B37" w:rsidP="00BC0B37">
      <w:pPr>
        <w:pStyle w:val="Caption"/>
      </w:pPr>
      <w:bookmarkStart w:id="125" w:name="_Toc434208034"/>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6</w:t>
      </w:r>
      <w:r w:rsidR="00D243CD">
        <w:fldChar w:fldCharType="end"/>
      </w:r>
      <w:r>
        <w:t xml:space="preserve">: Variation of selected WQ parameters sampled in the Herbert region for </w:t>
      </w:r>
      <w:r w:rsidR="00362A9F">
        <w:t>Kd(PAR)</w:t>
      </w:r>
      <w:r>
        <w:t>, CDOM, TSS, and</w:t>
      </w:r>
      <w:r w:rsidR="005F304A">
        <w:t xml:space="preserve"> chl</w:t>
      </w:r>
      <w:r>
        <w:t xml:space="preserve">-a, dissolved and particulate nutrients. All water quality </w:t>
      </w:r>
      <w:r w:rsidR="005F304A">
        <w:t>parameters</w:t>
      </w:r>
      <w:r>
        <w:t xml:space="preserve"> are plotted against (a) distance between the sampling site and nearest/influential river mouth (distance), (b) 5-day average river discharge calculated from the sampling date (discharge). Red solid line stands for a non-parametric fitting curve (</w:t>
      </w:r>
      <w:r w:rsidRPr="0015270F">
        <w:rPr>
          <w:i/>
        </w:rPr>
        <w:t>loess</w:t>
      </w:r>
      <w:r>
        <w:t xml:space="preserve"> model, see Crawley, 2007) and red dashed lines stand for 2 SE</w:t>
      </w:r>
      <w:r w:rsidRPr="00577FE1">
        <w:t>.</w:t>
      </w:r>
      <w:bookmarkEnd w:id="125"/>
    </w:p>
    <w:p w14:paraId="0C3F829B" w14:textId="77777777" w:rsidR="00162359" w:rsidRDefault="00162359">
      <w:pPr>
        <w:spacing w:before="0" w:after="0"/>
        <w:jc w:val="left"/>
      </w:pPr>
      <w:r>
        <w:br w:type="page"/>
      </w:r>
    </w:p>
    <w:p w14:paraId="0C3F829C" w14:textId="77777777" w:rsidR="00D23C68" w:rsidRDefault="00D23C68" w:rsidP="00D23C68">
      <w:r>
        <w:t>The WQ para</w:t>
      </w:r>
      <w:r w:rsidR="003C535B">
        <w:t>meters sampled in</w:t>
      </w:r>
      <w:r w:rsidR="00BD425B">
        <w:t xml:space="preserve"> the Burdekin</w:t>
      </w:r>
      <w:r w:rsidR="003C535B">
        <w:t xml:space="preserve"> region</w:t>
      </w:r>
      <w:r>
        <w:t xml:space="preserve"> were plotted against </w:t>
      </w:r>
      <w:r w:rsidR="003C535B">
        <w:t>two</w:t>
      </w:r>
      <w:r>
        <w:t xml:space="preserve"> parameters: (a) the distance between the sampling site and the nearest (or influential) river mouth, (b) 5-days average river discharge ca</w:t>
      </w:r>
      <w:r w:rsidR="00BD425B">
        <w:t>lculated from the sampling date</w:t>
      </w:r>
      <w:r w:rsidR="0036562E">
        <w:t xml:space="preserve"> (Figure 4-6)</w:t>
      </w:r>
      <w:r w:rsidR="00BD425B">
        <w:t xml:space="preserve">. </w:t>
      </w:r>
      <w:r w:rsidR="0036562E">
        <w:t xml:space="preserve">CDOM and </w:t>
      </w:r>
      <w:r w:rsidR="003C19C2">
        <w:t>Chl</w:t>
      </w:r>
      <w:r w:rsidR="0036562E">
        <w:t xml:space="preserve">-a both look to be influencing </w:t>
      </w:r>
      <w:r w:rsidR="00362A9F">
        <w:t>Kd(PAR)</w:t>
      </w:r>
      <w:r w:rsidR="0036562E">
        <w:t xml:space="preserve"> with a significant decrease </w:t>
      </w:r>
      <w:r w:rsidR="002827F5">
        <w:t>across</w:t>
      </w:r>
      <w:r w:rsidR="0036562E">
        <w:t xml:space="preserve"> distance aligning with</w:t>
      </w:r>
      <w:r w:rsidR="003C19C2">
        <w:t xml:space="preserve"> the initial decrease in the </w:t>
      </w:r>
      <w:r w:rsidR="0036562E">
        <w:t xml:space="preserve"> </w:t>
      </w:r>
      <w:r w:rsidR="00362A9F">
        <w:t>Kd(PAR)</w:t>
      </w:r>
      <w:r w:rsidR="0036562E">
        <w:t xml:space="preserve"> values. </w:t>
      </w:r>
      <w:r w:rsidR="00362A9F">
        <w:t>Kd(PAR)</w:t>
      </w:r>
      <w:r w:rsidR="0036562E">
        <w:t xml:space="preserve"> values decrease initially</w:t>
      </w:r>
      <w:r w:rsidR="003C19C2">
        <w:t xml:space="preserve"> from a maximum of 0.8 to  minimum of 0.05. There is a secondary</w:t>
      </w:r>
      <w:r w:rsidR="0036562E">
        <w:t xml:space="preserve"> peak after 100</w:t>
      </w:r>
      <w:r w:rsidR="00F81A7B">
        <w:t xml:space="preserve"> </w:t>
      </w:r>
      <w:r w:rsidR="0036562E">
        <w:t xml:space="preserve">km, </w:t>
      </w:r>
      <w:r w:rsidR="00F81A7B">
        <w:t xml:space="preserve">coincident with the Cape Cleveland, a region with common high turbid waters due to </w:t>
      </w:r>
      <w:r w:rsidR="002827F5">
        <w:t>resuspension</w:t>
      </w:r>
      <w:r w:rsidR="0036562E">
        <w:t xml:space="preserve"> and the influence of the finer sediment transport. </w:t>
      </w:r>
      <w:r w:rsidR="002827F5">
        <w:t>TSS concentrations show a slight decrease across distance, but</w:t>
      </w:r>
      <w:r w:rsidR="0036562E">
        <w:t xml:space="preserve"> with </w:t>
      </w:r>
      <w:r w:rsidR="002827F5">
        <w:t>high</w:t>
      </w:r>
      <w:r w:rsidR="0036562E">
        <w:t xml:space="preserve"> scatter around </w:t>
      </w:r>
      <w:r w:rsidR="002827F5">
        <w:t>all point</w:t>
      </w:r>
      <w:r w:rsidR="003C19C2">
        <w:t>s</w:t>
      </w:r>
      <w:r w:rsidR="002827F5">
        <w:t>, particularly those taken within 20</w:t>
      </w:r>
      <w:r w:rsidR="00F81A7B">
        <w:t xml:space="preserve"> </w:t>
      </w:r>
      <w:r w:rsidR="002827F5">
        <w:t xml:space="preserve">km. The TSS concentrations are </w:t>
      </w:r>
      <w:r w:rsidR="00362A9F">
        <w:t>reduced in</w:t>
      </w:r>
      <w:r w:rsidR="003C19C2">
        <w:t xml:space="preserve"> the lower salinity, nearshore sites in</w:t>
      </w:r>
      <w:r w:rsidR="00362A9F">
        <w:t xml:space="preserve"> comparison to other Burdekin events (Devlin et al., 2001; Devlin et al., 2012) due to the sampling period </w:t>
      </w:r>
      <w:r w:rsidR="003C19C2">
        <w:t xml:space="preserve">only being </w:t>
      </w:r>
      <w:r w:rsidR="00362A9F">
        <w:t>at the end (flux) of the second flow events</w:t>
      </w:r>
      <w:r w:rsidR="003C19C2">
        <w:t xml:space="preserve"> and not representative of a large Burdekin peak flow event</w:t>
      </w:r>
      <w:r w:rsidR="00362A9F">
        <w:t xml:space="preserve">. </w:t>
      </w:r>
      <w:r w:rsidR="0036562E">
        <w:t xml:space="preserve"> </w:t>
      </w:r>
    </w:p>
    <w:p w14:paraId="0C3F829D" w14:textId="77777777" w:rsidR="00D23C68" w:rsidRDefault="00D23C68" w:rsidP="00D23C68">
      <w:r>
        <w:t xml:space="preserve">Nutrients in general do not present a </w:t>
      </w:r>
      <w:r w:rsidR="0036562E">
        <w:t>dilution pattern</w:t>
      </w:r>
      <w:r>
        <w:t xml:space="preserve">, </w:t>
      </w:r>
      <w:r w:rsidR="0036562E">
        <w:t xml:space="preserve">with </w:t>
      </w:r>
      <w:r w:rsidR="00F81A7B">
        <w:t xml:space="preserve">DIN and </w:t>
      </w:r>
      <w:r w:rsidR="0036562E">
        <w:t xml:space="preserve">DIP </w:t>
      </w:r>
      <w:r>
        <w:t xml:space="preserve">being relatively unchanged across </w:t>
      </w:r>
      <w:r w:rsidR="008E03E9">
        <w:t xml:space="preserve">start and end </w:t>
      </w:r>
      <w:r>
        <w:t>distance</w:t>
      </w:r>
      <w:r w:rsidR="008E03E9">
        <w:t>s</w:t>
      </w:r>
      <w:r>
        <w:t xml:space="preserve"> from </w:t>
      </w:r>
      <w:r w:rsidR="0036562E">
        <w:t>the river mouth</w:t>
      </w:r>
      <w:r w:rsidR="00F81A7B">
        <w:t xml:space="preserve"> and discharge</w:t>
      </w:r>
      <w:r w:rsidR="0036562E">
        <w:t xml:space="preserve"> (Figure 4-6</w:t>
      </w:r>
      <w:r>
        <w:t>)</w:t>
      </w:r>
      <w:r w:rsidR="00F81A7B">
        <w:t>.</w:t>
      </w:r>
      <w:r w:rsidR="0036562E">
        <w:t xml:space="preserve"> </w:t>
      </w:r>
      <w:r w:rsidR="00F81A7B">
        <w:t xml:space="preserve">These patterns suggest that due to the low discharge regime the samples were taken, nutrients were more driven by local process than external input. PP shows a pattern similar to DIP, being relatively unchanged across distances. </w:t>
      </w:r>
      <w:r w:rsidR="0036562E">
        <w:t>PN</w:t>
      </w:r>
      <w:r w:rsidR="00F81A7B">
        <w:t xml:space="preserve">is more </w:t>
      </w:r>
      <w:r w:rsidR="0036562E">
        <w:t>variable s</w:t>
      </w:r>
      <w:r w:rsidR="002827F5">
        <w:t>howing</w:t>
      </w:r>
      <w:r w:rsidR="0036562E">
        <w:t xml:space="preserve"> </w:t>
      </w:r>
      <w:r w:rsidR="00F81A7B">
        <w:t xml:space="preserve">increasing </w:t>
      </w:r>
      <w:r w:rsidR="0036562E">
        <w:t>concentration</w:t>
      </w:r>
      <w:r w:rsidR="00F81A7B">
        <w:t>s away from the river mouth</w:t>
      </w:r>
      <w:r w:rsidR="0036562E">
        <w:t xml:space="preserve">, suggesting </w:t>
      </w:r>
      <w:r w:rsidR="002827F5">
        <w:t>biological</w:t>
      </w:r>
      <w:r w:rsidR="0036562E">
        <w:t xml:space="preserve"> mediated processes may be influencing the transport and formation of the PN through flood influenced waters. </w:t>
      </w:r>
      <w:r w:rsidR="003C535B">
        <w:t xml:space="preserve"> </w:t>
      </w:r>
      <w:r>
        <w:t xml:space="preserve">Once again, these models show wider error bars due to the reduced number of data points, so caution must be taken on their interpretation. </w:t>
      </w:r>
    </w:p>
    <w:p w14:paraId="0C3F829E" w14:textId="77777777" w:rsidR="00BC0B37" w:rsidRDefault="00BC0B37" w:rsidP="0015270F"/>
    <w:p w14:paraId="0C3F829F" w14:textId="77777777" w:rsidR="00BC0B37" w:rsidRDefault="003C19C2" w:rsidP="0015270F">
      <w:r w:rsidRPr="003C19C2">
        <w:rPr>
          <w:noProof/>
        </w:rPr>
        <w:drawing>
          <wp:inline distT="0" distB="0" distL="0" distR="0" wp14:anchorId="0C3F8FFB" wp14:editId="0C3F8FFC">
            <wp:extent cx="5732145" cy="5732145"/>
            <wp:effectExtent l="0" t="0" r="1905" b="1905"/>
            <wp:docPr id="45" name="Picture 45" descr="Variation of selected WQ parameters sampled in the Burdekin region for Kd(PAR), CDOM, TSS, and chl-a, dissolved and particulate nutrients. All water quality parameters are plotted against (a) distance between the sampling site and nearest/influential river mouth (distance), (b) 5-day average river discharge calculated from the sampling date (discharge). Red solid line stands for a non-parametric fitting curve (loess model, see Crawley, 2007) and red dashed lines stand for 2 SE." title="Variation of selected WQ parameters sample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732145" cy="5732145"/>
                    </a:xfrm>
                    <a:prstGeom prst="rect">
                      <a:avLst/>
                    </a:prstGeom>
                  </pic:spPr>
                </pic:pic>
              </a:graphicData>
            </a:graphic>
          </wp:inline>
        </w:drawing>
      </w:r>
    </w:p>
    <w:p w14:paraId="0C3F82A0" w14:textId="77777777" w:rsidR="00BC0B37" w:rsidRDefault="00BC0B37" w:rsidP="00BC0B37">
      <w:pPr>
        <w:pStyle w:val="Caption"/>
      </w:pPr>
      <w:bookmarkStart w:id="126" w:name="_Toc434208035"/>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7</w:t>
      </w:r>
      <w:r w:rsidR="00D243CD">
        <w:fldChar w:fldCharType="end"/>
      </w:r>
      <w:r>
        <w:t xml:space="preserve">: Variation of selected WQ parameters sampled in the Burdekin region for </w:t>
      </w:r>
      <w:r w:rsidR="00362A9F">
        <w:t>Kd(PAR)</w:t>
      </w:r>
      <w:r>
        <w:t>, CDOM, TSS, and</w:t>
      </w:r>
      <w:r w:rsidR="005F304A">
        <w:t xml:space="preserve"> chl</w:t>
      </w:r>
      <w:r>
        <w:t xml:space="preserve">-a, dissolved and particulate nutrients. All water quality </w:t>
      </w:r>
      <w:r w:rsidR="00F329CC">
        <w:t>parameters</w:t>
      </w:r>
      <w:r>
        <w:t xml:space="preserve"> are plotted against (a) distance between the sampling site and nearest/influential river mouth (distance), (b) 5-day average river discharge calculated from the sampling date (discharge). Red solid line stands for a non-parametric fitting curve (</w:t>
      </w:r>
      <w:r w:rsidRPr="0015270F">
        <w:rPr>
          <w:i/>
        </w:rPr>
        <w:t>loess</w:t>
      </w:r>
      <w:r>
        <w:t xml:space="preserve"> model, see Crawley, 2007) and red dashed lines stand for 2 SE</w:t>
      </w:r>
      <w:r w:rsidRPr="00577FE1">
        <w:t>.</w:t>
      </w:r>
      <w:bookmarkEnd w:id="126"/>
    </w:p>
    <w:p w14:paraId="0C3F82A1" w14:textId="77777777" w:rsidR="00BC0B37" w:rsidRDefault="00BC0B37" w:rsidP="0015270F"/>
    <w:p w14:paraId="0C3F82A2" w14:textId="77777777" w:rsidR="0015270F" w:rsidRDefault="0015270F" w:rsidP="0015270F">
      <w:r>
        <w:t xml:space="preserve">Spearman’s rank correlation coefficient identified few significant high correlations (&gt;0.61) for the WQ parameters sampled in the Wet Tropics (Table </w:t>
      </w:r>
      <w:r w:rsidR="009259F9">
        <w:t>4-6</w:t>
      </w:r>
      <w:r>
        <w:t xml:space="preserve">), differently from what was observed for the </w:t>
      </w:r>
      <w:r w:rsidR="009259F9">
        <w:t>Tully and Herbert transects when analysed individually.</w:t>
      </w:r>
      <w:r>
        <w:t xml:space="preserve"> Only Si and TDP exhibited some correlation with salinity and river discharge. Other significant correlations presented were between different nutrients (e.g., TN and TP, r = 0.65) and forms of the same nutrient (e.g., TDN and TN, r = 0.79). When data is analysed for individual rivers in the Wet Tropics, some more significant correlations are identified (</w:t>
      </w:r>
      <w:r w:rsidR="008E03E9">
        <w:t>Table 4-</w:t>
      </w:r>
      <w:r w:rsidR="00F329CC">
        <w:t>7</w:t>
      </w:r>
      <w:r>
        <w:t xml:space="preserve">), compared to those obtained when all the rivers are analysed together. This ‘by river’ analysis could be done for the Tully and Herbert Rivers. The analysis was compromised for the other rivers due to their reduced number of data points. Salinity is correlated with most of the forms of nitrogen and phosphorous, excluding the dissolved forms. River discharge correlates with DIN and Si for the Tully River samples and with TP for the Herbert. Distance did not presented any significant correlation, indicating that linear dilution processes are not occurring in these regions, which can be resulted from the mixing of river plumes from close rivers and or the hydrodynamic complexity of these areas. Dissolved nutrients are not correlated with any factor, indicating that both coastal hydrodynamic and biological processes are influencing the transport and uptake of the WQ parameters in these regions. </w:t>
      </w:r>
    </w:p>
    <w:p w14:paraId="0C3F82A3" w14:textId="77777777" w:rsidR="0015270F" w:rsidRDefault="0015270F" w:rsidP="0095562E">
      <w:pPr>
        <w:pStyle w:val="Caption"/>
      </w:pPr>
      <w:bookmarkStart w:id="127" w:name="_Toc434208073"/>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6</w:t>
      </w:r>
      <w:r w:rsidR="00AE4287">
        <w:fldChar w:fldCharType="end"/>
      </w:r>
      <w:r>
        <w:t xml:space="preserve">: </w:t>
      </w:r>
      <w:r w:rsidRPr="0089419E">
        <w:t xml:space="preserve">Spearman’s </w:t>
      </w:r>
      <w:r>
        <w:t xml:space="preserve">rank </w:t>
      </w:r>
      <w:r w:rsidRPr="0089419E">
        <w:t xml:space="preserve">correlation coefficients </w:t>
      </w:r>
      <w:r>
        <w:t xml:space="preserve">for the parameters </w:t>
      </w:r>
      <w:r w:rsidR="009259F9">
        <w:t>from</w:t>
      </w:r>
      <w:r>
        <w:t xml:space="preserve"> the Wet Tropics region. A</w:t>
      </w:r>
      <w:r w:rsidRPr="0089419E">
        <w:t xml:space="preserve">ll </w:t>
      </w:r>
      <w:r>
        <w:t xml:space="preserve">highlighted values </w:t>
      </w:r>
      <w:r w:rsidR="002827F5">
        <w:t>are significant</w:t>
      </w:r>
      <w:r w:rsidRPr="0089419E">
        <w:t xml:space="preserve"> at p &lt; 0.01</w:t>
      </w:r>
      <w:r>
        <w:t xml:space="preserve"> and represent a correlation &gt;0.6 or &lt;-.06</w:t>
      </w:r>
      <w:r w:rsidRPr="0089419E">
        <w:t>.</w:t>
      </w:r>
      <w:r>
        <w:t xml:space="preserve"> Parameter on the table are surface salinity (Sal.), 5-day average discharge (Disch.), distance between the river mouth and the sampling site (Dist.), TS</w:t>
      </w:r>
      <w:r w:rsidR="000313CF">
        <w:t xml:space="preserve">S, </w:t>
      </w:r>
      <w:r w:rsidR="005F304A">
        <w:t>chl</w:t>
      </w:r>
      <w:r w:rsidR="000313CF">
        <w:t>-a TN</w:t>
      </w:r>
      <w:r>
        <w:t>,</w:t>
      </w:r>
      <w:r w:rsidR="000313CF">
        <w:t xml:space="preserve"> </w:t>
      </w:r>
      <w:r>
        <w:t xml:space="preserve">TDN, </w:t>
      </w:r>
      <w:r w:rsidR="000313CF">
        <w:t>DIN</w:t>
      </w:r>
      <w:r>
        <w:t>,</w:t>
      </w:r>
      <w:r w:rsidRPr="00405A8D">
        <w:t xml:space="preserve"> </w:t>
      </w:r>
      <w:r>
        <w:t xml:space="preserve">TP, </w:t>
      </w:r>
      <w:r w:rsidR="000313CF">
        <w:t>TDP</w:t>
      </w:r>
      <w:r>
        <w:t xml:space="preserve">, </w:t>
      </w:r>
      <w:r w:rsidR="000313CF">
        <w:t>DIP</w:t>
      </w:r>
      <w:r>
        <w:t xml:space="preserve">, </w:t>
      </w:r>
      <w:r w:rsidR="000313CF">
        <w:t>PN</w:t>
      </w:r>
      <w:r>
        <w:t xml:space="preserve">, </w:t>
      </w:r>
      <w:r w:rsidR="000313CF">
        <w:t xml:space="preserve">PP </w:t>
      </w:r>
      <w:r>
        <w:t xml:space="preserve">and </w:t>
      </w:r>
      <w:r w:rsidR="000313CF">
        <w:t>Si</w:t>
      </w:r>
      <w:r>
        <w:t>.</w:t>
      </w:r>
      <w:bookmarkEnd w:id="127"/>
    </w:p>
    <w:tbl>
      <w:tblPr>
        <w:tblW w:w="5074" w:type="pct"/>
        <w:tblLook w:val="04A0" w:firstRow="1" w:lastRow="0" w:firstColumn="1" w:lastColumn="0" w:noHBand="0" w:noVBand="1"/>
        <w:tblCaption w:val="Spearman’s rank correlation coefficients for the parameters from the Wet Tropics region"/>
        <w:tblDescription w:val="Spearman’s rank correlation coefficients for the parameters from the Wet Tropics region. All highlighted values are significant at p &lt; 0.01 and represent a correlation &gt;0.6 or &lt;-.06. Parameter on the table are surface salinity (Sal.), 5-day average discharge (Disch.), distance between the river mouth and the sampling site (Dist.), TSS, chl-a TN, TDN, DIN, TP, TDP, DIP, PN, PP and Si."/>
      </w:tblPr>
      <w:tblGrid>
        <w:gridCol w:w="679"/>
        <w:gridCol w:w="612"/>
        <w:gridCol w:w="679"/>
        <w:gridCol w:w="612"/>
        <w:gridCol w:w="612"/>
        <w:gridCol w:w="612"/>
        <w:gridCol w:w="612"/>
        <w:gridCol w:w="612"/>
        <w:gridCol w:w="612"/>
        <w:gridCol w:w="612"/>
        <w:gridCol w:w="612"/>
        <w:gridCol w:w="612"/>
        <w:gridCol w:w="612"/>
        <w:gridCol w:w="612"/>
        <w:gridCol w:w="677"/>
      </w:tblGrid>
      <w:tr w:rsidR="0015270F" w:rsidRPr="0095562E" w14:paraId="0C3F82B3" w14:textId="77777777" w:rsidTr="0015270F">
        <w:trPr>
          <w:trHeight w:val="20"/>
        </w:trPr>
        <w:tc>
          <w:tcPr>
            <w:tcW w:w="360" w:type="pct"/>
            <w:tcBorders>
              <w:top w:val="single" w:sz="4" w:space="0" w:color="auto"/>
              <w:left w:val="nil"/>
              <w:bottom w:val="single" w:sz="4" w:space="0" w:color="auto"/>
              <w:right w:val="nil"/>
            </w:tcBorders>
            <w:shd w:val="clear" w:color="auto" w:fill="auto"/>
            <w:noWrap/>
            <w:vAlign w:val="center"/>
            <w:hideMark/>
          </w:tcPr>
          <w:p w14:paraId="0C3F82A4" w14:textId="77777777" w:rsidR="0015270F" w:rsidRPr="0095562E" w:rsidRDefault="0015270F" w:rsidP="0095562E">
            <w:pPr>
              <w:spacing w:before="0" w:after="0"/>
              <w:rPr>
                <w:rStyle w:val="BookTitle"/>
                <w:sz w:val="18"/>
                <w:szCs w:val="18"/>
              </w:rPr>
            </w:pPr>
            <w:r w:rsidRPr="0095562E">
              <w:rPr>
                <w:rStyle w:val="BookTitle"/>
                <w:sz w:val="18"/>
                <w:szCs w:val="18"/>
              </w:rPr>
              <w:t> </w:t>
            </w:r>
          </w:p>
        </w:tc>
        <w:tc>
          <w:tcPr>
            <w:tcW w:w="324" w:type="pct"/>
            <w:tcBorders>
              <w:top w:val="single" w:sz="4" w:space="0" w:color="auto"/>
              <w:left w:val="nil"/>
              <w:bottom w:val="single" w:sz="4" w:space="0" w:color="auto"/>
              <w:right w:val="nil"/>
            </w:tcBorders>
            <w:shd w:val="clear" w:color="auto" w:fill="auto"/>
            <w:noWrap/>
            <w:vAlign w:val="center"/>
            <w:hideMark/>
          </w:tcPr>
          <w:p w14:paraId="0C3F82A5" w14:textId="77777777" w:rsidR="0015270F" w:rsidRPr="0095562E" w:rsidRDefault="0015270F" w:rsidP="0095562E">
            <w:pPr>
              <w:spacing w:before="0" w:after="0"/>
              <w:rPr>
                <w:rStyle w:val="BookTitle"/>
                <w:sz w:val="18"/>
                <w:szCs w:val="18"/>
              </w:rPr>
            </w:pPr>
            <w:r w:rsidRPr="0095562E">
              <w:rPr>
                <w:rStyle w:val="BookTitle"/>
                <w:sz w:val="18"/>
                <w:szCs w:val="18"/>
              </w:rPr>
              <w:t>Sal.</w:t>
            </w:r>
          </w:p>
        </w:tc>
        <w:tc>
          <w:tcPr>
            <w:tcW w:w="360" w:type="pct"/>
            <w:tcBorders>
              <w:top w:val="single" w:sz="4" w:space="0" w:color="auto"/>
              <w:left w:val="nil"/>
              <w:bottom w:val="single" w:sz="4" w:space="0" w:color="auto"/>
              <w:right w:val="nil"/>
            </w:tcBorders>
            <w:shd w:val="clear" w:color="auto" w:fill="auto"/>
            <w:noWrap/>
            <w:vAlign w:val="center"/>
            <w:hideMark/>
          </w:tcPr>
          <w:p w14:paraId="0C3F82A6" w14:textId="77777777" w:rsidR="0015270F" w:rsidRPr="0095562E" w:rsidRDefault="0015270F" w:rsidP="0095562E">
            <w:pPr>
              <w:spacing w:before="0" w:after="0"/>
              <w:rPr>
                <w:rStyle w:val="BookTitle"/>
                <w:sz w:val="18"/>
                <w:szCs w:val="18"/>
              </w:rPr>
            </w:pPr>
            <w:r w:rsidRPr="0095562E">
              <w:rPr>
                <w:rStyle w:val="BookTitle"/>
                <w:sz w:val="18"/>
                <w:szCs w:val="18"/>
              </w:rPr>
              <w:t>Disch.</w:t>
            </w:r>
          </w:p>
        </w:tc>
        <w:tc>
          <w:tcPr>
            <w:tcW w:w="324" w:type="pct"/>
            <w:tcBorders>
              <w:top w:val="single" w:sz="4" w:space="0" w:color="auto"/>
              <w:left w:val="nil"/>
              <w:bottom w:val="single" w:sz="4" w:space="0" w:color="auto"/>
              <w:right w:val="nil"/>
            </w:tcBorders>
            <w:shd w:val="clear" w:color="auto" w:fill="auto"/>
            <w:noWrap/>
            <w:vAlign w:val="center"/>
            <w:hideMark/>
          </w:tcPr>
          <w:p w14:paraId="0C3F82A7" w14:textId="77777777" w:rsidR="0015270F" w:rsidRPr="0095562E" w:rsidRDefault="0015270F" w:rsidP="0095562E">
            <w:pPr>
              <w:spacing w:before="0" w:after="0"/>
              <w:rPr>
                <w:rStyle w:val="BookTitle"/>
                <w:sz w:val="18"/>
                <w:szCs w:val="18"/>
              </w:rPr>
            </w:pPr>
            <w:r w:rsidRPr="0095562E">
              <w:rPr>
                <w:rStyle w:val="BookTitle"/>
                <w:sz w:val="18"/>
                <w:szCs w:val="18"/>
              </w:rPr>
              <w:t>Dist.</w:t>
            </w:r>
          </w:p>
        </w:tc>
        <w:tc>
          <w:tcPr>
            <w:tcW w:w="324" w:type="pct"/>
            <w:tcBorders>
              <w:top w:val="single" w:sz="4" w:space="0" w:color="auto"/>
              <w:left w:val="nil"/>
              <w:bottom w:val="single" w:sz="4" w:space="0" w:color="auto"/>
              <w:right w:val="nil"/>
            </w:tcBorders>
            <w:shd w:val="clear" w:color="auto" w:fill="auto"/>
            <w:noWrap/>
            <w:vAlign w:val="center"/>
            <w:hideMark/>
          </w:tcPr>
          <w:p w14:paraId="0C3F82A8" w14:textId="77777777" w:rsidR="0015270F" w:rsidRPr="0095562E" w:rsidRDefault="0015270F" w:rsidP="0095562E">
            <w:pPr>
              <w:spacing w:before="0" w:after="0"/>
              <w:rPr>
                <w:rStyle w:val="BookTitle"/>
                <w:sz w:val="18"/>
                <w:szCs w:val="18"/>
              </w:rPr>
            </w:pPr>
            <w:r w:rsidRPr="0095562E">
              <w:rPr>
                <w:rStyle w:val="BookTitle"/>
                <w:sz w:val="18"/>
                <w:szCs w:val="18"/>
              </w:rPr>
              <w:t>TSS</w:t>
            </w:r>
          </w:p>
        </w:tc>
        <w:tc>
          <w:tcPr>
            <w:tcW w:w="324" w:type="pct"/>
            <w:tcBorders>
              <w:top w:val="single" w:sz="4" w:space="0" w:color="auto"/>
              <w:left w:val="nil"/>
              <w:bottom w:val="single" w:sz="4" w:space="0" w:color="auto"/>
              <w:right w:val="nil"/>
            </w:tcBorders>
            <w:shd w:val="clear" w:color="auto" w:fill="auto"/>
            <w:noWrap/>
            <w:vAlign w:val="center"/>
            <w:hideMark/>
          </w:tcPr>
          <w:p w14:paraId="0C3F82A9" w14:textId="77777777" w:rsidR="0015270F" w:rsidRPr="0095562E" w:rsidRDefault="0015270F" w:rsidP="0095562E">
            <w:pPr>
              <w:spacing w:before="0" w:after="0"/>
              <w:rPr>
                <w:rStyle w:val="BookTitle"/>
                <w:sz w:val="18"/>
                <w:szCs w:val="18"/>
              </w:rPr>
            </w:pPr>
            <w:r w:rsidRPr="0095562E">
              <w:rPr>
                <w:rStyle w:val="BookTitle"/>
                <w:sz w:val="18"/>
                <w:szCs w:val="18"/>
              </w:rPr>
              <w:t>chl-a</w:t>
            </w:r>
          </w:p>
        </w:tc>
        <w:tc>
          <w:tcPr>
            <w:tcW w:w="324" w:type="pct"/>
            <w:tcBorders>
              <w:top w:val="single" w:sz="4" w:space="0" w:color="auto"/>
              <w:left w:val="nil"/>
              <w:bottom w:val="single" w:sz="4" w:space="0" w:color="auto"/>
              <w:right w:val="nil"/>
            </w:tcBorders>
            <w:shd w:val="clear" w:color="auto" w:fill="auto"/>
            <w:noWrap/>
            <w:vAlign w:val="center"/>
            <w:hideMark/>
          </w:tcPr>
          <w:p w14:paraId="0C3F82AA" w14:textId="77777777" w:rsidR="0015270F" w:rsidRPr="0095562E" w:rsidRDefault="0015270F" w:rsidP="0095562E">
            <w:pPr>
              <w:spacing w:before="0" w:after="0"/>
              <w:rPr>
                <w:rStyle w:val="BookTitle"/>
                <w:sz w:val="18"/>
                <w:szCs w:val="18"/>
              </w:rPr>
            </w:pPr>
            <w:r w:rsidRPr="0095562E">
              <w:rPr>
                <w:rStyle w:val="BookTitle"/>
                <w:sz w:val="18"/>
                <w:szCs w:val="18"/>
              </w:rPr>
              <w:t>TN</w:t>
            </w:r>
          </w:p>
        </w:tc>
        <w:tc>
          <w:tcPr>
            <w:tcW w:w="324" w:type="pct"/>
            <w:tcBorders>
              <w:top w:val="single" w:sz="4" w:space="0" w:color="auto"/>
              <w:left w:val="nil"/>
              <w:bottom w:val="single" w:sz="4" w:space="0" w:color="auto"/>
              <w:right w:val="nil"/>
            </w:tcBorders>
            <w:shd w:val="clear" w:color="auto" w:fill="auto"/>
            <w:noWrap/>
            <w:vAlign w:val="center"/>
            <w:hideMark/>
          </w:tcPr>
          <w:p w14:paraId="0C3F82AB" w14:textId="77777777" w:rsidR="0015270F" w:rsidRPr="0095562E" w:rsidRDefault="0015270F" w:rsidP="0095562E">
            <w:pPr>
              <w:spacing w:before="0" w:after="0"/>
              <w:rPr>
                <w:rStyle w:val="BookTitle"/>
                <w:sz w:val="18"/>
                <w:szCs w:val="18"/>
              </w:rPr>
            </w:pPr>
            <w:r w:rsidRPr="0095562E">
              <w:rPr>
                <w:rStyle w:val="BookTitle"/>
                <w:sz w:val="18"/>
                <w:szCs w:val="18"/>
              </w:rPr>
              <w:t>TDN</w:t>
            </w:r>
          </w:p>
        </w:tc>
        <w:tc>
          <w:tcPr>
            <w:tcW w:w="324" w:type="pct"/>
            <w:tcBorders>
              <w:top w:val="single" w:sz="4" w:space="0" w:color="auto"/>
              <w:left w:val="nil"/>
              <w:bottom w:val="single" w:sz="4" w:space="0" w:color="auto"/>
              <w:right w:val="nil"/>
            </w:tcBorders>
            <w:shd w:val="clear" w:color="auto" w:fill="auto"/>
            <w:noWrap/>
            <w:vAlign w:val="center"/>
            <w:hideMark/>
          </w:tcPr>
          <w:p w14:paraId="0C3F82AC" w14:textId="77777777" w:rsidR="0015270F" w:rsidRPr="0095562E" w:rsidRDefault="0015270F" w:rsidP="0095562E">
            <w:pPr>
              <w:spacing w:before="0" w:after="0"/>
              <w:rPr>
                <w:rStyle w:val="BookTitle"/>
                <w:sz w:val="18"/>
                <w:szCs w:val="18"/>
              </w:rPr>
            </w:pPr>
            <w:r w:rsidRPr="0095562E">
              <w:rPr>
                <w:rStyle w:val="BookTitle"/>
                <w:sz w:val="18"/>
                <w:szCs w:val="18"/>
              </w:rPr>
              <w:t>DIN</w:t>
            </w:r>
          </w:p>
        </w:tc>
        <w:tc>
          <w:tcPr>
            <w:tcW w:w="324" w:type="pct"/>
            <w:tcBorders>
              <w:top w:val="single" w:sz="4" w:space="0" w:color="auto"/>
              <w:left w:val="nil"/>
              <w:bottom w:val="single" w:sz="4" w:space="0" w:color="auto"/>
              <w:right w:val="nil"/>
            </w:tcBorders>
            <w:shd w:val="clear" w:color="auto" w:fill="auto"/>
            <w:noWrap/>
            <w:vAlign w:val="center"/>
            <w:hideMark/>
          </w:tcPr>
          <w:p w14:paraId="0C3F82AD" w14:textId="77777777" w:rsidR="0015270F" w:rsidRPr="0095562E" w:rsidRDefault="0015270F" w:rsidP="0095562E">
            <w:pPr>
              <w:spacing w:before="0" w:after="0"/>
              <w:rPr>
                <w:rStyle w:val="BookTitle"/>
                <w:sz w:val="18"/>
                <w:szCs w:val="18"/>
              </w:rPr>
            </w:pPr>
            <w:r w:rsidRPr="0095562E">
              <w:rPr>
                <w:rStyle w:val="BookTitle"/>
                <w:sz w:val="18"/>
                <w:szCs w:val="18"/>
              </w:rPr>
              <w:t>TP</w:t>
            </w:r>
          </w:p>
        </w:tc>
        <w:tc>
          <w:tcPr>
            <w:tcW w:w="324" w:type="pct"/>
            <w:tcBorders>
              <w:top w:val="single" w:sz="4" w:space="0" w:color="auto"/>
              <w:left w:val="nil"/>
              <w:bottom w:val="single" w:sz="4" w:space="0" w:color="auto"/>
              <w:right w:val="nil"/>
            </w:tcBorders>
            <w:shd w:val="clear" w:color="auto" w:fill="auto"/>
            <w:noWrap/>
            <w:vAlign w:val="center"/>
            <w:hideMark/>
          </w:tcPr>
          <w:p w14:paraId="0C3F82AE" w14:textId="77777777" w:rsidR="0015270F" w:rsidRPr="0095562E" w:rsidRDefault="0015270F" w:rsidP="0095562E">
            <w:pPr>
              <w:spacing w:before="0" w:after="0"/>
              <w:rPr>
                <w:rStyle w:val="BookTitle"/>
                <w:sz w:val="18"/>
                <w:szCs w:val="18"/>
              </w:rPr>
            </w:pPr>
            <w:r w:rsidRPr="0095562E">
              <w:rPr>
                <w:rStyle w:val="BookTitle"/>
                <w:sz w:val="18"/>
                <w:szCs w:val="18"/>
              </w:rPr>
              <w:t>TDP</w:t>
            </w:r>
          </w:p>
        </w:tc>
        <w:tc>
          <w:tcPr>
            <w:tcW w:w="324" w:type="pct"/>
            <w:tcBorders>
              <w:top w:val="single" w:sz="4" w:space="0" w:color="auto"/>
              <w:left w:val="nil"/>
              <w:bottom w:val="single" w:sz="4" w:space="0" w:color="auto"/>
              <w:right w:val="nil"/>
            </w:tcBorders>
            <w:shd w:val="clear" w:color="auto" w:fill="auto"/>
            <w:noWrap/>
            <w:vAlign w:val="center"/>
            <w:hideMark/>
          </w:tcPr>
          <w:p w14:paraId="0C3F82AF" w14:textId="77777777" w:rsidR="0015270F" w:rsidRPr="0095562E" w:rsidRDefault="0015270F" w:rsidP="0095562E">
            <w:pPr>
              <w:spacing w:before="0" w:after="0"/>
              <w:rPr>
                <w:rStyle w:val="BookTitle"/>
                <w:sz w:val="18"/>
                <w:szCs w:val="18"/>
              </w:rPr>
            </w:pPr>
            <w:r w:rsidRPr="0095562E">
              <w:rPr>
                <w:rStyle w:val="BookTitle"/>
                <w:sz w:val="18"/>
                <w:szCs w:val="18"/>
              </w:rPr>
              <w:t>DIP</w:t>
            </w:r>
          </w:p>
        </w:tc>
        <w:tc>
          <w:tcPr>
            <w:tcW w:w="324" w:type="pct"/>
            <w:tcBorders>
              <w:top w:val="single" w:sz="4" w:space="0" w:color="auto"/>
              <w:left w:val="nil"/>
              <w:bottom w:val="single" w:sz="4" w:space="0" w:color="auto"/>
              <w:right w:val="nil"/>
            </w:tcBorders>
            <w:shd w:val="clear" w:color="auto" w:fill="auto"/>
            <w:noWrap/>
            <w:vAlign w:val="center"/>
            <w:hideMark/>
          </w:tcPr>
          <w:p w14:paraId="0C3F82B0" w14:textId="77777777" w:rsidR="0015270F" w:rsidRPr="0095562E" w:rsidRDefault="0015270F" w:rsidP="0095562E">
            <w:pPr>
              <w:spacing w:before="0" w:after="0"/>
              <w:rPr>
                <w:rStyle w:val="BookTitle"/>
                <w:sz w:val="18"/>
                <w:szCs w:val="18"/>
              </w:rPr>
            </w:pPr>
            <w:r w:rsidRPr="0095562E">
              <w:rPr>
                <w:rStyle w:val="BookTitle"/>
                <w:sz w:val="18"/>
                <w:szCs w:val="18"/>
              </w:rPr>
              <w:t>PN</w:t>
            </w:r>
          </w:p>
        </w:tc>
        <w:tc>
          <w:tcPr>
            <w:tcW w:w="324" w:type="pct"/>
            <w:tcBorders>
              <w:top w:val="single" w:sz="4" w:space="0" w:color="auto"/>
              <w:left w:val="nil"/>
              <w:bottom w:val="single" w:sz="4" w:space="0" w:color="auto"/>
              <w:right w:val="nil"/>
            </w:tcBorders>
            <w:shd w:val="clear" w:color="auto" w:fill="auto"/>
            <w:noWrap/>
            <w:vAlign w:val="center"/>
            <w:hideMark/>
          </w:tcPr>
          <w:p w14:paraId="0C3F82B1" w14:textId="77777777" w:rsidR="0015270F" w:rsidRPr="0095562E" w:rsidRDefault="0015270F" w:rsidP="0095562E">
            <w:pPr>
              <w:spacing w:before="0" w:after="0"/>
              <w:rPr>
                <w:rStyle w:val="BookTitle"/>
                <w:sz w:val="18"/>
                <w:szCs w:val="18"/>
              </w:rPr>
            </w:pPr>
            <w:r w:rsidRPr="0095562E">
              <w:rPr>
                <w:rStyle w:val="BookTitle"/>
                <w:sz w:val="18"/>
                <w:szCs w:val="18"/>
              </w:rPr>
              <w:t>PP</w:t>
            </w:r>
          </w:p>
        </w:tc>
        <w:tc>
          <w:tcPr>
            <w:tcW w:w="396" w:type="pct"/>
            <w:tcBorders>
              <w:top w:val="single" w:sz="4" w:space="0" w:color="auto"/>
              <w:left w:val="nil"/>
              <w:bottom w:val="single" w:sz="4" w:space="0" w:color="auto"/>
              <w:right w:val="nil"/>
            </w:tcBorders>
            <w:shd w:val="clear" w:color="auto" w:fill="auto"/>
            <w:noWrap/>
            <w:vAlign w:val="center"/>
            <w:hideMark/>
          </w:tcPr>
          <w:p w14:paraId="0C3F82B2" w14:textId="77777777" w:rsidR="0015270F" w:rsidRPr="0095562E" w:rsidRDefault="0015270F" w:rsidP="0095562E">
            <w:pPr>
              <w:spacing w:before="0" w:after="0"/>
              <w:rPr>
                <w:rStyle w:val="BookTitle"/>
                <w:sz w:val="18"/>
                <w:szCs w:val="18"/>
              </w:rPr>
            </w:pPr>
            <w:r w:rsidRPr="0095562E">
              <w:rPr>
                <w:rStyle w:val="BookTitle"/>
                <w:sz w:val="18"/>
                <w:szCs w:val="18"/>
              </w:rPr>
              <w:t>Si</w:t>
            </w:r>
          </w:p>
        </w:tc>
      </w:tr>
      <w:tr w:rsidR="0015270F" w:rsidRPr="0095562E" w14:paraId="0C3F82C3" w14:textId="77777777" w:rsidTr="0015270F">
        <w:trPr>
          <w:trHeight w:val="20"/>
        </w:trPr>
        <w:tc>
          <w:tcPr>
            <w:tcW w:w="360" w:type="pct"/>
            <w:tcBorders>
              <w:top w:val="nil"/>
              <w:left w:val="nil"/>
              <w:bottom w:val="nil"/>
              <w:right w:val="nil"/>
            </w:tcBorders>
            <w:shd w:val="clear" w:color="auto" w:fill="auto"/>
            <w:noWrap/>
            <w:vAlign w:val="center"/>
            <w:hideMark/>
          </w:tcPr>
          <w:p w14:paraId="0C3F82B4" w14:textId="77777777" w:rsidR="0015270F" w:rsidRPr="0095562E" w:rsidRDefault="0015270F" w:rsidP="0095562E">
            <w:pPr>
              <w:spacing w:before="0" w:after="0"/>
              <w:rPr>
                <w:rStyle w:val="BookTitle"/>
                <w:sz w:val="18"/>
                <w:szCs w:val="18"/>
              </w:rPr>
            </w:pPr>
            <w:r w:rsidRPr="0095562E">
              <w:rPr>
                <w:rStyle w:val="BookTitle"/>
                <w:sz w:val="18"/>
                <w:szCs w:val="18"/>
              </w:rPr>
              <w:t>Sal.</w:t>
            </w:r>
          </w:p>
        </w:tc>
        <w:tc>
          <w:tcPr>
            <w:tcW w:w="324" w:type="pct"/>
            <w:tcBorders>
              <w:top w:val="nil"/>
              <w:left w:val="nil"/>
              <w:bottom w:val="nil"/>
              <w:right w:val="nil"/>
            </w:tcBorders>
            <w:shd w:val="clear" w:color="auto" w:fill="auto"/>
            <w:noWrap/>
            <w:vAlign w:val="center"/>
            <w:hideMark/>
          </w:tcPr>
          <w:p w14:paraId="0C3F82B5"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60" w:type="pct"/>
            <w:tcBorders>
              <w:top w:val="nil"/>
              <w:left w:val="nil"/>
              <w:bottom w:val="nil"/>
              <w:right w:val="nil"/>
            </w:tcBorders>
            <w:shd w:val="clear" w:color="auto" w:fill="auto"/>
            <w:noWrap/>
            <w:vAlign w:val="center"/>
            <w:hideMark/>
          </w:tcPr>
          <w:p w14:paraId="0C3F82B6" w14:textId="77777777" w:rsidR="0015270F" w:rsidRPr="0095562E" w:rsidRDefault="0015270F" w:rsidP="0095562E">
            <w:pPr>
              <w:spacing w:before="0" w:after="0"/>
              <w:rPr>
                <w:rStyle w:val="BookTitle"/>
                <w:sz w:val="18"/>
                <w:szCs w:val="18"/>
              </w:rPr>
            </w:pPr>
            <w:r w:rsidRPr="0095562E">
              <w:rPr>
                <w:rStyle w:val="BookTitle"/>
                <w:sz w:val="18"/>
                <w:szCs w:val="18"/>
              </w:rPr>
              <w:t>-0.58</w:t>
            </w:r>
          </w:p>
        </w:tc>
        <w:tc>
          <w:tcPr>
            <w:tcW w:w="324" w:type="pct"/>
            <w:tcBorders>
              <w:top w:val="nil"/>
              <w:left w:val="nil"/>
              <w:bottom w:val="nil"/>
              <w:right w:val="nil"/>
            </w:tcBorders>
            <w:shd w:val="clear" w:color="auto" w:fill="auto"/>
            <w:noWrap/>
            <w:vAlign w:val="center"/>
            <w:hideMark/>
          </w:tcPr>
          <w:p w14:paraId="0C3F82B7"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center"/>
            <w:hideMark/>
          </w:tcPr>
          <w:p w14:paraId="0C3F82B8" w14:textId="77777777" w:rsidR="0015270F" w:rsidRPr="0095562E" w:rsidRDefault="0015270F" w:rsidP="0095562E">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center"/>
            <w:hideMark/>
          </w:tcPr>
          <w:p w14:paraId="0C3F82B9"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2BA" w14:textId="77777777" w:rsidR="0015270F" w:rsidRPr="0095562E" w:rsidRDefault="0015270F" w:rsidP="0095562E">
            <w:pPr>
              <w:spacing w:before="0" w:after="0"/>
              <w:rPr>
                <w:rStyle w:val="BookTitle"/>
                <w:sz w:val="18"/>
                <w:szCs w:val="18"/>
              </w:rPr>
            </w:pPr>
            <w:r w:rsidRPr="0095562E">
              <w:rPr>
                <w:rStyle w:val="BookTitle"/>
                <w:sz w:val="18"/>
                <w:szCs w:val="18"/>
              </w:rPr>
              <w:t>-0.41</w:t>
            </w:r>
          </w:p>
        </w:tc>
        <w:tc>
          <w:tcPr>
            <w:tcW w:w="324" w:type="pct"/>
            <w:tcBorders>
              <w:top w:val="nil"/>
              <w:left w:val="nil"/>
              <w:bottom w:val="nil"/>
              <w:right w:val="nil"/>
            </w:tcBorders>
            <w:shd w:val="clear" w:color="auto" w:fill="auto"/>
            <w:noWrap/>
            <w:vAlign w:val="center"/>
            <w:hideMark/>
          </w:tcPr>
          <w:p w14:paraId="0C3F82BB" w14:textId="77777777" w:rsidR="0015270F" w:rsidRPr="0095562E" w:rsidRDefault="0015270F" w:rsidP="0095562E">
            <w:pPr>
              <w:spacing w:before="0" w:after="0"/>
              <w:rPr>
                <w:rStyle w:val="BookTitle"/>
                <w:sz w:val="18"/>
                <w:szCs w:val="18"/>
              </w:rPr>
            </w:pPr>
            <w:r w:rsidRPr="0095562E">
              <w:rPr>
                <w:rStyle w:val="BookTitle"/>
                <w:sz w:val="18"/>
                <w:szCs w:val="18"/>
              </w:rPr>
              <w:t>-0.57</w:t>
            </w:r>
          </w:p>
        </w:tc>
        <w:tc>
          <w:tcPr>
            <w:tcW w:w="324" w:type="pct"/>
            <w:tcBorders>
              <w:top w:val="nil"/>
              <w:left w:val="nil"/>
              <w:bottom w:val="nil"/>
              <w:right w:val="nil"/>
            </w:tcBorders>
            <w:shd w:val="clear" w:color="auto" w:fill="auto"/>
            <w:noWrap/>
            <w:vAlign w:val="center"/>
            <w:hideMark/>
          </w:tcPr>
          <w:p w14:paraId="0C3F82BC" w14:textId="77777777" w:rsidR="0015270F" w:rsidRPr="0095562E" w:rsidRDefault="0015270F" w:rsidP="0095562E">
            <w:pPr>
              <w:spacing w:before="0" w:after="0"/>
              <w:rPr>
                <w:rStyle w:val="BookTitle"/>
                <w:sz w:val="18"/>
                <w:szCs w:val="18"/>
              </w:rPr>
            </w:pPr>
            <w:r w:rsidRPr="0095562E">
              <w:rPr>
                <w:rStyle w:val="BookTitle"/>
                <w:sz w:val="18"/>
                <w:szCs w:val="18"/>
              </w:rPr>
              <w:t>-0.46</w:t>
            </w:r>
          </w:p>
        </w:tc>
        <w:tc>
          <w:tcPr>
            <w:tcW w:w="324" w:type="pct"/>
            <w:tcBorders>
              <w:top w:val="nil"/>
              <w:left w:val="nil"/>
              <w:bottom w:val="nil"/>
              <w:right w:val="nil"/>
            </w:tcBorders>
            <w:shd w:val="clear" w:color="auto" w:fill="auto"/>
            <w:noWrap/>
            <w:vAlign w:val="center"/>
            <w:hideMark/>
          </w:tcPr>
          <w:p w14:paraId="0C3F82BD" w14:textId="77777777" w:rsidR="0015270F" w:rsidRPr="0095562E" w:rsidRDefault="0015270F" w:rsidP="0095562E">
            <w:pPr>
              <w:spacing w:before="0" w:after="0"/>
              <w:rPr>
                <w:rStyle w:val="BookTitle"/>
                <w:sz w:val="18"/>
                <w:szCs w:val="18"/>
              </w:rPr>
            </w:pPr>
            <w:r w:rsidRPr="0095562E">
              <w:rPr>
                <w:rStyle w:val="BookTitle"/>
                <w:sz w:val="18"/>
                <w:szCs w:val="18"/>
              </w:rPr>
              <w:t>-0.59</w:t>
            </w:r>
          </w:p>
        </w:tc>
        <w:tc>
          <w:tcPr>
            <w:tcW w:w="324" w:type="pct"/>
            <w:tcBorders>
              <w:top w:val="nil"/>
              <w:left w:val="nil"/>
              <w:bottom w:val="nil"/>
              <w:right w:val="nil"/>
            </w:tcBorders>
            <w:shd w:val="clear" w:color="000000" w:fill="FFFF00"/>
            <w:noWrap/>
            <w:vAlign w:val="center"/>
            <w:hideMark/>
          </w:tcPr>
          <w:p w14:paraId="0C3F82BE" w14:textId="77777777" w:rsidR="0015270F" w:rsidRPr="0095562E" w:rsidRDefault="0015270F" w:rsidP="0095562E">
            <w:pPr>
              <w:spacing w:before="0" w:after="0"/>
              <w:rPr>
                <w:rStyle w:val="BookTitle"/>
                <w:sz w:val="18"/>
                <w:szCs w:val="18"/>
              </w:rPr>
            </w:pPr>
            <w:r w:rsidRPr="0095562E">
              <w:rPr>
                <w:rStyle w:val="BookTitle"/>
                <w:sz w:val="18"/>
                <w:szCs w:val="18"/>
              </w:rPr>
              <w:t>-0.61</w:t>
            </w:r>
          </w:p>
        </w:tc>
        <w:tc>
          <w:tcPr>
            <w:tcW w:w="324" w:type="pct"/>
            <w:tcBorders>
              <w:top w:val="nil"/>
              <w:left w:val="nil"/>
              <w:bottom w:val="nil"/>
              <w:right w:val="nil"/>
            </w:tcBorders>
            <w:shd w:val="clear" w:color="auto" w:fill="auto"/>
            <w:noWrap/>
            <w:vAlign w:val="center"/>
            <w:hideMark/>
          </w:tcPr>
          <w:p w14:paraId="0C3F82BF" w14:textId="77777777" w:rsidR="0015270F" w:rsidRPr="0095562E" w:rsidRDefault="0015270F" w:rsidP="0095562E">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center"/>
            <w:hideMark/>
          </w:tcPr>
          <w:p w14:paraId="0C3F82C0"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center"/>
            <w:hideMark/>
          </w:tcPr>
          <w:p w14:paraId="0C3F82C1"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96" w:type="pct"/>
            <w:tcBorders>
              <w:top w:val="nil"/>
              <w:left w:val="nil"/>
              <w:bottom w:val="nil"/>
              <w:right w:val="nil"/>
            </w:tcBorders>
            <w:shd w:val="clear" w:color="000000" w:fill="FFFF00"/>
            <w:noWrap/>
            <w:vAlign w:val="center"/>
            <w:hideMark/>
          </w:tcPr>
          <w:p w14:paraId="0C3F82C2" w14:textId="77777777" w:rsidR="0015270F" w:rsidRPr="0095562E" w:rsidRDefault="0015270F" w:rsidP="0095562E">
            <w:pPr>
              <w:spacing w:before="0" w:after="0"/>
              <w:rPr>
                <w:rStyle w:val="BookTitle"/>
                <w:sz w:val="18"/>
                <w:szCs w:val="18"/>
              </w:rPr>
            </w:pPr>
            <w:r w:rsidRPr="0095562E">
              <w:rPr>
                <w:rStyle w:val="BookTitle"/>
                <w:sz w:val="18"/>
                <w:szCs w:val="18"/>
              </w:rPr>
              <w:t>-0.67</w:t>
            </w:r>
          </w:p>
        </w:tc>
      </w:tr>
      <w:tr w:rsidR="0015270F" w:rsidRPr="0095562E" w14:paraId="0C3F82D3" w14:textId="77777777" w:rsidTr="0015270F">
        <w:trPr>
          <w:trHeight w:val="20"/>
        </w:trPr>
        <w:tc>
          <w:tcPr>
            <w:tcW w:w="360" w:type="pct"/>
            <w:tcBorders>
              <w:top w:val="nil"/>
              <w:left w:val="nil"/>
              <w:bottom w:val="nil"/>
              <w:right w:val="nil"/>
            </w:tcBorders>
            <w:shd w:val="clear" w:color="auto" w:fill="auto"/>
            <w:noWrap/>
            <w:vAlign w:val="center"/>
            <w:hideMark/>
          </w:tcPr>
          <w:p w14:paraId="0C3F82C4" w14:textId="77777777" w:rsidR="0015270F" w:rsidRPr="0095562E" w:rsidRDefault="0015270F" w:rsidP="0095562E">
            <w:pPr>
              <w:spacing w:before="0" w:after="0"/>
              <w:rPr>
                <w:rStyle w:val="BookTitle"/>
                <w:sz w:val="18"/>
                <w:szCs w:val="18"/>
              </w:rPr>
            </w:pPr>
            <w:r w:rsidRPr="0095562E">
              <w:rPr>
                <w:rStyle w:val="BookTitle"/>
                <w:sz w:val="18"/>
                <w:szCs w:val="18"/>
              </w:rPr>
              <w:t>Disch.</w:t>
            </w:r>
          </w:p>
        </w:tc>
        <w:tc>
          <w:tcPr>
            <w:tcW w:w="324" w:type="pct"/>
            <w:tcBorders>
              <w:top w:val="nil"/>
              <w:left w:val="nil"/>
              <w:bottom w:val="nil"/>
              <w:right w:val="nil"/>
            </w:tcBorders>
            <w:shd w:val="clear" w:color="auto" w:fill="auto"/>
            <w:noWrap/>
            <w:vAlign w:val="center"/>
            <w:hideMark/>
          </w:tcPr>
          <w:p w14:paraId="0C3F82C5" w14:textId="77777777" w:rsidR="0015270F" w:rsidRPr="0095562E" w:rsidRDefault="0015270F" w:rsidP="0095562E">
            <w:pPr>
              <w:spacing w:before="0" w:after="0"/>
              <w:rPr>
                <w:rStyle w:val="BookTitle"/>
                <w:sz w:val="18"/>
                <w:szCs w:val="18"/>
              </w:rPr>
            </w:pPr>
            <w:r w:rsidRPr="0095562E">
              <w:rPr>
                <w:rStyle w:val="BookTitle"/>
                <w:sz w:val="18"/>
                <w:szCs w:val="18"/>
              </w:rPr>
              <w:t>-0.58</w:t>
            </w:r>
          </w:p>
        </w:tc>
        <w:tc>
          <w:tcPr>
            <w:tcW w:w="360" w:type="pct"/>
            <w:tcBorders>
              <w:top w:val="nil"/>
              <w:left w:val="nil"/>
              <w:bottom w:val="nil"/>
              <w:right w:val="nil"/>
            </w:tcBorders>
            <w:shd w:val="clear" w:color="auto" w:fill="auto"/>
            <w:noWrap/>
            <w:vAlign w:val="center"/>
            <w:hideMark/>
          </w:tcPr>
          <w:p w14:paraId="0C3F82C6"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2C7"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center"/>
            <w:hideMark/>
          </w:tcPr>
          <w:p w14:paraId="0C3F82C8"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2C9"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center"/>
            <w:hideMark/>
          </w:tcPr>
          <w:p w14:paraId="0C3F82CA" w14:textId="77777777" w:rsidR="0015270F" w:rsidRPr="0095562E" w:rsidRDefault="0015270F" w:rsidP="0095562E">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center"/>
            <w:hideMark/>
          </w:tcPr>
          <w:p w14:paraId="0C3F82CB"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center"/>
            <w:hideMark/>
          </w:tcPr>
          <w:p w14:paraId="0C3F82CC" w14:textId="77777777" w:rsidR="0015270F" w:rsidRPr="0095562E" w:rsidRDefault="0015270F" w:rsidP="0095562E">
            <w:pPr>
              <w:spacing w:before="0" w:after="0"/>
              <w:rPr>
                <w:rStyle w:val="BookTitle"/>
                <w:sz w:val="18"/>
                <w:szCs w:val="18"/>
              </w:rPr>
            </w:pPr>
            <w:r w:rsidRPr="0095562E">
              <w:rPr>
                <w:rStyle w:val="BookTitle"/>
                <w:sz w:val="18"/>
                <w:szCs w:val="18"/>
              </w:rPr>
              <w:t>0.48</w:t>
            </w:r>
          </w:p>
        </w:tc>
        <w:tc>
          <w:tcPr>
            <w:tcW w:w="324" w:type="pct"/>
            <w:tcBorders>
              <w:top w:val="nil"/>
              <w:left w:val="nil"/>
              <w:bottom w:val="nil"/>
              <w:right w:val="nil"/>
            </w:tcBorders>
            <w:shd w:val="clear" w:color="auto" w:fill="auto"/>
            <w:noWrap/>
            <w:vAlign w:val="center"/>
            <w:hideMark/>
          </w:tcPr>
          <w:p w14:paraId="0C3F82CD"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center"/>
            <w:hideMark/>
          </w:tcPr>
          <w:p w14:paraId="0C3F82CE"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center"/>
            <w:hideMark/>
          </w:tcPr>
          <w:p w14:paraId="0C3F82CF"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center"/>
            <w:hideMark/>
          </w:tcPr>
          <w:p w14:paraId="0C3F82D0"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center"/>
            <w:hideMark/>
          </w:tcPr>
          <w:p w14:paraId="0C3F82D1" w14:textId="77777777" w:rsidR="0015270F" w:rsidRPr="0095562E" w:rsidRDefault="0015270F" w:rsidP="0095562E">
            <w:pPr>
              <w:spacing w:before="0" w:after="0"/>
              <w:rPr>
                <w:rStyle w:val="BookTitle"/>
                <w:sz w:val="18"/>
                <w:szCs w:val="18"/>
              </w:rPr>
            </w:pPr>
            <w:r w:rsidRPr="0095562E">
              <w:rPr>
                <w:rStyle w:val="BookTitle"/>
                <w:sz w:val="18"/>
                <w:szCs w:val="18"/>
              </w:rPr>
              <w:t>0.10</w:t>
            </w:r>
          </w:p>
        </w:tc>
        <w:tc>
          <w:tcPr>
            <w:tcW w:w="396" w:type="pct"/>
            <w:tcBorders>
              <w:top w:val="nil"/>
              <w:left w:val="nil"/>
              <w:bottom w:val="nil"/>
              <w:right w:val="nil"/>
            </w:tcBorders>
            <w:shd w:val="clear" w:color="000000" w:fill="FFFF00"/>
            <w:noWrap/>
            <w:vAlign w:val="center"/>
            <w:hideMark/>
          </w:tcPr>
          <w:p w14:paraId="0C3F82D2" w14:textId="77777777" w:rsidR="0015270F" w:rsidRPr="0095562E" w:rsidRDefault="0015270F" w:rsidP="0095562E">
            <w:pPr>
              <w:spacing w:before="0" w:after="0"/>
              <w:rPr>
                <w:rStyle w:val="BookTitle"/>
                <w:sz w:val="18"/>
                <w:szCs w:val="18"/>
              </w:rPr>
            </w:pPr>
            <w:r w:rsidRPr="0095562E">
              <w:rPr>
                <w:rStyle w:val="BookTitle"/>
                <w:sz w:val="18"/>
                <w:szCs w:val="18"/>
              </w:rPr>
              <w:t>0.68</w:t>
            </w:r>
          </w:p>
        </w:tc>
      </w:tr>
      <w:tr w:rsidR="0015270F" w:rsidRPr="0095562E" w14:paraId="0C3F82E3" w14:textId="77777777" w:rsidTr="0015270F">
        <w:trPr>
          <w:trHeight w:val="20"/>
        </w:trPr>
        <w:tc>
          <w:tcPr>
            <w:tcW w:w="360" w:type="pct"/>
            <w:tcBorders>
              <w:top w:val="nil"/>
              <w:left w:val="nil"/>
              <w:bottom w:val="nil"/>
              <w:right w:val="nil"/>
            </w:tcBorders>
            <w:shd w:val="clear" w:color="auto" w:fill="auto"/>
            <w:noWrap/>
            <w:vAlign w:val="center"/>
            <w:hideMark/>
          </w:tcPr>
          <w:p w14:paraId="0C3F82D4" w14:textId="77777777" w:rsidR="0015270F" w:rsidRPr="0095562E" w:rsidRDefault="0015270F" w:rsidP="0095562E">
            <w:pPr>
              <w:spacing w:before="0" w:after="0"/>
              <w:rPr>
                <w:rStyle w:val="BookTitle"/>
                <w:sz w:val="18"/>
                <w:szCs w:val="18"/>
              </w:rPr>
            </w:pPr>
            <w:r w:rsidRPr="0095562E">
              <w:rPr>
                <w:rStyle w:val="BookTitle"/>
                <w:sz w:val="18"/>
                <w:szCs w:val="18"/>
              </w:rPr>
              <w:t>Dist.</w:t>
            </w:r>
          </w:p>
        </w:tc>
        <w:tc>
          <w:tcPr>
            <w:tcW w:w="324" w:type="pct"/>
            <w:tcBorders>
              <w:top w:val="nil"/>
              <w:left w:val="nil"/>
              <w:bottom w:val="nil"/>
              <w:right w:val="nil"/>
            </w:tcBorders>
            <w:shd w:val="clear" w:color="auto" w:fill="auto"/>
            <w:noWrap/>
            <w:vAlign w:val="center"/>
            <w:hideMark/>
          </w:tcPr>
          <w:p w14:paraId="0C3F82D5"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60" w:type="pct"/>
            <w:tcBorders>
              <w:top w:val="nil"/>
              <w:left w:val="nil"/>
              <w:bottom w:val="nil"/>
              <w:right w:val="nil"/>
            </w:tcBorders>
            <w:shd w:val="clear" w:color="auto" w:fill="auto"/>
            <w:noWrap/>
            <w:vAlign w:val="center"/>
            <w:hideMark/>
          </w:tcPr>
          <w:p w14:paraId="0C3F82D6"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center"/>
            <w:hideMark/>
          </w:tcPr>
          <w:p w14:paraId="0C3F82D7"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2D8"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center"/>
            <w:hideMark/>
          </w:tcPr>
          <w:p w14:paraId="0C3F82D9"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center"/>
            <w:hideMark/>
          </w:tcPr>
          <w:p w14:paraId="0C3F82DA"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center"/>
            <w:hideMark/>
          </w:tcPr>
          <w:p w14:paraId="0C3F82DB"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2DC"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center"/>
            <w:hideMark/>
          </w:tcPr>
          <w:p w14:paraId="0C3F82DD"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center"/>
            <w:hideMark/>
          </w:tcPr>
          <w:p w14:paraId="0C3F82DE"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4" w:type="pct"/>
            <w:tcBorders>
              <w:top w:val="nil"/>
              <w:left w:val="nil"/>
              <w:bottom w:val="nil"/>
              <w:right w:val="nil"/>
            </w:tcBorders>
            <w:shd w:val="clear" w:color="auto" w:fill="auto"/>
            <w:noWrap/>
            <w:vAlign w:val="center"/>
            <w:hideMark/>
          </w:tcPr>
          <w:p w14:paraId="0C3F82DF"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center"/>
            <w:hideMark/>
          </w:tcPr>
          <w:p w14:paraId="0C3F82E0"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2E1"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96" w:type="pct"/>
            <w:tcBorders>
              <w:top w:val="nil"/>
              <w:left w:val="nil"/>
              <w:bottom w:val="nil"/>
              <w:right w:val="nil"/>
            </w:tcBorders>
            <w:shd w:val="clear" w:color="auto" w:fill="auto"/>
            <w:noWrap/>
            <w:vAlign w:val="center"/>
            <w:hideMark/>
          </w:tcPr>
          <w:p w14:paraId="0C3F82E2" w14:textId="77777777" w:rsidR="0015270F" w:rsidRPr="0095562E" w:rsidRDefault="0015270F" w:rsidP="0095562E">
            <w:pPr>
              <w:spacing w:before="0" w:after="0"/>
              <w:rPr>
                <w:rStyle w:val="BookTitle"/>
                <w:sz w:val="18"/>
                <w:szCs w:val="18"/>
              </w:rPr>
            </w:pPr>
            <w:r w:rsidRPr="0095562E">
              <w:rPr>
                <w:rStyle w:val="BookTitle"/>
                <w:sz w:val="18"/>
                <w:szCs w:val="18"/>
              </w:rPr>
              <w:t>-0.32</w:t>
            </w:r>
          </w:p>
        </w:tc>
      </w:tr>
      <w:tr w:rsidR="0015270F" w:rsidRPr="0095562E" w14:paraId="0C3F82F3" w14:textId="77777777" w:rsidTr="0015270F">
        <w:trPr>
          <w:trHeight w:val="20"/>
        </w:trPr>
        <w:tc>
          <w:tcPr>
            <w:tcW w:w="360" w:type="pct"/>
            <w:tcBorders>
              <w:top w:val="nil"/>
              <w:left w:val="nil"/>
              <w:bottom w:val="nil"/>
              <w:right w:val="nil"/>
            </w:tcBorders>
            <w:shd w:val="clear" w:color="auto" w:fill="auto"/>
            <w:noWrap/>
            <w:vAlign w:val="center"/>
            <w:hideMark/>
          </w:tcPr>
          <w:p w14:paraId="0C3F82E4" w14:textId="77777777" w:rsidR="0015270F" w:rsidRPr="0095562E" w:rsidRDefault="0015270F" w:rsidP="0095562E">
            <w:pPr>
              <w:spacing w:before="0" w:after="0"/>
              <w:rPr>
                <w:rStyle w:val="BookTitle"/>
                <w:sz w:val="18"/>
                <w:szCs w:val="18"/>
              </w:rPr>
            </w:pPr>
            <w:r w:rsidRPr="0095562E">
              <w:rPr>
                <w:rStyle w:val="BookTitle"/>
                <w:sz w:val="18"/>
                <w:szCs w:val="18"/>
              </w:rPr>
              <w:t>TSS</w:t>
            </w:r>
          </w:p>
        </w:tc>
        <w:tc>
          <w:tcPr>
            <w:tcW w:w="324" w:type="pct"/>
            <w:tcBorders>
              <w:top w:val="nil"/>
              <w:left w:val="nil"/>
              <w:bottom w:val="nil"/>
              <w:right w:val="nil"/>
            </w:tcBorders>
            <w:shd w:val="clear" w:color="auto" w:fill="auto"/>
            <w:noWrap/>
            <w:vAlign w:val="center"/>
            <w:hideMark/>
          </w:tcPr>
          <w:p w14:paraId="0C3F82E5" w14:textId="77777777" w:rsidR="0015270F" w:rsidRPr="0095562E" w:rsidRDefault="0015270F" w:rsidP="0095562E">
            <w:pPr>
              <w:spacing w:before="0" w:after="0"/>
              <w:rPr>
                <w:rStyle w:val="BookTitle"/>
                <w:sz w:val="18"/>
                <w:szCs w:val="18"/>
              </w:rPr>
            </w:pPr>
            <w:r w:rsidRPr="0095562E">
              <w:rPr>
                <w:rStyle w:val="BookTitle"/>
                <w:sz w:val="18"/>
                <w:szCs w:val="18"/>
              </w:rPr>
              <w:t>-0.30</w:t>
            </w:r>
          </w:p>
        </w:tc>
        <w:tc>
          <w:tcPr>
            <w:tcW w:w="360" w:type="pct"/>
            <w:tcBorders>
              <w:top w:val="nil"/>
              <w:left w:val="nil"/>
              <w:bottom w:val="nil"/>
              <w:right w:val="nil"/>
            </w:tcBorders>
            <w:shd w:val="clear" w:color="auto" w:fill="auto"/>
            <w:noWrap/>
            <w:vAlign w:val="center"/>
            <w:hideMark/>
          </w:tcPr>
          <w:p w14:paraId="0C3F82E6"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2E7"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center"/>
            <w:hideMark/>
          </w:tcPr>
          <w:p w14:paraId="0C3F82E8"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2E9" w14:textId="77777777" w:rsidR="0015270F" w:rsidRPr="0095562E" w:rsidRDefault="0015270F" w:rsidP="0095562E">
            <w:pPr>
              <w:spacing w:before="0" w:after="0"/>
              <w:rPr>
                <w:rStyle w:val="BookTitle"/>
                <w:sz w:val="18"/>
                <w:szCs w:val="18"/>
              </w:rPr>
            </w:pPr>
            <w:r w:rsidRPr="0095562E">
              <w:rPr>
                <w:rStyle w:val="BookTitle"/>
                <w:sz w:val="18"/>
                <w:szCs w:val="18"/>
              </w:rPr>
              <w:t>0.52</w:t>
            </w:r>
          </w:p>
        </w:tc>
        <w:tc>
          <w:tcPr>
            <w:tcW w:w="324" w:type="pct"/>
            <w:tcBorders>
              <w:top w:val="nil"/>
              <w:left w:val="nil"/>
              <w:bottom w:val="nil"/>
              <w:right w:val="nil"/>
            </w:tcBorders>
            <w:shd w:val="clear" w:color="auto" w:fill="auto"/>
            <w:noWrap/>
            <w:vAlign w:val="center"/>
            <w:hideMark/>
          </w:tcPr>
          <w:p w14:paraId="0C3F82EA" w14:textId="77777777" w:rsidR="0015270F" w:rsidRPr="0095562E" w:rsidRDefault="0015270F" w:rsidP="0095562E">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center"/>
            <w:hideMark/>
          </w:tcPr>
          <w:p w14:paraId="0C3F82EB"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2EC"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center"/>
            <w:hideMark/>
          </w:tcPr>
          <w:p w14:paraId="0C3F82ED"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2EE"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center"/>
            <w:hideMark/>
          </w:tcPr>
          <w:p w14:paraId="0C3F82EF"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center"/>
            <w:hideMark/>
          </w:tcPr>
          <w:p w14:paraId="0C3F82F0"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4" w:type="pct"/>
            <w:tcBorders>
              <w:top w:val="nil"/>
              <w:left w:val="nil"/>
              <w:bottom w:val="nil"/>
              <w:right w:val="nil"/>
            </w:tcBorders>
            <w:shd w:val="clear" w:color="auto" w:fill="auto"/>
            <w:noWrap/>
            <w:vAlign w:val="center"/>
            <w:hideMark/>
          </w:tcPr>
          <w:p w14:paraId="0C3F82F1"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96" w:type="pct"/>
            <w:tcBorders>
              <w:top w:val="nil"/>
              <w:left w:val="nil"/>
              <w:bottom w:val="nil"/>
              <w:right w:val="nil"/>
            </w:tcBorders>
            <w:shd w:val="clear" w:color="auto" w:fill="auto"/>
            <w:noWrap/>
            <w:vAlign w:val="center"/>
            <w:hideMark/>
          </w:tcPr>
          <w:p w14:paraId="0C3F82F2" w14:textId="77777777" w:rsidR="0015270F" w:rsidRPr="0095562E" w:rsidRDefault="0015270F" w:rsidP="0095562E">
            <w:pPr>
              <w:spacing w:before="0" w:after="0"/>
              <w:rPr>
                <w:rStyle w:val="BookTitle"/>
                <w:sz w:val="18"/>
                <w:szCs w:val="18"/>
              </w:rPr>
            </w:pPr>
            <w:r w:rsidRPr="0095562E">
              <w:rPr>
                <w:rStyle w:val="BookTitle"/>
                <w:sz w:val="18"/>
                <w:szCs w:val="18"/>
              </w:rPr>
              <w:t>0.27</w:t>
            </w:r>
          </w:p>
        </w:tc>
      </w:tr>
      <w:tr w:rsidR="0015270F" w:rsidRPr="0095562E" w14:paraId="0C3F8303" w14:textId="77777777" w:rsidTr="0015270F">
        <w:trPr>
          <w:trHeight w:val="20"/>
        </w:trPr>
        <w:tc>
          <w:tcPr>
            <w:tcW w:w="360" w:type="pct"/>
            <w:tcBorders>
              <w:top w:val="nil"/>
              <w:left w:val="nil"/>
              <w:bottom w:val="nil"/>
              <w:right w:val="nil"/>
            </w:tcBorders>
            <w:shd w:val="clear" w:color="auto" w:fill="auto"/>
            <w:noWrap/>
            <w:vAlign w:val="center"/>
            <w:hideMark/>
          </w:tcPr>
          <w:p w14:paraId="0C3F82F4" w14:textId="77777777" w:rsidR="0015270F" w:rsidRPr="0095562E" w:rsidRDefault="0015270F" w:rsidP="0095562E">
            <w:pPr>
              <w:spacing w:before="0" w:after="0"/>
              <w:rPr>
                <w:rStyle w:val="BookTitle"/>
                <w:sz w:val="18"/>
                <w:szCs w:val="18"/>
              </w:rPr>
            </w:pPr>
            <w:r w:rsidRPr="0095562E">
              <w:rPr>
                <w:rStyle w:val="BookTitle"/>
                <w:sz w:val="18"/>
                <w:szCs w:val="18"/>
              </w:rPr>
              <w:t>chl-a</w:t>
            </w:r>
          </w:p>
        </w:tc>
        <w:tc>
          <w:tcPr>
            <w:tcW w:w="324" w:type="pct"/>
            <w:tcBorders>
              <w:top w:val="nil"/>
              <w:left w:val="nil"/>
              <w:bottom w:val="nil"/>
              <w:right w:val="nil"/>
            </w:tcBorders>
            <w:shd w:val="clear" w:color="auto" w:fill="auto"/>
            <w:noWrap/>
            <w:vAlign w:val="center"/>
            <w:hideMark/>
          </w:tcPr>
          <w:p w14:paraId="0C3F82F5"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60" w:type="pct"/>
            <w:tcBorders>
              <w:top w:val="nil"/>
              <w:left w:val="nil"/>
              <w:bottom w:val="nil"/>
              <w:right w:val="nil"/>
            </w:tcBorders>
            <w:shd w:val="clear" w:color="auto" w:fill="auto"/>
            <w:noWrap/>
            <w:vAlign w:val="center"/>
            <w:hideMark/>
          </w:tcPr>
          <w:p w14:paraId="0C3F82F6"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center"/>
            <w:hideMark/>
          </w:tcPr>
          <w:p w14:paraId="0C3F82F7"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center"/>
            <w:hideMark/>
          </w:tcPr>
          <w:p w14:paraId="0C3F82F8" w14:textId="77777777" w:rsidR="0015270F" w:rsidRPr="0095562E" w:rsidRDefault="0015270F" w:rsidP="0095562E">
            <w:pPr>
              <w:spacing w:before="0" w:after="0"/>
              <w:rPr>
                <w:rStyle w:val="BookTitle"/>
                <w:sz w:val="18"/>
                <w:szCs w:val="18"/>
              </w:rPr>
            </w:pPr>
            <w:r w:rsidRPr="0095562E">
              <w:rPr>
                <w:rStyle w:val="BookTitle"/>
                <w:sz w:val="18"/>
                <w:szCs w:val="18"/>
              </w:rPr>
              <w:t>0.52</w:t>
            </w:r>
          </w:p>
        </w:tc>
        <w:tc>
          <w:tcPr>
            <w:tcW w:w="324" w:type="pct"/>
            <w:tcBorders>
              <w:top w:val="nil"/>
              <w:left w:val="nil"/>
              <w:bottom w:val="nil"/>
              <w:right w:val="nil"/>
            </w:tcBorders>
            <w:shd w:val="clear" w:color="auto" w:fill="auto"/>
            <w:noWrap/>
            <w:vAlign w:val="center"/>
            <w:hideMark/>
          </w:tcPr>
          <w:p w14:paraId="0C3F82F9"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2FA"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center"/>
            <w:hideMark/>
          </w:tcPr>
          <w:p w14:paraId="0C3F82FB"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center"/>
            <w:hideMark/>
          </w:tcPr>
          <w:p w14:paraId="0C3F82FC" w14:textId="77777777" w:rsidR="0015270F" w:rsidRPr="0095562E" w:rsidRDefault="0015270F" w:rsidP="0095562E">
            <w:pPr>
              <w:spacing w:before="0" w:after="0"/>
              <w:rPr>
                <w:rStyle w:val="BookTitle"/>
                <w:sz w:val="18"/>
                <w:szCs w:val="18"/>
              </w:rPr>
            </w:pPr>
            <w:r w:rsidRPr="0095562E">
              <w:rPr>
                <w:rStyle w:val="BookTitle"/>
                <w:sz w:val="18"/>
                <w:szCs w:val="18"/>
              </w:rPr>
              <w:t>0.06</w:t>
            </w:r>
          </w:p>
        </w:tc>
        <w:tc>
          <w:tcPr>
            <w:tcW w:w="324" w:type="pct"/>
            <w:tcBorders>
              <w:top w:val="nil"/>
              <w:left w:val="nil"/>
              <w:bottom w:val="nil"/>
              <w:right w:val="nil"/>
            </w:tcBorders>
            <w:shd w:val="clear" w:color="auto" w:fill="auto"/>
            <w:noWrap/>
            <w:vAlign w:val="center"/>
            <w:hideMark/>
          </w:tcPr>
          <w:p w14:paraId="0C3F82FD"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auto" w:fill="auto"/>
            <w:noWrap/>
            <w:vAlign w:val="center"/>
            <w:hideMark/>
          </w:tcPr>
          <w:p w14:paraId="0C3F82FE"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center"/>
            <w:hideMark/>
          </w:tcPr>
          <w:p w14:paraId="0C3F82FF"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4" w:type="pct"/>
            <w:tcBorders>
              <w:top w:val="nil"/>
              <w:left w:val="nil"/>
              <w:bottom w:val="nil"/>
              <w:right w:val="nil"/>
            </w:tcBorders>
            <w:shd w:val="clear" w:color="auto" w:fill="auto"/>
            <w:noWrap/>
            <w:vAlign w:val="center"/>
            <w:hideMark/>
          </w:tcPr>
          <w:p w14:paraId="0C3F8300" w14:textId="77777777" w:rsidR="0015270F" w:rsidRPr="0095562E" w:rsidRDefault="0015270F" w:rsidP="0095562E">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center"/>
            <w:hideMark/>
          </w:tcPr>
          <w:p w14:paraId="0C3F8301"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96" w:type="pct"/>
            <w:tcBorders>
              <w:top w:val="nil"/>
              <w:left w:val="nil"/>
              <w:bottom w:val="nil"/>
              <w:right w:val="nil"/>
            </w:tcBorders>
            <w:shd w:val="clear" w:color="auto" w:fill="auto"/>
            <w:noWrap/>
            <w:vAlign w:val="center"/>
            <w:hideMark/>
          </w:tcPr>
          <w:p w14:paraId="0C3F8302" w14:textId="77777777" w:rsidR="0015270F" w:rsidRPr="0095562E" w:rsidRDefault="0015270F" w:rsidP="0095562E">
            <w:pPr>
              <w:spacing w:before="0" w:after="0"/>
              <w:rPr>
                <w:rStyle w:val="BookTitle"/>
                <w:sz w:val="18"/>
                <w:szCs w:val="18"/>
              </w:rPr>
            </w:pPr>
            <w:r w:rsidRPr="0095562E">
              <w:rPr>
                <w:rStyle w:val="BookTitle"/>
                <w:sz w:val="18"/>
                <w:szCs w:val="18"/>
              </w:rPr>
              <w:t>0.21</w:t>
            </w:r>
          </w:p>
        </w:tc>
      </w:tr>
      <w:tr w:rsidR="0015270F" w:rsidRPr="0095562E" w14:paraId="0C3F8313" w14:textId="77777777" w:rsidTr="0015270F">
        <w:trPr>
          <w:trHeight w:val="20"/>
        </w:trPr>
        <w:tc>
          <w:tcPr>
            <w:tcW w:w="360" w:type="pct"/>
            <w:tcBorders>
              <w:top w:val="nil"/>
              <w:left w:val="nil"/>
              <w:bottom w:val="nil"/>
              <w:right w:val="nil"/>
            </w:tcBorders>
            <w:shd w:val="clear" w:color="auto" w:fill="auto"/>
            <w:noWrap/>
            <w:vAlign w:val="center"/>
            <w:hideMark/>
          </w:tcPr>
          <w:p w14:paraId="0C3F8304" w14:textId="77777777" w:rsidR="0015270F" w:rsidRPr="0095562E" w:rsidRDefault="0015270F" w:rsidP="0095562E">
            <w:pPr>
              <w:spacing w:before="0" w:after="0"/>
              <w:rPr>
                <w:rStyle w:val="BookTitle"/>
                <w:sz w:val="18"/>
                <w:szCs w:val="18"/>
              </w:rPr>
            </w:pPr>
            <w:r w:rsidRPr="0095562E">
              <w:rPr>
                <w:rStyle w:val="BookTitle"/>
                <w:sz w:val="18"/>
                <w:szCs w:val="18"/>
              </w:rPr>
              <w:t>TN</w:t>
            </w:r>
          </w:p>
        </w:tc>
        <w:tc>
          <w:tcPr>
            <w:tcW w:w="324" w:type="pct"/>
            <w:tcBorders>
              <w:top w:val="nil"/>
              <w:left w:val="nil"/>
              <w:bottom w:val="nil"/>
              <w:right w:val="nil"/>
            </w:tcBorders>
            <w:shd w:val="clear" w:color="auto" w:fill="auto"/>
            <w:noWrap/>
            <w:vAlign w:val="center"/>
            <w:hideMark/>
          </w:tcPr>
          <w:p w14:paraId="0C3F8305" w14:textId="77777777" w:rsidR="0015270F" w:rsidRPr="0095562E" w:rsidRDefault="0015270F" w:rsidP="0095562E">
            <w:pPr>
              <w:spacing w:before="0" w:after="0"/>
              <w:rPr>
                <w:rStyle w:val="BookTitle"/>
                <w:sz w:val="18"/>
                <w:szCs w:val="18"/>
              </w:rPr>
            </w:pPr>
            <w:r w:rsidRPr="0095562E">
              <w:rPr>
                <w:rStyle w:val="BookTitle"/>
                <w:sz w:val="18"/>
                <w:szCs w:val="18"/>
              </w:rPr>
              <w:t>-0.41</w:t>
            </w:r>
          </w:p>
        </w:tc>
        <w:tc>
          <w:tcPr>
            <w:tcW w:w="360" w:type="pct"/>
            <w:tcBorders>
              <w:top w:val="nil"/>
              <w:left w:val="nil"/>
              <w:bottom w:val="nil"/>
              <w:right w:val="nil"/>
            </w:tcBorders>
            <w:shd w:val="clear" w:color="auto" w:fill="auto"/>
            <w:noWrap/>
            <w:vAlign w:val="center"/>
            <w:hideMark/>
          </w:tcPr>
          <w:p w14:paraId="0C3F8306" w14:textId="77777777" w:rsidR="0015270F" w:rsidRPr="0095562E" w:rsidRDefault="0015270F" w:rsidP="0095562E">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center"/>
            <w:hideMark/>
          </w:tcPr>
          <w:p w14:paraId="0C3F8307"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center"/>
            <w:hideMark/>
          </w:tcPr>
          <w:p w14:paraId="0C3F8308" w14:textId="77777777" w:rsidR="0015270F" w:rsidRPr="0095562E" w:rsidRDefault="0015270F" w:rsidP="0095562E">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center"/>
            <w:hideMark/>
          </w:tcPr>
          <w:p w14:paraId="0C3F8309"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center"/>
            <w:hideMark/>
          </w:tcPr>
          <w:p w14:paraId="0C3F830A"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center"/>
            <w:hideMark/>
          </w:tcPr>
          <w:p w14:paraId="0C3F830B" w14:textId="77777777" w:rsidR="0015270F" w:rsidRPr="0095562E" w:rsidRDefault="0015270F" w:rsidP="0095562E">
            <w:pPr>
              <w:spacing w:before="0" w:after="0"/>
              <w:rPr>
                <w:rStyle w:val="BookTitle"/>
                <w:sz w:val="18"/>
                <w:szCs w:val="18"/>
              </w:rPr>
            </w:pPr>
            <w:r w:rsidRPr="0095562E">
              <w:rPr>
                <w:rStyle w:val="BookTitle"/>
                <w:sz w:val="18"/>
                <w:szCs w:val="18"/>
              </w:rPr>
              <w:t>0.79</w:t>
            </w:r>
          </w:p>
        </w:tc>
        <w:tc>
          <w:tcPr>
            <w:tcW w:w="324" w:type="pct"/>
            <w:tcBorders>
              <w:top w:val="nil"/>
              <w:left w:val="nil"/>
              <w:bottom w:val="nil"/>
              <w:right w:val="nil"/>
            </w:tcBorders>
            <w:shd w:val="clear" w:color="auto" w:fill="auto"/>
            <w:noWrap/>
            <w:vAlign w:val="center"/>
            <w:hideMark/>
          </w:tcPr>
          <w:p w14:paraId="0C3F830C"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000000" w:fill="FFFF00"/>
            <w:noWrap/>
            <w:vAlign w:val="center"/>
            <w:hideMark/>
          </w:tcPr>
          <w:p w14:paraId="0C3F830D" w14:textId="77777777" w:rsidR="0015270F" w:rsidRPr="0095562E" w:rsidRDefault="0015270F" w:rsidP="0095562E">
            <w:pPr>
              <w:spacing w:before="0" w:after="0"/>
              <w:rPr>
                <w:rStyle w:val="BookTitle"/>
                <w:sz w:val="18"/>
                <w:szCs w:val="18"/>
              </w:rPr>
            </w:pPr>
            <w:r w:rsidRPr="0095562E">
              <w:rPr>
                <w:rStyle w:val="BookTitle"/>
                <w:sz w:val="18"/>
                <w:szCs w:val="18"/>
              </w:rPr>
              <w:t>0.65</w:t>
            </w:r>
          </w:p>
        </w:tc>
        <w:tc>
          <w:tcPr>
            <w:tcW w:w="324" w:type="pct"/>
            <w:tcBorders>
              <w:top w:val="nil"/>
              <w:left w:val="nil"/>
              <w:bottom w:val="nil"/>
              <w:right w:val="nil"/>
            </w:tcBorders>
            <w:shd w:val="clear" w:color="auto" w:fill="auto"/>
            <w:noWrap/>
            <w:vAlign w:val="center"/>
            <w:hideMark/>
          </w:tcPr>
          <w:p w14:paraId="0C3F830E" w14:textId="77777777" w:rsidR="0015270F" w:rsidRPr="0095562E" w:rsidRDefault="0015270F" w:rsidP="0095562E">
            <w:pPr>
              <w:spacing w:before="0" w:after="0"/>
              <w:rPr>
                <w:rStyle w:val="BookTitle"/>
                <w:sz w:val="18"/>
                <w:szCs w:val="18"/>
              </w:rPr>
            </w:pPr>
            <w:r w:rsidRPr="0095562E">
              <w:rPr>
                <w:rStyle w:val="BookTitle"/>
                <w:sz w:val="18"/>
                <w:szCs w:val="18"/>
              </w:rPr>
              <w:t>0.54</w:t>
            </w:r>
          </w:p>
        </w:tc>
        <w:tc>
          <w:tcPr>
            <w:tcW w:w="324" w:type="pct"/>
            <w:tcBorders>
              <w:top w:val="nil"/>
              <w:left w:val="nil"/>
              <w:bottom w:val="nil"/>
              <w:right w:val="nil"/>
            </w:tcBorders>
            <w:shd w:val="clear" w:color="auto" w:fill="auto"/>
            <w:noWrap/>
            <w:vAlign w:val="center"/>
            <w:hideMark/>
          </w:tcPr>
          <w:p w14:paraId="0C3F830F" w14:textId="77777777" w:rsidR="0015270F" w:rsidRPr="0095562E" w:rsidRDefault="0015270F" w:rsidP="0095562E">
            <w:pPr>
              <w:spacing w:before="0" w:after="0"/>
              <w:rPr>
                <w:rStyle w:val="BookTitle"/>
                <w:sz w:val="18"/>
                <w:szCs w:val="18"/>
              </w:rPr>
            </w:pPr>
            <w:r w:rsidRPr="0095562E">
              <w:rPr>
                <w:rStyle w:val="BookTitle"/>
                <w:sz w:val="18"/>
                <w:szCs w:val="18"/>
              </w:rPr>
              <w:t>0.36</w:t>
            </w:r>
          </w:p>
        </w:tc>
        <w:tc>
          <w:tcPr>
            <w:tcW w:w="324" w:type="pct"/>
            <w:tcBorders>
              <w:top w:val="nil"/>
              <w:left w:val="nil"/>
              <w:bottom w:val="nil"/>
              <w:right w:val="nil"/>
            </w:tcBorders>
            <w:shd w:val="clear" w:color="auto" w:fill="auto"/>
            <w:noWrap/>
            <w:vAlign w:val="center"/>
            <w:hideMark/>
          </w:tcPr>
          <w:p w14:paraId="0C3F8310"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center"/>
            <w:hideMark/>
          </w:tcPr>
          <w:p w14:paraId="0C3F8311" w14:textId="77777777" w:rsidR="0015270F" w:rsidRPr="0095562E" w:rsidRDefault="0015270F" w:rsidP="0095562E">
            <w:pPr>
              <w:spacing w:before="0" w:after="0"/>
              <w:rPr>
                <w:rStyle w:val="BookTitle"/>
                <w:sz w:val="18"/>
                <w:szCs w:val="18"/>
              </w:rPr>
            </w:pPr>
            <w:r w:rsidRPr="0095562E">
              <w:rPr>
                <w:rStyle w:val="BookTitle"/>
                <w:sz w:val="18"/>
                <w:szCs w:val="18"/>
              </w:rPr>
              <w:t>0.44</w:t>
            </w:r>
          </w:p>
        </w:tc>
        <w:tc>
          <w:tcPr>
            <w:tcW w:w="396" w:type="pct"/>
            <w:tcBorders>
              <w:top w:val="nil"/>
              <w:left w:val="nil"/>
              <w:bottom w:val="nil"/>
              <w:right w:val="nil"/>
            </w:tcBorders>
            <w:shd w:val="clear" w:color="auto" w:fill="auto"/>
            <w:noWrap/>
            <w:vAlign w:val="center"/>
            <w:hideMark/>
          </w:tcPr>
          <w:p w14:paraId="0C3F8312" w14:textId="77777777" w:rsidR="0015270F" w:rsidRPr="0095562E" w:rsidRDefault="0015270F" w:rsidP="0095562E">
            <w:pPr>
              <w:spacing w:before="0" w:after="0"/>
              <w:rPr>
                <w:rStyle w:val="BookTitle"/>
                <w:sz w:val="18"/>
                <w:szCs w:val="18"/>
              </w:rPr>
            </w:pPr>
            <w:r w:rsidRPr="0095562E">
              <w:rPr>
                <w:rStyle w:val="BookTitle"/>
                <w:sz w:val="18"/>
                <w:szCs w:val="18"/>
              </w:rPr>
              <w:t>0.20</w:t>
            </w:r>
          </w:p>
        </w:tc>
      </w:tr>
      <w:tr w:rsidR="0015270F" w:rsidRPr="0095562E" w14:paraId="0C3F8323" w14:textId="77777777" w:rsidTr="0015270F">
        <w:trPr>
          <w:trHeight w:val="20"/>
        </w:trPr>
        <w:tc>
          <w:tcPr>
            <w:tcW w:w="360" w:type="pct"/>
            <w:tcBorders>
              <w:top w:val="nil"/>
              <w:left w:val="nil"/>
              <w:bottom w:val="nil"/>
              <w:right w:val="nil"/>
            </w:tcBorders>
            <w:shd w:val="clear" w:color="auto" w:fill="auto"/>
            <w:noWrap/>
            <w:vAlign w:val="center"/>
            <w:hideMark/>
          </w:tcPr>
          <w:p w14:paraId="0C3F8314" w14:textId="77777777" w:rsidR="0015270F" w:rsidRPr="0095562E" w:rsidRDefault="0015270F" w:rsidP="0095562E">
            <w:pPr>
              <w:spacing w:before="0" w:after="0"/>
              <w:rPr>
                <w:rStyle w:val="BookTitle"/>
                <w:sz w:val="18"/>
                <w:szCs w:val="18"/>
              </w:rPr>
            </w:pPr>
            <w:r w:rsidRPr="0095562E">
              <w:rPr>
                <w:rStyle w:val="BookTitle"/>
                <w:sz w:val="18"/>
                <w:szCs w:val="18"/>
              </w:rPr>
              <w:t>TDN</w:t>
            </w:r>
          </w:p>
        </w:tc>
        <w:tc>
          <w:tcPr>
            <w:tcW w:w="324" w:type="pct"/>
            <w:tcBorders>
              <w:top w:val="nil"/>
              <w:left w:val="nil"/>
              <w:bottom w:val="nil"/>
              <w:right w:val="nil"/>
            </w:tcBorders>
            <w:shd w:val="clear" w:color="auto" w:fill="auto"/>
            <w:noWrap/>
            <w:vAlign w:val="center"/>
            <w:hideMark/>
          </w:tcPr>
          <w:p w14:paraId="0C3F8315" w14:textId="77777777" w:rsidR="0015270F" w:rsidRPr="0095562E" w:rsidRDefault="0015270F" w:rsidP="0095562E">
            <w:pPr>
              <w:spacing w:before="0" w:after="0"/>
              <w:rPr>
                <w:rStyle w:val="BookTitle"/>
                <w:sz w:val="18"/>
                <w:szCs w:val="18"/>
              </w:rPr>
            </w:pPr>
            <w:r w:rsidRPr="0095562E">
              <w:rPr>
                <w:rStyle w:val="BookTitle"/>
                <w:sz w:val="18"/>
                <w:szCs w:val="18"/>
              </w:rPr>
              <w:t>-0.57</w:t>
            </w:r>
          </w:p>
        </w:tc>
        <w:tc>
          <w:tcPr>
            <w:tcW w:w="360" w:type="pct"/>
            <w:tcBorders>
              <w:top w:val="nil"/>
              <w:left w:val="nil"/>
              <w:bottom w:val="nil"/>
              <w:right w:val="nil"/>
            </w:tcBorders>
            <w:shd w:val="clear" w:color="auto" w:fill="auto"/>
            <w:noWrap/>
            <w:vAlign w:val="center"/>
            <w:hideMark/>
          </w:tcPr>
          <w:p w14:paraId="0C3F8316"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center"/>
            <w:hideMark/>
          </w:tcPr>
          <w:p w14:paraId="0C3F8317"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318"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319"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000000" w:fill="FFFF00"/>
            <w:noWrap/>
            <w:vAlign w:val="center"/>
            <w:hideMark/>
          </w:tcPr>
          <w:p w14:paraId="0C3F831A" w14:textId="77777777" w:rsidR="0015270F" w:rsidRPr="0095562E" w:rsidRDefault="0015270F" w:rsidP="0095562E">
            <w:pPr>
              <w:spacing w:before="0" w:after="0"/>
              <w:rPr>
                <w:rStyle w:val="BookTitle"/>
                <w:sz w:val="18"/>
                <w:szCs w:val="18"/>
              </w:rPr>
            </w:pPr>
            <w:r w:rsidRPr="0095562E">
              <w:rPr>
                <w:rStyle w:val="BookTitle"/>
                <w:sz w:val="18"/>
                <w:szCs w:val="18"/>
              </w:rPr>
              <w:t>0.79</w:t>
            </w:r>
          </w:p>
        </w:tc>
        <w:tc>
          <w:tcPr>
            <w:tcW w:w="324" w:type="pct"/>
            <w:tcBorders>
              <w:top w:val="nil"/>
              <w:left w:val="nil"/>
              <w:bottom w:val="nil"/>
              <w:right w:val="nil"/>
            </w:tcBorders>
            <w:shd w:val="clear" w:color="auto" w:fill="auto"/>
            <w:noWrap/>
            <w:vAlign w:val="center"/>
            <w:hideMark/>
          </w:tcPr>
          <w:p w14:paraId="0C3F831B"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31C"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000000" w:fill="FFFF00"/>
            <w:noWrap/>
            <w:vAlign w:val="center"/>
            <w:hideMark/>
          </w:tcPr>
          <w:p w14:paraId="0C3F831D" w14:textId="77777777" w:rsidR="0015270F" w:rsidRPr="0095562E" w:rsidRDefault="0015270F" w:rsidP="0095562E">
            <w:pPr>
              <w:spacing w:before="0" w:after="0"/>
              <w:rPr>
                <w:rStyle w:val="BookTitle"/>
                <w:sz w:val="18"/>
                <w:szCs w:val="18"/>
              </w:rPr>
            </w:pPr>
            <w:r w:rsidRPr="0095562E">
              <w:rPr>
                <w:rStyle w:val="BookTitle"/>
                <w:sz w:val="18"/>
                <w:szCs w:val="18"/>
              </w:rPr>
              <w:t>0.60</w:t>
            </w:r>
          </w:p>
        </w:tc>
        <w:tc>
          <w:tcPr>
            <w:tcW w:w="324" w:type="pct"/>
            <w:tcBorders>
              <w:top w:val="nil"/>
              <w:left w:val="nil"/>
              <w:bottom w:val="nil"/>
              <w:right w:val="nil"/>
            </w:tcBorders>
            <w:shd w:val="clear" w:color="auto" w:fill="auto"/>
            <w:noWrap/>
            <w:vAlign w:val="center"/>
            <w:hideMark/>
          </w:tcPr>
          <w:p w14:paraId="0C3F831E" w14:textId="77777777" w:rsidR="0015270F" w:rsidRPr="0095562E" w:rsidRDefault="0015270F" w:rsidP="0095562E">
            <w:pPr>
              <w:spacing w:before="0" w:after="0"/>
              <w:rPr>
                <w:rStyle w:val="BookTitle"/>
                <w:sz w:val="18"/>
                <w:szCs w:val="18"/>
              </w:rPr>
            </w:pPr>
            <w:r w:rsidRPr="0095562E">
              <w:rPr>
                <w:rStyle w:val="BookTitle"/>
                <w:sz w:val="18"/>
                <w:szCs w:val="18"/>
              </w:rPr>
              <w:t>0.57</w:t>
            </w:r>
          </w:p>
        </w:tc>
        <w:tc>
          <w:tcPr>
            <w:tcW w:w="324" w:type="pct"/>
            <w:tcBorders>
              <w:top w:val="nil"/>
              <w:left w:val="nil"/>
              <w:bottom w:val="nil"/>
              <w:right w:val="nil"/>
            </w:tcBorders>
            <w:shd w:val="clear" w:color="auto" w:fill="auto"/>
            <w:noWrap/>
            <w:vAlign w:val="center"/>
            <w:hideMark/>
          </w:tcPr>
          <w:p w14:paraId="0C3F831F" w14:textId="77777777" w:rsidR="0015270F" w:rsidRPr="0095562E" w:rsidRDefault="0015270F" w:rsidP="0095562E">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center"/>
            <w:hideMark/>
          </w:tcPr>
          <w:p w14:paraId="0C3F8320"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auto" w:fill="auto"/>
            <w:noWrap/>
            <w:vAlign w:val="center"/>
            <w:hideMark/>
          </w:tcPr>
          <w:p w14:paraId="0C3F8321"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96" w:type="pct"/>
            <w:tcBorders>
              <w:top w:val="nil"/>
              <w:left w:val="nil"/>
              <w:bottom w:val="nil"/>
              <w:right w:val="nil"/>
            </w:tcBorders>
            <w:shd w:val="clear" w:color="auto" w:fill="auto"/>
            <w:noWrap/>
            <w:vAlign w:val="center"/>
            <w:hideMark/>
          </w:tcPr>
          <w:p w14:paraId="0C3F8322" w14:textId="77777777" w:rsidR="0015270F" w:rsidRPr="0095562E" w:rsidRDefault="0015270F" w:rsidP="0095562E">
            <w:pPr>
              <w:spacing w:before="0" w:after="0"/>
              <w:rPr>
                <w:rStyle w:val="BookTitle"/>
                <w:sz w:val="18"/>
                <w:szCs w:val="18"/>
              </w:rPr>
            </w:pPr>
            <w:r w:rsidRPr="0095562E">
              <w:rPr>
                <w:rStyle w:val="BookTitle"/>
                <w:sz w:val="18"/>
                <w:szCs w:val="18"/>
              </w:rPr>
              <w:t>0.31</w:t>
            </w:r>
          </w:p>
        </w:tc>
      </w:tr>
      <w:tr w:rsidR="0015270F" w:rsidRPr="0095562E" w14:paraId="0C3F8333" w14:textId="77777777" w:rsidTr="0015270F">
        <w:trPr>
          <w:trHeight w:val="20"/>
        </w:trPr>
        <w:tc>
          <w:tcPr>
            <w:tcW w:w="360" w:type="pct"/>
            <w:tcBorders>
              <w:top w:val="nil"/>
              <w:left w:val="nil"/>
              <w:bottom w:val="nil"/>
              <w:right w:val="nil"/>
            </w:tcBorders>
            <w:shd w:val="clear" w:color="auto" w:fill="auto"/>
            <w:noWrap/>
            <w:vAlign w:val="center"/>
            <w:hideMark/>
          </w:tcPr>
          <w:p w14:paraId="0C3F8324" w14:textId="77777777" w:rsidR="0015270F" w:rsidRPr="0095562E" w:rsidRDefault="0015270F" w:rsidP="0095562E">
            <w:pPr>
              <w:spacing w:before="0" w:after="0"/>
              <w:rPr>
                <w:rStyle w:val="BookTitle"/>
                <w:sz w:val="18"/>
                <w:szCs w:val="18"/>
              </w:rPr>
            </w:pPr>
            <w:r w:rsidRPr="0095562E">
              <w:rPr>
                <w:rStyle w:val="BookTitle"/>
                <w:sz w:val="18"/>
                <w:szCs w:val="18"/>
              </w:rPr>
              <w:t>DIN</w:t>
            </w:r>
          </w:p>
        </w:tc>
        <w:tc>
          <w:tcPr>
            <w:tcW w:w="324" w:type="pct"/>
            <w:tcBorders>
              <w:top w:val="nil"/>
              <w:left w:val="nil"/>
              <w:bottom w:val="nil"/>
              <w:right w:val="nil"/>
            </w:tcBorders>
            <w:shd w:val="clear" w:color="auto" w:fill="auto"/>
            <w:noWrap/>
            <w:vAlign w:val="center"/>
            <w:hideMark/>
          </w:tcPr>
          <w:p w14:paraId="0C3F8325" w14:textId="77777777" w:rsidR="0015270F" w:rsidRPr="0095562E" w:rsidRDefault="0015270F" w:rsidP="0095562E">
            <w:pPr>
              <w:spacing w:before="0" w:after="0"/>
              <w:rPr>
                <w:rStyle w:val="BookTitle"/>
                <w:sz w:val="18"/>
                <w:szCs w:val="18"/>
              </w:rPr>
            </w:pPr>
            <w:r w:rsidRPr="0095562E">
              <w:rPr>
                <w:rStyle w:val="BookTitle"/>
                <w:sz w:val="18"/>
                <w:szCs w:val="18"/>
              </w:rPr>
              <w:t>-0.46</w:t>
            </w:r>
          </w:p>
        </w:tc>
        <w:tc>
          <w:tcPr>
            <w:tcW w:w="360" w:type="pct"/>
            <w:tcBorders>
              <w:top w:val="nil"/>
              <w:left w:val="nil"/>
              <w:bottom w:val="nil"/>
              <w:right w:val="nil"/>
            </w:tcBorders>
            <w:shd w:val="clear" w:color="auto" w:fill="auto"/>
            <w:noWrap/>
            <w:vAlign w:val="center"/>
            <w:hideMark/>
          </w:tcPr>
          <w:p w14:paraId="0C3F8326" w14:textId="77777777" w:rsidR="0015270F" w:rsidRPr="0095562E" w:rsidRDefault="0015270F" w:rsidP="0095562E">
            <w:pPr>
              <w:spacing w:before="0" w:after="0"/>
              <w:rPr>
                <w:rStyle w:val="BookTitle"/>
                <w:sz w:val="18"/>
                <w:szCs w:val="18"/>
              </w:rPr>
            </w:pPr>
            <w:r w:rsidRPr="0095562E">
              <w:rPr>
                <w:rStyle w:val="BookTitle"/>
                <w:sz w:val="18"/>
                <w:szCs w:val="18"/>
              </w:rPr>
              <w:t>0.48</w:t>
            </w:r>
          </w:p>
        </w:tc>
        <w:tc>
          <w:tcPr>
            <w:tcW w:w="324" w:type="pct"/>
            <w:tcBorders>
              <w:top w:val="nil"/>
              <w:left w:val="nil"/>
              <w:bottom w:val="nil"/>
              <w:right w:val="nil"/>
            </w:tcBorders>
            <w:shd w:val="clear" w:color="auto" w:fill="auto"/>
            <w:noWrap/>
            <w:vAlign w:val="center"/>
            <w:hideMark/>
          </w:tcPr>
          <w:p w14:paraId="0C3F8327"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center"/>
            <w:hideMark/>
          </w:tcPr>
          <w:p w14:paraId="0C3F8328"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center"/>
            <w:hideMark/>
          </w:tcPr>
          <w:p w14:paraId="0C3F8329" w14:textId="77777777" w:rsidR="0015270F" w:rsidRPr="0095562E" w:rsidRDefault="0015270F" w:rsidP="0095562E">
            <w:pPr>
              <w:spacing w:before="0" w:after="0"/>
              <w:rPr>
                <w:rStyle w:val="BookTitle"/>
                <w:sz w:val="18"/>
                <w:szCs w:val="18"/>
              </w:rPr>
            </w:pPr>
            <w:r w:rsidRPr="0095562E">
              <w:rPr>
                <w:rStyle w:val="BookTitle"/>
                <w:sz w:val="18"/>
                <w:szCs w:val="18"/>
              </w:rPr>
              <w:t>0.06</w:t>
            </w:r>
          </w:p>
        </w:tc>
        <w:tc>
          <w:tcPr>
            <w:tcW w:w="324" w:type="pct"/>
            <w:tcBorders>
              <w:top w:val="nil"/>
              <w:left w:val="nil"/>
              <w:bottom w:val="nil"/>
              <w:right w:val="nil"/>
            </w:tcBorders>
            <w:shd w:val="clear" w:color="auto" w:fill="auto"/>
            <w:noWrap/>
            <w:vAlign w:val="center"/>
            <w:hideMark/>
          </w:tcPr>
          <w:p w14:paraId="0C3F832A"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center"/>
            <w:hideMark/>
          </w:tcPr>
          <w:p w14:paraId="0C3F832B"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center"/>
            <w:hideMark/>
          </w:tcPr>
          <w:p w14:paraId="0C3F832C"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32D"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center"/>
            <w:hideMark/>
          </w:tcPr>
          <w:p w14:paraId="0C3F832E" w14:textId="77777777" w:rsidR="0015270F" w:rsidRPr="0095562E" w:rsidRDefault="0015270F" w:rsidP="0095562E">
            <w:pPr>
              <w:spacing w:before="0" w:after="0"/>
              <w:rPr>
                <w:rStyle w:val="BookTitle"/>
                <w:sz w:val="18"/>
                <w:szCs w:val="18"/>
              </w:rPr>
            </w:pPr>
            <w:r w:rsidRPr="0095562E">
              <w:rPr>
                <w:rStyle w:val="BookTitle"/>
                <w:sz w:val="18"/>
                <w:szCs w:val="18"/>
              </w:rPr>
              <w:t>0.26</w:t>
            </w:r>
          </w:p>
        </w:tc>
        <w:tc>
          <w:tcPr>
            <w:tcW w:w="324" w:type="pct"/>
            <w:tcBorders>
              <w:top w:val="nil"/>
              <w:left w:val="nil"/>
              <w:bottom w:val="nil"/>
              <w:right w:val="nil"/>
            </w:tcBorders>
            <w:shd w:val="clear" w:color="auto" w:fill="auto"/>
            <w:noWrap/>
            <w:vAlign w:val="center"/>
            <w:hideMark/>
          </w:tcPr>
          <w:p w14:paraId="0C3F832F" w14:textId="77777777" w:rsidR="0015270F" w:rsidRPr="0095562E" w:rsidRDefault="0015270F" w:rsidP="0095562E">
            <w:pPr>
              <w:spacing w:before="0" w:after="0"/>
              <w:rPr>
                <w:rStyle w:val="BookTitle"/>
                <w:sz w:val="18"/>
                <w:szCs w:val="18"/>
              </w:rPr>
            </w:pPr>
            <w:r w:rsidRPr="0095562E">
              <w:rPr>
                <w:rStyle w:val="BookTitle"/>
                <w:sz w:val="18"/>
                <w:szCs w:val="18"/>
              </w:rPr>
              <w:t>0.37</w:t>
            </w:r>
          </w:p>
        </w:tc>
        <w:tc>
          <w:tcPr>
            <w:tcW w:w="324" w:type="pct"/>
            <w:tcBorders>
              <w:top w:val="nil"/>
              <w:left w:val="nil"/>
              <w:bottom w:val="nil"/>
              <w:right w:val="nil"/>
            </w:tcBorders>
            <w:shd w:val="clear" w:color="auto" w:fill="auto"/>
            <w:noWrap/>
            <w:vAlign w:val="center"/>
            <w:hideMark/>
          </w:tcPr>
          <w:p w14:paraId="0C3F8330"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331"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96" w:type="pct"/>
            <w:tcBorders>
              <w:top w:val="nil"/>
              <w:left w:val="nil"/>
              <w:bottom w:val="nil"/>
              <w:right w:val="nil"/>
            </w:tcBorders>
            <w:shd w:val="clear" w:color="auto" w:fill="auto"/>
            <w:noWrap/>
            <w:vAlign w:val="center"/>
            <w:hideMark/>
          </w:tcPr>
          <w:p w14:paraId="0C3F8332" w14:textId="77777777" w:rsidR="0015270F" w:rsidRPr="0095562E" w:rsidRDefault="0015270F" w:rsidP="0095562E">
            <w:pPr>
              <w:spacing w:before="0" w:after="0"/>
              <w:rPr>
                <w:rStyle w:val="BookTitle"/>
                <w:sz w:val="18"/>
                <w:szCs w:val="18"/>
              </w:rPr>
            </w:pPr>
            <w:r w:rsidRPr="0095562E">
              <w:rPr>
                <w:rStyle w:val="BookTitle"/>
                <w:sz w:val="18"/>
                <w:szCs w:val="18"/>
              </w:rPr>
              <w:t>0.56</w:t>
            </w:r>
          </w:p>
        </w:tc>
      </w:tr>
      <w:tr w:rsidR="0015270F" w:rsidRPr="0095562E" w14:paraId="0C3F8343" w14:textId="77777777" w:rsidTr="0015270F">
        <w:trPr>
          <w:trHeight w:val="20"/>
        </w:trPr>
        <w:tc>
          <w:tcPr>
            <w:tcW w:w="360" w:type="pct"/>
            <w:tcBorders>
              <w:top w:val="nil"/>
              <w:left w:val="nil"/>
              <w:bottom w:val="nil"/>
              <w:right w:val="nil"/>
            </w:tcBorders>
            <w:shd w:val="clear" w:color="auto" w:fill="auto"/>
            <w:noWrap/>
            <w:vAlign w:val="center"/>
            <w:hideMark/>
          </w:tcPr>
          <w:p w14:paraId="0C3F8334" w14:textId="77777777" w:rsidR="0015270F" w:rsidRPr="0095562E" w:rsidRDefault="0015270F" w:rsidP="0095562E">
            <w:pPr>
              <w:spacing w:before="0" w:after="0"/>
              <w:rPr>
                <w:rStyle w:val="BookTitle"/>
                <w:sz w:val="18"/>
                <w:szCs w:val="18"/>
              </w:rPr>
            </w:pPr>
            <w:r w:rsidRPr="0095562E">
              <w:rPr>
                <w:rStyle w:val="BookTitle"/>
                <w:sz w:val="18"/>
                <w:szCs w:val="18"/>
              </w:rPr>
              <w:t>TP</w:t>
            </w:r>
          </w:p>
        </w:tc>
        <w:tc>
          <w:tcPr>
            <w:tcW w:w="324" w:type="pct"/>
            <w:tcBorders>
              <w:top w:val="nil"/>
              <w:left w:val="nil"/>
              <w:bottom w:val="nil"/>
              <w:right w:val="nil"/>
            </w:tcBorders>
            <w:shd w:val="clear" w:color="auto" w:fill="auto"/>
            <w:noWrap/>
            <w:vAlign w:val="center"/>
            <w:hideMark/>
          </w:tcPr>
          <w:p w14:paraId="0C3F8335" w14:textId="77777777" w:rsidR="0015270F" w:rsidRPr="0095562E" w:rsidRDefault="0015270F" w:rsidP="0095562E">
            <w:pPr>
              <w:spacing w:before="0" w:after="0"/>
              <w:rPr>
                <w:rStyle w:val="BookTitle"/>
                <w:sz w:val="18"/>
                <w:szCs w:val="18"/>
              </w:rPr>
            </w:pPr>
            <w:r w:rsidRPr="0095562E">
              <w:rPr>
                <w:rStyle w:val="BookTitle"/>
                <w:sz w:val="18"/>
                <w:szCs w:val="18"/>
              </w:rPr>
              <w:t>-0.59</w:t>
            </w:r>
          </w:p>
        </w:tc>
        <w:tc>
          <w:tcPr>
            <w:tcW w:w="360" w:type="pct"/>
            <w:tcBorders>
              <w:top w:val="nil"/>
              <w:left w:val="nil"/>
              <w:bottom w:val="nil"/>
              <w:right w:val="nil"/>
            </w:tcBorders>
            <w:shd w:val="clear" w:color="auto" w:fill="auto"/>
            <w:noWrap/>
            <w:vAlign w:val="center"/>
            <w:hideMark/>
          </w:tcPr>
          <w:p w14:paraId="0C3F8336"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center"/>
            <w:hideMark/>
          </w:tcPr>
          <w:p w14:paraId="0C3F8337"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center"/>
            <w:hideMark/>
          </w:tcPr>
          <w:p w14:paraId="0C3F8338"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339"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000000" w:fill="FFFF00"/>
            <w:noWrap/>
            <w:vAlign w:val="center"/>
            <w:hideMark/>
          </w:tcPr>
          <w:p w14:paraId="0C3F833A" w14:textId="77777777" w:rsidR="0015270F" w:rsidRPr="0095562E" w:rsidRDefault="0015270F" w:rsidP="0095562E">
            <w:pPr>
              <w:spacing w:before="0" w:after="0"/>
              <w:rPr>
                <w:rStyle w:val="BookTitle"/>
                <w:sz w:val="18"/>
                <w:szCs w:val="18"/>
              </w:rPr>
            </w:pPr>
            <w:r w:rsidRPr="0095562E">
              <w:rPr>
                <w:rStyle w:val="BookTitle"/>
                <w:sz w:val="18"/>
                <w:szCs w:val="18"/>
              </w:rPr>
              <w:t>0.65</w:t>
            </w:r>
          </w:p>
        </w:tc>
        <w:tc>
          <w:tcPr>
            <w:tcW w:w="324" w:type="pct"/>
            <w:tcBorders>
              <w:top w:val="nil"/>
              <w:left w:val="nil"/>
              <w:bottom w:val="nil"/>
              <w:right w:val="nil"/>
            </w:tcBorders>
            <w:shd w:val="clear" w:color="000000" w:fill="FFFF00"/>
            <w:noWrap/>
            <w:vAlign w:val="center"/>
            <w:hideMark/>
          </w:tcPr>
          <w:p w14:paraId="0C3F833B" w14:textId="77777777" w:rsidR="0015270F" w:rsidRPr="0095562E" w:rsidRDefault="0015270F" w:rsidP="0095562E">
            <w:pPr>
              <w:spacing w:before="0" w:after="0"/>
              <w:rPr>
                <w:rStyle w:val="BookTitle"/>
                <w:sz w:val="18"/>
                <w:szCs w:val="18"/>
              </w:rPr>
            </w:pPr>
            <w:r w:rsidRPr="0095562E">
              <w:rPr>
                <w:rStyle w:val="BookTitle"/>
                <w:sz w:val="18"/>
                <w:szCs w:val="18"/>
              </w:rPr>
              <w:t>0.60</w:t>
            </w:r>
          </w:p>
        </w:tc>
        <w:tc>
          <w:tcPr>
            <w:tcW w:w="324" w:type="pct"/>
            <w:tcBorders>
              <w:top w:val="nil"/>
              <w:left w:val="nil"/>
              <w:bottom w:val="nil"/>
              <w:right w:val="nil"/>
            </w:tcBorders>
            <w:shd w:val="clear" w:color="auto" w:fill="auto"/>
            <w:noWrap/>
            <w:vAlign w:val="center"/>
            <w:hideMark/>
          </w:tcPr>
          <w:p w14:paraId="0C3F833C"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center"/>
            <w:hideMark/>
          </w:tcPr>
          <w:p w14:paraId="0C3F833D"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center"/>
            <w:hideMark/>
          </w:tcPr>
          <w:p w14:paraId="0C3F833E" w14:textId="77777777" w:rsidR="0015270F" w:rsidRPr="0095562E" w:rsidRDefault="0015270F" w:rsidP="0095562E">
            <w:pPr>
              <w:spacing w:before="0" w:after="0"/>
              <w:rPr>
                <w:rStyle w:val="BookTitle"/>
                <w:sz w:val="18"/>
                <w:szCs w:val="18"/>
              </w:rPr>
            </w:pPr>
            <w:r w:rsidRPr="0095562E">
              <w:rPr>
                <w:rStyle w:val="BookTitle"/>
                <w:sz w:val="18"/>
                <w:szCs w:val="18"/>
              </w:rPr>
              <w:t>0.82</w:t>
            </w:r>
          </w:p>
        </w:tc>
        <w:tc>
          <w:tcPr>
            <w:tcW w:w="324" w:type="pct"/>
            <w:tcBorders>
              <w:top w:val="nil"/>
              <w:left w:val="nil"/>
              <w:bottom w:val="nil"/>
              <w:right w:val="nil"/>
            </w:tcBorders>
            <w:shd w:val="clear" w:color="auto" w:fill="auto"/>
            <w:noWrap/>
            <w:vAlign w:val="center"/>
            <w:hideMark/>
          </w:tcPr>
          <w:p w14:paraId="0C3F833F" w14:textId="77777777" w:rsidR="0015270F" w:rsidRPr="0095562E" w:rsidRDefault="0015270F" w:rsidP="0095562E">
            <w:pPr>
              <w:spacing w:before="0" w:after="0"/>
              <w:rPr>
                <w:rStyle w:val="BookTitle"/>
                <w:sz w:val="18"/>
                <w:szCs w:val="18"/>
              </w:rPr>
            </w:pPr>
            <w:r w:rsidRPr="0095562E">
              <w:rPr>
                <w:rStyle w:val="BookTitle"/>
                <w:sz w:val="18"/>
                <w:szCs w:val="18"/>
              </w:rPr>
              <w:t>0.49</w:t>
            </w:r>
          </w:p>
        </w:tc>
        <w:tc>
          <w:tcPr>
            <w:tcW w:w="324" w:type="pct"/>
            <w:tcBorders>
              <w:top w:val="nil"/>
              <w:left w:val="nil"/>
              <w:bottom w:val="nil"/>
              <w:right w:val="nil"/>
            </w:tcBorders>
            <w:shd w:val="clear" w:color="auto" w:fill="auto"/>
            <w:noWrap/>
            <w:vAlign w:val="center"/>
            <w:hideMark/>
          </w:tcPr>
          <w:p w14:paraId="0C3F8340"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000000" w:fill="FFFF00"/>
            <w:noWrap/>
            <w:vAlign w:val="center"/>
            <w:hideMark/>
          </w:tcPr>
          <w:p w14:paraId="0C3F8341" w14:textId="77777777" w:rsidR="0015270F" w:rsidRPr="0095562E" w:rsidRDefault="0015270F" w:rsidP="0095562E">
            <w:pPr>
              <w:spacing w:before="0" w:after="0"/>
              <w:rPr>
                <w:rStyle w:val="BookTitle"/>
                <w:sz w:val="18"/>
                <w:szCs w:val="18"/>
              </w:rPr>
            </w:pPr>
            <w:r w:rsidRPr="0095562E">
              <w:rPr>
                <w:rStyle w:val="BookTitle"/>
                <w:sz w:val="18"/>
                <w:szCs w:val="18"/>
              </w:rPr>
              <w:t>0.75</w:t>
            </w:r>
          </w:p>
        </w:tc>
        <w:tc>
          <w:tcPr>
            <w:tcW w:w="396" w:type="pct"/>
            <w:tcBorders>
              <w:top w:val="nil"/>
              <w:left w:val="nil"/>
              <w:bottom w:val="nil"/>
              <w:right w:val="nil"/>
            </w:tcBorders>
            <w:shd w:val="clear" w:color="auto" w:fill="auto"/>
            <w:noWrap/>
            <w:vAlign w:val="center"/>
            <w:hideMark/>
          </w:tcPr>
          <w:p w14:paraId="0C3F8342" w14:textId="77777777" w:rsidR="0015270F" w:rsidRPr="0095562E" w:rsidRDefault="0015270F" w:rsidP="0095562E">
            <w:pPr>
              <w:spacing w:before="0" w:after="0"/>
              <w:rPr>
                <w:rStyle w:val="BookTitle"/>
                <w:sz w:val="18"/>
                <w:szCs w:val="18"/>
              </w:rPr>
            </w:pPr>
            <w:r w:rsidRPr="0095562E">
              <w:rPr>
                <w:rStyle w:val="BookTitle"/>
                <w:sz w:val="18"/>
                <w:szCs w:val="18"/>
              </w:rPr>
              <w:t>0.41</w:t>
            </w:r>
          </w:p>
        </w:tc>
      </w:tr>
      <w:tr w:rsidR="0015270F" w:rsidRPr="0095562E" w14:paraId="0C3F8353" w14:textId="77777777" w:rsidTr="0015270F">
        <w:trPr>
          <w:trHeight w:val="20"/>
        </w:trPr>
        <w:tc>
          <w:tcPr>
            <w:tcW w:w="360" w:type="pct"/>
            <w:tcBorders>
              <w:top w:val="nil"/>
              <w:left w:val="nil"/>
              <w:bottom w:val="nil"/>
              <w:right w:val="nil"/>
            </w:tcBorders>
            <w:shd w:val="clear" w:color="auto" w:fill="auto"/>
            <w:noWrap/>
            <w:vAlign w:val="center"/>
            <w:hideMark/>
          </w:tcPr>
          <w:p w14:paraId="0C3F8344" w14:textId="77777777" w:rsidR="0015270F" w:rsidRPr="0095562E" w:rsidRDefault="0015270F" w:rsidP="0095562E">
            <w:pPr>
              <w:spacing w:before="0" w:after="0"/>
              <w:rPr>
                <w:rStyle w:val="BookTitle"/>
                <w:sz w:val="18"/>
                <w:szCs w:val="18"/>
              </w:rPr>
            </w:pPr>
            <w:r w:rsidRPr="0095562E">
              <w:rPr>
                <w:rStyle w:val="BookTitle"/>
                <w:sz w:val="18"/>
                <w:szCs w:val="18"/>
              </w:rPr>
              <w:t>TDP</w:t>
            </w:r>
          </w:p>
        </w:tc>
        <w:tc>
          <w:tcPr>
            <w:tcW w:w="324" w:type="pct"/>
            <w:tcBorders>
              <w:top w:val="nil"/>
              <w:left w:val="nil"/>
              <w:bottom w:val="nil"/>
              <w:right w:val="nil"/>
            </w:tcBorders>
            <w:shd w:val="clear" w:color="000000" w:fill="FFFF00"/>
            <w:noWrap/>
            <w:vAlign w:val="center"/>
            <w:hideMark/>
          </w:tcPr>
          <w:p w14:paraId="0C3F8345" w14:textId="77777777" w:rsidR="0015270F" w:rsidRPr="0095562E" w:rsidRDefault="0015270F" w:rsidP="0095562E">
            <w:pPr>
              <w:spacing w:before="0" w:after="0"/>
              <w:rPr>
                <w:rStyle w:val="BookTitle"/>
                <w:sz w:val="18"/>
                <w:szCs w:val="18"/>
              </w:rPr>
            </w:pPr>
            <w:r w:rsidRPr="0095562E">
              <w:rPr>
                <w:rStyle w:val="BookTitle"/>
                <w:sz w:val="18"/>
                <w:szCs w:val="18"/>
              </w:rPr>
              <w:t>-0.61</w:t>
            </w:r>
          </w:p>
        </w:tc>
        <w:tc>
          <w:tcPr>
            <w:tcW w:w="360" w:type="pct"/>
            <w:tcBorders>
              <w:top w:val="nil"/>
              <w:left w:val="nil"/>
              <w:bottom w:val="nil"/>
              <w:right w:val="nil"/>
            </w:tcBorders>
            <w:shd w:val="clear" w:color="auto" w:fill="auto"/>
            <w:noWrap/>
            <w:vAlign w:val="center"/>
            <w:hideMark/>
          </w:tcPr>
          <w:p w14:paraId="0C3F8346"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center"/>
            <w:hideMark/>
          </w:tcPr>
          <w:p w14:paraId="0C3F8347"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4" w:type="pct"/>
            <w:tcBorders>
              <w:top w:val="nil"/>
              <w:left w:val="nil"/>
              <w:bottom w:val="nil"/>
              <w:right w:val="nil"/>
            </w:tcBorders>
            <w:shd w:val="clear" w:color="auto" w:fill="auto"/>
            <w:noWrap/>
            <w:vAlign w:val="center"/>
            <w:hideMark/>
          </w:tcPr>
          <w:p w14:paraId="0C3F8348"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center"/>
            <w:hideMark/>
          </w:tcPr>
          <w:p w14:paraId="0C3F8349"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center"/>
            <w:hideMark/>
          </w:tcPr>
          <w:p w14:paraId="0C3F834A" w14:textId="77777777" w:rsidR="0015270F" w:rsidRPr="0095562E" w:rsidRDefault="0015270F" w:rsidP="0095562E">
            <w:pPr>
              <w:spacing w:before="0" w:after="0"/>
              <w:rPr>
                <w:rStyle w:val="BookTitle"/>
                <w:sz w:val="18"/>
                <w:szCs w:val="18"/>
              </w:rPr>
            </w:pPr>
            <w:r w:rsidRPr="0095562E">
              <w:rPr>
                <w:rStyle w:val="BookTitle"/>
                <w:sz w:val="18"/>
                <w:szCs w:val="18"/>
              </w:rPr>
              <w:t>0.54</w:t>
            </w:r>
          </w:p>
        </w:tc>
        <w:tc>
          <w:tcPr>
            <w:tcW w:w="324" w:type="pct"/>
            <w:tcBorders>
              <w:top w:val="nil"/>
              <w:left w:val="nil"/>
              <w:bottom w:val="nil"/>
              <w:right w:val="nil"/>
            </w:tcBorders>
            <w:shd w:val="clear" w:color="auto" w:fill="auto"/>
            <w:noWrap/>
            <w:vAlign w:val="center"/>
            <w:hideMark/>
          </w:tcPr>
          <w:p w14:paraId="0C3F834B" w14:textId="77777777" w:rsidR="0015270F" w:rsidRPr="0095562E" w:rsidRDefault="0015270F" w:rsidP="0095562E">
            <w:pPr>
              <w:spacing w:before="0" w:after="0"/>
              <w:rPr>
                <w:rStyle w:val="BookTitle"/>
                <w:sz w:val="18"/>
                <w:szCs w:val="18"/>
              </w:rPr>
            </w:pPr>
            <w:r w:rsidRPr="0095562E">
              <w:rPr>
                <w:rStyle w:val="BookTitle"/>
                <w:sz w:val="18"/>
                <w:szCs w:val="18"/>
              </w:rPr>
              <w:t>0.57</w:t>
            </w:r>
          </w:p>
        </w:tc>
        <w:tc>
          <w:tcPr>
            <w:tcW w:w="324" w:type="pct"/>
            <w:tcBorders>
              <w:top w:val="nil"/>
              <w:left w:val="nil"/>
              <w:bottom w:val="nil"/>
              <w:right w:val="nil"/>
            </w:tcBorders>
            <w:shd w:val="clear" w:color="auto" w:fill="auto"/>
            <w:noWrap/>
            <w:vAlign w:val="center"/>
            <w:hideMark/>
          </w:tcPr>
          <w:p w14:paraId="0C3F834C" w14:textId="77777777" w:rsidR="0015270F" w:rsidRPr="0095562E" w:rsidRDefault="0015270F" w:rsidP="0095562E">
            <w:pPr>
              <w:spacing w:before="0" w:after="0"/>
              <w:rPr>
                <w:rStyle w:val="BookTitle"/>
                <w:sz w:val="18"/>
                <w:szCs w:val="18"/>
              </w:rPr>
            </w:pPr>
            <w:r w:rsidRPr="0095562E">
              <w:rPr>
                <w:rStyle w:val="BookTitle"/>
                <w:sz w:val="18"/>
                <w:szCs w:val="18"/>
              </w:rPr>
              <w:t>0.26</w:t>
            </w:r>
          </w:p>
        </w:tc>
        <w:tc>
          <w:tcPr>
            <w:tcW w:w="324" w:type="pct"/>
            <w:tcBorders>
              <w:top w:val="nil"/>
              <w:left w:val="nil"/>
              <w:bottom w:val="nil"/>
              <w:right w:val="nil"/>
            </w:tcBorders>
            <w:shd w:val="clear" w:color="000000" w:fill="FFFF00"/>
            <w:noWrap/>
            <w:vAlign w:val="center"/>
            <w:hideMark/>
          </w:tcPr>
          <w:p w14:paraId="0C3F834D" w14:textId="77777777" w:rsidR="0015270F" w:rsidRPr="0095562E" w:rsidRDefault="0015270F" w:rsidP="0095562E">
            <w:pPr>
              <w:spacing w:before="0" w:after="0"/>
              <w:rPr>
                <w:rStyle w:val="BookTitle"/>
                <w:sz w:val="18"/>
                <w:szCs w:val="18"/>
              </w:rPr>
            </w:pPr>
            <w:r w:rsidRPr="0095562E">
              <w:rPr>
                <w:rStyle w:val="BookTitle"/>
                <w:sz w:val="18"/>
                <w:szCs w:val="18"/>
              </w:rPr>
              <w:t>0.82</w:t>
            </w:r>
          </w:p>
        </w:tc>
        <w:tc>
          <w:tcPr>
            <w:tcW w:w="324" w:type="pct"/>
            <w:tcBorders>
              <w:top w:val="nil"/>
              <w:left w:val="nil"/>
              <w:bottom w:val="nil"/>
              <w:right w:val="nil"/>
            </w:tcBorders>
            <w:shd w:val="clear" w:color="auto" w:fill="auto"/>
            <w:noWrap/>
            <w:vAlign w:val="center"/>
            <w:hideMark/>
          </w:tcPr>
          <w:p w14:paraId="0C3F834E"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34F" w14:textId="77777777" w:rsidR="0015270F" w:rsidRPr="0095562E" w:rsidRDefault="0015270F" w:rsidP="0095562E">
            <w:pPr>
              <w:spacing w:before="0" w:after="0"/>
              <w:rPr>
                <w:rStyle w:val="BookTitle"/>
                <w:sz w:val="18"/>
                <w:szCs w:val="18"/>
              </w:rPr>
            </w:pPr>
            <w:r w:rsidRPr="0095562E">
              <w:rPr>
                <w:rStyle w:val="BookTitle"/>
                <w:sz w:val="18"/>
                <w:szCs w:val="18"/>
              </w:rPr>
              <w:t>0.57</w:t>
            </w:r>
          </w:p>
        </w:tc>
        <w:tc>
          <w:tcPr>
            <w:tcW w:w="324" w:type="pct"/>
            <w:tcBorders>
              <w:top w:val="nil"/>
              <w:left w:val="nil"/>
              <w:bottom w:val="nil"/>
              <w:right w:val="nil"/>
            </w:tcBorders>
            <w:shd w:val="clear" w:color="auto" w:fill="auto"/>
            <w:noWrap/>
            <w:vAlign w:val="center"/>
            <w:hideMark/>
          </w:tcPr>
          <w:p w14:paraId="0C3F8350" w14:textId="77777777" w:rsidR="0015270F" w:rsidRPr="0095562E" w:rsidRDefault="0015270F" w:rsidP="0095562E">
            <w:pPr>
              <w:spacing w:before="0" w:after="0"/>
              <w:rPr>
                <w:rStyle w:val="BookTitle"/>
                <w:sz w:val="18"/>
                <w:szCs w:val="18"/>
              </w:rPr>
            </w:pPr>
            <w:r w:rsidRPr="0095562E">
              <w:rPr>
                <w:rStyle w:val="BookTitle"/>
                <w:sz w:val="18"/>
                <w:szCs w:val="18"/>
              </w:rPr>
              <w:t>-0.26</w:t>
            </w:r>
          </w:p>
        </w:tc>
        <w:tc>
          <w:tcPr>
            <w:tcW w:w="324" w:type="pct"/>
            <w:tcBorders>
              <w:top w:val="nil"/>
              <w:left w:val="nil"/>
              <w:bottom w:val="nil"/>
              <w:right w:val="nil"/>
            </w:tcBorders>
            <w:shd w:val="clear" w:color="auto" w:fill="auto"/>
            <w:noWrap/>
            <w:vAlign w:val="center"/>
            <w:hideMark/>
          </w:tcPr>
          <w:p w14:paraId="0C3F8351" w14:textId="77777777" w:rsidR="0015270F" w:rsidRPr="0095562E" w:rsidRDefault="0015270F" w:rsidP="0095562E">
            <w:pPr>
              <w:spacing w:before="0" w:after="0"/>
              <w:rPr>
                <w:rStyle w:val="BookTitle"/>
                <w:sz w:val="18"/>
                <w:szCs w:val="18"/>
              </w:rPr>
            </w:pPr>
            <w:r w:rsidRPr="0095562E">
              <w:rPr>
                <w:rStyle w:val="BookTitle"/>
                <w:sz w:val="18"/>
                <w:szCs w:val="18"/>
              </w:rPr>
              <w:t>0.30</w:t>
            </w:r>
          </w:p>
        </w:tc>
        <w:tc>
          <w:tcPr>
            <w:tcW w:w="396" w:type="pct"/>
            <w:tcBorders>
              <w:top w:val="nil"/>
              <w:left w:val="nil"/>
              <w:bottom w:val="nil"/>
              <w:right w:val="nil"/>
            </w:tcBorders>
            <w:shd w:val="clear" w:color="auto" w:fill="auto"/>
            <w:noWrap/>
            <w:vAlign w:val="center"/>
            <w:hideMark/>
          </w:tcPr>
          <w:p w14:paraId="0C3F8352" w14:textId="77777777" w:rsidR="0015270F" w:rsidRPr="0095562E" w:rsidRDefault="0015270F" w:rsidP="0095562E">
            <w:pPr>
              <w:spacing w:before="0" w:after="0"/>
              <w:rPr>
                <w:rStyle w:val="BookTitle"/>
                <w:sz w:val="18"/>
                <w:szCs w:val="18"/>
              </w:rPr>
            </w:pPr>
            <w:r w:rsidRPr="0095562E">
              <w:rPr>
                <w:rStyle w:val="BookTitle"/>
                <w:sz w:val="18"/>
                <w:szCs w:val="18"/>
              </w:rPr>
              <w:t>0.47</w:t>
            </w:r>
          </w:p>
        </w:tc>
      </w:tr>
      <w:tr w:rsidR="0015270F" w:rsidRPr="0095562E" w14:paraId="0C3F8363" w14:textId="77777777" w:rsidTr="0015270F">
        <w:trPr>
          <w:trHeight w:val="20"/>
        </w:trPr>
        <w:tc>
          <w:tcPr>
            <w:tcW w:w="360" w:type="pct"/>
            <w:tcBorders>
              <w:top w:val="nil"/>
              <w:left w:val="nil"/>
              <w:bottom w:val="nil"/>
              <w:right w:val="nil"/>
            </w:tcBorders>
            <w:shd w:val="clear" w:color="auto" w:fill="auto"/>
            <w:noWrap/>
            <w:vAlign w:val="center"/>
            <w:hideMark/>
          </w:tcPr>
          <w:p w14:paraId="0C3F8354" w14:textId="77777777" w:rsidR="0015270F" w:rsidRPr="0095562E" w:rsidRDefault="0015270F" w:rsidP="0095562E">
            <w:pPr>
              <w:spacing w:before="0" w:after="0"/>
              <w:rPr>
                <w:rStyle w:val="BookTitle"/>
                <w:sz w:val="18"/>
                <w:szCs w:val="18"/>
              </w:rPr>
            </w:pPr>
            <w:r w:rsidRPr="0095562E">
              <w:rPr>
                <w:rStyle w:val="BookTitle"/>
                <w:sz w:val="18"/>
                <w:szCs w:val="18"/>
              </w:rPr>
              <w:t>DIP</w:t>
            </w:r>
          </w:p>
        </w:tc>
        <w:tc>
          <w:tcPr>
            <w:tcW w:w="324" w:type="pct"/>
            <w:tcBorders>
              <w:top w:val="nil"/>
              <w:left w:val="nil"/>
              <w:bottom w:val="nil"/>
              <w:right w:val="nil"/>
            </w:tcBorders>
            <w:shd w:val="clear" w:color="auto" w:fill="auto"/>
            <w:noWrap/>
            <w:vAlign w:val="center"/>
            <w:hideMark/>
          </w:tcPr>
          <w:p w14:paraId="0C3F8355" w14:textId="77777777" w:rsidR="0015270F" w:rsidRPr="0095562E" w:rsidRDefault="0015270F" w:rsidP="0095562E">
            <w:pPr>
              <w:spacing w:before="0" w:after="0"/>
              <w:rPr>
                <w:rStyle w:val="BookTitle"/>
                <w:sz w:val="18"/>
                <w:szCs w:val="18"/>
              </w:rPr>
            </w:pPr>
            <w:r w:rsidRPr="0095562E">
              <w:rPr>
                <w:rStyle w:val="BookTitle"/>
                <w:sz w:val="18"/>
                <w:szCs w:val="18"/>
              </w:rPr>
              <w:t>-0.40</w:t>
            </w:r>
          </w:p>
        </w:tc>
        <w:tc>
          <w:tcPr>
            <w:tcW w:w="360" w:type="pct"/>
            <w:tcBorders>
              <w:top w:val="nil"/>
              <w:left w:val="nil"/>
              <w:bottom w:val="nil"/>
              <w:right w:val="nil"/>
            </w:tcBorders>
            <w:shd w:val="clear" w:color="auto" w:fill="auto"/>
            <w:noWrap/>
            <w:vAlign w:val="center"/>
            <w:hideMark/>
          </w:tcPr>
          <w:p w14:paraId="0C3F8356"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center"/>
            <w:hideMark/>
          </w:tcPr>
          <w:p w14:paraId="0C3F8357"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center"/>
            <w:hideMark/>
          </w:tcPr>
          <w:p w14:paraId="0C3F8358"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center"/>
            <w:hideMark/>
          </w:tcPr>
          <w:p w14:paraId="0C3F8359"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4" w:type="pct"/>
            <w:tcBorders>
              <w:top w:val="nil"/>
              <w:left w:val="nil"/>
              <w:bottom w:val="nil"/>
              <w:right w:val="nil"/>
            </w:tcBorders>
            <w:shd w:val="clear" w:color="auto" w:fill="auto"/>
            <w:noWrap/>
            <w:vAlign w:val="center"/>
            <w:hideMark/>
          </w:tcPr>
          <w:p w14:paraId="0C3F835A" w14:textId="77777777" w:rsidR="0015270F" w:rsidRPr="0095562E" w:rsidRDefault="0015270F" w:rsidP="0095562E">
            <w:pPr>
              <w:spacing w:before="0" w:after="0"/>
              <w:rPr>
                <w:rStyle w:val="BookTitle"/>
                <w:sz w:val="18"/>
                <w:szCs w:val="18"/>
              </w:rPr>
            </w:pPr>
            <w:r w:rsidRPr="0095562E">
              <w:rPr>
                <w:rStyle w:val="BookTitle"/>
                <w:sz w:val="18"/>
                <w:szCs w:val="18"/>
              </w:rPr>
              <w:t>0.36</w:t>
            </w:r>
          </w:p>
        </w:tc>
        <w:tc>
          <w:tcPr>
            <w:tcW w:w="324" w:type="pct"/>
            <w:tcBorders>
              <w:top w:val="nil"/>
              <w:left w:val="nil"/>
              <w:bottom w:val="nil"/>
              <w:right w:val="nil"/>
            </w:tcBorders>
            <w:shd w:val="clear" w:color="auto" w:fill="auto"/>
            <w:noWrap/>
            <w:vAlign w:val="center"/>
            <w:hideMark/>
          </w:tcPr>
          <w:p w14:paraId="0C3F835B" w14:textId="77777777" w:rsidR="0015270F" w:rsidRPr="0095562E" w:rsidRDefault="0015270F" w:rsidP="0095562E">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center"/>
            <w:hideMark/>
          </w:tcPr>
          <w:p w14:paraId="0C3F835C" w14:textId="77777777" w:rsidR="0015270F" w:rsidRPr="0095562E" w:rsidRDefault="0015270F" w:rsidP="0095562E">
            <w:pPr>
              <w:spacing w:before="0" w:after="0"/>
              <w:rPr>
                <w:rStyle w:val="BookTitle"/>
                <w:sz w:val="18"/>
                <w:szCs w:val="18"/>
              </w:rPr>
            </w:pPr>
            <w:r w:rsidRPr="0095562E">
              <w:rPr>
                <w:rStyle w:val="BookTitle"/>
                <w:sz w:val="18"/>
                <w:szCs w:val="18"/>
              </w:rPr>
              <w:t>0.37</w:t>
            </w:r>
          </w:p>
        </w:tc>
        <w:tc>
          <w:tcPr>
            <w:tcW w:w="324" w:type="pct"/>
            <w:tcBorders>
              <w:top w:val="nil"/>
              <w:left w:val="nil"/>
              <w:bottom w:val="nil"/>
              <w:right w:val="nil"/>
            </w:tcBorders>
            <w:shd w:val="clear" w:color="auto" w:fill="auto"/>
            <w:noWrap/>
            <w:vAlign w:val="center"/>
            <w:hideMark/>
          </w:tcPr>
          <w:p w14:paraId="0C3F835D" w14:textId="77777777" w:rsidR="0015270F" w:rsidRPr="0095562E" w:rsidRDefault="0015270F" w:rsidP="0095562E">
            <w:pPr>
              <w:spacing w:before="0" w:after="0"/>
              <w:rPr>
                <w:rStyle w:val="BookTitle"/>
                <w:sz w:val="18"/>
                <w:szCs w:val="18"/>
              </w:rPr>
            </w:pPr>
            <w:r w:rsidRPr="0095562E">
              <w:rPr>
                <w:rStyle w:val="BookTitle"/>
                <w:sz w:val="18"/>
                <w:szCs w:val="18"/>
              </w:rPr>
              <w:t>0.49</w:t>
            </w:r>
          </w:p>
        </w:tc>
        <w:tc>
          <w:tcPr>
            <w:tcW w:w="324" w:type="pct"/>
            <w:tcBorders>
              <w:top w:val="nil"/>
              <w:left w:val="nil"/>
              <w:bottom w:val="nil"/>
              <w:right w:val="nil"/>
            </w:tcBorders>
            <w:shd w:val="clear" w:color="auto" w:fill="auto"/>
            <w:noWrap/>
            <w:vAlign w:val="center"/>
            <w:hideMark/>
          </w:tcPr>
          <w:p w14:paraId="0C3F835E" w14:textId="77777777" w:rsidR="0015270F" w:rsidRPr="0095562E" w:rsidRDefault="0015270F" w:rsidP="0095562E">
            <w:pPr>
              <w:spacing w:before="0" w:after="0"/>
              <w:rPr>
                <w:rStyle w:val="BookTitle"/>
                <w:sz w:val="18"/>
                <w:szCs w:val="18"/>
              </w:rPr>
            </w:pPr>
            <w:r w:rsidRPr="0095562E">
              <w:rPr>
                <w:rStyle w:val="BookTitle"/>
                <w:sz w:val="18"/>
                <w:szCs w:val="18"/>
              </w:rPr>
              <w:t>0.57</w:t>
            </w:r>
          </w:p>
        </w:tc>
        <w:tc>
          <w:tcPr>
            <w:tcW w:w="324" w:type="pct"/>
            <w:tcBorders>
              <w:top w:val="nil"/>
              <w:left w:val="nil"/>
              <w:bottom w:val="nil"/>
              <w:right w:val="nil"/>
            </w:tcBorders>
            <w:shd w:val="clear" w:color="auto" w:fill="auto"/>
            <w:noWrap/>
            <w:vAlign w:val="center"/>
            <w:hideMark/>
          </w:tcPr>
          <w:p w14:paraId="0C3F835F"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360"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center"/>
            <w:hideMark/>
          </w:tcPr>
          <w:p w14:paraId="0C3F8361"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96" w:type="pct"/>
            <w:tcBorders>
              <w:top w:val="nil"/>
              <w:left w:val="nil"/>
              <w:bottom w:val="nil"/>
              <w:right w:val="nil"/>
            </w:tcBorders>
            <w:shd w:val="clear" w:color="auto" w:fill="auto"/>
            <w:noWrap/>
            <w:vAlign w:val="center"/>
            <w:hideMark/>
          </w:tcPr>
          <w:p w14:paraId="0C3F8362" w14:textId="77777777" w:rsidR="0015270F" w:rsidRPr="0095562E" w:rsidRDefault="0015270F" w:rsidP="0095562E">
            <w:pPr>
              <w:spacing w:before="0" w:after="0"/>
              <w:rPr>
                <w:rStyle w:val="BookTitle"/>
                <w:sz w:val="18"/>
                <w:szCs w:val="18"/>
              </w:rPr>
            </w:pPr>
            <w:r w:rsidRPr="0095562E">
              <w:rPr>
                <w:rStyle w:val="BookTitle"/>
                <w:sz w:val="18"/>
                <w:szCs w:val="18"/>
              </w:rPr>
              <w:t>0.55</w:t>
            </w:r>
          </w:p>
        </w:tc>
      </w:tr>
      <w:tr w:rsidR="0015270F" w:rsidRPr="0095562E" w14:paraId="0C3F8373" w14:textId="77777777" w:rsidTr="0015270F">
        <w:trPr>
          <w:trHeight w:val="20"/>
        </w:trPr>
        <w:tc>
          <w:tcPr>
            <w:tcW w:w="360" w:type="pct"/>
            <w:tcBorders>
              <w:top w:val="nil"/>
              <w:left w:val="nil"/>
              <w:bottom w:val="nil"/>
              <w:right w:val="nil"/>
            </w:tcBorders>
            <w:shd w:val="clear" w:color="auto" w:fill="auto"/>
            <w:noWrap/>
            <w:vAlign w:val="center"/>
            <w:hideMark/>
          </w:tcPr>
          <w:p w14:paraId="0C3F8364" w14:textId="77777777" w:rsidR="0015270F" w:rsidRPr="0095562E" w:rsidRDefault="0015270F" w:rsidP="0095562E">
            <w:pPr>
              <w:spacing w:before="0" w:after="0"/>
              <w:rPr>
                <w:rStyle w:val="BookTitle"/>
                <w:sz w:val="18"/>
                <w:szCs w:val="18"/>
              </w:rPr>
            </w:pPr>
            <w:r w:rsidRPr="0095562E">
              <w:rPr>
                <w:rStyle w:val="BookTitle"/>
                <w:sz w:val="18"/>
                <w:szCs w:val="18"/>
              </w:rPr>
              <w:t>PN</w:t>
            </w:r>
          </w:p>
        </w:tc>
        <w:tc>
          <w:tcPr>
            <w:tcW w:w="324" w:type="pct"/>
            <w:tcBorders>
              <w:top w:val="nil"/>
              <w:left w:val="nil"/>
              <w:bottom w:val="nil"/>
              <w:right w:val="nil"/>
            </w:tcBorders>
            <w:shd w:val="clear" w:color="auto" w:fill="auto"/>
            <w:noWrap/>
            <w:vAlign w:val="center"/>
            <w:hideMark/>
          </w:tcPr>
          <w:p w14:paraId="0C3F8365"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60" w:type="pct"/>
            <w:tcBorders>
              <w:top w:val="nil"/>
              <w:left w:val="nil"/>
              <w:bottom w:val="nil"/>
              <w:right w:val="nil"/>
            </w:tcBorders>
            <w:shd w:val="clear" w:color="auto" w:fill="auto"/>
            <w:noWrap/>
            <w:vAlign w:val="center"/>
            <w:hideMark/>
          </w:tcPr>
          <w:p w14:paraId="0C3F8366"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center"/>
            <w:hideMark/>
          </w:tcPr>
          <w:p w14:paraId="0C3F8367"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368"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4" w:type="pct"/>
            <w:tcBorders>
              <w:top w:val="nil"/>
              <w:left w:val="nil"/>
              <w:bottom w:val="nil"/>
              <w:right w:val="nil"/>
            </w:tcBorders>
            <w:shd w:val="clear" w:color="auto" w:fill="auto"/>
            <w:noWrap/>
            <w:vAlign w:val="center"/>
            <w:hideMark/>
          </w:tcPr>
          <w:p w14:paraId="0C3F8369" w14:textId="77777777" w:rsidR="0015270F" w:rsidRPr="0095562E" w:rsidRDefault="0015270F" w:rsidP="0095562E">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center"/>
            <w:hideMark/>
          </w:tcPr>
          <w:p w14:paraId="0C3F836A"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center"/>
            <w:hideMark/>
          </w:tcPr>
          <w:p w14:paraId="0C3F836B"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auto" w:fill="auto"/>
            <w:noWrap/>
            <w:vAlign w:val="center"/>
            <w:hideMark/>
          </w:tcPr>
          <w:p w14:paraId="0C3F836C"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center"/>
            <w:hideMark/>
          </w:tcPr>
          <w:p w14:paraId="0C3F836D"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36E" w14:textId="77777777" w:rsidR="0015270F" w:rsidRPr="0095562E" w:rsidRDefault="0015270F" w:rsidP="0095562E">
            <w:pPr>
              <w:spacing w:before="0" w:after="0"/>
              <w:rPr>
                <w:rStyle w:val="BookTitle"/>
                <w:sz w:val="18"/>
                <w:szCs w:val="18"/>
              </w:rPr>
            </w:pPr>
            <w:r w:rsidRPr="0095562E">
              <w:rPr>
                <w:rStyle w:val="BookTitle"/>
                <w:sz w:val="18"/>
                <w:szCs w:val="18"/>
              </w:rPr>
              <w:t>-0.26</w:t>
            </w:r>
          </w:p>
        </w:tc>
        <w:tc>
          <w:tcPr>
            <w:tcW w:w="324" w:type="pct"/>
            <w:tcBorders>
              <w:top w:val="nil"/>
              <w:left w:val="nil"/>
              <w:bottom w:val="nil"/>
              <w:right w:val="nil"/>
            </w:tcBorders>
            <w:shd w:val="clear" w:color="auto" w:fill="auto"/>
            <w:noWrap/>
            <w:vAlign w:val="center"/>
            <w:hideMark/>
          </w:tcPr>
          <w:p w14:paraId="0C3F836F"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center"/>
            <w:hideMark/>
          </w:tcPr>
          <w:p w14:paraId="0C3F8370"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center"/>
            <w:hideMark/>
          </w:tcPr>
          <w:p w14:paraId="0C3F8371" w14:textId="77777777" w:rsidR="0015270F" w:rsidRPr="0095562E" w:rsidRDefault="0015270F" w:rsidP="0095562E">
            <w:pPr>
              <w:spacing w:before="0" w:after="0"/>
              <w:rPr>
                <w:rStyle w:val="BookTitle"/>
                <w:sz w:val="18"/>
                <w:szCs w:val="18"/>
              </w:rPr>
            </w:pPr>
            <w:r w:rsidRPr="0095562E">
              <w:rPr>
                <w:rStyle w:val="BookTitle"/>
                <w:sz w:val="18"/>
                <w:szCs w:val="18"/>
              </w:rPr>
              <w:t>0.06</w:t>
            </w:r>
          </w:p>
        </w:tc>
        <w:tc>
          <w:tcPr>
            <w:tcW w:w="396" w:type="pct"/>
            <w:tcBorders>
              <w:top w:val="nil"/>
              <w:left w:val="nil"/>
              <w:bottom w:val="nil"/>
              <w:right w:val="nil"/>
            </w:tcBorders>
            <w:shd w:val="clear" w:color="auto" w:fill="auto"/>
            <w:noWrap/>
            <w:vAlign w:val="center"/>
            <w:hideMark/>
          </w:tcPr>
          <w:p w14:paraId="0C3F8372" w14:textId="77777777" w:rsidR="0015270F" w:rsidRPr="0095562E" w:rsidRDefault="0015270F" w:rsidP="0095562E">
            <w:pPr>
              <w:spacing w:before="0" w:after="0"/>
              <w:rPr>
                <w:rStyle w:val="BookTitle"/>
                <w:sz w:val="18"/>
                <w:szCs w:val="18"/>
              </w:rPr>
            </w:pPr>
            <w:r w:rsidRPr="0095562E">
              <w:rPr>
                <w:rStyle w:val="BookTitle"/>
                <w:sz w:val="18"/>
                <w:szCs w:val="18"/>
              </w:rPr>
              <w:t>-0.20</w:t>
            </w:r>
          </w:p>
        </w:tc>
      </w:tr>
      <w:tr w:rsidR="0015270F" w:rsidRPr="0095562E" w14:paraId="0C3F8383" w14:textId="77777777" w:rsidTr="0015270F">
        <w:trPr>
          <w:trHeight w:val="20"/>
        </w:trPr>
        <w:tc>
          <w:tcPr>
            <w:tcW w:w="360" w:type="pct"/>
            <w:tcBorders>
              <w:top w:val="nil"/>
              <w:left w:val="nil"/>
              <w:bottom w:val="nil"/>
              <w:right w:val="nil"/>
            </w:tcBorders>
            <w:shd w:val="clear" w:color="auto" w:fill="auto"/>
            <w:noWrap/>
            <w:vAlign w:val="center"/>
            <w:hideMark/>
          </w:tcPr>
          <w:p w14:paraId="0C3F8374" w14:textId="77777777" w:rsidR="0015270F" w:rsidRPr="0095562E" w:rsidRDefault="0015270F" w:rsidP="0095562E">
            <w:pPr>
              <w:spacing w:before="0" w:after="0"/>
              <w:rPr>
                <w:rStyle w:val="BookTitle"/>
                <w:sz w:val="18"/>
                <w:szCs w:val="18"/>
              </w:rPr>
            </w:pPr>
            <w:r w:rsidRPr="0095562E">
              <w:rPr>
                <w:rStyle w:val="BookTitle"/>
                <w:sz w:val="18"/>
                <w:szCs w:val="18"/>
              </w:rPr>
              <w:t>PP</w:t>
            </w:r>
          </w:p>
        </w:tc>
        <w:tc>
          <w:tcPr>
            <w:tcW w:w="324" w:type="pct"/>
            <w:tcBorders>
              <w:top w:val="nil"/>
              <w:left w:val="nil"/>
              <w:bottom w:val="nil"/>
              <w:right w:val="nil"/>
            </w:tcBorders>
            <w:shd w:val="clear" w:color="auto" w:fill="auto"/>
            <w:noWrap/>
            <w:vAlign w:val="center"/>
            <w:hideMark/>
          </w:tcPr>
          <w:p w14:paraId="0C3F8375"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60" w:type="pct"/>
            <w:tcBorders>
              <w:top w:val="nil"/>
              <w:left w:val="nil"/>
              <w:bottom w:val="nil"/>
              <w:right w:val="nil"/>
            </w:tcBorders>
            <w:shd w:val="clear" w:color="auto" w:fill="auto"/>
            <w:noWrap/>
            <w:vAlign w:val="center"/>
            <w:hideMark/>
          </w:tcPr>
          <w:p w14:paraId="0C3F8376" w14:textId="77777777" w:rsidR="0015270F" w:rsidRPr="0095562E" w:rsidRDefault="0015270F" w:rsidP="0095562E">
            <w:pPr>
              <w:spacing w:before="0" w:after="0"/>
              <w:rPr>
                <w:rStyle w:val="BookTitle"/>
                <w:sz w:val="18"/>
                <w:szCs w:val="18"/>
              </w:rPr>
            </w:pPr>
            <w:r w:rsidRPr="0095562E">
              <w:rPr>
                <w:rStyle w:val="BookTitle"/>
                <w:sz w:val="18"/>
                <w:szCs w:val="18"/>
              </w:rPr>
              <w:t>0.10</w:t>
            </w:r>
          </w:p>
        </w:tc>
        <w:tc>
          <w:tcPr>
            <w:tcW w:w="324" w:type="pct"/>
            <w:tcBorders>
              <w:top w:val="nil"/>
              <w:left w:val="nil"/>
              <w:bottom w:val="nil"/>
              <w:right w:val="nil"/>
            </w:tcBorders>
            <w:shd w:val="clear" w:color="auto" w:fill="auto"/>
            <w:noWrap/>
            <w:vAlign w:val="center"/>
            <w:hideMark/>
          </w:tcPr>
          <w:p w14:paraId="0C3F8377"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center"/>
            <w:hideMark/>
          </w:tcPr>
          <w:p w14:paraId="0C3F8378"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center"/>
            <w:hideMark/>
          </w:tcPr>
          <w:p w14:paraId="0C3F8379"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center"/>
            <w:hideMark/>
          </w:tcPr>
          <w:p w14:paraId="0C3F837A" w14:textId="77777777" w:rsidR="0015270F" w:rsidRPr="0095562E" w:rsidRDefault="0015270F" w:rsidP="0095562E">
            <w:pPr>
              <w:spacing w:before="0" w:after="0"/>
              <w:rPr>
                <w:rStyle w:val="BookTitle"/>
                <w:sz w:val="18"/>
                <w:szCs w:val="18"/>
              </w:rPr>
            </w:pPr>
            <w:r w:rsidRPr="0095562E">
              <w:rPr>
                <w:rStyle w:val="BookTitle"/>
                <w:sz w:val="18"/>
                <w:szCs w:val="18"/>
              </w:rPr>
              <w:t>0.44</w:t>
            </w:r>
          </w:p>
        </w:tc>
        <w:tc>
          <w:tcPr>
            <w:tcW w:w="324" w:type="pct"/>
            <w:tcBorders>
              <w:top w:val="nil"/>
              <w:left w:val="nil"/>
              <w:bottom w:val="nil"/>
              <w:right w:val="nil"/>
            </w:tcBorders>
            <w:shd w:val="clear" w:color="auto" w:fill="auto"/>
            <w:noWrap/>
            <w:vAlign w:val="center"/>
            <w:hideMark/>
          </w:tcPr>
          <w:p w14:paraId="0C3F837B"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auto" w:fill="auto"/>
            <w:noWrap/>
            <w:vAlign w:val="center"/>
            <w:hideMark/>
          </w:tcPr>
          <w:p w14:paraId="0C3F837C"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000000" w:fill="FFFF00"/>
            <w:noWrap/>
            <w:vAlign w:val="center"/>
            <w:hideMark/>
          </w:tcPr>
          <w:p w14:paraId="0C3F837D" w14:textId="77777777" w:rsidR="0015270F" w:rsidRPr="0095562E" w:rsidRDefault="0015270F" w:rsidP="0095562E">
            <w:pPr>
              <w:spacing w:before="0" w:after="0"/>
              <w:rPr>
                <w:rStyle w:val="BookTitle"/>
                <w:sz w:val="18"/>
                <w:szCs w:val="18"/>
              </w:rPr>
            </w:pPr>
            <w:r w:rsidRPr="0095562E">
              <w:rPr>
                <w:rStyle w:val="BookTitle"/>
                <w:sz w:val="18"/>
                <w:szCs w:val="18"/>
              </w:rPr>
              <w:t>0.75</w:t>
            </w:r>
          </w:p>
        </w:tc>
        <w:tc>
          <w:tcPr>
            <w:tcW w:w="324" w:type="pct"/>
            <w:tcBorders>
              <w:top w:val="nil"/>
              <w:left w:val="nil"/>
              <w:bottom w:val="nil"/>
              <w:right w:val="nil"/>
            </w:tcBorders>
            <w:shd w:val="clear" w:color="auto" w:fill="auto"/>
            <w:noWrap/>
            <w:vAlign w:val="center"/>
            <w:hideMark/>
          </w:tcPr>
          <w:p w14:paraId="0C3F837E" w14:textId="77777777" w:rsidR="0015270F" w:rsidRPr="0095562E" w:rsidRDefault="0015270F" w:rsidP="0095562E">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center"/>
            <w:hideMark/>
          </w:tcPr>
          <w:p w14:paraId="0C3F837F"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center"/>
            <w:hideMark/>
          </w:tcPr>
          <w:p w14:paraId="0C3F8380" w14:textId="77777777" w:rsidR="0015270F" w:rsidRPr="0095562E" w:rsidRDefault="0015270F" w:rsidP="0095562E">
            <w:pPr>
              <w:spacing w:before="0" w:after="0"/>
              <w:rPr>
                <w:rStyle w:val="BookTitle"/>
                <w:sz w:val="18"/>
                <w:szCs w:val="18"/>
              </w:rPr>
            </w:pPr>
            <w:r w:rsidRPr="0095562E">
              <w:rPr>
                <w:rStyle w:val="BookTitle"/>
                <w:sz w:val="18"/>
                <w:szCs w:val="18"/>
              </w:rPr>
              <w:t>0.06</w:t>
            </w:r>
          </w:p>
        </w:tc>
        <w:tc>
          <w:tcPr>
            <w:tcW w:w="324" w:type="pct"/>
            <w:tcBorders>
              <w:top w:val="nil"/>
              <w:left w:val="nil"/>
              <w:bottom w:val="nil"/>
              <w:right w:val="nil"/>
            </w:tcBorders>
            <w:shd w:val="clear" w:color="auto" w:fill="auto"/>
            <w:noWrap/>
            <w:vAlign w:val="center"/>
            <w:hideMark/>
          </w:tcPr>
          <w:p w14:paraId="0C3F8381"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96" w:type="pct"/>
            <w:tcBorders>
              <w:top w:val="nil"/>
              <w:left w:val="nil"/>
              <w:bottom w:val="nil"/>
              <w:right w:val="nil"/>
            </w:tcBorders>
            <w:shd w:val="clear" w:color="auto" w:fill="auto"/>
            <w:noWrap/>
            <w:vAlign w:val="center"/>
            <w:hideMark/>
          </w:tcPr>
          <w:p w14:paraId="0C3F8382" w14:textId="77777777" w:rsidR="0015270F" w:rsidRPr="0095562E" w:rsidRDefault="0015270F" w:rsidP="0095562E">
            <w:pPr>
              <w:spacing w:before="0" w:after="0"/>
              <w:rPr>
                <w:rStyle w:val="BookTitle"/>
                <w:sz w:val="18"/>
                <w:szCs w:val="18"/>
              </w:rPr>
            </w:pPr>
            <w:r w:rsidRPr="0095562E">
              <w:rPr>
                <w:rStyle w:val="BookTitle"/>
                <w:sz w:val="18"/>
                <w:szCs w:val="18"/>
              </w:rPr>
              <w:t>0.18</w:t>
            </w:r>
          </w:p>
        </w:tc>
      </w:tr>
      <w:tr w:rsidR="0015270F" w:rsidRPr="0095562E" w14:paraId="0C3F8393" w14:textId="77777777" w:rsidTr="0015270F">
        <w:trPr>
          <w:trHeight w:val="20"/>
        </w:trPr>
        <w:tc>
          <w:tcPr>
            <w:tcW w:w="360" w:type="pct"/>
            <w:tcBorders>
              <w:top w:val="nil"/>
              <w:left w:val="nil"/>
              <w:bottom w:val="single" w:sz="4" w:space="0" w:color="auto"/>
              <w:right w:val="nil"/>
            </w:tcBorders>
            <w:shd w:val="clear" w:color="auto" w:fill="auto"/>
            <w:noWrap/>
            <w:vAlign w:val="center"/>
            <w:hideMark/>
          </w:tcPr>
          <w:p w14:paraId="0C3F8384" w14:textId="77777777" w:rsidR="0015270F" w:rsidRPr="0095562E" w:rsidRDefault="0015270F" w:rsidP="0095562E">
            <w:pPr>
              <w:spacing w:before="0" w:after="0"/>
              <w:rPr>
                <w:rStyle w:val="BookTitle"/>
                <w:sz w:val="18"/>
                <w:szCs w:val="18"/>
              </w:rPr>
            </w:pPr>
            <w:r w:rsidRPr="0095562E">
              <w:rPr>
                <w:rStyle w:val="BookTitle"/>
                <w:sz w:val="18"/>
                <w:szCs w:val="18"/>
              </w:rPr>
              <w:t>Si</w:t>
            </w:r>
          </w:p>
        </w:tc>
        <w:tc>
          <w:tcPr>
            <w:tcW w:w="324" w:type="pct"/>
            <w:tcBorders>
              <w:top w:val="nil"/>
              <w:left w:val="nil"/>
              <w:bottom w:val="single" w:sz="4" w:space="0" w:color="auto"/>
              <w:right w:val="nil"/>
            </w:tcBorders>
            <w:shd w:val="clear" w:color="000000" w:fill="FFFF00"/>
            <w:noWrap/>
            <w:vAlign w:val="center"/>
            <w:hideMark/>
          </w:tcPr>
          <w:p w14:paraId="0C3F8385" w14:textId="77777777" w:rsidR="0015270F" w:rsidRPr="0095562E" w:rsidRDefault="0015270F" w:rsidP="0095562E">
            <w:pPr>
              <w:spacing w:before="0" w:after="0"/>
              <w:rPr>
                <w:rStyle w:val="BookTitle"/>
                <w:sz w:val="18"/>
                <w:szCs w:val="18"/>
              </w:rPr>
            </w:pPr>
            <w:r w:rsidRPr="0095562E">
              <w:rPr>
                <w:rStyle w:val="BookTitle"/>
                <w:sz w:val="18"/>
                <w:szCs w:val="18"/>
              </w:rPr>
              <w:t>-0.67</w:t>
            </w:r>
          </w:p>
        </w:tc>
        <w:tc>
          <w:tcPr>
            <w:tcW w:w="360" w:type="pct"/>
            <w:tcBorders>
              <w:top w:val="nil"/>
              <w:left w:val="nil"/>
              <w:bottom w:val="single" w:sz="4" w:space="0" w:color="auto"/>
              <w:right w:val="nil"/>
            </w:tcBorders>
            <w:shd w:val="clear" w:color="000000" w:fill="FFFF00"/>
            <w:noWrap/>
            <w:vAlign w:val="center"/>
            <w:hideMark/>
          </w:tcPr>
          <w:p w14:paraId="0C3F8386" w14:textId="77777777" w:rsidR="0015270F" w:rsidRPr="0095562E" w:rsidRDefault="0015270F" w:rsidP="0095562E">
            <w:pPr>
              <w:spacing w:before="0" w:after="0"/>
              <w:rPr>
                <w:rStyle w:val="BookTitle"/>
                <w:sz w:val="18"/>
                <w:szCs w:val="18"/>
              </w:rPr>
            </w:pPr>
            <w:r w:rsidRPr="0095562E">
              <w:rPr>
                <w:rStyle w:val="BookTitle"/>
                <w:sz w:val="18"/>
                <w:szCs w:val="18"/>
              </w:rPr>
              <w:t>0.68</w:t>
            </w:r>
          </w:p>
        </w:tc>
        <w:tc>
          <w:tcPr>
            <w:tcW w:w="324" w:type="pct"/>
            <w:tcBorders>
              <w:top w:val="nil"/>
              <w:left w:val="nil"/>
              <w:bottom w:val="single" w:sz="4" w:space="0" w:color="auto"/>
              <w:right w:val="nil"/>
            </w:tcBorders>
            <w:shd w:val="clear" w:color="auto" w:fill="auto"/>
            <w:noWrap/>
            <w:vAlign w:val="center"/>
            <w:hideMark/>
          </w:tcPr>
          <w:p w14:paraId="0C3F8387" w14:textId="77777777" w:rsidR="0015270F" w:rsidRPr="0095562E" w:rsidRDefault="0015270F" w:rsidP="0095562E">
            <w:pPr>
              <w:spacing w:before="0" w:after="0"/>
              <w:rPr>
                <w:rStyle w:val="BookTitle"/>
                <w:sz w:val="18"/>
                <w:szCs w:val="18"/>
              </w:rPr>
            </w:pPr>
            <w:r w:rsidRPr="0095562E">
              <w:rPr>
                <w:rStyle w:val="BookTitle"/>
                <w:sz w:val="18"/>
                <w:szCs w:val="18"/>
              </w:rPr>
              <w:t>-0.32</w:t>
            </w:r>
          </w:p>
        </w:tc>
        <w:tc>
          <w:tcPr>
            <w:tcW w:w="324" w:type="pct"/>
            <w:tcBorders>
              <w:top w:val="nil"/>
              <w:left w:val="nil"/>
              <w:bottom w:val="single" w:sz="4" w:space="0" w:color="auto"/>
              <w:right w:val="nil"/>
            </w:tcBorders>
            <w:shd w:val="clear" w:color="auto" w:fill="auto"/>
            <w:noWrap/>
            <w:vAlign w:val="center"/>
            <w:hideMark/>
          </w:tcPr>
          <w:p w14:paraId="0C3F8388"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4" w:type="pct"/>
            <w:tcBorders>
              <w:top w:val="nil"/>
              <w:left w:val="nil"/>
              <w:bottom w:val="single" w:sz="4" w:space="0" w:color="auto"/>
              <w:right w:val="nil"/>
            </w:tcBorders>
            <w:shd w:val="clear" w:color="auto" w:fill="auto"/>
            <w:noWrap/>
            <w:vAlign w:val="center"/>
            <w:hideMark/>
          </w:tcPr>
          <w:p w14:paraId="0C3F8389"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4" w:type="pct"/>
            <w:tcBorders>
              <w:top w:val="nil"/>
              <w:left w:val="nil"/>
              <w:bottom w:val="single" w:sz="4" w:space="0" w:color="auto"/>
              <w:right w:val="nil"/>
            </w:tcBorders>
            <w:shd w:val="clear" w:color="auto" w:fill="auto"/>
            <w:noWrap/>
            <w:vAlign w:val="center"/>
            <w:hideMark/>
          </w:tcPr>
          <w:p w14:paraId="0C3F838A"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single" w:sz="4" w:space="0" w:color="auto"/>
              <w:right w:val="nil"/>
            </w:tcBorders>
            <w:shd w:val="clear" w:color="auto" w:fill="auto"/>
            <w:noWrap/>
            <w:vAlign w:val="center"/>
            <w:hideMark/>
          </w:tcPr>
          <w:p w14:paraId="0C3F838B" w14:textId="77777777" w:rsidR="0015270F" w:rsidRPr="0095562E" w:rsidRDefault="0015270F" w:rsidP="0095562E">
            <w:pPr>
              <w:spacing w:before="0" w:after="0"/>
              <w:rPr>
                <w:rStyle w:val="BookTitle"/>
                <w:sz w:val="18"/>
                <w:szCs w:val="18"/>
              </w:rPr>
            </w:pPr>
            <w:r w:rsidRPr="0095562E">
              <w:rPr>
                <w:rStyle w:val="BookTitle"/>
                <w:sz w:val="18"/>
                <w:szCs w:val="18"/>
              </w:rPr>
              <w:t>0.31</w:t>
            </w:r>
          </w:p>
        </w:tc>
        <w:tc>
          <w:tcPr>
            <w:tcW w:w="324" w:type="pct"/>
            <w:tcBorders>
              <w:top w:val="nil"/>
              <w:left w:val="nil"/>
              <w:bottom w:val="single" w:sz="4" w:space="0" w:color="auto"/>
              <w:right w:val="nil"/>
            </w:tcBorders>
            <w:shd w:val="clear" w:color="auto" w:fill="auto"/>
            <w:noWrap/>
            <w:vAlign w:val="center"/>
            <w:hideMark/>
          </w:tcPr>
          <w:p w14:paraId="0C3F838C" w14:textId="77777777" w:rsidR="0015270F" w:rsidRPr="0095562E" w:rsidRDefault="0015270F" w:rsidP="0095562E">
            <w:pPr>
              <w:spacing w:before="0" w:after="0"/>
              <w:rPr>
                <w:rStyle w:val="BookTitle"/>
                <w:sz w:val="18"/>
                <w:szCs w:val="18"/>
              </w:rPr>
            </w:pPr>
            <w:r w:rsidRPr="0095562E">
              <w:rPr>
                <w:rStyle w:val="BookTitle"/>
                <w:sz w:val="18"/>
                <w:szCs w:val="18"/>
              </w:rPr>
              <w:t>0.56</w:t>
            </w:r>
          </w:p>
        </w:tc>
        <w:tc>
          <w:tcPr>
            <w:tcW w:w="324" w:type="pct"/>
            <w:tcBorders>
              <w:top w:val="nil"/>
              <w:left w:val="nil"/>
              <w:bottom w:val="single" w:sz="4" w:space="0" w:color="auto"/>
              <w:right w:val="nil"/>
            </w:tcBorders>
            <w:shd w:val="clear" w:color="auto" w:fill="auto"/>
            <w:noWrap/>
            <w:vAlign w:val="center"/>
            <w:hideMark/>
          </w:tcPr>
          <w:p w14:paraId="0C3F838D" w14:textId="77777777" w:rsidR="0015270F" w:rsidRPr="0095562E" w:rsidRDefault="0015270F" w:rsidP="0095562E">
            <w:pPr>
              <w:spacing w:before="0" w:after="0"/>
              <w:rPr>
                <w:rStyle w:val="BookTitle"/>
                <w:sz w:val="18"/>
                <w:szCs w:val="18"/>
              </w:rPr>
            </w:pPr>
            <w:r w:rsidRPr="0095562E">
              <w:rPr>
                <w:rStyle w:val="BookTitle"/>
                <w:sz w:val="18"/>
                <w:szCs w:val="18"/>
              </w:rPr>
              <w:t>0.41</w:t>
            </w:r>
          </w:p>
        </w:tc>
        <w:tc>
          <w:tcPr>
            <w:tcW w:w="324" w:type="pct"/>
            <w:tcBorders>
              <w:top w:val="nil"/>
              <w:left w:val="nil"/>
              <w:bottom w:val="single" w:sz="4" w:space="0" w:color="auto"/>
              <w:right w:val="nil"/>
            </w:tcBorders>
            <w:shd w:val="clear" w:color="auto" w:fill="auto"/>
            <w:noWrap/>
            <w:vAlign w:val="center"/>
            <w:hideMark/>
          </w:tcPr>
          <w:p w14:paraId="0C3F838E" w14:textId="77777777" w:rsidR="0015270F" w:rsidRPr="0095562E" w:rsidRDefault="0015270F" w:rsidP="0095562E">
            <w:pPr>
              <w:spacing w:before="0" w:after="0"/>
              <w:rPr>
                <w:rStyle w:val="BookTitle"/>
                <w:sz w:val="18"/>
                <w:szCs w:val="18"/>
              </w:rPr>
            </w:pPr>
            <w:r w:rsidRPr="0095562E">
              <w:rPr>
                <w:rStyle w:val="BookTitle"/>
                <w:sz w:val="18"/>
                <w:szCs w:val="18"/>
              </w:rPr>
              <w:t>0.47</w:t>
            </w:r>
          </w:p>
        </w:tc>
        <w:tc>
          <w:tcPr>
            <w:tcW w:w="324" w:type="pct"/>
            <w:tcBorders>
              <w:top w:val="nil"/>
              <w:left w:val="nil"/>
              <w:bottom w:val="single" w:sz="4" w:space="0" w:color="auto"/>
              <w:right w:val="nil"/>
            </w:tcBorders>
            <w:shd w:val="clear" w:color="auto" w:fill="auto"/>
            <w:noWrap/>
            <w:vAlign w:val="center"/>
            <w:hideMark/>
          </w:tcPr>
          <w:p w14:paraId="0C3F838F" w14:textId="77777777" w:rsidR="0015270F" w:rsidRPr="0095562E" w:rsidRDefault="0015270F" w:rsidP="0095562E">
            <w:pPr>
              <w:spacing w:before="0" w:after="0"/>
              <w:rPr>
                <w:rStyle w:val="BookTitle"/>
                <w:sz w:val="18"/>
                <w:szCs w:val="18"/>
              </w:rPr>
            </w:pPr>
            <w:r w:rsidRPr="0095562E">
              <w:rPr>
                <w:rStyle w:val="BookTitle"/>
                <w:sz w:val="18"/>
                <w:szCs w:val="18"/>
              </w:rPr>
              <w:t>0.55</w:t>
            </w:r>
          </w:p>
        </w:tc>
        <w:tc>
          <w:tcPr>
            <w:tcW w:w="324" w:type="pct"/>
            <w:tcBorders>
              <w:top w:val="nil"/>
              <w:left w:val="nil"/>
              <w:bottom w:val="single" w:sz="4" w:space="0" w:color="auto"/>
              <w:right w:val="nil"/>
            </w:tcBorders>
            <w:shd w:val="clear" w:color="auto" w:fill="auto"/>
            <w:noWrap/>
            <w:vAlign w:val="center"/>
            <w:hideMark/>
          </w:tcPr>
          <w:p w14:paraId="0C3F8390" w14:textId="77777777" w:rsidR="0015270F" w:rsidRPr="0095562E" w:rsidRDefault="0015270F" w:rsidP="0095562E">
            <w:pPr>
              <w:spacing w:before="0" w:after="0"/>
              <w:rPr>
                <w:rStyle w:val="BookTitle"/>
                <w:sz w:val="18"/>
                <w:szCs w:val="18"/>
              </w:rPr>
            </w:pPr>
            <w:r w:rsidRPr="0095562E">
              <w:rPr>
                <w:rStyle w:val="BookTitle"/>
                <w:sz w:val="18"/>
                <w:szCs w:val="18"/>
              </w:rPr>
              <w:t>-0.20</w:t>
            </w:r>
          </w:p>
        </w:tc>
        <w:tc>
          <w:tcPr>
            <w:tcW w:w="324" w:type="pct"/>
            <w:tcBorders>
              <w:top w:val="nil"/>
              <w:left w:val="nil"/>
              <w:bottom w:val="single" w:sz="4" w:space="0" w:color="auto"/>
              <w:right w:val="nil"/>
            </w:tcBorders>
            <w:shd w:val="clear" w:color="auto" w:fill="auto"/>
            <w:noWrap/>
            <w:vAlign w:val="center"/>
            <w:hideMark/>
          </w:tcPr>
          <w:p w14:paraId="0C3F8391"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96" w:type="pct"/>
            <w:tcBorders>
              <w:top w:val="nil"/>
              <w:left w:val="nil"/>
              <w:bottom w:val="single" w:sz="4" w:space="0" w:color="auto"/>
              <w:right w:val="nil"/>
            </w:tcBorders>
            <w:shd w:val="clear" w:color="auto" w:fill="auto"/>
            <w:noWrap/>
            <w:vAlign w:val="center"/>
            <w:hideMark/>
          </w:tcPr>
          <w:p w14:paraId="0C3F8392" w14:textId="77777777" w:rsidR="0015270F" w:rsidRPr="0095562E" w:rsidRDefault="0015270F" w:rsidP="0095562E">
            <w:pPr>
              <w:spacing w:before="0" w:after="0"/>
              <w:rPr>
                <w:rStyle w:val="BookTitle"/>
                <w:sz w:val="18"/>
                <w:szCs w:val="18"/>
              </w:rPr>
            </w:pPr>
            <w:r w:rsidRPr="0095562E">
              <w:rPr>
                <w:rStyle w:val="BookTitle"/>
                <w:sz w:val="18"/>
                <w:szCs w:val="18"/>
              </w:rPr>
              <w:t>1</w:t>
            </w:r>
          </w:p>
        </w:tc>
      </w:tr>
    </w:tbl>
    <w:p w14:paraId="0C3F8394" w14:textId="77777777" w:rsidR="0015270F" w:rsidRDefault="0015270F" w:rsidP="0015270F"/>
    <w:p w14:paraId="0C3F8395" w14:textId="77777777" w:rsidR="0015270F" w:rsidRDefault="0015270F" w:rsidP="0095562E">
      <w:pPr>
        <w:pStyle w:val="Caption"/>
      </w:pPr>
      <w:bookmarkStart w:id="128" w:name="_Toc434208074"/>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7</w:t>
      </w:r>
      <w:r w:rsidR="00AE4287">
        <w:fldChar w:fldCharType="end"/>
      </w:r>
      <w:r>
        <w:t xml:space="preserve">:  </w:t>
      </w:r>
      <w:r w:rsidRPr="0089419E">
        <w:t xml:space="preserve">Spearman’s </w:t>
      </w:r>
      <w:r>
        <w:t xml:space="preserve">rank </w:t>
      </w:r>
      <w:r w:rsidRPr="0089419E">
        <w:t xml:space="preserve">correlation coefficients </w:t>
      </w:r>
      <w:r>
        <w:t>for the pa</w:t>
      </w:r>
      <w:r w:rsidR="00BC0B37">
        <w:t>rameters from Tully and Herbert</w:t>
      </w:r>
      <w:r>
        <w:t xml:space="preserve"> rivers sampled more than 20 times in the Wet Trop</w:t>
      </w:r>
      <w:r w:rsidR="00BC0B37">
        <w:t xml:space="preserve">ics in the 2012-2013 wet season. </w:t>
      </w:r>
      <w:r>
        <w:t>A</w:t>
      </w:r>
      <w:r w:rsidRPr="0089419E">
        <w:t xml:space="preserve">ll </w:t>
      </w:r>
      <w:r>
        <w:t xml:space="preserve">highlighted values </w:t>
      </w:r>
      <w:r w:rsidRPr="0089419E">
        <w:t>are significa</w:t>
      </w:r>
      <w:r w:rsidR="002827F5">
        <w:t>nt</w:t>
      </w:r>
      <w:r w:rsidRPr="0089419E">
        <w:t xml:space="preserve"> at p &lt; 0.01</w:t>
      </w:r>
      <w:r>
        <w:t xml:space="preserve"> and represent a correlation &gt;0.6 or &lt;-.06</w:t>
      </w:r>
      <w:r w:rsidRPr="0089419E">
        <w:t>.</w:t>
      </w:r>
      <w:r>
        <w:t xml:space="preserve"> Parameters listed in the table are surface salinity (Sal.), 5-day average discharge (Disch.), distance between the river mouth and the sampling site </w:t>
      </w:r>
      <w:r w:rsidR="000313CF">
        <w:t xml:space="preserve">Dist.), TSS, </w:t>
      </w:r>
      <w:r w:rsidR="005F304A">
        <w:t>chl</w:t>
      </w:r>
      <w:r w:rsidR="000313CF">
        <w:t>-a TN, TDN, DIN,</w:t>
      </w:r>
      <w:r w:rsidR="000313CF" w:rsidRPr="00405A8D">
        <w:t xml:space="preserve"> </w:t>
      </w:r>
      <w:r w:rsidR="000313CF">
        <w:t>TP, TDP, DIP, PN, PP and Si.</w:t>
      </w:r>
      <w:bookmarkEnd w:id="128"/>
    </w:p>
    <w:tbl>
      <w:tblPr>
        <w:tblW w:w="5070" w:type="pct"/>
        <w:tblLook w:val="04A0" w:firstRow="1" w:lastRow="0" w:firstColumn="1" w:lastColumn="0" w:noHBand="0" w:noVBand="1"/>
        <w:tblCaption w:val="Spearman’s rank correlation coefficients for the parameters from Tully and Herbert rivers "/>
        <w:tblDescription w:val="Spearman’s rank correlation coefficients for the parameters from Tully and Herbert rivers sampled more than 20 times in the Wet Tropics in the 2012-2013 wet season. All highlighted values are significant at p &lt; 0.01 and represent a correlation &gt;0.6 or &lt;-.06. Parameters listed in the table are surface salinity (Sal.), 5-day average discharge (Disch.), distance between the river mouth and the sampling site Dist.), TSS, chl-a TN, TDN, DIN, TP, TDP, DIP, PN, PP and Si."/>
      </w:tblPr>
      <w:tblGrid>
        <w:gridCol w:w="679"/>
        <w:gridCol w:w="612"/>
        <w:gridCol w:w="736"/>
        <w:gridCol w:w="612"/>
        <w:gridCol w:w="612"/>
        <w:gridCol w:w="612"/>
        <w:gridCol w:w="612"/>
        <w:gridCol w:w="612"/>
        <w:gridCol w:w="612"/>
        <w:gridCol w:w="612"/>
        <w:gridCol w:w="612"/>
        <w:gridCol w:w="612"/>
        <w:gridCol w:w="612"/>
        <w:gridCol w:w="612"/>
        <w:gridCol w:w="612"/>
      </w:tblGrid>
      <w:tr w:rsidR="0015270F" w:rsidRPr="0095562E" w14:paraId="0C3F8398" w14:textId="77777777" w:rsidTr="00162359">
        <w:trPr>
          <w:trHeight w:val="20"/>
        </w:trPr>
        <w:tc>
          <w:tcPr>
            <w:tcW w:w="5000" w:type="pct"/>
            <w:gridSpan w:val="15"/>
            <w:tcBorders>
              <w:top w:val="nil"/>
              <w:left w:val="nil"/>
              <w:bottom w:val="single" w:sz="4" w:space="0" w:color="auto"/>
              <w:right w:val="nil"/>
            </w:tcBorders>
            <w:shd w:val="clear" w:color="auto" w:fill="auto"/>
            <w:noWrap/>
            <w:vAlign w:val="center"/>
            <w:hideMark/>
          </w:tcPr>
          <w:p w14:paraId="0C3F8396" w14:textId="77777777" w:rsidR="0015270F" w:rsidRPr="0095562E" w:rsidRDefault="0015270F" w:rsidP="00162359">
            <w:pPr>
              <w:spacing w:before="0" w:after="0"/>
              <w:rPr>
                <w:rStyle w:val="BookTitle"/>
                <w:sz w:val="18"/>
                <w:szCs w:val="18"/>
              </w:rPr>
            </w:pPr>
          </w:p>
          <w:p w14:paraId="0C3F8397" w14:textId="77777777" w:rsidR="0015270F" w:rsidRPr="0095562E" w:rsidRDefault="0015270F" w:rsidP="00162359">
            <w:pPr>
              <w:spacing w:before="0" w:after="0"/>
              <w:rPr>
                <w:rStyle w:val="BookTitle"/>
                <w:sz w:val="18"/>
                <w:szCs w:val="18"/>
              </w:rPr>
            </w:pPr>
            <w:r w:rsidRPr="0095562E">
              <w:rPr>
                <w:rStyle w:val="BookTitle"/>
                <w:sz w:val="18"/>
                <w:szCs w:val="18"/>
              </w:rPr>
              <w:t>Tully [46]</w:t>
            </w:r>
          </w:p>
        </w:tc>
      </w:tr>
      <w:tr w:rsidR="0015270F" w:rsidRPr="0095562E" w14:paraId="0C3F83A8" w14:textId="77777777" w:rsidTr="00162359">
        <w:trPr>
          <w:trHeight w:val="20"/>
        </w:trPr>
        <w:tc>
          <w:tcPr>
            <w:tcW w:w="360" w:type="pct"/>
            <w:tcBorders>
              <w:top w:val="nil"/>
              <w:left w:val="nil"/>
              <w:bottom w:val="single" w:sz="4" w:space="0" w:color="auto"/>
              <w:right w:val="nil"/>
            </w:tcBorders>
            <w:shd w:val="clear" w:color="auto" w:fill="auto"/>
            <w:noWrap/>
            <w:vAlign w:val="center"/>
            <w:hideMark/>
          </w:tcPr>
          <w:p w14:paraId="0C3F8399" w14:textId="77777777" w:rsidR="0015270F" w:rsidRPr="0095562E" w:rsidRDefault="0015270F" w:rsidP="00162359">
            <w:pPr>
              <w:spacing w:before="0" w:after="0"/>
              <w:rPr>
                <w:rStyle w:val="BookTitle"/>
                <w:sz w:val="18"/>
                <w:szCs w:val="18"/>
              </w:rPr>
            </w:pPr>
            <w:r w:rsidRPr="0095562E">
              <w:rPr>
                <w:rStyle w:val="BookTitle"/>
                <w:sz w:val="18"/>
                <w:szCs w:val="18"/>
              </w:rPr>
              <w:t> </w:t>
            </w:r>
          </w:p>
        </w:tc>
        <w:tc>
          <w:tcPr>
            <w:tcW w:w="324" w:type="pct"/>
            <w:tcBorders>
              <w:top w:val="nil"/>
              <w:left w:val="nil"/>
              <w:bottom w:val="single" w:sz="4" w:space="0" w:color="auto"/>
              <w:right w:val="nil"/>
            </w:tcBorders>
            <w:shd w:val="clear" w:color="auto" w:fill="auto"/>
            <w:noWrap/>
            <w:vAlign w:val="center"/>
            <w:hideMark/>
          </w:tcPr>
          <w:p w14:paraId="0C3F839A" w14:textId="77777777" w:rsidR="0015270F" w:rsidRPr="0095562E" w:rsidRDefault="0015270F" w:rsidP="00162359">
            <w:pPr>
              <w:spacing w:before="0" w:after="0"/>
              <w:rPr>
                <w:rStyle w:val="BookTitle"/>
                <w:sz w:val="18"/>
                <w:szCs w:val="18"/>
              </w:rPr>
            </w:pPr>
            <w:r w:rsidRPr="0095562E">
              <w:rPr>
                <w:rStyle w:val="BookTitle"/>
                <w:sz w:val="18"/>
                <w:szCs w:val="18"/>
              </w:rPr>
              <w:t>Sal.</w:t>
            </w:r>
          </w:p>
        </w:tc>
        <w:tc>
          <w:tcPr>
            <w:tcW w:w="429" w:type="pct"/>
            <w:tcBorders>
              <w:top w:val="nil"/>
              <w:left w:val="nil"/>
              <w:bottom w:val="single" w:sz="4" w:space="0" w:color="auto"/>
              <w:right w:val="nil"/>
            </w:tcBorders>
            <w:shd w:val="clear" w:color="auto" w:fill="auto"/>
            <w:noWrap/>
            <w:vAlign w:val="center"/>
            <w:hideMark/>
          </w:tcPr>
          <w:p w14:paraId="0C3F839B" w14:textId="77777777" w:rsidR="0015270F" w:rsidRPr="0095562E" w:rsidRDefault="0015270F" w:rsidP="00162359">
            <w:pPr>
              <w:spacing w:before="0" w:after="0"/>
              <w:rPr>
                <w:rStyle w:val="BookTitle"/>
                <w:sz w:val="18"/>
                <w:szCs w:val="18"/>
              </w:rPr>
            </w:pPr>
            <w:r w:rsidRPr="0095562E">
              <w:rPr>
                <w:rStyle w:val="BookTitle"/>
                <w:sz w:val="18"/>
                <w:szCs w:val="18"/>
              </w:rPr>
              <w:t>Disch.</w:t>
            </w:r>
          </w:p>
        </w:tc>
        <w:tc>
          <w:tcPr>
            <w:tcW w:w="324" w:type="pct"/>
            <w:tcBorders>
              <w:top w:val="nil"/>
              <w:left w:val="nil"/>
              <w:bottom w:val="single" w:sz="4" w:space="0" w:color="auto"/>
              <w:right w:val="nil"/>
            </w:tcBorders>
            <w:shd w:val="clear" w:color="auto" w:fill="auto"/>
            <w:noWrap/>
            <w:vAlign w:val="center"/>
            <w:hideMark/>
          </w:tcPr>
          <w:p w14:paraId="0C3F839C" w14:textId="77777777" w:rsidR="0015270F" w:rsidRPr="0095562E" w:rsidRDefault="0015270F" w:rsidP="00162359">
            <w:pPr>
              <w:spacing w:before="0" w:after="0"/>
              <w:rPr>
                <w:rStyle w:val="BookTitle"/>
                <w:sz w:val="18"/>
                <w:szCs w:val="18"/>
              </w:rPr>
            </w:pPr>
            <w:r w:rsidRPr="0095562E">
              <w:rPr>
                <w:rStyle w:val="BookTitle"/>
                <w:sz w:val="18"/>
                <w:szCs w:val="18"/>
              </w:rPr>
              <w:t>Dist.</w:t>
            </w:r>
          </w:p>
        </w:tc>
        <w:tc>
          <w:tcPr>
            <w:tcW w:w="324" w:type="pct"/>
            <w:tcBorders>
              <w:top w:val="nil"/>
              <w:left w:val="nil"/>
              <w:bottom w:val="single" w:sz="4" w:space="0" w:color="auto"/>
              <w:right w:val="nil"/>
            </w:tcBorders>
            <w:shd w:val="clear" w:color="auto" w:fill="auto"/>
            <w:noWrap/>
            <w:vAlign w:val="center"/>
            <w:hideMark/>
          </w:tcPr>
          <w:p w14:paraId="0C3F839D" w14:textId="77777777" w:rsidR="0015270F" w:rsidRPr="0095562E" w:rsidRDefault="0015270F" w:rsidP="00162359">
            <w:pPr>
              <w:spacing w:before="0" w:after="0"/>
              <w:rPr>
                <w:rStyle w:val="BookTitle"/>
                <w:sz w:val="18"/>
                <w:szCs w:val="18"/>
              </w:rPr>
            </w:pPr>
            <w:r w:rsidRPr="0095562E">
              <w:rPr>
                <w:rStyle w:val="BookTitle"/>
                <w:sz w:val="18"/>
                <w:szCs w:val="18"/>
              </w:rPr>
              <w:t>TSS</w:t>
            </w:r>
          </w:p>
        </w:tc>
        <w:tc>
          <w:tcPr>
            <w:tcW w:w="324" w:type="pct"/>
            <w:tcBorders>
              <w:top w:val="nil"/>
              <w:left w:val="nil"/>
              <w:bottom w:val="single" w:sz="4" w:space="0" w:color="auto"/>
              <w:right w:val="nil"/>
            </w:tcBorders>
            <w:shd w:val="clear" w:color="auto" w:fill="auto"/>
            <w:noWrap/>
            <w:vAlign w:val="center"/>
            <w:hideMark/>
          </w:tcPr>
          <w:p w14:paraId="0C3F839E" w14:textId="77777777" w:rsidR="0015270F" w:rsidRPr="0095562E" w:rsidRDefault="0015270F" w:rsidP="00162359">
            <w:pPr>
              <w:spacing w:before="0" w:after="0"/>
              <w:rPr>
                <w:rStyle w:val="BookTitle"/>
                <w:sz w:val="18"/>
                <w:szCs w:val="18"/>
              </w:rPr>
            </w:pPr>
            <w:r w:rsidRPr="0095562E">
              <w:rPr>
                <w:rStyle w:val="BookTitle"/>
                <w:sz w:val="18"/>
                <w:szCs w:val="18"/>
              </w:rPr>
              <w:t>chl-a</w:t>
            </w:r>
          </w:p>
        </w:tc>
        <w:tc>
          <w:tcPr>
            <w:tcW w:w="324" w:type="pct"/>
            <w:tcBorders>
              <w:top w:val="nil"/>
              <w:left w:val="nil"/>
              <w:bottom w:val="single" w:sz="4" w:space="0" w:color="auto"/>
              <w:right w:val="nil"/>
            </w:tcBorders>
            <w:shd w:val="clear" w:color="auto" w:fill="auto"/>
            <w:noWrap/>
            <w:vAlign w:val="center"/>
            <w:hideMark/>
          </w:tcPr>
          <w:p w14:paraId="0C3F839F" w14:textId="77777777" w:rsidR="0015270F" w:rsidRPr="0095562E" w:rsidRDefault="0015270F" w:rsidP="00162359">
            <w:pPr>
              <w:spacing w:before="0" w:after="0"/>
              <w:rPr>
                <w:rStyle w:val="BookTitle"/>
                <w:sz w:val="18"/>
                <w:szCs w:val="18"/>
              </w:rPr>
            </w:pPr>
            <w:r w:rsidRPr="0095562E">
              <w:rPr>
                <w:rStyle w:val="BookTitle"/>
                <w:sz w:val="18"/>
                <w:szCs w:val="18"/>
              </w:rPr>
              <w:t>TN</w:t>
            </w:r>
          </w:p>
        </w:tc>
        <w:tc>
          <w:tcPr>
            <w:tcW w:w="324" w:type="pct"/>
            <w:tcBorders>
              <w:top w:val="nil"/>
              <w:left w:val="nil"/>
              <w:bottom w:val="single" w:sz="4" w:space="0" w:color="auto"/>
              <w:right w:val="nil"/>
            </w:tcBorders>
            <w:shd w:val="clear" w:color="auto" w:fill="auto"/>
            <w:noWrap/>
            <w:vAlign w:val="center"/>
            <w:hideMark/>
          </w:tcPr>
          <w:p w14:paraId="0C3F83A0" w14:textId="77777777" w:rsidR="0015270F" w:rsidRPr="0095562E" w:rsidRDefault="0015270F" w:rsidP="00162359">
            <w:pPr>
              <w:spacing w:before="0" w:after="0"/>
              <w:rPr>
                <w:rStyle w:val="BookTitle"/>
                <w:sz w:val="18"/>
                <w:szCs w:val="18"/>
              </w:rPr>
            </w:pPr>
            <w:r w:rsidRPr="0095562E">
              <w:rPr>
                <w:rStyle w:val="BookTitle"/>
                <w:sz w:val="18"/>
                <w:szCs w:val="18"/>
              </w:rPr>
              <w:t>TDN</w:t>
            </w:r>
          </w:p>
        </w:tc>
        <w:tc>
          <w:tcPr>
            <w:tcW w:w="324" w:type="pct"/>
            <w:tcBorders>
              <w:top w:val="nil"/>
              <w:left w:val="nil"/>
              <w:bottom w:val="single" w:sz="4" w:space="0" w:color="auto"/>
              <w:right w:val="nil"/>
            </w:tcBorders>
            <w:shd w:val="clear" w:color="auto" w:fill="auto"/>
            <w:noWrap/>
            <w:vAlign w:val="center"/>
            <w:hideMark/>
          </w:tcPr>
          <w:p w14:paraId="0C3F83A1" w14:textId="77777777" w:rsidR="0015270F" w:rsidRPr="0095562E" w:rsidRDefault="0015270F" w:rsidP="00162359">
            <w:pPr>
              <w:spacing w:before="0" w:after="0"/>
              <w:rPr>
                <w:rStyle w:val="BookTitle"/>
                <w:sz w:val="18"/>
                <w:szCs w:val="18"/>
              </w:rPr>
            </w:pPr>
            <w:r w:rsidRPr="0095562E">
              <w:rPr>
                <w:rStyle w:val="BookTitle"/>
                <w:sz w:val="18"/>
                <w:szCs w:val="18"/>
              </w:rPr>
              <w:t>DIN</w:t>
            </w:r>
          </w:p>
        </w:tc>
        <w:tc>
          <w:tcPr>
            <w:tcW w:w="324" w:type="pct"/>
            <w:tcBorders>
              <w:top w:val="nil"/>
              <w:left w:val="nil"/>
              <w:bottom w:val="single" w:sz="4" w:space="0" w:color="auto"/>
              <w:right w:val="nil"/>
            </w:tcBorders>
            <w:shd w:val="clear" w:color="auto" w:fill="auto"/>
            <w:noWrap/>
            <w:vAlign w:val="center"/>
            <w:hideMark/>
          </w:tcPr>
          <w:p w14:paraId="0C3F83A2" w14:textId="77777777" w:rsidR="0015270F" w:rsidRPr="0095562E" w:rsidRDefault="0015270F" w:rsidP="00162359">
            <w:pPr>
              <w:spacing w:before="0" w:after="0"/>
              <w:rPr>
                <w:rStyle w:val="BookTitle"/>
                <w:sz w:val="18"/>
                <w:szCs w:val="18"/>
              </w:rPr>
            </w:pPr>
            <w:r w:rsidRPr="0095562E">
              <w:rPr>
                <w:rStyle w:val="BookTitle"/>
                <w:sz w:val="18"/>
                <w:szCs w:val="18"/>
              </w:rPr>
              <w:t>TP</w:t>
            </w:r>
          </w:p>
        </w:tc>
        <w:tc>
          <w:tcPr>
            <w:tcW w:w="324" w:type="pct"/>
            <w:tcBorders>
              <w:top w:val="nil"/>
              <w:left w:val="nil"/>
              <w:bottom w:val="single" w:sz="4" w:space="0" w:color="auto"/>
              <w:right w:val="nil"/>
            </w:tcBorders>
            <w:shd w:val="clear" w:color="auto" w:fill="auto"/>
            <w:noWrap/>
            <w:vAlign w:val="center"/>
            <w:hideMark/>
          </w:tcPr>
          <w:p w14:paraId="0C3F83A3" w14:textId="77777777" w:rsidR="0015270F" w:rsidRPr="0095562E" w:rsidRDefault="0015270F" w:rsidP="00162359">
            <w:pPr>
              <w:spacing w:before="0" w:after="0"/>
              <w:rPr>
                <w:rStyle w:val="BookTitle"/>
                <w:sz w:val="18"/>
                <w:szCs w:val="18"/>
              </w:rPr>
            </w:pPr>
            <w:r w:rsidRPr="0095562E">
              <w:rPr>
                <w:rStyle w:val="BookTitle"/>
                <w:sz w:val="18"/>
                <w:szCs w:val="18"/>
              </w:rPr>
              <w:t>TDP</w:t>
            </w:r>
          </w:p>
        </w:tc>
        <w:tc>
          <w:tcPr>
            <w:tcW w:w="324" w:type="pct"/>
            <w:tcBorders>
              <w:top w:val="nil"/>
              <w:left w:val="nil"/>
              <w:bottom w:val="single" w:sz="4" w:space="0" w:color="auto"/>
              <w:right w:val="nil"/>
            </w:tcBorders>
            <w:shd w:val="clear" w:color="auto" w:fill="auto"/>
            <w:noWrap/>
            <w:vAlign w:val="center"/>
            <w:hideMark/>
          </w:tcPr>
          <w:p w14:paraId="0C3F83A4" w14:textId="77777777" w:rsidR="0015270F" w:rsidRPr="0095562E" w:rsidRDefault="0015270F" w:rsidP="00162359">
            <w:pPr>
              <w:spacing w:before="0" w:after="0"/>
              <w:rPr>
                <w:rStyle w:val="BookTitle"/>
                <w:sz w:val="18"/>
                <w:szCs w:val="18"/>
              </w:rPr>
            </w:pPr>
            <w:r w:rsidRPr="0095562E">
              <w:rPr>
                <w:rStyle w:val="BookTitle"/>
                <w:sz w:val="18"/>
                <w:szCs w:val="18"/>
              </w:rPr>
              <w:t>DIP</w:t>
            </w:r>
          </w:p>
        </w:tc>
        <w:tc>
          <w:tcPr>
            <w:tcW w:w="324" w:type="pct"/>
            <w:tcBorders>
              <w:top w:val="nil"/>
              <w:left w:val="nil"/>
              <w:bottom w:val="single" w:sz="4" w:space="0" w:color="auto"/>
              <w:right w:val="nil"/>
            </w:tcBorders>
            <w:shd w:val="clear" w:color="auto" w:fill="auto"/>
            <w:noWrap/>
            <w:vAlign w:val="center"/>
            <w:hideMark/>
          </w:tcPr>
          <w:p w14:paraId="0C3F83A5" w14:textId="77777777" w:rsidR="0015270F" w:rsidRPr="0095562E" w:rsidRDefault="0015270F" w:rsidP="00162359">
            <w:pPr>
              <w:spacing w:before="0" w:after="0"/>
              <w:rPr>
                <w:rStyle w:val="BookTitle"/>
                <w:sz w:val="18"/>
                <w:szCs w:val="18"/>
              </w:rPr>
            </w:pPr>
            <w:r w:rsidRPr="0095562E">
              <w:rPr>
                <w:rStyle w:val="BookTitle"/>
                <w:sz w:val="18"/>
                <w:szCs w:val="18"/>
              </w:rPr>
              <w:t>PN</w:t>
            </w:r>
          </w:p>
        </w:tc>
        <w:tc>
          <w:tcPr>
            <w:tcW w:w="324" w:type="pct"/>
            <w:tcBorders>
              <w:top w:val="nil"/>
              <w:left w:val="nil"/>
              <w:bottom w:val="single" w:sz="4" w:space="0" w:color="auto"/>
              <w:right w:val="nil"/>
            </w:tcBorders>
            <w:shd w:val="clear" w:color="auto" w:fill="auto"/>
            <w:noWrap/>
            <w:vAlign w:val="center"/>
            <w:hideMark/>
          </w:tcPr>
          <w:p w14:paraId="0C3F83A6" w14:textId="77777777" w:rsidR="0015270F" w:rsidRPr="0095562E" w:rsidRDefault="0015270F" w:rsidP="00162359">
            <w:pPr>
              <w:spacing w:before="0" w:after="0"/>
              <w:rPr>
                <w:rStyle w:val="BookTitle"/>
                <w:sz w:val="18"/>
                <w:szCs w:val="18"/>
              </w:rPr>
            </w:pPr>
            <w:r w:rsidRPr="0095562E">
              <w:rPr>
                <w:rStyle w:val="BookTitle"/>
                <w:sz w:val="18"/>
                <w:szCs w:val="18"/>
              </w:rPr>
              <w:t>PP</w:t>
            </w:r>
          </w:p>
        </w:tc>
        <w:tc>
          <w:tcPr>
            <w:tcW w:w="324" w:type="pct"/>
            <w:tcBorders>
              <w:top w:val="nil"/>
              <w:left w:val="nil"/>
              <w:bottom w:val="single" w:sz="4" w:space="0" w:color="auto"/>
              <w:right w:val="nil"/>
            </w:tcBorders>
            <w:shd w:val="clear" w:color="auto" w:fill="auto"/>
            <w:noWrap/>
            <w:vAlign w:val="center"/>
            <w:hideMark/>
          </w:tcPr>
          <w:p w14:paraId="0C3F83A7" w14:textId="77777777" w:rsidR="0015270F" w:rsidRPr="0095562E" w:rsidRDefault="0015270F" w:rsidP="00162359">
            <w:pPr>
              <w:spacing w:before="0" w:after="0"/>
              <w:rPr>
                <w:rStyle w:val="BookTitle"/>
                <w:sz w:val="18"/>
                <w:szCs w:val="18"/>
              </w:rPr>
            </w:pPr>
            <w:r w:rsidRPr="0095562E">
              <w:rPr>
                <w:rStyle w:val="BookTitle"/>
                <w:sz w:val="18"/>
                <w:szCs w:val="18"/>
              </w:rPr>
              <w:t>Si</w:t>
            </w:r>
          </w:p>
        </w:tc>
      </w:tr>
      <w:tr w:rsidR="0015270F" w:rsidRPr="0095562E" w14:paraId="0C3F83B8" w14:textId="77777777" w:rsidTr="00162359">
        <w:trPr>
          <w:trHeight w:val="20"/>
        </w:trPr>
        <w:tc>
          <w:tcPr>
            <w:tcW w:w="360" w:type="pct"/>
            <w:tcBorders>
              <w:top w:val="nil"/>
              <w:left w:val="nil"/>
              <w:bottom w:val="nil"/>
              <w:right w:val="nil"/>
            </w:tcBorders>
            <w:shd w:val="clear" w:color="auto" w:fill="auto"/>
            <w:noWrap/>
            <w:vAlign w:val="center"/>
            <w:hideMark/>
          </w:tcPr>
          <w:p w14:paraId="0C3F83A9" w14:textId="77777777" w:rsidR="0015270F" w:rsidRPr="0095562E" w:rsidRDefault="0015270F" w:rsidP="00162359">
            <w:pPr>
              <w:spacing w:before="0" w:after="0"/>
              <w:rPr>
                <w:rStyle w:val="BookTitle"/>
                <w:sz w:val="18"/>
                <w:szCs w:val="18"/>
              </w:rPr>
            </w:pPr>
            <w:r w:rsidRPr="0095562E">
              <w:rPr>
                <w:rStyle w:val="BookTitle"/>
                <w:sz w:val="18"/>
                <w:szCs w:val="18"/>
              </w:rPr>
              <w:t>Sal.</w:t>
            </w:r>
          </w:p>
        </w:tc>
        <w:tc>
          <w:tcPr>
            <w:tcW w:w="324" w:type="pct"/>
            <w:tcBorders>
              <w:top w:val="nil"/>
              <w:left w:val="nil"/>
              <w:bottom w:val="nil"/>
              <w:right w:val="nil"/>
            </w:tcBorders>
            <w:shd w:val="clear" w:color="auto" w:fill="auto"/>
            <w:noWrap/>
            <w:vAlign w:val="bottom"/>
            <w:hideMark/>
          </w:tcPr>
          <w:p w14:paraId="0C3F83AA"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429" w:type="pct"/>
            <w:tcBorders>
              <w:top w:val="nil"/>
              <w:left w:val="nil"/>
              <w:bottom w:val="nil"/>
              <w:right w:val="nil"/>
            </w:tcBorders>
            <w:shd w:val="clear" w:color="000000" w:fill="FFFF00"/>
            <w:noWrap/>
            <w:vAlign w:val="bottom"/>
            <w:hideMark/>
          </w:tcPr>
          <w:p w14:paraId="0C3F83AB" w14:textId="77777777" w:rsidR="0015270F" w:rsidRPr="0095562E" w:rsidRDefault="0015270F" w:rsidP="00162359">
            <w:pPr>
              <w:spacing w:before="0" w:after="0"/>
              <w:rPr>
                <w:rStyle w:val="BookTitle"/>
                <w:sz w:val="18"/>
                <w:szCs w:val="18"/>
              </w:rPr>
            </w:pPr>
            <w:r w:rsidRPr="0095562E">
              <w:rPr>
                <w:rStyle w:val="BookTitle"/>
                <w:sz w:val="18"/>
                <w:szCs w:val="18"/>
              </w:rPr>
              <w:t>-0.70</w:t>
            </w:r>
          </w:p>
        </w:tc>
        <w:tc>
          <w:tcPr>
            <w:tcW w:w="324" w:type="pct"/>
            <w:tcBorders>
              <w:top w:val="nil"/>
              <w:left w:val="nil"/>
              <w:bottom w:val="nil"/>
              <w:right w:val="nil"/>
            </w:tcBorders>
            <w:shd w:val="clear" w:color="auto" w:fill="auto"/>
            <w:noWrap/>
            <w:vAlign w:val="bottom"/>
            <w:hideMark/>
          </w:tcPr>
          <w:p w14:paraId="0C3F83AC"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bottom"/>
            <w:hideMark/>
          </w:tcPr>
          <w:p w14:paraId="0C3F83AD"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bottom"/>
            <w:hideMark/>
          </w:tcPr>
          <w:p w14:paraId="0C3F83AE" w14:textId="77777777" w:rsidR="0015270F" w:rsidRPr="0095562E" w:rsidRDefault="0015270F" w:rsidP="00162359">
            <w:pPr>
              <w:spacing w:before="0" w:after="0"/>
              <w:rPr>
                <w:rStyle w:val="BookTitle"/>
                <w:sz w:val="18"/>
                <w:szCs w:val="18"/>
              </w:rPr>
            </w:pPr>
            <w:r w:rsidRPr="0095562E">
              <w:rPr>
                <w:rStyle w:val="BookTitle"/>
                <w:sz w:val="18"/>
                <w:szCs w:val="18"/>
              </w:rPr>
              <w:t>0.14</w:t>
            </w:r>
          </w:p>
        </w:tc>
        <w:tc>
          <w:tcPr>
            <w:tcW w:w="324" w:type="pct"/>
            <w:tcBorders>
              <w:top w:val="nil"/>
              <w:left w:val="nil"/>
              <w:bottom w:val="nil"/>
              <w:right w:val="nil"/>
            </w:tcBorders>
            <w:shd w:val="clear" w:color="auto" w:fill="auto"/>
            <w:noWrap/>
            <w:vAlign w:val="bottom"/>
            <w:hideMark/>
          </w:tcPr>
          <w:p w14:paraId="0C3F83AF" w14:textId="77777777" w:rsidR="0015270F" w:rsidRPr="0095562E" w:rsidRDefault="0015270F" w:rsidP="00162359">
            <w:pPr>
              <w:spacing w:before="0" w:after="0"/>
              <w:rPr>
                <w:rStyle w:val="BookTitle"/>
                <w:sz w:val="18"/>
                <w:szCs w:val="18"/>
              </w:rPr>
            </w:pPr>
            <w:r w:rsidRPr="0095562E">
              <w:rPr>
                <w:rStyle w:val="BookTitle"/>
                <w:sz w:val="18"/>
                <w:szCs w:val="18"/>
              </w:rPr>
              <w:t>-0.38</w:t>
            </w:r>
          </w:p>
        </w:tc>
        <w:tc>
          <w:tcPr>
            <w:tcW w:w="324" w:type="pct"/>
            <w:tcBorders>
              <w:top w:val="nil"/>
              <w:left w:val="nil"/>
              <w:bottom w:val="nil"/>
              <w:right w:val="nil"/>
            </w:tcBorders>
            <w:shd w:val="clear" w:color="auto" w:fill="auto"/>
            <w:noWrap/>
            <w:vAlign w:val="bottom"/>
            <w:hideMark/>
          </w:tcPr>
          <w:p w14:paraId="0C3F83B0" w14:textId="77777777" w:rsidR="0015270F" w:rsidRPr="0095562E" w:rsidRDefault="0015270F" w:rsidP="00162359">
            <w:pPr>
              <w:spacing w:before="0" w:after="0"/>
              <w:rPr>
                <w:rStyle w:val="BookTitle"/>
                <w:sz w:val="18"/>
                <w:szCs w:val="18"/>
              </w:rPr>
            </w:pPr>
            <w:r w:rsidRPr="0095562E">
              <w:rPr>
                <w:rStyle w:val="BookTitle"/>
                <w:sz w:val="18"/>
                <w:szCs w:val="18"/>
              </w:rPr>
              <w:t>-0.60</w:t>
            </w:r>
          </w:p>
        </w:tc>
        <w:tc>
          <w:tcPr>
            <w:tcW w:w="324" w:type="pct"/>
            <w:tcBorders>
              <w:top w:val="nil"/>
              <w:left w:val="nil"/>
              <w:bottom w:val="nil"/>
              <w:right w:val="nil"/>
            </w:tcBorders>
            <w:shd w:val="clear" w:color="auto" w:fill="auto"/>
            <w:noWrap/>
            <w:vAlign w:val="bottom"/>
            <w:hideMark/>
          </w:tcPr>
          <w:p w14:paraId="0C3F83B1" w14:textId="77777777" w:rsidR="0015270F" w:rsidRPr="0095562E" w:rsidRDefault="0015270F" w:rsidP="00162359">
            <w:pPr>
              <w:spacing w:before="0" w:after="0"/>
              <w:rPr>
                <w:rStyle w:val="BookTitle"/>
                <w:sz w:val="18"/>
                <w:szCs w:val="18"/>
              </w:rPr>
            </w:pPr>
            <w:r w:rsidRPr="0095562E">
              <w:rPr>
                <w:rStyle w:val="BookTitle"/>
                <w:sz w:val="18"/>
                <w:szCs w:val="18"/>
              </w:rPr>
              <w:t>-0.54</w:t>
            </w:r>
          </w:p>
        </w:tc>
        <w:tc>
          <w:tcPr>
            <w:tcW w:w="324" w:type="pct"/>
            <w:tcBorders>
              <w:top w:val="nil"/>
              <w:left w:val="nil"/>
              <w:bottom w:val="nil"/>
              <w:right w:val="nil"/>
            </w:tcBorders>
            <w:shd w:val="clear" w:color="000000" w:fill="FFFF00"/>
            <w:noWrap/>
            <w:vAlign w:val="bottom"/>
            <w:hideMark/>
          </w:tcPr>
          <w:p w14:paraId="0C3F83B2" w14:textId="77777777" w:rsidR="0015270F" w:rsidRPr="0095562E" w:rsidRDefault="0015270F" w:rsidP="00162359">
            <w:pPr>
              <w:spacing w:before="0" w:after="0"/>
              <w:rPr>
                <w:rStyle w:val="BookTitle"/>
                <w:sz w:val="18"/>
                <w:szCs w:val="18"/>
              </w:rPr>
            </w:pPr>
            <w:r w:rsidRPr="0095562E">
              <w:rPr>
                <w:rStyle w:val="BookTitle"/>
                <w:sz w:val="18"/>
                <w:szCs w:val="18"/>
              </w:rPr>
              <w:t>-0.63</w:t>
            </w:r>
          </w:p>
        </w:tc>
        <w:tc>
          <w:tcPr>
            <w:tcW w:w="324" w:type="pct"/>
            <w:tcBorders>
              <w:top w:val="nil"/>
              <w:left w:val="nil"/>
              <w:bottom w:val="nil"/>
              <w:right w:val="nil"/>
            </w:tcBorders>
            <w:shd w:val="clear" w:color="000000" w:fill="FFFF00"/>
            <w:noWrap/>
            <w:vAlign w:val="bottom"/>
            <w:hideMark/>
          </w:tcPr>
          <w:p w14:paraId="0C3F83B3" w14:textId="77777777" w:rsidR="0015270F" w:rsidRPr="0095562E" w:rsidRDefault="0015270F" w:rsidP="00162359">
            <w:pPr>
              <w:spacing w:before="0" w:after="0"/>
              <w:rPr>
                <w:rStyle w:val="BookTitle"/>
                <w:sz w:val="18"/>
                <w:szCs w:val="18"/>
              </w:rPr>
            </w:pPr>
            <w:r w:rsidRPr="0095562E">
              <w:rPr>
                <w:rStyle w:val="BookTitle"/>
                <w:sz w:val="18"/>
                <w:szCs w:val="18"/>
              </w:rPr>
              <w:t>-0.69</w:t>
            </w:r>
          </w:p>
        </w:tc>
        <w:tc>
          <w:tcPr>
            <w:tcW w:w="324" w:type="pct"/>
            <w:tcBorders>
              <w:top w:val="nil"/>
              <w:left w:val="nil"/>
              <w:bottom w:val="nil"/>
              <w:right w:val="nil"/>
            </w:tcBorders>
            <w:shd w:val="clear" w:color="000000" w:fill="FFFF00"/>
            <w:noWrap/>
            <w:vAlign w:val="bottom"/>
            <w:hideMark/>
          </w:tcPr>
          <w:p w14:paraId="0C3F83B4" w14:textId="77777777" w:rsidR="0015270F" w:rsidRPr="0095562E" w:rsidRDefault="0015270F" w:rsidP="00162359">
            <w:pPr>
              <w:spacing w:before="0" w:after="0"/>
              <w:rPr>
                <w:rStyle w:val="BookTitle"/>
                <w:sz w:val="18"/>
                <w:szCs w:val="18"/>
              </w:rPr>
            </w:pPr>
            <w:r w:rsidRPr="0095562E">
              <w:rPr>
                <w:rStyle w:val="BookTitle"/>
                <w:sz w:val="18"/>
                <w:szCs w:val="18"/>
              </w:rPr>
              <w:t>-0.65</w:t>
            </w:r>
          </w:p>
        </w:tc>
        <w:tc>
          <w:tcPr>
            <w:tcW w:w="324" w:type="pct"/>
            <w:tcBorders>
              <w:top w:val="nil"/>
              <w:left w:val="nil"/>
              <w:bottom w:val="nil"/>
              <w:right w:val="nil"/>
            </w:tcBorders>
            <w:shd w:val="clear" w:color="auto" w:fill="auto"/>
            <w:noWrap/>
            <w:vAlign w:val="bottom"/>
            <w:hideMark/>
          </w:tcPr>
          <w:p w14:paraId="0C3F83B5"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3B6"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000000" w:fill="FFFF00"/>
            <w:noWrap/>
            <w:vAlign w:val="bottom"/>
            <w:hideMark/>
          </w:tcPr>
          <w:p w14:paraId="0C3F83B7" w14:textId="77777777" w:rsidR="0015270F" w:rsidRPr="0095562E" w:rsidRDefault="0015270F" w:rsidP="00162359">
            <w:pPr>
              <w:spacing w:before="0" w:after="0"/>
              <w:rPr>
                <w:rStyle w:val="BookTitle"/>
                <w:sz w:val="18"/>
                <w:szCs w:val="18"/>
              </w:rPr>
            </w:pPr>
            <w:r w:rsidRPr="0095562E">
              <w:rPr>
                <w:rStyle w:val="BookTitle"/>
                <w:sz w:val="18"/>
                <w:szCs w:val="18"/>
              </w:rPr>
              <w:t>-0.84</w:t>
            </w:r>
          </w:p>
        </w:tc>
      </w:tr>
      <w:tr w:rsidR="0015270F" w:rsidRPr="0095562E" w14:paraId="0C3F83C8" w14:textId="77777777" w:rsidTr="00162359">
        <w:trPr>
          <w:trHeight w:val="20"/>
        </w:trPr>
        <w:tc>
          <w:tcPr>
            <w:tcW w:w="360" w:type="pct"/>
            <w:tcBorders>
              <w:top w:val="nil"/>
              <w:left w:val="nil"/>
              <w:bottom w:val="nil"/>
              <w:right w:val="nil"/>
            </w:tcBorders>
            <w:shd w:val="clear" w:color="auto" w:fill="auto"/>
            <w:noWrap/>
            <w:vAlign w:val="center"/>
            <w:hideMark/>
          </w:tcPr>
          <w:p w14:paraId="0C3F83B9" w14:textId="77777777" w:rsidR="0015270F" w:rsidRPr="0095562E" w:rsidRDefault="0015270F" w:rsidP="00162359">
            <w:pPr>
              <w:spacing w:before="0" w:after="0"/>
              <w:rPr>
                <w:rStyle w:val="BookTitle"/>
                <w:sz w:val="18"/>
                <w:szCs w:val="18"/>
              </w:rPr>
            </w:pPr>
            <w:r w:rsidRPr="0095562E">
              <w:rPr>
                <w:rStyle w:val="BookTitle"/>
                <w:sz w:val="18"/>
                <w:szCs w:val="18"/>
              </w:rPr>
              <w:t>Disch.</w:t>
            </w:r>
          </w:p>
        </w:tc>
        <w:tc>
          <w:tcPr>
            <w:tcW w:w="324" w:type="pct"/>
            <w:tcBorders>
              <w:top w:val="nil"/>
              <w:left w:val="nil"/>
              <w:bottom w:val="nil"/>
              <w:right w:val="nil"/>
            </w:tcBorders>
            <w:shd w:val="clear" w:color="000000" w:fill="FFFF00"/>
            <w:noWrap/>
            <w:vAlign w:val="bottom"/>
            <w:hideMark/>
          </w:tcPr>
          <w:p w14:paraId="0C3F83BA" w14:textId="77777777" w:rsidR="0015270F" w:rsidRPr="0095562E" w:rsidRDefault="0015270F" w:rsidP="00162359">
            <w:pPr>
              <w:spacing w:before="0" w:after="0"/>
              <w:rPr>
                <w:rStyle w:val="BookTitle"/>
                <w:sz w:val="18"/>
                <w:szCs w:val="18"/>
              </w:rPr>
            </w:pPr>
            <w:r w:rsidRPr="0095562E">
              <w:rPr>
                <w:rStyle w:val="BookTitle"/>
                <w:sz w:val="18"/>
                <w:szCs w:val="18"/>
              </w:rPr>
              <w:t>-0.70</w:t>
            </w:r>
          </w:p>
        </w:tc>
        <w:tc>
          <w:tcPr>
            <w:tcW w:w="429" w:type="pct"/>
            <w:tcBorders>
              <w:top w:val="nil"/>
              <w:left w:val="nil"/>
              <w:bottom w:val="nil"/>
              <w:right w:val="nil"/>
            </w:tcBorders>
            <w:shd w:val="clear" w:color="auto" w:fill="auto"/>
            <w:noWrap/>
            <w:vAlign w:val="bottom"/>
            <w:hideMark/>
          </w:tcPr>
          <w:p w14:paraId="0C3F83BB"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3BC" w14:textId="77777777" w:rsidR="0015270F" w:rsidRPr="0095562E" w:rsidRDefault="0015270F" w:rsidP="00162359">
            <w:pPr>
              <w:spacing w:before="0" w:after="0"/>
              <w:rPr>
                <w:rStyle w:val="BookTitle"/>
                <w:sz w:val="18"/>
                <w:szCs w:val="18"/>
              </w:rPr>
            </w:pPr>
            <w:r w:rsidRPr="0095562E">
              <w:rPr>
                <w:rStyle w:val="BookTitle"/>
                <w:sz w:val="18"/>
                <w:szCs w:val="18"/>
              </w:rPr>
              <w:t>-0.04</w:t>
            </w:r>
          </w:p>
        </w:tc>
        <w:tc>
          <w:tcPr>
            <w:tcW w:w="324" w:type="pct"/>
            <w:tcBorders>
              <w:top w:val="nil"/>
              <w:left w:val="nil"/>
              <w:bottom w:val="nil"/>
              <w:right w:val="nil"/>
            </w:tcBorders>
            <w:shd w:val="clear" w:color="auto" w:fill="auto"/>
            <w:noWrap/>
            <w:vAlign w:val="bottom"/>
            <w:hideMark/>
          </w:tcPr>
          <w:p w14:paraId="0C3F83BD" w14:textId="77777777" w:rsidR="0015270F" w:rsidRPr="0095562E" w:rsidRDefault="0015270F" w:rsidP="00162359">
            <w:pPr>
              <w:spacing w:before="0" w:after="0"/>
              <w:rPr>
                <w:rStyle w:val="BookTitle"/>
                <w:sz w:val="18"/>
                <w:szCs w:val="18"/>
              </w:rPr>
            </w:pPr>
            <w:r w:rsidRPr="0095562E">
              <w:rPr>
                <w:rStyle w:val="BookTitle"/>
                <w:sz w:val="18"/>
                <w:szCs w:val="18"/>
              </w:rPr>
              <w:t>-0.14</w:t>
            </w:r>
          </w:p>
        </w:tc>
        <w:tc>
          <w:tcPr>
            <w:tcW w:w="324" w:type="pct"/>
            <w:tcBorders>
              <w:top w:val="nil"/>
              <w:left w:val="nil"/>
              <w:bottom w:val="nil"/>
              <w:right w:val="nil"/>
            </w:tcBorders>
            <w:shd w:val="clear" w:color="auto" w:fill="auto"/>
            <w:noWrap/>
            <w:vAlign w:val="bottom"/>
            <w:hideMark/>
          </w:tcPr>
          <w:p w14:paraId="0C3F83BE" w14:textId="77777777" w:rsidR="0015270F" w:rsidRPr="0095562E" w:rsidRDefault="0015270F" w:rsidP="00162359">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bottom"/>
            <w:hideMark/>
          </w:tcPr>
          <w:p w14:paraId="0C3F83BF"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auto" w:fill="auto"/>
            <w:noWrap/>
            <w:vAlign w:val="bottom"/>
            <w:hideMark/>
          </w:tcPr>
          <w:p w14:paraId="0C3F83C0"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000000" w:fill="FFFF00"/>
            <w:noWrap/>
            <w:vAlign w:val="bottom"/>
            <w:hideMark/>
          </w:tcPr>
          <w:p w14:paraId="0C3F83C1" w14:textId="77777777" w:rsidR="0015270F" w:rsidRPr="0095562E" w:rsidRDefault="0015270F" w:rsidP="00162359">
            <w:pPr>
              <w:spacing w:before="0" w:after="0"/>
              <w:rPr>
                <w:rStyle w:val="BookTitle"/>
                <w:sz w:val="18"/>
                <w:szCs w:val="18"/>
              </w:rPr>
            </w:pPr>
            <w:r w:rsidRPr="0095562E">
              <w:rPr>
                <w:rStyle w:val="BookTitle"/>
                <w:sz w:val="18"/>
                <w:szCs w:val="18"/>
              </w:rPr>
              <w:t>0.70</w:t>
            </w:r>
          </w:p>
        </w:tc>
        <w:tc>
          <w:tcPr>
            <w:tcW w:w="324" w:type="pct"/>
            <w:tcBorders>
              <w:top w:val="nil"/>
              <w:left w:val="nil"/>
              <w:bottom w:val="nil"/>
              <w:right w:val="nil"/>
            </w:tcBorders>
            <w:shd w:val="clear" w:color="auto" w:fill="auto"/>
            <w:noWrap/>
            <w:vAlign w:val="bottom"/>
            <w:hideMark/>
          </w:tcPr>
          <w:p w14:paraId="0C3F83C2" w14:textId="77777777" w:rsidR="0015270F" w:rsidRPr="0095562E" w:rsidRDefault="0015270F" w:rsidP="00162359">
            <w:pPr>
              <w:spacing w:before="0" w:after="0"/>
              <w:rPr>
                <w:rStyle w:val="BookTitle"/>
                <w:sz w:val="18"/>
                <w:szCs w:val="18"/>
              </w:rPr>
            </w:pPr>
            <w:r w:rsidRPr="0095562E">
              <w:rPr>
                <w:rStyle w:val="BookTitle"/>
                <w:sz w:val="18"/>
                <w:szCs w:val="18"/>
              </w:rPr>
              <w:t>0.32</w:t>
            </w:r>
          </w:p>
        </w:tc>
        <w:tc>
          <w:tcPr>
            <w:tcW w:w="324" w:type="pct"/>
            <w:tcBorders>
              <w:top w:val="nil"/>
              <w:left w:val="nil"/>
              <w:bottom w:val="nil"/>
              <w:right w:val="nil"/>
            </w:tcBorders>
            <w:shd w:val="clear" w:color="auto" w:fill="auto"/>
            <w:noWrap/>
            <w:vAlign w:val="bottom"/>
            <w:hideMark/>
          </w:tcPr>
          <w:p w14:paraId="0C3F83C3" w14:textId="77777777" w:rsidR="0015270F" w:rsidRPr="0095562E" w:rsidRDefault="0015270F" w:rsidP="00162359">
            <w:pPr>
              <w:spacing w:before="0" w:after="0"/>
              <w:rPr>
                <w:rStyle w:val="BookTitle"/>
                <w:sz w:val="18"/>
                <w:szCs w:val="18"/>
              </w:rPr>
            </w:pPr>
            <w:r w:rsidRPr="0095562E">
              <w:rPr>
                <w:rStyle w:val="BookTitle"/>
                <w:sz w:val="18"/>
                <w:szCs w:val="18"/>
              </w:rPr>
              <w:t>0.49</w:t>
            </w:r>
          </w:p>
        </w:tc>
        <w:tc>
          <w:tcPr>
            <w:tcW w:w="324" w:type="pct"/>
            <w:tcBorders>
              <w:top w:val="nil"/>
              <w:left w:val="nil"/>
              <w:bottom w:val="nil"/>
              <w:right w:val="nil"/>
            </w:tcBorders>
            <w:shd w:val="clear" w:color="auto" w:fill="auto"/>
            <w:noWrap/>
            <w:vAlign w:val="bottom"/>
            <w:hideMark/>
          </w:tcPr>
          <w:p w14:paraId="0C3F83C4" w14:textId="77777777" w:rsidR="0015270F" w:rsidRPr="0095562E" w:rsidRDefault="0015270F" w:rsidP="00162359">
            <w:pPr>
              <w:spacing w:before="0" w:after="0"/>
              <w:rPr>
                <w:rStyle w:val="BookTitle"/>
                <w:sz w:val="18"/>
                <w:szCs w:val="18"/>
              </w:rPr>
            </w:pPr>
            <w:r w:rsidRPr="0095562E">
              <w:rPr>
                <w:rStyle w:val="BookTitle"/>
                <w:sz w:val="18"/>
                <w:szCs w:val="18"/>
              </w:rPr>
              <w:t>0.46</w:t>
            </w:r>
          </w:p>
        </w:tc>
        <w:tc>
          <w:tcPr>
            <w:tcW w:w="324" w:type="pct"/>
            <w:tcBorders>
              <w:top w:val="nil"/>
              <w:left w:val="nil"/>
              <w:bottom w:val="nil"/>
              <w:right w:val="nil"/>
            </w:tcBorders>
            <w:shd w:val="clear" w:color="auto" w:fill="auto"/>
            <w:noWrap/>
            <w:vAlign w:val="bottom"/>
            <w:hideMark/>
          </w:tcPr>
          <w:p w14:paraId="0C3F83C5"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3C6" w14:textId="77777777" w:rsidR="0015270F" w:rsidRPr="0095562E" w:rsidRDefault="0015270F" w:rsidP="00162359">
            <w:pPr>
              <w:spacing w:before="0" w:after="0"/>
              <w:rPr>
                <w:rStyle w:val="BookTitle"/>
                <w:sz w:val="18"/>
                <w:szCs w:val="18"/>
              </w:rPr>
            </w:pPr>
            <w:r w:rsidRPr="0095562E">
              <w:rPr>
                <w:rStyle w:val="BookTitle"/>
                <w:sz w:val="18"/>
                <w:szCs w:val="18"/>
              </w:rPr>
              <w:t>0.07</w:t>
            </w:r>
          </w:p>
        </w:tc>
        <w:tc>
          <w:tcPr>
            <w:tcW w:w="324" w:type="pct"/>
            <w:tcBorders>
              <w:top w:val="nil"/>
              <w:left w:val="nil"/>
              <w:bottom w:val="nil"/>
              <w:right w:val="nil"/>
            </w:tcBorders>
            <w:shd w:val="clear" w:color="000000" w:fill="FFFF00"/>
            <w:noWrap/>
            <w:vAlign w:val="bottom"/>
            <w:hideMark/>
          </w:tcPr>
          <w:p w14:paraId="0C3F83C7" w14:textId="77777777" w:rsidR="0015270F" w:rsidRPr="0095562E" w:rsidRDefault="0015270F" w:rsidP="00162359">
            <w:pPr>
              <w:spacing w:before="0" w:after="0"/>
              <w:rPr>
                <w:rStyle w:val="BookTitle"/>
                <w:sz w:val="18"/>
                <w:szCs w:val="18"/>
              </w:rPr>
            </w:pPr>
            <w:r w:rsidRPr="0095562E">
              <w:rPr>
                <w:rStyle w:val="BookTitle"/>
                <w:sz w:val="18"/>
                <w:szCs w:val="18"/>
              </w:rPr>
              <w:t>0.79</w:t>
            </w:r>
          </w:p>
        </w:tc>
      </w:tr>
      <w:tr w:rsidR="0015270F" w:rsidRPr="0095562E" w14:paraId="0C3F83D8" w14:textId="77777777" w:rsidTr="00162359">
        <w:trPr>
          <w:trHeight w:val="20"/>
        </w:trPr>
        <w:tc>
          <w:tcPr>
            <w:tcW w:w="360" w:type="pct"/>
            <w:tcBorders>
              <w:top w:val="nil"/>
              <w:left w:val="nil"/>
              <w:bottom w:val="nil"/>
              <w:right w:val="nil"/>
            </w:tcBorders>
            <w:shd w:val="clear" w:color="auto" w:fill="auto"/>
            <w:noWrap/>
            <w:vAlign w:val="center"/>
            <w:hideMark/>
          </w:tcPr>
          <w:p w14:paraId="0C3F83C9" w14:textId="77777777" w:rsidR="0015270F" w:rsidRPr="0095562E" w:rsidRDefault="0015270F" w:rsidP="00162359">
            <w:pPr>
              <w:spacing w:before="0" w:after="0"/>
              <w:rPr>
                <w:rStyle w:val="BookTitle"/>
                <w:sz w:val="18"/>
                <w:szCs w:val="18"/>
              </w:rPr>
            </w:pPr>
            <w:r w:rsidRPr="0095562E">
              <w:rPr>
                <w:rStyle w:val="BookTitle"/>
                <w:sz w:val="18"/>
                <w:szCs w:val="18"/>
              </w:rPr>
              <w:t>Dist.</w:t>
            </w:r>
          </w:p>
        </w:tc>
        <w:tc>
          <w:tcPr>
            <w:tcW w:w="324" w:type="pct"/>
            <w:tcBorders>
              <w:top w:val="nil"/>
              <w:left w:val="nil"/>
              <w:bottom w:val="nil"/>
              <w:right w:val="nil"/>
            </w:tcBorders>
            <w:shd w:val="clear" w:color="auto" w:fill="auto"/>
            <w:noWrap/>
            <w:vAlign w:val="bottom"/>
            <w:hideMark/>
          </w:tcPr>
          <w:p w14:paraId="0C3F83CA"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429" w:type="pct"/>
            <w:tcBorders>
              <w:top w:val="nil"/>
              <w:left w:val="nil"/>
              <w:bottom w:val="nil"/>
              <w:right w:val="nil"/>
            </w:tcBorders>
            <w:shd w:val="clear" w:color="auto" w:fill="auto"/>
            <w:noWrap/>
            <w:vAlign w:val="bottom"/>
            <w:hideMark/>
          </w:tcPr>
          <w:p w14:paraId="0C3F83CB" w14:textId="77777777" w:rsidR="0015270F" w:rsidRPr="0095562E" w:rsidRDefault="0015270F" w:rsidP="00162359">
            <w:pPr>
              <w:spacing w:before="0" w:after="0"/>
              <w:rPr>
                <w:rStyle w:val="BookTitle"/>
                <w:sz w:val="18"/>
                <w:szCs w:val="18"/>
              </w:rPr>
            </w:pPr>
            <w:r w:rsidRPr="0095562E">
              <w:rPr>
                <w:rStyle w:val="BookTitle"/>
                <w:sz w:val="18"/>
                <w:szCs w:val="18"/>
              </w:rPr>
              <w:t>-0.04</w:t>
            </w:r>
          </w:p>
        </w:tc>
        <w:tc>
          <w:tcPr>
            <w:tcW w:w="324" w:type="pct"/>
            <w:tcBorders>
              <w:top w:val="nil"/>
              <w:left w:val="nil"/>
              <w:bottom w:val="nil"/>
              <w:right w:val="nil"/>
            </w:tcBorders>
            <w:shd w:val="clear" w:color="auto" w:fill="auto"/>
            <w:noWrap/>
            <w:vAlign w:val="bottom"/>
            <w:hideMark/>
          </w:tcPr>
          <w:p w14:paraId="0C3F83CC"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3CD" w14:textId="77777777" w:rsidR="0015270F" w:rsidRPr="0095562E" w:rsidRDefault="0015270F" w:rsidP="00162359">
            <w:pPr>
              <w:spacing w:before="0" w:after="0"/>
              <w:rPr>
                <w:rStyle w:val="BookTitle"/>
                <w:sz w:val="18"/>
                <w:szCs w:val="18"/>
              </w:rPr>
            </w:pPr>
            <w:r w:rsidRPr="0095562E">
              <w:rPr>
                <w:rStyle w:val="BookTitle"/>
                <w:sz w:val="18"/>
                <w:szCs w:val="18"/>
              </w:rPr>
              <w:t>-0.46</w:t>
            </w:r>
          </w:p>
        </w:tc>
        <w:tc>
          <w:tcPr>
            <w:tcW w:w="324" w:type="pct"/>
            <w:tcBorders>
              <w:top w:val="nil"/>
              <w:left w:val="nil"/>
              <w:bottom w:val="nil"/>
              <w:right w:val="nil"/>
            </w:tcBorders>
            <w:shd w:val="clear" w:color="auto" w:fill="auto"/>
            <w:noWrap/>
            <w:vAlign w:val="bottom"/>
            <w:hideMark/>
          </w:tcPr>
          <w:p w14:paraId="0C3F83CE"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3CF" w14:textId="77777777" w:rsidR="0015270F" w:rsidRPr="0095562E" w:rsidRDefault="0015270F" w:rsidP="00162359">
            <w:pPr>
              <w:spacing w:before="0" w:after="0"/>
              <w:rPr>
                <w:rStyle w:val="BookTitle"/>
                <w:sz w:val="18"/>
                <w:szCs w:val="18"/>
              </w:rPr>
            </w:pPr>
            <w:r w:rsidRPr="0095562E">
              <w:rPr>
                <w:rStyle w:val="BookTitle"/>
                <w:sz w:val="18"/>
                <w:szCs w:val="18"/>
              </w:rPr>
              <w:t>-0.44</w:t>
            </w:r>
          </w:p>
        </w:tc>
        <w:tc>
          <w:tcPr>
            <w:tcW w:w="324" w:type="pct"/>
            <w:tcBorders>
              <w:top w:val="nil"/>
              <w:left w:val="nil"/>
              <w:bottom w:val="nil"/>
              <w:right w:val="nil"/>
            </w:tcBorders>
            <w:shd w:val="clear" w:color="auto" w:fill="auto"/>
            <w:noWrap/>
            <w:vAlign w:val="bottom"/>
            <w:hideMark/>
          </w:tcPr>
          <w:p w14:paraId="0C3F83D0"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bottom"/>
            <w:hideMark/>
          </w:tcPr>
          <w:p w14:paraId="0C3F83D1" w14:textId="77777777" w:rsidR="0015270F" w:rsidRPr="0095562E" w:rsidRDefault="0015270F" w:rsidP="00162359">
            <w:pPr>
              <w:spacing w:before="0" w:after="0"/>
              <w:rPr>
                <w:rStyle w:val="BookTitle"/>
                <w:sz w:val="18"/>
                <w:szCs w:val="18"/>
              </w:rPr>
            </w:pPr>
            <w:r w:rsidRPr="0095562E">
              <w:rPr>
                <w:rStyle w:val="BookTitle"/>
                <w:sz w:val="18"/>
                <w:szCs w:val="18"/>
              </w:rPr>
              <w:t>-0.35</w:t>
            </w:r>
          </w:p>
        </w:tc>
        <w:tc>
          <w:tcPr>
            <w:tcW w:w="324" w:type="pct"/>
            <w:tcBorders>
              <w:top w:val="nil"/>
              <w:left w:val="nil"/>
              <w:bottom w:val="nil"/>
              <w:right w:val="nil"/>
            </w:tcBorders>
            <w:shd w:val="clear" w:color="auto" w:fill="auto"/>
            <w:noWrap/>
            <w:vAlign w:val="bottom"/>
            <w:hideMark/>
          </w:tcPr>
          <w:p w14:paraId="0C3F83D2" w14:textId="77777777" w:rsidR="0015270F" w:rsidRPr="0095562E" w:rsidRDefault="0015270F" w:rsidP="00162359">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auto" w:fill="auto"/>
            <w:noWrap/>
            <w:vAlign w:val="bottom"/>
            <w:hideMark/>
          </w:tcPr>
          <w:p w14:paraId="0C3F83D3" w14:textId="77777777" w:rsidR="0015270F" w:rsidRPr="0095562E" w:rsidRDefault="0015270F" w:rsidP="00162359">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bottom"/>
            <w:hideMark/>
          </w:tcPr>
          <w:p w14:paraId="0C3F83D4" w14:textId="77777777" w:rsidR="0015270F" w:rsidRPr="0095562E" w:rsidRDefault="0015270F" w:rsidP="00162359">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bottom"/>
            <w:hideMark/>
          </w:tcPr>
          <w:p w14:paraId="0C3F83D5"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3D6"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3D7" w14:textId="77777777" w:rsidR="0015270F" w:rsidRPr="0095562E" w:rsidRDefault="0015270F" w:rsidP="00162359">
            <w:pPr>
              <w:spacing w:before="0" w:after="0"/>
              <w:rPr>
                <w:rStyle w:val="BookTitle"/>
                <w:sz w:val="18"/>
                <w:szCs w:val="18"/>
              </w:rPr>
            </w:pPr>
            <w:r w:rsidRPr="0095562E">
              <w:rPr>
                <w:rStyle w:val="BookTitle"/>
                <w:sz w:val="18"/>
                <w:szCs w:val="18"/>
              </w:rPr>
              <w:t>-0.42</w:t>
            </w:r>
          </w:p>
        </w:tc>
      </w:tr>
      <w:tr w:rsidR="0015270F" w:rsidRPr="0095562E" w14:paraId="0C3F83E8" w14:textId="77777777" w:rsidTr="00162359">
        <w:trPr>
          <w:trHeight w:val="20"/>
        </w:trPr>
        <w:tc>
          <w:tcPr>
            <w:tcW w:w="360" w:type="pct"/>
            <w:tcBorders>
              <w:top w:val="nil"/>
              <w:left w:val="nil"/>
              <w:bottom w:val="nil"/>
              <w:right w:val="nil"/>
            </w:tcBorders>
            <w:shd w:val="clear" w:color="auto" w:fill="auto"/>
            <w:noWrap/>
            <w:vAlign w:val="center"/>
            <w:hideMark/>
          </w:tcPr>
          <w:p w14:paraId="0C3F83D9" w14:textId="77777777" w:rsidR="0015270F" w:rsidRPr="0095562E" w:rsidRDefault="0015270F" w:rsidP="00162359">
            <w:pPr>
              <w:spacing w:before="0" w:after="0"/>
              <w:rPr>
                <w:rStyle w:val="BookTitle"/>
                <w:sz w:val="18"/>
                <w:szCs w:val="18"/>
              </w:rPr>
            </w:pPr>
            <w:r w:rsidRPr="0095562E">
              <w:rPr>
                <w:rStyle w:val="BookTitle"/>
                <w:sz w:val="18"/>
                <w:szCs w:val="18"/>
              </w:rPr>
              <w:t>TSS</w:t>
            </w:r>
          </w:p>
        </w:tc>
        <w:tc>
          <w:tcPr>
            <w:tcW w:w="324" w:type="pct"/>
            <w:tcBorders>
              <w:top w:val="nil"/>
              <w:left w:val="nil"/>
              <w:bottom w:val="nil"/>
              <w:right w:val="nil"/>
            </w:tcBorders>
            <w:shd w:val="clear" w:color="auto" w:fill="auto"/>
            <w:noWrap/>
            <w:vAlign w:val="bottom"/>
            <w:hideMark/>
          </w:tcPr>
          <w:p w14:paraId="0C3F83DA"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429" w:type="pct"/>
            <w:tcBorders>
              <w:top w:val="nil"/>
              <w:left w:val="nil"/>
              <w:bottom w:val="nil"/>
              <w:right w:val="nil"/>
            </w:tcBorders>
            <w:shd w:val="clear" w:color="auto" w:fill="auto"/>
            <w:noWrap/>
            <w:vAlign w:val="bottom"/>
            <w:hideMark/>
          </w:tcPr>
          <w:p w14:paraId="0C3F83DB" w14:textId="77777777" w:rsidR="0015270F" w:rsidRPr="0095562E" w:rsidRDefault="0015270F" w:rsidP="00162359">
            <w:pPr>
              <w:spacing w:before="0" w:after="0"/>
              <w:rPr>
                <w:rStyle w:val="BookTitle"/>
                <w:sz w:val="18"/>
                <w:szCs w:val="18"/>
              </w:rPr>
            </w:pPr>
            <w:r w:rsidRPr="0095562E">
              <w:rPr>
                <w:rStyle w:val="BookTitle"/>
                <w:sz w:val="18"/>
                <w:szCs w:val="18"/>
              </w:rPr>
              <w:t>-0.14</w:t>
            </w:r>
          </w:p>
        </w:tc>
        <w:tc>
          <w:tcPr>
            <w:tcW w:w="324" w:type="pct"/>
            <w:tcBorders>
              <w:top w:val="nil"/>
              <w:left w:val="nil"/>
              <w:bottom w:val="nil"/>
              <w:right w:val="nil"/>
            </w:tcBorders>
            <w:shd w:val="clear" w:color="auto" w:fill="auto"/>
            <w:noWrap/>
            <w:vAlign w:val="bottom"/>
            <w:hideMark/>
          </w:tcPr>
          <w:p w14:paraId="0C3F83DC" w14:textId="77777777" w:rsidR="0015270F" w:rsidRPr="0095562E" w:rsidRDefault="0015270F" w:rsidP="00162359">
            <w:pPr>
              <w:spacing w:before="0" w:after="0"/>
              <w:rPr>
                <w:rStyle w:val="BookTitle"/>
                <w:sz w:val="18"/>
                <w:szCs w:val="18"/>
              </w:rPr>
            </w:pPr>
            <w:r w:rsidRPr="0095562E">
              <w:rPr>
                <w:rStyle w:val="BookTitle"/>
                <w:sz w:val="18"/>
                <w:szCs w:val="18"/>
              </w:rPr>
              <w:t>-0.46</w:t>
            </w:r>
          </w:p>
        </w:tc>
        <w:tc>
          <w:tcPr>
            <w:tcW w:w="324" w:type="pct"/>
            <w:tcBorders>
              <w:top w:val="nil"/>
              <w:left w:val="nil"/>
              <w:bottom w:val="nil"/>
              <w:right w:val="nil"/>
            </w:tcBorders>
            <w:shd w:val="clear" w:color="auto" w:fill="auto"/>
            <w:noWrap/>
            <w:vAlign w:val="bottom"/>
            <w:hideMark/>
          </w:tcPr>
          <w:p w14:paraId="0C3F83DD"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3DE"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auto" w:fill="auto"/>
            <w:noWrap/>
            <w:vAlign w:val="bottom"/>
            <w:hideMark/>
          </w:tcPr>
          <w:p w14:paraId="0C3F83DF" w14:textId="77777777" w:rsidR="0015270F" w:rsidRPr="0095562E" w:rsidRDefault="0015270F" w:rsidP="00162359">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bottom"/>
            <w:hideMark/>
          </w:tcPr>
          <w:p w14:paraId="0C3F83E0" w14:textId="77777777" w:rsidR="0015270F" w:rsidRPr="0095562E" w:rsidRDefault="0015270F" w:rsidP="00162359">
            <w:pPr>
              <w:spacing w:before="0" w:after="0"/>
              <w:rPr>
                <w:rStyle w:val="BookTitle"/>
                <w:sz w:val="18"/>
                <w:szCs w:val="18"/>
              </w:rPr>
            </w:pPr>
            <w:r w:rsidRPr="0095562E">
              <w:rPr>
                <w:rStyle w:val="BookTitle"/>
                <w:sz w:val="18"/>
                <w:szCs w:val="18"/>
              </w:rPr>
              <w:t>0.24</w:t>
            </w:r>
          </w:p>
        </w:tc>
        <w:tc>
          <w:tcPr>
            <w:tcW w:w="324" w:type="pct"/>
            <w:tcBorders>
              <w:top w:val="nil"/>
              <w:left w:val="nil"/>
              <w:bottom w:val="nil"/>
              <w:right w:val="nil"/>
            </w:tcBorders>
            <w:shd w:val="clear" w:color="auto" w:fill="auto"/>
            <w:noWrap/>
            <w:vAlign w:val="bottom"/>
            <w:hideMark/>
          </w:tcPr>
          <w:p w14:paraId="0C3F83E1" w14:textId="77777777" w:rsidR="0015270F" w:rsidRPr="0095562E" w:rsidRDefault="0015270F" w:rsidP="00162359">
            <w:pPr>
              <w:spacing w:before="0" w:after="0"/>
              <w:rPr>
                <w:rStyle w:val="BookTitle"/>
                <w:sz w:val="18"/>
                <w:szCs w:val="18"/>
              </w:rPr>
            </w:pPr>
            <w:r w:rsidRPr="0095562E">
              <w:rPr>
                <w:rStyle w:val="BookTitle"/>
                <w:sz w:val="18"/>
                <w:szCs w:val="18"/>
              </w:rPr>
              <w:t>-0.19</w:t>
            </w:r>
          </w:p>
        </w:tc>
        <w:tc>
          <w:tcPr>
            <w:tcW w:w="324" w:type="pct"/>
            <w:tcBorders>
              <w:top w:val="nil"/>
              <w:left w:val="nil"/>
              <w:bottom w:val="nil"/>
              <w:right w:val="nil"/>
            </w:tcBorders>
            <w:shd w:val="clear" w:color="auto" w:fill="auto"/>
            <w:noWrap/>
            <w:vAlign w:val="bottom"/>
            <w:hideMark/>
          </w:tcPr>
          <w:p w14:paraId="0C3F83E2"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3E3"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auto" w:fill="auto"/>
            <w:noWrap/>
            <w:vAlign w:val="bottom"/>
            <w:hideMark/>
          </w:tcPr>
          <w:p w14:paraId="0C3F83E4" w14:textId="77777777" w:rsidR="0015270F" w:rsidRPr="0095562E" w:rsidRDefault="0015270F" w:rsidP="00162359">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bottom"/>
            <w:hideMark/>
          </w:tcPr>
          <w:p w14:paraId="0C3F83E5"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bottom"/>
            <w:hideMark/>
          </w:tcPr>
          <w:p w14:paraId="0C3F83E6"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auto" w:fill="auto"/>
            <w:noWrap/>
            <w:vAlign w:val="bottom"/>
            <w:hideMark/>
          </w:tcPr>
          <w:p w14:paraId="0C3F83E7" w14:textId="77777777" w:rsidR="0015270F" w:rsidRPr="0095562E" w:rsidRDefault="0015270F" w:rsidP="00162359">
            <w:pPr>
              <w:spacing w:before="0" w:after="0"/>
              <w:rPr>
                <w:rStyle w:val="BookTitle"/>
                <w:sz w:val="18"/>
                <w:szCs w:val="18"/>
              </w:rPr>
            </w:pPr>
            <w:r w:rsidRPr="0095562E">
              <w:rPr>
                <w:rStyle w:val="BookTitle"/>
                <w:sz w:val="18"/>
                <w:szCs w:val="18"/>
              </w:rPr>
              <w:t>0.02</w:t>
            </w:r>
          </w:p>
        </w:tc>
      </w:tr>
      <w:tr w:rsidR="0015270F" w:rsidRPr="0095562E" w14:paraId="0C3F83F8" w14:textId="77777777" w:rsidTr="00162359">
        <w:trPr>
          <w:trHeight w:val="20"/>
        </w:trPr>
        <w:tc>
          <w:tcPr>
            <w:tcW w:w="360" w:type="pct"/>
            <w:tcBorders>
              <w:top w:val="nil"/>
              <w:left w:val="nil"/>
              <w:bottom w:val="nil"/>
              <w:right w:val="nil"/>
            </w:tcBorders>
            <w:shd w:val="clear" w:color="auto" w:fill="auto"/>
            <w:noWrap/>
            <w:vAlign w:val="center"/>
            <w:hideMark/>
          </w:tcPr>
          <w:p w14:paraId="0C3F83E9" w14:textId="77777777" w:rsidR="0015270F" w:rsidRPr="0095562E" w:rsidRDefault="0015270F" w:rsidP="00162359">
            <w:pPr>
              <w:spacing w:before="0" w:after="0"/>
              <w:rPr>
                <w:rStyle w:val="BookTitle"/>
                <w:sz w:val="18"/>
                <w:szCs w:val="18"/>
              </w:rPr>
            </w:pPr>
            <w:r w:rsidRPr="0095562E">
              <w:rPr>
                <w:rStyle w:val="BookTitle"/>
                <w:sz w:val="18"/>
                <w:szCs w:val="18"/>
              </w:rPr>
              <w:t>chl-a</w:t>
            </w:r>
          </w:p>
        </w:tc>
        <w:tc>
          <w:tcPr>
            <w:tcW w:w="324" w:type="pct"/>
            <w:tcBorders>
              <w:top w:val="nil"/>
              <w:left w:val="nil"/>
              <w:bottom w:val="nil"/>
              <w:right w:val="nil"/>
            </w:tcBorders>
            <w:shd w:val="clear" w:color="auto" w:fill="auto"/>
            <w:noWrap/>
            <w:vAlign w:val="bottom"/>
            <w:hideMark/>
          </w:tcPr>
          <w:p w14:paraId="0C3F83EA" w14:textId="77777777" w:rsidR="0015270F" w:rsidRPr="0095562E" w:rsidRDefault="0015270F" w:rsidP="00162359">
            <w:pPr>
              <w:spacing w:before="0" w:after="0"/>
              <w:rPr>
                <w:rStyle w:val="BookTitle"/>
                <w:sz w:val="18"/>
                <w:szCs w:val="18"/>
              </w:rPr>
            </w:pPr>
            <w:r w:rsidRPr="0095562E">
              <w:rPr>
                <w:rStyle w:val="BookTitle"/>
                <w:sz w:val="18"/>
                <w:szCs w:val="18"/>
              </w:rPr>
              <w:t>0.14</w:t>
            </w:r>
          </w:p>
        </w:tc>
        <w:tc>
          <w:tcPr>
            <w:tcW w:w="429" w:type="pct"/>
            <w:tcBorders>
              <w:top w:val="nil"/>
              <w:left w:val="nil"/>
              <w:bottom w:val="nil"/>
              <w:right w:val="nil"/>
            </w:tcBorders>
            <w:shd w:val="clear" w:color="auto" w:fill="auto"/>
            <w:noWrap/>
            <w:vAlign w:val="bottom"/>
            <w:hideMark/>
          </w:tcPr>
          <w:p w14:paraId="0C3F83EB" w14:textId="77777777" w:rsidR="0015270F" w:rsidRPr="0095562E" w:rsidRDefault="0015270F" w:rsidP="00162359">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bottom"/>
            <w:hideMark/>
          </w:tcPr>
          <w:p w14:paraId="0C3F83EC"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3ED"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auto" w:fill="auto"/>
            <w:noWrap/>
            <w:vAlign w:val="bottom"/>
            <w:hideMark/>
          </w:tcPr>
          <w:p w14:paraId="0C3F83EE"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3EF" w14:textId="77777777" w:rsidR="0015270F" w:rsidRPr="0095562E" w:rsidRDefault="0015270F" w:rsidP="00162359">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bottom"/>
            <w:hideMark/>
          </w:tcPr>
          <w:p w14:paraId="0C3F83F0"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bottom"/>
            <w:hideMark/>
          </w:tcPr>
          <w:p w14:paraId="0C3F83F1"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3F2" w14:textId="77777777" w:rsidR="0015270F" w:rsidRPr="0095562E" w:rsidRDefault="0015270F" w:rsidP="00162359">
            <w:pPr>
              <w:spacing w:before="0" w:after="0"/>
              <w:rPr>
                <w:rStyle w:val="BookTitle"/>
                <w:sz w:val="18"/>
                <w:szCs w:val="18"/>
              </w:rPr>
            </w:pPr>
            <w:r w:rsidRPr="0095562E">
              <w:rPr>
                <w:rStyle w:val="BookTitle"/>
                <w:sz w:val="18"/>
                <w:szCs w:val="18"/>
              </w:rPr>
              <w:t>-0.10</w:t>
            </w:r>
          </w:p>
        </w:tc>
        <w:tc>
          <w:tcPr>
            <w:tcW w:w="324" w:type="pct"/>
            <w:tcBorders>
              <w:top w:val="nil"/>
              <w:left w:val="nil"/>
              <w:bottom w:val="nil"/>
              <w:right w:val="nil"/>
            </w:tcBorders>
            <w:shd w:val="clear" w:color="auto" w:fill="auto"/>
            <w:noWrap/>
            <w:vAlign w:val="bottom"/>
            <w:hideMark/>
          </w:tcPr>
          <w:p w14:paraId="0C3F83F3" w14:textId="77777777" w:rsidR="0015270F" w:rsidRPr="0095562E" w:rsidRDefault="0015270F" w:rsidP="00162359">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bottom"/>
            <w:hideMark/>
          </w:tcPr>
          <w:p w14:paraId="0C3F83F4"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bottom"/>
            <w:hideMark/>
          </w:tcPr>
          <w:p w14:paraId="0C3F83F5"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3F6"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3F7" w14:textId="77777777" w:rsidR="0015270F" w:rsidRPr="0095562E" w:rsidRDefault="0015270F" w:rsidP="00162359">
            <w:pPr>
              <w:spacing w:before="0" w:after="0"/>
              <w:rPr>
                <w:rStyle w:val="BookTitle"/>
                <w:sz w:val="18"/>
                <w:szCs w:val="18"/>
              </w:rPr>
            </w:pPr>
            <w:r w:rsidRPr="0095562E">
              <w:rPr>
                <w:rStyle w:val="BookTitle"/>
                <w:sz w:val="18"/>
                <w:szCs w:val="18"/>
              </w:rPr>
              <w:t>-0.39</w:t>
            </w:r>
          </w:p>
        </w:tc>
      </w:tr>
      <w:tr w:rsidR="0015270F" w:rsidRPr="0095562E" w14:paraId="0C3F8408" w14:textId="77777777" w:rsidTr="00162359">
        <w:trPr>
          <w:trHeight w:val="20"/>
        </w:trPr>
        <w:tc>
          <w:tcPr>
            <w:tcW w:w="360" w:type="pct"/>
            <w:tcBorders>
              <w:top w:val="nil"/>
              <w:left w:val="nil"/>
              <w:bottom w:val="nil"/>
              <w:right w:val="nil"/>
            </w:tcBorders>
            <w:shd w:val="clear" w:color="auto" w:fill="auto"/>
            <w:noWrap/>
            <w:vAlign w:val="center"/>
            <w:hideMark/>
          </w:tcPr>
          <w:p w14:paraId="0C3F83F9" w14:textId="77777777" w:rsidR="0015270F" w:rsidRPr="0095562E" w:rsidRDefault="0015270F" w:rsidP="00162359">
            <w:pPr>
              <w:spacing w:before="0" w:after="0"/>
              <w:rPr>
                <w:rStyle w:val="BookTitle"/>
                <w:sz w:val="18"/>
                <w:szCs w:val="18"/>
              </w:rPr>
            </w:pPr>
            <w:r w:rsidRPr="0095562E">
              <w:rPr>
                <w:rStyle w:val="BookTitle"/>
                <w:sz w:val="18"/>
                <w:szCs w:val="18"/>
              </w:rPr>
              <w:t>TN</w:t>
            </w:r>
          </w:p>
        </w:tc>
        <w:tc>
          <w:tcPr>
            <w:tcW w:w="324" w:type="pct"/>
            <w:tcBorders>
              <w:top w:val="nil"/>
              <w:left w:val="nil"/>
              <w:bottom w:val="nil"/>
              <w:right w:val="nil"/>
            </w:tcBorders>
            <w:shd w:val="clear" w:color="auto" w:fill="auto"/>
            <w:noWrap/>
            <w:vAlign w:val="bottom"/>
            <w:hideMark/>
          </w:tcPr>
          <w:p w14:paraId="0C3F83FA" w14:textId="77777777" w:rsidR="0015270F" w:rsidRPr="0095562E" w:rsidRDefault="0015270F" w:rsidP="00162359">
            <w:pPr>
              <w:spacing w:before="0" w:after="0"/>
              <w:rPr>
                <w:rStyle w:val="BookTitle"/>
                <w:sz w:val="18"/>
                <w:szCs w:val="18"/>
              </w:rPr>
            </w:pPr>
            <w:r w:rsidRPr="0095562E">
              <w:rPr>
                <w:rStyle w:val="BookTitle"/>
                <w:sz w:val="18"/>
                <w:szCs w:val="18"/>
              </w:rPr>
              <w:t>-0.38</w:t>
            </w:r>
          </w:p>
        </w:tc>
        <w:tc>
          <w:tcPr>
            <w:tcW w:w="429" w:type="pct"/>
            <w:tcBorders>
              <w:top w:val="nil"/>
              <w:left w:val="nil"/>
              <w:bottom w:val="nil"/>
              <w:right w:val="nil"/>
            </w:tcBorders>
            <w:shd w:val="clear" w:color="auto" w:fill="auto"/>
            <w:noWrap/>
            <w:vAlign w:val="bottom"/>
            <w:hideMark/>
          </w:tcPr>
          <w:p w14:paraId="0C3F83FB"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auto" w:fill="auto"/>
            <w:noWrap/>
            <w:vAlign w:val="bottom"/>
            <w:hideMark/>
          </w:tcPr>
          <w:p w14:paraId="0C3F83FC" w14:textId="77777777" w:rsidR="0015270F" w:rsidRPr="0095562E" w:rsidRDefault="0015270F" w:rsidP="00162359">
            <w:pPr>
              <w:spacing w:before="0" w:after="0"/>
              <w:rPr>
                <w:rStyle w:val="BookTitle"/>
                <w:sz w:val="18"/>
                <w:szCs w:val="18"/>
              </w:rPr>
            </w:pPr>
            <w:r w:rsidRPr="0095562E">
              <w:rPr>
                <w:rStyle w:val="BookTitle"/>
                <w:sz w:val="18"/>
                <w:szCs w:val="18"/>
              </w:rPr>
              <w:t>-0.44</w:t>
            </w:r>
          </w:p>
        </w:tc>
        <w:tc>
          <w:tcPr>
            <w:tcW w:w="324" w:type="pct"/>
            <w:tcBorders>
              <w:top w:val="nil"/>
              <w:left w:val="nil"/>
              <w:bottom w:val="nil"/>
              <w:right w:val="nil"/>
            </w:tcBorders>
            <w:shd w:val="clear" w:color="auto" w:fill="auto"/>
            <w:noWrap/>
            <w:vAlign w:val="bottom"/>
            <w:hideMark/>
          </w:tcPr>
          <w:p w14:paraId="0C3F83FD" w14:textId="77777777" w:rsidR="0015270F" w:rsidRPr="0095562E" w:rsidRDefault="0015270F" w:rsidP="00162359">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bottom"/>
            <w:hideMark/>
          </w:tcPr>
          <w:p w14:paraId="0C3F83FE" w14:textId="77777777" w:rsidR="0015270F" w:rsidRPr="0095562E" w:rsidRDefault="0015270F" w:rsidP="00162359">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bottom"/>
            <w:hideMark/>
          </w:tcPr>
          <w:p w14:paraId="0C3F83FF"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bottom"/>
            <w:hideMark/>
          </w:tcPr>
          <w:p w14:paraId="0C3F8400" w14:textId="77777777" w:rsidR="0015270F" w:rsidRPr="0095562E" w:rsidRDefault="0015270F" w:rsidP="00162359">
            <w:pPr>
              <w:spacing w:before="0" w:after="0"/>
              <w:rPr>
                <w:rStyle w:val="BookTitle"/>
                <w:sz w:val="18"/>
                <w:szCs w:val="18"/>
              </w:rPr>
            </w:pPr>
            <w:r w:rsidRPr="0095562E">
              <w:rPr>
                <w:rStyle w:val="BookTitle"/>
                <w:sz w:val="18"/>
                <w:szCs w:val="18"/>
              </w:rPr>
              <w:t>0.81</w:t>
            </w:r>
          </w:p>
        </w:tc>
        <w:tc>
          <w:tcPr>
            <w:tcW w:w="324" w:type="pct"/>
            <w:tcBorders>
              <w:top w:val="nil"/>
              <w:left w:val="nil"/>
              <w:bottom w:val="nil"/>
              <w:right w:val="nil"/>
            </w:tcBorders>
            <w:shd w:val="clear" w:color="auto" w:fill="auto"/>
            <w:noWrap/>
            <w:vAlign w:val="bottom"/>
            <w:hideMark/>
          </w:tcPr>
          <w:p w14:paraId="0C3F8401"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402" w14:textId="77777777" w:rsidR="0015270F" w:rsidRPr="0095562E" w:rsidRDefault="0015270F" w:rsidP="00162359">
            <w:pPr>
              <w:spacing w:before="0" w:after="0"/>
              <w:rPr>
                <w:rStyle w:val="BookTitle"/>
                <w:sz w:val="18"/>
                <w:szCs w:val="18"/>
              </w:rPr>
            </w:pPr>
            <w:r w:rsidRPr="0095562E">
              <w:rPr>
                <w:rStyle w:val="BookTitle"/>
                <w:sz w:val="18"/>
                <w:szCs w:val="18"/>
              </w:rPr>
              <w:t>0.56</w:t>
            </w:r>
          </w:p>
        </w:tc>
        <w:tc>
          <w:tcPr>
            <w:tcW w:w="324" w:type="pct"/>
            <w:tcBorders>
              <w:top w:val="nil"/>
              <w:left w:val="nil"/>
              <w:bottom w:val="nil"/>
              <w:right w:val="nil"/>
            </w:tcBorders>
            <w:shd w:val="clear" w:color="auto" w:fill="auto"/>
            <w:noWrap/>
            <w:vAlign w:val="bottom"/>
            <w:hideMark/>
          </w:tcPr>
          <w:p w14:paraId="0C3F8403" w14:textId="77777777" w:rsidR="0015270F" w:rsidRPr="0095562E" w:rsidRDefault="0015270F" w:rsidP="00162359">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bottom"/>
            <w:hideMark/>
          </w:tcPr>
          <w:p w14:paraId="0C3F8404"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405" w14:textId="77777777" w:rsidR="0015270F" w:rsidRPr="0095562E" w:rsidRDefault="0015270F" w:rsidP="00162359">
            <w:pPr>
              <w:spacing w:before="0" w:after="0"/>
              <w:rPr>
                <w:rStyle w:val="BookTitle"/>
                <w:sz w:val="18"/>
                <w:szCs w:val="18"/>
              </w:rPr>
            </w:pPr>
            <w:r w:rsidRPr="0095562E">
              <w:rPr>
                <w:rStyle w:val="BookTitle"/>
                <w:sz w:val="18"/>
                <w:szCs w:val="18"/>
              </w:rPr>
              <w:t>0.24</w:t>
            </w:r>
          </w:p>
        </w:tc>
        <w:tc>
          <w:tcPr>
            <w:tcW w:w="324" w:type="pct"/>
            <w:tcBorders>
              <w:top w:val="nil"/>
              <w:left w:val="nil"/>
              <w:bottom w:val="nil"/>
              <w:right w:val="nil"/>
            </w:tcBorders>
            <w:shd w:val="clear" w:color="auto" w:fill="auto"/>
            <w:noWrap/>
            <w:vAlign w:val="bottom"/>
            <w:hideMark/>
          </w:tcPr>
          <w:p w14:paraId="0C3F8406" w14:textId="77777777" w:rsidR="0015270F" w:rsidRPr="0095562E" w:rsidRDefault="0015270F" w:rsidP="00162359">
            <w:pPr>
              <w:spacing w:before="0" w:after="0"/>
              <w:rPr>
                <w:rStyle w:val="BookTitle"/>
                <w:sz w:val="18"/>
                <w:szCs w:val="18"/>
              </w:rPr>
            </w:pPr>
            <w:r w:rsidRPr="0095562E">
              <w:rPr>
                <w:rStyle w:val="BookTitle"/>
                <w:sz w:val="18"/>
                <w:szCs w:val="18"/>
              </w:rPr>
              <w:t>0.42</w:t>
            </w:r>
          </w:p>
        </w:tc>
        <w:tc>
          <w:tcPr>
            <w:tcW w:w="324" w:type="pct"/>
            <w:tcBorders>
              <w:top w:val="nil"/>
              <w:left w:val="nil"/>
              <w:bottom w:val="nil"/>
              <w:right w:val="nil"/>
            </w:tcBorders>
            <w:shd w:val="clear" w:color="auto" w:fill="auto"/>
            <w:noWrap/>
            <w:vAlign w:val="bottom"/>
            <w:hideMark/>
          </w:tcPr>
          <w:p w14:paraId="0C3F8407" w14:textId="77777777" w:rsidR="0015270F" w:rsidRPr="0095562E" w:rsidRDefault="0015270F" w:rsidP="00162359">
            <w:pPr>
              <w:spacing w:before="0" w:after="0"/>
              <w:rPr>
                <w:rStyle w:val="BookTitle"/>
                <w:sz w:val="18"/>
                <w:szCs w:val="18"/>
              </w:rPr>
            </w:pPr>
            <w:r w:rsidRPr="0095562E">
              <w:rPr>
                <w:rStyle w:val="BookTitle"/>
                <w:sz w:val="18"/>
                <w:szCs w:val="18"/>
              </w:rPr>
              <w:t>0.27</w:t>
            </w:r>
          </w:p>
        </w:tc>
      </w:tr>
      <w:tr w:rsidR="0015270F" w:rsidRPr="0095562E" w14:paraId="0C3F8418" w14:textId="77777777" w:rsidTr="00162359">
        <w:trPr>
          <w:trHeight w:val="20"/>
        </w:trPr>
        <w:tc>
          <w:tcPr>
            <w:tcW w:w="360" w:type="pct"/>
            <w:tcBorders>
              <w:top w:val="nil"/>
              <w:left w:val="nil"/>
              <w:bottom w:val="nil"/>
              <w:right w:val="nil"/>
            </w:tcBorders>
            <w:shd w:val="clear" w:color="auto" w:fill="auto"/>
            <w:noWrap/>
            <w:vAlign w:val="center"/>
            <w:hideMark/>
          </w:tcPr>
          <w:p w14:paraId="0C3F8409" w14:textId="77777777" w:rsidR="0015270F" w:rsidRPr="0095562E" w:rsidRDefault="0015270F" w:rsidP="00162359">
            <w:pPr>
              <w:spacing w:before="0" w:after="0"/>
              <w:rPr>
                <w:rStyle w:val="BookTitle"/>
                <w:sz w:val="18"/>
                <w:szCs w:val="18"/>
              </w:rPr>
            </w:pPr>
            <w:r w:rsidRPr="0095562E">
              <w:rPr>
                <w:rStyle w:val="BookTitle"/>
                <w:sz w:val="18"/>
                <w:szCs w:val="18"/>
              </w:rPr>
              <w:t>TDN</w:t>
            </w:r>
          </w:p>
        </w:tc>
        <w:tc>
          <w:tcPr>
            <w:tcW w:w="324" w:type="pct"/>
            <w:tcBorders>
              <w:top w:val="nil"/>
              <w:left w:val="nil"/>
              <w:bottom w:val="nil"/>
              <w:right w:val="nil"/>
            </w:tcBorders>
            <w:shd w:val="clear" w:color="auto" w:fill="auto"/>
            <w:noWrap/>
            <w:vAlign w:val="bottom"/>
            <w:hideMark/>
          </w:tcPr>
          <w:p w14:paraId="0C3F840A" w14:textId="77777777" w:rsidR="0015270F" w:rsidRPr="0095562E" w:rsidRDefault="0015270F" w:rsidP="00162359">
            <w:pPr>
              <w:spacing w:before="0" w:after="0"/>
              <w:rPr>
                <w:rStyle w:val="BookTitle"/>
                <w:sz w:val="18"/>
                <w:szCs w:val="18"/>
              </w:rPr>
            </w:pPr>
            <w:r w:rsidRPr="0095562E">
              <w:rPr>
                <w:rStyle w:val="BookTitle"/>
                <w:sz w:val="18"/>
                <w:szCs w:val="18"/>
              </w:rPr>
              <w:t>-0.60</w:t>
            </w:r>
          </w:p>
        </w:tc>
        <w:tc>
          <w:tcPr>
            <w:tcW w:w="429" w:type="pct"/>
            <w:tcBorders>
              <w:top w:val="nil"/>
              <w:left w:val="nil"/>
              <w:bottom w:val="nil"/>
              <w:right w:val="nil"/>
            </w:tcBorders>
            <w:shd w:val="clear" w:color="auto" w:fill="auto"/>
            <w:noWrap/>
            <w:vAlign w:val="bottom"/>
            <w:hideMark/>
          </w:tcPr>
          <w:p w14:paraId="0C3F840B"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auto" w:fill="auto"/>
            <w:noWrap/>
            <w:vAlign w:val="bottom"/>
            <w:hideMark/>
          </w:tcPr>
          <w:p w14:paraId="0C3F840C"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bottom"/>
            <w:hideMark/>
          </w:tcPr>
          <w:p w14:paraId="0C3F840D" w14:textId="77777777" w:rsidR="0015270F" w:rsidRPr="0095562E" w:rsidRDefault="0015270F" w:rsidP="00162359">
            <w:pPr>
              <w:spacing w:before="0" w:after="0"/>
              <w:rPr>
                <w:rStyle w:val="BookTitle"/>
                <w:sz w:val="18"/>
                <w:szCs w:val="18"/>
              </w:rPr>
            </w:pPr>
            <w:r w:rsidRPr="0095562E">
              <w:rPr>
                <w:rStyle w:val="BookTitle"/>
                <w:sz w:val="18"/>
                <w:szCs w:val="18"/>
              </w:rPr>
              <w:t>0.24</w:t>
            </w:r>
          </w:p>
        </w:tc>
        <w:tc>
          <w:tcPr>
            <w:tcW w:w="324" w:type="pct"/>
            <w:tcBorders>
              <w:top w:val="nil"/>
              <w:left w:val="nil"/>
              <w:bottom w:val="nil"/>
              <w:right w:val="nil"/>
            </w:tcBorders>
            <w:shd w:val="clear" w:color="auto" w:fill="auto"/>
            <w:noWrap/>
            <w:vAlign w:val="bottom"/>
            <w:hideMark/>
          </w:tcPr>
          <w:p w14:paraId="0C3F840E"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000000" w:fill="FFFF00"/>
            <w:noWrap/>
            <w:vAlign w:val="bottom"/>
            <w:hideMark/>
          </w:tcPr>
          <w:p w14:paraId="0C3F840F" w14:textId="77777777" w:rsidR="0015270F" w:rsidRPr="0095562E" w:rsidRDefault="0015270F" w:rsidP="00162359">
            <w:pPr>
              <w:spacing w:before="0" w:after="0"/>
              <w:rPr>
                <w:rStyle w:val="BookTitle"/>
                <w:sz w:val="18"/>
                <w:szCs w:val="18"/>
              </w:rPr>
            </w:pPr>
            <w:r w:rsidRPr="0095562E">
              <w:rPr>
                <w:rStyle w:val="BookTitle"/>
                <w:sz w:val="18"/>
                <w:szCs w:val="18"/>
              </w:rPr>
              <w:t>0.81</w:t>
            </w:r>
          </w:p>
        </w:tc>
        <w:tc>
          <w:tcPr>
            <w:tcW w:w="324" w:type="pct"/>
            <w:tcBorders>
              <w:top w:val="nil"/>
              <w:left w:val="nil"/>
              <w:bottom w:val="nil"/>
              <w:right w:val="nil"/>
            </w:tcBorders>
            <w:shd w:val="clear" w:color="auto" w:fill="auto"/>
            <w:noWrap/>
            <w:vAlign w:val="bottom"/>
            <w:hideMark/>
          </w:tcPr>
          <w:p w14:paraId="0C3F8410"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11"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000000" w:fill="FFFF00"/>
            <w:noWrap/>
            <w:vAlign w:val="bottom"/>
            <w:hideMark/>
          </w:tcPr>
          <w:p w14:paraId="0C3F8412" w14:textId="77777777" w:rsidR="0015270F" w:rsidRPr="0095562E" w:rsidRDefault="0015270F" w:rsidP="00162359">
            <w:pPr>
              <w:spacing w:before="0" w:after="0"/>
              <w:rPr>
                <w:rStyle w:val="BookTitle"/>
                <w:sz w:val="18"/>
                <w:szCs w:val="18"/>
              </w:rPr>
            </w:pPr>
            <w:r w:rsidRPr="0095562E">
              <w:rPr>
                <w:rStyle w:val="BookTitle"/>
                <w:sz w:val="18"/>
                <w:szCs w:val="18"/>
              </w:rPr>
              <w:t>0.73</w:t>
            </w:r>
          </w:p>
        </w:tc>
        <w:tc>
          <w:tcPr>
            <w:tcW w:w="324" w:type="pct"/>
            <w:tcBorders>
              <w:top w:val="nil"/>
              <w:left w:val="nil"/>
              <w:bottom w:val="nil"/>
              <w:right w:val="nil"/>
            </w:tcBorders>
            <w:shd w:val="clear" w:color="000000" w:fill="FFFF00"/>
            <w:noWrap/>
            <w:vAlign w:val="bottom"/>
            <w:hideMark/>
          </w:tcPr>
          <w:p w14:paraId="0C3F8413"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nil"/>
              <w:right w:val="nil"/>
            </w:tcBorders>
            <w:shd w:val="clear" w:color="auto" w:fill="auto"/>
            <w:noWrap/>
            <w:vAlign w:val="bottom"/>
            <w:hideMark/>
          </w:tcPr>
          <w:p w14:paraId="0C3F8414" w14:textId="77777777" w:rsidR="0015270F" w:rsidRPr="0095562E" w:rsidRDefault="0015270F" w:rsidP="00162359">
            <w:pPr>
              <w:spacing w:before="0" w:after="0"/>
              <w:rPr>
                <w:rStyle w:val="BookTitle"/>
                <w:sz w:val="18"/>
                <w:szCs w:val="18"/>
              </w:rPr>
            </w:pPr>
            <w:r w:rsidRPr="0095562E">
              <w:rPr>
                <w:rStyle w:val="BookTitle"/>
                <w:sz w:val="18"/>
                <w:szCs w:val="18"/>
              </w:rPr>
              <w:t>0.59</w:t>
            </w:r>
          </w:p>
        </w:tc>
        <w:tc>
          <w:tcPr>
            <w:tcW w:w="324" w:type="pct"/>
            <w:tcBorders>
              <w:top w:val="nil"/>
              <w:left w:val="nil"/>
              <w:bottom w:val="nil"/>
              <w:right w:val="nil"/>
            </w:tcBorders>
            <w:shd w:val="clear" w:color="auto" w:fill="auto"/>
            <w:noWrap/>
            <w:vAlign w:val="bottom"/>
            <w:hideMark/>
          </w:tcPr>
          <w:p w14:paraId="0C3F8415"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bottom"/>
            <w:hideMark/>
          </w:tcPr>
          <w:p w14:paraId="0C3F8416"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417" w14:textId="77777777" w:rsidR="0015270F" w:rsidRPr="0095562E" w:rsidRDefault="0015270F" w:rsidP="00162359">
            <w:pPr>
              <w:spacing w:before="0" w:after="0"/>
              <w:rPr>
                <w:rStyle w:val="BookTitle"/>
                <w:sz w:val="18"/>
                <w:szCs w:val="18"/>
              </w:rPr>
            </w:pPr>
            <w:r w:rsidRPr="0095562E">
              <w:rPr>
                <w:rStyle w:val="BookTitle"/>
                <w:sz w:val="18"/>
                <w:szCs w:val="18"/>
              </w:rPr>
              <w:t>0.56</w:t>
            </w:r>
          </w:p>
        </w:tc>
      </w:tr>
      <w:tr w:rsidR="0015270F" w:rsidRPr="0095562E" w14:paraId="0C3F8428" w14:textId="77777777" w:rsidTr="00162359">
        <w:trPr>
          <w:trHeight w:val="20"/>
        </w:trPr>
        <w:tc>
          <w:tcPr>
            <w:tcW w:w="360" w:type="pct"/>
            <w:tcBorders>
              <w:top w:val="nil"/>
              <w:left w:val="nil"/>
              <w:bottom w:val="nil"/>
              <w:right w:val="nil"/>
            </w:tcBorders>
            <w:shd w:val="clear" w:color="auto" w:fill="auto"/>
            <w:noWrap/>
            <w:vAlign w:val="center"/>
            <w:hideMark/>
          </w:tcPr>
          <w:p w14:paraId="0C3F8419" w14:textId="77777777" w:rsidR="0015270F" w:rsidRPr="0095562E" w:rsidRDefault="0015270F" w:rsidP="00162359">
            <w:pPr>
              <w:spacing w:before="0" w:after="0"/>
              <w:rPr>
                <w:rStyle w:val="BookTitle"/>
                <w:sz w:val="18"/>
                <w:szCs w:val="18"/>
              </w:rPr>
            </w:pPr>
            <w:r w:rsidRPr="0095562E">
              <w:rPr>
                <w:rStyle w:val="BookTitle"/>
                <w:sz w:val="18"/>
                <w:szCs w:val="18"/>
              </w:rPr>
              <w:t>DIN</w:t>
            </w:r>
          </w:p>
        </w:tc>
        <w:tc>
          <w:tcPr>
            <w:tcW w:w="324" w:type="pct"/>
            <w:tcBorders>
              <w:top w:val="nil"/>
              <w:left w:val="nil"/>
              <w:bottom w:val="nil"/>
              <w:right w:val="nil"/>
            </w:tcBorders>
            <w:shd w:val="clear" w:color="auto" w:fill="auto"/>
            <w:noWrap/>
            <w:vAlign w:val="bottom"/>
            <w:hideMark/>
          </w:tcPr>
          <w:p w14:paraId="0C3F841A" w14:textId="77777777" w:rsidR="0015270F" w:rsidRPr="0095562E" w:rsidRDefault="0015270F" w:rsidP="00162359">
            <w:pPr>
              <w:spacing w:before="0" w:after="0"/>
              <w:rPr>
                <w:rStyle w:val="BookTitle"/>
                <w:sz w:val="18"/>
                <w:szCs w:val="18"/>
              </w:rPr>
            </w:pPr>
            <w:r w:rsidRPr="0095562E">
              <w:rPr>
                <w:rStyle w:val="BookTitle"/>
                <w:sz w:val="18"/>
                <w:szCs w:val="18"/>
              </w:rPr>
              <w:t>-0.54</w:t>
            </w:r>
          </w:p>
        </w:tc>
        <w:tc>
          <w:tcPr>
            <w:tcW w:w="429" w:type="pct"/>
            <w:tcBorders>
              <w:top w:val="nil"/>
              <w:left w:val="nil"/>
              <w:bottom w:val="nil"/>
              <w:right w:val="nil"/>
            </w:tcBorders>
            <w:shd w:val="clear" w:color="000000" w:fill="FFFF00"/>
            <w:noWrap/>
            <w:vAlign w:val="bottom"/>
            <w:hideMark/>
          </w:tcPr>
          <w:p w14:paraId="0C3F841B" w14:textId="77777777" w:rsidR="0015270F" w:rsidRPr="0095562E" w:rsidRDefault="0015270F" w:rsidP="00162359">
            <w:pPr>
              <w:spacing w:before="0" w:after="0"/>
              <w:rPr>
                <w:rStyle w:val="BookTitle"/>
                <w:sz w:val="18"/>
                <w:szCs w:val="18"/>
              </w:rPr>
            </w:pPr>
            <w:r w:rsidRPr="0095562E">
              <w:rPr>
                <w:rStyle w:val="BookTitle"/>
                <w:sz w:val="18"/>
                <w:szCs w:val="18"/>
              </w:rPr>
              <w:t>0.70</w:t>
            </w:r>
          </w:p>
        </w:tc>
        <w:tc>
          <w:tcPr>
            <w:tcW w:w="324" w:type="pct"/>
            <w:tcBorders>
              <w:top w:val="nil"/>
              <w:left w:val="nil"/>
              <w:bottom w:val="nil"/>
              <w:right w:val="nil"/>
            </w:tcBorders>
            <w:shd w:val="clear" w:color="auto" w:fill="auto"/>
            <w:noWrap/>
            <w:vAlign w:val="bottom"/>
            <w:hideMark/>
          </w:tcPr>
          <w:p w14:paraId="0C3F841C" w14:textId="77777777" w:rsidR="0015270F" w:rsidRPr="0095562E" w:rsidRDefault="0015270F" w:rsidP="00162359">
            <w:pPr>
              <w:spacing w:before="0" w:after="0"/>
              <w:rPr>
                <w:rStyle w:val="BookTitle"/>
                <w:sz w:val="18"/>
                <w:szCs w:val="18"/>
              </w:rPr>
            </w:pPr>
            <w:r w:rsidRPr="0095562E">
              <w:rPr>
                <w:rStyle w:val="BookTitle"/>
                <w:sz w:val="18"/>
                <w:szCs w:val="18"/>
              </w:rPr>
              <w:t>-0.35</w:t>
            </w:r>
          </w:p>
        </w:tc>
        <w:tc>
          <w:tcPr>
            <w:tcW w:w="324" w:type="pct"/>
            <w:tcBorders>
              <w:top w:val="nil"/>
              <w:left w:val="nil"/>
              <w:bottom w:val="nil"/>
              <w:right w:val="nil"/>
            </w:tcBorders>
            <w:shd w:val="clear" w:color="auto" w:fill="auto"/>
            <w:noWrap/>
            <w:vAlign w:val="bottom"/>
            <w:hideMark/>
          </w:tcPr>
          <w:p w14:paraId="0C3F841D" w14:textId="77777777" w:rsidR="0015270F" w:rsidRPr="0095562E" w:rsidRDefault="0015270F" w:rsidP="00162359">
            <w:pPr>
              <w:spacing w:before="0" w:after="0"/>
              <w:rPr>
                <w:rStyle w:val="BookTitle"/>
                <w:sz w:val="18"/>
                <w:szCs w:val="18"/>
              </w:rPr>
            </w:pPr>
            <w:r w:rsidRPr="0095562E">
              <w:rPr>
                <w:rStyle w:val="BookTitle"/>
                <w:sz w:val="18"/>
                <w:szCs w:val="18"/>
              </w:rPr>
              <w:t>-0.19</w:t>
            </w:r>
          </w:p>
        </w:tc>
        <w:tc>
          <w:tcPr>
            <w:tcW w:w="324" w:type="pct"/>
            <w:tcBorders>
              <w:top w:val="nil"/>
              <w:left w:val="nil"/>
              <w:bottom w:val="nil"/>
              <w:right w:val="nil"/>
            </w:tcBorders>
            <w:shd w:val="clear" w:color="auto" w:fill="auto"/>
            <w:noWrap/>
            <w:vAlign w:val="bottom"/>
            <w:hideMark/>
          </w:tcPr>
          <w:p w14:paraId="0C3F841E"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41F"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420"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bottom"/>
            <w:hideMark/>
          </w:tcPr>
          <w:p w14:paraId="0C3F8421"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22" w14:textId="77777777" w:rsidR="0015270F" w:rsidRPr="0095562E" w:rsidRDefault="0015270F" w:rsidP="00162359">
            <w:pPr>
              <w:spacing w:before="0" w:after="0"/>
              <w:rPr>
                <w:rStyle w:val="BookTitle"/>
                <w:sz w:val="18"/>
                <w:szCs w:val="18"/>
              </w:rPr>
            </w:pPr>
            <w:r w:rsidRPr="0095562E">
              <w:rPr>
                <w:rStyle w:val="BookTitle"/>
                <w:sz w:val="18"/>
                <w:szCs w:val="18"/>
              </w:rPr>
              <w:t>0.26</w:t>
            </w:r>
          </w:p>
        </w:tc>
        <w:tc>
          <w:tcPr>
            <w:tcW w:w="324" w:type="pct"/>
            <w:tcBorders>
              <w:top w:val="nil"/>
              <w:left w:val="nil"/>
              <w:bottom w:val="nil"/>
              <w:right w:val="nil"/>
            </w:tcBorders>
            <w:shd w:val="clear" w:color="auto" w:fill="auto"/>
            <w:noWrap/>
            <w:vAlign w:val="bottom"/>
            <w:hideMark/>
          </w:tcPr>
          <w:p w14:paraId="0C3F8423"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424" w14:textId="77777777" w:rsidR="0015270F" w:rsidRPr="0095562E" w:rsidRDefault="0015270F" w:rsidP="00162359">
            <w:pPr>
              <w:spacing w:before="0" w:after="0"/>
              <w:rPr>
                <w:rStyle w:val="BookTitle"/>
                <w:sz w:val="18"/>
                <w:szCs w:val="18"/>
              </w:rPr>
            </w:pPr>
            <w:r w:rsidRPr="0095562E">
              <w:rPr>
                <w:rStyle w:val="BookTitle"/>
                <w:sz w:val="18"/>
                <w:szCs w:val="18"/>
              </w:rPr>
              <w:t>0.38</w:t>
            </w:r>
          </w:p>
        </w:tc>
        <w:tc>
          <w:tcPr>
            <w:tcW w:w="324" w:type="pct"/>
            <w:tcBorders>
              <w:top w:val="nil"/>
              <w:left w:val="nil"/>
              <w:bottom w:val="nil"/>
              <w:right w:val="nil"/>
            </w:tcBorders>
            <w:shd w:val="clear" w:color="auto" w:fill="auto"/>
            <w:noWrap/>
            <w:vAlign w:val="bottom"/>
            <w:hideMark/>
          </w:tcPr>
          <w:p w14:paraId="0C3F8425" w14:textId="77777777" w:rsidR="0015270F" w:rsidRPr="0095562E" w:rsidRDefault="0015270F" w:rsidP="00162359">
            <w:pPr>
              <w:spacing w:before="0" w:after="0"/>
              <w:rPr>
                <w:rStyle w:val="BookTitle"/>
                <w:sz w:val="18"/>
                <w:szCs w:val="18"/>
              </w:rPr>
            </w:pPr>
            <w:r w:rsidRPr="0095562E">
              <w:rPr>
                <w:rStyle w:val="BookTitle"/>
                <w:sz w:val="18"/>
                <w:szCs w:val="18"/>
              </w:rPr>
              <w:t>-0.19</w:t>
            </w:r>
          </w:p>
        </w:tc>
        <w:tc>
          <w:tcPr>
            <w:tcW w:w="324" w:type="pct"/>
            <w:tcBorders>
              <w:top w:val="nil"/>
              <w:left w:val="nil"/>
              <w:bottom w:val="nil"/>
              <w:right w:val="nil"/>
            </w:tcBorders>
            <w:shd w:val="clear" w:color="auto" w:fill="auto"/>
            <w:noWrap/>
            <w:vAlign w:val="bottom"/>
            <w:hideMark/>
          </w:tcPr>
          <w:p w14:paraId="0C3F8426"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000000" w:fill="FFFF00"/>
            <w:noWrap/>
            <w:vAlign w:val="bottom"/>
            <w:hideMark/>
          </w:tcPr>
          <w:p w14:paraId="0C3F8427" w14:textId="77777777" w:rsidR="0015270F" w:rsidRPr="0095562E" w:rsidRDefault="0015270F" w:rsidP="00162359">
            <w:pPr>
              <w:spacing w:before="0" w:after="0"/>
              <w:rPr>
                <w:rStyle w:val="BookTitle"/>
                <w:sz w:val="18"/>
                <w:szCs w:val="18"/>
              </w:rPr>
            </w:pPr>
            <w:r w:rsidRPr="0095562E">
              <w:rPr>
                <w:rStyle w:val="BookTitle"/>
                <w:sz w:val="18"/>
                <w:szCs w:val="18"/>
              </w:rPr>
              <w:t>0.68</w:t>
            </w:r>
          </w:p>
        </w:tc>
      </w:tr>
      <w:tr w:rsidR="0015270F" w:rsidRPr="0095562E" w14:paraId="0C3F8438" w14:textId="77777777" w:rsidTr="00162359">
        <w:trPr>
          <w:trHeight w:val="20"/>
        </w:trPr>
        <w:tc>
          <w:tcPr>
            <w:tcW w:w="360" w:type="pct"/>
            <w:tcBorders>
              <w:top w:val="nil"/>
              <w:left w:val="nil"/>
              <w:bottom w:val="nil"/>
              <w:right w:val="nil"/>
            </w:tcBorders>
            <w:shd w:val="clear" w:color="auto" w:fill="auto"/>
            <w:noWrap/>
            <w:vAlign w:val="center"/>
            <w:hideMark/>
          </w:tcPr>
          <w:p w14:paraId="0C3F8429" w14:textId="77777777" w:rsidR="0015270F" w:rsidRPr="0095562E" w:rsidRDefault="0015270F" w:rsidP="00162359">
            <w:pPr>
              <w:spacing w:before="0" w:after="0"/>
              <w:rPr>
                <w:rStyle w:val="BookTitle"/>
                <w:sz w:val="18"/>
                <w:szCs w:val="18"/>
              </w:rPr>
            </w:pPr>
            <w:r w:rsidRPr="0095562E">
              <w:rPr>
                <w:rStyle w:val="BookTitle"/>
                <w:sz w:val="18"/>
                <w:szCs w:val="18"/>
              </w:rPr>
              <w:t>TP</w:t>
            </w:r>
          </w:p>
        </w:tc>
        <w:tc>
          <w:tcPr>
            <w:tcW w:w="324" w:type="pct"/>
            <w:tcBorders>
              <w:top w:val="nil"/>
              <w:left w:val="nil"/>
              <w:bottom w:val="nil"/>
              <w:right w:val="nil"/>
            </w:tcBorders>
            <w:shd w:val="clear" w:color="000000" w:fill="FFFF00"/>
            <w:noWrap/>
            <w:vAlign w:val="bottom"/>
            <w:hideMark/>
          </w:tcPr>
          <w:p w14:paraId="0C3F842A" w14:textId="77777777" w:rsidR="0015270F" w:rsidRPr="0095562E" w:rsidRDefault="0015270F" w:rsidP="00162359">
            <w:pPr>
              <w:spacing w:before="0" w:after="0"/>
              <w:rPr>
                <w:rStyle w:val="BookTitle"/>
                <w:sz w:val="18"/>
                <w:szCs w:val="18"/>
              </w:rPr>
            </w:pPr>
            <w:r w:rsidRPr="0095562E">
              <w:rPr>
                <w:rStyle w:val="BookTitle"/>
                <w:sz w:val="18"/>
                <w:szCs w:val="18"/>
              </w:rPr>
              <w:t>-0.63</w:t>
            </w:r>
          </w:p>
        </w:tc>
        <w:tc>
          <w:tcPr>
            <w:tcW w:w="429" w:type="pct"/>
            <w:tcBorders>
              <w:top w:val="nil"/>
              <w:left w:val="nil"/>
              <w:bottom w:val="nil"/>
              <w:right w:val="nil"/>
            </w:tcBorders>
            <w:shd w:val="clear" w:color="auto" w:fill="auto"/>
            <w:noWrap/>
            <w:vAlign w:val="bottom"/>
            <w:hideMark/>
          </w:tcPr>
          <w:p w14:paraId="0C3F842B" w14:textId="77777777" w:rsidR="0015270F" w:rsidRPr="0095562E" w:rsidRDefault="0015270F" w:rsidP="00162359">
            <w:pPr>
              <w:spacing w:before="0" w:after="0"/>
              <w:rPr>
                <w:rStyle w:val="BookTitle"/>
                <w:sz w:val="18"/>
                <w:szCs w:val="18"/>
              </w:rPr>
            </w:pPr>
            <w:r w:rsidRPr="0095562E">
              <w:rPr>
                <w:rStyle w:val="BookTitle"/>
                <w:sz w:val="18"/>
                <w:szCs w:val="18"/>
              </w:rPr>
              <w:t>0.32</w:t>
            </w:r>
          </w:p>
        </w:tc>
        <w:tc>
          <w:tcPr>
            <w:tcW w:w="324" w:type="pct"/>
            <w:tcBorders>
              <w:top w:val="nil"/>
              <w:left w:val="nil"/>
              <w:bottom w:val="nil"/>
              <w:right w:val="nil"/>
            </w:tcBorders>
            <w:shd w:val="clear" w:color="auto" w:fill="auto"/>
            <w:noWrap/>
            <w:vAlign w:val="bottom"/>
            <w:hideMark/>
          </w:tcPr>
          <w:p w14:paraId="0C3F842C" w14:textId="77777777" w:rsidR="0015270F" w:rsidRPr="0095562E" w:rsidRDefault="0015270F" w:rsidP="00162359">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auto" w:fill="auto"/>
            <w:noWrap/>
            <w:vAlign w:val="bottom"/>
            <w:hideMark/>
          </w:tcPr>
          <w:p w14:paraId="0C3F842D"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42E" w14:textId="77777777" w:rsidR="0015270F" w:rsidRPr="0095562E" w:rsidRDefault="0015270F" w:rsidP="00162359">
            <w:pPr>
              <w:spacing w:before="0" w:after="0"/>
              <w:rPr>
                <w:rStyle w:val="BookTitle"/>
                <w:sz w:val="18"/>
                <w:szCs w:val="18"/>
              </w:rPr>
            </w:pPr>
            <w:r w:rsidRPr="0095562E">
              <w:rPr>
                <w:rStyle w:val="BookTitle"/>
                <w:sz w:val="18"/>
                <w:szCs w:val="18"/>
              </w:rPr>
              <w:t>-0.10</w:t>
            </w:r>
          </w:p>
        </w:tc>
        <w:tc>
          <w:tcPr>
            <w:tcW w:w="324" w:type="pct"/>
            <w:tcBorders>
              <w:top w:val="nil"/>
              <w:left w:val="nil"/>
              <w:bottom w:val="nil"/>
              <w:right w:val="nil"/>
            </w:tcBorders>
            <w:shd w:val="clear" w:color="auto" w:fill="auto"/>
            <w:noWrap/>
            <w:vAlign w:val="bottom"/>
            <w:hideMark/>
          </w:tcPr>
          <w:p w14:paraId="0C3F842F" w14:textId="77777777" w:rsidR="0015270F" w:rsidRPr="0095562E" w:rsidRDefault="0015270F" w:rsidP="00162359">
            <w:pPr>
              <w:spacing w:before="0" w:after="0"/>
              <w:rPr>
                <w:rStyle w:val="BookTitle"/>
                <w:sz w:val="18"/>
                <w:szCs w:val="18"/>
              </w:rPr>
            </w:pPr>
            <w:r w:rsidRPr="0095562E">
              <w:rPr>
                <w:rStyle w:val="BookTitle"/>
                <w:sz w:val="18"/>
                <w:szCs w:val="18"/>
              </w:rPr>
              <w:t>0.56</w:t>
            </w:r>
          </w:p>
        </w:tc>
        <w:tc>
          <w:tcPr>
            <w:tcW w:w="324" w:type="pct"/>
            <w:tcBorders>
              <w:top w:val="nil"/>
              <w:left w:val="nil"/>
              <w:bottom w:val="nil"/>
              <w:right w:val="nil"/>
            </w:tcBorders>
            <w:shd w:val="clear" w:color="000000" w:fill="FFFF00"/>
            <w:noWrap/>
            <w:vAlign w:val="bottom"/>
            <w:hideMark/>
          </w:tcPr>
          <w:p w14:paraId="0C3F8430" w14:textId="77777777" w:rsidR="0015270F" w:rsidRPr="0095562E" w:rsidRDefault="0015270F" w:rsidP="00162359">
            <w:pPr>
              <w:spacing w:before="0" w:after="0"/>
              <w:rPr>
                <w:rStyle w:val="BookTitle"/>
                <w:sz w:val="18"/>
                <w:szCs w:val="18"/>
              </w:rPr>
            </w:pPr>
            <w:r w:rsidRPr="0095562E">
              <w:rPr>
                <w:rStyle w:val="BookTitle"/>
                <w:sz w:val="18"/>
                <w:szCs w:val="18"/>
              </w:rPr>
              <w:t>0.73</w:t>
            </w:r>
          </w:p>
        </w:tc>
        <w:tc>
          <w:tcPr>
            <w:tcW w:w="324" w:type="pct"/>
            <w:tcBorders>
              <w:top w:val="nil"/>
              <w:left w:val="nil"/>
              <w:bottom w:val="nil"/>
              <w:right w:val="nil"/>
            </w:tcBorders>
            <w:shd w:val="clear" w:color="auto" w:fill="auto"/>
            <w:noWrap/>
            <w:vAlign w:val="bottom"/>
            <w:hideMark/>
          </w:tcPr>
          <w:p w14:paraId="0C3F8431" w14:textId="77777777" w:rsidR="0015270F" w:rsidRPr="0095562E" w:rsidRDefault="0015270F" w:rsidP="00162359">
            <w:pPr>
              <w:spacing w:before="0" w:after="0"/>
              <w:rPr>
                <w:rStyle w:val="BookTitle"/>
                <w:sz w:val="18"/>
                <w:szCs w:val="18"/>
              </w:rPr>
            </w:pPr>
            <w:r w:rsidRPr="0095562E">
              <w:rPr>
                <w:rStyle w:val="BookTitle"/>
                <w:sz w:val="18"/>
                <w:szCs w:val="18"/>
              </w:rPr>
              <w:t>0.26</w:t>
            </w:r>
          </w:p>
        </w:tc>
        <w:tc>
          <w:tcPr>
            <w:tcW w:w="324" w:type="pct"/>
            <w:tcBorders>
              <w:top w:val="nil"/>
              <w:left w:val="nil"/>
              <w:bottom w:val="nil"/>
              <w:right w:val="nil"/>
            </w:tcBorders>
            <w:shd w:val="clear" w:color="auto" w:fill="auto"/>
            <w:noWrap/>
            <w:vAlign w:val="bottom"/>
            <w:hideMark/>
          </w:tcPr>
          <w:p w14:paraId="0C3F8432"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bottom"/>
            <w:hideMark/>
          </w:tcPr>
          <w:p w14:paraId="0C3F8433" w14:textId="77777777" w:rsidR="0015270F" w:rsidRPr="0095562E" w:rsidRDefault="0015270F" w:rsidP="00162359">
            <w:pPr>
              <w:spacing w:before="0" w:after="0"/>
              <w:rPr>
                <w:rStyle w:val="BookTitle"/>
                <w:sz w:val="18"/>
                <w:szCs w:val="18"/>
              </w:rPr>
            </w:pPr>
            <w:r w:rsidRPr="0095562E">
              <w:rPr>
                <w:rStyle w:val="BookTitle"/>
                <w:sz w:val="18"/>
                <w:szCs w:val="18"/>
              </w:rPr>
              <w:t>0.77</w:t>
            </w:r>
          </w:p>
        </w:tc>
        <w:tc>
          <w:tcPr>
            <w:tcW w:w="324" w:type="pct"/>
            <w:tcBorders>
              <w:top w:val="nil"/>
              <w:left w:val="nil"/>
              <w:bottom w:val="nil"/>
              <w:right w:val="nil"/>
            </w:tcBorders>
            <w:shd w:val="clear" w:color="000000" w:fill="FFFF00"/>
            <w:noWrap/>
            <w:vAlign w:val="bottom"/>
            <w:hideMark/>
          </w:tcPr>
          <w:p w14:paraId="0C3F8434"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nil"/>
              <w:right w:val="nil"/>
            </w:tcBorders>
            <w:shd w:val="clear" w:color="auto" w:fill="auto"/>
            <w:noWrap/>
            <w:vAlign w:val="bottom"/>
            <w:hideMark/>
          </w:tcPr>
          <w:p w14:paraId="0C3F8435" w14:textId="77777777" w:rsidR="0015270F" w:rsidRPr="0095562E" w:rsidRDefault="0015270F" w:rsidP="00162359">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000000" w:fill="FFFF00"/>
            <w:noWrap/>
            <w:vAlign w:val="bottom"/>
            <w:hideMark/>
          </w:tcPr>
          <w:p w14:paraId="0C3F8436" w14:textId="77777777" w:rsidR="0015270F" w:rsidRPr="0095562E" w:rsidRDefault="0015270F" w:rsidP="00162359">
            <w:pPr>
              <w:spacing w:before="0" w:after="0"/>
              <w:rPr>
                <w:rStyle w:val="BookTitle"/>
                <w:sz w:val="18"/>
                <w:szCs w:val="18"/>
              </w:rPr>
            </w:pPr>
            <w:r w:rsidRPr="0095562E">
              <w:rPr>
                <w:rStyle w:val="BookTitle"/>
                <w:sz w:val="18"/>
                <w:szCs w:val="18"/>
              </w:rPr>
              <w:t>0.66</w:t>
            </w:r>
          </w:p>
        </w:tc>
        <w:tc>
          <w:tcPr>
            <w:tcW w:w="324" w:type="pct"/>
            <w:tcBorders>
              <w:top w:val="nil"/>
              <w:left w:val="nil"/>
              <w:bottom w:val="nil"/>
              <w:right w:val="nil"/>
            </w:tcBorders>
            <w:shd w:val="clear" w:color="000000" w:fill="FFFF00"/>
            <w:noWrap/>
            <w:vAlign w:val="bottom"/>
            <w:hideMark/>
          </w:tcPr>
          <w:p w14:paraId="0C3F8437" w14:textId="77777777" w:rsidR="0015270F" w:rsidRPr="0095562E" w:rsidRDefault="0015270F" w:rsidP="00162359">
            <w:pPr>
              <w:spacing w:before="0" w:after="0"/>
              <w:rPr>
                <w:rStyle w:val="BookTitle"/>
                <w:sz w:val="18"/>
                <w:szCs w:val="18"/>
              </w:rPr>
            </w:pPr>
            <w:r w:rsidRPr="0095562E">
              <w:rPr>
                <w:rStyle w:val="BookTitle"/>
                <w:sz w:val="18"/>
                <w:szCs w:val="18"/>
              </w:rPr>
              <w:t>0.65</w:t>
            </w:r>
          </w:p>
        </w:tc>
      </w:tr>
      <w:tr w:rsidR="0015270F" w:rsidRPr="0095562E" w14:paraId="0C3F8448" w14:textId="77777777" w:rsidTr="00162359">
        <w:trPr>
          <w:trHeight w:val="20"/>
        </w:trPr>
        <w:tc>
          <w:tcPr>
            <w:tcW w:w="360" w:type="pct"/>
            <w:tcBorders>
              <w:top w:val="nil"/>
              <w:left w:val="nil"/>
              <w:bottom w:val="nil"/>
              <w:right w:val="nil"/>
            </w:tcBorders>
            <w:shd w:val="clear" w:color="auto" w:fill="auto"/>
            <w:noWrap/>
            <w:vAlign w:val="center"/>
            <w:hideMark/>
          </w:tcPr>
          <w:p w14:paraId="0C3F8439" w14:textId="77777777" w:rsidR="0015270F" w:rsidRPr="0095562E" w:rsidRDefault="0015270F" w:rsidP="00162359">
            <w:pPr>
              <w:spacing w:before="0" w:after="0"/>
              <w:rPr>
                <w:rStyle w:val="BookTitle"/>
                <w:sz w:val="18"/>
                <w:szCs w:val="18"/>
              </w:rPr>
            </w:pPr>
            <w:r w:rsidRPr="0095562E">
              <w:rPr>
                <w:rStyle w:val="BookTitle"/>
                <w:sz w:val="18"/>
                <w:szCs w:val="18"/>
              </w:rPr>
              <w:t>TDP</w:t>
            </w:r>
          </w:p>
        </w:tc>
        <w:tc>
          <w:tcPr>
            <w:tcW w:w="324" w:type="pct"/>
            <w:tcBorders>
              <w:top w:val="nil"/>
              <w:left w:val="nil"/>
              <w:bottom w:val="nil"/>
              <w:right w:val="nil"/>
            </w:tcBorders>
            <w:shd w:val="clear" w:color="000000" w:fill="FFFF00"/>
            <w:noWrap/>
            <w:vAlign w:val="bottom"/>
            <w:hideMark/>
          </w:tcPr>
          <w:p w14:paraId="0C3F843A" w14:textId="77777777" w:rsidR="0015270F" w:rsidRPr="0095562E" w:rsidRDefault="0015270F" w:rsidP="00162359">
            <w:pPr>
              <w:spacing w:before="0" w:after="0"/>
              <w:rPr>
                <w:rStyle w:val="BookTitle"/>
                <w:sz w:val="18"/>
                <w:szCs w:val="18"/>
              </w:rPr>
            </w:pPr>
            <w:r w:rsidRPr="0095562E">
              <w:rPr>
                <w:rStyle w:val="BookTitle"/>
                <w:sz w:val="18"/>
                <w:szCs w:val="18"/>
              </w:rPr>
              <w:t>-0.69</w:t>
            </w:r>
          </w:p>
        </w:tc>
        <w:tc>
          <w:tcPr>
            <w:tcW w:w="429" w:type="pct"/>
            <w:tcBorders>
              <w:top w:val="nil"/>
              <w:left w:val="nil"/>
              <w:bottom w:val="nil"/>
              <w:right w:val="nil"/>
            </w:tcBorders>
            <w:shd w:val="clear" w:color="auto" w:fill="auto"/>
            <w:noWrap/>
            <w:vAlign w:val="bottom"/>
            <w:hideMark/>
          </w:tcPr>
          <w:p w14:paraId="0C3F843B" w14:textId="77777777" w:rsidR="0015270F" w:rsidRPr="0095562E" w:rsidRDefault="0015270F" w:rsidP="00162359">
            <w:pPr>
              <w:spacing w:before="0" w:after="0"/>
              <w:rPr>
                <w:rStyle w:val="BookTitle"/>
                <w:sz w:val="18"/>
                <w:szCs w:val="18"/>
              </w:rPr>
            </w:pPr>
            <w:r w:rsidRPr="0095562E">
              <w:rPr>
                <w:rStyle w:val="BookTitle"/>
                <w:sz w:val="18"/>
                <w:szCs w:val="18"/>
              </w:rPr>
              <w:t>0.49</w:t>
            </w:r>
          </w:p>
        </w:tc>
        <w:tc>
          <w:tcPr>
            <w:tcW w:w="324" w:type="pct"/>
            <w:tcBorders>
              <w:top w:val="nil"/>
              <w:left w:val="nil"/>
              <w:bottom w:val="nil"/>
              <w:right w:val="nil"/>
            </w:tcBorders>
            <w:shd w:val="clear" w:color="auto" w:fill="auto"/>
            <w:noWrap/>
            <w:vAlign w:val="bottom"/>
            <w:hideMark/>
          </w:tcPr>
          <w:p w14:paraId="0C3F843C" w14:textId="77777777" w:rsidR="0015270F" w:rsidRPr="0095562E" w:rsidRDefault="0015270F" w:rsidP="00162359">
            <w:pPr>
              <w:spacing w:before="0" w:after="0"/>
              <w:rPr>
                <w:rStyle w:val="BookTitle"/>
                <w:sz w:val="18"/>
                <w:szCs w:val="18"/>
              </w:rPr>
            </w:pPr>
            <w:r w:rsidRPr="0095562E">
              <w:rPr>
                <w:rStyle w:val="BookTitle"/>
                <w:sz w:val="18"/>
                <w:szCs w:val="18"/>
              </w:rPr>
              <w:t>-0.20</w:t>
            </w:r>
          </w:p>
        </w:tc>
        <w:tc>
          <w:tcPr>
            <w:tcW w:w="324" w:type="pct"/>
            <w:tcBorders>
              <w:top w:val="nil"/>
              <w:left w:val="nil"/>
              <w:bottom w:val="nil"/>
              <w:right w:val="nil"/>
            </w:tcBorders>
            <w:shd w:val="clear" w:color="auto" w:fill="auto"/>
            <w:noWrap/>
            <w:vAlign w:val="bottom"/>
            <w:hideMark/>
          </w:tcPr>
          <w:p w14:paraId="0C3F843D"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auto" w:fill="auto"/>
            <w:noWrap/>
            <w:vAlign w:val="bottom"/>
            <w:hideMark/>
          </w:tcPr>
          <w:p w14:paraId="0C3F843E" w14:textId="77777777" w:rsidR="0015270F" w:rsidRPr="0095562E" w:rsidRDefault="0015270F" w:rsidP="00162359">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bottom"/>
            <w:hideMark/>
          </w:tcPr>
          <w:p w14:paraId="0C3F843F" w14:textId="77777777" w:rsidR="0015270F" w:rsidRPr="0095562E" w:rsidRDefault="0015270F" w:rsidP="00162359">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000000" w:fill="FFFF00"/>
            <w:noWrap/>
            <w:vAlign w:val="bottom"/>
            <w:hideMark/>
          </w:tcPr>
          <w:p w14:paraId="0C3F8440"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nil"/>
              <w:right w:val="nil"/>
            </w:tcBorders>
            <w:shd w:val="clear" w:color="auto" w:fill="auto"/>
            <w:noWrap/>
            <w:vAlign w:val="bottom"/>
            <w:hideMark/>
          </w:tcPr>
          <w:p w14:paraId="0C3F8441"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000000" w:fill="FFFF00"/>
            <w:noWrap/>
            <w:vAlign w:val="bottom"/>
            <w:hideMark/>
          </w:tcPr>
          <w:p w14:paraId="0C3F8442" w14:textId="77777777" w:rsidR="0015270F" w:rsidRPr="0095562E" w:rsidRDefault="0015270F" w:rsidP="00162359">
            <w:pPr>
              <w:spacing w:before="0" w:after="0"/>
              <w:rPr>
                <w:rStyle w:val="BookTitle"/>
                <w:sz w:val="18"/>
                <w:szCs w:val="18"/>
              </w:rPr>
            </w:pPr>
            <w:r w:rsidRPr="0095562E">
              <w:rPr>
                <w:rStyle w:val="BookTitle"/>
                <w:sz w:val="18"/>
                <w:szCs w:val="18"/>
              </w:rPr>
              <w:t>0.77</w:t>
            </w:r>
          </w:p>
        </w:tc>
        <w:tc>
          <w:tcPr>
            <w:tcW w:w="324" w:type="pct"/>
            <w:tcBorders>
              <w:top w:val="nil"/>
              <w:left w:val="nil"/>
              <w:bottom w:val="nil"/>
              <w:right w:val="nil"/>
            </w:tcBorders>
            <w:shd w:val="clear" w:color="auto" w:fill="auto"/>
            <w:noWrap/>
            <w:vAlign w:val="bottom"/>
            <w:hideMark/>
          </w:tcPr>
          <w:p w14:paraId="0C3F8443"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bottom"/>
            <w:hideMark/>
          </w:tcPr>
          <w:p w14:paraId="0C3F8444" w14:textId="77777777" w:rsidR="0015270F" w:rsidRPr="0095562E" w:rsidRDefault="0015270F" w:rsidP="00162359">
            <w:pPr>
              <w:spacing w:before="0" w:after="0"/>
              <w:rPr>
                <w:rStyle w:val="BookTitle"/>
                <w:sz w:val="18"/>
                <w:szCs w:val="18"/>
              </w:rPr>
            </w:pPr>
            <w:r w:rsidRPr="0095562E">
              <w:rPr>
                <w:rStyle w:val="BookTitle"/>
                <w:sz w:val="18"/>
                <w:szCs w:val="18"/>
              </w:rPr>
              <w:t>0.81</w:t>
            </w:r>
          </w:p>
        </w:tc>
        <w:tc>
          <w:tcPr>
            <w:tcW w:w="324" w:type="pct"/>
            <w:tcBorders>
              <w:top w:val="nil"/>
              <w:left w:val="nil"/>
              <w:bottom w:val="nil"/>
              <w:right w:val="nil"/>
            </w:tcBorders>
            <w:shd w:val="clear" w:color="auto" w:fill="auto"/>
            <w:noWrap/>
            <w:vAlign w:val="bottom"/>
            <w:hideMark/>
          </w:tcPr>
          <w:p w14:paraId="0C3F8445" w14:textId="77777777" w:rsidR="0015270F" w:rsidRPr="0095562E" w:rsidRDefault="0015270F" w:rsidP="00162359">
            <w:pPr>
              <w:spacing w:before="0" w:after="0"/>
              <w:rPr>
                <w:rStyle w:val="BookTitle"/>
                <w:sz w:val="18"/>
                <w:szCs w:val="18"/>
              </w:rPr>
            </w:pPr>
            <w:r w:rsidRPr="0095562E">
              <w:rPr>
                <w:rStyle w:val="BookTitle"/>
                <w:sz w:val="18"/>
                <w:szCs w:val="18"/>
              </w:rPr>
              <w:t>-0.50</w:t>
            </w:r>
          </w:p>
        </w:tc>
        <w:tc>
          <w:tcPr>
            <w:tcW w:w="324" w:type="pct"/>
            <w:tcBorders>
              <w:top w:val="nil"/>
              <w:left w:val="nil"/>
              <w:bottom w:val="nil"/>
              <w:right w:val="nil"/>
            </w:tcBorders>
            <w:shd w:val="clear" w:color="auto" w:fill="auto"/>
            <w:noWrap/>
            <w:vAlign w:val="bottom"/>
            <w:hideMark/>
          </w:tcPr>
          <w:p w14:paraId="0C3F8446" w14:textId="77777777" w:rsidR="0015270F" w:rsidRPr="0095562E" w:rsidRDefault="0015270F" w:rsidP="00162359">
            <w:pPr>
              <w:spacing w:before="0" w:after="0"/>
              <w:rPr>
                <w:rStyle w:val="BookTitle"/>
                <w:sz w:val="18"/>
                <w:szCs w:val="18"/>
              </w:rPr>
            </w:pPr>
            <w:r w:rsidRPr="0095562E">
              <w:rPr>
                <w:rStyle w:val="BookTitle"/>
                <w:sz w:val="18"/>
                <w:szCs w:val="18"/>
              </w:rPr>
              <w:t>0.09</w:t>
            </w:r>
          </w:p>
        </w:tc>
        <w:tc>
          <w:tcPr>
            <w:tcW w:w="324" w:type="pct"/>
            <w:tcBorders>
              <w:top w:val="nil"/>
              <w:left w:val="nil"/>
              <w:bottom w:val="nil"/>
              <w:right w:val="nil"/>
            </w:tcBorders>
            <w:shd w:val="clear" w:color="000000" w:fill="FFFF00"/>
            <w:noWrap/>
            <w:vAlign w:val="bottom"/>
            <w:hideMark/>
          </w:tcPr>
          <w:p w14:paraId="0C3F8447" w14:textId="77777777" w:rsidR="0015270F" w:rsidRPr="0095562E" w:rsidRDefault="0015270F" w:rsidP="00162359">
            <w:pPr>
              <w:spacing w:before="0" w:after="0"/>
              <w:rPr>
                <w:rStyle w:val="BookTitle"/>
                <w:sz w:val="18"/>
                <w:szCs w:val="18"/>
              </w:rPr>
            </w:pPr>
            <w:r w:rsidRPr="0095562E">
              <w:rPr>
                <w:rStyle w:val="BookTitle"/>
                <w:sz w:val="18"/>
                <w:szCs w:val="18"/>
              </w:rPr>
              <w:t>0.74</w:t>
            </w:r>
          </w:p>
        </w:tc>
      </w:tr>
      <w:tr w:rsidR="0015270F" w:rsidRPr="0095562E" w14:paraId="0C3F8458" w14:textId="77777777" w:rsidTr="00162359">
        <w:trPr>
          <w:trHeight w:val="20"/>
        </w:trPr>
        <w:tc>
          <w:tcPr>
            <w:tcW w:w="360" w:type="pct"/>
            <w:tcBorders>
              <w:top w:val="nil"/>
              <w:left w:val="nil"/>
              <w:bottom w:val="nil"/>
              <w:right w:val="nil"/>
            </w:tcBorders>
            <w:shd w:val="clear" w:color="auto" w:fill="auto"/>
            <w:noWrap/>
            <w:vAlign w:val="center"/>
            <w:hideMark/>
          </w:tcPr>
          <w:p w14:paraId="0C3F8449" w14:textId="77777777" w:rsidR="0015270F" w:rsidRPr="0095562E" w:rsidRDefault="0015270F" w:rsidP="00162359">
            <w:pPr>
              <w:spacing w:before="0" w:after="0"/>
              <w:rPr>
                <w:rStyle w:val="BookTitle"/>
                <w:sz w:val="18"/>
                <w:szCs w:val="18"/>
              </w:rPr>
            </w:pPr>
            <w:r w:rsidRPr="0095562E">
              <w:rPr>
                <w:rStyle w:val="BookTitle"/>
                <w:sz w:val="18"/>
                <w:szCs w:val="18"/>
              </w:rPr>
              <w:t>DIP</w:t>
            </w:r>
          </w:p>
        </w:tc>
        <w:tc>
          <w:tcPr>
            <w:tcW w:w="324" w:type="pct"/>
            <w:tcBorders>
              <w:top w:val="nil"/>
              <w:left w:val="nil"/>
              <w:bottom w:val="nil"/>
              <w:right w:val="nil"/>
            </w:tcBorders>
            <w:shd w:val="clear" w:color="000000" w:fill="FFFF00"/>
            <w:noWrap/>
            <w:vAlign w:val="bottom"/>
            <w:hideMark/>
          </w:tcPr>
          <w:p w14:paraId="0C3F844A" w14:textId="77777777" w:rsidR="0015270F" w:rsidRPr="0095562E" w:rsidRDefault="0015270F" w:rsidP="00162359">
            <w:pPr>
              <w:spacing w:before="0" w:after="0"/>
              <w:rPr>
                <w:rStyle w:val="BookTitle"/>
                <w:sz w:val="18"/>
                <w:szCs w:val="18"/>
              </w:rPr>
            </w:pPr>
            <w:r w:rsidRPr="0095562E">
              <w:rPr>
                <w:rStyle w:val="BookTitle"/>
                <w:sz w:val="18"/>
                <w:szCs w:val="18"/>
              </w:rPr>
              <w:t>-0.65</w:t>
            </w:r>
          </w:p>
        </w:tc>
        <w:tc>
          <w:tcPr>
            <w:tcW w:w="429" w:type="pct"/>
            <w:tcBorders>
              <w:top w:val="nil"/>
              <w:left w:val="nil"/>
              <w:bottom w:val="nil"/>
              <w:right w:val="nil"/>
            </w:tcBorders>
            <w:shd w:val="clear" w:color="auto" w:fill="auto"/>
            <w:noWrap/>
            <w:vAlign w:val="bottom"/>
            <w:hideMark/>
          </w:tcPr>
          <w:p w14:paraId="0C3F844B" w14:textId="77777777" w:rsidR="0015270F" w:rsidRPr="0095562E" w:rsidRDefault="0015270F" w:rsidP="00162359">
            <w:pPr>
              <w:spacing w:before="0" w:after="0"/>
              <w:rPr>
                <w:rStyle w:val="BookTitle"/>
                <w:sz w:val="18"/>
                <w:szCs w:val="18"/>
              </w:rPr>
            </w:pPr>
            <w:r w:rsidRPr="0095562E">
              <w:rPr>
                <w:rStyle w:val="BookTitle"/>
                <w:sz w:val="18"/>
                <w:szCs w:val="18"/>
              </w:rPr>
              <w:t>0.46</w:t>
            </w:r>
          </w:p>
        </w:tc>
        <w:tc>
          <w:tcPr>
            <w:tcW w:w="324" w:type="pct"/>
            <w:tcBorders>
              <w:top w:val="nil"/>
              <w:left w:val="nil"/>
              <w:bottom w:val="nil"/>
              <w:right w:val="nil"/>
            </w:tcBorders>
            <w:shd w:val="clear" w:color="auto" w:fill="auto"/>
            <w:noWrap/>
            <w:vAlign w:val="bottom"/>
            <w:hideMark/>
          </w:tcPr>
          <w:p w14:paraId="0C3F844C" w14:textId="77777777" w:rsidR="0015270F" w:rsidRPr="0095562E" w:rsidRDefault="0015270F" w:rsidP="00162359">
            <w:pPr>
              <w:spacing w:before="0" w:after="0"/>
              <w:rPr>
                <w:rStyle w:val="BookTitle"/>
                <w:sz w:val="18"/>
                <w:szCs w:val="18"/>
              </w:rPr>
            </w:pPr>
            <w:r w:rsidRPr="0095562E">
              <w:rPr>
                <w:rStyle w:val="BookTitle"/>
                <w:sz w:val="18"/>
                <w:szCs w:val="18"/>
              </w:rPr>
              <w:t>-0.39</w:t>
            </w:r>
          </w:p>
        </w:tc>
        <w:tc>
          <w:tcPr>
            <w:tcW w:w="324" w:type="pct"/>
            <w:tcBorders>
              <w:top w:val="nil"/>
              <w:left w:val="nil"/>
              <w:bottom w:val="nil"/>
              <w:right w:val="nil"/>
            </w:tcBorders>
            <w:shd w:val="clear" w:color="auto" w:fill="auto"/>
            <w:noWrap/>
            <w:vAlign w:val="bottom"/>
            <w:hideMark/>
          </w:tcPr>
          <w:p w14:paraId="0C3F844D" w14:textId="77777777" w:rsidR="0015270F" w:rsidRPr="0095562E" w:rsidRDefault="0015270F" w:rsidP="00162359">
            <w:pPr>
              <w:spacing w:before="0" w:after="0"/>
              <w:rPr>
                <w:rStyle w:val="BookTitle"/>
                <w:sz w:val="18"/>
                <w:szCs w:val="18"/>
              </w:rPr>
            </w:pPr>
            <w:r w:rsidRPr="0095562E">
              <w:rPr>
                <w:rStyle w:val="BookTitle"/>
                <w:sz w:val="18"/>
                <w:szCs w:val="18"/>
              </w:rPr>
              <w:t>0.16</w:t>
            </w:r>
          </w:p>
        </w:tc>
        <w:tc>
          <w:tcPr>
            <w:tcW w:w="324" w:type="pct"/>
            <w:tcBorders>
              <w:top w:val="nil"/>
              <w:left w:val="nil"/>
              <w:bottom w:val="nil"/>
              <w:right w:val="nil"/>
            </w:tcBorders>
            <w:shd w:val="clear" w:color="auto" w:fill="auto"/>
            <w:noWrap/>
            <w:vAlign w:val="bottom"/>
            <w:hideMark/>
          </w:tcPr>
          <w:p w14:paraId="0C3F844E"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bottom"/>
            <w:hideMark/>
          </w:tcPr>
          <w:p w14:paraId="0C3F844F"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450" w14:textId="77777777" w:rsidR="0015270F" w:rsidRPr="0095562E" w:rsidRDefault="0015270F" w:rsidP="00162359">
            <w:pPr>
              <w:spacing w:before="0" w:after="0"/>
              <w:rPr>
                <w:rStyle w:val="BookTitle"/>
                <w:sz w:val="18"/>
                <w:szCs w:val="18"/>
              </w:rPr>
            </w:pPr>
            <w:r w:rsidRPr="0095562E">
              <w:rPr>
                <w:rStyle w:val="BookTitle"/>
                <w:sz w:val="18"/>
                <w:szCs w:val="18"/>
              </w:rPr>
              <w:t>0.59</w:t>
            </w:r>
          </w:p>
        </w:tc>
        <w:tc>
          <w:tcPr>
            <w:tcW w:w="324" w:type="pct"/>
            <w:tcBorders>
              <w:top w:val="nil"/>
              <w:left w:val="nil"/>
              <w:bottom w:val="nil"/>
              <w:right w:val="nil"/>
            </w:tcBorders>
            <w:shd w:val="clear" w:color="auto" w:fill="auto"/>
            <w:noWrap/>
            <w:vAlign w:val="bottom"/>
            <w:hideMark/>
          </w:tcPr>
          <w:p w14:paraId="0C3F8451" w14:textId="77777777" w:rsidR="0015270F" w:rsidRPr="0095562E" w:rsidRDefault="0015270F" w:rsidP="00162359">
            <w:pPr>
              <w:spacing w:before="0" w:after="0"/>
              <w:rPr>
                <w:rStyle w:val="BookTitle"/>
                <w:sz w:val="18"/>
                <w:szCs w:val="18"/>
              </w:rPr>
            </w:pPr>
            <w:r w:rsidRPr="0095562E">
              <w:rPr>
                <w:rStyle w:val="BookTitle"/>
                <w:sz w:val="18"/>
                <w:szCs w:val="18"/>
              </w:rPr>
              <w:t>0.38</w:t>
            </w:r>
          </w:p>
        </w:tc>
        <w:tc>
          <w:tcPr>
            <w:tcW w:w="324" w:type="pct"/>
            <w:tcBorders>
              <w:top w:val="nil"/>
              <w:left w:val="nil"/>
              <w:bottom w:val="nil"/>
              <w:right w:val="nil"/>
            </w:tcBorders>
            <w:shd w:val="clear" w:color="000000" w:fill="FFFF00"/>
            <w:noWrap/>
            <w:vAlign w:val="bottom"/>
            <w:hideMark/>
          </w:tcPr>
          <w:p w14:paraId="0C3F8452"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nil"/>
              <w:right w:val="nil"/>
            </w:tcBorders>
            <w:shd w:val="clear" w:color="000000" w:fill="FFFF00"/>
            <w:noWrap/>
            <w:vAlign w:val="bottom"/>
            <w:hideMark/>
          </w:tcPr>
          <w:p w14:paraId="0C3F8453" w14:textId="77777777" w:rsidR="0015270F" w:rsidRPr="0095562E" w:rsidRDefault="0015270F" w:rsidP="00162359">
            <w:pPr>
              <w:spacing w:before="0" w:after="0"/>
              <w:rPr>
                <w:rStyle w:val="BookTitle"/>
                <w:sz w:val="18"/>
                <w:szCs w:val="18"/>
              </w:rPr>
            </w:pPr>
            <w:r w:rsidRPr="0095562E">
              <w:rPr>
                <w:rStyle w:val="BookTitle"/>
                <w:sz w:val="18"/>
                <w:szCs w:val="18"/>
              </w:rPr>
              <w:t>0.81</w:t>
            </w:r>
          </w:p>
        </w:tc>
        <w:tc>
          <w:tcPr>
            <w:tcW w:w="324" w:type="pct"/>
            <w:tcBorders>
              <w:top w:val="nil"/>
              <w:left w:val="nil"/>
              <w:bottom w:val="nil"/>
              <w:right w:val="nil"/>
            </w:tcBorders>
            <w:shd w:val="clear" w:color="auto" w:fill="auto"/>
            <w:noWrap/>
            <w:vAlign w:val="bottom"/>
            <w:hideMark/>
          </w:tcPr>
          <w:p w14:paraId="0C3F8454"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55" w14:textId="77777777" w:rsidR="0015270F" w:rsidRPr="0095562E" w:rsidRDefault="0015270F" w:rsidP="00162359">
            <w:pPr>
              <w:spacing w:before="0" w:after="0"/>
              <w:rPr>
                <w:rStyle w:val="BookTitle"/>
                <w:sz w:val="18"/>
                <w:szCs w:val="18"/>
              </w:rPr>
            </w:pPr>
            <w:r w:rsidRPr="0095562E">
              <w:rPr>
                <w:rStyle w:val="BookTitle"/>
                <w:sz w:val="18"/>
                <w:szCs w:val="18"/>
              </w:rPr>
              <w:t>-0.42</w:t>
            </w:r>
          </w:p>
        </w:tc>
        <w:tc>
          <w:tcPr>
            <w:tcW w:w="324" w:type="pct"/>
            <w:tcBorders>
              <w:top w:val="nil"/>
              <w:left w:val="nil"/>
              <w:bottom w:val="nil"/>
              <w:right w:val="nil"/>
            </w:tcBorders>
            <w:shd w:val="clear" w:color="auto" w:fill="auto"/>
            <w:noWrap/>
            <w:vAlign w:val="bottom"/>
            <w:hideMark/>
          </w:tcPr>
          <w:p w14:paraId="0C3F8456" w14:textId="77777777" w:rsidR="0015270F" w:rsidRPr="0095562E" w:rsidRDefault="0015270F" w:rsidP="00162359">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000000" w:fill="FFFF00"/>
            <w:noWrap/>
            <w:vAlign w:val="bottom"/>
            <w:hideMark/>
          </w:tcPr>
          <w:p w14:paraId="0C3F8457" w14:textId="77777777" w:rsidR="0015270F" w:rsidRPr="0095562E" w:rsidRDefault="0015270F" w:rsidP="00162359">
            <w:pPr>
              <w:spacing w:before="0" w:after="0"/>
              <w:rPr>
                <w:rStyle w:val="BookTitle"/>
                <w:sz w:val="18"/>
                <w:szCs w:val="18"/>
              </w:rPr>
            </w:pPr>
            <w:r w:rsidRPr="0095562E">
              <w:rPr>
                <w:rStyle w:val="BookTitle"/>
                <w:sz w:val="18"/>
                <w:szCs w:val="18"/>
              </w:rPr>
              <w:t>0.81</w:t>
            </w:r>
          </w:p>
        </w:tc>
      </w:tr>
      <w:tr w:rsidR="0015270F" w:rsidRPr="0095562E" w14:paraId="0C3F8468" w14:textId="77777777" w:rsidTr="00162359">
        <w:trPr>
          <w:trHeight w:val="20"/>
        </w:trPr>
        <w:tc>
          <w:tcPr>
            <w:tcW w:w="360" w:type="pct"/>
            <w:tcBorders>
              <w:top w:val="nil"/>
              <w:left w:val="nil"/>
              <w:bottom w:val="nil"/>
              <w:right w:val="nil"/>
            </w:tcBorders>
            <w:shd w:val="clear" w:color="auto" w:fill="auto"/>
            <w:noWrap/>
            <w:vAlign w:val="center"/>
            <w:hideMark/>
          </w:tcPr>
          <w:p w14:paraId="0C3F8459" w14:textId="77777777" w:rsidR="0015270F" w:rsidRPr="0095562E" w:rsidRDefault="0015270F" w:rsidP="00162359">
            <w:pPr>
              <w:spacing w:before="0" w:after="0"/>
              <w:rPr>
                <w:rStyle w:val="BookTitle"/>
                <w:sz w:val="18"/>
                <w:szCs w:val="18"/>
              </w:rPr>
            </w:pPr>
            <w:r w:rsidRPr="0095562E">
              <w:rPr>
                <w:rStyle w:val="BookTitle"/>
                <w:sz w:val="18"/>
                <w:szCs w:val="18"/>
              </w:rPr>
              <w:t>PN</w:t>
            </w:r>
          </w:p>
        </w:tc>
        <w:tc>
          <w:tcPr>
            <w:tcW w:w="324" w:type="pct"/>
            <w:tcBorders>
              <w:top w:val="nil"/>
              <w:left w:val="nil"/>
              <w:bottom w:val="nil"/>
              <w:right w:val="nil"/>
            </w:tcBorders>
            <w:shd w:val="clear" w:color="auto" w:fill="auto"/>
            <w:noWrap/>
            <w:vAlign w:val="bottom"/>
            <w:hideMark/>
          </w:tcPr>
          <w:p w14:paraId="0C3F845A"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429" w:type="pct"/>
            <w:tcBorders>
              <w:top w:val="nil"/>
              <w:left w:val="nil"/>
              <w:bottom w:val="nil"/>
              <w:right w:val="nil"/>
            </w:tcBorders>
            <w:shd w:val="clear" w:color="auto" w:fill="auto"/>
            <w:noWrap/>
            <w:vAlign w:val="bottom"/>
            <w:hideMark/>
          </w:tcPr>
          <w:p w14:paraId="0C3F845B"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45C"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45D"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bottom"/>
            <w:hideMark/>
          </w:tcPr>
          <w:p w14:paraId="0C3F845E"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45F" w14:textId="77777777" w:rsidR="0015270F" w:rsidRPr="0095562E" w:rsidRDefault="0015270F" w:rsidP="00162359">
            <w:pPr>
              <w:spacing w:before="0" w:after="0"/>
              <w:rPr>
                <w:rStyle w:val="BookTitle"/>
                <w:sz w:val="18"/>
                <w:szCs w:val="18"/>
              </w:rPr>
            </w:pPr>
            <w:r w:rsidRPr="0095562E">
              <w:rPr>
                <w:rStyle w:val="BookTitle"/>
                <w:sz w:val="18"/>
                <w:szCs w:val="18"/>
              </w:rPr>
              <w:t>0.24</w:t>
            </w:r>
          </w:p>
        </w:tc>
        <w:tc>
          <w:tcPr>
            <w:tcW w:w="324" w:type="pct"/>
            <w:tcBorders>
              <w:top w:val="nil"/>
              <w:left w:val="nil"/>
              <w:bottom w:val="nil"/>
              <w:right w:val="nil"/>
            </w:tcBorders>
            <w:shd w:val="clear" w:color="auto" w:fill="auto"/>
            <w:noWrap/>
            <w:vAlign w:val="bottom"/>
            <w:hideMark/>
          </w:tcPr>
          <w:p w14:paraId="0C3F8460"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324" w:type="pct"/>
            <w:tcBorders>
              <w:top w:val="nil"/>
              <w:left w:val="nil"/>
              <w:bottom w:val="nil"/>
              <w:right w:val="nil"/>
            </w:tcBorders>
            <w:shd w:val="clear" w:color="auto" w:fill="auto"/>
            <w:noWrap/>
            <w:vAlign w:val="bottom"/>
            <w:hideMark/>
          </w:tcPr>
          <w:p w14:paraId="0C3F8461" w14:textId="77777777" w:rsidR="0015270F" w:rsidRPr="0095562E" w:rsidRDefault="0015270F" w:rsidP="00162359">
            <w:pPr>
              <w:spacing w:before="0" w:after="0"/>
              <w:rPr>
                <w:rStyle w:val="BookTitle"/>
                <w:sz w:val="18"/>
                <w:szCs w:val="18"/>
              </w:rPr>
            </w:pPr>
            <w:r w:rsidRPr="0095562E">
              <w:rPr>
                <w:rStyle w:val="BookTitle"/>
                <w:sz w:val="18"/>
                <w:szCs w:val="18"/>
              </w:rPr>
              <w:t>-0.19</w:t>
            </w:r>
          </w:p>
        </w:tc>
        <w:tc>
          <w:tcPr>
            <w:tcW w:w="324" w:type="pct"/>
            <w:tcBorders>
              <w:top w:val="nil"/>
              <w:left w:val="nil"/>
              <w:bottom w:val="nil"/>
              <w:right w:val="nil"/>
            </w:tcBorders>
            <w:shd w:val="clear" w:color="auto" w:fill="auto"/>
            <w:noWrap/>
            <w:vAlign w:val="bottom"/>
            <w:hideMark/>
          </w:tcPr>
          <w:p w14:paraId="0C3F8462" w14:textId="77777777" w:rsidR="0015270F" w:rsidRPr="0095562E" w:rsidRDefault="0015270F" w:rsidP="00162359">
            <w:pPr>
              <w:spacing w:before="0" w:after="0"/>
              <w:rPr>
                <w:rStyle w:val="BookTitle"/>
                <w:sz w:val="18"/>
                <w:szCs w:val="18"/>
              </w:rPr>
            </w:pPr>
            <w:r w:rsidRPr="0095562E">
              <w:rPr>
                <w:rStyle w:val="BookTitle"/>
                <w:sz w:val="18"/>
                <w:szCs w:val="18"/>
              </w:rPr>
              <w:t>-0.33</w:t>
            </w:r>
          </w:p>
        </w:tc>
        <w:tc>
          <w:tcPr>
            <w:tcW w:w="324" w:type="pct"/>
            <w:tcBorders>
              <w:top w:val="nil"/>
              <w:left w:val="nil"/>
              <w:bottom w:val="nil"/>
              <w:right w:val="nil"/>
            </w:tcBorders>
            <w:shd w:val="clear" w:color="auto" w:fill="auto"/>
            <w:noWrap/>
            <w:vAlign w:val="bottom"/>
            <w:hideMark/>
          </w:tcPr>
          <w:p w14:paraId="0C3F8463" w14:textId="77777777" w:rsidR="0015270F" w:rsidRPr="0095562E" w:rsidRDefault="0015270F" w:rsidP="00162359">
            <w:pPr>
              <w:spacing w:before="0" w:after="0"/>
              <w:rPr>
                <w:rStyle w:val="BookTitle"/>
                <w:sz w:val="18"/>
                <w:szCs w:val="18"/>
              </w:rPr>
            </w:pPr>
            <w:r w:rsidRPr="0095562E">
              <w:rPr>
                <w:rStyle w:val="BookTitle"/>
                <w:sz w:val="18"/>
                <w:szCs w:val="18"/>
              </w:rPr>
              <w:t>-0.50</w:t>
            </w:r>
          </w:p>
        </w:tc>
        <w:tc>
          <w:tcPr>
            <w:tcW w:w="324" w:type="pct"/>
            <w:tcBorders>
              <w:top w:val="nil"/>
              <w:left w:val="nil"/>
              <w:bottom w:val="nil"/>
              <w:right w:val="nil"/>
            </w:tcBorders>
            <w:shd w:val="clear" w:color="auto" w:fill="auto"/>
            <w:noWrap/>
            <w:vAlign w:val="bottom"/>
            <w:hideMark/>
          </w:tcPr>
          <w:p w14:paraId="0C3F8464" w14:textId="77777777" w:rsidR="0015270F" w:rsidRPr="0095562E" w:rsidRDefault="0015270F" w:rsidP="00162359">
            <w:pPr>
              <w:spacing w:before="0" w:after="0"/>
              <w:rPr>
                <w:rStyle w:val="BookTitle"/>
                <w:sz w:val="18"/>
                <w:szCs w:val="18"/>
              </w:rPr>
            </w:pPr>
            <w:r w:rsidRPr="0095562E">
              <w:rPr>
                <w:rStyle w:val="BookTitle"/>
                <w:sz w:val="18"/>
                <w:szCs w:val="18"/>
              </w:rPr>
              <w:t>-0.42</w:t>
            </w:r>
          </w:p>
        </w:tc>
        <w:tc>
          <w:tcPr>
            <w:tcW w:w="324" w:type="pct"/>
            <w:tcBorders>
              <w:top w:val="nil"/>
              <w:left w:val="nil"/>
              <w:bottom w:val="nil"/>
              <w:right w:val="nil"/>
            </w:tcBorders>
            <w:shd w:val="clear" w:color="auto" w:fill="auto"/>
            <w:noWrap/>
            <w:vAlign w:val="bottom"/>
            <w:hideMark/>
          </w:tcPr>
          <w:p w14:paraId="0C3F8465"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66" w14:textId="77777777" w:rsidR="0015270F" w:rsidRPr="0095562E" w:rsidRDefault="0015270F" w:rsidP="00162359">
            <w:pPr>
              <w:spacing w:before="0" w:after="0"/>
              <w:rPr>
                <w:rStyle w:val="BookTitle"/>
                <w:sz w:val="18"/>
                <w:szCs w:val="18"/>
              </w:rPr>
            </w:pPr>
            <w:r w:rsidRPr="0095562E">
              <w:rPr>
                <w:rStyle w:val="BookTitle"/>
                <w:sz w:val="18"/>
                <w:szCs w:val="18"/>
              </w:rPr>
              <w:t>0.04</w:t>
            </w:r>
          </w:p>
        </w:tc>
        <w:tc>
          <w:tcPr>
            <w:tcW w:w="324" w:type="pct"/>
            <w:tcBorders>
              <w:top w:val="nil"/>
              <w:left w:val="nil"/>
              <w:bottom w:val="nil"/>
              <w:right w:val="nil"/>
            </w:tcBorders>
            <w:shd w:val="clear" w:color="auto" w:fill="auto"/>
            <w:noWrap/>
            <w:vAlign w:val="bottom"/>
            <w:hideMark/>
          </w:tcPr>
          <w:p w14:paraId="0C3F8467" w14:textId="77777777" w:rsidR="0015270F" w:rsidRPr="0095562E" w:rsidRDefault="0015270F" w:rsidP="00162359">
            <w:pPr>
              <w:spacing w:before="0" w:after="0"/>
              <w:rPr>
                <w:rStyle w:val="BookTitle"/>
                <w:sz w:val="18"/>
                <w:szCs w:val="18"/>
              </w:rPr>
            </w:pPr>
            <w:r w:rsidRPr="0095562E">
              <w:rPr>
                <w:rStyle w:val="BookTitle"/>
                <w:sz w:val="18"/>
                <w:szCs w:val="18"/>
              </w:rPr>
              <w:t>-0.38</w:t>
            </w:r>
          </w:p>
        </w:tc>
      </w:tr>
      <w:tr w:rsidR="0015270F" w:rsidRPr="0095562E" w14:paraId="0C3F8478" w14:textId="77777777" w:rsidTr="00162359">
        <w:trPr>
          <w:trHeight w:val="20"/>
        </w:trPr>
        <w:tc>
          <w:tcPr>
            <w:tcW w:w="360" w:type="pct"/>
            <w:tcBorders>
              <w:top w:val="nil"/>
              <w:left w:val="nil"/>
              <w:bottom w:val="nil"/>
              <w:right w:val="nil"/>
            </w:tcBorders>
            <w:shd w:val="clear" w:color="auto" w:fill="auto"/>
            <w:noWrap/>
            <w:vAlign w:val="center"/>
            <w:hideMark/>
          </w:tcPr>
          <w:p w14:paraId="0C3F8469" w14:textId="77777777" w:rsidR="0015270F" w:rsidRPr="0095562E" w:rsidRDefault="0015270F" w:rsidP="00162359">
            <w:pPr>
              <w:spacing w:before="0" w:after="0"/>
              <w:rPr>
                <w:rStyle w:val="BookTitle"/>
                <w:sz w:val="18"/>
                <w:szCs w:val="18"/>
              </w:rPr>
            </w:pPr>
            <w:r w:rsidRPr="0095562E">
              <w:rPr>
                <w:rStyle w:val="BookTitle"/>
                <w:sz w:val="18"/>
                <w:szCs w:val="18"/>
              </w:rPr>
              <w:t>PP</w:t>
            </w:r>
          </w:p>
        </w:tc>
        <w:tc>
          <w:tcPr>
            <w:tcW w:w="324" w:type="pct"/>
            <w:tcBorders>
              <w:top w:val="nil"/>
              <w:left w:val="nil"/>
              <w:bottom w:val="nil"/>
              <w:right w:val="nil"/>
            </w:tcBorders>
            <w:shd w:val="clear" w:color="auto" w:fill="auto"/>
            <w:noWrap/>
            <w:vAlign w:val="bottom"/>
            <w:hideMark/>
          </w:tcPr>
          <w:p w14:paraId="0C3F846A" w14:textId="77777777" w:rsidR="0015270F" w:rsidRPr="0095562E" w:rsidRDefault="0015270F" w:rsidP="00162359">
            <w:pPr>
              <w:spacing w:before="0" w:after="0"/>
              <w:rPr>
                <w:rStyle w:val="BookTitle"/>
                <w:sz w:val="18"/>
                <w:szCs w:val="18"/>
              </w:rPr>
            </w:pPr>
            <w:r w:rsidRPr="0095562E">
              <w:rPr>
                <w:rStyle w:val="BookTitle"/>
                <w:sz w:val="18"/>
                <w:szCs w:val="18"/>
              </w:rPr>
              <w:t>-0.28</w:t>
            </w:r>
          </w:p>
        </w:tc>
        <w:tc>
          <w:tcPr>
            <w:tcW w:w="429" w:type="pct"/>
            <w:tcBorders>
              <w:top w:val="nil"/>
              <w:left w:val="nil"/>
              <w:bottom w:val="nil"/>
              <w:right w:val="nil"/>
            </w:tcBorders>
            <w:shd w:val="clear" w:color="auto" w:fill="auto"/>
            <w:noWrap/>
            <w:vAlign w:val="bottom"/>
            <w:hideMark/>
          </w:tcPr>
          <w:p w14:paraId="0C3F846B" w14:textId="77777777" w:rsidR="0015270F" w:rsidRPr="0095562E" w:rsidRDefault="0015270F" w:rsidP="00162359">
            <w:pPr>
              <w:spacing w:before="0" w:after="0"/>
              <w:rPr>
                <w:rStyle w:val="BookTitle"/>
                <w:sz w:val="18"/>
                <w:szCs w:val="18"/>
              </w:rPr>
            </w:pPr>
            <w:r w:rsidRPr="0095562E">
              <w:rPr>
                <w:rStyle w:val="BookTitle"/>
                <w:sz w:val="18"/>
                <w:szCs w:val="18"/>
              </w:rPr>
              <w:t>0.07</w:t>
            </w:r>
          </w:p>
        </w:tc>
        <w:tc>
          <w:tcPr>
            <w:tcW w:w="324" w:type="pct"/>
            <w:tcBorders>
              <w:top w:val="nil"/>
              <w:left w:val="nil"/>
              <w:bottom w:val="nil"/>
              <w:right w:val="nil"/>
            </w:tcBorders>
            <w:shd w:val="clear" w:color="auto" w:fill="auto"/>
            <w:noWrap/>
            <w:vAlign w:val="bottom"/>
            <w:hideMark/>
          </w:tcPr>
          <w:p w14:paraId="0C3F846C"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46D"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auto" w:fill="auto"/>
            <w:noWrap/>
            <w:vAlign w:val="bottom"/>
            <w:hideMark/>
          </w:tcPr>
          <w:p w14:paraId="0C3F846E"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46F" w14:textId="77777777" w:rsidR="0015270F" w:rsidRPr="0095562E" w:rsidRDefault="0015270F" w:rsidP="00162359">
            <w:pPr>
              <w:spacing w:before="0" w:after="0"/>
              <w:rPr>
                <w:rStyle w:val="BookTitle"/>
                <w:sz w:val="18"/>
                <w:szCs w:val="18"/>
              </w:rPr>
            </w:pPr>
            <w:r w:rsidRPr="0095562E">
              <w:rPr>
                <w:rStyle w:val="BookTitle"/>
                <w:sz w:val="18"/>
                <w:szCs w:val="18"/>
              </w:rPr>
              <w:t>0.42</w:t>
            </w:r>
          </w:p>
        </w:tc>
        <w:tc>
          <w:tcPr>
            <w:tcW w:w="324" w:type="pct"/>
            <w:tcBorders>
              <w:top w:val="nil"/>
              <w:left w:val="nil"/>
              <w:bottom w:val="nil"/>
              <w:right w:val="nil"/>
            </w:tcBorders>
            <w:shd w:val="clear" w:color="auto" w:fill="auto"/>
            <w:noWrap/>
            <w:vAlign w:val="bottom"/>
            <w:hideMark/>
          </w:tcPr>
          <w:p w14:paraId="0C3F8470"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471"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000000" w:fill="FFFF00"/>
            <w:noWrap/>
            <w:vAlign w:val="bottom"/>
            <w:hideMark/>
          </w:tcPr>
          <w:p w14:paraId="0C3F8472" w14:textId="77777777" w:rsidR="0015270F" w:rsidRPr="0095562E" w:rsidRDefault="0015270F" w:rsidP="00162359">
            <w:pPr>
              <w:spacing w:before="0" w:after="0"/>
              <w:rPr>
                <w:rStyle w:val="BookTitle"/>
                <w:sz w:val="18"/>
                <w:szCs w:val="18"/>
              </w:rPr>
            </w:pPr>
            <w:r w:rsidRPr="0095562E">
              <w:rPr>
                <w:rStyle w:val="BookTitle"/>
                <w:sz w:val="18"/>
                <w:szCs w:val="18"/>
              </w:rPr>
              <w:t>0.66</w:t>
            </w:r>
          </w:p>
        </w:tc>
        <w:tc>
          <w:tcPr>
            <w:tcW w:w="324" w:type="pct"/>
            <w:tcBorders>
              <w:top w:val="nil"/>
              <w:left w:val="nil"/>
              <w:bottom w:val="nil"/>
              <w:right w:val="nil"/>
            </w:tcBorders>
            <w:shd w:val="clear" w:color="auto" w:fill="auto"/>
            <w:noWrap/>
            <w:vAlign w:val="bottom"/>
            <w:hideMark/>
          </w:tcPr>
          <w:p w14:paraId="0C3F8473" w14:textId="77777777" w:rsidR="0015270F" w:rsidRPr="0095562E" w:rsidRDefault="0015270F" w:rsidP="00162359">
            <w:pPr>
              <w:spacing w:before="0" w:after="0"/>
              <w:rPr>
                <w:rStyle w:val="BookTitle"/>
                <w:sz w:val="18"/>
                <w:szCs w:val="18"/>
              </w:rPr>
            </w:pPr>
            <w:r w:rsidRPr="0095562E">
              <w:rPr>
                <w:rStyle w:val="BookTitle"/>
                <w:sz w:val="18"/>
                <w:szCs w:val="18"/>
              </w:rPr>
              <w:t>0.09</w:t>
            </w:r>
          </w:p>
        </w:tc>
        <w:tc>
          <w:tcPr>
            <w:tcW w:w="324" w:type="pct"/>
            <w:tcBorders>
              <w:top w:val="nil"/>
              <w:left w:val="nil"/>
              <w:bottom w:val="nil"/>
              <w:right w:val="nil"/>
            </w:tcBorders>
            <w:shd w:val="clear" w:color="auto" w:fill="auto"/>
            <w:noWrap/>
            <w:vAlign w:val="bottom"/>
            <w:hideMark/>
          </w:tcPr>
          <w:p w14:paraId="0C3F8474" w14:textId="77777777" w:rsidR="0015270F" w:rsidRPr="0095562E" w:rsidRDefault="0015270F" w:rsidP="00162359">
            <w:pPr>
              <w:spacing w:before="0" w:after="0"/>
              <w:rPr>
                <w:rStyle w:val="BookTitle"/>
                <w:sz w:val="18"/>
                <w:szCs w:val="18"/>
              </w:rPr>
            </w:pPr>
            <w:r w:rsidRPr="0095562E">
              <w:rPr>
                <w:rStyle w:val="BookTitle"/>
                <w:sz w:val="18"/>
                <w:szCs w:val="18"/>
              </w:rPr>
              <w:t>0.18</w:t>
            </w:r>
          </w:p>
        </w:tc>
        <w:tc>
          <w:tcPr>
            <w:tcW w:w="324" w:type="pct"/>
            <w:tcBorders>
              <w:top w:val="nil"/>
              <w:left w:val="nil"/>
              <w:bottom w:val="nil"/>
              <w:right w:val="nil"/>
            </w:tcBorders>
            <w:shd w:val="clear" w:color="auto" w:fill="auto"/>
            <w:noWrap/>
            <w:vAlign w:val="bottom"/>
            <w:hideMark/>
          </w:tcPr>
          <w:p w14:paraId="0C3F8475" w14:textId="77777777" w:rsidR="0015270F" w:rsidRPr="0095562E" w:rsidRDefault="0015270F" w:rsidP="00162359">
            <w:pPr>
              <w:spacing w:before="0" w:after="0"/>
              <w:rPr>
                <w:rStyle w:val="BookTitle"/>
                <w:sz w:val="18"/>
                <w:szCs w:val="18"/>
              </w:rPr>
            </w:pPr>
            <w:r w:rsidRPr="0095562E">
              <w:rPr>
                <w:rStyle w:val="BookTitle"/>
                <w:sz w:val="18"/>
                <w:szCs w:val="18"/>
              </w:rPr>
              <w:t>0.04</w:t>
            </w:r>
          </w:p>
        </w:tc>
        <w:tc>
          <w:tcPr>
            <w:tcW w:w="324" w:type="pct"/>
            <w:tcBorders>
              <w:top w:val="nil"/>
              <w:left w:val="nil"/>
              <w:bottom w:val="nil"/>
              <w:right w:val="nil"/>
            </w:tcBorders>
            <w:shd w:val="clear" w:color="auto" w:fill="auto"/>
            <w:noWrap/>
            <w:vAlign w:val="bottom"/>
            <w:hideMark/>
          </w:tcPr>
          <w:p w14:paraId="0C3F8476"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77" w14:textId="77777777" w:rsidR="0015270F" w:rsidRPr="0095562E" w:rsidRDefault="0015270F" w:rsidP="00162359">
            <w:pPr>
              <w:spacing w:before="0" w:after="0"/>
              <w:rPr>
                <w:rStyle w:val="BookTitle"/>
                <w:sz w:val="18"/>
                <w:szCs w:val="18"/>
              </w:rPr>
            </w:pPr>
            <w:r w:rsidRPr="0095562E">
              <w:rPr>
                <w:rStyle w:val="BookTitle"/>
                <w:sz w:val="18"/>
                <w:szCs w:val="18"/>
              </w:rPr>
              <w:t>0.21</w:t>
            </w:r>
          </w:p>
        </w:tc>
      </w:tr>
      <w:tr w:rsidR="0015270F" w:rsidRPr="0095562E" w14:paraId="0C3F8488" w14:textId="77777777" w:rsidTr="00162359">
        <w:trPr>
          <w:trHeight w:val="20"/>
        </w:trPr>
        <w:tc>
          <w:tcPr>
            <w:tcW w:w="360" w:type="pct"/>
            <w:tcBorders>
              <w:top w:val="nil"/>
              <w:left w:val="nil"/>
              <w:bottom w:val="single" w:sz="4" w:space="0" w:color="auto"/>
              <w:right w:val="nil"/>
            </w:tcBorders>
            <w:shd w:val="clear" w:color="auto" w:fill="auto"/>
            <w:noWrap/>
            <w:vAlign w:val="center"/>
            <w:hideMark/>
          </w:tcPr>
          <w:p w14:paraId="0C3F8479" w14:textId="77777777" w:rsidR="0015270F" w:rsidRPr="0095562E" w:rsidRDefault="0015270F" w:rsidP="00162359">
            <w:pPr>
              <w:spacing w:before="0" w:after="0"/>
              <w:rPr>
                <w:rStyle w:val="BookTitle"/>
                <w:sz w:val="18"/>
                <w:szCs w:val="18"/>
              </w:rPr>
            </w:pPr>
            <w:r w:rsidRPr="0095562E">
              <w:rPr>
                <w:rStyle w:val="BookTitle"/>
                <w:sz w:val="18"/>
                <w:szCs w:val="18"/>
              </w:rPr>
              <w:t>Si</w:t>
            </w:r>
          </w:p>
        </w:tc>
        <w:tc>
          <w:tcPr>
            <w:tcW w:w="324" w:type="pct"/>
            <w:tcBorders>
              <w:top w:val="nil"/>
              <w:left w:val="nil"/>
              <w:bottom w:val="single" w:sz="4" w:space="0" w:color="auto"/>
              <w:right w:val="nil"/>
            </w:tcBorders>
            <w:shd w:val="clear" w:color="000000" w:fill="FFFF00"/>
            <w:noWrap/>
            <w:vAlign w:val="bottom"/>
            <w:hideMark/>
          </w:tcPr>
          <w:p w14:paraId="0C3F847A" w14:textId="77777777" w:rsidR="0015270F" w:rsidRPr="0095562E" w:rsidRDefault="0015270F" w:rsidP="00162359">
            <w:pPr>
              <w:spacing w:before="0" w:after="0"/>
              <w:rPr>
                <w:rStyle w:val="BookTitle"/>
                <w:sz w:val="18"/>
                <w:szCs w:val="18"/>
              </w:rPr>
            </w:pPr>
            <w:r w:rsidRPr="0095562E">
              <w:rPr>
                <w:rStyle w:val="BookTitle"/>
                <w:sz w:val="18"/>
                <w:szCs w:val="18"/>
              </w:rPr>
              <w:t>-0.84</w:t>
            </w:r>
          </w:p>
        </w:tc>
        <w:tc>
          <w:tcPr>
            <w:tcW w:w="429" w:type="pct"/>
            <w:tcBorders>
              <w:top w:val="nil"/>
              <w:left w:val="nil"/>
              <w:bottom w:val="single" w:sz="4" w:space="0" w:color="auto"/>
              <w:right w:val="nil"/>
            </w:tcBorders>
            <w:shd w:val="clear" w:color="000000" w:fill="FFFF00"/>
            <w:noWrap/>
            <w:vAlign w:val="bottom"/>
            <w:hideMark/>
          </w:tcPr>
          <w:p w14:paraId="0C3F847B" w14:textId="77777777" w:rsidR="0015270F" w:rsidRPr="0095562E" w:rsidRDefault="0015270F" w:rsidP="00162359">
            <w:pPr>
              <w:spacing w:before="0" w:after="0"/>
              <w:rPr>
                <w:rStyle w:val="BookTitle"/>
                <w:sz w:val="18"/>
                <w:szCs w:val="18"/>
              </w:rPr>
            </w:pPr>
            <w:r w:rsidRPr="0095562E">
              <w:rPr>
                <w:rStyle w:val="BookTitle"/>
                <w:sz w:val="18"/>
                <w:szCs w:val="18"/>
              </w:rPr>
              <w:t>0.79</w:t>
            </w:r>
          </w:p>
        </w:tc>
        <w:tc>
          <w:tcPr>
            <w:tcW w:w="324" w:type="pct"/>
            <w:tcBorders>
              <w:top w:val="nil"/>
              <w:left w:val="nil"/>
              <w:bottom w:val="single" w:sz="4" w:space="0" w:color="auto"/>
              <w:right w:val="nil"/>
            </w:tcBorders>
            <w:shd w:val="clear" w:color="auto" w:fill="auto"/>
            <w:noWrap/>
            <w:vAlign w:val="bottom"/>
            <w:hideMark/>
          </w:tcPr>
          <w:p w14:paraId="0C3F847C" w14:textId="77777777" w:rsidR="0015270F" w:rsidRPr="0095562E" w:rsidRDefault="0015270F" w:rsidP="00162359">
            <w:pPr>
              <w:spacing w:before="0" w:after="0"/>
              <w:rPr>
                <w:rStyle w:val="BookTitle"/>
                <w:sz w:val="18"/>
                <w:szCs w:val="18"/>
              </w:rPr>
            </w:pPr>
            <w:r w:rsidRPr="0095562E">
              <w:rPr>
                <w:rStyle w:val="BookTitle"/>
                <w:sz w:val="18"/>
                <w:szCs w:val="18"/>
              </w:rPr>
              <w:t>-0.42</w:t>
            </w:r>
          </w:p>
        </w:tc>
        <w:tc>
          <w:tcPr>
            <w:tcW w:w="324" w:type="pct"/>
            <w:tcBorders>
              <w:top w:val="nil"/>
              <w:left w:val="nil"/>
              <w:bottom w:val="single" w:sz="4" w:space="0" w:color="auto"/>
              <w:right w:val="nil"/>
            </w:tcBorders>
            <w:shd w:val="clear" w:color="auto" w:fill="auto"/>
            <w:noWrap/>
            <w:vAlign w:val="bottom"/>
            <w:hideMark/>
          </w:tcPr>
          <w:p w14:paraId="0C3F847D"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single" w:sz="4" w:space="0" w:color="auto"/>
              <w:right w:val="nil"/>
            </w:tcBorders>
            <w:shd w:val="clear" w:color="auto" w:fill="auto"/>
            <w:noWrap/>
            <w:vAlign w:val="bottom"/>
            <w:hideMark/>
          </w:tcPr>
          <w:p w14:paraId="0C3F847E" w14:textId="77777777" w:rsidR="0015270F" w:rsidRPr="0095562E" w:rsidRDefault="0015270F" w:rsidP="00162359">
            <w:pPr>
              <w:spacing w:before="0" w:after="0"/>
              <w:rPr>
                <w:rStyle w:val="BookTitle"/>
                <w:sz w:val="18"/>
                <w:szCs w:val="18"/>
              </w:rPr>
            </w:pPr>
            <w:r w:rsidRPr="0095562E">
              <w:rPr>
                <w:rStyle w:val="BookTitle"/>
                <w:sz w:val="18"/>
                <w:szCs w:val="18"/>
              </w:rPr>
              <w:t>-0.39</w:t>
            </w:r>
          </w:p>
        </w:tc>
        <w:tc>
          <w:tcPr>
            <w:tcW w:w="324" w:type="pct"/>
            <w:tcBorders>
              <w:top w:val="nil"/>
              <w:left w:val="nil"/>
              <w:bottom w:val="single" w:sz="4" w:space="0" w:color="auto"/>
              <w:right w:val="nil"/>
            </w:tcBorders>
            <w:shd w:val="clear" w:color="auto" w:fill="auto"/>
            <w:noWrap/>
            <w:vAlign w:val="bottom"/>
            <w:hideMark/>
          </w:tcPr>
          <w:p w14:paraId="0C3F847F"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single" w:sz="4" w:space="0" w:color="auto"/>
              <w:right w:val="nil"/>
            </w:tcBorders>
            <w:shd w:val="clear" w:color="auto" w:fill="auto"/>
            <w:noWrap/>
            <w:vAlign w:val="bottom"/>
            <w:hideMark/>
          </w:tcPr>
          <w:p w14:paraId="0C3F8480" w14:textId="77777777" w:rsidR="0015270F" w:rsidRPr="0095562E" w:rsidRDefault="0015270F" w:rsidP="00162359">
            <w:pPr>
              <w:spacing w:before="0" w:after="0"/>
              <w:rPr>
                <w:rStyle w:val="BookTitle"/>
                <w:sz w:val="18"/>
                <w:szCs w:val="18"/>
              </w:rPr>
            </w:pPr>
            <w:r w:rsidRPr="0095562E">
              <w:rPr>
                <w:rStyle w:val="BookTitle"/>
                <w:sz w:val="18"/>
                <w:szCs w:val="18"/>
              </w:rPr>
              <w:t>0.56</w:t>
            </w:r>
          </w:p>
        </w:tc>
        <w:tc>
          <w:tcPr>
            <w:tcW w:w="324" w:type="pct"/>
            <w:tcBorders>
              <w:top w:val="nil"/>
              <w:left w:val="nil"/>
              <w:bottom w:val="single" w:sz="4" w:space="0" w:color="auto"/>
              <w:right w:val="nil"/>
            </w:tcBorders>
            <w:shd w:val="clear" w:color="000000" w:fill="FFFF00"/>
            <w:noWrap/>
            <w:vAlign w:val="bottom"/>
            <w:hideMark/>
          </w:tcPr>
          <w:p w14:paraId="0C3F8481"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324" w:type="pct"/>
            <w:tcBorders>
              <w:top w:val="nil"/>
              <w:left w:val="nil"/>
              <w:bottom w:val="single" w:sz="4" w:space="0" w:color="auto"/>
              <w:right w:val="nil"/>
            </w:tcBorders>
            <w:shd w:val="clear" w:color="000000" w:fill="FFFF00"/>
            <w:noWrap/>
            <w:vAlign w:val="bottom"/>
            <w:hideMark/>
          </w:tcPr>
          <w:p w14:paraId="0C3F8482" w14:textId="77777777" w:rsidR="0015270F" w:rsidRPr="0095562E" w:rsidRDefault="0015270F" w:rsidP="00162359">
            <w:pPr>
              <w:spacing w:before="0" w:after="0"/>
              <w:rPr>
                <w:rStyle w:val="BookTitle"/>
                <w:sz w:val="18"/>
                <w:szCs w:val="18"/>
              </w:rPr>
            </w:pPr>
            <w:r w:rsidRPr="0095562E">
              <w:rPr>
                <w:rStyle w:val="BookTitle"/>
                <w:sz w:val="18"/>
                <w:szCs w:val="18"/>
              </w:rPr>
              <w:t>0.65</w:t>
            </w:r>
          </w:p>
        </w:tc>
        <w:tc>
          <w:tcPr>
            <w:tcW w:w="324" w:type="pct"/>
            <w:tcBorders>
              <w:top w:val="nil"/>
              <w:left w:val="nil"/>
              <w:bottom w:val="single" w:sz="4" w:space="0" w:color="auto"/>
              <w:right w:val="nil"/>
            </w:tcBorders>
            <w:shd w:val="clear" w:color="000000" w:fill="FFFF00"/>
            <w:noWrap/>
            <w:vAlign w:val="bottom"/>
            <w:hideMark/>
          </w:tcPr>
          <w:p w14:paraId="0C3F8483" w14:textId="77777777" w:rsidR="0015270F" w:rsidRPr="0095562E" w:rsidRDefault="0015270F" w:rsidP="00162359">
            <w:pPr>
              <w:spacing w:before="0" w:after="0"/>
              <w:rPr>
                <w:rStyle w:val="BookTitle"/>
                <w:sz w:val="18"/>
                <w:szCs w:val="18"/>
              </w:rPr>
            </w:pPr>
            <w:r w:rsidRPr="0095562E">
              <w:rPr>
                <w:rStyle w:val="BookTitle"/>
                <w:sz w:val="18"/>
                <w:szCs w:val="18"/>
              </w:rPr>
              <w:t>0.74</w:t>
            </w:r>
          </w:p>
        </w:tc>
        <w:tc>
          <w:tcPr>
            <w:tcW w:w="324" w:type="pct"/>
            <w:tcBorders>
              <w:top w:val="nil"/>
              <w:left w:val="nil"/>
              <w:bottom w:val="single" w:sz="4" w:space="0" w:color="auto"/>
              <w:right w:val="nil"/>
            </w:tcBorders>
            <w:shd w:val="clear" w:color="000000" w:fill="FFFF00"/>
            <w:noWrap/>
            <w:vAlign w:val="bottom"/>
            <w:hideMark/>
          </w:tcPr>
          <w:p w14:paraId="0C3F8484" w14:textId="77777777" w:rsidR="0015270F" w:rsidRPr="0095562E" w:rsidRDefault="0015270F" w:rsidP="00162359">
            <w:pPr>
              <w:spacing w:before="0" w:after="0"/>
              <w:rPr>
                <w:rStyle w:val="BookTitle"/>
                <w:sz w:val="18"/>
                <w:szCs w:val="18"/>
              </w:rPr>
            </w:pPr>
            <w:r w:rsidRPr="0095562E">
              <w:rPr>
                <w:rStyle w:val="BookTitle"/>
                <w:sz w:val="18"/>
                <w:szCs w:val="18"/>
              </w:rPr>
              <w:t>0.81</w:t>
            </w:r>
          </w:p>
        </w:tc>
        <w:tc>
          <w:tcPr>
            <w:tcW w:w="324" w:type="pct"/>
            <w:tcBorders>
              <w:top w:val="nil"/>
              <w:left w:val="nil"/>
              <w:bottom w:val="single" w:sz="4" w:space="0" w:color="auto"/>
              <w:right w:val="nil"/>
            </w:tcBorders>
            <w:shd w:val="clear" w:color="auto" w:fill="auto"/>
            <w:noWrap/>
            <w:vAlign w:val="bottom"/>
            <w:hideMark/>
          </w:tcPr>
          <w:p w14:paraId="0C3F8485" w14:textId="77777777" w:rsidR="0015270F" w:rsidRPr="0095562E" w:rsidRDefault="0015270F" w:rsidP="00162359">
            <w:pPr>
              <w:spacing w:before="0" w:after="0"/>
              <w:rPr>
                <w:rStyle w:val="BookTitle"/>
                <w:sz w:val="18"/>
                <w:szCs w:val="18"/>
              </w:rPr>
            </w:pPr>
            <w:r w:rsidRPr="0095562E">
              <w:rPr>
                <w:rStyle w:val="BookTitle"/>
                <w:sz w:val="18"/>
                <w:szCs w:val="18"/>
              </w:rPr>
              <w:t>-0.38</w:t>
            </w:r>
          </w:p>
        </w:tc>
        <w:tc>
          <w:tcPr>
            <w:tcW w:w="324" w:type="pct"/>
            <w:tcBorders>
              <w:top w:val="nil"/>
              <w:left w:val="nil"/>
              <w:bottom w:val="single" w:sz="4" w:space="0" w:color="auto"/>
              <w:right w:val="nil"/>
            </w:tcBorders>
            <w:shd w:val="clear" w:color="auto" w:fill="auto"/>
            <w:noWrap/>
            <w:vAlign w:val="bottom"/>
            <w:hideMark/>
          </w:tcPr>
          <w:p w14:paraId="0C3F8486"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single" w:sz="4" w:space="0" w:color="auto"/>
              <w:right w:val="nil"/>
            </w:tcBorders>
            <w:shd w:val="clear" w:color="auto" w:fill="auto"/>
            <w:noWrap/>
            <w:vAlign w:val="bottom"/>
            <w:hideMark/>
          </w:tcPr>
          <w:p w14:paraId="0C3F8487" w14:textId="77777777" w:rsidR="0015270F" w:rsidRPr="0095562E" w:rsidRDefault="0015270F" w:rsidP="00162359">
            <w:pPr>
              <w:spacing w:before="0" w:after="0"/>
              <w:rPr>
                <w:rStyle w:val="BookTitle"/>
                <w:sz w:val="18"/>
                <w:szCs w:val="18"/>
              </w:rPr>
            </w:pPr>
            <w:r w:rsidRPr="0095562E">
              <w:rPr>
                <w:rStyle w:val="BookTitle"/>
                <w:sz w:val="18"/>
                <w:szCs w:val="18"/>
              </w:rPr>
              <w:t>1</w:t>
            </w:r>
          </w:p>
        </w:tc>
      </w:tr>
      <w:tr w:rsidR="0015270F" w:rsidRPr="0095562E" w14:paraId="0C3F8498" w14:textId="77777777" w:rsidTr="00162359">
        <w:trPr>
          <w:trHeight w:val="20"/>
        </w:trPr>
        <w:tc>
          <w:tcPr>
            <w:tcW w:w="360" w:type="pct"/>
            <w:tcBorders>
              <w:top w:val="nil"/>
              <w:left w:val="nil"/>
              <w:right w:val="nil"/>
            </w:tcBorders>
            <w:shd w:val="clear" w:color="auto" w:fill="auto"/>
            <w:noWrap/>
            <w:vAlign w:val="center"/>
            <w:hideMark/>
          </w:tcPr>
          <w:p w14:paraId="0C3F8489"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8A" w14:textId="77777777" w:rsidR="0015270F" w:rsidRPr="0095562E" w:rsidRDefault="0015270F" w:rsidP="00162359">
            <w:pPr>
              <w:spacing w:before="0" w:after="0"/>
              <w:rPr>
                <w:rStyle w:val="BookTitle"/>
                <w:sz w:val="18"/>
                <w:szCs w:val="18"/>
              </w:rPr>
            </w:pPr>
          </w:p>
        </w:tc>
        <w:tc>
          <w:tcPr>
            <w:tcW w:w="429" w:type="pct"/>
            <w:tcBorders>
              <w:top w:val="nil"/>
              <w:left w:val="nil"/>
              <w:right w:val="nil"/>
            </w:tcBorders>
            <w:shd w:val="clear" w:color="auto" w:fill="auto"/>
            <w:noWrap/>
            <w:vAlign w:val="center"/>
            <w:hideMark/>
          </w:tcPr>
          <w:p w14:paraId="0C3F848B"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8C"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8D"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8E"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8F"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0"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1"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2"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3"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4"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5"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6" w14:textId="77777777" w:rsidR="0015270F" w:rsidRPr="0095562E" w:rsidRDefault="0015270F" w:rsidP="00162359">
            <w:pPr>
              <w:spacing w:before="0" w:after="0"/>
              <w:rPr>
                <w:rStyle w:val="BookTitle"/>
                <w:sz w:val="18"/>
                <w:szCs w:val="18"/>
              </w:rPr>
            </w:pPr>
          </w:p>
        </w:tc>
        <w:tc>
          <w:tcPr>
            <w:tcW w:w="324" w:type="pct"/>
            <w:tcBorders>
              <w:top w:val="nil"/>
              <w:left w:val="nil"/>
              <w:right w:val="nil"/>
            </w:tcBorders>
            <w:shd w:val="clear" w:color="auto" w:fill="auto"/>
            <w:noWrap/>
            <w:vAlign w:val="center"/>
            <w:hideMark/>
          </w:tcPr>
          <w:p w14:paraId="0C3F8497" w14:textId="77777777" w:rsidR="0015270F" w:rsidRPr="0095562E" w:rsidRDefault="0015270F" w:rsidP="00162359">
            <w:pPr>
              <w:spacing w:before="0" w:after="0"/>
              <w:rPr>
                <w:rStyle w:val="BookTitle"/>
                <w:sz w:val="18"/>
                <w:szCs w:val="18"/>
              </w:rPr>
            </w:pPr>
          </w:p>
        </w:tc>
      </w:tr>
      <w:tr w:rsidR="0015270F" w:rsidRPr="0095562E" w14:paraId="0C3F849B" w14:textId="77777777" w:rsidTr="00162359">
        <w:trPr>
          <w:trHeight w:val="20"/>
        </w:trPr>
        <w:tc>
          <w:tcPr>
            <w:tcW w:w="5000" w:type="pct"/>
            <w:gridSpan w:val="15"/>
            <w:tcBorders>
              <w:left w:val="nil"/>
              <w:right w:val="nil"/>
            </w:tcBorders>
            <w:shd w:val="clear" w:color="auto" w:fill="auto"/>
            <w:noWrap/>
            <w:vAlign w:val="center"/>
            <w:hideMark/>
          </w:tcPr>
          <w:p w14:paraId="0C3F8499" w14:textId="77777777" w:rsidR="0015270F" w:rsidRPr="0095562E" w:rsidRDefault="0015270F" w:rsidP="00162359">
            <w:pPr>
              <w:spacing w:before="0" w:after="0"/>
              <w:rPr>
                <w:rStyle w:val="BookTitle"/>
                <w:sz w:val="18"/>
                <w:szCs w:val="18"/>
              </w:rPr>
            </w:pPr>
          </w:p>
          <w:p w14:paraId="0C3F849A" w14:textId="77777777" w:rsidR="0015270F" w:rsidRPr="0095562E" w:rsidRDefault="0015270F" w:rsidP="00162359">
            <w:pPr>
              <w:spacing w:before="0" w:after="0"/>
              <w:rPr>
                <w:rStyle w:val="BookTitle"/>
                <w:sz w:val="18"/>
                <w:szCs w:val="18"/>
              </w:rPr>
            </w:pPr>
            <w:r w:rsidRPr="0095562E">
              <w:rPr>
                <w:rStyle w:val="BookTitle"/>
                <w:sz w:val="18"/>
                <w:szCs w:val="18"/>
              </w:rPr>
              <w:t>Herbert [26]</w:t>
            </w:r>
          </w:p>
        </w:tc>
      </w:tr>
      <w:tr w:rsidR="0015270F" w:rsidRPr="0095562E" w14:paraId="0C3F84AB" w14:textId="77777777" w:rsidTr="00162359">
        <w:trPr>
          <w:trHeight w:val="20"/>
        </w:trPr>
        <w:tc>
          <w:tcPr>
            <w:tcW w:w="360" w:type="pct"/>
            <w:tcBorders>
              <w:top w:val="single" w:sz="4" w:space="0" w:color="auto"/>
              <w:left w:val="nil"/>
              <w:bottom w:val="single" w:sz="4" w:space="0" w:color="auto"/>
              <w:right w:val="nil"/>
            </w:tcBorders>
            <w:shd w:val="clear" w:color="auto" w:fill="auto"/>
            <w:noWrap/>
            <w:vAlign w:val="center"/>
            <w:hideMark/>
          </w:tcPr>
          <w:p w14:paraId="0C3F849C" w14:textId="77777777" w:rsidR="0015270F" w:rsidRPr="0095562E" w:rsidRDefault="0015270F" w:rsidP="00162359">
            <w:pPr>
              <w:spacing w:before="0" w:after="0"/>
              <w:rPr>
                <w:rStyle w:val="BookTitle"/>
                <w:sz w:val="18"/>
                <w:szCs w:val="18"/>
              </w:rPr>
            </w:pPr>
            <w:r w:rsidRPr="0095562E">
              <w:rPr>
                <w:rStyle w:val="BookTitle"/>
                <w:sz w:val="18"/>
                <w:szCs w:val="18"/>
              </w:rPr>
              <w:t> </w:t>
            </w:r>
          </w:p>
        </w:tc>
        <w:tc>
          <w:tcPr>
            <w:tcW w:w="324" w:type="pct"/>
            <w:tcBorders>
              <w:top w:val="single" w:sz="4" w:space="0" w:color="auto"/>
              <w:left w:val="nil"/>
              <w:bottom w:val="single" w:sz="4" w:space="0" w:color="auto"/>
              <w:right w:val="nil"/>
            </w:tcBorders>
            <w:shd w:val="clear" w:color="auto" w:fill="auto"/>
            <w:noWrap/>
            <w:vAlign w:val="center"/>
            <w:hideMark/>
          </w:tcPr>
          <w:p w14:paraId="0C3F849D" w14:textId="77777777" w:rsidR="0015270F" w:rsidRPr="0095562E" w:rsidRDefault="0015270F" w:rsidP="00162359">
            <w:pPr>
              <w:spacing w:before="0" w:after="0"/>
              <w:rPr>
                <w:rStyle w:val="BookTitle"/>
                <w:sz w:val="18"/>
                <w:szCs w:val="18"/>
              </w:rPr>
            </w:pPr>
            <w:r w:rsidRPr="0095562E">
              <w:rPr>
                <w:rStyle w:val="BookTitle"/>
                <w:sz w:val="18"/>
                <w:szCs w:val="18"/>
              </w:rPr>
              <w:t>Sal.</w:t>
            </w:r>
          </w:p>
        </w:tc>
        <w:tc>
          <w:tcPr>
            <w:tcW w:w="429" w:type="pct"/>
            <w:tcBorders>
              <w:top w:val="single" w:sz="4" w:space="0" w:color="auto"/>
              <w:left w:val="nil"/>
              <w:bottom w:val="single" w:sz="4" w:space="0" w:color="auto"/>
              <w:right w:val="nil"/>
            </w:tcBorders>
            <w:shd w:val="clear" w:color="auto" w:fill="auto"/>
            <w:noWrap/>
            <w:vAlign w:val="center"/>
            <w:hideMark/>
          </w:tcPr>
          <w:p w14:paraId="0C3F849E" w14:textId="77777777" w:rsidR="0015270F" w:rsidRPr="0095562E" w:rsidRDefault="0015270F" w:rsidP="00162359">
            <w:pPr>
              <w:spacing w:before="0" w:after="0"/>
              <w:rPr>
                <w:rStyle w:val="BookTitle"/>
                <w:sz w:val="18"/>
                <w:szCs w:val="18"/>
              </w:rPr>
            </w:pPr>
            <w:r w:rsidRPr="0095562E">
              <w:rPr>
                <w:rStyle w:val="BookTitle"/>
                <w:sz w:val="18"/>
                <w:szCs w:val="18"/>
              </w:rPr>
              <w:t>Disch.</w:t>
            </w:r>
          </w:p>
        </w:tc>
        <w:tc>
          <w:tcPr>
            <w:tcW w:w="324" w:type="pct"/>
            <w:tcBorders>
              <w:top w:val="single" w:sz="4" w:space="0" w:color="auto"/>
              <w:left w:val="nil"/>
              <w:bottom w:val="single" w:sz="4" w:space="0" w:color="auto"/>
              <w:right w:val="nil"/>
            </w:tcBorders>
            <w:shd w:val="clear" w:color="auto" w:fill="auto"/>
            <w:noWrap/>
            <w:vAlign w:val="center"/>
            <w:hideMark/>
          </w:tcPr>
          <w:p w14:paraId="0C3F849F" w14:textId="77777777" w:rsidR="0015270F" w:rsidRPr="0095562E" w:rsidRDefault="0015270F" w:rsidP="00162359">
            <w:pPr>
              <w:spacing w:before="0" w:after="0"/>
              <w:rPr>
                <w:rStyle w:val="BookTitle"/>
                <w:sz w:val="18"/>
                <w:szCs w:val="18"/>
              </w:rPr>
            </w:pPr>
            <w:r w:rsidRPr="0095562E">
              <w:rPr>
                <w:rStyle w:val="BookTitle"/>
                <w:sz w:val="18"/>
                <w:szCs w:val="18"/>
              </w:rPr>
              <w:t>Dist.</w:t>
            </w:r>
          </w:p>
        </w:tc>
        <w:tc>
          <w:tcPr>
            <w:tcW w:w="324" w:type="pct"/>
            <w:tcBorders>
              <w:top w:val="single" w:sz="4" w:space="0" w:color="auto"/>
              <w:left w:val="nil"/>
              <w:bottom w:val="single" w:sz="4" w:space="0" w:color="auto"/>
              <w:right w:val="nil"/>
            </w:tcBorders>
            <w:shd w:val="clear" w:color="auto" w:fill="auto"/>
            <w:noWrap/>
            <w:vAlign w:val="center"/>
            <w:hideMark/>
          </w:tcPr>
          <w:p w14:paraId="0C3F84A0" w14:textId="77777777" w:rsidR="0015270F" w:rsidRPr="0095562E" w:rsidRDefault="0015270F" w:rsidP="00162359">
            <w:pPr>
              <w:spacing w:before="0" w:after="0"/>
              <w:rPr>
                <w:rStyle w:val="BookTitle"/>
                <w:sz w:val="18"/>
                <w:szCs w:val="18"/>
              </w:rPr>
            </w:pPr>
            <w:r w:rsidRPr="0095562E">
              <w:rPr>
                <w:rStyle w:val="BookTitle"/>
                <w:sz w:val="18"/>
                <w:szCs w:val="18"/>
              </w:rPr>
              <w:t>TSS</w:t>
            </w:r>
          </w:p>
        </w:tc>
        <w:tc>
          <w:tcPr>
            <w:tcW w:w="324" w:type="pct"/>
            <w:tcBorders>
              <w:top w:val="single" w:sz="4" w:space="0" w:color="auto"/>
              <w:left w:val="nil"/>
              <w:bottom w:val="single" w:sz="4" w:space="0" w:color="auto"/>
              <w:right w:val="nil"/>
            </w:tcBorders>
            <w:shd w:val="clear" w:color="auto" w:fill="auto"/>
            <w:noWrap/>
            <w:vAlign w:val="center"/>
            <w:hideMark/>
          </w:tcPr>
          <w:p w14:paraId="0C3F84A1" w14:textId="77777777" w:rsidR="0015270F" w:rsidRPr="0095562E" w:rsidRDefault="0015270F" w:rsidP="00162359">
            <w:pPr>
              <w:spacing w:before="0" w:after="0"/>
              <w:rPr>
                <w:rStyle w:val="BookTitle"/>
                <w:sz w:val="18"/>
                <w:szCs w:val="18"/>
              </w:rPr>
            </w:pPr>
            <w:r w:rsidRPr="0095562E">
              <w:rPr>
                <w:rStyle w:val="BookTitle"/>
                <w:sz w:val="18"/>
                <w:szCs w:val="18"/>
              </w:rPr>
              <w:t>chl-a</w:t>
            </w:r>
          </w:p>
        </w:tc>
        <w:tc>
          <w:tcPr>
            <w:tcW w:w="324" w:type="pct"/>
            <w:tcBorders>
              <w:top w:val="single" w:sz="4" w:space="0" w:color="auto"/>
              <w:left w:val="nil"/>
              <w:bottom w:val="single" w:sz="4" w:space="0" w:color="auto"/>
              <w:right w:val="nil"/>
            </w:tcBorders>
            <w:shd w:val="clear" w:color="auto" w:fill="auto"/>
            <w:noWrap/>
            <w:vAlign w:val="center"/>
            <w:hideMark/>
          </w:tcPr>
          <w:p w14:paraId="0C3F84A2" w14:textId="77777777" w:rsidR="0015270F" w:rsidRPr="0095562E" w:rsidRDefault="0015270F" w:rsidP="00162359">
            <w:pPr>
              <w:spacing w:before="0" w:after="0"/>
              <w:rPr>
                <w:rStyle w:val="BookTitle"/>
                <w:sz w:val="18"/>
                <w:szCs w:val="18"/>
              </w:rPr>
            </w:pPr>
            <w:r w:rsidRPr="0095562E">
              <w:rPr>
                <w:rStyle w:val="BookTitle"/>
                <w:sz w:val="18"/>
                <w:szCs w:val="18"/>
              </w:rPr>
              <w:t>TN</w:t>
            </w:r>
          </w:p>
        </w:tc>
        <w:tc>
          <w:tcPr>
            <w:tcW w:w="324" w:type="pct"/>
            <w:tcBorders>
              <w:top w:val="single" w:sz="4" w:space="0" w:color="auto"/>
              <w:left w:val="nil"/>
              <w:bottom w:val="single" w:sz="4" w:space="0" w:color="auto"/>
              <w:right w:val="nil"/>
            </w:tcBorders>
            <w:shd w:val="clear" w:color="auto" w:fill="auto"/>
            <w:noWrap/>
            <w:vAlign w:val="center"/>
            <w:hideMark/>
          </w:tcPr>
          <w:p w14:paraId="0C3F84A3" w14:textId="77777777" w:rsidR="0015270F" w:rsidRPr="0095562E" w:rsidRDefault="0015270F" w:rsidP="00162359">
            <w:pPr>
              <w:spacing w:before="0" w:after="0"/>
              <w:rPr>
                <w:rStyle w:val="BookTitle"/>
                <w:sz w:val="18"/>
                <w:szCs w:val="18"/>
              </w:rPr>
            </w:pPr>
            <w:r w:rsidRPr="0095562E">
              <w:rPr>
                <w:rStyle w:val="BookTitle"/>
                <w:sz w:val="18"/>
                <w:szCs w:val="18"/>
              </w:rPr>
              <w:t>TDN</w:t>
            </w:r>
          </w:p>
        </w:tc>
        <w:tc>
          <w:tcPr>
            <w:tcW w:w="324" w:type="pct"/>
            <w:tcBorders>
              <w:top w:val="single" w:sz="4" w:space="0" w:color="auto"/>
              <w:left w:val="nil"/>
              <w:bottom w:val="single" w:sz="4" w:space="0" w:color="auto"/>
              <w:right w:val="nil"/>
            </w:tcBorders>
            <w:shd w:val="clear" w:color="auto" w:fill="auto"/>
            <w:noWrap/>
            <w:vAlign w:val="center"/>
            <w:hideMark/>
          </w:tcPr>
          <w:p w14:paraId="0C3F84A4" w14:textId="77777777" w:rsidR="0015270F" w:rsidRPr="0095562E" w:rsidRDefault="0015270F" w:rsidP="00162359">
            <w:pPr>
              <w:spacing w:before="0" w:after="0"/>
              <w:rPr>
                <w:rStyle w:val="BookTitle"/>
                <w:sz w:val="18"/>
                <w:szCs w:val="18"/>
              </w:rPr>
            </w:pPr>
            <w:r w:rsidRPr="0095562E">
              <w:rPr>
                <w:rStyle w:val="BookTitle"/>
                <w:sz w:val="18"/>
                <w:szCs w:val="18"/>
              </w:rPr>
              <w:t>DIN</w:t>
            </w:r>
          </w:p>
        </w:tc>
        <w:tc>
          <w:tcPr>
            <w:tcW w:w="324" w:type="pct"/>
            <w:tcBorders>
              <w:top w:val="single" w:sz="4" w:space="0" w:color="auto"/>
              <w:left w:val="nil"/>
              <w:bottom w:val="single" w:sz="4" w:space="0" w:color="auto"/>
              <w:right w:val="nil"/>
            </w:tcBorders>
            <w:shd w:val="clear" w:color="auto" w:fill="auto"/>
            <w:noWrap/>
            <w:vAlign w:val="center"/>
            <w:hideMark/>
          </w:tcPr>
          <w:p w14:paraId="0C3F84A5" w14:textId="77777777" w:rsidR="0015270F" w:rsidRPr="0095562E" w:rsidRDefault="0015270F" w:rsidP="00162359">
            <w:pPr>
              <w:spacing w:before="0" w:after="0"/>
              <w:rPr>
                <w:rStyle w:val="BookTitle"/>
                <w:sz w:val="18"/>
                <w:szCs w:val="18"/>
              </w:rPr>
            </w:pPr>
            <w:r w:rsidRPr="0095562E">
              <w:rPr>
                <w:rStyle w:val="BookTitle"/>
                <w:sz w:val="18"/>
                <w:szCs w:val="18"/>
              </w:rPr>
              <w:t>TP</w:t>
            </w:r>
          </w:p>
        </w:tc>
        <w:tc>
          <w:tcPr>
            <w:tcW w:w="324" w:type="pct"/>
            <w:tcBorders>
              <w:top w:val="single" w:sz="4" w:space="0" w:color="auto"/>
              <w:left w:val="nil"/>
              <w:bottom w:val="single" w:sz="4" w:space="0" w:color="auto"/>
              <w:right w:val="nil"/>
            </w:tcBorders>
            <w:shd w:val="clear" w:color="auto" w:fill="auto"/>
            <w:noWrap/>
            <w:vAlign w:val="center"/>
            <w:hideMark/>
          </w:tcPr>
          <w:p w14:paraId="0C3F84A6" w14:textId="77777777" w:rsidR="0015270F" w:rsidRPr="0095562E" w:rsidRDefault="0015270F" w:rsidP="00162359">
            <w:pPr>
              <w:spacing w:before="0" w:after="0"/>
              <w:rPr>
                <w:rStyle w:val="BookTitle"/>
                <w:sz w:val="18"/>
                <w:szCs w:val="18"/>
              </w:rPr>
            </w:pPr>
            <w:r w:rsidRPr="0095562E">
              <w:rPr>
                <w:rStyle w:val="BookTitle"/>
                <w:sz w:val="18"/>
                <w:szCs w:val="18"/>
              </w:rPr>
              <w:t>TDP</w:t>
            </w:r>
          </w:p>
        </w:tc>
        <w:tc>
          <w:tcPr>
            <w:tcW w:w="324" w:type="pct"/>
            <w:tcBorders>
              <w:top w:val="single" w:sz="4" w:space="0" w:color="auto"/>
              <w:left w:val="nil"/>
              <w:bottom w:val="single" w:sz="4" w:space="0" w:color="auto"/>
              <w:right w:val="nil"/>
            </w:tcBorders>
            <w:shd w:val="clear" w:color="auto" w:fill="auto"/>
            <w:noWrap/>
            <w:vAlign w:val="center"/>
            <w:hideMark/>
          </w:tcPr>
          <w:p w14:paraId="0C3F84A7" w14:textId="77777777" w:rsidR="0015270F" w:rsidRPr="0095562E" w:rsidRDefault="0015270F" w:rsidP="00162359">
            <w:pPr>
              <w:spacing w:before="0" w:after="0"/>
              <w:rPr>
                <w:rStyle w:val="BookTitle"/>
                <w:sz w:val="18"/>
                <w:szCs w:val="18"/>
              </w:rPr>
            </w:pPr>
            <w:r w:rsidRPr="0095562E">
              <w:rPr>
                <w:rStyle w:val="BookTitle"/>
                <w:sz w:val="18"/>
                <w:szCs w:val="18"/>
              </w:rPr>
              <w:t>DIP</w:t>
            </w:r>
          </w:p>
        </w:tc>
        <w:tc>
          <w:tcPr>
            <w:tcW w:w="324" w:type="pct"/>
            <w:tcBorders>
              <w:top w:val="single" w:sz="4" w:space="0" w:color="auto"/>
              <w:left w:val="nil"/>
              <w:bottom w:val="single" w:sz="4" w:space="0" w:color="auto"/>
              <w:right w:val="nil"/>
            </w:tcBorders>
            <w:shd w:val="clear" w:color="auto" w:fill="auto"/>
            <w:noWrap/>
            <w:vAlign w:val="center"/>
            <w:hideMark/>
          </w:tcPr>
          <w:p w14:paraId="0C3F84A8" w14:textId="77777777" w:rsidR="0015270F" w:rsidRPr="0095562E" w:rsidRDefault="0015270F" w:rsidP="00162359">
            <w:pPr>
              <w:spacing w:before="0" w:after="0"/>
              <w:rPr>
                <w:rStyle w:val="BookTitle"/>
                <w:sz w:val="18"/>
                <w:szCs w:val="18"/>
              </w:rPr>
            </w:pPr>
            <w:r w:rsidRPr="0095562E">
              <w:rPr>
                <w:rStyle w:val="BookTitle"/>
                <w:sz w:val="18"/>
                <w:szCs w:val="18"/>
              </w:rPr>
              <w:t>PN</w:t>
            </w:r>
          </w:p>
        </w:tc>
        <w:tc>
          <w:tcPr>
            <w:tcW w:w="324" w:type="pct"/>
            <w:tcBorders>
              <w:top w:val="single" w:sz="4" w:space="0" w:color="auto"/>
              <w:left w:val="nil"/>
              <w:bottom w:val="single" w:sz="4" w:space="0" w:color="auto"/>
              <w:right w:val="nil"/>
            </w:tcBorders>
            <w:shd w:val="clear" w:color="auto" w:fill="auto"/>
            <w:noWrap/>
            <w:vAlign w:val="center"/>
            <w:hideMark/>
          </w:tcPr>
          <w:p w14:paraId="0C3F84A9" w14:textId="77777777" w:rsidR="0015270F" w:rsidRPr="0095562E" w:rsidRDefault="0015270F" w:rsidP="00162359">
            <w:pPr>
              <w:spacing w:before="0" w:after="0"/>
              <w:rPr>
                <w:rStyle w:val="BookTitle"/>
                <w:sz w:val="18"/>
                <w:szCs w:val="18"/>
              </w:rPr>
            </w:pPr>
            <w:r w:rsidRPr="0095562E">
              <w:rPr>
                <w:rStyle w:val="BookTitle"/>
                <w:sz w:val="18"/>
                <w:szCs w:val="18"/>
              </w:rPr>
              <w:t>PP</w:t>
            </w:r>
          </w:p>
        </w:tc>
        <w:tc>
          <w:tcPr>
            <w:tcW w:w="324" w:type="pct"/>
            <w:tcBorders>
              <w:top w:val="single" w:sz="4" w:space="0" w:color="auto"/>
              <w:left w:val="nil"/>
              <w:bottom w:val="single" w:sz="4" w:space="0" w:color="auto"/>
              <w:right w:val="nil"/>
            </w:tcBorders>
            <w:shd w:val="clear" w:color="auto" w:fill="auto"/>
            <w:noWrap/>
            <w:vAlign w:val="center"/>
            <w:hideMark/>
          </w:tcPr>
          <w:p w14:paraId="0C3F84AA" w14:textId="77777777" w:rsidR="0015270F" w:rsidRPr="0095562E" w:rsidRDefault="0015270F" w:rsidP="00162359">
            <w:pPr>
              <w:spacing w:before="0" w:after="0"/>
              <w:rPr>
                <w:rStyle w:val="BookTitle"/>
                <w:sz w:val="18"/>
                <w:szCs w:val="18"/>
              </w:rPr>
            </w:pPr>
            <w:r w:rsidRPr="0095562E">
              <w:rPr>
                <w:rStyle w:val="BookTitle"/>
                <w:sz w:val="18"/>
                <w:szCs w:val="18"/>
              </w:rPr>
              <w:t>Si</w:t>
            </w:r>
          </w:p>
        </w:tc>
      </w:tr>
      <w:tr w:rsidR="0015270F" w:rsidRPr="0095562E" w14:paraId="0C3F84BB" w14:textId="77777777" w:rsidTr="00162359">
        <w:trPr>
          <w:trHeight w:val="20"/>
        </w:trPr>
        <w:tc>
          <w:tcPr>
            <w:tcW w:w="360" w:type="pct"/>
            <w:tcBorders>
              <w:top w:val="nil"/>
              <w:left w:val="nil"/>
              <w:bottom w:val="nil"/>
              <w:right w:val="nil"/>
            </w:tcBorders>
            <w:shd w:val="clear" w:color="auto" w:fill="auto"/>
            <w:noWrap/>
            <w:vAlign w:val="center"/>
            <w:hideMark/>
          </w:tcPr>
          <w:p w14:paraId="0C3F84AC" w14:textId="77777777" w:rsidR="0015270F" w:rsidRPr="0095562E" w:rsidRDefault="0015270F" w:rsidP="00162359">
            <w:pPr>
              <w:spacing w:before="0" w:after="0"/>
              <w:rPr>
                <w:rStyle w:val="BookTitle"/>
                <w:sz w:val="18"/>
                <w:szCs w:val="18"/>
              </w:rPr>
            </w:pPr>
            <w:r w:rsidRPr="0095562E">
              <w:rPr>
                <w:rStyle w:val="BookTitle"/>
                <w:sz w:val="18"/>
                <w:szCs w:val="18"/>
              </w:rPr>
              <w:t>Sal.</w:t>
            </w:r>
          </w:p>
        </w:tc>
        <w:tc>
          <w:tcPr>
            <w:tcW w:w="324" w:type="pct"/>
            <w:tcBorders>
              <w:top w:val="nil"/>
              <w:left w:val="nil"/>
              <w:bottom w:val="nil"/>
              <w:right w:val="nil"/>
            </w:tcBorders>
            <w:shd w:val="clear" w:color="auto" w:fill="auto"/>
            <w:noWrap/>
            <w:vAlign w:val="bottom"/>
            <w:hideMark/>
          </w:tcPr>
          <w:p w14:paraId="0C3F84AD"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429" w:type="pct"/>
            <w:tcBorders>
              <w:top w:val="nil"/>
              <w:left w:val="nil"/>
              <w:bottom w:val="nil"/>
              <w:right w:val="nil"/>
            </w:tcBorders>
            <w:shd w:val="clear" w:color="auto" w:fill="auto"/>
            <w:noWrap/>
            <w:vAlign w:val="bottom"/>
            <w:hideMark/>
          </w:tcPr>
          <w:p w14:paraId="0C3F84AE" w14:textId="77777777" w:rsidR="0015270F" w:rsidRPr="0095562E" w:rsidRDefault="0015270F" w:rsidP="00162359">
            <w:pPr>
              <w:spacing w:before="0" w:after="0"/>
              <w:rPr>
                <w:rStyle w:val="BookTitle"/>
                <w:sz w:val="18"/>
                <w:szCs w:val="18"/>
              </w:rPr>
            </w:pPr>
            <w:r w:rsidRPr="0095562E">
              <w:rPr>
                <w:rStyle w:val="BookTitle"/>
                <w:sz w:val="18"/>
                <w:szCs w:val="18"/>
              </w:rPr>
              <w:t>-0.56</w:t>
            </w:r>
          </w:p>
        </w:tc>
        <w:tc>
          <w:tcPr>
            <w:tcW w:w="324" w:type="pct"/>
            <w:tcBorders>
              <w:top w:val="nil"/>
              <w:left w:val="nil"/>
              <w:bottom w:val="nil"/>
              <w:right w:val="nil"/>
            </w:tcBorders>
            <w:shd w:val="clear" w:color="auto" w:fill="auto"/>
            <w:noWrap/>
            <w:vAlign w:val="bottom"/>
            <w:hideMark/>
          </w:tcPr>
          <w:p w14:paraId="0C3F84AF"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324" w:type="pct"/>
            <w:tcBorders>
              <w:top w:val="nil"/>
              <w:left w:val="nil"/>
              <w:bottom w:val="nil"/>
              <w:right w:val="nil"/>
            </w:tcBorders>
            <w:shd w:val="clear" w:color="000000" w:fill="FFFF00"/>
            <w:noWrap/>
            <w:vAlign w:val="bottom"/>
            <w:hideMark/>
          </w:tcPr>
          <w:p w14:paraId="0C3F84B0" w14:textId="77777777" w:rsidR="0015270F" w:rsidRPr="0095562E" w:rsidRDefault="0015270F" w:rsidP="00162359">
            <w:pPr>
              <w:spacing w:before="0" w:after="0"/>
              <w:rPr>
                <w:rStyle w:val="BookTitle"/>
                <w:sz w:val="18"/>
                <w:szCs w:val="18"/>
              </w:rPr>
            </w:pPr>
            <w:r w:rsidRPr="0095562E">
              <w:rPr>
                <w:rStyle w:val="BookTitle"/>
                <w:sz w:val="18"/>
                <w:szCs w:val="18"/>
              </w:rPr>
              <w:t>-0.63</w:t>
            </w:r>
          </w:p>
        </w:tc>
        <w:tc>
          <w:tcPr>
            <w:tcW w:w="324" w:type="pct"/>
            <w:tcBorders>
              <w:top w:val="nil"/>
              <w:left w:val="nil"/>
              <w:bottom w:val="nil"/>
              <w:right w:val="nil"/>
            </w:tcBorders>
            <w:shd w:val="clear" w:color="auto" w:fill="auto"/>
            <w:noWrap/>
            <w:vAlign w:val="bottom"/>
            <w:hideMark/>
          </w:tcPr>
          <w:p w14:paraId="0C3F84B1" w14:textId="77777777" w:rsidR="0015270F" w:rsidRPr="0095562E" w:rsidRDefault="0015270F" w:rsidP="00162359">
            <w:pPr>
              <w:spacing w:before="0" w:after="0"/>
              <w:rPr>
                <w:rStyle w:val="BookTitle"/>
                <w:sz w:val="18"/>
                <w:szCs w:val="18"/>
              </w:rPr>
            </w:pPr>
            <w:r w:rsidRPr="0095562E">
              <w:rPr>
                <w:rStyle w:val="BookTitle"/>
                <w:sz w:val="18"/>
                <w:szCs w:val="18"/>
              </w:rPr>
              <w:t>-0.44</w:t>
            </w:r>
          </w:p>
        </w:tc>
        <w:tc>
          <w:tcPr>
            <w:tcW w:w="324" w:type="pct"/>
            <w:tcBorders>
              <w:top w:val="nil"/>
              <w:left w:val="nil"/>
              <w:bottom w:val="nil"/>
              <w:right w:val="nil"/>
            </w:tcBorders>
            <w:shd w:val="clear" w:color="000000" w:fill="FFFF00"/>
            <w:noWrap/>
            <w:vAlign w:val="bottom"/>
            <w:hideMark/>
          </w:tcPr>
          <w:p w14:paraId="0C3F84B2" w14:textId="77777777" w:rsidR="0015270F" w:rsidRPr="0095562E" w:rsidRDefault="0015270F" w:rsidP="00162359">
            <w:pPr>
              <w:spacing w:before="0" w:after="0"/>
              <w:rPr>
                <w:rStyle w:val="BookTitle"/>
                <w:sz w:val="18"/>
                <w:szCs w:val="18"/>
              </w:rPr>
            </w:pPr>
            <w:r w:rsidRPr="0095562E">
              <w:rPr>
                <w:rStyle w:val="BookTitle"/>
                <w:sz w:val="18"/>
                <w:szCs w:val="18"/>
              </w:rPr>
              <w:t>-0.70</w:t>
            </w:r>
          </w:p>
        </w:tc>
        <w:tc>
          <w:tcPr>
            <w:tcW w:w="324" w:type="pct"/>
            <w:tcBorders>
              <w:top w:val="nil"/>
              <w:left w:val="nil"/>
              <w:bottom w:val="nil"/>
              <w:right w:val="nil"/>
            </w:tcBorders>
            <w:shd w:val="clear" w:color="000000" w:fill="FFFF00"/>
            <w:noWrap/>
            <w:vAlign w:val="bottom"/>
            <w:hideMark/>
          </w:tcPr>
          <w:p w14:paraId="0C3F84B3" w14:textId="77777777" w:rsidR="0015270F" w:rsidRPr="0095562E" w:rsidRDefault="0015270F" w:rsidP="00162359">
            <w:pPr>
              <w:spacing w:before="0" w:after="0"/>
              <w:rPr>
                <w:rStyle w:val="BookTitle"/>
                <w:sz w:val="18"/>
                <w:szCs w:val="18"/>
              </w:rPr>
            </w:pPr>
            <w:r w:rsidRPr="0095562E">
              <w:rPr>
                <w:rStyle w:val="BookTitle"/>
                <w:sz w:val="18"/>
                <w:szCs w:val="18"/>
              </w:rPr>
              <w:t>-0.73</w:t>
            </w:r>
          </w:p>
        </w:tc>
        <w:tc>
          <w:tcPr>
            <w:tcW w:w="324" w:type="pct"/>
            <w:tcBorders>
              <w:top w:val="nil"/>
              <w:left w:val="nil"/>
              <w:bottom w:val="nil"/>
              <w:right w:val="nil"/>
            </w:tcBorders>
            <w:shd w:val="clear" w:color="auto" w:fill="auto"/>
            <w:noWrap/>
            <w:vAlign w:val="bottom"/>
            <w:hideMark/>
          </w:tcPr>
          <w:p w14:paraId="0C3F84B4"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000000" w:fill="FFFF00"/>
            <w:noWrap/>
            <w:vAlign w:val="bottom"/>
            <w:hideMark/>
          </w:tcPr>
          <w:p w14:paraId="0C3F84B5"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324" w:type="pct"/>
            <w:tcBorders>
              <w:top w:val="nil"/>
              <w:left w:val="nil"/>
              <w:bottom w:val="nil"/>
              <w:right w:val="nil"/>
            </w:tcBorders>
            <w:shd w:val="clear" w:color="000000" w:fill="FFFF00"/>
            <w:noWrap/>
            <w:vAlign w:val="bottom"/>
            <w:hideMark/>
          </w:tcPr>
          <w:p w14:paraId="0C3F84B6" w14:textId="77777777" w:rsidR="0015270F" w:rsidRPr="0095562E" w:rsidRDefault="0015270F" w:rsidP="00162359">
            <w:pPr>
              <w:spacing w:before="0" w:after="0"/>
              <w:rPr>
                <w:rStyle w:val="BookTitle"/>
                <w:sz w:val="18"/>
                <w:szCs w:val="18"/>
              </w:rPr>
            </w:pPr>
            <w:r w:rsidRPr="0095562E">
              <w:rPr>
                <w:rStyle w:val="BookTitle"/>
                <w:sz w:val="18"/>
                <w:szCs w:val="18"/>
              </w:rPr>
              <w:t>-0.66</w:t>
            </w:r>
          </w:p>
        </w:tc>
        <w:tc>
          <w:tcPr>
            <w:tcW w:w="324" w:type="pct"/>
            <w:tcBorders>
              <w:top w:val="nil"/>
              <w:left w:val="nil"/>
              <w:bottom w:val="nil"/>
              <w:right w:val="nil"/>
            </w:tcBorders>
            <w:shd w:val="clear" w:color="auto" w:fill="auto"/>
            <w:noWrap/>
            <w:vAlign w:val="bottom"/>
            <w:hideMark/>
          </w:tcPr>
          <w:p w14:paraId="0C3F84B7"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4B8" w14:textId="77777777" w:rsidR="0015270F" w:rsidRPr="0095562E" w:rsidRDefault="0015270F" w:rsidP="00162359">
            <w:pPr>
              <w:spacing w:before="0" w:after="0"/>
              <w:rPr>
                <w:rStyle w:val="BookTitle"/>
                <w:sz w:val="18"/>
                <w:szCs w:val="18"/>
              </w:rPr>
            </w:pPr>
            <w:r w:rsidRPr="0095562E">
              <w:rPr>
                <w:rStyle w:val="BookTitle"/>
                <w:sz w:val="18"/>
                <w:szCs w:val="18"/>
              </w:rPr>
              <w:t>0.22</w:t>
            </w:r>
          </w:p>
        </w:tc>
        <w:tc>
          <w:tcPr>
            <w:tcW w:w="324" w:type="pct"/>
            <w:tcBorders>
              <w:top w:val="nil"/>
              <w:left w:val="nil"/>
              <w:bottom w:val="nil"/>
              <w:right w:val="nil"/>
            </w:tcBorders>
            <w:shd w:val="clear" w:color="auto" w:fill="auto"/>
            <w:noWrap/>
            <w:vAlign w:val="bottom"/>
            <w:hideMark/>
          </w:tcPr>
          <w:p w14:paraId="0C3F84B9" w14:textId="77777777" w:rsidR="0015270F" w:rsidRPr="0095562E" w:rsidRDefault="0015270F" w:rsidP="00162359">
            <w:pPr>
              <w:spacing w:before="0" w:after="0"/>
              <w:rPr>
                <w:rStyle w:val="BookTitle"/>
                <w:sz w:val="18"/>
                <w:szCs w:val="18"/>
              </w:rPr>
            </w:pPr>
            <w:r w:rsidRPr="0095562E">
              <w:rPr>
                <w:rStyle w:val="BookTitle"/>
                <w:sz w:val="18"/>
                <w:szCs w:val="18"/>
              </w:rPr>
              <w:t>-0.49</w:t>
            </w:r>
          </w:p>
        </w:tc>
        <w:tc>
          <w:tcPr>
            <w:tcW w:w="324" w:type="pct"/>
            <w:tcBorders>
              <w:top w:val="nil"/>
              <w:left w:val="nil"/>
              <w:bottom w:val="nil"/>
              <w:right w:val="nil"/>
            </w:tcBorders>
            <w:shd w:val="clear" w:color="auto" w:fill="auto"/>
            <w:noWrap/>
            <w:vAlign w:val="bottom"/>
            <w:hideMark/>
          </w:tcPr>
          <w:p w14:paraId="0C3F84BA" w14:textId="77777777" w:rsidR="0015270F" w:rsidRPr="0095562E" w:rsidRDefault="0015270F" w:rsidP="00162359">
            <w:pPr>
              <w:spacing w:before="0" w:after="0"/>
              <w:rPr>
                <w:rStyle w:val="BookTitle"/>
                <w:sz w:val="18"/>
                <w:szCs w:val="18"/>
              </w:rPr>
            </w:pPr>
            <w:r w:rsidRPr="0095562E">
              <w:rPr>
                <w:rStyle w:val="BookTitle"/>
                <w:sz w:val="18"/>
                <w:szCs w:val="18"/>
              </w:rPr>
              <w:t>-0.34</w:t>
            </w:r>
          </w:p>
        </w:tc>
      </w:tr>
      <w:tr w:rsidR="0015270F" w:rsidRPr="0095562E" w14:paraId="0C3F84CB" w14:textId="77777777" w:rsidTr="00162359">
        <w:trPr>
          <w:trHeight w:val="20"/>
        </w:trPr>
        <w:tc>
          <w:tcPr>
            <w:tcW w:w="360" w:type="pct"/>
            <w:tcBorders>
              <w:top w:val="nil"/>
              <w:left w:val="nil"/>
              <w:bottom w:val="nil"/>
              <w:right w:val="nil"/>
            </w:tcBorders>
            <w:shd w:val="clear" w:color="auto" w:fill="auto"/>
            <w:noWrap/>
            <w:vAlign w:val="center"/>
            <w:hideMark/>
          </w:tcPr>
          <w:p w14:paraId="0C3F84BC" w14:textId="77777777" w:rsidR="0015270F" w:rsidRPr="0095562E" w:rsidRDefault="0015270F" w:rsidP="00162359">
            <w:pPr>
              <w:spacing w:before="0" w:after="0"/>
              <w:rPr>
                <w:rStyle w:val="BookTitle"/>
                <w:sz w:val="18"/>
                <w:szCs w:val="18"/>
              </w:rPr>
            </w:pPr>
            <w:r w:rsidRPr="0095562E">
              <w:rPr>
                <w:rStyle w:val="BookTitle"/>
                <w:sz w:val="18"/>
                <w:szCs w:val="18"/>
              </w:rPr>
              <w:t>Disch.</w:t>
            </w:r>
          </w:p>
        </w:tc>
        <w:tc>
          <w:tcPr>
            <w:tcW w:w="324" w:type="pct"/>
            <w:tcBorders>
              <w:top w:val="nil"/>
              <w:left w:val="nil"/>
              <w:bottom w:val="nil"/>
              <w:right w:val="nil"/>
            </w:tcBorders>
            <w:shd w:val="clear" w:color="auto" w:fill="auto"/>
            <w:noWrap/>
            <w:vAlign w:val="bottom"/>
            <w:hideMark/>
          </w:tcPr>
          <w:p w14:paraId="0C3F84BD" w14:textId="77777777" w:rsidR="0015270F" w:rsidRPr="0095562E" w:rsidRDefault="0015270F" w:rsidP="00162359">
            <w:pPr>
              <w:spacing w:before="0" w:after="0"/>
              <w:rPr>
                <w:rStyle w:val="BookTitle"/>
                <w:sz w:val="18"/>
                <w:szCs w:val="18"/>
              </w:rPr>
            </w:pPr>
            <w:r w:rsidRPr="0095562E">
              <w:rPr>
                <w:rStyle w:val="BookTitle"/>
                <w:sz w:val="18"/>
                <w:szCs w:val="18"/>
              </w:rPr>
              <w:t>-0.56</w:t>
            </w:r>
          </w:p>
        </w:tc>
        <w:tc>
          <w:tcPr>
            <w:tcW w:w="429" w:type="pct"/>
            <w:tcBorders>
              <w:top w:val="nil"/>
              <w:left w:val="nil"/>
              <w:bottom w:val="nil"/>
              <w:right w:val="nil"/>
            </w:tcBorders>
            <w:shd w:val="clear" w:color="auto" w:fill="auto"/>
            <w:noWrap/>
            <w:vAlign w:val="bottom"/>
            <w:hideMark/>
          </w:tcPr>
          <w:p w14:paraId="0C3F84BE"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BF"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4C0" w14:textId="77777777" w:rsidR="0015270F" w:rsidRPr="0095562E" w:rsidRDefault="0015270F" w:rsidP="00162359">
            <w:pPr>
              <w:spacing w:before="0" w:after="0"/>
              <w:rPr>
                <w:rStyle w:val="BookTitle"/>
                <w:sz w:val="18"/>
                <w:szCs w:val="18"/>
              </w:rPr>
            </w:pPr>
            <w:r w:rsidRPr="0095562E">
              <w:rPr>
                <w:rStyle w:val="BookTitle"/>
                <w:sz w:val="18"/>
                <w:szCs w:val="18"/>
              </w:rPr>
              <w:t>0.47</w:t>
            </w:r>
          </w:p>
        </w:tc>
        <w:tc>
          <w:tcPr>
            <w:tcW w:w="324" w:type="pct"/>
            <w:tcBorders>
              <w:top w:val="nil"/>
              <w:left w:val="nil"/>
              <w:bottom w:val="nil"/>
              <w:right w:val="nil"/>
            </w:tcBorders>
            <w:shd w:val="clear" w:color="auto" w:fill="auto"/>
            <w:noWrap/>
            <w:vAlign w:val="bottom"/>
            <w:hideMark/>
          </w:tcPr>
          <w:p w14:paraId="0C3F84C1"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4C2"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4C3"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4C4" w14:textId="77777777" w:rsidR="0015270F" w:rsidRPr="0095562E" w:rsidRDefault="0015270F" w:rsidP="00162359">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000000" w:fill="FFFF00"/>
            <w:noWrap/>
            <w:vAlign w:val="bottom"/>
            <w:hideMark/>
          </w:tcPr>
          <w:p w14:paraId="0C3F84C5" w14:textId="77777777" w:rsidR="0015270F" w:rsidRPr="0095562E" w:rsidRDefault="0015270F" w:rsidP="00162359">
            <w:pPr>
              <w:spacing w:before="0" w:after="0"/>
              <w:rPr>
                <w:rStyle w:val="BookTitle"/>
                <w:sz w:val="18"/>
                <w:szCs w:val="18"/>
              </w:rPr>
            </w:pPr>
            <w:r w:rsidRPr="0095562E">
              <w:rPr>
                <w:rStyle w:val="BookTitle"/>
                <w:sz w:val="18"/>
                <w:szCs w:val="18"/>
              </w:rPr>
              <w:t>0.69</w:t>
            </w:r>
          </w:p>
        </w:tc>
        <w:tc>
          <w:tcPr>
            <w:tcW w:w="324" w:type="pct"/>
            <w:tcBorders>
              <w:top w:val="nil"/>
              <w:left w:val="nil"/>
              <w:bottom w:val="nil"/>
              <w:right w:val="nil"/>
            </w:tcBorders>
            <w:shd w:val="clear" w:color="auto" w:fill="auto"/>
            <w:noWrap/>
            <w:vAlign w:val="bottom"/>
            <w:hideMark/>
          </w:tcPr>
          <w:p w14:paraId="0C3F84C6" w14:textId="77777777" w:rsidR="0015270F" w:rsidRPr="0095562E" w:rsidRDefault="0015270F" w:rsidP="00162359">
            <w:pPr>
              <w:spacing w:before="0" w:after="0"/>
              <w:rPr>
                <w:rStyle w:val="BookTitle"/>
                <w:sz w:val="18"/>
                <w:szCs w:val="18"/>
              </w:rPr>
            </w:pPr>
            <w:r w:rsidRPr="0095562E">
              <w:rPr>
                <w:rStyle w:val="BookTitle"/>
                <w:sz w:val="18"/>
                <w:szCs w:val="18"/>
              </w:rPr>
              <w:t>0.48</w:t>
            </w:r>
          </w:p>
        </w:tc>
        <w:tc>
          <w:tcPr>
            <w:tcW w:w="324" w:type="pct"/>
            <w:tcBorders>
              <w:top w:val="nil"/>
              <w:left w:val="nil"/>
              <w:bottom w:val="nil"/>
              <w:right w:val="nil"/>
            </w:tcBorders>
            <w:shd w:val="clear" w:color="auto" w:fill="auto"/>
            <w:noWrap/>
            <w:vAlign w:val="bottom"/>
            <w:hideMark/>
          </w:tcPr>
          <w:p w14:paraId="0C3F84C7"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4C8"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4C9" w14:textId="77777777" w:rsidR="0015270F" w:rsidRPr="0095562E" w:rsidRDefault="0015270F" w:rsidP="00162359">
            <w:pPr>
              <w:spacing w:before="0" w:after="0"/>
              <w:rPr>
                <w:rStyle w:val="BookTitle"/>
                <w:sz w:val="18"/>
                <w:szCs w:val="18"/>
              </w:rPr>
            </w:pPr>
            <w:r w:rsidRPr="0095562E">
              <w:rPr>
                <w:rStyle w:val="BookTitle"/>
                <w:sz w:val="18"/>
                <w:szCs w:val="18"/>
              </w:rPr>
              <w:t>0.53</w:t>
            </w:r>
          </w:p>
        </w:tc>
        <w:tc>
          <w:tcPr>
            <w:tcW w:w="324" w:type="pct"/>
            <w:tcBorders>
              <w:top w:val="nil"/>
              <w:left w:val="nil"/>
              <w:bottom w:val="nil"/>
              <w:right w:val="nil"/>
            </w:tcBorders>
            <w:shd w:val="clear" w:color="auto" w:fill="auto"/>
            <w:noWrap/>
            <w:vAlign w:val="bottom"/>
            <w:hideMark/>
          </w:tcPr>
          <w:p w14:paraId="0C3F84CA" w14:textId="77777777" w:rsidR="0015270F" w:rsidRPr="0095562E" w:rsidRDefault="0015270F" w:rsidP="00162359">
            <w:pPr>
              <w:spacing w:before="0" w:after="0"/>
              <w:rPr>
                <w:rStyle w:val="BookTitle"/>
                <w:sz w:val="18"/>
                <w:szCs w:val="18"/>
              </w:rPr>
            </w:pPr>
            <w:r w:rsidRPr="0095562E">
              <w:rPr>
                <w:rStyle w:val="BookTitle"/>
                <w:sz w:val="18"/>
                <w:szCs w:val="18"/>
              </w:rPr>
              <w:t>-0.09</w:t>
            </w:r>
          </w:p>
        </w:tc>
      </w:tr>
      <w:tr w:rsidR="0015270F" w:rsidRPr="0095562E" w14:paraId="0C3F84DB" w14:textId="77777777" w:rsidTr="00162359">
        <w:trPr>
          <w:trHeight w:val="20"/>
        </w:trPr>
        <w:tc>
          <w:tcPr>
            <w:tcW w:w="360" w:type="pct"/>
            <w:tcBorders>
              <w:top w:val="nil"/>
              <w:left w:val="nil"/>
              <w:bottom w:val="nil"/>
              <w:right w:val="nil"/>
            </w:tcBorders>
            <w:shd w:val="clear" w:color="auto" w:fill="auto"/>
            <w:noWrap/>
            <w:vAlign w:val="center"/>
            <w:hideMark/>
          </w:tcPr>
          <w:p w14:paraId="0C3F84CC" w14:textId="77777777" w:rsidR="0015270F" w:rsidRPr="0095562E" w:rsidRDefault="0015270F" w:rsidP="00162359">
            <w:pPr>
              <w:spacing w:before="0" w:after="0"/>
              <w:rPr>
                <w:rStyle w:val="BookTitle"/>
                <w:sz w:val="18"/>
                <w:szCs w:val="18"/>
              </w:rPr>
            </w:pPr>
            <w:r w:rsidRPr="0095562E">
              <w:rPr>
                <w:rStyle w:val="BookTitle"/>
                <w:sz w:val="18"/>
                <w:szCs w:val="18"/>
              </w:rPr>
              <w:t>Dist.</w:t>
            </w:r>
          </w:p>
        </w:tc>
        <w:tc>
          <w:tcPr>
            <w:tcW w:w="324" w:type="pct"/>
            <w:tcBorders>
              <w:top w:val="nil"/>
              <w:left w:val="nil"/>
              <w:bottom w:val="nil"/>
              <w:right w:val="nil"/>
            </w:tcBorders>
            <w:shd w:val="clear" w:color="auto" w:fill="auto"/>
            <w:noWrap/>
            <w:vAlign w:val="bottom"/>
            <w:hideMark/>
          </w:tcPr>
          <w:p w14:paraId="0C3F84CD" w14:textId="77777777" w:rsidR="0015270F" w:rsidRPr="0095562E" w:rsidRDefault="0015270F" w:rsidP="00162359">
            <w:pPr>
              <w:spacing w:before="0" w:after="0"/>
              <w:rPr>
                <w:rStyle w:val="BookTitle"/>
                <w:sz w:val="18"/>
                <w:szCs w:val="18"/>
              </w:rPr>
            </w:pPr>
            <w:r w:rsidRPr="0095562E">
              <w:rPr>
                <w:rStyle w:val="BookTitle"/>
                <w:sz w:val="18"/>
                <w:szCs w:val="18"/>
              </w:rPr>
              <w:t>-0.01</w:t>
            </w:r>
          </w:p>
        </w:tc>
        <w:tc>
          <w:tcPr>
            <w:tcW w:w="429" w:type="pct"/>
            <w:tcBorders>
              <w:top w:val="nil"/>
              <w:left w:val="nil"/>
              <w:bottom w:val="nil"/>
              <w:right w:val="nil"/>
            </w:tcBorders>
            <w:shd w:val="clear" w:color="auto" w:fill="auto"/>
            <w:noWrap/>
            <w:vAlign w:val="bottom"/>
            <w:hideMark/>
          </w:tcPr>
          <w:p w14:paraId="0C3F84CE"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4CF"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D0" w14:textId="77777777" w:rsidR="0015270F" w:rsidRPr="0095562E" w:rsidRDefault="0015270F" w:rsidP="00162359">
            <w:pPr>
              <w:spacing w:before="0" w:after="0"/>
              <w:rPr>
                <w:rStyle w:val="BookTitle"/>
                <w:sz w:val="18"/>
                <w:szCs w:val="18"/>
              </w:rPr>
            </w:pPr>
            <w:r w:rsidRPr="0095562E">
              <w:rPr>
                <w:rStyle w:val="BookTitle"/>
                <w:sz w:val="18"/>
                <w:szCs w:val="18"/>
              </w:rPr>
              <w:t>0.04</w:t>
            </w:r>
          </w:p>
        </w:tc>
        <w:tc>
          <w:tcPr>
            <w:tcW w:w="324" w:type="pct"/>
            <w:tcBorders>
              <w:top w:val="nil"/>
              <w:left w:val="nil"/>
              <w:bottom w:val="nil"/>
              <w:right w:val="nil"/>
            </w:tcBorders>
            <w:shd w:val="clear" w:color="auto" w:fill="auto"/>
            <w:noWrap/>
            <w:vAlign w:val="bottom"/>
            <w:hideMark/>
          </w:tcPr>
          <w:p w14:paraId="0C3F84D1"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4D2"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4D3"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bottom"/>
            <w:hideMark/>
          </w:tcPr>
          <w:p w14:paraId="0C3F84D4" w14:textId="77777777" w:rsidR="0015270F" w:rsidRPr="0095562E" w:rsidRDefault="0015270F" w:rsidP="00162359">
            <w:pPr>
              <w:spacing w:before="0" w:after="0"/>
              <w:rPr>
                <w:rStyle w:val="BookTitle"/>
                <w:sz w:val="18"/>
                <w:szCs w:val="18"/>
              </w:rPr>
            </w:pPr>
            <w:r w:rsidRPr="0095562E">
              <w:rPr>
                <w:rStyle w:val="BookTitle"/>
                <w:sz w:val="18"/>
                <w:szCs w:val="18"/>
              </w:rPr>
              <w:t>-0.37</w:t>
            </w:r>
          </w:p>
        </w:tc>
        <w:tc>
          <w:tcPr>
            <w:tcW w:w="324" w:type="pct"/>
            <w:tcBorders>
              <w:top w:val="nil"/>
              <w:left w:val="nil"/>
              <w:bottom w:val="nil"/>
              <w:right w:val="nil"/>
            </w:tcBorders>
            <w:shd w:val="clear" w:color="auto" w:fill="auto"/>
            <w:noWrap/>
            <w:vAlign w:val="bottom"/>
            <w:hideMark/>
          </w:tcPr>
          <w:p w14:paraId="0C3F84D5"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bottom"/>
            <w:hideMark/>
          </w:tcPr>
          <w:p w14:paraId="0C3F84D6" w14:textId="77777777" w:rsidR="0015270F" w:rsidRPr="0095562E" w:rsidRDefault="0015270F" w:rsidP="00162359">
            <w:pPr>
              <w:spacing w:before="0" w:after="0"/>
              <w:rPr>
                <w:rStyle w:val="BookTitle"/>
                <w:sz w:val="18"/>
                <w:szCs w:val="18"/>
              </w:rPr>
            </w:pPr>
            <w:r w:rsidRPr="0095562E">
              <w:rPr>
                <w:rStyle w:val="BookTitle"/>
                <w:sz w:val="18"/>
                <w:szCs w:val="18"/>
              </w:rPr>
              <w:t>0.07</w:t>
            </w:r>
          </w:p>
        </w:tc>
        <w:tc>
          <w:tcPr>
            <w:tcW w:w="324" w:type="pct"/>
            <w:tcBorders>
              <w:top w:val="nil"/>
              <w:left w:val="nil"/>
              <w:bottom w:val="nil"/>
              <w:right w:val="nil"/>
            </w:tcBorders>
            <w:shd w:val="clear" w:color="auto" w:fill="auto"/>
            <w:noWrap/>
            <w:vAlign w:val="bottom"/>
            <w:hideMark/>
          </w:tcPr>
          <w:p w14:paraId="0C3F84D7"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4D8" w14:textId="77777777" w:rsidR="0015270F" w:rsidRPr="0095562E" w:rsidRDefault="0015270F" w:rsidP="00162359">
            <w:pPr>
              <w:spacing w:before="0" w:after="0"/>
              <w:rPr>
                <w:rStyle w:val="BookTitle"/>
                <w:sz w:val="18"/>
                <w:szCs w:val="18"/>
              </w:rPr>
            </w:pPr>
            <w:r w:rsidRPr="0095562E">
              <w:rPr>
                <w:rStyle w:val="BookTitle"/>
                <w:sz w:val="18"/>
                <w:szCs w:val="18"/>
              </w:rPr>
              <w:t>-0.32</w:t>
            </w:r>
          </w:p>
        </w:tc>
        <w:tc>
          <w:tcPr>
            <w:tcW w:w="324" w:type="pct"/>
            <w:tcBorders>
              <w:top w:val="nil"/>
              <w:left w:val="nil"/>
              <w:bottom w:val="nil"/>
              <w:right w:val="nil"/>
            </w:tcBorders>
            <w:shd w:val="clear" w:color="auto" w:fill="auto"/>
            <w:noWrap/>
            <w:vAlign w:val="bottom"/>
            <w:hideMark/>
          </w:tcPr>
          <w:p w14:paraId="0C3F84D9"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4DA" w14:textId="77777777" w:rsidR="0015270F" w:rsidRPr="0095562E" w:rsidRDefault="0015270F" w:rsidP="00162359">
            <w:pPr>
              <w:spacing w:before="0" w:after="0"/>
              <w:rPr>
                <w:rStyle w:val="BookTitle"/>
                <w:sz w:val="18"/>
                <w:szCs w:val="18"/>
              </w:rPr>
            </w:pPr>
            <w:r w:rsidRPr="0095562E">
              <w:rPr>
                <w:rStyle w:val="BookTitle"/>
                <w:sz w:val="18"/>
                <w:szCs w:val="18"/>
              </w:rPr>
              <w:t>-0.21</w:t>
            </w:r>
          </w:p>
        </w:tc>
      </w:tr>
      <w:tr w:rsidR="0015270F" w:rsidRPr="0095562E" w14:paraId="0C3F84EB" w14:textId="77777777" w:rsidTr="00162359">
        <w:trPr>
          <w:trHeight w:val="20"/>
        </w:trPr>
        <w:tc>
          <w:tcPr>
            <w:tcW w:w="360" w:type="pct"/>
            <w:tcBorders>
              <w:top w:val="nil"/>
              <w:left w:val="nil"/>
              <w:bottom w:val="nil"/>
              <w:right w:val="nil"/>
            </w:tcBorders>
            <w:shd w:val="clear" w:color="auto" w:fill="auto"/>
            <w:noWrap/>
            <w:vAlign w:val="center"/>
            <w:hideMark/>
          </w:tcPr>
          <w:p w14:paraId="0C3F84DC" w14:textId="77777777" w:rsidR="0015270F" w:rsidRPr="0095562E" w:rsidRDefault="0015270F" w:rsidP="00162359">
            <w:pPr>
              <w:spacing w:before="0" w:after="0"/>
              <w:rPr>
                <w:rStyle w:val="BookTitle"/>
                <w:sz w:val="18"/>
                <w:szCs w:val="18"/>
              </w:rPr>
            </w:pPr>
            <w:r w:rsidRPr="0095562E">
              <w:rPr>
                <w:rStyle w:val="BookTitle"/>
                <w:sz w:val="18"/>
                <w:szCs w:val="18"/>
              </w:rPr>
              <w:t>TSS</w:t>
            </w:r>
          </w:p>
        </w:tc>
        <w:tc>
          <w:tcPr>
            <w:tcW w:w="324" w:type="pct"/>
            <w:tcBorders>
              <w:top w:val="nil"/>
              <w:left w:val="nil"/>
              <w:bottom w:val="nil"/>
              <w:right w:val="nil"/>
            </w:tcBorders>
            <w:shd w:val="clear" w:color="000000" w:fill="FFFF00"/>
            <w:noWrap/>
            <w:vAlign w:val="bottom"/>
            <w:hideMark/>
          </w:tcPr>
          <w:p w14:paraId="0C3F84DD" w14:textId="77777777" w:rsidR="0015270F" w:rsidRPr="0095562E" w:rsidRDefault="0015270F" w:rsidP="00162359">
            <w:pPr>
              <w:spacing w:before="0" w:after="0"/>
              <w:rPr>
                <w:rStyle w:val="BookTitle"/>
                <w:sz w:val="18"/>
                <w:szCs w:val="18"/>
              </w:rPr>
            </w:pPr>
            <w:r w:rsidRPr="0095562E">
              <w:rPr>
                <w:rStyle w:val="BookTitle"/>
                <w:sz w:val="18"/>
                <w:szCs w:val="18"/>
              </w:rPr>
              <w:t>-0.63</w:t>
            </w:r>
          </w:p>
        </w:tc>
        <w:tc>
          <w:tcPr>
            <w:tcW w:w="429" w:type="pct"/>
            <w:tcBorders>
              <w:top w:val="nil"/>
              <w:left w:val="nil"/>
              <w:bottom w:val="nil"/>
              <w:right w:val="nil"/>
            </w:tcBorders>
            <w:shd w:val="clear" w:color="auto" w:fill="auto"/>
            <w:noWrap/>
            <w:vAlign w:val="bottom"/>
            <w:hideMark/>
          </w:tcPr>
          <w:p w14:paraId="0C3F84DE" w14:textId="77777777" w:rsidR="0015270F" w:rsidRPr="0095562E" w:rsidRDefault="0015270F" w:rsidP="00162359">
            <w:pPr>
              <w:spacing w:before="0" w:after="0"/>
              <w:rPr>
                <w:rStyle w:val="BookTitle"/>
                <w:sz w:val="18"/>
                <w:szCs w:val="18"/>
              </w:rPr>
            </w:pPr>
            <w:r w:rsidRPr="0095562E">
              <w:rPr>
                <w:rStyle w:val="BookTitle"/>
                <w:sz w:val="18"/>
                <w:szCs w:val="18"/>
              </w:rPr>
              <w:t>0.47</w:t>
            </w:r>
          </w:p>
        </w:tc>
        <w:tc>
          <w:tcPr>
            <w:tcW w:w="324" w:type="pct"/>
            <w:tcBorders>
              <w:top w:val="nil"/>
              <w:left w:val="nil"/>
              <w:bottom w:val="nil"/>
              <w:right w:val="nil"/>
            </w:tcBorders>
            <w:shd w:val="clear" w:color="auto" w:fill="auto"/>
            <w:noWrap/>
            <w:vAlign w:val="bottom"/>
            <w:hideMark/>
          </w:tcPr>
          <w:p w14:paraId="0C3F84DF" w14:textId="77777777" w:rsidR="0015270F" w:rsidRPr="0095562E" w:rsidRDefault="0015270F" w:rsidP="00162359">
            <w:pPr>
              <w:spacing w:before="0" w:after="0"/>
              <w:rPr>
                <w:rStyle w:val="BookTitle"/>
                <w:sz w:val="18"/>
                <w:szCs w:val="18"/>
              </w:rPr>
            </w:pPr>
            <w:r w:rsidRPr="0095562E">
              <w:rPr>
                <w:rStyle w:val="BookTitle"/>
                <w:sz w:val="18"/>
                <w:szCs w:val="18"/>
              </w:rPr>
              <w:t>0.04</w:t>
            </w:r>
          </w:p>
        </w:tc>
        <w:tc>
          <w:tcPr>
            <w:tcW w:w="324" w:type="pct"/>
            <w:tcBorders>
              <w:top w:val="nil"/>
              <w:left w:val="nil"/>
              <w:bottom w:val="nil"/>
              <w:right w:val="nil"/>
            </w:tcBorders>
            <w:shd w:val="clear" w:color="auto" w:fill="auto"/>
            <w:noWrap/>
            <w:vAlign w:val="bottom"/>
            <w:hideMark/>
          </w:tcPr>
          <w:p w14:paraId="0C3F84E0"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bottom"/>
            <w:hideMark/>
          </w:tcPr>
          <w:p w14:paraId="0C3F84E1" w14:textId="77777777" w:rsidR="0015270F" w:rsidRPr="0095562E" w:rsidRDefault="0015270F" w:rsidP="00162359">
            <w:pPr>
              <w:spacing w:before="0" w:after="0"/>
              <w:rPr>
                <w:rStyle w:val="BookTitle"/>
                <w:sz w:val="18"/>
                <w:szCs w:val="18"/>
              </w:rPr>
            </w:pPr>
            <w:r w:rsidRPr="0095562E">
              <w:rPr>
                <w:rStyle w:val="BookTitle"/>
                <w:sz w:val="18"/>
                <w:szCs w:val="18"/>
              </w:rPr>
              <w:t>0.75</w:t>
            </w:r>
          </w:p>
        </w:tc>
        <w:tc>
          <w:tcPr>
            <w:tcW w:w="324" w:type="pct"/>
            <w:tcBorders>
              <w:top w:val="nil"/>
              <w:left w:val="nil"/>
              <w:bottom w:val="nil"/>
              <w:right w:val="nil"/>
            </w:tcBorders>
            <w:shd w:val="clear" w:color="000000" w:fill="FFFF00"/>
            <w:noWrap/>
            <w:vAlign w:val="bottom"/>
            <w:hideMark/>
          </w:tcPr>
          <w:p w14:paraId="0C3F84E2"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324" w:type="pct"/>
            <w:tcBorders>
              <w:top w:val="nil"/>
              <w:left w:val="nil"/>
              <w:bottom w:val="nil"/>
              <w:right w:val="nil"/>
            </w:tcBorders>
            <w:shd w:val="clear" w:color="auto" w:fill="auto"/>
            <w:noWrap/>
            <w:vAlign w:val="bottom"/>
            <w:hideMark/>
          </w:tcPr>
          <w:p w14:paraId="0C3F84E3" w14:textId="77777777" w:rsidR="0015270F" w:rsidRPr="0095562E" w:rsidRDefault="0015270F" w:rsidP="00162359">
            <w:pPr>
              <w:spacing w:before="0" w:after="0"/>
              <w:rPr>
                <w:rStyle w:val="BookTitle"/>
                <w:sz w:val="18"/>
                <w:szCs w:val="18"/>
              </w:rPr>
            </w:pPr>
            <w:r w:rsidRPr="0095562E">
              <w:rPr>
                <w:rStyle w:val="BookTitle"/>
                <w:sz w:val="18"/>
                <w:szCs w:val="18"/>
              </w:rPr>
              <w:t>0.60</w:t>
            </w:r>
          </w:p>
        </w:tc>
        <w:tc>
          <w:tcPr>
            <w:tcW w:w="324" w:type="pct"/>
            <w:tcBorders>
              <w:top w:val="nil"/>
              <w:left w:val="nil"/>
              <w:bottom w:val="nil"/>
              <w:right w:val="nil"/>
            </w:tcBorders>
            <w:shd w:val="clear" w:color="auto" w:fill="auto"/>
            <w:noWrap/>
            <w:vAlign w:val="bottom"/>
            <w:hideMark/>
          </w:tcPr>
          <w:p w14:paraId="0C3F84E4" w14:textId="77777777" w:rsidR="0015270F" w:rsidRPr="0095562E" w:rsidRDefault="0015270F" w:rsidP="00162359">
            <w:pPr>
              <w:spacing w:before="0" w:after="0"/>
              <w:rPr>
                <w:rStyle w:val="BookTitle"/>
                <w:sz w:val="18"/>
                <w:szCs w:val="18"/>
              </w:rPr>
            </w:pPr>
            <w:r w:rsidRPr="0095562E">
              <w:rPr>
                <w:rStyle w:val="BookTitle"/>
                <w:sz w:val="18"/>
                <w:szCs w:val="18"/>
              </w:rPr>
              <w:t>0.10</w:t>
            </w:r>
          </w:p>
        </w:tc>
        <w:tc>
          <w:tcPr>
            <w:tcW w:w="324" w:type="pct"/>
            <w:tcBorders>
              <w:top w:val="nil"/>
              <w:left w:val="nil"/>
              <w:bottom w:val="nil"/>
              <w:right w:val="nil"/>
            </w:tcBorders>
            <w:shd w:val="clear" w:color="000000" w:fill="FFFF00"/>
            <w:noWrap/>
            <w:vAlign w:val="bottom"/>
            <w:hideMark/>
          </w:tcPr>
          <w:p w14:paraId="0C3F84E5" w14:textId="77777777" w:rsidR="0015270F" w:rsidRPr="0095562E" w:rsidRDefault="0015270F" w:rsidP="00162359">
            <w:pPr>
              <w:spacing w:before="0" w:after="0"/>
              <w:rPr>
                <w:rStyle w:val="BookTitle"/>
                <w:sz w:val="18"/>
                <w:szCs w:val="18"/>
              </w:rPr>
            </w:pPr>
            <w:r w:rsidRPr="0095562E">
              <w:rPr>
                <w:rStyle w:val="BookTitle"/>
                <w:sz w:val="18"/>
                <w:szCs w:val="18"/>
              </w:rPr>
              <w:t>0.63</w:t>
            </w:r>
          </w:p>
        </w:tc>
        <w:tc>
          <w:tcPr>
            <w:tcW w:w="324" w:type="pct"/>
            <w:tcBorders>
              <w:top w:val="nil"/>
              <w:left w:val="nil"/>
              <w:bottom w:val="nil"/>
              <w:right w:val="nil"/>
            </w:tcBorders>
            <w:shd w:val="clear" w:color="000000" w:fill="FFFF00"/>
            <w:noWrap/>
            <w:vAlign w:val="bottom"/>
            <w:hideMark/>
          </w:tcPr>
          <w:p w14:paraId="0C3F84E6"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nil"/>
              <w:right w:val="nil"/>
            </w:tcBorders>
            <w:shd w:val="clear" w:color="auto" w:fill="auto"/>
            <w:noWrap/>
            <w:vAlign w:val="bottom"/>
            <w:hideMark/>
          </w:tcPr>
          <w:p w14:paraId="0C3F84E7" w14:textId="77777777" w:rsidR="0015270F" w:rsidRPr="0095562E" w:rsidRDefault="0015270F" w:rsidP="00162359">
            <w:pPr>
              <w:spacing w:before="0" w:after="0"/>
              <w:rPr>
                <w:rStyle w:val="BookTitle"/>
                <w:sz w:val="18"/>
                <w:szCs w:val="18"/>
              </w:rPr>
            </w:pPr>
            <w:r w:rsidRPr="0095562E">
              <w:rPr>
                <w:rStyle w:val="BookTitle"/>
                <w:sz w:val="18"/>
                <w:szCs w:val="18"/>
              </w:rPr>
              <w:t>-0.09</w:t>
            </w:r>
          </w:p>
        </w:tc>
        <w:tc>
          <w:tcPr>
            <w:tcW w:w="324" w:type="pct"/>
            <w:tcBorders>
              <w:top w:val="nil"/>
              <w:left w:val="nil"/>
              <w:bottom w:val="nil"/>
              <w:right w:val="nil"/>
            </w:tcBorders>
            <w:shd w:val="clear" w:color="auto" w:fill="auto"/>
            <w:noWrap/>
            <w:vAlign w:val="bottom"/>
            <w:hideMark/>
          </w:tcPr>
          <w:p w14:paraId="0C3F84E8"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bottom"/>
            <w:hideMark/>
          </w:tcPr>
          <w:p w14:paraId="0C3F84E9" w14:textId="77777777" w:rsidR="0015270F" w:rsidRPr="0095562E" w:rsidRDefault="0015270F" w:rsidP="00162359">
            <w:pPr>
              <w:spacing w:before="0" w:after="0"/>
              <w:rPr>
                <w:rStyle w:val="BookTitle"/>
                <w:sz w:val="18"/>
                <w:szCs w:val="18"/>
              </w:rPr>
            </w:pPr>
            <w:r w:rsidRPr="0095562E">
              <w:rPr>
                <w:rStyle w:val="BookTitle"/>
                <w:sz w:val="18"/>
                <w:szCs w:val="18"/>
              </w:rPr>
              <w:t>0.37</w:t>
            </w:r>
          </w:p>
        </w:tc>
        <w:tc>
          <w:tcPr>
            <w:tcW w:w="324" w:type="pct"/>
            <w:tcBorders>
              <w:top w:val="nil"/>
              <w:left w:val="nil"/>
              <w:bottom w:val="nil"/>
              <w:right w:val="nil"/>
            </w:tcBorders>
            <w:shd w:val="clear" w:color="auto" w:fill="auto"/>
            <w:noWrap/>
            <w:vAlign w:val="bottom"/>
            <w:hideMark/>
          </w:tcPr>
          <w:p w14:paraId="0C3F84EA" w14:textId="77777777" w:rsidR="0015270F" w:rsidRPr="0095562E" w:rsidRDefault="0015270F" w:rsidP="00162359">
            <w:pPr>
              <w:spacing w:before="0" w:after="0"/>
              <w:rPr>
                <w:rStyle w:val="BookTitle"/>
                <w:sz w:val="18"/>
                <w:szCs w:val="18"/>
              </w:rPr>
            </w:pPr>
            <w:r w:rsidRPr="0095562E">
              <w:rPr>
                <w:rStyle w:val="BookTitle"/>
                <w:sz w:val="18"/>
                <w:szCs w:val="18"/>
              </w:rPr>
              <w:t>0.59</w:t>
            </w:r>
          </w:p>
        </w:tc>
      </w:tr>
      <w:tr w:rsidR="0015270F" w:rsidRPr="0095562E" w14:paraId="0C3F84FB" w14:textId="77777777" w:rsidTr="00162359">
        <w:trPr>
          <w:trHeight w:val="20"/>
        </w:trPr>
        <w:tc>
          <w:tcPr>
            <w:tcW w:w="360" w:type="pct"/>
            <w:tcBorders>
              <w:top w:val="nil"/>
              <w:left w:val="nil"/>
              <w:bottom w:val="nil"/>
              <w:right w:val="nil"/>
            </w:tcBorders>
            <w:shd w:val="clear" w:color="auto" w:fill="auto"/>
            <w:noWrap/>
            <w:vAlign w:val="center"/>
            <w:hideMark/>
          </w:tcPr>
          <w:p w14:paraId="0C3F84EC" w14:textId="77777777" w:rsidR="0015270F" w:rsidRPr="0095562E" w:rsidRDefault="0015270F" w:rsidP="00162359">
            <w:pPr>
              <w:spacing w:before="0" w:after="0"/>
              <w:rPr>
                <w:rStyle w:val="BookTitle"/>
                <w:sz w:val="18"/>
                <w:szCs w:val="18"/>
              </w:rPr>
            </w:pPr>
            <w:r w:rsidRPr="0095562E">
              <w:rPr>
                <w:rStyle w:val="BookTitle"/>
                <w:sz w:val="18"/>
                <w:szCs w:val="18"/>
              </w:rPr>
              <w:t>chl-a</w:t>
            </w:r>
          </w:p>
        </w:tc>
        <w:tc>
          <w:tcPr>
            <w:tcW w:w="324" w:type="pct"/>
            <w:tcBorders>
              <w:top w:val="nil"/>
              <w:left w:val="nil"/>
              <w:bottom w:val="nil"/>
              <w:right w:val="nil"/>
            </w:tcBorders>
            <w:shd w:val="clear" w:color="auto" w:fill="auto"/>
            <w:noWrap/>
            <w:vAlign w:val="bottom"/>
            <w:hideMark/>
          </w:tcPr>
          <w:p w14:paraId="0C3F84ED" w14:textId="77777777" w:rsidR="0015270F" w:rsidRPr="0095562E" w:rsidRDefault="0015270F" w:rsidP="00162359">
            <w:pPr>
              <w:spacing w:before="0" w:after="0"/>
              <w:rPr>
                <w:rStyle w:val="BookTitle"/>
                <w:sz w:val="18"/>
                <w:szCs w:val="18"/>
              </w:rPr>
            </w:pPr>
            <w:r w:rsidRPr="0095562E">
              <w:rPr>
                <w:rStyle w:val="BookTitle"/>
                <w:sz w:val="18"/>
                <w:szCs w:val="18"/>
              </w:rPr>
              <w:t>-0.44</w:t>
            </w:r>
          </w:p>
        </w:tc>
        <w:tc>
          <w:tcPr>
            <w:tcW w:w="429" w:type="pct"/>
            <w:tcBorders>
              <w:top w:val="nil"/>
              <w:left w:val="nil"/>
              <w:bottom w:val="nil"/>
              <w:right w:val="nil"/>
            </w:tcBorders>
            <w:shd w:val="clear" w:color="auto" w:fill="auto"/>
            <w:noWrap/>
            <w:vAlign w:val="bottom"/>
            <w:hideMark/>
          </w:tcPr>
          <w:p w14:paraId="0C3F84EE"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4EF"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000000" w:fill="FFFF00"/>
            <w:noWrap/>
            <w:vAlign w:val="bottom"/>
            <w:hideMark/>
          </w:tcPr>
          <w:p w14:paraId="0C3F84F0" w14:textId="77777777" w:rsidR="0015270F" w:rsidRPr="0095562E" w:rsidRDefault="0015270F" w:rsidP="00162359">
            <w:pPr>
              <w:spacing w:before="0" w:after="0"/>
              <w:rPr>
                <w:rStyle w:val="BookTitle"/>
                <w:sz w:val="18"/>
                <w:szCs w:val="18"/>
              </w:rPr>
            </w:pPr>
            <w:r w:rsidRPr="0095562E">
              <w:rPr>
                <w:rStyle w:val="BookTitle"/>
                <w:sz w:val="18"/>
                <w:szCs w:val="18"/>
              </w:rPr>
              <w:t>0.75</w:t>
            </w:r>
          </w:p>
        </w:tc>
        <w:tc>
          <w:tcPr>
            <w:tcW w:w="324" w:type="pct"/>
            <w:tcBorders>
              <w:top w:val="nil"/>
              <w:left w:val="nil"/>
              <w:bottom w:val="nil"/>
              <w:right w:val="nil"/>
            </w:tcBorders>
            <w:shd w:val="clear" w:color="auto" w:fill="auto"/>
            <w:noWrap/>
            <w:vAlign w:val="bottom"/>
            <w:hideMark/>
          </w:tcPr>
          <w:p w14:paraId="0C3F84F1"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4F2" w14:textId="77777777" w:rsidR="0015270F" w:rsidRPr="0095562E" w:rsidRDefault="0015270F" w:rsidP="00162359">
            <w:pPr>
              <w:spacing w:before="0" w:after="0"/>
              <w:rPr>
                <w:rStyle w:val="BookTitle"/>
                <w:sz w:val="18"/>
                <w:szCs w:val="18"/>
              </w:rPr>
            </w:pPr>
            <w:r w:rsidRPr="0095562E">
              <w:rPr>
                <w:rStyle w:val="BookTitle"/>
                <w:sz w:val="18"/>
                <w:szCs w:val="18"/>
              </w:rPr>
              <w:t>0.54</w:t>
            </w:r>
          </w:p>
        </w:tc>
        <w:tc>
          <w:tcPr>
            <w:tcW w:w="324" w:type="pct"/>
            <w:tcBorders>
              <w:top w:val="nil"/>
              <w:left w:val="nil"/>
              <w:bottom w:val="nil"/>
              <w:right w:val="nil"/>
            </w:tcBorders>
            <w:shd w:val="clear" w:color="auto" w:fill="auto"/>
            <w:noWrap/>
            <w:vAlign w:val="bottom"/>
            <w:hideMark/>
          </w:tcPr>
          <w:p w14:paraId="0C3F84F3"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auto" w:fill="auto"/>
            <w:noWrap/>
            <w:vAlign w:val="bottom"/>
            <w:hideMark/>
          </w:tcPr>
          <w:p w14:paraId="0C3F84F4" w14:textId="77777777" w:rsidR="0015270F" w:rsidRPr="0095562E" w:rsidRDefault="0015270F" w:rsidP="00162359">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bottom"/>
            <w:hideMark/>
          </w:tcPr>
          <w:p w14:paraId="0C3F84F5"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4F6"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4F7"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4F8" w14:textId="77777777" w:rsidR="0015270F" w:rsidRPr="0095562E" w:rsidRDefault="0015270F" w:rsidP="00162359">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bottom"/>
            <w:hideMark/>
          </w:tcPr>
          <w:p w14:paraId="0C3F84F9" w14:textId="77777777" w:rsidR="0015270F" w:rsidRPr="0095562E" w:rsidRDefault="0015270F" w:rsidP="00162359">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000000" w:fill="FFFF00"/>
            <w:noWrap/>
            <w:vAlign w:val="bottom"/>
            <w:hideMark/>
          </w:tcPr>
          <w:p w14:paraId="0C3F84FA" w14:textId="77777777" w:rsidR="0015270F" w:rsidRPr="0095562E" w:rsidRDefault="0015270F" w:rsidP="00162359">
            <w:pPr>
              <w:spacing w:before="0" w:after="0"/>
              <w:rPr>
                <w:rStyle w:val="BookTitle"/>
                <w:sz w:val="18"/>
                <w:szCs w:val="18"/>
              </w:rPr>
            </w:pPr>
            <w:r w:rsidRPr="0095562E">
              <w:rPr>
                <w:rStyle w:val="BookTitle"/>
                <w:sz w:val="18"/>
                <w:szCs w:val="18"/>
              </w:rPr>
              <w:t>0.71</w:t>
            </w:r>
          </w:p>
        </w:tc>
      </w:tr>
      <w:tr w:rsidR="0015270F" w:rsidRPr="0095562E" w14:paraId="0C3F850B" w14:textId="77777777" w:rsidTr="00162359">
        <w:trPr>
          <w:trHeight w:val="20"/>
        </w:trPr>
        <w:tc>
          <w:tcPr>
            <w:tcW w:w="360" w:type="pct"/>
            <w:tcBorders>
              <w:top w:val="nil"/>
              <w:left w:val="nil"/>
              <w:bottom w:val="nil"/>
              <w:right w:val="nil"/>
            </w:tcBorders>
            <w:shd w:val="clear" w:color="auto" w:fill="auto"/>
            <w:noWrap/>
            <w:vAlign w:val="center"/>
            <w:hideMark/>
          </w:tcPr>
          <w:p w14:paraId="0C3F84FC" w14:textId="77777777" w:rsidR="0015270F" w:rsidRPr="0095562E" w:rsidRDefault="0015270F" w:rsidP="00162359">
            <w:pPr>
              <w:spacing w:before="0" w:after="0"/>
              <w:rPr>
                <w:rStyle w:val="BookTitle"/>
                <w:sz w:val="18"/>
                <w:szCs w:val="18"/>
              </w:rPr>
            </w:pPr>
            <w:r w:rsidRPr="0095562E">
              <w:rPr>
                <w:rStyle w:val="BookTitle"/>
                <w:sz w:val="18"/>
                <w:szCs w:val="18"/>
              </w:rPr>
              <w:t>TN</w:t>
            </w:r>
          </w:p>
        </w:tc>
        <w:tc>
          <w:tcPr>
            <w:tcW w:w="324" w:type="pct"/>
            <w:tcBorders>
              <w:top w:val="nil"/>
              <w:left w:val="nil"/>
              <w:bottom w:val="nil"/>
              <w:right w:val="nil"/>
            </w:tcBorders>
            <w:shd w:val="clear" w:color="000000" w:fill="FFFF00"/>
            <w:noWrap/>
            <w:vAlign w:val="bottom"/>
            <w:hideMark/>
          </w:tcPr>
          <w:p w14:paraId="0C3F84FD" w14:textId="77777777" w:rsidR="0015270F" w:rsidRPr="0095562E" w:rsidRDefault="0015270F" w:rsidP="00162359">
            <w:pPr>
              <w:spacing w:before="0" w:after="0"/>
              <w:rPr>
                <w:rStyle w:val="BookTitle"/>
                <w:sz w:val="18"/>
                <w:szCs w:val="18"/>
              </w:rPr>
            </w:pPr>
            <w:r w:rsidRPr="0095562E">
              <w:rPr>
                <w:rStyle w:val="BookTitle"/>
                <w:sz w:val="18"/>
                <w:szCs w:val="18"/>
              </w:rPr>
              <w:t>-0.70</w:t>
            </w:r>
          </w:p>
        </w:tc>
        <w:tc>
          <w:tcPr>
            <w:tcW w:w="429" w:type="pct"/>
            <w:tcBorders>
              <w:top w:val="nil"/>
              <w:left w:val="nil"/>
              <w:bottom w:val="nil"/>
              <w:right w:val="nil"/>
            </w:tcBorders>
            <w:shd w:val="clear" w:color="auto" w:fill="auto"/>
            <w:noWrap/>
            <w:vAlign w:val="bottom"/>
            <w:hideMark/>
          </w:tcPr>
          <w:p w14:paraId="0C3F84FE"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4FF"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000000" w:fill="FFFF00"/>
            <w:noWrap/>
            <w:vAlign w:val="bottom"/>
            <w:hideMark/>
          </w:tcPr>
          <w:p w14:paraId="0C3F8500"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324" w:type="pct"/>
            <w:tcBorders>
              <w:top w:val="nil"/>
              <w:left w:val="nil"/>
              <w:bottom w:val="nil"/>
              <w:right w:val="nil"/>
            </w:tcBorders>
            <w:shd w:val="clear" w:color="auto" w:fill="auto"/>
            <w:noWrap/>
            <w:vAlign w:val="bottom"/>
            <w:hideMark/>
          </w:tcPr>
          <w:p w14:paraId="0C3F8501" w14:textId="77777777" w:rsidR="0015270F" w:rsidRPr="0095562E" w:rsidRDefault="0015270F" w:rsidP="00162359">
            <w:pPr>
              <w:spacing w:before="0" w:after="0"/>
              <w:rPr>
                <w:rStyle w:val="BookTitle"/>
                <w:sz w:val="18"/>
                <w:szCs w:val="18"/>
              </w:rPr>
            </w:pPr>
            <w:r w:rsidRPr="0095562E">
              <w:rPr>
                <w:rStyle w:val="BookTitle"/>
                <w:sz w:val="18"/>
                <w:szCs w:val="18"/>
              </w:rPr>
              <w:t>0.54</w:t>
            </w:r>
          </w:p>
        </w:tc>
        <w:tc>
          <w:tcPr>
            <w:tcW w:w="324" w:type="pct"/>
            <w:tcBorders>
              <w:top w:val="nil"/>
              <w:left w:val="nil"/>
              <w:bottom w:val="nil"/>
              <w:right w:val="nil"/>
            </w:tcBorders>
            <w:shd w:val="clear" w:color="auto" w:fill="auto"/>
            <w:noWrap/>
            <w:vAlign w:val="bottom"/>
            <w:hideMark/>
          </w:tcPr>
          <w:p w14:paraId="0C3F8502"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bottom"/>
            <w:hideMark/>
          </w:tcPr>
          <w:p w14:paraId="0C3F8503" w14:textId="77777777" w:rsidR="0015270F" w:rsidRPr="0095562E" w:rsidRDefault="0015270F" w:rsidP="00162359">
            <w:pPr>
              <w:spacing w:before="0" w:after="0"/>
              <w:rPr>
                <w:rStyle w:val="BookTitle"/>
                <w:sz w:val="18"/>
                <w:szCs w:val="18"/>
              </w:rPr>
            </w:pPr>
            <w:r w:rsidRPr="0095562E">
              <w:rPr>
                <w:rStyle w:val="BookTitle"/>
                <w:sz w:val="18"/>
                <w:szCs w:val="18"/>
              </w:rPr>
              <w:t>0.79</w:t>
            </w:r>
          </w:p>
        </w:tc>
        <w:tc>
          <w:tcPr>
            <w:tcW w:w="324" w:type="pct"/>
            <w:tcBorders>
              <w:top w:val="nil"/>
              <w:left w:val="nil"/>
              <w:bottom w:val="nil"/>
              <w:right w:val="nil"/>
            </w:tcBorders>
            <w:shd w:val="clear" w:color="auto" w:fill="auto"/>
            <w:noWrap/>
            <w:vAlign w:val="bottom"/>
            <w:hideMark/>
          </w:tcPr>
          <w:p w14:paraId="0C3F8504"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505"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bottom"/>
            <w:hideMark/>
          </w:tcPr>
          <w:p w14:paraId="0C3F8506" w14:textId="77777777" w:rsidR="0015270F" w:rsidRPr="0095562E" w:rsidRDefault="0015270F" w:rsidP="00162359">
            <w:pPr>
              <w:spacing w:before="0" w:after="0"/>
              <w:rPr>
                <w:rStyle w:val="BookTitle"/>
                <w:sz w:val="18"/>
                <w:szCs w:val="18"/>
              </w:rPr>
            </w:pPr>
            <w:r w:rsidRPr="0095562E">
              <w:rPr>
                <w:rStyle w:val="BookTitle"/>
                <w:sz w:val="18"/>
                <w:szCs w:val="18"/>
              </w:rPr>
              <w:t>0.58</w:t>
            </w:r>
          </w:p>
        </w:tc>
        <w:tc>
          <w:tcPr>
            <w:tcW w:w="324" w:type="pct"/>
            <w:tcBorders>
              <w:top w:val="nil"/>
              <w:left w:val="nil"/>
              <w:bottom w:val="nil"/>
              <w:right w:val="nil"/>
            </w:tcBorders>
            <w:shd w:val="clear" w:color="auto" w:fill="auto"/>
            <w:noWrap/>
            <w:vAlign w:val="bottom"/>
            <w:hideMark/>
          </w:tcPr>
          <w:p w14:paraId="0C3F8507" w14:textId="77777777" w:rsidR="0015270F" w:rsidRPr="0095562E" w:rsidRDefault="0015270F" w:rsidP="00162359">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bottom"/>
            <w:hideMark/>
          </w:tcPr>
          <w:p w14:paraId="0C3F8508"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509"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000000" w:fill="FFFF00"/>
            <w:noWrap/>
            <w:vAlign w:val="bottom"/>
            <w:hideMark/>
          </w:tcPr>
          <w:p w14:paraId="0C3F850A" w14:textId="77777777" w:rsidR="0015270F" w:rsidRPr="0095562E" w:rsidRDefault="0015270F" w:rsidP="00162359">
            <w:pPr>
              <w:spacing w:before="0" w:after="0"/>
              <w:rPr>
                <w:rStyle w:val="BookTitle"/>
                <w:sz w:val="18"/>
                <w:szCs w:val="18"/>
              </w:rPr>
            </w:pPr>
            <w:r w:rsidRPr="0095562E">
              <w:rPr>
                <w:rStyle w:val="BookTitle"/>
                <w:sz w:val="18"/>
                <w:szCs w:val="18"/>
              </w:rPr>
              <w:t>0.67</w:t>
            </w:r>
          </w:p>
        </w:tc>
      </w:tr>
      <w:tr w:rsidR="0015270F" w:rsidRPr="0095562E" w14:paraId="0C3F851B" w14:textId="77777777" w:rsidTr="00162359">
        <w:trPr>
          <w:trHeight w:val="20"/>
        </w:trPr>
        <w:tc>
          <w:tcPr>
            <w:tcW w:w="360" w:type="pct"/>
            <w:tcBorders>
              <w:top w:val="nil"/>
              <w:left w:val="nil"/>
              <w:bottom w:val="nil"/>
              <w:right w:val="nil"/>
            </w:tcBorders>
            <w:shd w:val="clear" w:color="auto" w:fill="auto"/>
            <w:noWrap/>
            <w:vAlign w:val="center"/>
            <w:hideMark/>
          </w:tcPr>
          <w:p w14:paraId="0C3F850C" w14:textId="77777777" w:rsidR="0015270F" w:rsidRPr="0095562E" w:rsidRDefault="0015270F" w:rsidP="00162359">
            <w:pPr>
              <w:spacing w:before="0" w:after="0"/>
              <w:rPr>
                <w:rStyle w:val="BookTitle"/>
                <w:sz w:val="18"/>
                <w:szCs w:val="18"/>
              </w:rPr>
            </w:pPr>
            <w:r w:rsidRPr="0095562E">
              <w:rPr>
                <w:rStyle w:val="BookTitle"/>
                <w:sz w:val="18"/>
                <w:szCs w:val="18"/>
              </w:rPr>
              <w:t>TDN</w:t>
            </w:r>
          </w:p>
        </w:tc>
        <w:tc>
          <w:tcPr>
            <w:tcW w:w="324" w:type="pct"/>
            <w:tcBorders>
              <w:top w:val="nil"/>
              <w:left w:val="nil"/>
              <w:bottom w:val="nil"/>
              <w:right w:val="nil"/>
            </w:tcBorders>
            <w:shd w:val="clear" w:color="000000" w:fill="FFFF00"/>
            <w:noWrap/>
            <w:vAlign w:val="bottom"/>
            <w:hideMark/>
          </w:tcPr>
          <w:p w14:paraId="0C3F850D" w14:textId="77777777" w:rsidR="0015270F" w:rsidRPr="0095562E" w:rsidRDefault="0015270F" w:rsidP="00162359">
            <w:pPr>
              <w:spacing w:before="0" w:after="0"/>
              <w:rPr>
                <w:rStyle w:val="BookTitle"/>
                <w:sz w:val="18"/>
                <w:szCs w:val="18"/>
              </w:rPr>
            </w:pPr>
            <w:r w:rsidRPr="0095562E">
              <w:rPr>
                <w:rStyle w:val="BookTitle"/>
                <w:sz w:val="18"/>
                <w:szCs w:val="18"/>
              </w:rPr>
              <w:t>-0.73</w:t>
            </w:r>
          </w:p>
        </w:tc>
        <w:tc>
          <w:tcPr>
            <w:tcW w:w="429" w:type="pct"/>
            <w:tcBorders>
              <w:top w:val="nil"/>
              <w:left w:val="nil"/>
              <w:bottom w:val="nil"/>
              <w:right w:val="nil"/>
            </w:tcBorders>
            <w:shd w:val="clear" w:color="auto" w:fill="auto"/>
            <w:noWrap/>
            <w:vAlign w:val="bottom"/>
            <w:hideMark/>
          </w:tcPr>
          <w:p w14:paraId="0C3F850E"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50F"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bottom"/>
            <w:hideMark/>
          </w:tcPr>
          <w:p w14:paraId="0C3F8510" w14:textId="77777777" w:rsidR="0015270F" w:rsidRPr="0095562E" w:rsidRDefault="0015270F" w:rsidP="00162359">
            <w:pPr>
              <w:spacing w:before="0" w:after="0"/>
              <w:rPr>
                <w:rStyle w:val="BookTitle"/>
                <w:sz w:val="18"/>
                <w:szCs w:val="18"/>
              </w:rPr>
            </w:pPr>
            <w:r w:rsidRPr="0095562E">
              <w:rPr>
                <w:rStyle w:val="BookTitle"/>
                <w:sz w:val="18"/>
                <w:szCs w:val="18"/>
              </w:rPr>
              <w:t>0.60</w:t>
            </w:r>
          </w:p>
        </w:tc>
        <w:tc>
          <w:tcPr>
            <w:tcW w:w="324" w:type="pct"/>
            <w:tcBorders>
              <w:top w:val="nil"/>
              <w:left w:val="nil"/>
              <w:bottom w:val="nil"/>
              <w:right w:val="nil"/>
            </w:tcBorders>
            <w:shd w:val="clear" w:color="auto" w:fill="auto"/>
            <w:noWrap/>
            <w:vAlign w:val="bottom"/>
            <w:hideMark/>
          </w:tcPr>
          <w:p w14:paraId="0C3F8511"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nil"/>
              <w:right w:val="nil"/>
            </w:tcBorders>
            <w:shd w:val="clear" w:color="000000" w:fill="FFFF00"/>
            <w:noWrap/>
            <w:vAlign w:val="bottom"/>
            <w:hideMark/>
          </w:tcPr>
          <w:p w14:paraId="0C3F8512" w14:textId="77777777" w:rsidR="0015270F" w:rsidRPr="0095562E" w:rsidRDefault="0015270F" w:rsidP="00162359">
            <w:pPr>
              <w:spacing w:before="0" w:after="0"/>
              <w:rPr>
                <w:rStyle w:val="BookTitle"/>
                <w:sz w:val="18"/>
                <w:szCs w:val="18"/>
              </w:rPr>
            </w:pPr>
            <w:r w:rsidRPr="0095562E">
              <w:rPr>
                <w:rStyle w:val="BookTitle"/>
                <w:sz w:val="18"/>
                <w:szCs w:val="18"/>
              </w:rPr>
              <w:t>0.79</w:t>
            </w:r>
          </w:p>
        </w:tc>
        <w:tc>
          <w:tcPr>
            <w:tcW w:w="324" w:type="pct"/>
            <w:tcBorders>
              <w:top w:val="nil"/>
              <w:left w:val="nil"/>
              <w:bottom w:val="nil"/>
              <w:right w:val="nil"/>
            </w:tcBorders>
            <w:shd w:val="clear" w:color="auto" w:fill="auto"/>
            <w:noWrap/>
            <w:vAlign w:val="bottom"/>
            <w:hideMark/>
          </w:tcPr>
          <w:p w14:paraId="0C3F8513"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514"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515"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000000" w:fill="FFFF00"/>
            <w:noWrap/>
            <w:vAlign w:val="bottom"/>
            <w:hideMark/>
          </w:tcPr>
          <w:p w14:paraId="0C3F8516" w14:textId="77777777" w:rsidR="0015270F" w:rsidRPr="0095562E" w:rsidRDefault="0015270F" w:rsidP="00162359">
            <w:pPr>
              <w:spacing w:before="0" w:after="0"/>
              <w:rPr>
                <w:rStyle w:val="BookTitle"/>
                <w:sz w:val="18"/>
                <w:szCs w:val="18"/>
              </w:rPr>
            </w:pPr>
            <w:r w:rsidRPr="0095562E">
              <w:rPr>
                <w:rStyle w:val="BookTitle"/>
                <w:sz w:val="18"/>
                <w:szCs w:val="18"/>
              </w:rPr>
              <w:t>0.67</w:t>
            </w:r>
          </w:p>
        </w:tc>
        <w:tc>
          <w:tcPr>
            <w:tcW w:w="324" w:type="pct"/>
            <w:tcBorders>
              <w:top w:val="nil"/>
              <w:left w:val="nil"/>
              <w:bottom w:val="nil"/>
              <w:right w:val="nil"/>
            </w:tcBorders>
            <w:shd w:val="clear" w:color="auto" w:fill="auto"/>
            <w:noWrap/>
            <w:vAlign w:val="bottom"/>
            <w:hideMark/>
          </w:tcPr>
          <w:p w14:paraId="0C3F8517"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518"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519"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51A" w14:textId="77777777" w:rsidR="0015270F" w:rsidRPr="0095562E" w:rsidRDefault="0015270F" w:rsidP="00162359">
            <w:pPr>
              <w:spacing w:before="0" w:after="0"/>
              <w:rPr>
                <w:rStyle w:val="BookTitle"/>
                <w:sz w:val="18"/>
                <w:szCs w:val="18"/>
              </w:rPr>
            </w:pPr>
            <w:r w:rsidRPr="0095562E">
              <w:rPr>
                <w:rStyle w:val="BookTitle"/>
                <w:sz w:val="18"/>
                <w:szCs w:val="18"/>
              </w:rPr>
              <w:t>0.14</w:t>
            </w:r>
          </w:p>
        </w:tc>
      </w:tr>
      <w:tr w:rsidR="0015270F" w:rsidRPr="0095562E" w14:paraId="0C3F852B" w14:textId="77777777" w:rsidTr="00162359">
        <w:trPr>
          <w:trHeight w:val="20"/>
        </w:trPr>
        <w:tc>
          <w:tcPr>
            <w:tcW w:w="360" w:type="pct"/>
            <w:tcBorders>
              <w:top w:val="nil"/>
              <w:left w:val="nil"/>
              <w:bottom w:val="nil"/>
              <w:right w:val="nil"/>
            </w:tcBorders>
            <w:shd w:val="clear" w:color="auto" w:fill="auto"/>
            <w:noWrap/>
            <w:vAlign w:val="center"/>
            <w:hideMark/>
          </w:tcPr>
          <w:p w14:paraId="0C3F851C" w14:textId="77777777" w:rsidR="0015270F" w:rsidRPr="0095562E" w:rsidRDefault="0015270F" w:rsidP="00162359">
            <w:pPr>
              <w:spacing w:before="0" w:after="0"/>
              <w:rPr>
                <w:rStyle w:val="BookTitle"/>
                <w:sz w:val="18"/>
                <w:szCs w:val="18"/>
              </w:rPr>
            </w:pPr>
            <w:r w:rsidRPr="0095562E">
              <w:rPr>
                <w:rStyle w:val="BookTitle"/>
                <w:sz w:val="18"/>
                <w:szCs w:val="18"/>
              </w:rPr>
              <w:t>DIN</w:t>
            </w:r>
          </w:p>
        </w:tc>
        <w:tc>
          <w:tcPr>
            <w:tcW w:w="324" w:type="pct"/>
            <w:tcBorders>
              <w:top w:val="nil"/>
              <w:left w:val="nil"/>
              <w:bottom w:val="nil"/>
              <w:right w:val="nil"/>
            </w:tcBorders>
            <w:shd w:val="clear" w:color="auto" w:fill="auto"/>
            <w:noWrap/>
            <w:vAlign w:val="bottom"/>
            <w:hideMark/>
          </w:tcPr>
          <w:p w14:paraId="0C3F851D"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429" w:type="pct"/>
            <w:tcBorders>
              <w:top w:val="nil"/>
              <w:left w:val="nil"/>
              <w:bottom w:val="nil"/>
              <w:right w:val="nil"/>
            </w:tcBorders>
            <w:shd w:val="clear" w:color="auto" w:fill="auto"/>
            <w:noWrap/>
            <w:vAlign w:val="bottom"/>
            <w:hideMark/>
          </w:tcPr>
          <w:p w14:paraId="0C3F851E" w14:textId="77777777" w:rsidR="0015270F" w:rsidRPr="0095562E" w:rsidRDefault="0015270F" w:rsidP="00162359">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bottom"/>
            <w:hideMark/>
          </w:tcPr>
          <w:p w14:paraId="0C3F851F" w14:textId="77777777" w:rsidR="0015270F" w:rsidRPr="0095562E" w:rsidRDefault="0015270F" w:rsidP="00162359">
            <w:pPr>
              <w:spacing w:before="0" w:after="0"/>
              <w:rPr>
                <w:rStyle w:val="BookTitle"/>
                <w:sz w:val="18"/>
                <w:szCs w:val="18"/>
              </w:rPr>
            </w:pPr>
            <w:r w:rsidRPr="0095562E">
              <w:rPr>
                <w:rStyle w:val="BookTitle"/>
                <w:sz w:val="18"/>
                <w:szCs w:val="18"/>
              </w:rPr>
              <w:t>-0.37</w:t>
            </w:r>
          </w:p>
        </w:tc>
        <w:tc>
          <w:tcPr>
            <w:tcW w:w="324" w:type="pct"/>
            <w:tcBorders>
              <w:top w:val="nil"/>
              <w:left w:val="nil"/>
              <w:bottom w:val="nil"/>
              <w:right w:val="nil"/>
            </w:tcBorders>
            <w:shd w:val="clear" w:color="auto" w:fill="auto"/>
            <w:noWrap/>
            <w:vAlign w:val="bottom"/>
            <w:hideMark/>
          </w:tcPr>
          <w:p w14:paraId="0C3F8520" w14:textId="77777777" w:rsidR="0015270F" w:rsidRPr="0095562E" w:rsidRDefault="0015270F" w:rsidP="00162359">
            <w:pPr>
              <w:spacing w:before="0" w:after="0"/>
              <w:rPr>
                <w:rStyle w:val="BookTitle"/>
                <w:sz w:val="18"/>
                <w:szCs w:val="18"/>
              </w:rPr>
            </w:pPr>
            <w:r w:rsidRPr="0095562E">
              <w:rPr>
                <w:rStyle w:val="BookTitle"/>
                <w:sz w:val="18"/>
                <w:szCs w:val="18"/>
              </w:rPr>
              <w:t>0.10</w:t>
            </w:r>
          </w:p>
        </w:tc>
        <w:tc>
          <w:tcPr>
            <w:tcW w:w="324" w:type="pct"/>
            <w:tcBorders>
              <w:top w:val="nil"/>
              <w:left w:val="nil"/>
              <w:bottom w:val="nil"/>
              <w:right w:val="nil"/>
            </w:tcBorders>
            <w:shd w:val="clear" w:color="auto" w:fill="auto"/>
            <w:noWrap/>
            <w:vAlign w:val="bottom"/>
            <w:hideMark/>
          </w:tcPr>
          <w:p w14:paraId="0C3F8521" w14:textId="77777777" w:rsidR="0015270F" w:rsidRPr="0095562E" w:rsidRDefault="0015270F" w:rsidP="00162359">
            <w:pPr>
              <w:spacing w:before="0" w:after="0"/>
              <w:rPr>
                <w:rStyle w:val="BookTitle"/>
                <w:sz w:val="18"/>
                <w:szCs w:val="18"/>
              </w:rPr>
            </w:pPr>
            <w:r w:rsidRPr="0095562E">
              <w:rPr>
                <w:rStyle w:val="BookTitle"/>
                <w:sz w:val="18"/>
                <w:szCs w:val="18"/>
              </w:rPr>
              <w:t>0.23</w:t>
            </w:r>
          </w:p>
        </w:tc>
        <w:tc>
          <w:tcPr>
            <w:tcW w:w="324" w:type="pct"/>
            <w:tcBorders>
              <w:top w:val="nil"/>
              <w:left w:val="nil"/>
              <w:bottom w:val="nil"/>
              <w:right w:val="nil"/>
            </w:tcBorders>
            <w:shd w:val="clear" w:color="auto" w:fill="auto"/>
            <w:noWrap/>
            <w:vAlign w:val="bottom"/>
            <w:hideMark/>
          </w:tcPr>
          <w:p w14:paraId="0C3F8522"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523"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524"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525"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526"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000000" w:fill="FFFF00"/>
            <w:noWrap/>
            <w:vAlign w:val="bottom"/>
            <w:hideMark/>
          </w:tcPr>
          <w:p w14:paraId="0C3F8527"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324" w:type="pct"/>
            <w:tcBorders>
              <w:top w:val="nil"/>
              <w:left w:val="nil"/>
              <w:bottom w:val="nil"/>
              <w:right w:val="nil"/>
            </w:tcBorders>
            <w:shd w:val="clear" w:color="auto" w:fill="auto"/>
            <w:noWrap/>
            <w:vAlign w:val="bottom"/>
            <w:hideMark/>
          </w:tcPr>
          <w:p w14:paraId="0C3F8528" w14:textId="77777777" w:rsidR="0015270F" w:rsidRPr="0095562E" w:rsidRDefault="0015270F" w:rsidP="00162359">
            <w:pPr>
              <w:spacing w:before="0" w:after="0"/>
              <w:rPr>
                <w:rStyle w:val="BookTitle"/>
                <w:sz w:val="18"/>
                <w:szCs w:val="18"/>
              </w:rPr>
            </w:pPr>
            <w:r w:rsidRPr="0095562E">
              <w:rPr>
                <w:rStyle w:val="BookTitle"/>
                <w:sz w:val="18"/>
                <w:szCs w:val="18"/>
              </w:rPr>
              <w:t>-0.17</w:t>
            </w:r>
          </w:p>
        </w:tc>
        <w:tc>
          <w:tcPr>
            <w:tcW w:w="324" w:type="pct"/>
            <w:tcBorders>
              <w:top w:val="nil"/>
              <w:left w:val="nil"/>
              <w:bottom w:val="nil"/>
              <w:right w:val="nil"/>
            </w:tcBorders>
            <w:shd w:val="clear" w:color="auto" w:fill="auto"/>
            <w:noWrap/>
            <w:vAlign w:val="bottom"/>
            <w:hideMark/>
          </w:tcPr>
          <w:p w14:paraId="0C3F8529"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auto" w:fill="auto"/>
            <w:noWrap/>
            <w:vAlign w:val="bottom"/>
            <w:hideMark/>
          </w:tcPr>
          <w:p w14:paraId="0C3F852A" w14:textId="77777777" w:rsidR="0015270F" w:rsidRPr="0095562E" w:rsidRDefault="0015270F" w:rsidP="00162359">
            <w:pPr>
              <w:spacing w:before="0" w:after="0"/>
              <w:rPr>
                <w:rStyle w:val="BookTitle"/>
                <w:sz w:val="18"/>
                <w:szCs w:val="18"/>
              </w:rPr>
            </w:pPr>
            <w:r w:rsidRPr="0095562E">
              <w:rPr>
                <w:rStyle w:val="BookTitle"/>
                <w:sz w:val="18"/>
                <w:szCs w:val="18"/>
              </w:rPr>
              <w:t>0.20</w:t>
            </w:r>
          </w:p>
        </w:tc>
      </w:tr>
      <w:tr w:rsidR="0015270F" w:rsidRPr="0095562E" w14:paraId="0C3F853B" w14:textId="77777777" w:rsidTr="00162359">
        <w:trPr>
          <w:trHeight w:val="20"/>
        </w:trPr>
        <w:tc>
          <w:tcPr>
            <w:tcW w:w="360" w:type="pct"/>
            <w:tcBorders>
              <w:top w:val="nil"/>
              <w:left w:val="nil"/>
              <w:bottom w:val="nil"/>
              <w:right w:val="nil"/>
            </w:tcBorders>
            <w:shd w:val="clear" w:color="auto" w:fill="auto"/>
            <w:noWrap/>
            <w:vAlign w:val="center"/>
            <w:hideMark/>
          </w:tcPr>
          <w:p w14:paraId="0C3F852C" w14:textId="77777777" w:rsidR="0015270F" w:rsidRPr="0095562E" w:rsidRDefault="0015270F" w:rsidP="00162359">
            <w:pPr>
              <w:spacing w:before="0" w:after="0"/>
              <w:rPr>
                <w:rStyle w:val="BookTitle"/>
                <w:sz w:val="18"/>
                <w:szCs w:val="18"/>
              </w:rPr>
            </w:pPr>
            <w:r w:rsidRPr="0095562E">
              <w:rPr>
                <w:rStyle w:val="BookTitle"/>
                <w:sz w:val="18"/>
                <w:szCs w:val="18"/>
              </w:rPr>
              <w:t>TP</w:t>
            </w:r>
          </w:p>
        </w:tc>
        <w:tc>
          <w:tcPr>
            <w:tcW w:w="324" w:type="pct"/>
            <w:tcBorders>
              <w:top w:val="nil"/>
              <w:left w:val="nil"/>
              <w:bottom w:val="nil"/>
              <w:right w:val="nil"/>
            </w:tcBorders>
            <w:shd w:val="clear" w:color="000000" w:fill="FFFF00"/>
            <w:noWrap/>
            <w:vAlign w:val="bottom"/>
            <w:hideMark/>
          </w:tcPr>
          <w:p w14:paraId="0C3F852D"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429" w:type="pct"/>
            <w:tcBorders>
              <w:top w:val="nil"/>
              <w:left w:val="nil"/>
              <w:bottom w:val="nil"/>
              <w:right w:val="nil"/>
            </w:tcBorders>
            <w:shd w:val="clear" w:color="000000" w:fill="FFFF00"/>
            <w:noWrap/>
            <w:vAlign w:val="bottom"/>
            <w:hideMark/>
          </w:tcPr>
          <w:p w14:paraId="0C3F852E" w14:textId="77777777" w:rsidR="0015270F" w:rsidRPr="0095562E" w:rsidRDefault="0015270F" w:rsidP="00162359">
            <w:pPr>
              <w:spacing w:before="0" w:after="0"/>
              <w:rPr>
                <w:rStyle w:val="BookTitle"/>
                <w:sz w:val="18"/>
                <w:szCs w:val="18"/>
              </w:rPr>
            </w:pPr>
            <w:r w:rsidRPr="0095562E">
              <w:rPr>
                <w:rStyle w:val="BookTitle"/>
                <w:sz w:val="18"/>
                <w:szCs w:val="18"/>
              </w:rPr>
              <w:t>0.69</w:t>
            </w:r>
          </w:p>
        </w:tc>
        <w:tc>
          <w:tcPr>
            <w:tcW w:w="324" w:type="pct"/>
            <w:tcBorders>
              <w:top w:val="nil"/>
              <w:left w:val="nil"/>
              <w:bottom w:val="nil"/>
              <w:right w:val="nil"/>
            </w:tcBorders>
            <w:shd w:val="clear" w:color="auto" w:fill="auto"/>
            <w:noWrap/>
            <w:vAlign w:val="bottom"/>
            <w:hideMark/>
          </w:tcPr>
          <w:p w14:paraId="0C3F852F"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000000" w:fill="FFFF00"/>
            <w:noWrap/>
            <w:vAlign w:val="bottom"/>
            <w:hideMark/>
          </w:tcPr>
          <w:p w14:paraId="0C3F8530" w14:textId="77777777" w:rsidR="0015270F" w:rsidRPr="0095562E" w:rsidRDefault="0015270F" w:rsidP="00162359">
            <w:pPr>
              <w:spacing w:before="0" w:after="0"/>
              <w:rPr>
                <w:rStyle w:val="BookTitle"/>
                <w:sz w:val="18"/>
                <w:szCs w:val="18"/>
              </w:rPr>
            </w:pPr>
            <w:r w:rsidRPr="0095562E">
              <w:rPr>
                <w:rStyle w:val="BookTitle"/>
                <w:sz w:val="18"/>
                <w:szCs w:val="18"/>
              </w:rPr>
              <w:t>0.63</w:t>
            </w:r>
          </w:p>
        </w:tc>
        <w:tc>
          <w:tcPr>
            <w:tcW w:w="324" w:type="pct"/>
            <w:tcBorders>
              <w:top w:val="nil"/>
              <w:left w:val="nil"/>
              <w:bottom w:val="nil"/>
              <w:right w:val="nil"/>
            </w:tcBorders>
            <w:shd w:val="clear" w:color="auto" w:fill="auto"/>
            <w:noWrap/>
            <w:vAlign w:val="bottom"/>
            <w:hideMark/>
          </w:tcPr>
          <w:p w14:paraId="0C3F8531"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532"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nil"/>
              <w:right w:val="nil"/>
            </w:tcBorders>
            <w:shd w:val="clear" w:color="auto" w:fill="auto"/>
            <w:noWrap/>
            <w:vAlign w:val="bottom"/>
            <w:hideMark/>
          </w:tcPr>
          <w:p w14:paraId="0C3F8533"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534"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535"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000000" w:fill="FFFF00"/>
            <w:noWrap/>
            <w:vAlign w:val="bottom"/>
            <w:hideMark/>
          </w:tcPr>
          <w:p w14:paraId="0C3F8536" w14:textId="77777777" w:rsidR="0015270F" w:rsidRPr="0095562E" w:rsidRDefault="0015270F" w:rsidP="00162359">
            <w:pPr>
              <w:spacing w:before="0" w:after="0"/>
              <w:rPr>
                <w:rStyle w:val="BookTitle"/>
                <w:sz w:val="18"/>
                <w:szCs w:val="18"/>
              </w:rPr>
            </w:pPr>
            <w:r w:rsidRPr="0095562E">
              <w:rPr>
                <w:rStyle w:val="BookTitle"/>
                <w:sz w:val="18"/>
                <w:szCs w:val="18"/>
              </w:rPr>
              <w:t>0.84</w:t>
            </w:r>
          </w:p>
        </w:tc>
        <w:tc>
          <w:tcPr>
            <w:tcW w:w="324" w:type="pct"/>
            <w:tcBorders>
              <w:top w:val="nil"/>
              <w:left w:val="nil"/>
              <w:bottom w:val="nil"/>
              <w:right w:val="nil"/>
            </w:tcBorders>
            <w:shd w:val="clear" w:color="auto" w:fill="auto"/>
            <w:noWrap/>
            <w:vAlign w:val="bottom"/>
            <w:hideMark/>
          </w:tcPr>
          <w:p w14:paraId="0C3F8537"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538"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000000" w:fill="FFFF00"/>
            <w:noWrap/>
            <w:vAlign w:val="bottom"/>
            <w:hideMark/>
          </w:tcPr>
          <w:p w14:paraId="0C3F8539" w14:textId="77777777" w:rsidR="0015270F" w:rsidRPr="0095562E" w:rsidRDefault="0015270F" w:rsidP="00162359">
            <w:pPr>
              <w:spacing w:before="0" w:after="0"/>
              <w:rPr>
                <w:rStyle w:val="BookTitle"/>
                <w:sz w:val="18"/>
                <w:szCs w:val="18"/>
              </w:rPr>
            </w:pPr>
            <w:r w:rsidRPr="0095562E">
              <w:rPr>
                <w:rStyle w:val="BookTitle"/>
                <w:sz w:val="18"/>
                <w:szCs w:val="18"/>
              </w:rPr>
              <w:t>0.79</w:t>
            </w:r>
          </w:p>
        </w:tc>
        <w:tc>
          <w:tcPr>
            <w:tcW w:w="324" w:type="pct"/>
            <w:tcBorders>
              <w:top w:val="nil"/>
              <w:left w:val="nil"/>
              <w:bottom w:val="nil"/>
              <w:right w:val="nil"/>
            </w:tcBorders>
            <w:shd w:val="clear" w:color="auto" w:fill="auto"/>
            <w:noWrap/>
            <w:vAlign w:val="bottom"/>
            <w:hideMark/>
          </w:tcPr>
          <w:p w14:paraId="0C3F853A" w14:textId="77777777" w:rsidR="0015270F" w:rsidRPr="0095562E" w:rsidRDefault="0015270F" w:rsidP="00162359">
            <w:pPr>
              <w:spacing w:before="0" w:after="0"/>
              <w:rPr>
                <w:rStyle w:val="BookTitle"/>
                <w:sz w:val="18"/>
                <w:szCs w:val="18"/>
              </w:rPr>
            </w:pPr>
            <w:r w:rsidRPr="0095562E">
              <w:rPr>
                <w:rStyle w:val="BookTitle"/>
                <w:sz w:val="18"/>
                <w:szCs w:val="18"/>
              </w:rPr>
              <w:t>0.30</w:t>
            </w:r>
          </w:p>
        </w:tc>
      </w:tr>
      <w:tr w:rsidR="0015270F" w:rsidRPr="0095562E" w14:paraId="0C3F854B" w14:textId="77777777" w:rsidTr="00162359">
        <w:trPr>
          <w:trHeight w:val="20"/>
        </w:trPr>
        <w:tc>
          <w:tcPr>
            <w:tcW w:w="360" w:type="pct"/>
            <w:tcBorders>
              <w:top w:val="nil"/>
              <w:left w:val="nil"/>
              <w:bottom w:val="nil"/>
              <w:right w:val="nil"/>
            </w:tcBorders>
            <w:shd w:val="clear" w:color="auto" w:fill="auto"/>
            <w:noWrap/>
            <w:vAlign w:val="center"/>
            <w:hideMark/>
          </w:tcPr>
          <w:p w14:paraId="0C3F853C" w14:textId="77777777" w:rsidR="0015270F" w:rsidRPr="0095562E" w:rsidRDefault="0015270F" w:rsidP="00162359">
            <w:pPr>
              <w:spacing w:before="0" w:after="0"/>
              <w:rPr>
                <w:rStyle w:val="BookTitle"/>
                <w:sz w:val="18"/>
                <w:szCs w:val="18"/>
              </w:rPr>
            </w:pPr>
            <w:r w:rsidRPr="0095562E">
              <w:rPr>
                <w:rStyle w:val="BookTitle"/>
                <w:sz w:val="18"/>
                <w:szCs w:val="18"/>
              </w:rPr>
              <w:t>TDP</w:t>
            </w:r>
          </w:p>
        </w:tc>
        <w:tc>
          <w:tcPr>
            <w:tcW w:w="324" w:type="pct"/>
            <w:tcBorders>
              <w:top w:val="nil"/>
              <w:left w:val="nil"/>
              <w:bottom w:val="nil"/>
              <w:right w:val="nil"/>
            </w:tcBorders>
            <w:shd w:val="clear" w:color="000000" w:fill="FFFF00"/>
            <w:noWrap/>
            <w:vAlign w:val="bottom"/>
            <w:hideMark/>
          </w:tcPr>
          <w:p w14:paraId="0C3F853D" w14:textId="77777777" w:rsidR="0015270F" w:rsidRPr="0095562E" w:rsidRDefault="0015270F" w:rsidP="00162359">
            <w:pPr>
              <w:spacing w:before="0" w:after="0"/>
              <w:rPr>
                <w:rStyle w:val="BookTitle"/>
                <w:sz w:val="18"/>
                <w:szCs w:val="18"/>
              </w:rPr>
            </w:pPr>
            <w:r w:rsidRPr="0095562E">
              <w:rPr>
                <w:rStyle w:val="BookTitle"/>
                <w:sz w:val="18"/>
                <w:szCs w:val="18"/>
              </w:rPr>
              <w:t>-0.66</w:t>
            </w:r>
          </w:p>
        </w:tc>
        <w:tc>
          <w:tcPr>
            <w:tcW w:w="429" w:type="pct"/>
            <w:tcBorders>
              <w:top w:val="nil"/>
              <w:left w:val="nil"/>
              <w:bottom w:val="nil"/>
              <w:right w:val="nil"/>
            </w:tcBorders>
            <w:shd w:val="clear" w:color="auto" w:fill="auto"/>
            <w:noWrap/>
            <w:vAlign w:val="bottom"/>
            <w:hideMark/>
          </w:tcPr>
          <w:p w14:paraId="0C3F853E" w14:textId="77777777" w:rsidR="0015270F" w:rsidRPr="0095562E" w:rsidRDefault="0015270F" w:rsidP="00162359">
            <w:pPr>
              <w:spacing w:before="0" w:after="0"/>
              <w:rPr>
                <w:rStyle w:val="BookTitle"/>
                <w:sz w:val="18"/>
                <w:szCs w:val="18"/>
              </w:rPr>
            </w:pPr>
            <w:r w:rsidRPr="0095562E">
              <w:rPr>
                <w:rStyle w:val="BookTitle"/>
                <w:sz w:val="18"/>
                <w:szCs w:val="18"/>
              </w:rPr>
              <w:t>0.48</w:t>
            </w:r>
          </w:p>
        </w:tc>
        <w:tc>
          <w:tcPr>
            <w:tcW w:w="324" w:type="pct"/>
            <w:tcBorders>
              <w:top w:val="nil"/>
              <w:left w:val="nil"/>
              <w:bottom w:val="nil"/>
              <w:right w:val="nil"/>
            </w:tcBorders>
            <w:shd w:val="clear" w:color="auto" w:fill="auto"/>
            <w:noWrap/>
            <w:vAlign w:val="bottom"/>
            <w:hideMark/>
          </w:tcPr>
          <w:p w14:paraId="0C3F853F" w14:textId="77777777" w:rsidR="0015270F" w:rsidRPr="0095562E" w:rsidRDefault="0015270F" w:rsidP="00162359">
            <w:pPr>
              <w:spacing w:before="0" w:after="0"/>
              <w:rPr>
                <w:rStyle w:val="BookTitle"/>
                <w:sz w:val="18"/>
                <w:szCs w:val="18"/>
              </w:rPr>
            </w:pPr>
            <w:r w:rsidRPr="0095562E">
              <w:rPr>
                <w:rStyle w:val="BookTitle"/>
                <w:sz w:val="18"/>
                <w:szCs w:val="18"/>
              </w:rPr>
              <w:t>0.07</w:t>
            </w:r>
          </w:p>
        </w:tc>
        <w:tc>
          <w:tcPr>
            <w:tcW w:w="324" w:type="pct"/>
            <w:tcBorders>
              <w:top w:val="nil"/>
              <w:left w:val="nil"/>
              <w:bottom w:val="nil"/>
              <w:right w:val="nil"/>
            </w:tcBorders>
            <w:shd w:val="clear" w:color="000000" w:fill="FFFF00"/>
            <w:noWrap/>
            <w:vAlign w:val="bottom"/>
            <w:hideMark/>
          </w:tcPr>
          <w:p w14:paraId="0C3F8540"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nil"/>
              <w:right w:val="nil"/>
            </w:tcBorders>
            <w:shd w:val="clear" w:color="auto" w:fill="auto"/>
            <w:noWrap/>
            <w:vAlign w:val="bottom"/>
            <w:hideMark/>
          </w:tcPr>
          <w:p w14:paraId="0C3F8541"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542" w14:textId="77777777" w:rsidR="0015270F" w:rsidRPr="0095562E" w:rsidRDefault="0015270F" w:rsidP="00162359">
            <w:pPr>
              <w:spacing w:before="0" w:after="0"/>
              <w:rPr>
                <w:rStyle w:val="BookTitle"/>
                <w:sz w:val="18"/>
                <w:szCs w:val="18"/>
              </w:rPr>
            </w:pPr>
            <w:r w:rsidRPr="0095562E">
              <w:rPr>
                <w:rStyle w:val="BookTitle"/>
                <w:sz w:val="18"/>
                <w:szCs w:val="18"/>
              </w:rPr>
              <w:t>0.58</w:t>
            </w:r>
          </w:p>
        </w:tc>
        <w:tc>
          <w:tcPr>
            <w:tcW w:w="324" w:type="pct"/>
            <w:tcBorders>
              <w:top w:val="nil"/>
              <w:left w:val="nil"/>
              <w:bottom w:val="nil"/>
              <w:right w:val="nil"/>
            </w:tcBorders>
            <w:shd w:val="clear" w:color="000000" w:fill="FFFF00"/>
            <w:noWrap/>
            <w:vAlign w:val="bottom"/>
            <w:hideMark/>
          </w:tcPr>
          <w:p w14:paraId="0C3F8543" w14:textId="77777777" w:rsidR="0015270F" w:rsidRPr="0095562E" w:rsidRDefault="0015270F" w:rsidP="00162359">
            <w:pPr>
              <w:spacing w:before="0" w:after="0"/>
              <w:rPr>
                <w:rStyle w:val="BookTitle"/>
                <w:sz w:val="18"/>
                <w:szCs w:val="18"/>
              </w:rPr>
            </w:pPr>
            <w:r w:rsidRPr="0095562E">
              <w:rPr>
                <w:rStyle w:val="BookTitle"/>
                <w:sz w:val="18"/>
                <w:szCs w:val="18"/>
              </w:rPr>
              <w:t>0.67</w:t>
            </w:r>
          </w:p>
        </w:tc>
        <w:tc>
          <w:tcPr>
            <w:tcW w:w="324" w:type="pct"/>
            <w:tcBorders>
              <w:top w:val="nil"/>
              <w:left w:val="nil"/>
              <w:bottom w:val="nil"/>
              <w:right w:val="nil"/>
            </w:tcBorders>
            <w:shd w:val="clear" w:color="auto" w:fill="auto"/>
            <w:noWrap/>
            <w:vAlign w:val="bottom"/>
            <w:hideMark/>
          </w:tcPr>
          <w:p w14:paraId="0C3F8544"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000000" w:fill="FFFF00"/>
            <w:noWrap/>
            <w:vAlign w:val="bottom"/>
            <w:hideMark/>
          </w:tcPr>
          <w:p w14:paraId="0C3F8545" w14:textId="77777777" w:rsidR="0015270F" w:rsidRPr="0095562E" w:rsidRDefault="0015270F" w:rsidP="00162359">
            <w:pPr>
              <w:spacing w:before="0" w:after="0"/>
              <w:rPr>
                <w:rStyle w:val="BookTitle"/>
                <w:sz w:val="18"/>
                <w:szCs w:val="18"/>
              </w:rPr>
            </w:pPr>
            <w:r w:rsidRPr="0095562E">
              <w:rPr>
                <w:rStyle w:val="BookTitle"/>
                <w:sz w:val="18"/>
                <w:szCs w:val="18"/>
              </w:rPr>
              <w:t>0.84</w:t>
            </w:r>
          </w:p>
        </w:tc>
        <w:tc>
          <w:tcPr>
            <w:tcW w:w="324" w:type="pct"/>
            <w:tcBorders>
              <w:top w:val="nil"/>
              <w:left w:val="nil"/>
              <w:bottom w:val="nil"/>
              <w:right w:val="nil"/>
            </w:tcBorders>
            <w:shd w:val="clear" w:color="auto" w:fill="auto"/>
            <w:noWrap/>
            <w:vAlign w:val="bottom"/>
            <w:hideMark/>
          </w:tcPr>
          <w:p w14:paraId="0C3F8546"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547" w14:textId="77777777" w:rsidR="0015270F" w:rsidRPr="0095562E" w:rsidRDefault="0015270F" w:rsidP="00162359">
            <w:pPr>
              <w:spacing w:before="0" w:after="0"/>
              <w:rPr>
                <w:rStyle w:val="BookTitle"/>
                <w:sz w:val="18"/>
                <w:szCs w:val="18"/>
              </w:rPr>
            </w:pPr>
            <w:r w:rsidRPr="0095562E">
              <w:rPr>
                <w:rStyle w:val="BookTitle"/>
                <w:sz w:val="18"/>
                <w:szCs w:val="18"/>
              </w:rPr>
              <w:t>0.06</w:t>
            </w:r>
          </w:p>
        </w:tc>
        <w:tc>
          <w:tcPr>
            <w:tcW w:w="324" w:type="pct"/>
            <w:tcBorders>
              <w:top w:val="nil"/>
              <w:left w:val="nil"/>
              <w:bottom w:val="nil"/>
              <w:right w:val="nil"/>
            </w:tcBorders>
            <w:shd w:val="clear" w:color="auto" w:fill="auto"/>
            <w:noWrap/>
            <w:vAlign w:val="bottom"/>
            <w:hideMark/>
          </w:tcPr>
          <w:p w14:paraId="0C3F8548"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549"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54A" w14:textId="77777777" w:rsidR="0015270F" w:rsidRPr="0095562E" w:rsidRDefault="0015270F" w:rsidP="00162359">
            <w:pPr>
              <w:spacing w:before="0" w:after="0"/>
              <w:rPr>
                <w:rStyle w:val="BookTitle"/>
                <w:sz w:val="18"/>
                <w:szCs w:val="18"/>
              </w:rPr>
            </w:pPr>
            <w:r w:rsidRPr="0095562E">
              <w:rPr>
                <w:rStyle w:val="BookTitle"/>
                <w:sz w:val="18"/>
                <w:szCs w:val="18"/>
              </w:rPr>
              <w:t>0.36</w:t>
            </w:r>
          </w:p>
        </w:tc>
      </w:tr>
      <w:tr w:rsidR="0015270F" w:rsidRPr="0095562E" w14:paraId="0C3F855B" w14:textId="77777777" w:rsidTr="00162359">
        <w:trPr>
          <w:trHeight w:val="20"/>
        </w:trPr>
        <w:tc>
          <w:tcPr>
            <w:tcW w:w="360" w:type="pct"/>
            <w:tcBorders>
              <w:top w:val="nil"/>
              <w:left w:val="nil"/>
              <w:bottom w:val="nil"/>
              <w:right w:val="nil"/>
            </w:tcBorders>
            <w:shd w:val="clear" w:color="auto" w:fill="auto"/>
            <w:noWrap/>
            <w:vAlign w:val="center"/>
            <w:hideMark/>
          </w:tcPr>
          <w:p w14:paraId="0C3F854C" w14:textId="77777777" w:rsidR="0015270F" w:rsidRPr="0095562E" w:rsidRDefault="0015270F" w:rsidP="00162359">
            <w:pPr>
              <w:spacing w:before="0" w:after="0"/>
              <w:rPr>
                <w:rStyle w:val="BookTitle"/>
                <w:sz w:val="18"/>
                <w:szCs w:val="18"/>
              </w:rPr>
            </w:pPr>
            <w:r w:rsidRPr="0095562E">
              <w:rPr>
                <w:rStyle w:val="BookTitle"/>
                <w:sz w:val="18"/>
                <w:szCs w:val="18"/>
              </w:rPr>
              <w:t>DIP</w:t>
            </w:r>
          </w:p>
        </w:tc>
        <w:tc>
          <w:tcPr>
            <w:tcW w:w="324" w:type="pct"/>
            <w:tcBorders>
              <w:top w:val="nil"/>
              <w:left w:val="nil"/>
              <w:bottom w:val="nil"/>
              <w:right w:val="nil"/>
            </w:tcBorders>
            <w:shd w:val="clear" w:color="auto" w:fill="auto"/>
            <w:noWrap/>
            <w:vAlign w:val="bottom"/>
            <w:hideMark/>
          </w:tcPr>
          <w:p w14:paraId="0C3F854D"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429" w:type="pct"/>
            <w:tcBorders>
              <w:top w:val="nil"/>
              <w:left w:val="nil"/>
              <w:bottom w:val="nil"/>
              <w:right w:val="nil"/>
            </w:tcBorders>
            <w:shd w:val="clear" w:color="auto" w:fill="auto"/>
            <w:noWrap/>
            <w:vAlign w:val="bottom"/>
            <w:hideMark/>
          </w:tcPr>
          <w:p w14:paraId="0C3F854E" w14:textId="77777777" w:rsidR="0015270F" w:rsidRPr="0095562E" w:rsidRDefault="0015270F" w:rsidP="00162359">
            <w:pPr>
              <w:spacing w:before="0" w:after="0"/>
              <w:rPr>
                <w:rStyle w:val="BookTitle"/>
                <w:sz w:val="18"/>
                <w:szCs w:val="18"/>
              </w:rPr>
            </w:pPr>
            <w:r w:rsidRPr="0095562E">
              <w:rPr>
                <w:rStyle w:val="BookTitle"/>
                <w:sz w:val="18"/>
                <w:szCs w:val="18"/>
              </w:rPr>
              <w:t>0.08</w:t>
            </w:r>
          </w:p>
        </w:tc>
        <w:tc>
          <w:tcPr>
            <w:tcW w:w="324" w:type="pct"/>
            <w:tcBorders>
              <w:top w:val="nil"/>
              <w:left w:val="nil"/>
              <w:bottom w:val="nil"/>
              <w:right w:val="nil"/>
            </w:tcBorders>
            <w:shd w:val="clear" w:color="auto" w:fill="auto"/>
            <w:noWrap/>
            <w:vAlign w:val="bottom"/>
            <w:hideMark/>
          </w:tcPr>
          <w:p w14:paraId="0C3F854F" w14:textId="77777777" w:rsidR="0015270F" w:rsidRPr="0095562E" w:rsidRDefault="0015270F" w:rsidP="00162359">
            <w:pPr>
              <w:spacing w:before="0" w:after="0"/>
              <w:rPr>
                <w:rStyle w:val="BookTitle"/>
                <w:sz w:val="18"/>
                <w:szCs w:val="18"/>
              </w:rPr>
            </w:pPr>
            <w:r w:rsidRPr="0095562E">
              <w:rPr>
                <w:rStyle w:val="BookTitle"/>
                <w:sz w:val="18"/>
                <w:szCs w:val="18"/>
              </w:rPr>
              <w:t>-0.31</w:t>
            </w:r>
          </w:p>
        </w:tc>
        <w:tc>
          <w:tcPr>
            <w:tcW w:w="324" w:type="pct"/>
            <w:tcBorders>
              <w:top w:val="nil"/>
              <w:left w:val="nil"/>
              <w:bottom w:val="nil"/>
              <w:right w:val="nil"/>
            </w:tcBorders>
            <w:shd w:val="clear" w:color="auto" w:fill="auto"/>
            <w:noWrap/>
            <w:vAlign w:val="bottom"/>
            <w:hideMark/>
          </w:tcPr>
          <w:p w14:paraId="0C3F8550" w14:textId="77777777" w:rsidR="0015270F" w:rsidRPr="0095562E" w:rsidRDefault="0015270F" w:rsidP="00162359">
            <w:pPr>
              <w:spacing w:before="0" w:after="0"/>
              <w:rPr>
                <w:rStyle w:val="BookTitle"/>
                <w:sz w:val="18"/>
                <w:szCs w:val="18"/>
              </w:rPr>
            </w:pPr>
            <w:r w:rsidRPr="0095562E">
              <w:rPr>
                <w:rStyle w:val="BookTitle"/>
                <w:sz w:val="18"/>
                <w:szCs w:val="18"/>
              </w:rPr>
              <w:t>-0.09</w:t>
            </w:r>
          </w:p>
        </w:tc>
        <w:tc>
          <w:tcPr>
            <w:tcW w:w="324" w:type="pct"/>
            <w:tcBorders>
              <w:top w:val="nil"/>
              <w:left w:val="nil"/>
              <w:bottom w:val="nil"/>
              <w:right w:val="nil"/>
            </w:tcBorders>
            <w:shd w:val="clear" w:color="auto" w:fill="auto"/>
            <w:noWrap/>
            <w:vAlign w:val="bottom"/>
            <w:hideMark/>
          </w:tcPr>
          <w:p w14:paraId="0C3F8551"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552" w14:textId="77777777" w:rsidR="0015270F" w:rsidRPr="0095562E" w:rsidRDefault="0015270F" w:rsidP="00162359">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bottom"/>
            <w:hideMark/>
          </w:tcPr>
          <w:p w14:paraId="0C3F8553"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000000" w:fill="FFFF00"/>
            <w:noWrap/>
            <w:vAlign w:val="bottom"/>
            <w:hideMark/>
          </w:tcPr>
          <w:p w14:paraId="0C3F8554" w14:textId="77777777" w:rsidR="0015270F" w:rsidRPr="0095562E" w:rsidRDefault="0015270F" w:rsidP="00162359">
            <w:pPr>
              <w:spacing w:before="0" w:after="0"/>
              <w:rPr>
                <w:rStyle w:val="BookTitle"/>
                <w:sz w:val="18"/>
                <w:szCs w:val="18"/>
              </w:rPr>
            </w:pPr>
            <w:r w:rsidRPr="0095562E">
              <w:rPr>
                <w:rStyle w:val="BookTitle"/>
                <w:sz w:val="18"/>
                <w:szCs w:val="18"/>
              </w:rPr>
              <w:t>0.68</w:t>
            </w:r>
          </w:p>
        </w:tc>
        <w:tc>
          <w:tcPr>
            <w:tcW w:w="324" w:type="pct"/>
            <w:tcBorders>
              <w:top w:val="nil"/>
              <w:left w:val="nil"/>
              <w:bottom w:val="nil"/>
              <w:right w:val="nil"/>
            </w:tcBorders>
            <w:shd w:val="clear" w:color="auto" w:fill="auto"/>
            <w:noWrap/>
            <w:vAlign w:val="bottom"/>
            <w:hideMark/>
          </w:tcPr>
          <w:p w14:paraId="0C3F8555" w14:textId="77777777" w:rsidR="0015270F" w:rsidRPr="0095562E" w:rsidRDefault="0015270F" w:rsidP="00162359">
            <w:pPr>
              <w:spacing w:before="0" w:after="0"/>
              <w:rPr>
                <w:rStyle w:val="BookTitle"/>
                <w:sz w:val="18"/>
                <w:szCs w:val="18"/>
              </w:rPr>
            </w:pPr>
            <w:r w:rsidRPr="0095562E">
              <w:rPr>
                <w:rStyle w:val="BookTitle"/>
                <w:sz w:val="18"/>
                <w:szCs w:val="18"/>
              </w:rPr>
              <w:t>0.11</w:t>
            </w:r>
          </w:p>
        </w:tc>
        <w:tc>
          <w:tcPr>
            <w:tcW w:w="324" w:type="pct"/>
            <w:tcBorders>
              <w:top w:val="nil"/>
              <w:left w:val="nil"/>
              <w:bottom w:val="nil"/>
              <w:right w:val="nil"/>
            </w:tcBorders>
            <w:shd w:val="clear" w:color="auto" w:fill="auto"/>
            <w:noWrap/>
            <w:vAlign w:val="bottom"/>
            <w:hideMark/>
          </w:tcPr>
          <w:p w14:paraId="0C3F8556" w14:textId="77777777" w:rsidR="0015270F" w:rsidRPr="0095562E" w:rsidRDefault="0015270F" w:rsidP="00162359">
            <w:pPr>
              <w:spacing w:before="0" w:after="0"/>
              <w:rPr>
                <w:rStyle w:val="BookTitle"/>
                <w:sz w:val="18"/>
                <w:szCs w:val="18"/>
              </w:rPr>
            </w:pPr>
            <w:r w:rsidRPr="0095562E">
              <w:rPr>
                <w:rStyle w:val="BookTitle"/>
                <w:sz w:val="18"/>
                <w:szCs w:val="18"/>
              </w:rPr>
              <w:t>0.06</w:t>
            </w:r>
          </w:p>
        </w:tc>
        <w:tc>
          <w:tcPr>
            <w:tcW w:w="324" w:type="pct"/>
            <w:tcBorders>
              <w:top w:val="nil"/>
              <w:left w:val="nil"/>
              <w:bottom w:val="nil"/>
              <w:right w:val="nil"/>
            </w:tcBorders>
            <w:shd w:val="clear" w:color="auto" w:fill="auto"/>
            <w:noWrap/>
            <w:vAlign w:val="bottom"/>
            <w:hideMark/>
          </w:tcPr>
          <w:p w14:paraId="0C3F8557"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558"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bottom"/>
            <w:hideMark/>
          </w:tcPr>
          <w:p w14:paraId="0C3F8559"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bottom"/>
            <w:hideMark/>
          </w:tcPr>
          <w:p w14:paraId="0C3F855A" w14:textId="77777777" w:rsidR="0015270F" w:rsidRPr="0095562E" w:rsidRDefault="0015270F" w:rsidP="00162359">
            <w:pPr>
              <w:spacing w:before="0" w:after="0"/>
              <w:rPr>
                <w:rStyle w:val="BookTitle"/>
                <w:sz w:val="18"/>
                <w:szCs w:val="18"/>
              </w:rPr>
            </w:pPr>
            <w:r w:rsidRPr="0095562E">
              <w:rPr>
                <w:rStyle w:val="BookTitle"/>
                <w:sz w:val="18"/>
                <w:szCs w:val="18"/>
              </w:rPr>
              <w:t>0.41</w:t>
            </w:r>
          </w:p>
        </w:tc>
      </w:tr>
      <w:tr w:rsidR="0015270F" w:rsidRPr="0095562E" w14:paraId="0C3F856B" w14:textId="77777777" w:rsidTr="00162359">
        <w:trPr>
          <w:trHeight w:val="20"/>
        </w:trPr>
        <w:tc>
          <w:tcPr>
            <w:tcW w:w="360" w:type="pct"/>
            <w:tcBorders>
              <w:top w:val="nil"/>
              <w:left w:val="nil"/>
              <w:bottom w:val="nil"/>
              <w:right w:val="nil"/>
            </w:tcBorders>
            <w:shd w:val="clear" w:color="auto" w:fill="auto"/>
            <w:noWrap/>
            <w:vAlign w:val="center"/>
            <w:hideMark/>
          </w:tcPr>
          <w:p w14:paraId="0C3F855C" w14:textId="77777777" w:rsidR="0015270F" w:rsidRPr="0095562E" w:rsidRDefault="0015270F" w:rsidP="00162359">
            <w:pPr>
              <w:spacing w:before="0" w:after="0"/>
              <w:rPr>
                <w:rStyle w:val="BookTitle"/>
                <w:sz w:val="18"/>
                <w:szCs w:val="18"/>
              </w:rPr>
            </w:pPr>
            <w:r w:rsidRPr="0095562E">
              <w:rPr>
                <w:rStyle w:val="BookTitle"/>
                <w:sz w:val="18"/>
                <w:szCs w:val="18"/>
              </w:rPr>
              <w:t>PN</w:t>
            </w:r>
          </w:p>
        </w:tc>
        <w:tc>
          <w:tcPr>
            <w:tcW w:w="324" w:type="pct"/>
            <w:tcBorders>
              <w:top w:val="nil"/>
              <w:left w:val="nil"/>
              <w:bottom w:val="nil"/>
              <w:right w:val="nil"/>
            </w:tcBorders>
            <w:shd w:val="clear" w:color="auto" w:fill="auto"/>
            <w:noWrap/>
            <w:vAlign w:val="bottom"/>
            <w:hideMark/>
          </w:tcPr>
          <w:p w14:paraId="0C3F855D" w14:textId="77777777" w:rsidR="0015270F" w:rsidRPr="0095562E" w:rsidRDefault="0015270F" w:rsidP="00162359">
            <w:pPr>
              <w:spacing w:before="0" w:after="0"/>
              <w:rPr>
                <w:rStyle w:val="BookTitle"/>
                <w:sz w:val="18"/>
                <w:szCs w:val="18"/>
              </w:rPr>
            </w:pPr>
            <w:r w:rsidRPr="0095562E">
              <w:rPr>
                <w:rStyle w:val="BookTitle"/>
                <w:sz w:val="18"/>
                <w:szCs w:val="18"/>
              </w:rPr>
              <w:t>0.22</w:t>
            </w:r>
          </w:p>
        </w:tc>
        <w:tc>
          <w:tcPr>
            <w:tcW w:w="429" w:type="pct"/>
            <w:tcBorders>
              <w:top w:val="nil"/>
              <w:left w:val="nil"/>
              <w:bottom w:val="nil"/>
              <w:right w:val="nil"/>
            </w:tcBorders>
            <w:shd w:val="clear" w:color="auto" w:fill="auto"/>
            <w:noWrap/>
            <w:vAlign w:val="bottom"/>
            <w:hideMark/>
          </w:tcPr>
          <w:p w14:paraId="0C3F855E"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55F" w14:textId="77777777" w:rsidR="0015270F" w:rsidRPr="0095562E" w:rsidRDefault="0015270F" w:rsidP="00162359">
            <w:pPr>
              <w:spacing w:before="0" w:after="0"/>
              <w:rPr>
                <w:rStyle w:val="BookTitle"/>
                <w:sz w:val="18"/>
                <w:szCs w:val="18"/>
              </w:rPr>
            </w:pPr>
            <w:r w:rsidRPr="0095562E">
              <w:rPr>
                <w:rStyle w:val="BookTitle"/>
                <w:sz w:val="18"/>
                <w:szCs w:val="18"/>
              </w:rPr>
              <w:t>-0.32</w:t>
            </w:r>
          </w:p>
        </w:tc>
        <w:tc>
          <w:tcPr>
            <w:tcW w:w="324" w:type="pct"/>
            <w:tcBorders>
              <w:top w:val="nil"/>
              <w:left w:val="nil"/>
              <w:bottom w:val="nil"/>
              <w:right w:val="nil"/>
            </w:tcBorders>
            <w:shd w:val="clear" w:color="auto" w:fill="auto"/>
            <w:noWrap/>
            <w:vAlign w:val="bottom"/>
            <w:hideMark/>
          </w:tcPr>
          <w:p w14:paraId="0C3F8560"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bottom"/>
            <w:hideMark/>
          </w:tcPr>
          <w:p w14:paraId="0C3F8561" w14:textId="77777777" w:rsidR="0015270F" w:rsidRPr="0095562E" w:rsidRDefault="0015270F" w:rsidP="00162359">
            <w:pPr>
              <w:spacing w:before="0" w:after="0"/>
              <w:rPr>
                <w:rStyle w:val="BookTitle"/>
                <w:sz w:val="18"/>
                <w:szCs w:val="18"/>
              </w:rPr>
            </w:pPr>
            <w:r w:rsidRPr="0095562E">
              <w:rPr>
                <w:rStyle w:val="BookTitle"/>
                <w:sz w:val="18"/>
                <w:szCs w:val="18"/>
              </w:rPr>
              <w:t>0.29</w:t>
            </w:r>
          </w:p>
        </w:tc>
        <w:tc>
          <w:tcPr>
            <w:tcW w:w="324" w:type="pct"/>
            <w:tcBorders>
              <w:top w:val="nil"/>
              <w:left w:val="nil"/>
              <w:bottom w:val="nil"/>
              <w:right w:val="nil"/>
            </w:tcBorders>
            <w:shd w:val="clear" w:color="auto" w:fill="auto"/>
            <w:noWrap/>
            <w:vAlign w:val="bottom"/>
            <w:hideMark/>
          </w:tcPr>
          <w:p w14:paraId="0C3F8562"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563" w14:textId="77777777" w:rsidR="0015270F" w:rsidRPr="0095562E" w:rsidRDefault="0015270F" w:rsidP="00162359">
            <w:pPr>
              <w:spacing w:before="0" w:after="0"/>
              <w:rPr>
                <w:rStyle w:val="BookTitle"/>
                <w:sz w:val="18"/>
                <w:szCs w:val="18"/>
              </w:rPr>
            </w:pPr>
            <w:r w:rsidRPr="0095562E">
              <w:rPr>
                <w:rStyle w:val="BookTitle"/>
                <w:sz w:val="18"/>
                <w:szCs w:val="18"/>
              </w:rPr>
              <w:t>-0.55</w:t>
            </w:r>
          </w:p>
        </w:tc>
        <w:tc>
          <w:tcPr>
            <w:tcW w:w="324" w:type="pct"/>
            <w:tcBorders>
              <w:top w:val="nil"/>
              <w:left w:val="nil"/>
              <w:bottom w:val="nil"/>
              <w:right w:val="nil"/>
            </w:tcBorders>
            <w:shd w:val="clear" w:color="auto" w:fill="auto"/>
            <w:noWrap/>
            <w:vAlign w:val="bottom"/>
            <w:hideMark/>
          </w:tcPr>
          <w:p w14:paraId="0C3F8564" w14:textId="77777777" w:rsidR="0015270F" w:rsidRPr="0095562E" w:rsidRDefault="0015270F" w:rsidP="00162359">
            <w:pPr>
              <w:spacing w:before="0" w:after="0"/>
              <w:rPr>
                <w:rStyle w:val="BookTitle"/>
                <w:sz w:val="18"/>
                <w:szCs w:val="18"/>
              </w:rPr>
            </w:pPr>
            <w:r w:rsidRPr="0095562E">
              <w:rPr>
                <w:rStyle w:val="BookTitle"/>
                <w:sz w:val="18"/>
                <w:szCs w:val="18"/>
              </w:rPr>
              <w:t>-0.17</w:t>
            </w:r>
          </w:p>
        </w:tc>
        <w:tc>
          <w:tcPr>
            <w:tcW w:w="324" w:type="pct"/>
            <w:tcBorders>
              <w:top w:val="nil"/>
              <w:left w:val="nil"/>
              <w:bottom w:val="nil"/>
              <w:right w:val="nil"/>
            </w:tcBorders>
            <w:shd w:val="clear" w:color="auto" w:fill="auto"/>
            <w:noWrap/>
            <w:vAlign w:val="bottom"/>
            <w:hideMark/>
          </w:tcPr>
          <w:p w14:paraId="0C3F8565"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324" w:type="pct"/>
            <w:tcBorders>
              <w:top w:val="nil"/>
              <w:left w:val="nil"/>
              <w:bottom w:val="nil"/>
              <w:right w:val="nil"/>
            </w:tcBorders>
            <w:shd w:val="clear" w:color="auto" w:fill="auto"/>
            <w:noWrap/>
            <w:vAlign w:val="bottom"/>
            <w:hideMark/>
          </w:tcPr>
          <w:p w14:paraId="0C3F8566"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567" w14:textId="77777777" w:rsidR="0015270F" w:rsidRPr="0095562E" w:rsidRDefault="0015270F" w:rsidP="00162359">
            <w:pPr>
              <w:spacing w:before="0" w:after="0"/>
              <w:rPr>
                <w:rStyle w:val="BookTitle"/>
                <w:sz w:val="18"/>
                <w:szCs w:val="18"/>
              </w:rPr>
            </w:pPr>
            <w:r w:rsidRPr="0095562E">
              <w:rPr>
                <w:rStyle w:val="BookTitle"/>
                <w:sz w:val="18"/>
                <w:szCs w:val="18"/>
              </w:rPr>
              <w:t>0.15</w:t>
            </w:r>
          </w:p>
        </w:tc>
        <w:tc>
          <w:tcPr>
            <w:tcW w:w="324" w:type="pct"/>
            <w:tcBorders>
              <w:top w:val="nil"/>
              <w:left w:val="nil"/>
              <w:bottom w:val="nil"/>
              <w:right w:val="nil"/>
            </w:tcBorders>
            <w:shd w:val="clear" w:color="auto" w:fill="auto"/>
            <w:noWrap/>
            <w:vAlign w:val="bottom"/>
            <w:hideMark/>
          </w:tcPr>
          <w:p w14:paraId="0C3F8568"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569" w14:textId="77777777" w:rsidR="0015270F" w:rsidRPr="0095562E" w:rsidRDefault="0015270F" w:rsidP="00162359">
            <w:pPr>
              <w:spacing w:before="0" w:after="0"/>
              <w:rPr>
                <w:rStyle w:val="BookTitle"/>
                <w:sz w:val="18"/>
                <w:szCs w:val="18"/>
              </w:rPr>
            </w:pPr>
            <w:r w:rsidRPr="0095562E">
              <w:rPr>
                <w:rStyle w:val="BookTitle"/>
                <w:sz w:val="18"/>
                <w:szCs w:val="18"/>
              </w:rPr>
              <w:t>-0.17</w:t>
            </w:r>
          </w:p>
        </w:tc>
        <w:tc>
          <w:tcPr>
            <w:tcW w:w="324" w:type="pct"/>
            <w:tcBorders>
              <w:top w:val="nil"/>
              <w:left w:val="nil"/>
              <w:bottom w:val="nil"/>
              <w:right w:val="nil"/>
            </w:tcBorders>
            <w:shd w:val="clear" w:color="auto" w:fill="auto"/>
            <w:noWrap/>
            <w:vAlign w:val="bottom"/>
            <w:hideMark/>
          </w:tcPr>
          <w:p w14:paraId="0C3F856A" w14:textId="77777777" w:rsidR="0015270F" w:rsidRPr="0095562E" w:rsidRDefault="0015270F" w:rsidP="00162359">
            <w:pPr>
              <w:spacing w:before="0" w:after="0"/>
              <w:rPr>
                <w:rStyle w:val="BookTitle"/>
                <w:sz w:val="18"/>
                <w:szCs w:val="18"/>
              </w:rPr>
            </w:pPr>
            <w:r w:rsidRPr="0095562E">
              <w:rPr>
                <w:rStyle w:val="BookTitle"/>
                <w:sz w:val="18"/>
                <w:szCs w:val="18"/>
              </w:rPr>
              <w:t>0.43</w:t>
            </w:r>
          </w:p>
        </w:tc>
      </w:tr>
      <w:tr w:rsidR="0015270F" w:rsidRPr="0095562E" w14:paraId="0C3F857B" w14:textId="77777777" w:rsidTr="00162359">
        <w:trPr>
          <w:trHeight w:val="20"/>
        </w:trPr>
        <w:tc>
          <w:tcPr>
            <w:tcW w:w="360" w:type="pct"/>
            <w:tcBorders>
              <w:top w:val="nil"/>
              <w:left w:val="nil"/>
              <w:bottom w:val="nil"/>
              <w:right w:val="nil"/>
            </w:tcBorders>
            <w:shd w:val="clear" w:color="auto" w:fill="auto"/>
            <w:noWrap/>
            <w:vAlign w:val="center"/>
            <w:hideMark/>
          </w:tcPr>
          <w:p w14:paraId="0C3F856C" w14:textId="77777777" w:rsidR="0015270F" w:rsidRPr="0095562E" w:rsidRDefault="0015270F" w:rsidP="00162359">
            <w:pPr>
              <w:spacing w:before="0" w:after="0"/>
              <w:rPr>
                <w:rStyle w:val="BookTitle"/>
                <w:sz w:val="18"/>
                <w:szCs w:val="18"/>
              </w:rPr>
            </w:pPr>
            <w:r w:rsidRPr="0095562E">
              <w:rPr>
                <w:rStyle w:val="BookTitle"/>
                <w:sz w:val="18"/>
                <w:szCs w:val="18"/>
              </w:rPr>
              <w:t>PP</w:t>
            </w:r>
          </w:p>
        </w:tc>
        <w:tc>
          <w:tcPr>
            <w:tcW w:w="324" w:type="pct"/>
            <w:tcBorders>
              <w:top w:val="nil"/>
              <w:left w:val="nil"/>
              <w:bottom w:val="nil"/>
              <w:right w:val="nil"/>
            </w:tcBorders>
            <w:shd w:val="clear" w:color="auto" w:fill="auto"/>
            <w:noWrap/>
            <w:vAlign w:val="bottom"/>
            <w:hideMark/>
          </w:tcPr>
          <w:p w14:paraId="0C3F856D" w14:textId="77777777" w:rsidR="0015270F" w:rsidRPr="0095562E" w:rsidRDefault="0015270F" w:rsidP="00162359">
            <w:pPr>
              <w:spacing w:before="0" w:after="0"/>
              <w:rPr>
                <w:rStyle w:val="BookTitle"/>
                <w:sz w:val="18"/>
                <w:szCs w:val="18"/>
              </w:rPr>
            </w:pPr>
            <w:r w:rsidRPr="0095562E">
              <w:rPr>
                <w:rStyle w:val="BookTitle"/>
                <w:sz w:val="18"/>
                <w:szCs w:val="18"/>
              </w:rPr>
              <w:t>-0.49</w:t>
            </w:r>
          </w:p>
        </w:tc>
        <w:tc>
          <w:tcPr>
            <w:tcW w:w="429" w:type="pct"/>
            <w:tcBorders>
              <w:top w:val="nil"/>
              <w:left w:val="nil"/>
              <w:bottom w:val="nil"/>
              <w:right w:val="nil"/>
            </w:tcBorders>
            <w:shd w:val="clear" w:color="auto" w:fill="auto"/>
            <w:noWrap/>
            <w:vAlign w:val="bottom"/>
            <w:hideMark/>
          </w:tcPr>
          <w:p w14:paraId="0C3F856E" w14:textId="77777777" w:rsidR="0015270F" w:rsidRPr="0095562E" w:rsidRDefault="0015270F" w:rsidP="00162359">
            <w:pPr>
              <w:spacing w:before="0" w:after="0"/>
              <w:rPr>
                <w:rStyle w:val="BookTitle"/>
                <w:sz w:val="18"/>
                <w:szCs w:val="18"/>
              </w:rPr>
            </w:pPr>
            <w:r w:rsidRPr="0095562E">
              <w:rPr>
                <w:rStyle w:val="BookTitle"/>
                <w:sz w:val="18"/>
                <w:szCs w:val="18"/>
              </w:rPr>
              <w:t>0.53</w:t>
            </w:r>
          </w:p>
        </w:tc>
        <w:tc>
          <w:tcPr>
            <w:tcW w:w="324" w:type="pct"/>
            <w:tcBorders>
              <w:top w:val="nil"/>
              <w:left w:val="nil"/>
              <w:bottom w:val="nil"/>
              <w:right w:val="nil"/>
            </w:tcBorders>
            <w:shd w:val="clear" w:color="auto" w:fill="auto"/>
            <w:noWrap/>
            <w:vAlign w:val="bottom"/>
            <w:hideMark/>
          </w:tcPr>
          <w:p w14:paraId="0C3F856F" w14:textId="77777777" w:rsidR="0015270F" w:rsidRPr="0095562E" w:rsidRDefault="0015270F" w:rsidP="00162359">
            <w:pPr>
              <w:spacing w:before="0" w:after="0"/>
              <w:rPr>
                <w:rStyle w:val="BookTitle"/>
                <w:sz w:val="18"/>
                <w:szCs w:val="18"/>
              </w:rPr>
            </w:pPr>
            <w:r w:rsidRPr="0095562E">
              <w:rPr>
                <w:rStyle w:val="BookTitle"/>
                <w:sz w:val="18"/>
                <w:szCs w:val="18"/>
              </w:rPr>
              <w:t>-0.03</w:t>
            </w:r>
          </w:p>
        </w:tc>
        <w:tc>
          <w:tcPr>
            <w:tcW w:w="324" w:type="pct"/>
            <w:tcBorders>
              <w:top w:val="nil"/>
              <w:left w:val="nil"/>
              <w:bottom w:val="nil"/>
              <w:right w:val="nil"/>
            </w:tcBorders>
            <w:shd w:val="clear" w:color="auto" w:fill="auto"/>
            <w:noWrap/>
            <w:vAlign w:val="bottom"/>
            <w:hideMark/>
          </w:tcPr>
          <w:p w14:paraId="0C3F8570" w14:textId="77777777" w:rsidR="0015270F" w:rsidRPr="0095562E" w:rsidRDefault="0015270F" w:rsidP="00162359">
            <w:pPr>
              <w:spacing w:before="0" w:after="0"/>
              <w:rPr>
                <w:rStyle w:val="BookTitle"/>
                <w:sz w:val="18"/>
                <w:szCs w:val="18"/>
              </w:rPr>
            </w:pPr>
            <w:r w:rsidRPr="0095562E">
              <w:rPr>
                <w:rStyle w:val="BookTitle"/>
                <w:sz w:val="18"/>
                <w:szCs w:val="18"/>
              </w:rPr>
              <w:t>0.37</w:t>
            </w:r>
          </w:p>
        </w:tc>
        <w:tc>
          <w:tcPr>
            <w:tcW w:w="324" w:type="pct"/>
            <w:tcBorders>
              <w:top w:val="nil"/>
              <w:left w:val="nil"/>
              <w:bottom w:val="nil"/>
              <w:right w:val="nil"/>
            </w:tcBorders>
            <w:shd w:val="clear" w:color="auto" w:fill="auto"/>
            <w:noWrap/>
            <w:vAlign w:val="bottom"/>
            <w:hideMark/>
          </w:tcPr>
          <w:p w14:paraId="0C3F8571" w14:textId="77777777" w:rsidR="0015270F" w:rsidRPr="0095562E" w:rsidRDefault="0015270F" w:rsidP="00162359">
            <w:pPr>
              <w:spacing w:before="0" w:after="0"/>
              <w:rPr>
                <w:rStyle w:val="BookTitle"/>
                <w:sz w:val="18"/>
                <w:szCs w:val="18"/>
              </w:rPr>
            </w:pPr>
            <w:r w:rsidRPr="0095562E">
              <w:rPr>
                <w:rStyle w:val="BookTitle"/>
                <w:sz w:val="18"/>
                <w:szCs w:val="18"/>
              </w:rPr>
              <w:t>0.25</w:t>
            </w:r>
          </w:p>
        </w:tc>
        <w:tc>
          <w:tcPr>
            <w:tcW w:w="324" w:type="pct"/>
            <w:tcBorders>
              <w:top w:val="nil"/>
              <w:left w:val="nil"/>
              <w:bottom w:val="nil"/>
              <w:right w:val="nil"/>
            </w:tcBorders>
            <w:shd w:val="clear" w:color="auto" w:fill="auto"/>
            <w:noWrap/>
            <w:vAlign w:val="bottom"/>
            <w:hideMark/>
          </w:tcPr>
          <w:p w14:paraId="0C3F8572" w14:textId="77777777" w:rsidR="0015270F" w:rsidRPr="0095562E" w:rsidRDefault="0015270F" w:rsidP="00162359">
            <w:pPr>
              <w:spacing w:before="0" w:after="0"/>
              <w:rPr>
                <w:rStyle w:val="BookTitle"/>
                <w:sz w:val="18"/>
                <w:szCs w:val="18"/>
              </w:rPr>
            </w:pPr>
            <w:r w:rsidRPr="0095562E">
              <w:rPr>
                <w:rStyle w:val="BookTitle"/>
                <w:sz w:val="18"/>
                <w:szCs w:val="18"/>
              </w:rPr>
              <w:t>0.13</w:t>
            </w:r>
          </w:p>
        </w:tc>
        <w:tc>
          <w:tcPr>
            <w:tcW w:w="324" w:type="pct"/>
            <w:tcBorders>
              <w:top w:val="nil"/>
              <w:left w:val="nil"/>
              <w:bottom w:val="nil"/>
              <w:right w:val="nil"/>
            </w:tcBorders>
            <w:shd w:val="clear" w:color="auto" w:fill="auto"/>
            <w:noWrap/>
            <w:vAlign w:val="bottom"/>
            <w:hideMark/>
          </w:tcPr>
          <w:p w14:paraId="0C3F8573"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nil"/>
              <w:right w:val="nil"/>
            </w:tcBorders>
            <w:shd w:val="clear" w:color="auto" w:fill="auto"/>
            <w:noWrap/>
            <w:vAlign w:val="bottom"/>
            <w:hideMark/>
          </w:tcPr>
          <w:p w14:paraId="0C3F8574" w14:textId="77777777" w:rsidR="0015270F" w:rsidRPr="0095562E" w:rsidRDefault="0015270F" w:rsidP="00162359">
            <w:pPr>
              <w:spacing w:before="0" w:after="0"/>
              <w:rPr>
                <w:rStyle w:val="BookTitle"/>
                <w:sz w:val="18"/>
                <w:szCs w:val="18"/>
              </w:rPr>
            </w:pPr>
            <w:r w:rsidRPr="0095562E">
              <w:rPr>
                <w:rStyle w:val="BookTitle"/>
                <w:sz w:val="18"/>
                <w:szCs w:val="18"/>
              </w:rPr>
              <w:t>0.27</w:t>
            </w:r>
          </w:p>
        </w:tc>
        <w:tc>
          <w:tcPr>
            <w:tcW w:w="324" w:type="pct"/>
            <w:tcBorders>
              <w:top w:val="nil"/>
              <w:left w:val="nil"/>
              <w:bottom w:val="nil"/>
              <w:right w:val="nil"/>
            </w:tcBorders>
            <w:shd w:val="clear" w:color="000000" w:fill="FFFF00"/>
            <w:noWrap/>
            <w:vAlign w:val="bottom"/>
            <w:hideMark/>
          </w:tcPr>
          <w:p w14:paraId="0C3F8575" w14:textId="77777777" w:rsidR="0015270F" w:rsidRPr="0095562E" w:rsidRDefault="0015270F" w:rsidP="00162359">
            <w:pPr>
              <w:spacing w:before="0" w:after="0"/>
              <w:rPr>
                <w:rStyle w:val="BookTitle"/>
                <w:sz w:val="18"/>
                <w:szCs w:val="18"/>
              </w:rPr>
            </w:pPr>
            <w:r w:rsidRPr="0095562E">
              <w:rPr>
                <w:rStyle w:val="BookTitle"/>
                <w:sz w:val="18"/>
                <w:szCs w:val="18"/>
              </w:rPr>
              <w:t>0.79</w:t>
            </w:r>
          </w:p>
        </w:tc>
        <w:tc>
          <w:tcPr>
            <w:tcW w:w="324" w:type="pct"/>
            <w:tcBorders>
              <w:top w:val="nil"/>
              <w:left w:val="nil"/>
              <w:bottom w:val="nil"/>
              <w:right w:val="nil"/>
            </w:tcBorders>
            <w:shd w:val="clear" w:color="auto" w:fill="auto"/>
            <w:noWrap/>
            <w:vAlign w:val="bottom"/>
            <w:hideMark/>
          </w:tcPr>
          <w:p w14:paraId="0C3F8576" w14:textId="77777777" w:rsidR="0015270F" w:rsidRPr="0095562E" w:rsidRDefault="0015270F" w:rsidP="00162359">
            <w:pPr>
              <w:spacing w:before="0" w:after="0"/>
              <w:rPr>
                <w:rStyle w:val="BookTitle"/>
                <w:sz w:val="18"/>
                <w:szCs w:val="18"/>
              </w:rPr>
            </w:pPr>
            <w:r w:rsidRPr="0095562E">
              <w:rPr>
                <w:rStyle w:val="BookTitle"/>
                <w:sz w:val="18"/>
                <w:szCs w:val="18"/>
              </w:rPr>
              <w:t>0.40</w:t>
            </w:r>
          </w:p>
        </w:tc>
        <w:tc>
          <w:tcPr>
            <w:tcW w:w="324" w:type="pct"/>
            <w:tcBorders>
              <w:top w:val="nil"/>
              <w:left w:val="nil"/>
              <w:bottom w:val="nil"/>
              <w:right w:val="nil"/>
            </w:tcBorders>
            <w:shd w:val="clear" w:color="auto" w:fill="auto"/>
            <w:noWrap/>
            <w:vAlign w:val="bottom"/>
            <w:hideMark/>
          </w:tcPr>
          <w:p w14:paraId="0C3F8577" w14:textId="77777777" w:rsidR="0015270F" w:rsidRPr="0095562E" w:rsidRDefault="0015270F" w:rsidP="00162359">
            <w:pPr>
              <w:spacing w:before="0" w:after="0"/>
              <w:rPr>
                <w:rStyle w:val="BookTitle"/>
                <w:sz w:val="18"/>
                <w:szCs w:val="18"/>
              </w:rPr>
            </w:pPr>
            <w:r w:rsidRPr="0095562E">
              <w:rPr>
                <w:rStyle w:val="BookTitle"/>
                <w:sz w:val="18"/>
                <w:szCs w:val="18"/>
              </w:rPr>
              <w:t>-0.02</w:t>
            </w:r>
          </w:p>
        </w:tc>
        <w:tc>
          <w:tcPr>
            <w:tcW w:w="324" w:type="pct"/>
            <w:tcBorders>
              <w:top w:val="nil"/>
              <w:left w:val="nil"/>
              <w:bottom w:val="nil"/>
              <w:right w:val="nil"/>
            </w:tcBorders>
            <w:shd w:val="clear" w:color="auto" w:fill="auto"/>
            <w:noWrap/>
            <w:vAlign w:val="bottom"/>
            <w:hideMark/>
          </w:tcPr>
          <w:p w14:paraId="0C3F8578" w14:textId="77777777" w:rsidR="0015270F" w:rsidRPr="0095562E" w:rsidRDefault="0015270F" w:rsidP="00162359">
            <w:pPr>
              <w:spacing w:before="0" w:after="0"/>
              <w:rPr>
                <w:rStyle w:val="BookTitle"/>
                <w:sz w:val="18"/>
                <w:szCs w:val="18"/>
              </w:rPr>
            </w:pPr>
            <w:r w:rsidRPr="0095562E">
              <w:rPr>
                <w:rStyle w:val="BookTitle"/>
                <w:sz w:val="18"/>
                <w:szCs w:val="18"/>
              </w:rPr>
              <w:t>-0.17</w:t>
            </w:r>
          </w:p>
        </w:tc>
        <w:tc>
          <w:tcPr>
            <w:tcW w:w="324" w:type="pct"/>
            <w:tcBorders>
              <w:top w:val="nil"/>
              <w:left w:val="nil"/>
              <w:bottom w:val="nil"/>
              <w:right w:val="nil"/>
            </w:tcBorders>
            <w:shd w:val="clear" w:color="auto" w:fill="auto"/>
            <w:noWrap/>
            <w:vAlign w:val="bottom"/>
            <w:hideMark/>
          </w:tcPr>
          <w:p w14:paraId="0C3F8579" w14:textId="77777777" w:rsidR="0015270F" w:rsidRPr="0095562E" w:rsidRDefault="0015270F" w:rsidP="00162359">
            <w:pPr>
              <w:spacing w:before="0" w:after="0"/>
              <w:rPr>
                <w:rStyle w:val="BookTitle"/>
                <w:sz w:val="18"/>
                <w:szCs w:val="18"/>
              </w:rPr>
            </w:pPr>
            <w:r w:rsidRPr="0095562E">
              <w:rPr>
                <w:rStyle w:val="BookTitle"/>
                <w:sz w:val="18"/>
                <w:szCs w:val="18"/>
              </w:rPr>
              <w:t>1</w:t>
            </w:r>
          </w:p>
        </w:tc>
        <w:tc>
          <w:tcPr>
            <w:tcW w:w="324" w:type="pct"/>
            <w:tcBorders>
              <w:top w:val="nil"/>
              <w:left w:val="nil"/>
              <w:bottom w:val="nil"/>
              <w:right w:val="nil"/>
            </w:tcBorders>
            <w:shd w:val="clear" w:color="auto" w:fill="auto"/>
            <w:noWrap/>
            <w:vAlign w:val="bottom"/>
            <w:hideMark/>
          </w:tcPr>
          <w:p w14:paraId="0C3F857A" w14:textId="77777777" w:rsidR="0015270F" w:rsidRPr="0095562E" w:rsidRDefault="0015270F" w:rsidP="00162359">
            <w:pPr>
              <w:spacing w:before="0" w:after="0"/>
              <w:rPr>
                <w:rStyle w:val="BookTitle"/>
                <w:sz w:val="18"/>
                <w:szCs w:val="18"/>
              </w:rPr>
            </w:pPr>
            <w:r w:rsidRPr="0095562E">
              <w:rPr>
                <w:rStyle w:val="BookTitle"/>
                <w:sz w:val="18"/>
                <w:szCs w:val="18"/>
              </w:rPr>
              <w:t>0.24</w:t>
            </w:r>
          </w:p>
        </w:tc>
      </w:tr>
      <w:tr w:rsidR="0015270F" w:rsidRPr="0095562E" w14:paraId="0C3F858B" w14:textId="77777777" w:rsidTr="00162359">
        <w:trPr>
          <w:trHeight w:val="20"/>
        </w:trPr>
        <w:tc>
          <w:tcPr>
            <w:tcW w:w="360" w:type="pct"/>
            <w:tcBorders>
              <w:top w:val="nil"/>
              <w:left w:val="nil"/>
              <w:bottom w:val="single" w:sz="4" w:space="0" w:color="auto"/>
              <w:right w:val="nil"/>
            </w:tcBorders>
            <w:shd w:val="clear" w:color="auto" w:fill="auto"/>
            <w:noWrap/>
            <w:vAlign w:val="center"/>
            <w:hideMark/>
          </w:tcPr>
          <w:p w14:paraId="0C3F857C" w14:textId="77777777" w:rsidR="0015270F" w:rsidRPr="0095562E" w:rsidRDefault="0015270F" w:rsidP="00162359">
            <w:pPr>
              <w:spacing w:before="0" w:after="0"/>
              <w:rPr>
                <w:rStyle w:val="BookTitle"/>
                <w:sz w:val="18"/>
                <w:szCs w:val="18"/>
              </w:rPr>
            </w:pPr>
            <w:r w:rsidRPr="0095562E">
              <w:rPr>
                <w:rStyle w:val="BookTitle"/>
                <w:sz w:val="18"/>
                <w:szCs w:val="18"/>
              </w:rPr>
              <w:t>Si</w:t>
            </w:r>
          </w:p>
        </w:tc>
        <w:tc>
          <w:tcPr>
            <w:tcW w:w="324" w:type="pct"/>
            <w:tcBorders>
              <w:top w:val="nil"/>
              <w:left w:val="nil"/>
              <w:bottom w:val="single" w:sz="4" w:space="0" w:color="auto"/>
              <w:right w:val="nil"/>
            </w:tcBorders>
            <w:shd w:val="clear" w:color="auto" w:fill="auto"/>
            <w:noWrap/>
            <w:vAlign w:val="bottom"/>
            <w:hideMark/>
          </w:tcPr>
          <w:p w14:paraId="0C3F857D" w14:textId="77777777" w:rsidR="0015270F" w:rsidRPr="0095562E" w:rsidRDefault="0015270F" w:rsidP="00162359">
            <w:pPr>
              <w:spacing w:before="0" w:after="0"/>
              <w:rPr>
                <w:rStyle w:val="BookTitle"/>
                <w:sz w:val="18"/>
                <w:szCs w:val="18"/>
              </w:rPr>
            </w:pPr>
            <w:r w:rsidRPr="0095562E">
              <w:rPr>
                <w:rStyle w:val="BookTitle"/>
                <w:sz w:val="18"/>
                <w:szCs w:val="18"/>
              </w:rPr>
              <w:t>-0.34</w:t>
            </w:r>
          </w:p>
        </w:tc>
        <w:tc>
          <w:tcPr>
            <w:tcW w:w="429" w:type="pct"/>
            <w:tcBorders>
              <w:top w:val="nil"/>
              <w:left w:val="nil"/>
              <w:bottom w:val="single" w:sz="4" w:space="0" w:color="auto"/>
              <w:right w:val="nil"/>
            </w:tcBorders>
            <w:shd w:val="clear" w:color="auto" w:fill="auto"/>
            <w:noWrap/>
            <w:vAlign w:val="bottom"/>
            <w:hideMark/>
          </w:tcPr>
          <w:p w14:paraId="0C3F857E" w14:textId="77777777" w:rsidR="0015270F" w:rsidRPr="0095562E" w:rsidRDefault="0015270F" w:rsidP="00162359">
            <w:pPr>
              <w:spacing w:before="0" w:after="0"/>
              <w:rPr>
                <w:rStyle w:val="BookTitle"/>
                <w:sz w:val="18"/>
                <w:szCs w:val="18"/>
              </w:rPr>
            </w:pPr>
            <w:r w:rsidRPr="0095562E">
              <w:rPr>
                <w:rStyle w:val="BookTitle"/>
                <w:sz w:val="18"/>
                <w:szCs w:val="18"/>
              </w:rPr>
              <w:t>-0.09</w:t>
            </w:r>
          </w:p>
        </w:tc>
        <w:tc>
          <w:tcPr>
            <w:tcW w:w="324" w:type="pct"/>
            <w:tcBorders>
              <w:top w:val="nil"/>
              <w:left w:val="nil"/>
              <w:bottom w:val="single" w:sz="4" w:space="0" w:color="auto"/>
              <w:right w:val="nil"/>
            </w:tcBorders>
            <w:shd w:val="clear" w:color="auto" w:fill="auto"/>
            <w:noWrap/>
            <w:vAlign w:val="bottom"/>
            <w:hideMark/>
          </w:tcPr>
          <w:p w14:paraId="0C3F857F" w14:textId="77777777" w:rsidR="0015270F" w:rsidRPr="0095562E" w:rsidRDefault="0015270F" w:rsidP="00162359">
            <w:pPr>
              <w:spacing w:before="0" w:after="0"/>
              <w:rPr>
                <w:rStyle w:val="BookTitle"/>
                <w:sz w:val="18"/>
                <w:szCs w:val="18"/>
              </w:rPr>
            </w:pPr>
            <w:r w:rsidRPr="0095562E">
              <w:rPr>
                <w:rStyle w:val="BookTitle"/>
                <w:sz w:val="18"/>
                <w:szCs w:val="18"/>
              </w:rPr>
              <w:t>-0.21</w:t>
            </w:r>
          </w:p>
        </w:tc>
        <w:tc>
          <w:tcPr>
            <w:tcW w:w="324" w:type="pct"/>
            <w:tcBorders>
              <w:top w:val="nil"/>
              <w:left w:val="nil"/>
              <w:bottom w:val="single" w:sz="4" w:space="0" w:color="auto"/>
              <w:right w:val="nil"/>
            </w:tcBorders>
            <w:shd w:val="clear" w:color="auto" w:fill="auto"/>
            <w:noWrap/>
            <w:vAlign w:val="bottom"/>
            <w:hideMark/>
          </w:tcPr>
          <w:p w14:paraId="0C3F8580" w14:textId="77777777" w:rsidR="0015270F" w:rsidRPr="0095562E" w:rsidRDefault="0015270F" w:rsidP="00162359">
            <w:pPr>
              <w:spacing w:before="0" w:after="0"/>
              <w:rPr>
                <w:rStyle w:val="BookTitle"/>
                <w:sz w:val="18"/>
                <w:szCs w:val="18"/>
              </w:rPr>
            </w:pPr>
            <w:r w:rsidRPr="0095562E">
              <w:rPr>
                <w:rStyle w:val="BookTitle"/>
                <w:sz w:val="18"/>
                <w:szCs w:val="18"/>
              </w:rPr>
              <w:t>0.59</w:t>
            </w:r>
          </w:p>
        </w:tc>
        <w:tc>
          <w:tcPr>
            <w:tcW w:w="324" w:type="pct"/>
            <w:tcBorders>
              <w:top w:val="nil"/>
              <w:left w:val="nil"/>
              <w:bottom w:val="single" w:sz="4" w:space="0" w:color="auto"/>
              <w:right w:val="nil"/>
            </w:tcBorders>
            <w:shd w:val="clear" w:color="000000" w:fill="FFFF00"/>
            <w:noWrap/>
            <w:vAlign w:val="bottom"/>
            <w:hideMark/>
          </w:tcPr>
          <w:p w14:paraId="0C3F8581" w14:textId="77777777" w:rsidR="0015270F" w:rsidRPr="0095562E" w:rsidRDefault="0015270F" w:rsidP="00162359">
            <w:pPr>
              <w:spacing w:before="0" w:after="0"/>
              <w:rPr>
                <w:rStyle w:val="BookTitle"/>
                <w:sz w:val="18"/>
                <w:szCs w:val="18"/>
              </w:rPr>
            </w:pPr>
            <w:r w:rsidRPr="0095562E">
              <w:rPr>
                <w:rStyle w:val="BookTitle"/>
                <w:sz w:val="18"/>
                <w:szCs w:val="18"/>
              </w:rPr>
              <w:t>0.71</w:t>
            </w:r>
          </w:p>
        </w:tc>
        <w:tc>
          <w:tcPr>
            <w:tcW w:w="324" w:type="pct"/>
            <w:tcBorders>
              <w:top w:val="nil"/>
              <w:left w:val="nil"/>
              <w:bottom w:val="single" w:sz="4" w:space="0" w:color="auto"/>
              <w:right w:val="nil"/>
            </w:tcBorders>
            <w:shd w:val="clear" w:color="000000" w:fill="FFFF00"/>
            <w:noWrap/>
            <w:vAlign w:val="bottom"/>
            <w:hideMark/>
          </w:tcPr>
          <w:p w14:paraId="0C3F8582" w14:textId="77777777" w:rsidR="0015270F" w:rsidRPr="0095562E" w:rsidRDefault="0015270F" w:rsidP="00162359">
            <w:pPr>
              <w:spacing w:before="0" w:after="0"/>
              <w:rPr>
                <w:rStyle w:val="BookTitle"/>
                <w:sz w:val="18"/>
                <w:szCs w:val="18"/>
              </w:rPr>
            </w:pPr>
            <w:r w:rsidRPr="0095562E">
              <w:rPr>
                <w:rStyle w:val="BookTitle"/>
                <w:sz w:val="18"/>
                <w:szCs w:val="18"/>
              </w:rPr>
              <w:t>0.67</w:t>
            </w:r>
          </w:p>
        </w:tc>
        <w:tc>
          <w:tcPr>
            <w:tcW w:w="324" w:type="pct"/>
            <w:tcBorders>
              <w:top w:val="nil"/>
              <w:left w:val="nil"/>
              <w:bottom w:val="single" w:sz="4" w:space="0" w:color="auto"/>
              <w:right w:val="nil"/>
            </w:tcBorders>
            <w:shd w:val="clear" w:color="auto" w:fill="auto"/>
            <w:noWrap/>
            <w:vAlign w:val="bottom"/>
            <w:hideMark/>
          </w:tcPr>
          <w:p w14:paraId="0C3F8583" w14:textId="77777777" w:rsidR="0015270F" w:rsidRPr="0095562E" w:rsidRDefault="0015270F" w:rsidP="00162359">
            <w:pPr>
              <w:spacing w:before="0" w:after="0"/>
              <w:rPr>
                <w:rStyle w:val="BookTitle"/>
                <w:sz w:val="18"/>
                <w:szCs w:val="18"/>
              </w:rPr>
            </w:pPr>
            <w:r w:rsidRPr="0095562E">
              <w:rPr>
                <w:rStyle w:val="BookTitle"/>
                <w:sz w:val="18"/>
                <w:szCs w:val="18"/>
              </w:rPr>
              <w:t>0.14</w:t>
            </w:r>
          </w:p>
        </w:tc>
        <w:tc>
          <w:tcPr>
            <w:tcW w:w="324" w:type="pct"/>
            <w:tcBorders>
              <w:top w:val="nil"/>
              <w:left w:val="nil"/>
              <w:bottom w:val="single" w:sz="4" w:space="0" w:color="auto"/>
              <w:right w:val="nil"/>
            </w:tcBorders>
            <w:shd w:val="clear" w:color="auto" w:fill="auto"/>
            <w:noWrap/>
            <w:vAlign w:val="bottom"/>
            <w:hideMark/>
          </w:tcPr>
          <w:p w14:paraId="0C3F8584" w14:textId="77777777" w:rsidR="0015270F" w:rsidRPr="0095562E" w:rsidRDefault="0015270F" w:rsidP="00162359">
            <w:pPr>
              <w:spacing w:before="0" w:after="0"/>
              <w:rPr>
                <w:rStyle w:val="BookTitle"/>
                <w:sz w:val="18"/>
                <w:szCs w:val="18"/>
              </w:rPr>
            </w:pPr>
            <w:r w:rsidRPr="0095562E">
              <w:rPr>
                <w:rStyle w:val="BookTitle"/>
                <w:sz w:val="18"/>
                <w:szCs w:val="18"/>
              </w:rPr>
              <w:t>0.20</w:t>
            </w:r>
          </w:p>
        </w:tc>
        <w:tc>
          <w:tcPr>
            <w:tcW w:w="324" w:type="pct"/>
            <w:tcBorders>
              <w:top w:val="nil"/>
              <w:left w:val="nil"/>
              <w:bottom w:val="single" w:sz="4" w:space="0" w:color="auto"/>
              <w:right w:val="nil"/>
            </w:tcBorders>
            <w:shd w:val="clear" w:color="auto" w:fill="auto"/>
            <w:noWrap/>
            <w:vAlign w:val="bottom"/>
            <w:hideMark/>
          </w:tcPr>
          <w:p w14:paraId="0C3F8585" w14:textId="77777777" w:rsidR="0015270F" w:rsidRPr="0095562E" w:rsidRDefault="0015270F" w:rsidP="00162359">
            <w:pPr>
              <w:spacing w:before="0" w:after="0"/>
              <w:rPr>
                <w:rStyle w:val="BookTitle"/>
                <w:sz w:val="18"/>
                <w:szCs w:val="18"/>
              </w:rPr>
            </w:pPr>
            <w:r w:rsidRPr="0095562E">
              <w:rPr>
                <w:rStyle w:val="BookTitle"/>
                <w:sz w:val="18"/>
                <w:szCs w:val="18"/>
              </w:rPr>
              <w:t>0.30</w:t>
            </w:r>
          </w:p>
        </w:tc>
        <w:tc>
          <w:tcPr>
            <w:tcW w:w="324" w:type="pct"/>
            <w:tcBorders>
              <w:top w:val="nil"/>
              <w:left w:val="nil"/>
              <w:bottom w:val="single" w:sz="4" w:space="0" w:color="auto"/>
              <w:right w:val="nil"/>
            </w:tcBorders>
            <w:shd w:val="clear" w:color="auto" w:fill="auto"/>
            <w:noWrap/>
            <w:vAlign w:val="bottom"/>
            <w:hideMark/>
          </w:tcPr>
          <w:p w14:paraId="0C3F8586" w14:textId="77777777" w:rsidR="0015270F" w:rsidRPr="0095562E" w:rsidRDefault="0015270F" w:rsidP="00162359">
            <w:pPr>
              <w:spacing w:before="0" w:after="0"/>
              <w:rPr>
                <w:rStyle w:val="BookTitle"/>
                <w:sz w:val="18"/>
                <w:szCs w:val="18"/>
              </w:rPr>
            </w:pPr>
            <w:r w:rsidRPr="0095562E">
              <w:rPr>
                <w:rStyle w:val="BookTitle"/>
                <w:sz w:val="18"/>
                <w:szCs w:val="18"/>
              </w:rPr>
              <w:t>0.36</w:t>
            </w:r>
          </w:p>
        </w:tc>
        <w:tc>
          <w:tcPr>
            <w:tcW w:w="324" w:type="pct"/>
            <w:tcBorders>
              <w:top w:val="nil"/>
              <w:left w:val="nil"/>
              <w:bottom w:val="single" w:sz="4" w:space="0" w:color="auto"/>
              <w:right w:val="nil"/>
            </w:tcBorders>
            <w:shd w:val="clear" w:color="auto" w:fill="auto"/>
            <w:noWrap/>
            <w:vAlign w:val="bottom"/>
            <w:hideMark/>
          </w:tcPr>
          <w:p w14:paraId="0C3F8587" w14:textId="77777777" w:rsidR="0015270F" w:rsidRPr="0095562E" w:rsidRDefault="0015270F" w:rsidP="00162359">
            <w:pPr>
              <w:spacing w:before="0" w:after="0"/>
              <w:rPr>
                <w:rStyle w:val="BookTitle"/>
                <w:sz w:val="18"/>
                <w:szCs w:val="18"/>
              </w:rPr>
            </w:pPr>
            <w:r w:rsidRPr="0095562E">
              <w:rPr>
                <w:rStyle w:val="BookTitle"/>
                <w:sz w:val="18"/>
                <w:szCs w:val="18"/>
              </w:rPr>
              <w:t>0.41</w:t>
            </w:r>
          </w:p>
        </w:tc>
        <w:tc>
          <w:tcPr>
            <w:tcW w:w="324" w:type="pct"/>
            <w:tcBorders>
              <w:top w:val="nil"/>
              <w:left w:val="nil"/>
              <w:bottom w:val="single" w:sz="4" w:space="0" w:color="auto"/>
              <w:right w:val="nil"/>
            </w:tcBorders>
            <w:shd w:val="clear" w:color="auto" w:fill="auto"/>
            <w:noWrap/>
            <w:vAlign w:val="bottom"/>
            <w:hideMark/>
          </w:tcPr>
          <w:p w14:paraId="0C3F8588" w14:textId="77777777" w:rsidR="0015270F" w:rsidRPr="0095562E" w:rsidRDefault="0015270F" w:rsidP="00162359">
            <w:pPr>
              <w:spacing w:before="0" w:after="0"/>
              <w:rPr>
                <w:rStyle w:val="BookTitle"/>
                <w:sz w:val="18"/>
                <w:szCs w:val="18"/>
              </w:rPr>
            </w:pPr>
            <w:r w:rsidRPr="0095562E">
              <w:rPr>
                <w:rStyle w:val="BookTitle"/>
                <w:sz w:val="18"/>
                <w:szCs w:val="18"/>
              </w:rPr>
              <w:t>0.43</w:t>
            </w:r>
          </w:p>
        </w:tc>
        <w:tc>
          <w:tcPr>
            <w:tcW w:w="324" w:type="pct"/>
            <w:tcBorders>
              <w:top w:val="nil"/>
              <w:left w:val="nil"/>
              <w:bottom w:val="single" w:sz="4" w:space="0" w:color="auto"/>
              <w:right w:val="nil"/>
            </w:tcBorders>
            <w:shd w:val="clear" w:color="auto" w:fill="auto"/>
            <w:noWrap/>
            <w:vAlign w:val="bottom"/>
            <w:hideMark/>
          </w:tcPr>
          <w:p w14:paraId="0C3F8589" w14:textId="77777777" w:rsidR="0015270F" w:rsidRPr="0095562E" w:rsidRDefault="0015270F" w:rsidP="00162359">
            <w:pPr>
              <w:spacing w:before="0" w:after="0"/>
              <w:rPr>
                <w:rStyle w:val="BookTitle"/>
                <w:sz w:val="18"/>
                <w:szCs w:val="18"/>
              </w:rPr>
            </w:pPr>
            <w:r w:rsidRPr="0095562E">
              <w:rPr>
                <w:rStyle w:val="BookTitle"/>
                <w:sz w:val="18"/>
                <w:szCs w:val="18"/>
              </w:rPr>
              <w:t>0.24</w:t>
            </w:r>
          </w:p>
        </w:tc>
        <w:tc>
          <w:tcPr>
            <w:tcW w:w="324" w:type="pct"/>
            <w:tcBorders>
              <w:top w:val="nil"/>
              <w:left w:val="nil"/>
              <w:bottom w:val="single" w:sz="4" w:space="0" w:color="auto"/>
              <w:right w:val="nil"/>
            </w:tcBorders>
            <w:shd w:val="clear" w:color="auto" w:fill="auto"/>
            <w:noWrap/>
            <w:vAlign w:val="bottom"/>
            <w:hideMark/>
          </w:tcPr>
          <w:p w14:paraId="0C3F858A" w14:textId="77777777" w:rsidR="0015270F" w:rsidRPr="0095562E" w:rsidRDefault="0015270F" w:rsidP="00162359">
            <w:pPr>
              <w:spacing w:before="0" w:after="0"/>
              <w:rPr>
                <w:rStyle w:val="BookTitle"/>
                <w:sz w:val="18"/>
                <w:szCs w:val="18"/>
              </w:rPr>
            </w:pPr>
            <w:r w:rsidRPr="0095562E">
              <w:rPr>
                <w:rStyle w:val="BookTitle"/>
                <w:sz w:val="18"/>
                <w:szCs w:val="18"/>
              </w:rPr>
              <w:t>1</w:t>
            </w:r>
          </w:p>
        </w:tc>
      </w:tr>
    </w:tbl>
    <w:p w14:paraId="0C3F858C" w14:textId="77777777" w:rsidR="0015270F" w:rsidRDefault="0015270F" w:rsidP="0015270F"/>
    <w:p w14:paraId="0C3F858D" w14:textId="77777777" w:rsidR="0015270F" w:rsidRDefault="0015270F" w:rsidP="0015270F">
      <w:r>
        <w:tab/>
        <w:t xml:space="preserve">Spearman’s rank correlation coefficient identified only four significant high correlations (&gt;0.61) for the WQ parameters sampled in the Burdekin NRM (Table </w:t>
      </w:r>
      <w:r w:rsidR="00F329CC">
        <w:t>4-8</w:t>
      </w:r>
      <w:r w:rsidR="00162359">
        <w:t>)</w:t>
      </w:r>
      <w:r w:rsidR="003C535B">
        <w:t>.</w:t>
      </w:r>
      <w:r>
        <w:t xml:space="preserve"> These correlations were observed for the pairs TP – TDP and PN – chl-a.</w:t>
      </w:r>
      <w:r w:rsidR="009259F9">
        <w:t xml:space="preserve"> Discharge, distance and salinity were not highly correlated, influenced by the low flow conditions associated with the timing of the sampling in the Burdekin transect.</w:t>
      </w:r>
    </w:p>
    <w:p w14:paraId="0C3F858E" w14:textId="77777777" w:rsidR="0015270F" w:rsidRDefault="0015270F" w:rsidP="009259F9">
      <w:pPr>
        <w:pStyle w:val="Caption"/>
      </w:pPr>
      <w:bookmarkStart w:id="129" w:name="_Toc434208075"/>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8</w:t>
      </w:r>
      <w:r w:rsidR="00AE4287">
        <w:fldChar w:fldCharType="end"/>
      </w:r>
      <w:r>
        <w:t xml:space="preserve">: </w:t>
      </w:r>
      <w:r w:rsidRPr="0089419E">
        <w:t xml:space="preserve">Spearman’s </w:t>
      </w:r>
      <w:r>
        <w:t>rank correlation coef</w:t>
      </w:r>
      <w:r w:rsidR="009259F9">
        <w:t>ficients for the parameters from</w:t>
      </w:r>
      <w:r>
        <w:t xml:space="preserve"> the Burdekin region. A</w:t>
      </w:r>
      <w:r w:rsidRPr="0089419E">
        <w:t xml:space="preserve">ll </w:t>
      </w:r>
      <w:r>
        <w:t xml:space="preserve">highlighted values </w:t>
      </w:r>
      <w:r w:rsidRPr="0089419E">
        <w:t xml:space="preserve">are </w:t>
      </w:r>
      <w:r w:rsidR="00F329CC">
        <w:t>significant</w:t>
      </w:r>
      <w:r w:rsidR="00F329CC" w:rsidRPr="0089419E">
        <w:t xml:space="preserve"> </w:t>
      </w:r>
      <w:r w:rsidRPr="0089419E">
        <w:t>at p &lt; 0.01</w:t>
      </w:r>
      <w:r>
        <w:t xml:space="preserve"> and represent a correlation &gt;0.6 or &lt;-.06</w:t>
      </w:r>
      <w:r w:rsidRPr="0089419E">
        <w:t>.</w:t>
      </w:r>
      <w:r>
        <w:t xml:space="preserve"> Parameter on the table are surface salinity (Sal.), 5-day average discharge (Disch.), distance between the river mouth and the sampling site (Dist.), </w:t>
      </w:r>
      <w:r w:rsidR="0095562E">
        <w:t>TSS</w:t>
      </w:r>
      <w:r>
        <w:t xml:space="preserve">, </w:t>
      </w:r>
      <w:r w:rsidR="005F304A">
        <w:t>chl</w:t>
      </w:r>
      <w:r>
        <w:t>-a</w:t>
      </w:r>
      <w:r w:rsidR="0095562E">
        <w:t>, TN</w:t>
      </w:r>
      <w:r>
        <w:t xml:space="preserve">, </w:t>
      </w:r>
      <w:r w:rsidR="0095562E">
        <w:t>TDN</w:t>
      </w:r>
      <w:r>
        <w:t xml:space="preserve">), </w:t>
      </w:r>
      <w:r w:rsidR="0095562E">
        <w:t>DIN</w:t>
      </w:r>
      <w:r>
        <w:t>,</w:t>
      </w:r>
      <w:r w:rsidRPr="00405A8D">
        <w:t xml:space="preserve"> </w:t>
      </w:r>
      <w:r w:rsidR="0095562E">
        <w:t>TP</w:t>
      </w:r>
      <w:r>
        <w:t xml:space="preserve">, </w:t>
      </w:r>
      <w:r w:rsidR="0095562E">
        <w:t>TDP</w:t>
      </w:r>
      <w:r>
        <w:t xml:space="preserve">, </w:t>
      </w:r>
      <w:r w:rsidR="0095562E">
        <w:t>DIP</w:t>
      </w:r>
      <w:r>
        <w:t xml:space="preserve">, </w:t>
      </w:r>
      <w:r w:rsidR="0095562E">
        <w:t>PN</w:t>
      </w:r>
      <w:r>
        <w:t xml:space="preserve">, </w:t>
      </w:r>
      <w:r w:rsidR="0095562E">
        <w:t>PP and Si</w:t>
      </w:r>
      <w:r>
        <w:t>.</w:t>
      </w:r>
      <w:bookmarkEnd w:id="129"/>
    </w:p>
    <w:tbl>
      <w:tblPr>
        <w:tblW w:w="5053" w:type="pct"/>
        <w:tblLook w:val="04A0" w:firstRow="1" w:lastRow="0" w:firstColumn="1" w:lastColumn="0" w:noHBand="0" w:noVBand="1"/>
      </w:tblPr>
      <w:tblGrid>
        <w:gridCol w:w="679"/>
        <w:gridCol w:w="612"/>
        <w:gridCol w:w="705"/>
        <w:gridCol w:w="612"/>
        <w:gridCol w:w="612"/>
        <w:gridCol w:w="612"/>
        <w:gridCol w:w="612"/>
        <w:gridCol w:w="612"/>
        <w:gridCol w:w="612"/>
        <w:gridCol w:w="612"/>
        <w:gridCol w:w="612"/>
        <w:gridCol w:w="612"/>
        <w:gridCol w:w="612"/>
        <w:gridCol w:w="612"/>
        <w:gridCol w:w="612"/>
      </w:tblGrid>
      <w:tr w:rsidR="0015270F" w:rsidRPr="0095562E" w14:paraId="0C3F859E" w14:textId="77777777" w:rsidTr="00162359">
        <w:trPr>
          <w:trHeight w:val="20"/>
        </w:trPr>
        <w:tc>
          <w:tcPr>
            <w:tcW w:w="363" w:type="pct"/>
            <w:tcBorders>
              <w:top w:val="single" w:sz="4" w:space="0" w:color="auto"/>
              <w:left w:val="nil"/>
              <w:bottom w:val="single" w:sz="4" w:space="0" w:color="auto"/>
              <w:right w:val="nil"/>
            </w:tcBorders>
            <w:shd w:val="clear" w:color="auto" w:fill="auto"/>
            <w:noWrap/>
            <w:vAlign w:val="center"/>
            <w:hideMark/>
          </w:tcPr>
          <w:p w14:paraId="0C3F858F" w14:textId="77777777" w:rsidR="0015270F" w:rsidRPr="0095562E" w:rsidRDefault="0015270F" w:rsidP="0095562E">
            <w:pPr>
              <w:spacing w:before="0" w:after="0"/>
              <w:rPr>
                <w:rStyle w:val="BookTitle"/>
                <w:sz w:val="18"/>
                <w:szCs w:val="18"/>
              </w:rPr>
            </w:pPr>
            <w:r w:rsidRPr="0095562E">
              <w:rPr>
                <w:rStyle w:val="BookTitle"/>
                <w:sz w:val="18"/>
                <w:szCs w:val="18"/>
              </w:rPr>
              <w:t> </w:t>
            </w:r>
          </w:p>
        </w:tc>
        <w:tc>
          <w:tcPr>
            <w:tcW w:w="327" w:type="pct"/>
            <w:tcBorders>
              <w:top w:val="single" w:sz="4" w:space="0" w:color="auto"/>
              <w:left w:val="nil"/>
              <w:bottom w:val="single" w:sz="4" w:space="0" w:color="auto"/>
              <w:right w:val="nil"/>
            </w:tcBorders>
            <w:shd w:val="clear" w:color="auto" w:fill="auto"/>
            <w:noWrap/>
            <w:vAlign w:val="center"/>
            <w:hideMark/>
          </w:tcPr>
          <w:p w14:paraId="0C3F8590" w14:textId="77777777" w:rsidR="0015270F" w:rsidRPr="0095562E" w:rsidRDefault="0015270F" w:rsidP="0095562E">
            <w:pPr>
              <w:spacing w:before="0" w:after="0"/>
              <w:rPr>
                <w:rStyle w:val="BookTitle"/>
                <w:sz w:val="18"/>
                <w:szCs w:val="18"/>
              </w:rPr>
            </w:pPr>
            <w:r w:rsidRPr="0095562E">
              <w:rPr>
                <w:rStyle w:val="BookTitle"/>
                <w:sz w:val="18"/>
                <w:szCs w:val="18"/>
              </w:rPr>
              <w:t>Sal.</w:t>
            </w:r>
          </w:p>
        </w:tc>
        <w:tc>
          <w:tcPr>
            <w:tcW w:w="380" w:type="pct"/>
            <w:tcBorders>
              <w:top w:val="single" w:sz="4" w:space="0" w:color="auto"/>
              <w:left w:val="nil"/>
              <w:bottom w:val="single" w:sz="4" w:space="0" w:color="auto"/>
              <w:right w:val="nil"/>
            </w:tcBorders>
            <w:shd w:val="clear" w:color="auto" w:fill="auto"/>
            <w:noWrap/>
            <w:vAlign w:val="center"/>
            <w:hideMark/>
          </w:tcPr>
          <w:p w14:paraId="0C3F8591" w14:textId="77777777" w:rsidR="0015270F" w:rsidRPr="0095562E" w:rsidRDefault="0015270F" w:rsidP="00162359">
            <w:pPr>
              <w:spacing w:before="0" w:after="0"/>
              <w:ind w:left="-113" w:firstLine="113"/>
              <w:rPr>
                <w:rStyle w:val="BookTitle"/>
                <w:sz w:val="18"/>
                <w:szCs w:val="18"/>
              </w:rPr>
            </w:pPr>
            <w:r w:rsidRPr="0095562E">
              <w:rPr>
                <w:rStyle w:val="BookTitle"/>
                <w:sz w:val="18"/>
                <w:szCs w:val="18"/>
              </w:rPr>
              <w:t>Disch.</w:t>
            </w:r>
          </w:p>
        </w:tc>
        <w:tc>
          <w:tcPr>
            <w:tcW w:w="327" w:type="pct"/>
            <w:tcBorders>
              <w:top w:val="single" w:sz="4" w:space="0" w:color="auto"/>
              <w:left w:val="nil"/>
              <w:bottom w:val="single" w:sz="4" w:space="0" w:color="auto"/>
              <w:right w:val="nil"/>
            </w:tcBorders>
            <w:shd w:val="clear" w:color="auto" w:fill="auto"/>
            <w:noWrap/>
            <w:vAlign w:val="center"/>
            <w:hideMark/>
          </w:tcPr>
          <w:p w14:paraId="0C3F8592" w14:textId="77777777" w:rsidR="0015270F" w:rsidRPr="0095562E" w:rsidRDefault="0015270F" w:rsidP="0095562E">
            <w:pPr>
              <w:spacing w:before="0" w:after="0"/>
              <w:rPr>
                <w:rStyle w:val="BookTitle"/>
                <w:sz w:val="18"/>
                <w:szCs w:val="18"/>
              </w:rPr>
            </w:pPr>
            <w:r w:rsidRPr="0095562E">
              <w:rPr>
                <w:rStyle w:val="BookTitle"/>
                <w:sz w:val="18"/>
                <w:szCs w:val="18"/>
              </w:rPr>
              <w:t>Dist.</w:t>
            </w:r>
          </w:p>
        </w:tc>
        <w:tc>
          <w:tcPr>
            <w:tcW w:w="328" w:type="pct"/>
            <w:tcBorders>
              <w:top w:val="single" w:sz="4" w:space="0" w:color="auto"/>
              <w:left w:val="nil"/>
              <w:bottom w:val="single" w:sz="4" w:space="0" w:color="auto"/>
              <w:right w:val="nil"/>
            </w:tcBorders>
            <w:shd w:val="clear" w:color="auto" w:fill="auto"/>
            <w:noWrap/>
            <w:vAlign w:val="center"/>
            <w:hideMark/>
          </w:tcPr>
          <w:p w14:paraId="0C3F8593" w14:textId="77777777" w:rsidR="0015270F" w:rsidRPr="0095562E" w:rsidRDefault="0015270F" w:rsidP="0095562E">
            <w:pPr>
              <w:spacing w:before="0" w:after="0"/>
              <w:rPr>
                <w:rStyle w:val="BookTitle"/>
                <w:sz w:val="18"/>
                <w:szCs w:val="18"/>
              </w:rPr>
            </w:pPr>
            <w:r w:rsidRPr="0095562E">
              <w:rPr>
                <w:rStyle w:val="BookTitle"/>
                <w:sz w:val="18"/>
                <w:szCs w:val="18"/>
              </w:rPr>
              <w:t>TSS</w:t>
            </w:r>
          </w:p>
        </w:tc>
        <w:tc>
          <w:tcPr>
            <w:tcW w:w="328" w:type="pct"/>
            <w:tcBorders>
              <w:top w:val="single" w:sz="4" w:space="0" w:color="auto"/>
              <w:left w:val="nil"/>
              <w:bottom w:val="single" w:sz="4" w:space="0" w:color="auto"/>
              <w:right w:val="nil"/>
            </w:tcBorders>
            <w:shd w:val="clear" w:color="auto" w:fill="auto"/>
            <w:noWrap/>
            <w:vAlign w:val="center"/>
            <w:hideMark/>
          </w:tcPr>
          <w:p w14:paraId="0C3F8594" w14:textId="77777777" w:rsidR="0015270F" w:rsidRPr="0095562E" w:rsidRDefault="0015270F" w:rsidP="0095562E">
            <w:pPr>
              <w:spacing w:before="0" w:after="0"/>
              <w:rPr>
                <w:rStyle w:val="BookTitle"/>
                <w:sz w:val="18"/>
                <w:szCs w:val="18"/>
              </w:rPr>
            </w:pPr>
            <w:r w:rsidRPr="0095562E">
              <w:rPr>
                <w:rStyle w:val="BookTitle"/>
                <w:sz w:val="18"/>
                <w:szCs w:val="18"/>
              </w:rPr>
              <w:t>chl-a</w:t>
            </w:r>
          </w:p>
        </w:tc>
        <w:tc>
          <w:tcPr>
            <w:tcW w:w="328" w:type="pct"/>
            <w:tcBorders>
              <w:top w:val="single" w:sz="4" w:space="0" w:color="auto"/>
              <w:left w:val="nil"/>
              <w:bottom w:val="single" w:sz="4" w:space="0" w:color="auto"/>
              <w:right w:val="nil"/>
            </w:tcBorders>
            <w:shd w:val="clear" w:color="auto" w:fill="auto"/>
            <w:noWrap/>
            <w:vAlign w:val="center"/>
            <w:hideMark/>
          </w:tcPr>
          <w:p w14:paraId="0C3F8595" w14:textId="77777777" w:rsidR="0015270F" w:rsidRPr="0095562E" w:rsidRDefault="0015270F" w:rsidP="0095562E">
            <w:pPr>
              <w:spacing w:before="0" w:after="0"/>
              <w:rPr>
                <w:rStyle w:val="BookTitle"/>
                <w:sz w:val="18"/>
                <w:szCs w:val="18"/>
              </w:rPr>
            </w:pPr>
            <w:r w:rsidRPr="0095562E">
              <w:rPr>
                <w:rStyle w:val="BookTitle"/>
                <w:sz w:val="18"/>
                <w:szCs w:val="18"/>
              </w:rPr>
              <w:t>TN</w:t>
            </w:r>
          </w:p>
        </w:tc>
        <w:tc>
          <w:tcPr>
            <w:tcW w:w="328" w:type="pct"/>
            <w:tcBorders>
              <w:top w:val="single" w:sz="4" w:space="0" w:color="auto"/>
              <w:left w:val="nil"/>
              <w:bottom w:val="single" w:sz="4" w:space="0" w:color="auto"/>
              <w:right w:val="nil"/>
            </w:tcBorders>
            <w:shd w:val="clear" w:color="auto" w:fill="auto"/>
            <w:noWrap/>
            <w:vAlign w:val="center"/>
            <w:hideMark/>
          </w:tcPr>
          <w:p w14:paraId="0C3F8596" w14:textId="77777777" w:rsidR="0015270F" w:rsidRPr="0095562E" w:rsidRDefault="0015270F" w:rsidP="0095562E">
            <w:pPr>
              <w:spacing w:before="0" w:after="0"/>
              <w:rPr>
                <w:rStyle w:val="BookTitle"/>
                <w:sz w:val="18"/>
                <w:szCs w:val="18"/>
              </w:rPr>
            </w:pPr>
            <w:r w:rsidRPr="0095562E">
              <w:rPr>
                <w:rStyle w:val="BookTitle"/>
                <w:sz w:val="18"/>
                <w:szCs w:val="18"/>
              </w:rPr>
              <w:t>TDN</w:t>
            </w:r>
          </w:p>
        </w:tc>
        <w:tc>
          <w:tcPr>
            <w:tcW w:w="328" w:type="pct"/>
            <w:tcBorders>
              <w:top w:val="single" w:sz="4" w:space="0" w:color="auto"/>
              <w:left w:val="nil"/>
              <w:bottom w:val="single" w:sz="4" w:space="0" w:color="auto"/>
              <w:right w:val="nil"/>
            </w:tcBorders>
            <w:shd w:val="clear" w:color="auto" w:fill="auto"/>
            <w:noWrap/>
            <w:vAlign w:val="center"/>
            <w:hideMark/>
          </w:tcPr>
          <w:p w14:paraId="0C3F8597" w14:textId="77777777" w:rsidR="0015270F" w:rsidRPr="0095562E" w:rsidRDefault="0015270F" w:rsidP="0095562E">
            <w:pPr>
              <w:spacing w:before="0" w:after="0"/>
              <w:rPr>
                <w:rStyle w:val="BookTitle"/>
                <w:sz w:val="18"/>
                <w:szCs w:val="18"/>
              </w:rPr>
            </w:pPr>
            <w:r w:rsidRPr="0095562E">
              <w:rPr>
                <w:rStyle w:val="BookTitle"/>
                <w:sz w:val="18"/>
                <w:szCs w:val="18"/>
              </w:rPr>
              <w:t>DIN</w:t>
            </w:r>
          </w:p>
        </w:tc>
        <w:tc>
          <w:tcPr>
            <w:tcW w:w="328" w:type="pct"/>
            <w:tcBorders>
              <w:top w:val="single" w:sz="4" w:space="0" w:color="auto"/>
              <w:left w:val="nil"/>
              <w:bottom w:val="single" w:sz="4" w:space="0" w:color="auto"/>
              <w:right w:val="nil"/>
            </w:tcBorders>
            <w:shd w:val="clear" w:color="auto" w:fill="auto"/>
            <w:noWrap/>
            <w:vAlign w:val="center"/>
            <w:hideMark/>
          </w:tcPr>
          <w:p w14:paraId="0C3F8598" w14:textId="77777777" w:rsidR="0015270F" w:rsidRPr="0095562E" w:rsidRDefault="0015270F" w:rsidP="0095562E">
            <w:pPr>
              <w:spacing w:before="0" w:after="0"/>
              <w:rPr>
                <w:rStyle w:val="BookTitle"/>
                <w:sz w:val="18"/>
                <w:szCs w:val="18"/>
              </w:rPr>
            </w:pPr>
            <w:r w:rsidRPr="0095562E">
              <w:rPr>
                <w:rStyle w:val="BookTitle"/>
                <w:sz w:val="18"/>
                <w:szCs w:val="18"/>
              </w:rPr>
              <w:t>TP</w:t>
            </w:r>
          </w:p>
        </w:tc>
        <w:tc>
          <w:tcPr>
            <w:tcW w:w="328" w:type="pct"/>
            <w:tcBorders>
              <w:top w:val="single" w:sz="4" w:space="0" w:color="auto"/>
              <w:left w:val="nil"/>
              <w:bottom w:val="single" w:sz="4" w:space="0" w:color="auto"/>
              <w:right w:val="nil"/>
            </w:tcBorders>
            <w:shd w:val="clear" w:color="auto" w:fill="auto"/>
            <w:noWrap/>
            <w:vAlign w:val="center"/>
            <w:hideMark/>
          </w:tcPr>
          <w:p w14:paraId="0C3F8599" w14:textId="77777777" w:rsidR="0015270F" w:rsidRPr="0095562E" w:rsidRDefault="0015270F" w:rsidP="0095562E">
            <w:pPr>
              <w:spacing w:before="0" w:after="0"/>
              <w:rPr>
                <w:rStyle w:val="BookTitle"/>
                <w:sz w:val="18"/>
                <w:szCs w:val="18"/>
              </w:rPr>
            </w:pPr>
            <w:r w:rsidRPr="0095562E">
              <w:rPr>
                <w:rStyle w:val="BookTitle"/>
                <w:sz w:val="18"/>
                <w:szCs w:val="18"/>
              </w:rPr>
              <w:t>TDP</w:t>
            </w:r>
          </w:p>
        </w:tc>
        <w:tc>
          <w:tcPr>
            <w:tcW w:w="328" w:type="pct"/>
            <w:tcBorders>
              <w:top w:val="single" w:sz="4" w:space="0" w:color="auto"/>
              <w:left w:val="nil"/>
              <w:bottom w:val="single" w:sz="4" w:space="0" w:color="auto"/>
              <w:right w:val="nil"/>
            </w:tcBorders>
            <w:shd w:val="clear" w:color="auto" w:fill="auto"/>
            <w:noWrap/>
            <w:vAlign w:val="center"/>
            <w:hideMark/>
          </w:tcPr>
          <w:p w14:paraId="0C3F859A" w14:textId="77777777" w:rsidR="0015270F" w:rsidRPr="0095562E" w:rsidRDefault="0015270F" w:rsidP="0095562E">
            <w:pPr>
              <w:spacing w:before="0" w:after="0"/>
              <w:rPr>
                <w:rStyle w:val="BookTitle"/>
                <w:sz w:val="18"/>
                <w:szCs w:val="18"/>
              </w:rPr>
            </w:pPr>
            <w:r w:rsidRPr="0095562E">
              <w:rPr>
                <w:rStyle w:val="BookTitle"/>
                <w:sz w:val="18"/>
                <w:szCs w:val="18"/>
              </w:rPr>
              <w:t>DIP</w:t>
            </w:r>
          </w:p>
        </w:tc>
        <w:tc>
          <w:tcPr>
            <w:tcW w:w="328" w:type="pct"/>
            <w:tcBorders>
              <w:top w:val="single" w:sz="4" w:space="0" w:color="auto"/>
              <w:left w:val="nil"/>
              <w:bottom w:val="single" w:sz="4" w:space="0" w:color="auto"/>
              <w:right w:val="nil"/>
            </w:tcBorders>
            <w:shd w:val="clear" w:color="auto" w:fill="auto"/>
            <w:noWrap/>
            <w:vAlign w:val="center"/>
            <w:hideMark/>
          </w:tcPr>
          <w:p w14:paraId="0C3F859B" w14:textId="77777777" w:rsidR="0015270F" w:rsidRPr="0095562E" w:rsidRDefault="0015270F" w:rsidP="0095562E">
            <w:pPr>
              <w:spacing w:before="0" w:after="0"/>
              <w:rPr>
                <w:rStyle w:val="BookTitle"/>
                <w:sz w:val="18"/>
                <w:szCs w:val="18"/>
              </w:rPr>
            </w:pPr>
            <w:r w:rsidRPr="0095562E">
              <w:rPr>
                <w:rStyle w:val="BookTitle"/>
                <w:sz w:val="18"/>
                <w:szCs w:val="18"/>
              </w:rPr>
              <w:t>PN</w:t>
            </w:r>
          </w:p>
        </w:tc>
        <w:tc>
          <w:tcPr>
            <w:tcW w:w="328" w:type="pct"/>
            <w:tcBorders>
              <w:top w:val="single" w:sz="4" w:space="0" w:color="auto"/>
              <w:left w:val="nil"/>
              <w:bottom w:val="single" w:sz="4" w:space="0" w:color="auto"/>
              <w:right w:val="nil"/>
            </w:tcBorders>
            <w:shd w:val="clear" w:color="auto" w:fill="auto"/>
            <w:noWrap/>
            <w:vAlign w:val="center"/>
            <w:hideMark/>
          </w:tcPr>
          <w:p w14:paraId="0C3F859C" w14:textId="77777777" w:rsidR="0015270F" w:rsidRPr="0095562E" w:rsidRDefault="0015270F" w:rsidP="0095562E">
            <w:pPr>
              <w:spacing w:before="0" w:after="0"/>
              <w:rPr>
                <w:rStyle w:val="BookTitle"/>
                <w:sz w:val="18"/>
                <w:szCs w:val="18"/>
              </w:rPr>
            </w:pPr>
            <w:r w:rsidRPr="0095562E">
              <w:rPr>
                <w:rStyle w:val="BookTitle"/>
                <w:sz w:val="18"/>
                <w:szCs w:val="18"/>
              </w:rPr>
              <w:t>PP</w:t>
            </w:r>
          </w:p>
        </w:tc>
        <w:tc>
          <w:tcPr>
            <w:tcW w:w="328" w:type="pct"/>
            <w:tcBorders>
              <w:top w:val="single" w:sz="4" w:space="0" w:color="auto"/>
              <w:left w:val="nil"/>
              <w:bottom w:val="single" w:sz="4" w:space="0" w:color="auto"/>
              <w:right w:val="nil"/>
            </w:tcBorders>
            <w:shd w:val="clear" w:color="auto" w:fill="auto"/>
            <w:noWrap/>
            <w:vAlign w:val="center"/>
            <w:hideMark/>
          </w:tcPr>
          <w:p w14:paraId="0C3F859D" w14:textId="77777777" w:rsidR="0015270F" w:rsidRPr="0095562E" w:rsidRDefault="0015270F" w:rsidP="0095562E">
            <w:pPr>
              <w:spacing w:before="0" w:after="0"/>
              <w:rPr>
                <w:rStyle w:val="BookTitle"/>
                <w:sz w:val="18"/>
                <w:szCs w:val="18"/>
              </w:rPr>
            </w:pPr>
            <w:r w:rsidRPr="0095562E">
              <w:rPr>
                <w:rStyle w:val="BookTitle"/>
                <w:sz w:val="18"/>
                <w:szCs w:val="18"/>
              </w:rPr>
              <w:t>Si</w:t>
            </w:r>
          </w:p>
        </w:tc>
      </w:tr>
      <w:tr w:rsidR="0015270F" w:rsidRPr="0095562E" w14:paraId="0C3F85AE" w14:textId="77777777" w:rsidTr="00162359">
        <w:trPr>
          <w:trHeight w:val="20"/>
        </w:trPr>
        <w:tc>
          <w:tcPr>
            <w:tcW w:w="363" w:type="pct"/>
            <w:tcBorders>
              <w:top w:val="nil"/>
              <w:left w:val="nil"/>
              <w:bottom w:val="nil"/>
              <w:right w:val="nil"/>
            </w:tcBorders>
            <w:shd w:val="clear" w:color="auto" w:fill="auto"/>
            <w:noWrap/>
            <w:vAlign w:val="center"/>
            <w:hideMark/>
          </w:tcPr>
          <w:p w14:paraId="0C3F859F" w14:textId="77777777" w:rsidR="0015270F" w:rsidRPr="0095562E" w:rsidRDefault="0015270F" w:rsidP="0095562E">
            <w:pPr>
              <w:spacing w:before="0" w:after="0"/>
              <w:rPr>
                <w:rStyle w:val="BookTitle"/>
                <w:sz w:val="18"/>
                <w:szCs w:val="18"/>
              </w:rPr>
            </w:pPr>
            <w:r w:rsidRPr="0095562E">
              <w:rPr>
                <w:rStyle w:val="BookTitle"/>
                <w:sz w:val="18"/>
                <w:szCs w:val="18"/>
              </w:rPr>
              <w:t>Sal.</w:t>
            </w:r>
          </w:p>
        </w:tc>
        <w:tc>
          <w:tcPr>
            <w:tcW w:w="327" w:type="pct"/>
            <w:tcBorders>
              <w:top w:val="nil"/>
              <w:left w:val="nil"/>
              <w:bottom w:val="nil"/>
              <w:right w:val="nil"/>
            </w:tcBorders>
            <w:shd w:val="clear" w:color="auto" w:fill="auto"/>
            <w:noWrap/>
            <w:vAlign w:val="center"/>
            <w:hideMark/>
          </w:tcPr>
          <w:p w14:paraId="0C3F85A0"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80" w:type="pct"/>
            <w:tcBorders>
              <w:top w:val="nil"/>
              <w:left w:val="nil"/>
              <w:bottom w:val="nil"/>
              <w:right w:val="nil"/>
            </w:tcBorders>
            <w:shd w:val="clear" w:color="auto" w:fill="auto"/>
            <w:noWrap/>
            <w:vAlign w:val="center"/>
            <w:hideMark/>
          </w:tcPr>
          <w:p w14:paraId="0C3F85A1"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7" w:type="pct"/>
            <w:tcBorders>
              <w:top w:val="nil"/>
              <w:left w:val="nil"/>
              <w:bottom w:val="nil"/>
              <w:right w:val="nil"/>
            </w:tcBorders>
            <w:shd w:val="clear" w:color="auto" w:fill="auto"/>
            <w:noWrap/>
            <w:vAlign w:val="center"/>
            <w:hideMark/>
          </w:tcPr>
          <w:p w14:paraId="0C3F85A2"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8" w:type="pct"/>
            <w:tcBorders>
              <w:top w:val="nil"/>
              <w:left w:val="nil"/>
              <w:bottom w:val="nil"/>
              <w:right w:val="nil"/>
            </w:tcBorders>
            <w:shd w:val="clear" w:color="auto" w:fill="auto"/>
            <w:noWrap/>
            <w:vAlign w:val="center"/>
            <w:hideMark/>
          </w:tcPr>
          <w:p w14:paraId="0C3F85A3"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8" w:type="pct"/>
            <w:tcBorders>
              <w:top w:val="nil"/>
              <w:left w:val="nil"/>
              <w:bottom w:val="nil"/>
              <w:right w:val="nil"/>
            </w:tcBorders>
            <w:shd w:val="clear" w:color="auto" w:fill="auto"/>
            <w:noWrap/>
            <w:vAlign w:val="center"/>
            <w:hideMark/>
          </w:tcPr>
          <w:p w14:paraId="0C3F85A4"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8" w:type="pct"/>
            <w:tcBorders>
              <w:top w:val="nil"/>
              <w:left w:val="nil"/>
              <w:bottom w:val="nil"/>
              <w:right w:val="nil"/>
            </w:tcBorders>
            <w:shd w:val="clear" w:color="auto" w:fill="auto"/>
            <w:noWrap/>
            <w:vAlign w:val="center"/>
            <w:hideMark/>
          </w:tcPr>
          <w:p w14:paraId="0C3F85A5"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8" w:type="pct"/>
            <w:tcBorders>
              <w:top w:val="nil"/>
              <w:left w:val="nil"/>
              <w:bottom w:val="nil"/>
              <w:right w:val="nil"/>
            </w:tcBorders>
            <w:shd w:val="clear" w:color="auto" w:fill="auto"/>
            <w:noWrap/>
            <w:vAlign w:val="center"/>
            <w:hideMark/>
          </w:tcPr>
          <w:p w14:paraId="0C3F85A6"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5A7"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auto" w:fill="auto"/>
            <w:noWrap/>
            <w:vAlign w:val="center"/>
            <w:hideMark/>
          </w:tcPr>
          <w:p w14:paraId="0C3F85A8"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8" w:type="pct"/>
            <w:tcBorders>
              <w:top w:val="nil"/>
              <w:left w:val="nil"/>
              <w:bottom w:val="nil"/>
              <w:right w:val="nil"/>
            </w:tcBorders>
            <w:shd w:val="clear" w:color="auto" w:fill="auto"/>
            <w:noWrap/>
            <w:vAlign w:val="center"/>
            <w:hideMark/>
          </w:tcPr>
          <w:p w14:paraId="0C3F85A9"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8" w:type="pct"/>
            <w:tcBorders>
              <w:top w:val="nil"/>
              <w:left w:val="nil"/>
              <w:bottom w:val="nil"/>
              <w:right w:val="nil"/>
            </w:tcBorders>
            <w:shd w:val="clear" w:color="auto" w:fill="auto"/>
            <w:noWrap/>
            <w:vAlign w:val="center"/>
            <w:hideMark/>
          </w:tcPr>
          <w:p w14:paraId="0C3F85AA"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5AB"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8" w:type="pct"/>
            <w:tcBorders>
              <w:top w:val="nil"/>
              <w:left w:val="nil"/>
              <w:bottom w:val="nil"/>
              <w:right w:val="nil"/>
            </w:tcBorders>
            <w:shd w:val="clear" w:color="auto" w:fill="auto"/>
            <w:noWrap/>
            <w:vAlign w:val="center"/>
            <w:hideMark/>
          </w:tcPr>
          <w:p w14:paraId="0C3F85AC"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8" w:type="pct"/>
            <w:tcBorders>
              <w:top w:val="nil"/>
              <w:left w:val="nil"/>
              <w:bottom w:val="nil"/>
              <w:right w:val="nil"/>
            </w:tcBorders>
            <w:shd w:val="clear" w:color="auto" w:fill="auto"/>
            <w:noWrap/>
            <w:vAlign w:val="center"/>
            <w:hideMark/>
          </w:tcPr>
          <w:p w14:paraId="0C3F85AD" w14:textId="77777777" w:rsidR="0015270F" w:rsidRPr="0095562E" w:rsidRDefault="0015270F" w:rsidP="0095562E">
            <w:pPr>
              <w:spacing w:before="0" w:after="0"/>
              <w:rPr>
                <w:rStyle w:val="BookTitle"/>
                <w:sz w:val="18"/>
                <w:szCs w:val="18"/>
              </w:rPr>
            </w:pPr>
            <w:r w:rsidRPr="0095562E">
              <w:rPr>
                <w:rStyle w:val="BookTitle"/>
                <w:sz w:val="18"/>
                <w:szCs w:val="18"/>
              </w:rPr>
              <w:t>-0.07</w:t>
            </w:r>
          </w:p>
        </w:tc>
      </w:tr>
      <w:tr w:rsidR="0015270F" w:rsidRPr="0095562E" w14:paraId="0C3F85BE" w14:textId="77777777" w:rsidTr="00162359">
        <w:trPr>
          <w:trHeight w:val="20"/>
        </w:trPr>
        <w:tc>
          <w:tcPr>
            <w:tcW w:w="363" w:type="pct"/>
            <w:tcBorders>
              <w:top w:val="nil"/>
              <w:left w:val="nil"/>
              <w:bottom w:val="nil"/>
              <w:right w:val="nil"/>
            </w:tcBorders>
            <w:shd w:val="clear" w:color="auto" w:fill="auto"/>
            <w:noWrap/>
            <w:vAlign w:val="center"/>
            <w:hideMark/>
          </w:tcPr>
          <w:p w14:paraId="0C3F85AF" w14:textId="77777777" w:rsidR="0015270F" w:rsidRPr="0095562E" w:rsidRDefault="0015270F" w:rsidP="0095562E">
            <w:pPr>
              <w:spacing w:before="0" w:after="0"/>
              <w:rPr>
                <w:rStyle w:val="BookTitle"/>
                <w:sz w:val="18"/>
                <w:szCs w:val="18"/>
              </w:rPr>
            </w:pPr>
            <w:r w:rsidRPr="0095562E">
              <w:rPr>
                <w:rStyle w:val="BookTitle"/>
                <w:sz w:val="18"/>
                <w:szCs w:val="18"/>
              </w:rPr>
              <w:t>Disch.</w:t>
            </w:r>
          </w:p>
        </w:tc>
        <w:tc>
          <w:tcPr>
            <w:tcW w:w="327" w:type="pct"/>
            <w:tcBorders>
              <w:top w:val="nil"/>
              <w:left w:val="nil"/>
              <w:bottom w:val="nil"/>
              <w:right w:val="nil"/>
            </w:tcBorders>
            <w:shd w:val="clear" w:color="auto" w:fill="auto"/>
            <w:noWrap/>
            <w:vAlign w:val="center"/>
            <w:hideMark/>
          </w:tcPr>
          <w:p w14:paraId="0C3F85B0"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80" w:type="pct"/>
            <w:tcBorders>
              <w:top w:val="nil"/>
              <w:left w:val="nil"/>
              <w:bottom w:val="nil"/>
              <w:right w:val="nil"/>
            </w:tcBorders>
            <w:shd w:val="clear" w:color="auto" w:fill="auto"/>
            <w:noWrap/>
            <w:vAlign w:val="center"/>
            <w:hideMark/>
          </w:tcPr>
          <w:p w14:paraId="0C3F85B1"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7" w:type="pct"/>
            <w:tcBorders>
              <w:top w:val="nil"/>
              <w:left w:val="nil"/>
              <w:bottom w:val="nil"/>
              <w:right w:val="nil"/>
            </w:tcBorders>
            <w:shd w:val="clear" w:color="auto" w:fill="auto"/>
            <w:noWrap/>
            <w:vAlign w:val="center"/>
            <w:hideMark/>
          </w:tcPr>
          <w:p w14:paraId="0C3F85B2" w14:textId="77777777" w:rsidR="0015270F" w:rsidRPr="0095562E" w:rsidRDefault="0015270F" w:rsidP="0095562E">
            <w:pPr>
              <w:spacing w:before="0" w:after="0"/>
              <w:rPr>
                <w:rStyle w:val="BookTitle"/>
                <w:sz w:val="18"/>
                <w:szCs w:val="18"/>
              </w:rPr>
            </w:pPr>
            <w:r w:rsidRPr="0095562E">
              <w:rPr>
                <w:rStyle w:val="BookTitle"/>
                <w:sz w:val="18"/>
                <w:szCs w:val="18"/>
              </w:rPr>
              <w:t>0.60</w:t>
            </w:r>
          </w:p>
        </w:tc>
        <w:tc>
          <w:tcPr>
            <w:tcW w:w="328" w:type="pct"/>
            <w:tcBorders>
              <w:top w:val="nil"/>
              <w:left w:val="nil"/>
              <w:bottom w:val="nil"/>
              <w:right w:val="nil"/>
            </w:tcBorders>
            <w:shd w:val="clear" w:color="auto" w:fill="auto"/>
            <w:noWrap/>
            <w:vAlign w:val="center"/>
            <w:hideMark/>
          </w:tcPr>
          <w:p w14:paraId="0C3F85B3" w14:textId="77777777" w:rsidR="0015270F" w:rsidRPr="0095562E" w:rsidRDefault="0015270F" w:rsidP="0095562E">
            <w:pPr>
              <w:spacing w:before="0" w:after="0"/>
              <w:rPr>
                <w:rStyle w:val="BookTitle"/>
                <w:sz w:val="18"/>
                <w:szCs w:val="18"/>
              </w:rPr>
            </w:pPr>
            <w:r w:rsidRPr="0095562E">
              <w:rPr>
                <w:rStyle w:val="BookTitle"/>
                <w:sz w:val="18"/>
                <w:szCs w:val="18"/>
              </w:rPr>
              <w:t>0.24</w:t>
            </w:r>
          </w:p>
        </w:tc>
        <w:tc>
          <w:tcPr>
            <w:tcW w:w="328" w:type="pct"/>
            <w:tcBorders>
              <w:top w:val="nil"/>
              <w:left w:val="nil"/>
              <w:bottom w:val="nil"/>
              <w:right w:val="nil"/>
            </w:tcBorders>
            <w:shd w:val="clear" w:color="auto" w:fill="auto"/>
            <w:noWrap/>
            <w:vAlign w:val="center"/>
            <w:hideMark/>
          </w:tcPr>
          <w:p w14:paraId="0C3F85B4"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28" w:type="pct"/>
            <w:tcBorders>
              <w:top w:val="nil"/>
              <w:left w:val="nil"/>
              <w:bottom w:val="nil"/>
              <w:right w:val="nil"/>
            </w:tcBorders>
            <w:shd w:val="clear" w:color="auto" w:fill="auto"/>
            <w:noWrap/>
            <w:vAlign w:val="center"/>
            <w:hideMark/>
          </w:tcPr>
          <w:p w14:paraId="0C3F85B5"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5B6"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8" w:type="pct"/>
            <w:tcBorders>
              <w:top w:val="nil"/>
              <w:left w:val="nil"/>
              <w:bottom w:val="nil"/>
              <w:right w:val="nil"/>
            </w:tcBorders>
            <w:shd w:val="clear" w:color="auto" w:fill="auto"/>
            <w:noWrap/>
            <w:vAlign w:val="center"/>
            <w:hideMark/>
          </w:tcPr>
          <w:p w14:paraId="0C3F85B7"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B8"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8" w:type="pct"/>
            <w:tcBorders>
              <w:top w:val="nil"/>
              <w:left w:val="nil"/>
              <w:bottom w:val="nil"/>
              <w:right w:val="nil"/>
            </w:tcBorders>
            <w:shd w:val="clear" w:color="auto" w:fill="auto"/>
            <w:noWrap/>
            <w:vAlign w:val="center"/>
            <w:hideMark/>
          </w:tcPr>
          <w:p w14:paraId="0C3F85B9"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8" w:type="pct"/>
            <w:tcBorders>
              <w:top w:val="nil"/>
              <w:left w:val="nil"/>
              <w:bottom w:val="nil"/>
              <w:right w:val="nil"/>
            </w:tcBorders>
            <w:shd w:val="clear" w:color="auto" w:fill="auto"/>
            <w:noWrap/>
            <w:vAlign w:val="center"/>
            <w:hideMark/>
          </w:tcPr>
          <w:p w14:paraId="0C3F85BA" w14:textId="77777777" w:rsidR="0015270F" w:rsidRPr="0095562E" w:rsidRDefault="0015270F" w:rsidP="0095562E">
            <w:pPr>
              <w:spacing w:before="0" w:after="0"/>
              <w:rPr>
                <w:rStyle w:val="BookTitle"/>
                <w:sz w:val="18"/>
                <w:szCs w:val="18"/>
              </w:rPr>
            </w:pPr>
            <w:r w:rsidRPr="0095562E">
              <w:rPr>
                <w:rStyle w:val="BookTitle"/>
                <w:sz w:val="18"/>
                <w:szCs w:val="18"/>
              </w:rPr>
              <w:t>-0.10</w:t>
            </w:r>
          </w:p>
        </w:tc>
        <w:tc>
          <w:tcPr>
            <w:tcW w:w="328" w:type="pct"/>
            <w:tcBorders>
              <w:top w:val="nil"/>
              <w:left w:val="nil"/>
              <w:bottom w:val="nil"/>
              <w:right w:val="nil"/>
            </w:tcBorders>
            <w:shd w:val="clear" w:color="auto" w:fill="auto"/>
            <w:noWrap/>
            <w:vAlign w:val="center"/>
            <w:hideMark/>
          </w:tcPr>
          <w:p w14:paraId="0C3F85BB"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8" w:type="pct"/>
            <w:tcBorders>
              <w:top w:val="nil"/>
              <w:left w:val="nil"/>
              <w:bottom w:val="nil"/>
              <w:right w:val="nil"/>
            </w:tcBorders>
            <w:shd w:val="clear" w:color="auto" w:fill="auto"/>
            <w:noWrap/>
            <w:vAlign w:val="center"/>
            <w:hideMark/>
          </w:tcPr>
          <w:p w14:paraId="0C3F85BC"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5BD" w14:textId="77777777" w:rsidR="0015270F" w:rsidRPr="0095562E" w:rsidRDefault="0015270F" w:rsidP="0095562E">
            <w:pPr>
              <w:spacing w:before="0" w:after="0"/>
              <w:rPr>
                <w:rStyle w:val="BookTitle"/>
                <w:sz w:val="18"/>
                <w:szCs w:val="18"/>
              </w:rPr>
            </w:pPr>
            <w:r w:rsidRPr="0095562E">
              <w:rPr>
                <w:rStyle w:val="BookTitle"/>
                <w:sz w:val="18"/>
                <w:szCs w:val="18"/>
              </w:rPr>
              <w:t>-0.44</w:t>
            </w:r>
          </w:p>
        </w:tc>
      </w:tr>
      <w:tr w:rsidR="0015270F" w:rsidRPr="0095562E" w14:paraId="0C3F85CE" w14:textId="77777777" w:rsidTr="00162359">
        <w:trPr>
          <w:trHeight w:val="20"/>
        </w:trPr>
        <w:tc>
          <w:tcPr>
            <w:tcW w:w="363" w:type="pct"/>
            <w:tcBorders>
              <w:top w:val="nil"/>
              <w:left w:val="nil"/>
              <w:bottom w:val="nil"/>
              <w:right w:val="nil"/>
            </w:tcBorders>
            <w:shd w:val="clear" w:color="auto" w:fill="auto"/>
            <w:noWrap/>
            <w:vAlign w:val="center"/>
            <w:hideMark/>
          </w:tcPr>
          <w:p w14:paraId="0C3F85BF" w14:textId="77777777" w:rsidR="0015270F" w:rsidRPr="0095562E" w:rsidRDefault="0015270F" w:rsidP="0095562E">
            <w:pPr>
              <w:spacing w:before="0" w:after="0"/>
              <w:rPr>
                <w:rStyle w:val="BookTitle"/>
                <w:sz w:val="18"/>
                <w:szCs w:val="18"/>
              </w:rPr>
            </w:pPr>
            <w:r w:rsidRPr="0095562E">
              <w:rPr>
                <w:rStyle w:val="BookTitle"/>
                <w:sz w:val="18"/>
                <w:szCs w:val="18"/>
              </w:rPr>
              <w:t>Dist.</w:t>
            </w:r>
          </w:p>
        </w:tc>
        <w:tc>
          <w:tcPr>
            <w:tcW w:w="327" w:type="pct"/>
            <w:tcBorders>
              <w:top w:val="nil"/>
              <w:left w:val="nil"/>
              <w:bottom w:val="nil"/>
              <w:right w:val="nil"/>
            </w:tcBorders>
            <w:shd w:val="clear" w:color="auto" w:fill="auto"/>
            <w:noWrap/>
            <w:vAlign w:val="center"/>
            <w:hideMark/>
          </w:tcPr>
          <w:p w14:paraId="0C3F85C0"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80" w:type="pct"/>
            <w:tcBorders>
              <w:top w:val="nil"/>
              <w:left w:val="nil"/>
              <w:bottom w:val="nil"/>
              <w:right w:val="nil"/>
            </w:tcBorders>
            <w:shd w:val="clear" w:color="auto" w:fill="auto"/>
            <w:noWrap/>
            <w:vAlign w:val="center"/>
            <w:hideMark/>
          </w:tcPr>
          <w:p w14:paraId="0C3F85C1" w14:textId="77777777" w:rsidR="0015270F" w:rsidRPr="0095562E" w:rsidRDefault="0015270F" w:rsidP="0095562E">
            <w:pPr>
              <w:spacing w:before="0" w:after="0"/>
              <w:rPr>
                <w:rStyle w:val="BookTitle"/>
                <w:sz w:val="18"/>
                <w:szCs w:val="18"/>
              </w:rPr>
            </w:pPr>
            <w:r w:rsidRPr="0095562E">
              <w:rPr>
                <w:rStyle w:val="BookTitle"/>
                <w:sz w:val="18"/>
                <w:szCs w:val="18"/>
              </w:rPr>
              <w:t>0.60</w:t>
            </w:r>
          </w:p>
        </w:tc>
        <w:tc>
          <w:tcPr>
            <w:tcW w:w="327" w:type="pct"/>
            <w:tcBorders>
              <w:top w:val="nil"/>
              <w:left w:val="nil"/>
              <w:bottom w:val="nil"/>
              <w:right w:val="nil"/>
            </w:tcBorders>
            <w:shd w:val="clear" w:color="auto" w:fill="auto"/>
            <w:noWrap/>
            <w:vAlign w:val="center"/>
            <w:hideMark/>
          </w:tcPr>
          <w:p w14:paraId="0C3F85C2"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5C3"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auto" w:fill="auto"/>
            <w:noWrap/>
            <w:vAlign w:val="center"/>
            <w:hideMark/>
          </w:tcPr>
          <w:p w14:paraId="0C3F85C4"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nil"/>
              <w:right w:val="nil"/>
            </w:tcBorders>
            <w:shd w:val="clear" w:color="auto" w:fill="auto"/>
            <w:noWrap/>
            <w:vAlign w:val="center"/>
            <w:hideMark/>
          </w:tcPr>
          <w:p w14:paraId="0C3F85C5"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8" w:type="pct"/>
            <w:tcBorders>
              <w:top w:val="nil"/>
              <w:left w:val="nil"/>
              <w:bottom w:val="nil"/>
              <w:right w:val="nil"/>
            </w:tcBorders>
            <w:shd w:val="clear" w:color="auto" w:fill="auto"/>
            <w:noWrap/>
            <w:vAlign w:val="center"/>
            <w:hideMark/>
          </w:tcPr>
          <w:p w14:paraId="0C3F85C6"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C7"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C8"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8" w:type="pct"/>
            <w:tcBorders>
              <w:top w:val="nil"/>
              <w:left w:val="nil"/>
              <w:bottom w:val="nil"/>
              <w:right w:val="nil"/>
            </w:tcBorders>
            <w:shd w:val="clear" w:color="auto" w:fill="auto"/>
            <w:noWrap/>
            <w:vAlign w:val="center"/>
            <w:hideMark/>
          </w:tcPr>
          <w:p w14:paraId="0C3F85C9" w14:textId="77777777" w:rsidR="0015270F" w:rsidRPr="0095562E" w:rsidRDefault="0015270F" w:rsidP="0095562E">
            <w:pPr>
              <w:spacing w:before="0" w:after="0"/>
              <w:rPr>
                <w:rStyle w:val="BookTitle"/>
                <w:sz w:val="18"/>
                <w:szCs w:val="18"/>
              </w:rPr>
            </w:pPr>
            <w:r w:rsidRPr="0095562E">
              <w:rPr>
                <w:rStyle w:val="BookTitle"/>
                <w:sz w:val="18"/>
                <w:szCs w:val="18"/>
              </w:rPr>
              <w:t>-0.05</w:t>
            </w:r>
          </w:p>
        </w:tc>
        <w:tc>
          <w:tcPr>
            <w:tcW w:w="328" w:type="pct"/>
            <w:tcBorders>
              <w:top w:val="nil"/>
              <w:left w:val="nil"/>
              <w:bottom w:val="nil"/>
              <w:right w:val="nil"/>
            </w:tcBorders>
            <w:shd w:val="clear" w:color="auto" w:fill="auto"/>
            <w:noWrap/>
            <w:vAlign w:val="center"/>
            <w:hideMark/>
          </w:tcPr>
          <w:p w14:paraId="0C3F85CA" w14:textId="77777777" w:rsidR="0015270F" w:rsidRPr="0095562E" w:rsidRDefault="0015270F" w:rsidP="0095562E">
            <w:pPr>
              <w:spacing w:before="0" w:after="0"/>
              <w:rPr>
                <w:rStyle w:val="BookTitle"/>
                <w:sz w:val="18"/>
                <w:szCs w:val="18"/>
              </w:rPr>
            </w:pPr>
            <w:r w:rsidRPr="0095562E">
              <w:rPr>
                <w:rStyle w:val="BookTitle"/>
                <w:sz w:val="18"/>
                <w:szCs w:val="18"/>
              </w:rPr>
              <w:t>-0.06</w:t>
            </w:r>
          </w:p>
        </w:tc>
        <w:tc>
          <w:tcPr>
            <w:tcW w:w="328" w:type="pct"/>
            <w:tcBorders>
              <w:top w:val="nil"/>
              <w:left w:val="nil"/>
              <w:bottom w:val="nil"/>
              <w:right w:val="nil"/>
            </w:tcBorders>
            <w:shd w:val="clear" w:color="auto" w:fill="auto"/>
            <w:noWrap/>
            <w:vAlign w:val="center"/>
            <w:hideMark/>
          </w:tcPr>
          <w:p w14:paraId="0C3F85CB"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8" w:type="pct"/>
            <w:tcBorders>
              <w:top w:val="nil"/>
              <w:left w:val="nil"/>
              <w:bottom w:val="nil"/>
              <w:right w:val="nil"/>
            </w:tcBorders>
            <w:shd w:val="clear" w:color="auto" w:fill="auto"/>
            <w:noWrap/>
            <w:vAlign w:val="center"/>
            <w:hideMark/>
          </w:tcPr>
          <w:p w14:paraId="0C3F85CC"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5CD" w14:textId="77777777" w:rsidR="0015270F" w:rsidRPr="0095562E" w:rsidRDefault="0015270F" w:rsidP="0095562E">
            <w:pPr>
              <w:spacing w:before="0" w:after="0"/>
              <w:rPr>
                <w:rStyle w:val="BookTitle"/>
                <w:sz w:val="18"/>
                <w:szCs w:val="18"/>
              </w:rPr>
            </w:pPr>
            <w:r w:rsidRPr="0095562E">
              <w:rPr>
                <w:rStyle w:val="BookTitle"/>
                <w:sz w:val="18"/>
                <w:szCs w:val="18"/>
              </w:rPr>
              <w:t>-0.49</w:t>
            </w:r>
          </w:p>
        </w:tc>
      </w:tr>
      <w:tr w:rsidR="0015270F" w:rsidRPr="0095562E" w14:paraId="0C3F85DE" w14:textId="77777777" w:rsidTr="00162359">
        <w:trPr>
          <w:trHeight w:val="20"/>
        </w:trPr>
        <w:tc>
          <w:tcPr>
            <w:tcW w:w="363" w:type="pct"/>
            <w:tcBorders>
              <w:top w:val="nil"/>
              <w:left w:val="nil"/>
              <w:bottom w:val="nil"/>
              <w:right w:val="nil"/>
            </w:tcBorders>
            <w:shd w:val="clear" w:color="auto" w:fill="auto"/>
            <w:noWrap/>
            <w:vAlign w:val="center"/>
            <w:hideMark/>
          </w:tcPr>
          <w:p w14:paraId="0C3F85CF" w14:textId="77777777" w:rsidR="0015270F" w:rsidRPr="0095562E" w:rsidRDefault="0015270F" w:rsidP="0095562E">
            <w:pPr>
              <w:spacing w:before="0" w:after="0"/>
              <w:rPr>
                <w:rStyle w:val="BookTitle"/>
                <w:sz w:val="18"/>
                <w:szCs w:val="18"/>
              </w:rPr>
            </w:pPr>
            <w:r w:rsidRPr="0095562E">
              <w:rPr>
                <w:rStyle w:val="BookTitle"/>
                <w:sz w:val="18"/>
                <w:szCs w:val="18"/>
              </w:rPr>
              <w:t>TSS</w:t>
            </w:r>
          </w:p>
        </w:tc>
        <w:tc>
          <w:tcPr>
            <w:tcW w:w="327" w:type="pct"/>
            <w:tcBorders>
              <w:top w:val="nil"/>
              <w:left w:val="nil"/>
              <w:bottom w:val="nil"/>
              <w:right w:val="nil"/>
            </w:tcBorders>
            <w:shd w:val="clear" w:color="auto" w:fill="auto"/>
            <w:noWrap/>
            <w:vAlign w:val="center"/>
            <w:hideMark/>
          </w:tcPr>
          <w:p w14:paraId="0C3F85D0"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80" w:type="pct"/>
            <w:tcBorders>
              <w:top w:val="nil"/>
              <w:left w:val="nil"/>
              <w:bottom w:val="nil"/>
              <w:right w:val="nil"/>
            </w:tcBorders>
            <w:shd w:val="clear" w:color="auto" w:fill="auto"/>
            <w:noWrap/>
            <w:vAlign w:val="center"/>
            <w:hideMark/>
          </w:tcPr>
          <w:p w14:paraId="0C3F85D1" w14:textId="77777777" w:rsidR="0015270F" w:rsidRPr="0095562E" w:rsidRDefault="0015270F" w:rsidP="0095562E">
            <w:pPr>
              <w:spacing w:before="0" w:after="0"/>
              <w:rPr>
                <w:rStyle w:val="BookTitle"/>
                <w:sz w:val="18"/>
                <w:szCs w:val="18"/>
              </w:rPr>
            </w:pPr>
            <w:r w:rsidRPr="0095562E">
              <w:rPr>
                <w:rStyle w:val="BookTitle"/>
                <w:sz w:val="18"/>
                <w:szCs w:val="18"/>
              </w:rPr>
              <w:t>0.24</w:t>
            </w:r>
          </w:p>
        </w:tc>
        <w:tc>
          <w:tcPr>
            <w:tcW w:w="327" w:type="pct"/>
            <w:tcBorders>
              <w:top w:val="nil"/>
              <w:left w:val="nil"/>
              <w:bottom w:val="nil"/>
              <w:right w:val="nil"/>
            </w:tcBorders>
            <w:shd w:val="clear" w:color="auto" w:fill="auto"/>
            <w:noWrap/>
            <w:vAlign w:val="center"/>
            <w:hideMark/>
          </w:tcPr>
          <w:p w14:paraId="0C3F85D2"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auto" w:fill="auto"/>
            <w:noWrap/>
            <w:vAlign w:val="center"/>
            <w:hideMark/>
          </w:tcPr>
          <w:p w14:paraId="0C3F85D3"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5D4" w14:textId="77777777" w:rsidR="0015270F" w:rsidRPr="0095562E" w:rsidRDefault="0015270F" w:rsidP="0095562E">
            <w:pPr>
              <w:spacing w:before="0" w:after="0"/>
              <w:rPr>
                <w:rStyle w:val="BookTitle"/>
                <w:sz w:val="18"/>
                <w:szCs w:val="18"/>
              </w:rPr>
            </w:pPr>
            <w:r w:rsidRPr="0095562E">
              <w:rPr>
                <w:rStyle w:val="BookTitle"/>
                <w:sz w:val="18"/>
                <w:szCs w:val="18"/>
              </w:rPr>
              <w:t>0.50</w:t>
            </w:r>
          </w:p>
        </w:tc>
        <w:tc>
          <w:tcPr>
            <w:tcW w:w="328" w:type="pct"/>
            <w:tcBorders>
              <w:top w:val="nil"/>
              <w:left w:val="nil"/>
              <w:bottom w:val="nil"/>
              <w:right w:val="nil"/>
            </w:tcBorders>
            <w:shd w:val="clear" w:color="auto" w:fill="auto"/>
            <w:noWrap/>
            <w:vAlign w:val="center"/>
            <w:hideMark/>
          </w:tcPr>
          <w:p w14:paraId="0C3F85D5"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8" w:type="pct"/>
            <w:tcBorders>
              <w:top w:val="nil"/>
              <w:left w:val="nil"/>
              <w:bottom w:val="nil"/>
              <w:right w:val="nil"/>
            </w:tcBorders>
            <w:shd w:val="clear" w:color="auto" w:fill="auto"/>
            <w:noWrap/>
            <w:vAlign w:val="center"/>
            <w:hideMark/>
          </w:tcPr>
          <w:p w14:paraId="0C3F85D6"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8" w:type="pct"/>
            <w:tcBorders>
              <w:top w:val="nil"/>
              <w:left w:val="nil"/>
              <w:bottom w:val="nil"/>
              <w:right w:val="nil"/>
            </w:tcBorders>
            <w:shd w:val="clear" w:color="auto" w:fill="auto"/>
            <w:noWrap/>
            <w:vAlign w:val="center"/>
            <w:hideMark/>
          </w:tcPr>
          <w:p w14:paraId="0C3F85D7" w14:textId="77777777" w:rsidR="0015270F" w:rsidRPr="0095562E" w:rsidRDefault="0015270F" w:rsidP="0095562E">
            <w:pPr>
              <w:spacing w:before="0" w:after="0"/>
              <w:rPr>
                <w:rStyle w:val="BookTitle"/>
                <w:sz w:val="18"/>
                <w:szCs w:val="18"/>
              </w:rPr>
            </w:pPr>
            <w:r w:rsidRPr="0095562E">
              <w:rPr>
                <w:rStyle w:val="BookTitle"/>
                <w:sz w:val="18"/>
                <w:szCs w:val="18"/>
              </w:rPr>
              <w:t>0.00</w:t>
            </w:r>
          </w:p>
        </w:tc>
        <w:tc>
          <w:tcPr>
            <w:tcW w:w="328" w:type="pct"/>
            <w:tcBorders>
              <w:top w:val="nil"/>
              <w:left w:val="nil"/>
              <w:bottom w:val="nil"/>
              <w:right w:val="nil"/>
            </w:tcBorders>
            <w:shd w:val="clear" w:color="auto" w:fill="auto"/>
            <w:noWrap/>
            <w:vAlign w:val="center"/>
            <w:hideMark/>
          </w:tcPr>
          <w:p w14:paraId="0C3F85D8"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nil"/>
              <w:right w:val="nil"/>
            </w:tcBorders>
            <w:shd w:val="clear" w:color="auto" w:fill="auto"/>
            <w:noWrap/>
            <w:vAlign w:val="center"/>
            <w:hideMark/>
          </w:tcPr>
          <w:p w14:paraId="0C3F85D9"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DA"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5DB"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8" w:type="pct"/>
            <w:tcBorders>
              <w:top w:val="nil"/>
              <w:left w:val="nil"/>
              <w:bottom w:val="nil"/>
              <w:right w:val="nil"/>
            </w:tcBorders>
            <w:shd w:val="clear" w:color="auto" w:fill="auto"/>
            <w:noWrap/>
            <w:vAlign w:val="center"/>
            <w:hideMark/>
          </w:tcPr>
          <w:p w14:paraId="0C3F85DC"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5DD" w14:textId="77777777" w:rsidR="0015270F" w:rsidRPr="0095562E" w:rsidRDefault="0015270F" w:rsidP="0095562E">
            <w:pPr>
              <w:spacing w:before="0" w:after="0"/>
              <w:rPr>
                <w:rStyle w:val="BookTitle"/>
                <w:sz w:val="18"/>
                <w:szCs w:val="18"/>
              </w:rPr>
            </w:pPr>
            <w:r w:rsidRPr="0095562E">
              <w:rPr>
                <w:rStyle w:val="BookTitle"/>
                <w:sz w:val="18"/>
                <w:szCs w:val="18"/>
              </w:rPr>
              <w:t>0.30</w:t>
            </w:r>
          </w:p>
        </w:tc>
      </w:tr>
      <w:tr w:rsidR="0015270F" w:rsidRPr="0095562E" w14:paraId="0C3F85EE" w14:textId="77777777" w:rsidTr="00162359">
        <w:trPr>
          <w:trHeight w:val="20"/>
        </w:trPr>
        <w:tc>
          <w:tcPr>
            <w:tcW w:w="363" w:type="pct"/>
            <w:tcBorders>
              <w:top w:val="nil"/>
              <w:left w:val="nil"/>
              <w:bottom w:val="nil"/>
              <w:right w:val="nil"/>
            </w:tcBorders>
            <w:shd w:val="clear" w:color="auto" w:fill="auto"/>
            <w:noWrap/>
            <w:vAlign w:val="center"/>
            <w:hideMark/>
          </w:tcPr>
          <w:p w14:paraId="0C3F85DF" w14:textId="77777777" w:rsidR="0015270F" w:rsidRPr="0095562E" w:rsidRDefault="0015270F" w:rsidP="0095562E">
            <w:pPr>
              <w:spacing w:before="0" w:after="0"/>
              <w:rPr>
                <w:rStyle w:val="BookTitle"/>
                <w:sz w:val="18"/>
                <w:szCs w:val="18"/>
              </w:rPr>
            </w:pPr>
            <w:r w:rsidRPr="0095562E">
              <w:rPr>
                <w:rStyle w:val="BookTitle"/>
                <w:sz w:val="18"/>
                <w:szCs w:val="18"/>
              </w:rPr>
              <w:t>chl-a</w:t>
            </w:r>
          </w:p>
        </w:tc>
        <w:tc>
          <w:tcPr>
            <w:tcW w:w="327" w:type="pct"/>
            <w:tcBorders>
              <w:top w:val="nil"/>
              <w:left w:val="nil"/>
              <w:bottom w:val="nil"/>
              <w:right w:val="nil"/>
            </w:tcBorders>
            <w:shd w:val="clear" w:color="auto" w:fill="auto"/>
            <w:noWrap/>
            <w:vAlign w:val="center"/>
            <w:hideMark/>
          </w:tcPr>
          <w:p w14:paraId="0C3F85E0"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80" w:type="pct"/>
            <w:tcBorders>
              <w:top w:val="nil"/>
              <w:left w:val="nil"/>
              <w:bottom w:val="nil"/>
              <w:right w:val="nil"/>
            </w:tcBorders>
            <w:shd w:val="clear" w:color="auto" w:fill="auto"/>
            <w:noWrap/>
            <w:vAlign w:val="center"/>
            <w:hideMark/>
          </w:tcPr>
          <w:p w14:paraId="0C3F85E1" w14:textId="77777777" w:rsidR="0015270F" w:rsidRPr="0095562E" w:rsidRDefault="0015270F" w:rsidP="0095562E">
            <w:pPr>
              <w:spacing w:before="0" w:after="0"/>
              <w:rPr>
                <w:rStyle w:val="BookTitle"/>
                <w:sz w:val="18"/>
                <w:szCs w:val="18"/>
              </w:rPr>
            </w:pPr>
            <w:r w:rsidRPr="0095562E">
              <w:rPr>
                <w:rStyle w:val="BookTitle"/>
                <w:sz w:val="18"/>
                <w:szCs w:val="18"/>
              </w:rPr>
              <w:t>0.33</w:t>
            </w:r>
          </w:p>
        </w:tc>
        <w:tc>
          <w:tcPr>
            <w:tcW w:w="327" w:type="pct"/>
            <w:tcBorders>
              <w:top w:val="nil"/>
              <w:left w:val="nil"/>
              <w:bottom w:val="nil"/>
              <w:right w:val="nil"/>
            </w:tcBorders>
            <w:shd w:val="clear" w:color="auto" w:fill="auto"/>
            <w:noWrap/>
            <w:vAlign w:val="center"/>
            <w:hideMark/>
          </w:tcPr>
          <w:p w14:paraId="0C3F85E2"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nil"/>
              <w:right w:val="nil"/>
            </w:tcBorders>
            <w:shd w:val="clear" w:color="auto" w:fill="auto"/>
            <w:noWrap/>
            <w:vAlign w:val="center"/>
            <w:hideMark/>
          </w:tcPr>
          <w:p w14:paraId="0C3F85E3" w14:textId="77777777" w:rsidR="0015270F" w:rsidRPr="0095562E" w:rsidRDefault="0015270F" w:rsidP="0095562E">
            <w:pPr>
              <w:spacing w:before="0" w:after="0"/>
              <w:rPr>
                <w:rStyle w:val="BookTitle"/>
                <w:sz w:val="18"/>
                <w:szCs w:val="18"/>
              </w:rPr>
            </w:pPr>
            <w:r w:rsidRPr="0095562E">
              <w:rPr>
                <w:rStyle w:val="BookTitle"/>
                <w:sz w:val="18"/>
                <w:szCs w:val="18"/>
              </w:rPr>
              <w:t>0.50</w:t>
            </w:r>
          </w:p>
        </w:tc>
        <w:tc>
          <w:tcPr>
            <w:tcW w:w="328" w:type="pct"/>
            <w:tcBorders>
              <w:top w:val="nil"/>
              <w:left w:val="nil"/>
              <w:bottom w:val="nil"/>
              <w:right w:val="nil"/>
            </w:tcBorders>
            <w:shd w:val="clear" w:color="auto" w:fill="auto"/>
            <w:noWrap/>
            <w:vAlign w:val="center"/>
            <w:hideMark/>
          </w:tcPr>
          <w:p w14:paraId="0C3F85E4"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5E5"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E6"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8" w:type="pct"/>
            <w:tcBorders>
              <w:top w:val="nil"/>
              <w:left w:val="nil"/>
              <w:bottom w:val="nil"/>
              <w:right w:val="nil"/>
            </w:tcBorders>
            <w:shd w:val="clear" w:color="auto" w:fill="auto"/>
            <w:noWrap/>
            <w:vAlign w:val="center"/>
            <w:hideMark/>
          </w:tcPr>
          <w:p w14:paraId="0C3F85E7"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8" w:type="pct"/>
            <w:tcBorders>
              <w:top w:val="nil"/>
              <w:left w:val="nil"/>
              <w:bottom w:val="nil"/>
              <w:right w:val="nil"/>
            </w:tcBorders>
            <w:shd w:val="clear" w:color="auto" w:fill="auto"/>
            <w:noWrap/>
            <w:vAlign w:val="center"/>
            <w:hideMark/>
          </w:tcPr>
          <w:p w14:paraId="0C3F85E8" w14:textId="77777777" w:rsidR="0015270F" w:rsidRPr="0095562E" w:rsidRDefault="0015270F" w:rsidP="0095562E">
            <w:pPr>
              <w:spacing w:before="0" w:after="0"/>
              <w:rPr>
                <w:rStyle w:val="BookTitle"/>
                <w:sz w:val="18"/>
                <w:szCs w:val="18"/>
              </w:rPr>
            </w:pPr>
            <w:r w:rsidRPr="0095562E">
              <w:rPr>
                <w:rStyle w:val="BookTitle"/>
                <w:sz w:val="18"/>
                <w:szCs w:val="18"/>
              </w:rPr>
              <w:t>-0.03</w:t>
            </w:r>
          </w:p>
        </w:tc>
        <w:tc>
          <w:tcPr>
            <w:tcW w:w="328" w:type="pct"/>
            <w:tcBorders>
              <w:top w:val="nil"/>
              <w:left w:val="nil"/>
              <w:bottom w:val="nil"/>
              <w:right w:val="nil"/>
            </w:tcBorders>
            <w:shd w:val="clear" w:color="auto" w:fill="auto"/>
            <w:noWrap/>
            <w:vAlign w:val="center"/>
            <w:hideMark/>
          </w:tcPr>
          <w:p w14:paraId="0C3F85E9"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8" w:type="pct"/>
            <w:tcBorders>
              <w:top w:val="nil"/>
              <w:left w:val="nil"/>
              <w:bottom w:val="nil"/>
              <w:right w:val="nil"/>
            </w:tcBorders>
            <w:shd w:val="clear" w:color="auto" w:fill="auto"/>
            <w:noWrap/>
            <w:vAlign w:val="center"/>
            <w:hideMark/>
          </w:tcPr>
          <w:p w14:paraId="0C3F85EA"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nil"/>
              <w:right w:val="nil"/>
            </w:tcBorders>
            <w:shd w:val="clear" w:color="auto" w:fill="auto"/>
            <w:noWrap/>
            <w:vAlign w:val="center"/>
            <w:hideMark/>
          </w:tcPr>
          <w:p w14:paraId="0C3F85EB"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auto" w:fill="auto"/>
            <w:noWrap/>
            <w:vAlign w:val="center"/>
            <w:hideMark/>
          </w:tcPr>
          <w:p w14:paraId="0C3F85EC"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5ED" w14:textId="77777777" w:rsidR="0015270F" w:rsidRPr="0095562E" w:rsidRDefault="0015270F" w:rsidP="0095562E">
            <w:pPr>
              <w:spacing w:before="0" w:after="0"/>
              <w:rPr>
                <w:rStyle w:val="BookTitle"/>
                <w:sz w:val="18"/>
                <w:szCs w:val="18"/>
              </w:rPr>
            </w:pPr>
            <w:r w:rsidRPr="0095562E">
              <w:rPr>
                <w:rStyle w:val="BookTitle"/>
                <w:sz w:val="18"/>
                <w:szCs w:val="18"/>
              </w:rPr>
              <w:t>0.23</w:t>
            </w:r>
          </w:p>
        </w:tc>
      </w:tr>
      <w:tr w:rsidR="0015270F" w:rsidRPr="0095562E" w14:paraId="0C3F85FE" w14:textId="77777777" w:rsidTr="00162359">
        <w:trPr>
          <w:trHeight w:val="20"/>
        </w:trPr>
        <w:tc>
          <w:tcPr>
            <w:tcW w:w="363" w:type="pct"/>
            <w:tcBorders>
              <w:top w:val="nil"/>
              <w:left w:val="nil"/>
              <w:bottom w:val="nil"/>
              <w:right w:val="nil"/>
            </w:tcBorders>
            <w:shd w:val="clear" w:color="auto" w:fill="auto"/>
            <w:noWrap/>
            <w:vAlign w:val="center"/>
            <w:hideMark/>
          </w:tcPr>
          <w:p w14:paraId="0C3F85EF" w14:textId="77777777" w:rsidR="0015270F" w:rsidRPr="0095562E" w:rsidRDefault="0015270F" w:rsidP="0095562E">
            <w:pPr>
              <w:spacing w:before="0" w:after="0"/>
              <w:rPr>
                <w:rStyle w:val="BookTitle"/>
                <w:sz w:val="18"/>
                <w:szCs w:val="18"/>
              </w:rPr>
            </w:pPr>
            <w:r w:rsidRPr="0095562E">
              <w:rPr>
                <w:rStyle w:val="BookTitle"/>
                <w:sz w:val="18"/>
                <w:szCs w:val="18"/>
              </w:rPr>
              <w:t>TN</w:t>
            </w:r>
          </w:p>
        </w:tc>
        <w:tc>
          <w:tcPr>
            <w:tcW w:w="327" w:type="pct"/>
            <w:tcBorders>
              <w:top w:val="nil"/>
              <w:left w:val="nil"/>
              <w:bottom w:val="nil"/>
              <w:right w:val="nil"/>
            </w:tcBorders>
            <w:shd w:val="clear" w:color="auto" w:fill="auto"/>
            <w:noWrap/>
            <w:vAlign w:val="center"/>
            <w:hideMark/>
          </w:tcPr>
          <w:p w14:paraId="0C3F85F0"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80" w:type="pct"/>
            <w:tcBorders>
              <w:top w:val="nil"/>
              <w:left w:val="nil"/>
              <w:bottom w:val="nil"/>
              <w:right w:val="nil"/>
            </w:tcBorders>
            <w:shd w:val="clear" w:color="auto" w:fill="auto"/>
            <w:noWrap/>
            <w:vAlign w:val="center"/>
            <w:hideMark/>
          </w:tcPr>
          <w:p w14:paraId="0C3F85F1"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7" w:type="pct"/>
            <w:tcBorders>
              <w:top w:val="nil"/>
              <w:left w:val="nil"/>
              <w:bottom w:val="nil"/>
              <w:right w:val="nil"/>
            </w:tcBorders>
            <w:shd w:val="clear" w:color="auto" w:fill="auto"/>
            <w:noWrap/>
            <w:vAlign w:val="center"/>
            <w:hideMark/>
          </w:tcPr>
          <w:p w14:paraId="0C3F85F2"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8" w:type="pct"/>
            <w:tcBorders>
              <w:top w:val="nil"/>
              <w:left w:val="nil"/>
              <w:bottom w:val="nil"/>
              <w:right w:val="nil"/>
            </w:tcBorders>
            <w:shd w:val="clear" w:color="auto" w:fill="auto"/>
            <w:noWrap/>
            <w:vAlign w:val="center"/>
            <w:hideMark/>
          </w:tcPr>
          <w:p w14:paraId="0C3F85F3"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8" w:type="pct"/>
            <w:tcBorders>
              <w:top w:val="nil"/>
              <w:left w:val="nil"/>
              <w:bottom w:val="nil"/>
              <w:right w:val="nil"/>
            </w:tcBorders>
            <w:shd w:val="clear" w:color="auto" w:fill="auto"/>
            <w:noWrap/>
            <w:vAlign w:val="center"/>
            <w:hideMark/>
          </w:tcPr>
          <w:p w14:paraId="0C3F85F4"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F5"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5F6" w14:textId="77777777" w:rsidR="0015270F" w:rsidRPr="0095562E" w:rsidRDefault="0015270F" w:rsidP="0095562E">
            <w:pPr>
              <w:spacing w:before="0" w:after="0"/>
              <w:rPr>
                <w:rStyle w:val="BookTitle"/>
                <w:sz w:val="18"/>
                <w:szCs w:val="18"/>
              </w:rPr>
            </w:pPr>
            <w:r w:rsidRPr="0095562E">
              <w:rPr>
                <w:rStyle w:val="BookTitle"/>
                <w:sz w:val="18"/>
                <w:szCs w:val="18"/>
              </w:rPr>
              <w:t>0.44</w:t>
            </w:r>
          </w:p>
        </w:tc>
        <w:tc>
          <w:tcPr>
            <w:tcW w:w="328" w:type="pct"/>
            <w:tcBorders>
              <w:top w:val="nil"/>
              <w:left w:val="nil"/>
              <w:bottom w:val="nil"/>
              <w:right w:val="nil"/>
            </w:tcBorders>
            <w:shd w:val="clear" w:color="auto" w:fill="auto"/>
            <w:noWrap/>
            <w:vAlign w:val="center"/>
            <w:hideMark/>
          </w:tcPr>
          <w:p w14:paraId="0C3F85F7" w14:textId="77777777" w:rsidR="0015270F" w:rsidRPr="0095562E" w:rsidRDefault="0015270F" w:rsidP="0095562E">
            <w:pPr>
              <w:spacing w:before="0" w:after="0"/>
              <w:rPr>
                <w:rStyle w:val="BookTitle"/>
                <w:sz w:val="18"/>
                <w:szCs w:val="18"/>
              </w:rPr>
            </w:pPr>
            <w:r w:rsidRPr="0095562E">
              <w:rPr>
                <w:rStyle w:val="BookTitle"/>
                <w:sz w:val="18"/>
                <w:szCs w:val="18"/>
              </w:rPr>
              <w:t>-0.32</w:t>
            </w:r>
          </w:p>
        </w:tc>
        <w:tc>
          <w:tcPr>
            <w:tcW w:w="328" w:type="pct"/>
            <w:tcBorders>
              <w:top w:val="nil"/>
              <w:left w:val="nil"/>
              <w:bottom w:val="nil"/>
              <w:right w:val="nil"/>
            </w:tcBorders>
            <w:shd w:val="clear" w:color="auto" w:fill="auto"/>
            <w:noWrap/>
            <w:vAlign w:val="center"/>
            <w:hideMark/>
          </w:tcPr>
          <w:p w14:paraId="0C3F85F8"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5F9"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5FA"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000000" w:fill="FFFF00"/>
            <w:noWrap/>
            <w:vAlign w:val="center"/>
            <w:hideMark/>
          </w:tcPr>
          <w:p w14:paraId="0C3F85FB" w14:textId="77777777" w:rsidR="0015270F" w:rsidRPr="0095562E" w:rsidRDefault="0015270F" w:rsidP="0095562E">
            <w:pPr>
              <w:spacing w:before="0" w:after="0"/>
              <w:rPr>
                <w:rStyle w:val="BookTitle"/>
                <w:sz w:val="18"/>
                <w:szCs w:val="18"/>
              </w:rPr>
            </w:pPr>
            <w:r w:rsidRPr="0095562E">
              <w:rPr>
                <w:rStyle w:val="BookTitle"/>
                <w:sz w:val="18"/>
                <w:szCs w:val="18"/>
              </w:rPr>
              <w:t>0.67</w:t>
            </w:r>
          </w:p>
        </w:tc>
        <w:tc>
          <w:tcPr>
            <w:tcW w:w="328" w:type="pct"/>
            <w:tcBorders>
              <w:top w:val="nil"/>
              <w:left w:val="nil"/>
              <w:bottom w:val="nil"/>
              <w:right w:val="nil"/>
            </w:tcBorders>
            <w:shd w:val="clear" w:color="auto" w:fill="auto"/>
            <w:noWrap/>
            <w:vAlign w:val="center"/>
            <w:hideMark/>
          </w:tcPr>
          <w:p w14:paraId="0C3F85FC"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5FD" w14:textId="77777777" w:rsidR="0015270F" w:rsidRPr="0095562E" w:rsidRDefault="0015270F" w:rsidP="0095562E">
            <w:pPr>
              <w:spacing w:before="0" w:after="0"/>
              <w:rPr>
                <w:rStyle w:val="BookTitle"/>
                <w:sz w:val="18"/>
                <w:szCs w:val="18"/>
              </w:rPr>
            </w:pPr>
            <w:r w:rsidRPr="0095562E">
              <w:rPr>
                <w:rStyle w:val="BookTitle"/>
                <w:sz w:val="18"/>
                <w:szCs w:val="18"/>
              </w:rPr>
              <w:t>0.03</w:t>
            </w:r>
          </w:p>
        </w:tc>
      </w:tr>
      <w:tr w:rsidR="0015270F" w:rsidRPr="0095562E" w14:paraId="0C3F860E" w14:textId="77777777" w:rsidTr="00162359">
        <w:trPr>
          <w:trHeight w:val="20"/>
        </w:trPr>
        <w:tc>
          <w:tcPr>
            <w:tcW w:w="363" w:type="pct"/>
            <w:tcBorders>
              <w:top w:val="nil"/>
              <w:left w:val="nil"/>
              <w:bottom w:val="nil"/>
              <w:right w:val="nil"/>
            </w:tcBorders>
            <w:shd w:val="clear" w:color="auto" w:fill="auto"/>
            <w:noWrap/>
            <w:vAlign w:val="center"/>
            <w:hideMark/>
          </w:tcPr>
          <w:p w14:paraId="0C3F85FF" w14:textId="77777777" w:rsidR="0015270F" w:rsidRPr="0095562E" w:rsidRDefault="0015270F" w:rsidP="0095562E">
            <w:pPr>
              <w:spacing w:before="0" w:after="0"/>
              <w:rPr>
                <w:rStyle w:val="BookTitle"/>
                <w:sz w:val="18"/>
                <w:szCs w:val="18"/>
              </w:rPr>
            </w:pPr>
            <w:r w:rsidRPr="0095562E">
              <w:rPr>
                <w:rStyle w:val="BookTitle"/>
                <w:sz w:val="18"/>
                <w:szCs w:val="18"/>
              </w:rPr>
              <w:t>TDN</w:t>
            </w:r>
          </w:p>
        </w:tc>
        <w:tc>
          <w:tcPr>
            <w:tcW w:w="327" w:type="pct"/>
            <w:tcBorders>
              <w:top w:val="nil"/>
              <w:left w:val="nil"/>
              <w:bottom w:val="nil"/>
              <w:right w:val="nil"/>
            </w:tcBorders>
            <w:shd w:val="clear" w:color="auto" w:fill="auto"/>
            <w:noWrap/>
            <w:vAlign w:val="center"/>
            <w:hideMark/>
          </w:tcPr>
          <w:p w14:paraId="0C3F8600"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80" w:type="pct"/>
            <w:tcBorders>
              <w:top w:val="nil"/>
              <w:left w:val="nil"/>
              <w:bottom w:val="nil"/>
              <w:right w:val="nil"/>
            </w:tcBorders>
            <w:shd w:val="clear" w:color="auto" w:fill="auto"/>
            <w:noWrap/>
            <w:vAlign w:val="center"/>
            <w:hideMark/>
          </w:tcPr>
          <w:p w14:paraId="0C3F8601"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7" w:type="pct"/>
            <w:tcBorders>
              <w:top w:val="nil"/>
              <w:left w:val="nil"/>
              <w:bottom w:val="nil"/>
              <w:right w:val="nil"/>
            </w:tcBorders>
            <w:shd w:val="clear" w:color="auto" w:fill="auto"/>
            <w:noWrap/>
            <w:vAlign w:val="center"/>
            <w:hideMark/>
          </w:tcPr>
          <w:p w14:paraId="0C3F8602"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603"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8" w:type="pct"/>
            <w:tcBorders>
              <w:top w:val="nil"/>
              <w:left w:val="nil"/>
              <w:bottom w:val="nil"/>
              <w:right w:val="nil"/>
            </w:tcBorders>
            <w:shd w:val="clear" w:color="auto" w:fill="auto"/>
            <w:noWrap/>
            <w:vAlign w:val="center"/>
            <w:hideMark/>
          </w:tcPr>
          <w:p w14:paraId="0C3F8604" w14:textId="77777777" w:rsidR="0015270F" w:rsidRPr="0095562E" w:rsidRDefault="0015270F" w:rsidP="0095562E">
            <w:pPr>
              <w:spacing w:before="0" w:after="0"/>
              <w:rPr>
                <w:rStyle w:val="BookTitle"/>
                <w:sz w:val="18"/>
                <w:szCs w:val="18"/>
              </w:rPr>
            </w:pPr>
            <w:r w:rsidRPr="0095562E">
              <w:rPr>
                <w:rStyle w:val="BookTitle"/>
                <w:sz w:val="18"/>
                <w:szCs w:val="18"/>
              </w:rPr>
              <w:t>0.02</w:t>
            </w:r>
          </w:p>
        </w:tc>
        <w:tc>
          <w:tcPr>
            <w:tcW w:w="328" w:type="pct"/>
            <w:tcBorders>
              <w:top w:val="nil"/>
              <w:left w:val="nil"/>
              <w:bottom w:val="nil"/>
              <w:right w:val="nil"/>
            </w:tcBorders>
            <w:shd w:val="clear" w:color="auto" w:fill="auto"/>
            <w:noWrap/>
            <w:vAlign w:val="center"/>
            <w:hideMark/>
          </w:tcPr>
          <w:p w14:paraId="0C3F8605" w14:textId="77777777" w:rsidR="0015270F" w:rsidRPr="0095562E" w:rsidRDefault="0015270F" w:rsidP="0095562E">
            <w:pPr>
              <w:spacing w:before="0" w:after="0"/>
              <w:rPr>
                <w:rStyle w:val="BookTitle"/>
                <w:sz w:val="18"/>
                <w:szCs w:val="18"/>
              </w:rPr>
            </w:pPr>
            <w:r w:rsidRPr="0095562E">
              <w:rPr>
                <w:rStyle w:val="BookTitle"/>
                <w:sz w:val="18"/>
                <w:szCs w:val="18"/>
              </w:rPr>
              <w:t>0.44</w:t>
            </w:r>
          </w:p>
        </w:tc>
        <w:tc>
          <w:tcPr>
            <w:tcW w:w="328" w:type="pct"/>
            <w:tcBorders>
              <w:top w:val="nil"/>
              <w:left w:val="nil"/>
              <w:bottom w:val="nil"/>
              <w:right w:val="nil"/>
            </w:tcBorders>
            <w:shd w:val="clear" w:color="auto" w:fill="auto"/>
            <w:noWrap/>
            <w:vAlign w:val="center"/>
            <w:hideMark/>
          </w:tcPr>
          <w:p w14:paraId="0C3F8606"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607" w14:textId="77777777" w:rsidR="0015270F" w:rsidRPr="0095562E" w:rsidRDefault="0015270F" w:rsidP="0095562E">
            <w:pPr>
              <w:spacing w:before="0" w:after="0"/>
              <w:rPr>
                <w:rStyle w:val="BookTitle"/>
                <w:sz w:val="18"/>
                <w:szCs w:val="18"/>
              </w:rPr>
            </w:pPr>
            <w:r w:rsidRPr="0095562E">
              <w:rPr>
                <w:rStyle w:val="BookTitle"/>
                <w:sz w:val="18"/>
                <w:szCs w:val="18"/>
              </w:rPr>
              <w:t>-0.22</w:t>
            </w:r>
          </w:p>
        </w:tc>
        <w:tc>
          <w:tcPr>
            <w:tcW w:w="328" w:type="pct"/>
            <w:tcBorders>
              <w:top w:val="nil"/>
              <w:left w:val="nil"/>
              <w:bottom w:val="nil"/>
              <w:right w:val="nil"/>
            </w:tcBorders>
            <w:shd w:val="clear" w:color="auto" w:fill="auto"/>
            <w:noWrap/>
            <w:vAlign w:val="center"/>
            <w:hideMark/>
          </w:tcPr>
          <w:p w14:paraId="0C3F8608" w14:textId="77777777" w:rsidR="0015270F" w:rsidRPr="0095562E" w:rsidRDefault="0015270F" w:rsidP="0095562E">
            <w:pPr>
              <w:spacing w:before="0" w:after="0"/>
              <w:rPr>
                <w:rStyle w:val="BookTitle"/>
                <w:sz w:val="18"/>
                <w:szCs w:val="18"/>
              </w:rPr>
            </w:pPr>
            <w:r w:rsidRPr="0095562E">
              <w:rPr>
                <w:rStyle w:val="BookTitle"/>
                <w:sz w:val="18"/>
                <w:szCs w:val="18"/>
              </w:rPr>
              <w:t>0.58</w:t>
            </w:r>
          </w:p>
        </w:tc>
        <w:tc>
          <w:tcPr>
            <w:tcW w:w="328" w:type="pct"/>
            <w:tcBorders>
              <w:top w:val="nil"/>
              <w:left w:val="nil"/>
              <w:bottom w:val="nil"/>
              <w:right w:val="nil"/>
            </w:tcBorders>
            <w:shd w:val="clear" w:color="auto" w:fill="auto"/>
            <w:noWrap/>
            <w:vAlign w:val="center"/>
            <w:hideMark/>
          </w:tcPr>
          <w:p w14:paraId="0C3F8609" w14:textId="77777777" w:rsidR="0015270F" w:rsidRPr="0095562E" w:rsidRDefault="0015270F" w:rsidP="0095562E">
            <w:pPr>
              <w:spacing w:before="0" w:after="0"/>
              <w:rPr>
                <w:rStyle w:val="BookTitle"/>
                <w:sz w:val="18"/>
                <w:szCs w:val="18"/>
              </w:rPr>
            </w:pPr>
            <w:r w:rsidRPr="0095562E">
              <w:rPr>
                <w:rStyle w:val="BookTitle"/>
                <w:sz w:val="18"/>
                <w:szCs w:val="18"/>
              </w:rPr>
              <w:t>0.48</w:t>
            </w:r>
          </w:p>
        </w:tc>
        <w:tc>
          <w:tcPr>
            <w:tcW w:w="328" w:type="pct"/>
            <w:tcBorders>
              <w:top w:val="nil"/>
              <w:left w:val="nil"/>
              <w:bottom w:val="nil"/>
              <w:right w:val="nil"/>
            </w:tcBorders>
            <w:shd w:val="clear" w:color="auto" w:fill="auto"/>
            <w:noWrap/>
            <w:vAlign w:val="center"/>
            <w:hideMark/>
          </w:tcPr>
          <w:p w14:paraId="0C3F860A"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8" w:type="pct"/>
            <w:tcBorders>
              <w:top w:val="nil"/>
              <w:left w:val="nil"/>
              <w:bottom w:val="nil"/>
              <w:right w:val="nil"/>
            </w:tcBorders>
            <w:shd w:val="clear" w:color="auto" w:fill="auto"/>
            <w:noWrap/>
            <w:vAlign w:val="center"/>
            <w:hideMark/>
          </w:tcPr>
          <w:p w14:paraId="0C3F860B"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8" w:type="pct"/>
            <w:tcBorders>
              <w:top w:val="nil"/>
              <w:left w:val="nil"/>
              <w:bottom w:val="nil"/>
              <w:right w:val="nil"/>
            </w:tcBorders>
            <w:shd w:val="clear" w:color="auto" w:fill="auto"/>
            <w:noWrap/>
            <w:vAlign w:val="center"/>
            <w:hideMark/>
          </w:tcPr>
          <w:p w14:paraId="0C3F860C"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8" w:type="pct"/>
            <w:tcBorders>
              <w:top w:val="nil"/>
              <w:left w:val="nil"/>
              <w:bottom w:val="nil"/>
              <w:right w:val="nil"/>
            </w:tcBorders>
            <w:shd w:val="clear" w:color="auto" w:fill="auto"/>
            <w:noWrap/>
            <w:vAlign w:val="center"/>
            <w:hideMark/>
          </w:tcPr>
          <w:p w14:paraId="0C3F860D" w14:textId="77777777" w:rsidR="0015270F" w:rsidRPr="0095562E" w:rsidRDefault="0015270F" w:rsidP="0095562E">
            <w:pPr>
              <w:spacing w:before="0" w:after="0"/>
              <w:rPr>
                <w:rStyle w:val="BookTitle"/>
                <w:sz w:val="18"/>
                <w:szCs w:val="18"/>
              </w:rPr>
            </w:pPr>
            <w:r w:rsidRPr="0095562E">
              <w:rPr>
                <w:rStyle w:val="BookTitle"/>
                <w:sz w:val="18"/>
                <w:szCs w:val="18"/>
              </w:rPr>
              <w:t>0.14</w:t>
            </w:r>
          </w:p>
        </w:tc>
      </w:tr>
      <w:tr w:rsidR="0015270F" w:rsidRPr="0095562E" w14:paraId="0C3F861E" w14:textId="77777777" w:rsidTr="00162359">
        <w:trPr>
          <w:trHeight w:val="20"/>
        </w:trPr>
        <w:tc>
          <w:tcPr>
            <w:tcW w:w="363" w:type="pct"/>
            <w:tcBorders>
              <w:top w:val="nil"/>
              <w:left w:val="nil"/>
              <w:bottom w:val="nil"/>
              <w:right w:val="nil"/>
            </w:tcBorders>
            <w:shd w:val="clear" w:color="auto" w:fill="auto"/>
            <w:noWrap/>
            <w:vAlign w:val="center"/>
            <w:hideMark/>
          </w:tcPr>
          <w:p w14:paraId="0C3F860F" w14:textId="77777777" w:rsidR="0015270F" w:rsidRPr="0095562E" w:rsidRDefault="0015270F" w:rsidP="0095562E">
            <w:pPr>
              <w:spacing w:before="0" w:after="0"/>
              <w:rPr>
                <w:rStyle w:val="BookTitle"/>
                <w:sz w:val="18"/>
                <w:szCs w:val="18"/>
              </w:rPr>
            </w:pPr>
            <w:r w:rsidRPr="0095562E">
              <w:rPr>
                <w:rStyle w:val="BookTitle"/>
                <w:sz w:val="18"/>
                <w:szCs w:val="18"/>
              </w:rPr>
              <w:t>DIN</w:t>
            </w:r>
          </w:p>
        </w:tc>
        <w:tc>
          <w:tcPr>
            <w:tcW w:w="327" w:type="pct"/>
            <w:tcBorders>
              <w:top w:val="nil"/>
              <w:left w:val="nil"/>
              <w:bottom w:val="nil"/>
              <w:right w:val="nil"/>
            </w:tcBorders>
            <w:shd w:val="clear" w:color="auto" w:fill="auto"/>
            <w:noWrap/>
            <w:vAlign w:val="center"/>
            <w:hideMark/>
          </w:tcPr>
          <w:p w14:paraId="0C3F8610"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80" w:type="pct"/>
            <w:tcBorders>
              <w:top w:val="nil"/>
              <w:left w:val="nil"/>
              <w:bottom w:val="nil"/>
              <w:right w:val="nil"/>
            </w:tcBorders>
            <w:shd w:val="clear" w:color="auto" w:fill="auto"/>
            <w:noWrap/>
            <w:vAlign w:val="center"/>
            <w:hideMark/>
          </w:tcPr>
          <w:p w14:paraId="0C3F8611"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7" w:type="pct"/>
            <w:tcBorders>
              <w:top w:val="nil"/>
              <w:left w:val="nil"/>
              <w:bottom w:val="nil"/>
              <w:right w:val="nil"/>
            </w:tcBorders>
            <w:shd w:val="clear" w:color="auto" w:fill="auto"/>
            <w:noWrap/>
            <w:vAlign w:val="center"/>
            <w:hideMark/>
          </w:tcPr>
          <w:p w14:paraId="0C3F8612"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613" w14:textId="77777777" w:rsidR="0015270F" w:rsidRPr="0095562E" w:rsidRDefault="0015270F" w:rsidP="0095562E">
            <w:pPr>
              <w:spacing w:before="0" w:after="0"/>
              <w:rPr>
                <w:rStyle w:val="BookTitle"/>
                <w:sz w:val="18"/>
                <w:szCs w:val="18"/>
              </w:rPr>
            </w:pPr>
            <w:r w:rsidRPr="0095562E">
              <w:rPr>
                <w:rStyle w:val="BookTitle"/>
                <w:sz w:val="18"/>
                <w:szCs w:val="18"/>
              </w:rPr>
              <w:t>0.00</w:t>
            </w:r>
          </w:p>
        </w:tc>
        <w:tc>
          <w:tcPr>
            <w:tcW w:w="328" w:type="pct"/>
            <w:tcBorders>
              <w:top w:val="nil"/>
              <w:left w:val="nil"/>
              <w:bottom w:val="nil"/>
              <w:right w:val="nil"/>
            </w:tcBorders>
            <w:shd w:val="clear" w:color="auto" w:fill="auto"/>
            <w:noWrap/>
            <w:vAlign w:val="center"/>
            <w:hideMark/>
          </w:tcPr>
          <w:p w14:paraId="0C3F8614"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8" w:type="pct"/>
            <w:tcBorders>
              <w:top w:val="nil"/>
              <w:left w:val="nil"/>
              <w:bottom w:val="nil"/>
              <w:right w:val="nil"/>
            </w:tcBorders>
            <w:shd w:val="clear" w:color="auto" w:fill="auto"/>
            <w:noWrap/>
            <w:vAlign w:val="center"/>
            <w:hideMark/>
          </w:tcPr>
          <w:p w14:paraId="0C3F8615" w14:textId="77777777" w:rsidR="0015270F" w:rsidRPr="0095562E" w:rsidRDefault="0015270F" w:rsidP="0095562E">
            <w:pPr>
              <w:spacing w:before="0" w:after="0"/>
              <w:rPr>
                <w:rStyle w:val="BookTitle"/>
                <w:sz w:val="18"/>
                <w:szCs w:val="18"/>
              </w:rPr>
            </w:pPr>
            <w:r w:rsidRPr="0095562E">
              <w:rPr>
                <w:rStyle w:val="BookTitle"/>
                <w:sz w:val="18"/>
                <w:szCs w:val="18"/>
              </w:rPr>
              <w:t>-0.32</w:t>
            </w:r>
          </w:p>
        </w:tc>
        <w:tc>
          <w:tcPr>
            <w:tcW w:w="328" w:type="pct"/>
            <w:tcBorders>
              <w:top w:val="nil"/>
              <w:left w:val="nil"/>
              <w:bottom w:val="nil"/>
              <w:right w:val="nil"/>
            </w:tcBorders>
            <w:shd w:val="clear" w:color="auto" w:fill="auto"/>
            <w:noWrap/>
            <w:vAlign w:val="center"/>
            <w:hideMark/>
          </w:tcPr>
          <w:p w14:paraId="0C3F8616" w14:textId="77777777" w:rsidR="0015270F" w:rsidRPr="0095562E" w:rsidRDefault="0015270F" w:rsidP="0095562E">
            <w:pPr>
              <w:spacing w:before="0" w:after="0"/>
              <w:rPr>
                <w:rStyle w:val="BookTitle"/>
                <w:sz w:val="18"/>
                <w:szCs w:val="18"/>
              </w:rPr>
            </w:pPr>
            <w:r w:rsidRPr="0095562E">
              <w:rPr>
                <w:rStyle w:val="BookTitle"/>
                <w:sz w:val="18"/>
                <w:szCs w:val="18"/>
              </w:rPr>
              <w:t>-0.22</w:t>
            </w:r>
          </w:p>
        </w:tc>
        <w:tc>
          <w:tcPr>
            <w:tcW w:w="328" w:type="pct"/>
            <w:tcBorders>
              <w:top w:val="nil"/>
              <w:left w:val="nil"/>
              <w:bottom w:val="nil"/>
              <w:right w:val="nil"/>
            </w:tcBorders>
            <w:shd w:val="clear" w:color="auto" w:fill="auto"/>
            <w:noWrap/>
            <w:vAlign w:val="center"/>
            <w:hideMark/>
          </w:tcPr>
          <w:p w14:paraId="0C3F8617"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618"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8" w:type="pct"/>
            <w:tcBorders>
              <w:top w:val="nil"/>
              <w:left w:val="nil"/>
              <w:bottom w:val="nil"/>
              <w:right w:val="nil"/>
            </w:tcBorders>
            <w:shd w:val="clear" w:color="auto" w:fill="auto"/>
            <w:noWrap/>
            <w:vAlign w:val="center"/>
            <w:hideMark/>
          </w:tcPr>
          <w:p w14:paraId="0C3F8619" w14:textId="77777777" w:rsidR="0015270F" w:rsidRPr="0095562E" w:rsidRDefault="0015270F" w:rsidP="0095562E">
            <w:pPr>
              <w:spacing w:before="0" w:after="0"/>
              <w:rPr>
                <w:rStyle w:val="BookTitle"/>
                <w:sz w:val="18"/>
                <w:szCs w:val="18"/>
              </w:rPr>
            </w:pPr>
            <w:r w:rsidRPr="0095562E">
              <w:rPr>
                <w:rStyle w:val="BookTitle"/>
                <w:sz w:val="18"/>
                <w:szCs w:val="18"/>
              </w:rPr>
              <w:t>-0.01</w:t>
            </w:r>
          </w:p>
        </w:tc>
        <w:tc>
          <w:tcPr>
            <w:tcW w:w="328" w:type="pct"/>
            <w:tcBorders>
              <w:top w:val="nil"/>
              <w:left w:val="nil"/>
              <w:bottom w:val="nil"/>
              <w:right w:val="nil"/>
            </w:tcBorders>
            <w:shd w:val="clear" w:color="auto" w:fill="auto"/>
            <w:noWrap/>
            <w:vAlign w:val="center"/>
            <w:hideMark/>
          </w:tcPr>
          <w:p w14:paraId="0C3F861A"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61B"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61C"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8" w:type="pct"/>
            <w:tcBorders>
              <w:top w:val="nil"/>
              <w:left w:val="nil"/>
              <w:bottom w:val="nil"/>
              <w:right w:val="nil"/>
            </w:tcBorders>
            <w:shd w:val="clear" w:color="auto" w:fill="auto"/>
            <w:noWrap/>
            <w:vAlign w:val="center"/>
            <w:hideMark/>
          </w:tcPr>
          <w:p w14:paraId="0C3F861D" w14:textId="77777777" w:rsidR="0015270F" w:rsidRPr="0095562E" w:rsidRDefault="0015270F" w:rsidP="0095562E">
            <w:pPr>
              <w:spacing w:before="0" w:after="0"/>
              <w:rPr>
                <w:rStyle w:val="BookTitle"/>
                <w:sz w:val="18"/>
                <w:szCs w:val="18"/>
              </w:rPr>
            </w:pPr>
            <w:r w:rsidRPr="0095562E">
              <w:rPr>
                <w:rStyle w:val="BookTitle"/>
                <w:sz w:val="18"/>
                <w:szCs w:val="18"/>
              </w:rPr>
              <w:t>0.23</w:t>
            </w:r>
          </w:p>
        </w:tc>
      </w:tr>
      <w:tr w:rsidR="0015270F" w:rsidRPr="0095562E" w14:paraId="0C3F862E" w14:textId="77777777" w:rsidTr="00162359">
        <w:trPr>
          <w:trHeight w:val="20"/>
        </w:trPr>
        <w:tc>
          <w:tcPr>
            <w:tcW w:w="363" w:type="pct"/>
            <w:tcBorders>
              <w:top w:val="nil"/>
              <w:left w:val="nil"/>
              <w:bottom w:val="nil"/>
              <w:right w:val="nil"/>
            </w:tcBorders>
            <w:shd w:val="clear" w:color="auto" w:fill="auto"/>
            <w:noWrap/>
            <w:vAlign w:val="center"/>
            <w:hideMark/>
          </w:tcPr>
          <w:p w14:paraId="0C3F861F" w14:textId="77777777" w:rsidR="0015270F" w:rsidRPr="0095562E" w:rsidRDefault="0015270F" w:rsidP="0095562E">
            <w:pPr>
              <w:spacing w:before="0" w:after="0"/>
              <w:rPr>
                <w:rStyle w:val="BookTitle"/>
                <w:sz w:val="18"/>
                <w:szCs w:val="18"/>
              </w:rPr>
            </w:pPr>
            <w:r w:rsidRPr="0095562E">
              <w:rPr>
                <w:rStyle w:val="BookTitle"/>
                <w:sz w:val="18"/>
                <w:szCs w:val="18"/>
              </w:rPr>
              <w:t>TP</w:t>
            </w:r>
          </w:p>
        </w:tc>
        <w:tc>
          <w:tcPr>
            <w:tcW w:w="327" w:type="pct"/>
            <w:tcBorders>
              <w:top w:val="nil"/>
              <w:left w:val="nil"/>
              <w:bottom w:val="nil"/>
              <w:right w:val="nil"/>
            </w:tcBorders>
            <w:shd w:val="clear" w:color="auto" w:fill="auto"/>
            <w:noWrap/>
            <w:vAlign w:val="center"/>
            <w:hideMark/>
          </w:tcPr>
          <w:p w14:paraId="0C3F8620"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80" w:type="pct"/>
            <w:tcBorders>
              <w:top w:val="nil"/>
              <w:left w:val="nil"/>
              <w:bottom w:val="nil"/>
              <w:right w:val="nil"/>
            </w:tcBorders>
            <w:shd w:val="clear" w:color="auto" w:fill="auto"/>
            <w:noWrap/>
            <w:vAlign w:val="center"/>
            <w:hideMark/>
          </w:tcPr>
          <w:p w14:paraId="0C3F8621"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27" w:type="pct"/>
            <w:tcBorders>
              <w:top w:val="nil"/>
              <w:left w:val="nil"/>
              <w:bottom w:val="nil"/>
              <w:right w:val="nil"/>
            </w:tcBorders>
            <w:shd w:val="clear" w:color="auto" w:fill="auto"/>
            <w:noWrap/>
            <w:vAlign w:val="center"/>
            <w:hideMark/>
          </w:tcPr>
          <w:p w14:paraId="0C3F8622" w14:textId="77777777" w:rsidR="0015270F" w:rsidRPr="0095562E" w:rsidRDefault="0015270F" w:rsidP="0095562E">
            <w:pPr>
              <w:spacing w:before="0" w:after="0"/>
              <w:rPr>
                <w:rStyle w:val="BookTitle"/>
                <w:sz w:val="18"/>
                <w:szCs w:val="18"/>
              </w:rPr>
            </w:pPr>
            <w:r w:rsidRPr="0095562E">
              <w:rPr>
                <w:rStyle w:val="BookTitle"/>
                <w:sz w:val="18"/>
                <w:szCs w:val="18"/>
              </w:rPr>
              <w:t>-0.16</w:t>
            </w:r>
          </w:p>
        </w:tc>
        <w:tc>
          <w:tcPr>
            <w:tcW w:w="328" w:type="pct"/>
            <w:tcBorders>
              <w:top w:val="nil"/>
              <w:left w:val="nil"/>
              <w:bottom w:val="nil"/>
              <w:right w:val="nil"/>
            </w:tcBorders>
            <w:shd w:val="clear" w:color="auto" w:fill="auto"/>
            <w:noWrap/>
            <w:vAlign w:val="center"/>
            <w:hideMark/>
          </w:tcPr>
          <w:p w14:paraId="0C3F8623"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nil"/>
              <w:right w:val="nil"/>
            </w:tcBorders>
            <w:shd w:val="clear" w:color="auto" w:fill="auto"/>
            <w:noWrap/>
            <w:vAlign w:val="center"/>
            <w:hideMark/>
          </w:tcPr>
          <w:p w14:paraId="0C3F8624" w14:textId="77777777" w:rsidR="0015270F" w:rsidRPr="0095562E" w:rsidRDefault="0015270F" w:rsidP="0095562E">
            <w:pPr>
              <w:spacing w:before="0" w:after="0"/>
              <w:rPr>
                <w:rStyle w:val="BookTitle"/>
                <w:sz w:val="18"/>
                <w:szCs w:val="18"/>
              </w:rPr>
            </w:pPr>
            <w:r w:rsidRPr="0095562E">
              <w:rPr>
                <w:rStyle w:val="BookTitle"/>
                <w:sz w:val="18"/>
                <w:szCs w:val="18"/>
              </w:rPr>
              <w:t>-0.03</w:t>
            </w:r>
          </w:p>
        </w:tc>
        <w:tc>
          <w:tcPr>
            <w:tcW w:w="328" w:type="pct"/>
            <w:tcBorders>
              <w:top w:val="nil"/>
              <w:left w:val="nil"/>
              <w:bottom w:val="nil"/>
              <w:right w:val="nil"/>
            </w:tcBorders>
            <w:shd w:val="clear" w:color="auto" w:fill="auto"/>
            <w:noWrap/>
            <w:vAlign w:val="center"/>
            <w:hideMark/>
          </w:tcPr>
          <w:p w14:paraId="0C3F8625"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626" w14:textId="77777777" w:rsidR="0015270F" w:rsidRPr="0095562E" w:rsidRDefault="0015270F" w:rsidP="0095562E">
            <w:pPr>
              <w:spacing w:before="0" w:after="0"/>
              <w:rPr>
                <w:rStyle w:val="BookTitle"/>
                <w:sz w:val="18"/>
                <w:szCs w:val="18"/>
              </w:rPr>
            </w:pPr>
            <w:r w:rsidRPr="0095562E">
              <w:rPr>
                <w:rStyle w:val="BookTitle"/>
                <w:sz w:val="18"/>
                <w:szCs w:val="18"/>
              </w:rPr>
              <w:t>0.58</w:t>
            </w:r>
          </w:p>
        </w:tc>
        <w:tc>
          <w:tcPr>
            <w:tcW w:w="328" w:type="pct"/>
            <w:tcBorders>
              <w:top w:val="nil"/>
              <w:left w:val="nil"/>
              <w:bottom w:val="nil"/>
              <w:right w:val="nil"/>
            </w:tcBorders>
            <w:shd w:val="clear" w:color="auto" w:fill="auto"/>
            <w:noWrap/>
            <w:vAlign w:val="center"/>
            <w:hideMark/>
          </w:tcPr>
          <w:p w14:paraId="0C3F8627" w14:textId="77777777" w:rsidR="0015270F" w:rsidRPr="0095562E" w:rsidRDefault="0015270F" w:rsidP="0095562E">
            <w:pPr>
              <w:spacing w:before="0" w:after="0"/>
              <w:rPr>
                <w:rStyle w:val="BookTitle"/>
                <w:sz w:val="18"/>
                <w:szCs w:val="18"/>
              </w:rPr>
            </w:pPr>
            <w:r w:rsidRPr="0095562E">
              <w:rPr>
                <w:rStyle w:val="BookTitle"/>
                <w:sz w:val="18"/>
                <w:szCs w:val="18"/>
              </w:rPr>
              <w:t>0.21</w:t>
            </w:r>
          </w:p>
        </w:tc>
        <w:tc>
          <w:tcPr>
            <w:tcW w:w="328" w:type="pct"/>
            <w:tcBorders>
              <w:top w:val="nil"/>
              <w:left w:val="nil"/>
              <w:bottom w:val="nil"/>
              <w:right w:val="nil"/>
            </w:tcBorders>
            <w:shd w:val="clear" w:color="auto" w:fill="auto"/>
            <w:noWrap/>
            <w:vAlign w:val="center"/>
            <w:hideMark/>
          </w:tcPr>
          <w:p w14:paraId="0C3F8628"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000000" w:fill="FFFF00"/>
            <w:noWrap/>
            <w:vAlign w:val="center"/>
            <w:hideMark/>
          </w:tcPr>
          <w:p w14:paraId="0C3F8629" w14:textId="77777777" w:rsidR="0015270F" w:rsidRPr="0095562E" w:rsidRDefault="0015270F" w:rsidP="0095562E">
            <w:pPr>
              <w:spacing w:before="0" w:after="0"/>
              <w:rPr>
                <w:rStyle w:val="BookTitle"/>
                <w:sz w:val="18"/>
                <w:szCs w:val="18"/>
              </w:rPr>
            </w:pPr>
            <w:r w:rsidRPr="0095562E">
              <w:rPr>
                <w:rStyle w:val="BookTitle"/>
                <w:sz w:val="18"/>
                <w:szCs w:val="18"/>
              </w:rPr>
              <w:t>0.62</w:t>
            </w:r>
          </w:p>
        </w:tc>
        <w:tc>
          <w:tcPr>
            <w:tcW w:w="328" w:type="pct"/>
            <w:tcBorders>
              <w:top w:val="nil"/>
              <w:left w:val="nil"/>
              <w:bottom w:val="nil"/>
              <w:right w:val="nil"/>
            </w:tcBorders>
            <w:shd w:val="clear" w:color="auto" w:fill="auto"/>
            <w:noWrap/>
            <w:vAlign w:val="center"/>
            <w:hideMark/>
          </w:tcPr>
          <w:p w14:paraId="0C3F862A"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auto" w:fill="auto"/>
            <w:noWrap/>
            <w:vAlign w:val="center"/>
            <w:hideMark/>
          </w:tcPr>
          <w:p w14:paraId="0C3F862B"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8" w:type="pct"/>
            <w:tcBorders>
              <w:top w:val="nil"/>
              <w:left w:val="nil"/>
              <w:bottom w:val="nil"/>
              <w:right w:val="nil"/>
            </w:tcBorders>
            <w:shd w:val="clear" w:color="auto" w:fill="auto"/>
            <w:noWrap/>
            <w:vAlign w:val="center"/>
            <w:hideMark/>
          </w:tcPr>
          <w:p w14:paraId="0C3F862C"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8" w:type="pct"/>
            <w:tcBorders>
              <w:top w:val="nil"/>
              <w:left w:val="nil"/>
              <w:bottom w:val="nil"/>
              <w:right w:val="nil"/>
            </w:tcBorders>
            <w:shd w:val="clear" w:color="auto" w:fill="auto"/>
            <w:noWrap/>
            <w:vAlign w:val="center"/>
            <w:hideMark/>
          </w:tcPr>
          <w:p w14:paraId="0C3F862D" w14:textId="77777777" w:rsidR="0015270F" w:rsidRPr="0095562E" w:rsidRDefault="0015270F" w:rsidP="0095562E">
            <w:pPr>
              <w:spacing w:before="0" w:after="0"/>
              <w:rPr>
                <w:rStyle w:val="BookTitle"/>
                <w:sz w:val="18"/>
                <w:szCs w:val="18"/>
              </w:rPr>
            </w:pPr>
            <w:r w:rsidRPr="0095562E">
              <w:rPr>
                <w:rStyle w:val="BookTitle"/>
                <w:sz w:val="18"/>
                <w:szCs w:val="18"/>
              </w:rPr>
              <w:t>0.36</w:t>
            </w:r>
          </w:p>
        </w:tc>
      </w:tr>
      <w:tr w:rsidR="0015270F" w:rsidRPr="0095562E" w14:paraId="0C3F863E" w14:textId="77777777" w:rsidTr="00162359">
        <w:trPr>
          <w:trHeight w:val="20"/>
        </w:trPr>
        <w:tc>
          <w:tcPr>
            <w:tcW w:w="363" w:type="pct"/>
            <w:tcBorders>
              <w:top w:val="nil"/>
              <w:left w:val="nil"/>
              <w:bottom w:val="nil"/>
              <w:right w:val="nil"/>
            </w:tcBorders>
            <w:shd w:val="clear" w:color="auto" w:fill="auto"/>
            <w:noWrap/>
            <w:vAlign w:val="center"/>
            <w:hideMark/>
          </w:tcPr>
          <w:p w14:paraId="0C3F862F" w14:textId="77777777" w:rsidR="0015270F" w:rsidRPr="0095562E" w:rsidRDefault="0015270F" w:rsidP="0095562E">
            <w:pPr>
              <w:spacing w:before="0" w:after="0"/>
              <w:rPr>
                <w:rStyle w:val="BookTitle"/>
                <w:sz w:val="18"/>
                <w:szCs w:val="18"/>
              </w:rPr>
            </w:pPr>
            <w:r w:rsidRPr="0095562E">
              <w:rPr>
                <w:rStyle w:val="BookTitle"/>
                <w:sz w:val="18"/>
                <w:szCs w:val="18"/>
              </w:rPr>
              <w:t>TDP</w:t>
            </w:r>
          </w:p>
        </w:tc>
        <w:tc>
          <w:tcPr>
            <w:tcW w:w="327" w:type="pct"/>
            <w:tcBorders>
              <w:top w:val="nil"/>
              <w:left w:val="nil"/>
              <w:bottom w:val="nil"/>
              <w:right w:val="nil"/>
            </w:tcBorders>
            <w:shd w:val="clear" w:color="auto" w:fill="auto"/>
            <w:noWrap/>
            <w:vAlign w:val="center"/>
            <w:hideMark/>
          </w:tcPr>
          <w:p w14:paraId="0C3F8630" w14:textId="77777777" w:rsidR="0015270F" w:rsidRPr="0095562E" w:rsidRDefault="0015270F" w:rsidP="0095562E">
            <w:pPr>
              <w:spacing w:before="0" w:after="0"/>
              <w:rPr>
                <w:rStyle w:val="BookTitle"/>
                <w:sz w:val="18"/>
                <w:szCs w:val="18"/>
              </w:rPr>
            </w:pPr>
            <w:r w:rsidRPr="0095562E">
              <w:rPr>
                <w:rStyle w:val="BookTitle"/>
                <w:sz w:val="18"/>
                <w:szCs w:val="18"/>
              </w:rPr>
              <w:t>-0.27</w:t>
            </w:r>
          </w:p>
        </w:tc>
        <w:tc>
          <w:tcPr>
            <w:tcW w:w="380" w:type="pct"/>
            <w:tcBorders>
              <w:top w:val="nil"/>
              <w:left w:val="nil"/>
              <w:bottom w:val="nil"/>
              <w:right w:val="nil"/>
            </w:tcBorders>
            <w:shd w:val="clear" w:color="auto" w:fill="auto"/>
            <w:noWrap/>
            <w:vAlign w:val="center"/>
            <w:hideMark/>
          </w:tcPr>
          <w:p w14:paraId="0C3F8631"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7" w:type="pct"/>
            <w:tcBorders>
              <w:top w:val="nil"/>
              <w:left w:val="nil"/>
              <w:bottom w:val="nil"/>
              <w:right w:val="nil"/>
            </w:tcBorders>
            <w:shd w:val="clear" w:color="auto" w:fill="auto"/>
            <w:noWrap/>
            <w:vAlign w:val="center"/>
            <w:hideMark/>
          </w:tcPr>
          <w:p w14:paraId="0C3F8632" w14:textId="77777777" w:rsidR="0015270F" w:rsidRPr="0095562E" w:rsidRDefault="0015270F" w:rsidP="0095562E">
            <w:pPr>
              <w:spacing w:before="0" w:after="0"/>
              <w:rPr>
                <w:rStyle w:val="BookTitle"/>
                <w:sz w:val="18"/>
                <w:szCs w:val="18"/>
              </w:rPr>
            </w:pPr>
            <w:r w:rsidRPr="0095562E">
              <w:rPr>
                <w:rStyle w:val="BookTitle"/>
                <w:sz w:val="18"/>
                <w:szCs w:val="18"/>
              </w:rPr>
              <w:t>-0.05</w:t>
            </w:r>
          </w:p>
        </w:tc>
        <w:tc>
          <w:tcPr>
            <w:tcW w:w="328" w:type="pct"/>
            <w:tcBorders>
              <w:top w:val="nil"/>
              <w:left w:val="nil"/>
              <w:bottom w:val="nil"/>
              <w:right w:val="nil"/>
            </w:tcBorders>
            <w:shd w:val="clear" w:color="auto" w:fill="auto"/>
            <w:noWrap/>
            <w:vAlign w:val="center"/>
            <w:hideMark/>
          </w:tcPr>
          <w:p w14:paraId="0C3F8633"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634" w14:textId="77777777" w:rsidR="0015270F" w:rsidRPr="0095562E" w:rsidRDefault="0015270F" w:rsidP="0095562E">
            <w:pPr>
              <w:spacing w:before="0" w:after="0"/>
              <w:rPr>
                <w:rStyle w:val="BookTitle"/>
                <w:sz w:val="18"/>
                <w:szCs w:val="18"/>
              </w:rPr>
            </w:pPr>
            <w:r w:rsidRPr="0095562E">
              <w:rPr>
                <w:rStyle w:val="BookTitle"/>
                <w:sz w:val="18"/>
                <w:szCs w:val="18"/>
              </w:rPr>
              <w:t>-0.11</w:t>
            </w:r>
          </w:p>
        </w:tc>
        <w:tc>
          <w:tcPr>
            <w:tcW w:w="328" w:type="pct"/>
            <w:tcBorders>
              <w:top w:val="nil"/>
              <w:left w:val="nil"/>
              <w:bottom w:val="nil"/>
              <w:right w:val="nil"/>
            </w:tcBorders>
            <w:shd w:val="clear" w:color="auto" w:fill="auto"/>
            <w:noWrap/>
            <w:vAlign w:val="center"/>
            <w:hideMark/>
          </w:tcPr>
          <w:p w14:paraId="0C3F8635" w14:textId="77777777" w:rsidR="0015270F" w:rsidRPr="0095562E" w:rsidRDefault="0015270F" w:rsidP="0095562E">
            <w:pPr>
              <w:spacing w:before="0" w:after="0"/>
              <w:rPr>
                <w:rStyle w:val="BookTitle"/>
                <w:sz w:val="18"/>
                <w:szCs w:val="18"/>
              </w:rPr>
            </w:pPr>
            <w:r w:rsidRPr="0095562E">
              <w:rPr>
                <w:rStyle w:val="BookTitle"/>
                <w:sz w:val="18"/>
                <w:szCs w:val="18"/>
              </w:rPr>
              <w:t>0.04</w:t>
            </w:r>
          </w:p>
        </w:tc>
        <w:tc>
          <w:tcPr>
            <w:tcW w:w="328" w:type="pct"/>
            <w:tcBorders>
              <w:top w:val="nil"/>
              <w:left w:val="nil"/>
              <w:bottom w:val="nil"/>
              <w:right w:val="nil"/>
            </w:tcBorders>
            <w:shd w:val="clear" w:color="auto" w:fill="auto"/>
            <w:noWrap/>
            <w:vAlign w:val="center"/>
            <w:hideMark/>
          </w:tcPr>
          <w:p w14:paraId="0C3F8636" w14:textId="77777777" w:rsidR="0015270F" w:rsidRPr="0095562E" w:rsidRDefault="0015270F" w:rsidP="0095562E">
            <w:pPr>
              <w:spacing w:before="0" w:after="0"/>
              <w:rPr>
                <w:rStyle w:val="BookTitle"/>
                <w:sz w:val="18"/>
                <w:szCs w:val="18"/>
              </w:rPr>
            </w:pPr>
            <w:r w:rsidRPr="0095562E">
              <w:rPr>
                <w:rStyle w:val="BookTitle"/>
                <w:sz w:val="18"/>
                <w:szCs w:val="18"/>
              </w:rPr>
              <w:t>0.48</w:t>
            </w:r>
          </w:p>
        </w:tc>
        <w:tc>
          <w:tcPr>
            <w:tcW w:w="328" w:type="pct"/>
            <w:tcBorders>
              <w:top w:val="nil"/>
              <w:left w:val="nil"/>
              <w:bottom w:val="nil"/>
              <w:right w:val="nil"/>
            </w:tcBorders>
            <w:shd w:val="clear" w:color="auto" w:fill="auto"/>
            <w:noWrap/>
            <w:vAlign w:val="center"/>
            <w:hideMark/>
          </w:tcPr>
          <w:p w14:paraId="0C3F8637" w14:textId="77777777" w:rsidR="0015270F" w:rsidRPr="0095562E" w:rsidRDefault="0015270F" w:rsidP="0095562E">
            <w:pPr>
              <w:spacing w:before="0" w:after="0"/>
              <w:rPr>
                <w:rStyle w:val="BookTitle"/>
                <w:sz w:val="18"/>
                <w:szCs w:val="18"/>
              </w:rPr>
            </w:pPr>
            <w:r w:rsidRPr="0095562E">
              <w:rPr>
                <w:rStyle w:val="BookTitle"/>
                <w:sz w:val="18"/>
                <w:szCs w:val="18"/>
              </w:rPr>
              <w:t>-0.01</w:t>
            </w:r>
          </w:p>
        </w:tc>
        <w:tc>
          <w:tcPr>
            <w:tcW w:w="328" w:type="pct"/>
            <w:tcBorders>
              <w:top w:val="nil"/>
              <w:left w:val="nil"/>
              <w:bottom w:val="nil"/>
              <w:right w:val="nil"/>
            </w:tcBorders>
            <w:shd w:val="clear" w:color="000000" w:fill="FFFF00"/>
            <w:noWrap/>
            <w:vAlign w:val="center"/>
            <w:hideMark/>
          </w:tcPr>
          <w:p w14:paraId="0C3F8638" w14:textId="77777777" w:rsidR="0015270F" w:rsidRPr="0095562E" w:rsidRDefault="0015270F" w:rsidP="0095562E">
            <w:pPr>
              <w:spacing w:before="0" w:after="0"/>
              <w:rPr>
                <w:rStyle w:val="BookTitle"/>
                <w:sz w:val="18"/>
                <w:szCs w:val="18"/>
              </w:rPr>
            </w:pPr>
            <w:r w:rsidRPr="0095562E">
              <w:rPr>
                <w:rStyle w:val="BookTitle"/>
                <w:sz w:val="18"/>
                <w:szCs w:val="18"/>
              </w:rPr>
              <w:t>0.62</w:t>
            </w:r>
          </w:p>
        </w:tc>
        <w:tc>
          <w:tcPr>
            <w:tcW w:w="328" w:type="pct"/>
            <w:tcBorders>
              <w:top w:val="nil"/>
              <w:left w:val="nil"/>
              <w:bottom w:val="nil"/>
              <w:right w:val="nil"/>
            </w:tcBorders>
            <w:shd w:val="clear" w:color="auto" w:fill="auto"/>
            <w:noWrap/>
            <w:vAlign w:val="center"/>
            <w:hideMark/>
          </w:tcPr>
          <w:p w14:paraId="0C3F8639"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63A"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8" w:type="pct"/>
            <w:tcBorders>
              <w:top w:val="nil"/>
              <w:left w:val="nil"/>
              <w:bottom w:val="nil"/>
              <w:right w:val="nil"/>
            </w:tcBorders>
            <w:shd w:val="clear" w:color="auto" w:fill="auto"/>
            <w:noWrap/>
            <w:vAlign w:val="center"/>
            <w:hideMark/>
          </w:tcPr>
          <w:p w14:paraId="0C3F863B" w14:textId="77777777" w:rsidR="0015270F" w:rsidRPr="0095562E" w:rsidRDefault="0015270F" w:rsidP="0095562E">
            <w:pPr>
              <w:spacing w:before="0" w:after="0"/>
              <w:rPr>
                <w:rStyle w:val="BookTitle"/>
                <w:sz w:val="18"/>
                <w:szCs w:val="18"/>
              </w:rPr>
            </w:pPr>
            <w:r w:rsidRPr="0095562E">
              <w:rPr>
                <w:rStyle w:val="BookTitle"/>
                <w:sz w:val="18"/>
                <w:szCs w:val="18"/>
              </w:rPr>
              <w:t>-0.36</w:t>
            </w:r>
          </w:p>
        </w:tc>
        <w:tc>
          <w:tcPr>
            <w:tcW w:w="328" w:type="pct"/>
            <w:tcBorders>
              <w:top w:val="nil"/>
              <w:left w:val="nil"/>
              <w:bottom w:val="nil"/>
              <w:right w:val="nil"/>
            </w:tcBorders>
            <w:shd w:val="clear" w:color="auto" w:fill="auto"/>
            <w:noWrap/>
            <w:vAlign w:val="center"/>
            <w:hideMark/>
          </w:tcPr>
          <w:p w14:paraId="0C3F863C" w14:textId="77777777" w:rsidR="0015270F" w:rsidRPr="0095562E" w:rsidRDefault="0015270F" w:rsidP="0095562E">
            <w:pPr>
              <w:spacing w:before="0" w:after="0"/>
              <w:rPr>
                <w:rStyle w:val="BookTitle"/>
                <w:sz w:val="18"/>
                <w:szCs w:val="18"/>
              </w:rPr>
            </w:pPr>
            <w:r w:rsidRPr="0095562E">
              <w:rPr>
                <w:rStyle w:val="BookTitle"/>
                <w:sz w:val="18"/>
                <w:szCs w:val="18"/>
              </w:rPr>
              <w:t>-0.40</w:t>
            </w:r>
          </w:p>
        </w:tc>
        <w:tc>
          <w:tcPr>
            <w:tcW w:w="328" w:type="pct"/>
            <w:tcBorders>
              <w:top w:val="nil"/>
              <w:left w:val="nil"/>
              <w:bottom w:val="nil"/>
              <w:right w:val="nil"/>
            </w:tcBorders>
            <w:shd w:val="clear" w:color="auto" w:fill="auto"/>
            <w:noWrap/>
            <w:vAlign w:val="center"/>
            <w:hideMark/>
          </w:tcPr>
          <w:p w14:paraId="0C3F863D" w14:textId="77777777" w:rsidR="0015270F" w:rsidRPr="0095562E" w:rsidRDefault="0015270F" w:rsidP="0095562E">
            <w:pPr>
              <w:spacing w:before="0" w:after="0"/>
              <w:rPr>
                <w:rStyle w:val="BookTitle"/>
                <w:sz w:val="18"/>
                <w:szCs w:val="18"/>
              </w:rPr>
            </w:pPr>
            <w:r w:rsidRPr="0095562E">
              <w:rPr>
                <w:rStyle w:val="BookTitle"/>
                <w:sz w:val="18"/>
                <w:szCs w:val="18"/>
              </w:rPr>
              <w:t>0.12</w:t>
            </w:r>
          </w:p>
        </w:tc>
      </w:tr>
      <w:tr w:rsidR="0015270F" w:rsidRPr="0095562E" w14:paraId="0C3F864E" w14:textId="77777777" w:rsidTr="00162359">
        <w:trPr>
          <w:trHeight w:val="20"/>
        </w:trPr>
        <w:tc>
          <w:tcPr>
            <w:tcW w:w="363" w:type="pct"/>
            <w:tcBorders>
              <w:top w:val="nil"/>
              <w:left w:val="nil"/>
              <w:bottom w:val="nil"/>
              <w:right w:val="nil"/>
            </w:tcBorders>
            <w:shd w:val="clear" w:color="auto" w:fill="auto"/>
            <w:noWrap/>
            <w:vAlign w:val="center"/>
            <w:hideMark/>
          </w:tcPr>
          <w:p w14:paraId="0C3F863F" w14:textId="77777777" w:rsidR="0015270F" w:rsidRPr="0095562E" w:rsidRDefault="0015270F" w:rsidP="0095562E">
            <w:pPr>
              <w:spacing w:before="0" w:after="0"/>
              <w:rPr>
                <w:rStyle w:val="BookTitle"/>
                <w:sz w:val="18"/>
                <w:szCs w:val="18"/>
              </w:rPr>
            </w:pPr>
            <w:r w:rsidRPr="0095562E">
              <w:rPr>
                <w:rStyle w:val="BookTitle"/>
                <w:sz w:val="18"/>
                <w:szCs w:val="18"/>
              </w:rPr>
              <w:t>DIP</w:t>
            </w:r>
          </w:p>
        </w:tc>
        <w:tc>
          <w:tcPr>
            <w:tcW w:w="327" w:type="pct"/>
            <w:tcBorders>
              <w:top w:val="nil"/>
              <w:left w:val="nil"/>
              <w:bottom w:val="nil"/>
              <w:right w:val="nil"/>
            </w:tcBorders>
            <w:shd w:val="clear" w:color="auto" w:fill="auto"/>
            <w:noWrap/>
            <w:vAlign w:val="center"/>
            <w:hideMark/>
          </w:tcPr>
          <w:p w14:paraId="0C3F8640"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80" w:type="pct"/>
            <w:tcBorders>
              <w:top w:val="nil"/>
              <w:left w:val="nil"/>
              <w:bottom w:val="nil"/>
              <w:right w:val="nil"/>
            </w:tcBorders>
            <w:shd w:val="clear" w:color="auto" w:fill="auto"/>
            <w:noWrap/>
            <w:vAlign w:val="center"/>
            <w:hideMark/>
          </w:tcPr>
          <w:p w14:paraId="0C3F8641" w14:textId="77777777" w:rsidR="0015270F" w:rsidRPr="0095562E" w:rsidRDefault="0015270F" w:rsidP="0095562E">
            <w:pPr>
              <w:spacing w:before="0" w:after="0"/>
              <w:rPr>
                <w:rStyle w:val="BookTitle"/>
                <w:sz w:val="18"/>
                <w:szCs w:val="18"/>
              </w:rPr>
            </w:pPr>
            <w:r w:rsidRPr="0095562E">
              <w:rPr>
                <w:rStyle w:val="BookTitle"/>
                <w:sz w:val="18"/>
                <w:szCs w:val="18"/>
              </w:rPr>
              <w:t>-0.10</w:t>
            </w:r>
          </w:p>
        </w:tc>
        <w:tc>
          <w:tcPr>
            <w:tcW w:w="327" w:type="pct"/>
            <w:tcBorders>
              <w:top w:val="nil"/>
              <w:left w:val="nil"/>
              <w:bottom w:val="nil"/>
              <w:right w:val="nil"/>
            </w:tcBorders>
            <w:shd w:val="clear" w:color="auto" w:fill="auto"/>
            <w:noWrap/>
            <w:vAlign w:val="center"/>
            <w:hideMark/>
          </w:tcPr>
          <w:p w14:paraId="0C3F8642" w14:textId="77777777" w:rsidR="0015270F" w:rsidRPr="0095562E" w:rsidRDefault="0015270F" w:rsidP="0095562E">
            <w:pPr>
              <w:spacing w:before="0" w:after="0"/>
              <w:rPr>
                <w:rStyle w:val="BookTitle"/>
                <w:sz w:val="18"/>
                <w:szCs w:val="18"/>
              </w:rPr>
            </w:pPr>
            <w:r w:rsidRPr="0095562E">
              <w:rPr>
                <w:rStyle w:val="BookTitle"/>
                <w:sz w:val="18"/>
                <w:szCs w:val="18"/>
              </w:rPr>
              <w:t>-0.06</w:t>
            </w:r>
          </w:p>
        </w:tc>
        <w:tc>
          <w:tcPr>
            <w:tcW w:w="328" w:type="pct"/>
            <w:tcBorders>
              <w:top w:val="nil"/>
              <w:left w:val="nil"/>
              <w:bottom w:val="nil"/>
              <w:right w:val="nil"/>
            </w:tcBorders>
            <w:shd w:val="clear" w:color="auto" w:fill="auto"/>
            <w:noWrap/>
            <w:vAlign w:val="center"/>
            <w:hideMark/>
          </w:tcPr>
          <w:p w14:paraId="0C3F8643"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644"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nil"/>
              <w:right w:val="nil"/>
            </w:tcBorders>
            <w:shd w:val="clear" w:color="auto" w:fill="auto"/>
            <w:noWrap/>
            <w:vAlign w:val="center"/>
            <w:hideMark/>
          </w:tcPr>
          <w:p w14:paraId="0C3F8645"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646" w14:textId="77777777" w:rsidR="0015270F" w:rsidRPr="0095562E" w:rsidRDefault="0015270F" w:rsidP="0095562E">
            <w:pPr>
              <w:spacing w:before="0" w:after="0"/>
              <w:rPr>
                <w:rStyle w:val="BookTitle"/>
                <w:sz w:val="18"/>
                <w:szCs w:val="18"/>
              </w:rPr>
            </w:pPr>
            <w:r w:rsidRPr="0095562E">
              <w:rPr>
                <w:rStyle w:val="BookTitle"/>
                <w:sz w:val="18"/>
                <w:szCs w:val="18"/>
              </w:rPr>
              <w:t>0.18</w:t>
            </w:r>
          </w:p>
        </w:tc>
        <w:tc>
          <w:tcPr>
            <w:tcW w:w="328" w:type="pct"/>
            <w:tcBorders>
              <w:top w:val="nil"/>
              <w:left w:val="nil"/>
              <w:bottom w:val="nil"/>
              <w:right w:val="nil"/>
            </w:tcBorders>
            <w:shd w:val="clear" w:color="auto" w:fill="auto"/>
            <w:noWrap/>
            <w:vAlign w:val="center"/>
            <w:hideMark/>
          </w:tcPr>
          <w:p w14:paraId="0C3F8647"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648"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auto" w:fill="auto"/>
            <w:noWrap/>
            <w:vAlign w:val="center"/>
            <w:hideMark/>
          </w:tcPr>
          <w:p w14:paraId="0C3F8649" w14:textId="77777777" w:rsidR="0015270F" w:rsidRPr="0095562E" w:rsidRDefault="0015270F" w:rsidP="0095562E">
            <w:pPr>
              <w:spacing w:before="0" w:after="0"/>
              <w:rPr>
                <w:rStyle w:val="BookTitle"/>
                <w:sz w:val="18"/>
                <w:szCs w:val="18"/>
              </w:rPr>
            </w:pPr>
            <w:r w:rsidRPr="0095562E">
              <w:rPr>
                <w:rStyle w:val="BookTitle"/>
                <w:sz w:val="18"/>
                <w:szCs w:val="18"/>
              </w:rPr>
              <w:t>0.29</w:t>
            </w:r>
          </w:p>
        </w:tc>
        <w:tc>
          <w:tcPr>
            <w:tcW w:w="328" w:type="pct"/>
            <w:tcBorders>
              <w:top w:val="nil"/>
              <w:left w:val="nil"/>
              <w:bottom w:val="nil"/>
              <w:right w:val="nil"/>
            </w:tcBorders>
            <w:shd w:val="clear" w:color="auto" w:fill="auto"/>
            <w:noWrap/>
            <w:vAlign w:val="center"/>
            <w:hideMark/>
          </w:tcPr>
          <w:p w14:paraId="0C3F864A"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64B" w14:textId="77777777" w:rsidR="0015270F" w:rsidRPr="0095562E" w:rsidRDefault="0015270F" w:rsidP="0095562E">
            <w:pPr>
              <w:spacing w:before="0" w:after="0"/>
              <w:rPr>
                <w:rStyle w:val="BookTitle"/>
                <w:sz w:val="18"/>
                <w:szCs w:val="18"/>
              </w:rPr>
            </w:pPr>
            <w:r w:rsidRPr="0095562E">
              <w:rPr>
                <w:rStyle w:val="BookTitle"/>
                <w:sz w:val="18"/>
                <w:szCs w:val="18"/>
              </w:rPr>
              <w:t>-0.31</w:t>
            </w:r>
          </w:p>
        </w:tc>
        <w:tc>
          <w:tcPr>
            <w:tcW w:w="328" w:type="pct"/>
            <w:tcBorders>
              <w:top w:val="nil"/>
              <w:left w:val="nil"/>
              <w:bottom w:val="nil"/>
              <w:right w:val="nil"/>
            </w:tcBorders>
            <w:shd w:val="clear" w:color="auto" w:fill="auto"/>
            <w:noWrap/>
            <w:vAlign w:val="center"/>
            <w:hideMark/>
          </w:tcPr>
          <w:p w14:paraId="0C3F864C"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8" w:type="pct"/>
            <w:tcBorders>
              <w:top w:val="nil"/>
              <w:left w:val="nil"/>
              <w:bottom w:val="nil"/>
              <w:right w:val="nil"/>
            </w:tcBorders>
            <w:shd w:val="clear" w:color="auto" w:fill="auto"/>
            <w:noWrap/>
            <w:vAlign w:val="center"/>
            <w:hideMark/>
          </w:tcPr>
          <w:p w14:paraId="0C3F864D" w14:textId="77777777" w:rsidR="0015270F" w:rsidRPr="0095562E" w:rsidRDefault="0015270F" w:rsidP="0095562E">
            <w:pPr>
              <w:spacing w:before="0" w:after="0"/>
              <w:rPr>
                <w:rStyle w:val="BookTitle"/>
                <w:sz w:val="18"/>
                <w:szCs w:val="18"/>
              </w:rPr>
            </w:pPr>
            <w:r w:rsidRPr="0095562E">
              <w:rPr>
                <w:rStyle w:val="BookTitle"/>
                <w:sz w:val="18"/>
                <w:szCs w:val="18"/>
              </w:rPr>
              <w:t>-0.07</w:t>
            </w:r>
          </w:p>
        </w:tc>
      </w:tr>
      <w:tr w:rsidR="0015270F" w:rsidRPr="0095562E" w14:paraId="0C3F865E" w14:textId="77777777" w:rsidTr="00162359">
        <w:trPr>
          <w:trHeight w:val="20"/>
        </w:trPr>
        <w:tc>
          <w:tcPr>
            <w:tcW w:w="363" w:type="pct"/>
            <w:tcBorders>
              <w:top w:val="nil"/>
              <w:left w:val="nil"/>
              <w:bottom w:val="nil"/>
              <w:right w:val="nil"/>
            </w:tcBorders>
            <w:shd w:val="clear" w:color="auto" w:fill="auto"/>
            <w:noWrap/>
            <w:vAlign w:val="center"/>
            <w:hideMark/>
          </w:tcPr>
          <w:p w14:paraId="0C3F864F" w14:textId="77777777" w:rsidR="0015270F" w:rsidRPr="0095562E" w:rsidRDefault="0015270F" w:rsidP="0095562E">
            <w:pPr>
              <w:spacing w:before="0" w:after="0"/>
              <w:rPr>
                <w:rStyle w:val="BookTitle"/>
                <w:sz w:val="18"/>
                <w:szCs w:val="18"/>
              </w:rPr>
            </w:pPr>
            <w:r w:rsidRPr="0095562E">
              <w:rPr>
                <w:rStyle w:val="BookTitle"/>
                <w:sz w:val="18"/>
                <w:szCs w:val="18"/>
              </w:rPr>
              <w:t>PN</w:t>
            </w:r>
          </w:p>
        </w:tc>
        <w:tc>
          <w:tcPr>
            <w:tcW w:w="327" w:type="pct"/>
            <w:tcBorders>
              <w:top w:val="nil"/>
              <w:left w:val="nil"/>
              <w:bottom w:val="nil"/>
              <w:right w:val="nil"/>
            </w:tcBorders>
            <w:shd w:val="clear" w:color="auto" w:fill="auto"/>
            <w:noWrap/>
            <w:vAlign w:val="center"/>
            <w:hideMark/>
          </w:tcPr>
          <w:p w14:paraId="0C3F8650"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80" w:type="pct"/>
            <w:tcBorders>
              <w:top w:val="nil"/>
              <w:left w:val="nil"/>
              <w:bottom w:val="nil"/>
              <w:right w:val="nil"/>
            </w:tcBorders>
            <w:shd w:val="clear" w:color="auto" w:fill="auto"/>
            <w:noWrap/>
            <w:vAlign w:val="center"/>
            <w:hideMark/>
          </w:tcPr>
          <w:p w14:paraId="0C3F8651" w14:textId="77777777" w:rsidR="0015270F" w:rsidRPr="0095562E" w:rsidRDefault="0015270F" w:rsidP="0095562E">
            <w:pPr>
              <w:spacing w:before="0" w:after="0"/>
              <w:rPr>
                <w:rStyle w:val="BookTitle"/>
                <w:sz w:val="18"/>
                <w:szCs w:val="18"/>
              </w:rPr>
            </w:pPr>
            <w:r w:rsidRPr="0095562E">
              <w:rPr>
                <w:rStyle w:val="BookTitle"/>
                <w:sz w:val="18"/>
                <w:szCs w:val="18"/>
              </w:rPr>
              <w:t>0.28</w:t>
            </w:r>
          </w:p>
        </w:tc>
        <w:tc>
          <w:tcPr>
            <w:tcW w:w="327" w:type="pct"/>
            <w:tcBorders>
              <w:top w:val="nil"/>
              <w:left w:val="nil"/>
              <w:bottom w:val="nil"/>
              <w:right w:val="nil"/>
            </w:tcBorders>
            <w:shd w:val="clear" w:color="auto" w:fill="auto"/>
            <w:noWrap/>
            <w:vAlign w:val="center"/>
            <w:hideMark/>
          </w:tcPr>
          <w:p w14:paraId="0C3F8652"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8" w:type="pct"/>
            <w:tcBorders>
              <w:top w:val="nil"/>
              <w:left w:val="nil"/>
              <w:bottom w:val="nil"/>
              <w:right w:val="nil"/>
            </w:tcBorders>
            <w:shd w:val="clear" w:color="auto" w:fill="auto"/>
            <w:noWrap/>
            <w:vAlign w:val="center"/>
            <w:hideMark/>
          </w:tcPr>
          <w:p w14:paraId="0C3F8653"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8" w:type="pct"/>
            <w:tcBorders>
              <w:top w:val="nil"/>
              <w:left w:val="nil"/>
              <w:bottom w:val="nil"/>
              <w:right w:val="nil"/>
            </w:tcBorders>
            <w:shd w:val="clear" w:color="auto" w:fill="auto"/>
            <w:noWrap/>
            <w:vAlign w:val="center"/>
            <w:hideMark/>
          </w:tcPr>
          <w:p w14:paraId="0C3F8654"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nil"/>
              <w:right w:val="nil"/>
            </w:tcBorders>
            <w:shd w:val="clear" w:color="000000" w:fill="FFFF00"/>
            <w:noWrap/>
            <w:vAlign w:val="center"/>
            <w:hideMark/>
          </w:tcPr>
          <w:p w14:paraId="0C3F8655" w14:textId="77777777" w:rsidR="0015270F" w:rsidRPr="0095562E" w:rsidRDefault="0015270F" w:rsidP="0095562E">
            <w:pPr>
              <w:spacing w:before="0" w:after="0"/>
              <w:rPr>
                <w:rStyle w:val="BookTitle"/>
                <w:sz w:val="18"/>
                <w:szCs w:val="18"/>
              </w:rPr>
            </w:pPr>
            <w:r w:rsidRPr="0095562E">
              <w:rPr>
                <w:rStyle w:val="BookTitle"/>
                <w:sz w:val="18"/>
                <w:szCs w:val="18"/>
              </w:rPr>
              <w:t>0.67</w:t>
            </w:r>
          </w:p>
        </w:tc>
        <w:tc>
          <w:tcPr>
            <w:tcW w:w="328" w:type="pct"/>
            <w:tcBorders>
              <w:top w:val="nil"/>
              <w:left w:val="nil"/>
              <w:bottom w:val="nil"/>
              <w:right w:val="nil"/>
            </w:tcBorders>
            <w:shd w:val="clear" w:color="auto" w:fill="auto"/>
            <w:noWrap/>
            <w:vAlign w:val="center"/>
            <w:hideMark/>
          </w:tcPr>
          <w:p w14:paraId="0C3F8656"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8" w:type="pct"/>
            <w:tcBorders>
              <w:top w:val="nil"/>
              <w:left w:val="nil"/>
              <w:bottom w:val="nil"/>
              <w:right w:val="nil"/>
            </w:tcBorders>
            <w:shd w:val="clear" w:color="auto" w:fill="auto"/>
            <w:noWrap/>
            <w:vAlign w:val="center"/>
            <w:hideMark/>
          </w:tcPr>
          <w:p w14:paraId="0C3F8657"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658" w14:textId="77777777" w:rsidR="0015270F" w:rsidRPr="0095562E" w:rsidRDefault="0015270F" w:rsidP="0095562E">
            <w:pPr>
              <w:spacing w:before="0" w:after="0"/>
              <w:rPr>
                <w:rStyle w:val="BookTitle"/>
                <w:sz w:val="18"/>
                <w:szCs w:val="18"/>
              </w:rPr>
            </w:pPr>
            <w:r w:rsidRPr="0095562E">
              <w:rPr>
                <w:rStyle w:val="BookTitle"/>
                <w:sz w:val="18"/>
                <w:szCs w:val="18"/>
              </w:rPr>
              <w:t>-0.19</w:t>
            </w:r>
          </w:p>
        </w:tc>
        <w:tc>
          <w:tcPr>
            <w:tcW w:w="328" w:type="pct"/>
            <w:tcBorders>
              <w:top w:val="nil"/>
              <w:left w:val="nil"/>
              <w:bottom w:val="nil"/>
              <w:right w:val="nil"/>
            </w:tcBorders>
            <w:shd w:val="clear" w:color="auto" w:fill="auto"/>
            <w:noWrap/>
            <w:vAlign w:val="center"/>
            <w:hideMark/>
          </w:tcPr>
          <w:p w14:paraId="0C3F8659" w14:textId="77777777" w:rsidR="0015270F" w:rsidRPr="0095562E" w:rsidRDefault="0015270F" w:rsidP="0095562E">
            <w:pPr>
              <w:spacing w:before="0" w:after="0"/>
              <w:rPr>
                <w:rStyle w:val="BookTitle"/>
                <w:sz w:val="18"/>
                <w:szCs w:val="18"/>
              </w:rPr>
            </w:pPr>
            <w:r w:rsidRPr="0095562E">
              <w:rPr>
                <w:rStyle w:val="BookTitle"/>
                <w:sz w:val="18"/>
                <w:szCs w:val="18"/>
              </w:rPr>
              <w:t>-0.36</w:t>
            </w:r>
          </w:p>
        </w:tc>
        <w:tc>
          <w:tcPr>
            <w:tcW w:w="328" w:type="pct"/>
            <w:tcBorders>
              <w:top w:val="nil"/>
              <w:left w:val="nil"/>
              <w:bottom w:val="nil"/>
              <w:right w:val="nil"/>
            </w:tcBorders>
            <w:shd w:val="clear" w:color="auto" w:fill="auto"/>
            <w:noWrap/>
            <w:vAlign w:val="center"/>
            <w:hideMark/>
          </w:tcPr>
          <w:p w14:paraId="0C3F865A" w14:textId="77777777" w:rsidR="0015270F" w:rsidRPr="0095562E" w:rsidRDefault="0015270F" w:rsidP="0095562E">
            <w:pPr>
              <w:spacing w:before="0" w:after="0"/>
              <w:rPr>
                <w:rStyle w:val="BookTitle"/>
                <w:sz w:val="18"/>
                <w:szCs w:val="18"/>
              </w:rPr>
            </w:pPr>
            <w:r w:rsidRPr="0095562E">
              <w:rPr>
                <w:rStyle w:val="BookTitle"/>
                <w:sz w:val="18"/>
                <w:szCs w:val="18"/>
              </w:rPr>
              <w:t>-0.31</w:t>
            </w:r>
          </w:p>
        </w:tc>
        <w:tc>
          <w:tcPr>
            <w:tcW w:w="328" w:type="pct"/>
            <w:tcBorders>
              <w:top w:val="nil"/>
              <w:left w:val="nil"/>
              <w:bottom w:val="nil"/>
              <w:right w:val="nil"/>
            </w:tcBorders>
            <w:shd w:val="clear" w:color="auto" w:fill="auto"/>
            <w:noWrap/>
            <w:vAlign w:val="center"/>
            <w:hideMark/>
          </w:tcPr>
          <w:p w14:paraId="0C3F865B"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65C"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65D" w14:textId="77777777" w:rsidR="0015270F" w:rsidRPr="0095562E" w:rsidRDefault="0015270F" w:rsidP="0095562E">
            <w:pPr>
              <w:spacing w:before="0" w:after="0"/>
              <w:rPr>
                <w:rStyle w:val="BookTitle"/>
                <w:sz w:val="18"/>
                <w:szCs w:val="18"/>
              </w:rPr>
            </w:pPr>
            <w:r w:rsidRPr="0095562E">
              <w:rPr>
                <w:rStyle w:val="BookTitle"/>
                <w:sz w:val="18"/>
                <w:szCs w:val="18"/>
              </w:rPr>
              <w:t>-0.05</w:t>
            </w:r>
          </w:p>
        </w:tc>
      </w:tr>
      <w:tr w:rsidR="0015270F" w:rsidRPr="0095562E" w14:paraId="0C3F866E" w14:textId="77777777" w:rsidTr="00162359">
        <w:trPr>
          <w:trHeight w:val="20"/>
        </w:trPr>
        <w:tc>
          <w:tcPr>
            <w:tcW w:w="363" w:type="pct"/>
            <w:tcBorders>
              <w:top w:val="nil"/>
              <w:left w:val="nil"/>
              <w:bottom w:val="nil"/>
              <w:right w:val="nil"/>
            </w:tcBorders>
            <w:shd w:val="clear" w:color="auto" w:fill="auto"/>
            <w:noWrap/>
            <w:vAlign w:val="center"/>
            <w:hideMark/>
          </w:tcPr>
          <w:p w14:paraId="0C3F865F" w14:textId="77777777" w:rsidR="0015270F" w:rsidRPr="0095562E" w:rsidRDefault="0015270F" w:rsidP="0095562E">
            <w:pPr>
              <w:spacing w:before="0" w:after="0"/>
              <w:rPr>
                <w:rStyle w:val="BookTitle"/>
                <w:sz w:val="18"/>
                <w:szCs w:val="18"/>
              </w:rPr>
            </w:pPr>
            <w:r w:rsidRPr="0095562E">
              <w:rPr>
                <w:rStyle w:val="BookTitle"/>
                <w:sz w:val="18"/>
                <w:szCs w:val="18"/>
              </w:rPr>
              <w:t>PP</w:t>
            </w:r>
          </w:p>
        </w:tc>
        <w:tc>
          <w:tcPr>
            <w:tcW w:w="327" w:type="pct"/>
            <w:tcBorders>
              <w:top w:val="nil"/>
              <w:left w:val="nil"/>
              <w:bottom w:val="nil"/>
              <w:right w:val="nil"/>
            </w:tcBorders>
            <w:shd w:val="clear" w:color="auto" w:fill="auto"/>
            <w:noWrap/>
            <w:vAlign w:val="center"/>
            <w:hideMark/>
          </w:tcPr>
          <w:p w14:paraId="0C3F8660"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80" w:type="pct"/>
            <w:tcBorders>
              <w:top w:val="nil"/>
              <w:left w:val="nil"/>
              <w:bottom w:val="nil"/>
              <w:right w:val="nil"/>
            </w:tcBorders>
            <w:shd w:val="clear" w:color="auto" w:fill="auto"/>
            <w:noWrap/>
            <w:vAlign w:val="center"/>
            <w:hideMark/>
          </w:tcPr>
          <w:p w14:paraId="0C3F8661"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7" w:type="pct"/>
            <w:tcBorders>
              <w:top w:val="nil"/>
              <w:left w:val="nil"/>
              <w:bottom w:val="nil"/>
              <w:right w:val="nil"/>
            </w:tcBorders>
            <w:shd w:val="clear" w:color="auto" w:fill="auto"/>
            <w:noWrap/>
            <w:vAlign w:val="center"/>
            <w:hideMark/>
          </w:tcPr>
          <w:p w14:paraId="0C3F8662" w14:textId="77777777" w:rsidR="0015270F" w:rsidRPr="0095562E" w:rsidRDefault="0015270F" w:rsidP="0095562E">
            <w:pPr>
              <w:spacing w:before="0" w:after="0"/>
              <w:rPr>
                <w:rStyle w:val="BookTitle"/>
                <w:sz w:val="18"/>
                <w:szCs w:val="18"/>
              </w:rPr>
            </w:pPr>
            <w:r w:rsidRPr="0095562E">
              <w:rPr>
                <w:rStyle w:val="BookTitle"/>
                <w:sz w:val="18"/>
                <w:szCs w:val="18"/>
              </w:rPr>
              <w:t>-0.17</w:t>
            </w:r>
          </w:p>
        </w:tc>
        <w:tc>
          <w:tcPr>
            <w:tcW w:w="328" w:type="pct"/>
            <w:tcBorders>
              <w:top w:val="nil"/>
              <w:left w:val="nil"/>
              <w:bottom w:val="nil"/>
              <w:right w:val="nil"/>
            </w:tcBorders>
            <w:shd w:val="clear" w:color="auto" w:fill="auto"/>
            <w:noWrap/>
            <w:vAlign w:val="center"/>
            <w:hideMark/>
          </w:tcPr>
          <w:p w14:paraId="0C3F8663"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664"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665" w14:textId="77777777" w:rsidR="0015270F" w:rsidRPr="0095562E" w:rsidRDefault="0015270F" w:rsidP="0095562E">
            <w:pPr>
              <w:spacing w:before="0" w:after="0"/>
              <w:rPr>
                <w:rStyle w:val="BookTitle"/>
                <w:sz w:val="18"/>
                <w:szCs w:val="18"/>
              </w:rPr>
            </w:pPr>
            <w:r w:rsidRPr="0095562E">
              <w:rPr>
                <w:rStyle w:val="BookTitle"/>
                <w:sz w:val="18"/>
                <w:szCs w:val="18"/>
              </w:rPr>
              <w:t>0.09</w:t>
            </w:r>
          </w:p>
        </w:tc>
        <w:tc>
          <w:tcPr>
            <w:tcW w:w="328" w:type="pct"/>
            <w:tcBorders>
              <w:top w:val="nil"/>
              <w:left w:val="nil"/>
              <w:bottom w:val="nil"/>
              <w:right w:val="nil"/>
            </w:tcBorders>
            <w:shd w:val="clear" w:color="auto" w:fill="auto"/>
            <w:noWrap/>
            <w:vAlign w:val="center"/>
            <w:hideMark/>
          </w:tcPr>
          <w:p w14:paraId="0C3F8666" w14:textId="77777777" w:rsidR="0015270F" w:rsidRPr="0095562E" w:rsidRDefault="0015270F" w:rsidP="0095562E">
            <w:pPr>
              <w:spacing w:before="0" w:after="0"/>
              <w:rPr>
                <w:rStyle w:val="BookTitle"/>
                <w:sz w:val="18"/>
                <w:szCs w:val="18"/>
              </w:rPr>
            </w:pPr>
            <w:r w:rsidRPr="0095562E">
              <w:rPr>
                <w:rStyle w:val="BookTitle"/>
                <w:sz w:val="18"/>
                <w:szCs w:val="18"/>
              </w:rPr>
              <w:t>0.08</w:t>
            </w:r>
          </w:p>
        </w:tc>
        <w:tc>
          <w:tcPr>
            <w:tcW w:w="328" w:type="pct"/>
            <w:tcBorders>
              <w:top w:val="nil"/>
              <w:left w:val="nil"/>
              <w:bottom w:val="nil"/>
              <w:right w:val="nil"/>
            </w:tcBorders>
            <w:shd w:val="clear" w:color="auto" w:fill="auto"/>
            <w:noWrap/>
            <w:vAlign w:val="center"/>
            <w:hideMark/>
          </w:tcPr>
          <w:p w14:paraId="0C3F8667" w14:textId="77777777" w:rsidR="0015270F" w:rsidRPr="0095562E" w:rsidRDefault="0015270F" w:rsidP="0095562E">
            <w:pPr>
              <w:spacing w:before="0" w:after="0"/>
              <w:rPr>
                <w:rStyle w:val="BookTitle"/>
                <w:sz w:val="18"/>
                <w:szCs w:val="18"/>
              </w:rPr>
            </w:pPr>
            <w:r w:rsidRPr="0095562E">
              <w:rPr>
                <w:rStyle w:val="BookTitle"/>
                <w:sz w:val="18"/>
                <w:szCs w:val="18"/>
              </w:rPr>
              <w:t>0.25</w:t>
            </w:r>
          </w:p>
        </w:tc>
        <w:tc>
          <w:tcPr>
            <w:tcW w:w="328" w:type="pct"/>
            <w:tcBorders>
              <w:top w:val="nil"/>
              <w:left w:val="nil"/>
              <w:bottom w:val="nil"/>
              <w:right w:val="nil"/>
            </w:tcBorders>
            <w:shd w:val="clear" w:color="auto" w:fill="auto"/>
            <w:noWrap/>
            <w:vAlign w:val="center"/>
            <w:hideMark/>
          </w:tcPr>
          <w:p w14:paraId="0C3F8668" w14:textId="77777777" w:rsidR="0015270F" w:rsidRPr="0095562E" w:rsidRDefault="0015270F" w:rsidP="0095562E">
            <w:pPr>
              <w:spacing w:before="0" w:after="0"/>
              <w:rPr>
                <w:rStyle w:val="BookTitle"/>
                <w:sz w:val="18"/>
                <w:szCs w:val="18"/>
              </w:rPr>
            </w:pPr>
            <w:r w:rsidRPr="0095562E">
              <w:rPr>
                <w:rStyle w:val="BookTitle"/>
                <w:sz w:val="18"/>
                <w:szCs w:val="18"/>
              </w:rPr>
              <w:t>0.39</w:t>
            </w:r>
          </w:p>
        </w:tc>
        <w:tc>
          <w:tcPr>
            <w:tcW w:w="328" w:type="pct"/>
            <w:tcBorders>
              <w:top w:val="nil"/>
              <w:left w:val="nil"/>
              <w:bottom w:val="nil"/>
              <w:right w:val="nil"/>
            </w:tcBorders>
            <w:shd w:val="clear" w:color="auto" w:fill="auto"/>
            <w:noWrap/>
            <w:vAlign w:val="center"/>
            <w:hideMark/>
          </w:tcPr>
          <w:p w14:paraId="0C3F8669" w14:textId="77777777" w:rsidR="0015270F" w:rsidRPr="0095562E" w:rsidRDefault="0015270F" w:rsidP="0095562E">
            <w:pPr>
              <w:spacing w:before="0" w:after="0"/>
              <w:rPr>
                <w:rStyle w:val="BookTitle"/>
                <w:sz w:val="18"/>
                <w:szCs w:val="18"/>
              </w:rPr>
            </w:pPr>
            <w:r w:rsidRPr="0095562E">
              <w:rPr>
                <w:rStyle w:val="BookTitle"/>
                <w:sz w:val="18"/>
                <w:szCs w:val="18"/>
              </w:rPr>
              <w:t>-0.40</w:t>
            </w:r>
          </w:p>
        </w:tc>
        <w:tc>
          <w:tcPr>
            <w:tcW w:w="328" w:type="pct"/>
            <w:tcBorders>
              <w:top w:val="nil"/>
              <w:left w:val="nil"/>
              <w:bottom w:val="nil"/>
              <w:right w:val="nil"/>
            </w:tcBorders>
            <w:shd w:val="clear" w:color="auto" w:fill="auto"/>
            <w:noWrap/>
            <w:vAlign w:val="center"/>
            <w:hideMark/>
          </w:tcPr>
          <w:p w14:paraId="0C3F866A" w14:textId="77777777" w:rsidR="0015270F" w:rsidRPr="0095562E" w:rsidRDefault="0015270F" w:rsidP="0095562E">
            <w:pPr>
              <w:spacing w:before="0" w:after="0"/>
              <w:rPr>
                <w:rStyle w:val="BookTitle"/>
                <w:sz w:val="18"/>
                <w:szCs w:val="18"/>
              </w:rPr>
            </w:pPr>
            <w:r w:rsidRPr="0095562E">
              <w:rPr>
                <w:rStyle w:val="BookTitle"/>
                <w:sz w:val="18"/>
                <w:szCs w:val="18"/>
              </w:rPr>
              <w:t>-0.15</w:t>
            </w:r>
          </w:p>
        </w:tc>
        <w:tc>
          <w:tcPr>
            <w:tcW w:w="328" w:type="pct"/>
            <w:tcBorders>
              <w:top w:val="nil"/>
              <w:left w:val="nil"/>
              <w:bottom w:val="nil"/>
              <w:right w:val="nil"/>
            </w:tcBorders>
            <w:shd w:val="clear" w:color="auto" w:fill="auto"/>
            <w:noWrap/>
            <w:vAlign w:val="center"/>
            <w:hideMark/>
          </w:tcPr>
          <w:p w14:paraId="0C3F866B" w14:textId="77777777" w:rsidR="0015270F" w:rsidRPr="0095562E" w:rsidRDefault="0015270F" w:rsidP="0095562E">
            <w:pPr>
              <w:spacing w:before="0" w:after="0"/>
              <w:rPr>
                <w:rStyle w:val="BookTitle"/>
                <w:sz w:val="18"/>
                <w:szCs w:val="18"/>
              </w:rPr>
            </w:pPr>
            <w:r w:rsidRPr="0095562E">
              <w:rPr>
                <w:rStyle w:val="BookTitle"/>
                <w:sz w:val="18"/>
                <w:szCs w:val="18"/>
              </w:rPr>
              <w:t>0.13</w:t>
            </w:r>
          </w:p>
        </w:tc>
        <w:tc>
          <w:tcPr>
            <w:tcW w:w="328" w:type="pct"/>
            <w:tcBorders>
              <w:top w:val="nil"/>
              <w:left w:val="nil"/>
              <w:bottom w:val="nil"/>
              <w:right w:val="nil"/>
            </w:tcBorders>
            <w:shd w:val="clear" w:color="auto" w:fill="auto"/>
            <w:noWrap/>
            <w:vAlign w:val="center"/>
            <w:hideMark/>
          </w:tcPr>
          <w:p w14:paraId="0C3F866C" w14:textId="77777777" w:rsidR="0015270F" w:rsidRPr="0095562E" w:rsidRDefault="0015270F" w:rsidP="0095562E">
            <w:pPr>
              <w:spacing w:before="0" w:after="0"/>
              <w:rPr>
                <w:rStyle w:val="BookTitle"/>
                <w:sz w:val="18"/>
                <w:szCs w:val="18"/>
              </w:rPr>
            </w:pPr>
            <w:r w:rsidRPr="0095562E">
              <w:rPr>
                <w:rStyle w:val="BookTitle"/>
                <w:sz w:val="18"/>
                <w:szCs w:val="18"/>
              </w:rPr>
              <w:t>1</w:t>
            </w:r>
          </w:p>
        </w:tc>
        <w:tc>
          <w:tcPr>
            <w:tcW w:w="328" w:type="pct"/>
            <w:tcBorders>
              <w:top w:val="nil"/>
              <w:left w:val="nil"/>
              <w:bottom w:val="nil"/>
              <w:right w:val="nil"/>
            </w:tcBorders>
            <w:shd w:val="clear" w:color="auto" w:fill="auto"/>
            <w:noWrap/>
            <w:vAlign w:val="center"/>
            <w:hideMark/>
          </w:tcPr>
          <w:p w14:paraId="0C3F866D" w14:textId="77777777" w:rsidR="0015270F" w:rsidRPr="0095562E" w:rsidRDefault="0015270F" w:rsidP="0095562E">
            <w:pPr>
              <w:spacing w:before="0" w:after="0"/>
              <w:rPr>
                <w:rStyle w:val="BookTitle"/>
                <w:sz w:val="18"/>
                <w:szCs w:val="18"/>
              </w:rPr>
            </w:pPr>
            <w:r w:rsidRPr="0095562E">
              <w:rPr>
                <w:rStyle w:val="BookTitle"/>
                <w:sz w:val="18"/>
                <w:szCs w:val="18"/>
              </w:rPr>
              <w:t>0.43</w:t>
            </w:r>
          </w:p>
        </w:tc>
      </w:tr>
      <w:tr w:rsidR="0015270F" w:rsidRPr="0095562E" w14:paraId="0C3F867E" w14:textId="77777777" w:rsidTr="00162359">
        <w:trPr>
          <w:trHeight w:val="20"/>
        </w:trPr>
        <w:tc>
          <w:tcPr>
            <w:tcW w:w="363" w:type="pct"/>
            <w:tcBorders>
              <w:top w:val="nil"/>
              <w:left w:val="nil"/>
              <w:bottom w:val="single" w:sz="4" w:space="0" w:color="auto"/>
              <w:right w:val="nil"/>
            </w:tcBorders>
            <w:shd w:val="clear" w:color="auto" w:fill="auto"/>
            <w:noWrap/>
            <w:vAlign w:val="center"/>
            <w:hideMark/>
          </w:tcPr>
          <w:p w14:paraId="0C3F866F" w14:textId="77777777" w:rsidR="0015270F" w:rsidRPr="0095562E" w:rsidRDefault="0015270F" w:rsidP="0095562E">
            <w:pPr>
              <w:spacing w:before="0" w:after="0"/>
              <w:rPr>
                <w:rStyle w:val="BookTitle"/>
                <w:sz w:val="18"/>
                <w:szCs w:val="18"/>
              </w:rPr>
            </w:pPr>
            <w:r w:rsidRPr="0095562E">
              <w:rPr>
                <w:rStyle w:val="BookTitle"/>
                <w:sz w:val="18"/>
                <w:szCs w:val="18"/>
              </w:rPr>
              <w:t>Si</w:t>
            </w:r>
          </w:p>
        </w:tc>
        <w:tc>
          <w:tcPr>
            <w:tcW w:w="327" w:type="pct"/>
            <w:tcBorders>
              <w:top w:val="nil"/>
              <w:left w:val="nil"/>
              <w:bottom w:val="single" w:sz="4" w:space="0" w:color="auto"/>
              <w:right w:val="nil"/>
            </w:tcBorders>
            <w:shd w:val="clear" w:color="auto" w:fill="auto"/>
            <w:noWrap/>
            <w:vAlign w:val="center"/>
            <w:hideMark/>
          </w:tcPr>
          <w:p w14:paraId="0C3F8670"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80" w:type="pct"/>
            <w:tcBorders>
              <w:top w:val="nil"/>
              <w:left w:val="nil"/>
              <w:bottom w:val="single" w:sz="4" w:space="0" w:color="auto"/>
              <w:right w:val="nil"/>
            </w:tcBorders>
            <w:shd w:val="clear" w:color="auto" w:fill="auto"/>
            <w:noWrap/>
            <w:vAlign w:val="center"/>
            <w:hideMark/>
          </w:tcPr>
          <w:p w14:paraId="0C3F8671" w14:textId="77777777" w:rsidR="0015270F" w:rsidRPr="0095562E" w:rsidRDefault="0015270F" w:rsidP="0095562E">
            <w:pPr>
              <w:spacing w:before="0" w:after="0"/>
              <w:rPr>
                <w:rStyle w:val="BookTitle"/>
                <w:sz w:val="18"/>
                <w:szCs w:val="18"/>
              </w:rPr>
            </w:pPr>
            <w:r w:rsidRPr="0095562E">
              <w:rPr>
                <w:rStyle w:val="BookTitle"/>
                <w:sz w:val="18"/>
                <w:szCs w:val="18"/>
              </w:rPr>
              <w:t>-0.44</w:t>
            </w:r>
          </w:p>
        </w:tc>
        <w:tc>
          <w:tcPr>
            <w:tcW w:w="327" w:type="pct"/>
            <w:tcBorders>
              <w:top w:val="nil"/>
              <w:left w:val="nil"/>
              <w:bottom w:val="single" w:sz="4" w:space="0" w:color="auto"/>
              <w:right w:val="nil"/>
            </w:tcBorders>
            <w:shd w:val="clear" w:color="auto" w:fill="auto"/>
            <w:noWrap/>
            <w:vAlign w:val="center"/>
            <w:hideMark/>
          </w:tcPr>
          <w:p w14:paraId="0C3F8672" w14:textId="77777777" w:rsidR="0015270F" w:rsidRPr="0095562E" w:rsidRDefault="0015270F" w:rsidP="0095562E">
            <w:pPr>
              <w:spacing w:before="0" w:after="0"/>
              <w:rPr>
                <w:rStyle w:val="BookTitle"/>
                <w:sz w:val="18"/>
                <w:szCs w:val="18"/>
              </w:rPr>
            </w:pPr>
            <w:r w:rsidRPr="0095562E">
              <w:rPr>
                <w:rStyle w:val="BookTitle"/>
                <w:sz w:val="18"/>
                <w:szCs w:val="18"/>
              </w:rPr>
              <w:t>-0.49</w:t>
            </w:r>
          </w:p>
        </w:tc>
        <w:tc>
          <w:tcPr>
            <w:tcW w:w="328" w:type="pct"/>
            <w:tcBorders>
              <w:top w:val="nil"/>
              <w:left w:val="nil"/>
              <w:bottom w:val="single" w:sz="4" w:space="0" w:color="auto"/>
              <w:right w:val="nil"/>
            </w:tcBorders>
            <w:shd w:val="clear" w:color="auto" w:fill="auto"/>
            <w:noWrap/>
            <w:vAlign w:val="center"/>
            <w:hideMark/>
          </w:tcPr>
          <w:p w14:paraId="0C3F8673" w14:textId="77777777" w:rsidR="0015270F" w:rsidRPr="0095562E" w:rsidRDefault="0015270F" w:rsidP="0095562E">
            <w:pPr>
              <w:spacing w:before="0" w:after="0"/>
              <w:rPr>
                <w:rStyle w:val="BookTitle"/>
                <w:sz w:val="18"/>
                <w:szCs w:val="18"/>
              </w:rPr>
            </w:pPr>
            <w:r w:rsidRPr="0095562E">
              <w:rPr>
                <w:rStyle w:val="BookTitle"/>
                <w:sz w:val="18"/>
                <w:szCs w:val="18"/>
              </w:rPr>
              <w:t>0.30</w:t>
            </w:r>
          </w:p>
        </w:tc>
        <w:tc>
          <w:tcPr>
            <w:tcW w:w="328" w:type="pct"/>
            <w:tcBorders>
              <w:top w:val="nil"/>
              <w:left w:val="nil"/>
              <w:bottom w:val="single" w:sz="4" w:space="0" w:color="auto"/>
              <w:right w:val="nil"/>
            </w:tcBorders>
            <w:shd w:val="clear" w:color="auto" w:fill="auto"/>
            <w:noWrap/>
            <w:vAlign w:val="center"/>
            <w:hideMark/>
          </w:tcPr>
          <w:p w14:paraId="0C3F8674" w14:textId="77777777" w:rsidR="0015270F" w:rsidRPr="0095562E" w:rsidRDefault="0015270F" w:rsidP="0095562E">
            <w:pPr>
              <w:spacing w:before="0" w:after="0"/>
              <w:rPr>
                <w:rStyle w:val="BookTitle"/>
                <w:sz w:val="18"/>
                <w:szCs w:val="18"/>
              </w:rPr>
            </w:pPr>
            <w:r w:rsidRPr="0095562E">
              <w:rPr>
                <w:rStyle w:val="BookTitle"/>
                <w:sz w:val="18"/>
                <w:szCs w:val="18"/>
              </w:rPr>
              <w:t>0.23</w:t>
            </w:r>
          </w:p>
        </w:tc>
        <w:tc>
          <w:tcPr>
            <w:tcW w:w="328" w:type="pct"/>
            <w:tcBorders>
              <w:top w:val="nil"/>
              <w:left w:val="nil"/>
              <w:bottom w:val="single" w:sz="4" w:space="0" w:color="auto"/>
              <w:right w:val="nil"/>
            </w:tcBorders>
            <w:shd w:val="clear" w:color="auto" w:fill="auto"/>
            <w:noWrap/>
            <w:vAlign w:val="center"/>
            <w:hideMark/>
          </w:tcPr>
          <w:p w14:paraId="0C3F8675" w14:textId="77777777" w:rsidR="0015270F" w:rsidRPr="0095562E" w:rsidRDefault="0015270F" w:rsidP="0095562E">
            <w:pPr>
              <w:spacing w:before="0" w:after="0"/>
              <w:rPr>
                <w:rStyle w:val="BookTitle"/>
                <w:sz w:val="18"/>
                <w:szCs w:val="18"/>
              </w:rPr>
            </w:pPr>
            <w:r w:rsidRPr="0095562E">
              <w:rPr>
                <w:rStyle w:val="BookTitle"/>
                <w:sz w:val="18"/>
                <w:szCs w:val="18"/>
              </w:rPr>
              <w:t>0.03</w:t>
            </w:r>
          </w:p>
        </w:tc>
        <w:tc>
          <w:tcPr>
            <w:tcW w:w="328" w:type="pct"/>
            <w:tcBorders>
              <w:top w:val="nil"/>
              <w:left w:val="nil"/>
              <w:bottom w:val="single" w:sz="4" w:space="0" w:color="auto"/>
              <w:right w:val="nil"/>
            </w:tcBorders>
            <w:shd w:val="clear" w:color="auto" w:fill="auto"/>
            <w:noWrap/>
            <w:vAlign w:val="center"/>
            <w:hideMark/>
          </w:tcPr>
          <w:p w14:paraId="0C3F8676" w14:textId="77777777" w:rsidR="0015270F" w:rsidRPr="0095562E" w:rsidRDefault="0015270F" w:rsidP="0095562E">
            <w:pPr>
              <w:spacing w:before="0" w:after="0"/>
              <w:rPr>
                <w:rStyle w:val="BookTitle"/>
                <w:sz w:val="18"/>
                <w:szCs w:val="18"/>
              </w:rPr>
            </w:pPr>
            <w:r w:rsidRPr="0095562E">
              <w:rPr>
                <w:rStyle w:val="BookTitle"/>
                <w:sz w:val="18"/>
                <w:szCs w:val="18"/>
              </w:rPr>
              <w:t>0.14</w:t>
            </w:r>
          </w:p>
        </w:tc>
        <w:tc>
          <w:tcPr>
            <w:tcW w:w="328" w:type="pct"/>
            <w:tcBorders>
              <w:top w:val="nil"/>
              <w:left w:val="nil"/>
              <w:bottom w:val="single" w:sz="4" w:space="0" w:color="auto"/>
              <w:right w:val="nil"/>
            </w:tcBorders>
            <w:shd w:val="clear" w:color="auto" w:fill="auto"/>
            <w:noWrap/>
            <w:vAlign w:val="center"/>
            <w:hideMark/>
          </w:tcPr>
          <w:p w14:paraId="0C3F8677" w14:textId="77777777" w:rsidR="0015270F" w:rsidRPr="0095562E" w:rsidRDefault="0015270F" w:rsidP="0095562E">
            <w:pPr>
              <w:spacing w:before="0" w:after="0"/>
              <w:rPr>
                <w:rStyle w:val="BookTitle"/>
                <w:sz w:val="18"/>
                <w:szCs w:val="18"/>
              </w:rPr>
            </w:pPr>
            <w:r w:rsidRPr="0095562E">
              <w:rPr>
                <w:rStyle w:val="BookTitle"/>
                <w:sz w:val="18"/>
                <w:szCs w:val="18"/>
              </w:rPr>
              <w:t>0.23</w:t>
            </w:r>
          </w:p>
        </w:tc>
        <w:tc>
          <w:tcPr>
            <w:tcW w:w="328" w:type="pct"/>
            <w:tcBorders>
              <w:top w:val="nil"/>
              <w:left w:val="nil"/>
              <w:bottom w:val="single" w:sz="4" w:space="0" w:color="auto"/>
              <w:right w:val="nil"/>
            </w:tcBorders>
            <w:shd w:val="clear" w:color="auto" w:fill="auto"/>
            <w:noWrap/>
            <w:vAlign w:val="center"/>
            <w:hideMark/>
          </w:tcPr>
          <w:p w14:paraId="0C3F8678" w14:textId="77777777" w:rsidR="0015270F" w:rsidRPr="0095562E" w:rsidRDefault="0015270F" w:rsidP="0095562E">
            <w:pPr>
              <w:spacing w:before="0" w:after="0"/>
              <w:rPr>
                <w:rStyle w:val="BookTitle"/>
                <w:sz w:val="18"/>
                <w:szCs w:val="18"/>
              </w:rPr>
            </w:pPr>
            <w:r w:rsidRPr="0095562E">
              <w:rPr>
                <w:rStyle w:val="BookTitle"/>
                <w:sz w:val="18"/>
                <w:szCs w:val="18"/>
              </w:rPr>
              <w:t>0.36</w:t>
            </w:r>
          </w:p>
        </w:tc>
        <w:tc>
          <w:tcPr>
            <w:tcW w:w="328" w:type="pct"/>
            <w:tcBorders>
              <w:top w:val="nil"/>
              <w:left w:val="nil"/>
              <w:bottom w:val="single" w:sz="4" w:space="0" w:color="auto"/>
              <w:right w:val="nil"/>
            </w:tcBorders>
            <w:shd w:val="clear" w:color="auto" w:fill="auto"/>
            <w:noWrap/>
            <w:vAlign w:val="center"/>
            <w:hideMark/>
          </w:tcPr>
          <w:p w14:paraId="0C3F8679" w14:textId="77777777" w:rsidR="0015270F" w:rsidRPr="0095562E" w:rsidRDefault="0015270F" w:rsidP="0095562E">
            <w:pPr>
              <w:spacing w:before="0" w:after="0"/>
              <w:rPr>
                <w:rStyle w:val="BookTitle"/>
                <w:sz w:val="18"/>
                <w:szCs w:val="18"/>
              </w:rPr>
            </w:pPr>
            <w:r w:rsidRPr="0095562E">
              <w:rPr>
                <w:rStyle w:val="BookTitle"/>
                <w:sz w:val="18"/>
                <w:szCs w:val="18"/>
              </w:rPr>
              <w:t>0.12</w:t>
            </w:r>
          </w:p>
        </w:tc>
        <w:tc>
          <w:tcPr>
            <w:tcW w:w="328" w:type="pct"/>
            <w:tcBorders>
              <w:top w:val="nil"/>
              <w:left w:val="nil"/>
              <w:bottom w:val="single" w:sz="4" w:space="0" w:color="auto"/>
              <w:right w:val="nil"/>
            </w:tcBorders>
            <w:shd w:val="clear" w:color="auto" w:fill="auto"/>
            <w:noWrap/>
            <w:vAlign w:val="center"/>
            <w:hideMark/>
          </w:tcPr>
          <w:p w14:paraId="0C3F867A" w14:textId="77777777" w:rsidR="0015270F" w:rsidRPr="0095562E" w:rsidRDefault="0015270F" w:rsidP="0095562E">
            <w:pPr>
              <w:spacing w:before="0" w:after="0"/>
              <w:rPr>
                <w:rStyle w:val="BookTitle"/>
                <w:sz w:val="18"/>
                <w:szCs w:val="18"/>
              </w:rPr>
            </w:pPr>
            <w:r w:rsidRPr="0095562E">
              <w:rPr>
                <w:rStyle w:val="BookTitle"/>
                <w:sz w:val="18"/>
                <w:szCs w:val="18"/>
              </w:rPr>
              <w:t>-0.07</w:t>
            </w:r>
          </w:p>
        </w:tc>
        <w:tc>
          <w:tcPr>
            <w:tcW w:w="328" w:type="pct"/>
            <w:tcBorders>
              <w:top w:val="nil"/>
              <w:left w:val="nil"/>
              <w:bottom w:val="single" w:sz="4" w:space="0" w:color="auto"/>
              <w:right w:val="nil"/>
            </w:tcBorders>
            <w:shd w:val="clear" w:color="auto" w:fill="auto"/>
            <w:noWrap/>
            <w:vAlign w:val="center"/>
            <w:hideMark/>
          </w:tcPr>
          <w:p w14:paraId="0C3F867B" w14:textId="77777777" w:rsidR="0015270F" w:rsidRPr="0095562E" w:rsidRDefault="0015270F" w:rsidP="0095562E">
            <w:pPr>
              <w:spacing w:before="0" w:after="0"/>
              <w:rPr>
                <w:rStyle w:val="BookTitle"/>
                <w:sz w:val="18"/>
                <w:szCs w:val="18"/>
              </w:rPr>
            </w:pPr>
            <w:r w:rsidRPr="0095562E">
              <w:rPr>
                <w:rStyle w:val="BookTitle"/>
                <w:sz w:val="18"/>
                <w:szCs w:val="18"/>
              </w:rPr>
              <w:t>-0.05</w:t>
            </w:r>
          </w:p>
        </w:tc>
        <w:tc>
          <w:tcPr>
            <w:tcW w:w="328" w:type="pct"/>
            <w:tcBorders>
              <w:top w:val="nil"/>
              <w:left w:val="nil"/>
              <w:bottom w:val="single" w:sz="4" w:space="0" w:color="auto"/>
              <w:right w:val="nil"/>
            </w:tcBorders>
            <w:shd w:val="clear" w:color="auto" w:fill="auto"/>
            <w:noWrap/>
            <w:vAlign w:val="center"/>
            <w:hideMark/>
          </w:tcPr>
          <w:p w14:paraId="0C3F867C" w14:textId="77777777" w:rsidR="0015270F" w:rsidRPr="0095562E" w:rsidRDefault="0015270F" w:rsidP="0095562E">
            <w:pPr>
              <w:spacing w:before="0" w:after="0"/>
              <w:rPr>
                <w:rStyle w:val="BookTitle"/>
                <w:sz w:val="18"/>
                <w:szCs w:val="18"/>
              </w:rPr>
            </w:pPr>
            <w:r w:rsidRPr="0095562E">
              <w:rPr>
                <w:rStyle w:val="BookTitle"/>
                <w:sz w:val="18"/>
                <w:szCs w:val="18"/>
              </w:rPr>
              <w:t>0.43</w:t>
            </w:r>
          </w:p>
        </w:tc>
        <w:tc>
          <w:tcPr>
            <w:tcW w:w="328" w:type="pct"/>
            <w:tcBorders>
              <w:top w:val="nil"/>
              <w:left w:val="nil"/>
              <w:bottom w:val="single" w:sz="4" w:space="0" w:color="auto"/>
              <w:right w:val="nil"/>
            </w:tcBorders>
            <w:shd w:val="clear" w:color="auto" w:fill="auto"/>
            <w:noWrap/>
            <w:vAlign w:val="center"/>
            <w:hideMark/>
          </w:tcPr>
          <w:p w14:paraId="0C3F867D" w14:textId="77777777" w:rsidR="0015270F" w:rsidRPr="0095562E" w:rsidRDefault="0015270F" w:rsidP="0095562E">
            <w:pPr>
              <w:spacing w:before="0" w:after="0"/>
              <w:rPr>
                <w:rStyle w:val="BookTitle"/>
                <w:sz w:val="18"/>
                <w:szCs w:val="18"/>
              </w:rPr>
            </w:pPr>
            <w:r w:rsidRPr="0095562E">
              <w:rPr>
                <w:rStyle w:val="BookTitle"/>
                <w:sz w:val="18"/>
                <w:szCs w:val="18"/>
              </w:rPr>
              <w:t>1</w:t>
            </w:r>
          </w:p>
        </w:tc>
      </w:tr>
    </w:tbl>
    <w:p w14:paraId="0C3F867F" w14:textId="77777777" w:rsidR="00837E1A" w:rsidRDefault="00837E1A" w:rsidP="0015270F">
      <w:pPr>
        <w:rPr>
          <w:highlight w:val="yellow"/>
        </w:rPr>
      </w:pPr>
    </w:p>
    <w:p w14:paraId="0C3F8680" w14:textId="77777777" w:rsidR="00162359" w:rsidRDefault="00162359" w:rsidP="0015270F">
      <w:pPr>
        <w:rPr>
          <w:highlight w:val="yellow"/>
        </w:rPr>
      </w:pPr>
    </w:p>
    <w:p w14:paraId="0C3F8681" w14:textId="77777777" w:rsidR="00162359" w:rsidRDefault="00162359" w:rsidP="0015270F">
      <w:pPr>
        <w:rPr>
          <w:highlight w:val="yellow"/>
        </w:rPr>
      </w:pPr>
    </w:p>
    <w:p w14:paraId="0C3F8682" w14:textId="77777777" w:rsidR="00162359" w:rsidRPr="000313CF" w:rsidRDefault="00162359" w:rsidP="0015270F">
      <w:pPr>
        <w:rPr>
          <w:highlight w:val="yellow"/>
        </w:rPr>
      </w:pPr>
    </w:p>
    <w:p w14:paraId="0C3F8683" w14:textId="77777777" w:rsidR="000313CF" w:rsidRDefault="000313CF" w:rsidP="00C05A63">
      <w:pPr>
        <w:pStyle w:val="Heading2"/>
        <w:keepNext/>
        <w:numPr>
          <w:ilvl w:val="2"/>
          <w:numId w:val="21"/>
        </w:numPr>
        <w:spacing w:line="80" w:lineRule="atLeast"/>
      </w:pPr>
      <w:bookmarkStart w:id="130" w:name="_Toc434208000"/>
      <w:bookmarkStart w:id="131" w:name="_Toc428793320"/>
      <w:bookmarkStart w:id="132" w:name="_Toc428851339"/>
      <w:r>
        <w:t>Data analysis - temporal</w:t>
      </w:r>
      <w:bookmarkEnd w:id="130"/>
    </w:p>
    <w:bookmarkEnd w:id="131"/>
    <w:bookmarkEnd w:id="132"/>
    <w:p w14:paraId="0C3F8684" w14:textId="77777777" w:rsidR="000313CF" w:rsidRDefault="002827F5" w:rsidP="0015270F">
      <w:r>
        <w:t>Statistical</w:t>
      </w:r>
      <w:r w:rsidR="000313CF">
        <w:t xml:space="preserve"> measures of the </w:t>
      </w:r>
      <w:r w:rsidR="0015270F">
        <w:t xml:space="preserve">main WQ parameters that have been measured </w:t>
      </w:r>
      <w:r w:rsidR="000313CF">
        <w:t>in the</w:t>
      </w:r>
      <w:r w:rsidR="0015270F">
        <w:t xml:space="preserve"> most frequently sampled </w:t>
      </w:r>
      <w:r w:rsidR="00330E11">
        <w:t>transect</w:t>
      </w:r>
      <w:r w:rsidR="0015270F">
        <w:t xml:space="preserve"> </w:t>
      </w:r>
      <w:r w:rsidR="00330E11">
        <w:t>for the</w:t>
      </w:r>
      <w:r w:rsidR="0015270F">
        <w:t xml:space="preserve"> last 8 wet seasons</w:t>
      </w:r>
      <w:r w:rsidR="000313CF">
        <w:t xml:space="preserve"> are presented in </w:t>
      </w:r>
      <w:r w:rsidR="000313CF">
        <w:fldChar w:fldCharType="begin"/>
      </w:r>
      <w:r w:rsidR="000313CF">
        <w:instrText xml:space="preserve"> REF _Ref428878861 \h </w:instrText>
      </w:r>
      <w:r w:rsidR="000313CF">
        <w:fldChar w:fldCharType="separate"/>
      </w:r>
      <w:r w:rsidR="00B62B50">
        <w:t xml:space="preserve">Table </w:t>
      </w:r>
      <w:r w:rsidR="00B62B50">
        <w:rPr>
          <w:noProof/>
        </w:rPr>
        <w:t>4</w:t>
      </w:r>
      <w:r w:rsidR="00B62B50">
        <w:noBreakHyphen/>
      </w:r>
      <w:r w:rsidR="00B62B50">
        <w:rPr>
          <w:noProof/>
        </w:rPr>
        <w:t>9</w:t>
      </w:r>
      <w:r w:rsidR="000313CF">
        <w:fldChar w:fldCharType="end"/>
      </w:r>
      <w:r w:rsidR="0015270F">
        <w:t>. Minimum values were consistently measured at the Franklins transect and the maximum values were consistently measured at the Burdekin to Palm Island transect, for all WQ parameters with the exception of TSS (</w:t>
      </w:r>
      <w:r w:rsidR="0015270F" w:rsidRPr="002827F5">
        <w:t xml:space="preserve">430mg/L)  and chl-a (26.7 µg/L), which were measured in the Fitzroy. The maximum concentration of DIN (26.3 µM) was measured in the Tully. These simple </w:t>
      </w:r>
      <w:r w:rsidR="00330E11" w:rsidRPr="002827F5">
        <w:t xml:space="preserve">statistical </w:t>
      </w:r>
      <w:r w:rsidR="0015270F" w:rsidRPr="002827F5">
        <w:t>measurements reflect</w:t>
      </w:r>
      <w:r w:rsidR="00330E11" w:rsidRPr="002827F5">
        <w:t xml:space="preserve"> the hydromorp</w:t>
      </w:r>
      <w:r w:rsidR="00C479AE">
        <w:t>h</w:t>
      </w:r>
      <w:r w:rsidR="00330E11" w:rsidRPr="002827F5">
        <w:t>ological characteristics and</w:t>
      </w:r>
      <w:r w:rsidR="0015270F" w:rsidRPr="002827F5">
        <w:t xml:space="preserve"> adjacent land use activity, with </w:t>
      </w:r>
      <w:r w:rsidR="00330E11" w:rsidRPr="002827F5">
        <w:t xml:space="preserve">the high concentrations of DIN </w:t>
      </w:r>
      <w:r w:rsidR="0015270F" w:rsidRPr="002827F5">
        <w:t>consistently measured off the Tully</w:t>
      </w:r>
      <w:r w:rsidR="00330E11" w:rsidRPr="002827F5">
        <w:t xml:space="preserve"> influenced by the high rates of fertilised agriculture with multi-annual discharge events delivering the DIN to the marine environment (Waterhouse et al., 2014). </w:t>
      </w:r>
      <w:r w:rsidR="0015270F" w:rsidRPr="002827F5">
        <w:t xml:space="preserve"> </w:t>
      </w:r>
    </w:p>
    <w:p w14:paraId="0C3F8685" w14:textId="77777777" w:rsidR="0015270F" w:rsidRDefault="0015270F" w:rsidP="000313CF">
      <w:pPr>
        <w:pStyle w:val="Caption"/>
      </w:pPr>
      <w:bookmarkStart w:id="133" w:name="_Ref428878861"/>
      <w:bookmarkStart w:id="134" w:name="_Toc434208076"/>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9</w:t>
      </w:r>
      <w:r w:rsidR="00AE4287">
        <w:fldChar w:fldCharType="end"/>
      </w:r>
      <w:bookmarkEnd w:id="133"/>
      <w:r>
        <w:t>: Mean, maximum and minimum WQ parameters concentrations measured at 4 of the most often sampled transects (i.e., Franklins, Tully to Sisters, Burdekin to Palm Island, and Fitzroy to Keppels)</w:t>
      </w:r>
      <w:r w:rsidRPr="008F1CE3">
        <w:t xml:space="preserve"> </w:t>
      </w:r>
      <w:r>
        <w:t xml:space="preserve">over the last 8 wet seasons (2006 – 2013). WQ parameters </w:t>
      </w:r>
      <w:r w:rsidR="000313CF">
        <w:t xml:space="preserve">include TSS, </w:t>
      </w:r>
      <w:r w:rsidR="005F304A">
        <w:t>chl</w:t>
      </w:r>
      <w:r w:rsidR="000313CF">
        <w:t>-a TN, TP, DIN, DIP, PN, PP.</w:t>
      </w:r>
      <w:bookmarkEnd w:id="134"/>
    </w:p>
    <w:tbl>
      <w:tblPr>
        <w:tblStyle w:val="TableClassic1"/>
        <w:tblW w:w="3119" w:type="pct"/>
        <w:tblInd w:w="1848" w:type="dxa"/>
        <w:tblLook w:val="04A0" w:firstRow="1" w:lastRow="0" w:firstColumn="1" w:lastColumn="0" w:noHBand="0" w:noVBand="1"/>
        <w:tblCaption w:val="Mean, maximum and minimum WQ parameters concentrations measured at 4 of the most often sampled transects "/>
        <w:tblDescription w:val="Mean, maximum and minimum WQ parameters concentrations measured at 4 of the most often sampled transects (i.e., Franklins, Tully to Sisters, Burdekin to Palm Island, and Fitzroy to Keppels) over the last 8 wet seasons (2006 – 2013). WQ parameters include TSS, chl-a TN, TP, DIN, DIP, PN, PP."/>
      </w:tblPr>
      <w:tblGrid>
        <w:gridCol w:w="1239"/>
        <w:gridCol w:w="1073"/>
        <w:gridCol w:w="700"/>
        <w:gridCol w:w="893"/>
        <w:gridCol w:w="828"/>
        <w:gridCol w:w="1106"/>
        <w:gridCol w:w="83"/>
      </w:tblGrid>
      <w:tr w:rsidR="00935052" w:rsidRPr="000313CF" w14:paraId="0C3F8689" w14:textId="77777777" w:rsidTr="00935052">
        <w:trPr>
          <w:gridAfter w:val="1"/>
          <w:cnfStyle w:val="100000000000" w:firstRow="1" w:lastRow="0" w:firstColumn="0" w:lastColumn="0" w:oddVBand="0" w:evenVBand="0" w:oddHBand="0" w:evenHBand="0" w:firstRowFirstColumn="0" w:firstRowLastColumn="0" w:lastRowFirstColumn="0" w:lastRowLastColumn="0"/>
          <w:wAfter w:w="62" w:type="pct"/>
          <w:trHeight w:val="20"/>
        </w:trPr>
        <w:tc>
          <w:tcPr>
            <w:cnfStyle w:val="001000000000" w:firstRow="0" w:lastRow="0" w:firstColumn="1" w:lastColumn="0" w:oddVBand="0" w:evenVBand="0" w:oddHBand="0" w:evenHBand="0" w:firstRowFirstColumn="0" w:firstRowLastColumn="0" w:lastRowFirstColumn="0" w:lastRowLastColumn="0"/>
            <w:tcW w:w="1074" w:type="pct"/>
            <w:noWrap/>
            <w:hideMark/>
          </w:tcPr>
          <w:p w14:paraId="0C3F8686" w14:textId="77777777" w:rsidR="00935052" w:rsidRPr="000313CF" w:rsidRDefault="00935052" w:rsidP="000313CF">
            <w:pPr>
              <w:spacing w:before="0" w:after="0"/>
              <w:rPr>
                <w:rStyle w:val="BookTitle"/>
              </w:rPr>
            </w:pPr>
            <w:r w:rsidRPr="000313CF">
              <w:rPr>
                <w:rStyle w:val="BookTitle"/>
              </w:rPr>
              <w:t> </w:t>
            </w:r>
          </w:p>
        </w:tc>
        <w:tc>
          <w:tcPr>
            <w:tcW w:w="3030" w:type="pct"/>
            <w:gridSpan w:val="4"/>
            <w:tcBorders>
              <w:top w:val="single" w:sz="12" w:space="0" w:color="000000"/>
              <w:right w:val="single" w:sz="4" w:space="0" w:color="auto"/>
            </w:tcBorders>
            <w:noWrap/>
            <w:hideMark/>
          </w:tcPr>
          <w:p w14:paraId="0C3F8687" w14:textId="77777777" w:rsidR="00935052" w:rsidRPr="000313CF" w:rsidRDefault="00935052" w:rsidP="000313CF">
            <w:pPr>
              <w:spacing w:before="0" w:after="0"/>
              <w:cnfStyle w:val="100000000000" w:firstRow="1" w:lastRow="0" w:firstColumn="0" w:lastColumn="0" w:oddVBand="0" w:evenVBand="0" w:oddHBand="0" w:evenHBand="0" w:firstRowFirstColumn="0" w:firstRowLastColumn="0" w:lastRowFirstColumn="0" w:lastRowLastColumn="0"/>
              <w:rPr>
                <w:rStyle w:val="BookTitle"/>
              </w:rPr>
            </w:pPr>
            <w:r w:rsidRPr="000313CF">
              <w:rPr>
                <w:rStyle w:val="BookTitle"/>
              </w:rPr>
              <w:t>Minimum</w:t>
            </w:r>
          </w:p>
        </w:tc>
        <w:tc>
          <w:tcPr>
            <w:tcW w:w="833" w:type="pct"/>
            <w:tcBorders>
              <w:left w:val="single" w:sz="4" w:space="0" w:color="auto"/>
            </w:tcBorders>
            <w:hideMark/>
          </w:tcPr>
          <w:p w14:paraId="0C3F8688" w14:textId="77777777" w:rsidR="00935052" w:rsidRPr="000313CF" w:rsidRDefault="00935052" w:rsidP="000313CF">
            <w:pPr>
              <w:spacing w:before="0" w:after="0"/>
              <w:cnfStyle w:val="100000000000" w:firstRow="1" w:lastRow="0" w:firstColumn="0" w:lastColumn="0" w:oddVBand="0" w:evenVBand="0" w:oddHBand="0" w:evenHBand="0" w:firstRowFirstColumn="0" w:firstRowLastColumn="0" w:lastRowFirstColumn="0" w:lastRowLastColumn="0"/>
              <w:rPr>
                <w:rStyle w:val="BookTitle"/>
              </w:rPr>
            </w:pPr>
          </w:p>
        </w:tc>
      </w:tr>
      <w:tr w:rsidR="00935052" w:rsidRPr="000313CF" w14:paraId="0C3F8690"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8A" w14:textId="77777777" w:rsidR="00935052" w:rsidRPr="000313CF" w:rsidRDefault="00935052" w:rsidP="000313CF">
            <w:pPr>
              <w:spacing w:before="0" w:after="0"/>
              <w:rPr>
                <w:rStyle w:val="BookTitle"/>
              </w:rPr>
            </w:pPr>
            <w:r w:rsidRPr="000313CF">
              <w:rPr>
                <w:rStyle w:val="BookTitle"/>
              </w:rPr>
              <w:t>Parameters</w:t>
            </w:r>
          </w:p>
        </w:tc>
        <w:tc>
          <w:tcPr>
            <w:tcW w:w="930" w:type="pct"/>
            <w:tcBorders>
              <w:top w:val="nil"/>
              <w:bottom w:val="nil"/>
            </w:tcBorders>
            <w:noWrap/>
            <w:hideMark/>
          </w:tcPr>
          <w:p w14:paraId="0C3F868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Frank.</w:t>
            </w:r>
          </w:p>
        </w:tc>
        <w:tc>
          <w:tcPr>
            <w:tcW w:w="607" w:type="pct"/>
            <w:tcBorders>
              <w:top w:val="nil"/>
              <w:bottom w:val="nil"/>
            </w:tcBorders>
            <w:noWrap/>
            <w:hideMark/>
          </w:tcPr>
          <w:p w14:paraId="0C3F868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Tully</w:t>
            </w:r>
          </w:p>
        </w:tc>
        <w:tc>
          <w:tcPr>
            <w:tcW w:w="774" w:type="pct"/>
            <w:tcBorders>
              <w:top w:val="nil"/>
              <w:bottom w:val="nil"/>
            </w:tcBorders>
            <w:noWrap/>
            <w:hideMark/>
          </w:tcPr>
          <w:p w14:paraId="0C3F868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Burden.</w:t>
            </w:r>
          </w:p>
        </w:tc>
        <w:tc>
          <w:tcPr>
            <w:tcW w:w="718" w:type="pct"/>
            <w:tcBorders>
              <w:top w:val="nil"/>
              <w:bottom w:val="nil"/>
              <w:right w:val="single" w:sz="4" w:space="0" w:color="auto"/>
            </w:tcBorders>
            <w:noWrap/>
            <w:hideMark/>
          </w:tcPr>
          <w:p w14:paraId="0C3F868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Fitzroy</w:t>
            </w:r>
          </w:p>
        </w:tc>
        <w:tc>
          <w:tcPr>
            <w:tcW w:w="896" w:type="pct"/>
            <w:gridSpan w:val="2"/>
            <w:tcBorders>
              <w:top w:val="nil"/>
              <w:left w:val="single" w:sz="4" w:space="0" w:color="auto"/>
              <w:bottom w:val="nil"/>
            </w:tcBorders>
            <w:noWrap/>
            <w:hideMark/>
          </w:tcPr>
          <w:p w14:paraId="0C3F868F" w14:textId="77777777" w:rsidR="00935052" w:rsidRPr="000313CF" w:rsidRDefault="005F304A"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Pr>
                <w:rStyle w:val="BookTitle"/>
              </w:rPr>
              <w:t>Total count</w:t>
            </w:r>
          </w:p>
        </w:tc>
      </w:tr>
      <w:tr w:rsidR="00935052" w:rsidRPr="000313CF" w14:paraId="0C3F8697"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91" w14:textId="77777777" w:rsidR="00935052" w:rsidRPr="000313CF" w:rsidRDefault="00935052" w:rsidP="000313CF">
            <w:pPr>
              <w:spacing w:before="0" w:after="0"/>
              <w:rPr>
                <w:rStyle w:val="BookTitle"/>
              </w:rPr>
            </w:pPr>
            <w:r w:rsidRPr="000313CF">
              <w:rPr>
                <w:rStyle w:val="BookTitle"/>
              </w:rPr>
              <w:t>TSS</w:t>
            </w:r>
          </w:p>
        </w:tc>
        <w:tc>
          <w:tcPr>
            <w:tcW w:w="930" w:type="pct"/>
            <w:tcBorders>
              <w:top w:val="nil"/>
              <w:bottom w:val="nil"/>
            </w:tcBorders>
            <w:noWrap/>
            <w:hideMark/>
          </w:tcPr>
          <w:p w14:paraId="0C3F869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1.46</w:t>
            </w:r>
          </w:p>
        </w:tc>
        <w:tc>
          <w:tcPr>
            <w:tcW w:w="607" w:type="pct"/>
            <w:tcBorders>
              <w:top w:val="nil"/>
              <w:bottom w:val="nil"/>
            </w:tcBorders>
            <w:noWrap/>
            <w:hideMark/>
          </w:tcPr>
          <w:p w14:paraId="0C3F869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0.40</w:t>
            </w:r>
          </w:p>
        </w:tc>
        <w:tc>
          <w:tcPr>
            <w:tcW w:w="774" w:type="pct"/>
            <w:tcBorders>
              <w:top w:val="nil"/>
              <w:bottom w:val="nil"/>
            </w:tcBorders>
            <w:noWrap/>
            <w:hideMark/>
          </w:tcPr>
          <w:p w14:paraId="0C3F869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0.25</w:t>
            </w:r>
          </w:p>
        </w:tc>
        <w:tc>
          <w:tcPr>
            <w:tcW w:w="718" w:type="pct"/>
            <w:tcBorders>
              <w:top w:val="nil"/>
              <w:bottom w:val="nil"/>
              <w:right w:val="single" w:sz="4" w:space="0" w:color="auto"/>
            </w:tcBorders>
            <w:noWrap/>
            <w:hideMark/>
          </w:tcPr>
          <w:p w14:paraId="0C3F869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0.82</w:t>
            </w:r>
          </w:p>
        </w:tc>
        <w:tc>
          <w:tcPr>
            <w:tcW w:w="896" w:type="pct"/>
            <w:gridSpan w:val="2"/>
            <w:tcBorders>
              <w:top w:val="nil"/>
              <w:left w:val="single" w:sz="4" w:space="0" w:color="auto"/>
              <w:bottom w:val="nil"/>
            </w:tcBorders>
            <w:noWrap/>
            <w:hideMark/>
          </w:tcPr>
          <w:p w14:paraId="0C3F869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171</w:t>
            </w:r>
          </w:p>
        </w:tc>
      </w:tr>
      <w:tr w:rsidR="00935052" w:rsidRPr="000313CF" w14:paraId="0C3F869E"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98" w14:textId="77777777" w:rsidR="00935052" w:rsidRPr="000313CF" w:rsidRDefault="00935052" w:rsidP="000313CF">
            <w:pPr>
              <w:spacing w:before="0" w:after="0"/>
              <w:rPr>
                <w:rStyle w:val="BookTitle"/>
              </w:rPr>
            </w:pPr>
            <w:r w:rsidRPr="000313CF">
              <w:rPr>
                <w:rStyle w:val="BookTitle"/>
              </w:rPr>
              <w:t>Chl-a</w:t>
            </w:r>
          </w:p>
        </w:tc>
        <w:tc>
          <w:tcPr>
            <w:tcW w:w="930" w:type="pct"/>
            <w:tcBorders>
              <w:top w:val="nil"/>
              <w:bottom w:val="nil"/>
            </w:tcBorders>
            <w:noWrap/>
            <w:hideMark/>
          </w:tcPr>
          <w:p w14:paraId="0C3F869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0.21</w:t>
            </w:r>
          </w:p>
        </w:tc>
        <w:tc>
          <w:tcPr>
            <w:tcW w:w="607" w:type="pct"/>
            <w:tcBorders>
              <w:top w:val="nil"/>
              <w:bottom w:val="nil"/>
            </w:tcBorders>
            <w:noWrap/>
            <w:hideMark/>
          </w:tcPr>
          <w:p w14:paraId="0C3F869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0.20</w:t>
            </w:r>
          </w:p>
        </w:tc>
        <w:tc>
          <w:tcPr>
            <w:tcW w:w="774" w:type="pct"/>
            <w:tcBorders>
              <w:top w:val="nil"/>
              <w:bottom w:val="nil"/>
            </w:tcBorders>
            <w:noWrap/>
            <w:hideMark/>
          </w:tcPr>
          <w:p w14:paraId="0C3F869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0.20</w:t>
            </w:r>
          </w:p>
        </w:tc>
        <w:tc>
          <w:tcPr>
            <w:tcW w:w="718" w:type="pct"/>
            <w:tcBorders>
              <w:top w:val="nil"/>
              <w:bottom w:val="nil"/>
              <w:right w:val="single" w:sz="4" w:space="0" w:color="auto"/>
            </w:tcBorders>
            <w:noWrap/>
            <w:hideMark/>
          </w:tcPr>
          <w:p w14:paraId="0C3F869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0.20</w:t>
            </w:r>
          </w:p>
        </w:tc>
        <w:tc>
          <w:tcPr>
            <w:tcW w:w="896" w:type="pct"/>
            <w:gridSpan w:val="2"/>
            <w:tcBorders>
              <w:top w:val="nil"/>
              <w:left w:val="single" w:sz="4" w:space="0" w:color="auto"/>
              <w:bottom w:val="nil"/>
            </w:tcBorders>
            <w:noWrap/>
            <w:hideMark/>
          </w:tcPr>
          <w:p w14:paraId="0C3F869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174</w:t>
            </w:r>
          </w:p>
        </w:tc>
      </w:tr>
      <w:tr w:rsidR="00935052" w:rsidRPr="000313CF" w14:paraId="0C3F86A5"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9F" w14:textId="77777777" w:rsidR="00935052" w:rsidRPr="000313CF" w:rsidRDefault="00935052" w:rsidP="000313CF">
            <w:pPr>
              <w:spacing w:before="0" w:after="0"/>
              <w:rPr>
                <w:rStyle w:val="BookTitle"/>
              </w:rPr>
            </w:pPr>
            <w:r w:rsidRPr="000313CF">
              <w:rPr>
                <w:rStyle w:val="BookTitle"/>
              </w:rPr>
              <w:t>TN</w:t>
            </w:r>
          </w:p>
        </w:tc>
        <w:tc>
          <w:tcPr>
            <w:tcW w:w="930" w:type="pct"/>
            <w:tcBorders>
              <w:top w:val="nil"/>
              <w:bottom w:val="nil"/>
            </w:tcBorders>
            <w:noWrap/>
            <w:hideMark/>
          </w:tcPr>
          <w:p w14:paraId="0C3F86A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6.43</w:t>
            </w:r>
          </w:p>
        </w:tc>
        <w:tc>
          <w:tcPr>
            <w:tcW w:w="607" w:type="pct"/>
            <w:tcBorders>
              <w:top w:val="nil"/>
              <w:bottom w:val="nil"/>
            </w:tcBorders>
            <w:noWrap/>
            <w:hideMark/>
          </w:tcPr>
          <w:p w14:paraId="0C3F86A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0.93</w:t>
            </w:r>
          </w:p>
        </w:tc>
        <w:tc>
          <w:tcPr>
            <w:tcW w:w="774" w:type="pct"/>
            <w:tcBorders>
              <w:top w:val="nil"/>
              <w:bottom w:val="nil"/>
            </w:tcBorders>
            <w:noWrap/>
            <w:hideMark/>
          </w:tcPr>
          <w:p w14:paraId="0C3F86A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1.93</w:t>
            </w:r>
          </w:p>
        </w:tc>
        <w:tc>
          <w:tcPr>
            <w:tcW w:w="718" w:type="pct"/>
            <w:tcBorders>
              <w:top w:val="nil"/>
              <w:bottom w:val="nil"/>
              <w:right w:val="single" w:sz="4" w:space="0" w:color="auto"/>
            </w:tcBorders>
            <w:noWrap/>
            <w:hideMark/>
          </w:tcPr>
          <w:p w14:paraId="0C3F86A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5.50</w:t>
            </w:r>
          </w:p>
        </w:tc>
        <w:tc>
          <w:tcPr>
            <w:tcW w:w="896" w:type="pct"/>
            <w:gridSpan w:val="2"/>
            <w:tcBorders>
              <w:top w:val="nil"/>
              <w:left w:val="single" w:sz="4" w:space="0" w:color="auto"/>
              <w:bottom w:val="nil"/>
            </w:tcBorders>
            <w:noWrap/>
            <w:hideMark/>
          </w:tcPr>
          <w:p w14:paraId="0C3F86A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168</w:t>
            </w:r>
          </w:p>
        </w:tc>
      </w:tr>
      <w:tr w:rsidR="00935052" w:rsidRPr="000313CF" w14:paraId="0C3F86AC"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A6" w14:textId="77777777" w:rsidR="00935052" w:rsidRPr="000313CF" w:rsidRDefault="00935052" w:rsidP="000313CF">
            <w:pPr>
              <w:spacing w:before="0" w:after="0"/>
              <w:rPr>
                <w:rStyle w:val="BookTitle"/>
              </w:rPr>
            </w:pPr>
            <w:r w:rsidRPr="000313CF">
              <w:rPr>
                <w:rStyle w:val="BookTitle"/>
              </w:rPr>
              <w:t>TP</w:t>
            </w:r>
          </w:p>
        </w:tc>
        <w:tc>
          <w:tcPr>
            <w:tcW w:w="930" w:type="pct"/>
            <w:tcBorders>
              <w:top w:val="nil"/>
              <w:bottom w:val="nil"/>
            </w:tcBorders>
            <w:noWrap/>
            <w:hideMark/>
          </w:tcPr>
          <w:p w14:paraId="0C3F86A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0.16</w:t>
            </w:r>
          </w:p>
        </w:tc>
        <w:tc>
          <w:tcPr>
            <w:tcW w:w="607" w:type="pct"/>
            <w:tcBorders>
              <w:top w:val="nil"/>
              <w:bottom w:val="nil"/>
            </w:tcBorders>
            <w:noWrap/>
            <w:hideMark/>
          </w:tcPr>
          <w:p w14:paraId="0C3F86A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0.10</w:t>
            </w:r>
          </w:p>
        </w:tc>
        <w:tc>
          <w:tcPr>
            <w:tcW w:w="774" w:type="pct"/>
            <w:tcBorders>
              <w:top w:val="nil"/>
              <w:bottom w:val="nil"/>
            </w:tcBorders>
            <w:noWrap/>
            <w:hideMark/>
          </w:tcPr>
          <w:p w14:paraId="0C3F86A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0.16</w:t>
            </w:r>
          </w:p>
        </w:tc>
        <w:tc>
          <w:tcPr>
            <w:tcW w:w="718" w:type="pct"/>
            <w:tcBorders>
              <w:top w:val="nil"/>
              <w:bottom w:val="nil"/>
              <w:right w:val="single" w:sz="4" w:space="0" w:color="auto"/>
            </w:tcBorders>
            <w:noWrap/>
            <w:hideMark/>
          </w:tcPr>
          <w:p w14:paraId="0C3F86A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0.31</w:t>
            </w:r>
          </w:p>
        </w:tc>
        <w:tc>
          <w:tcPr>
            <w:tcW w:w="896" w:type="pct"/>
            <w:gridSpan w:val="2"/>
            <w:tcBorders>
              <w:top w:val="nil"/>
              <w:left w:val="single" w:sz="4" w:space="0" w:color="auto"/>
              <w:bottom w:val="nil"/>
            </w:tcBorders>
            <w:noWrap/>
            <w:hideMark/>
          </w:tcPr>
          <w:p w14:paraId="0C3F86A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155</w:t>
            </w:r>
          </w:p>
        </w:tc>
      </w:tr>
      <w:tr w:rsidR="00935052" w:rsidRPr="000313CF" w14:paraId="0C3F86B3"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AD" w14:textId="77777777" w:rsidR="00935052" w:rsidRPr="000313CF" w:rsidRDefault="00935052" w:rsidP="000313CF">
            <w:pPr>
              <w:spacing w:before="0" w:after="0"/>
              <w:rPr>
                <w:rStyle w:val="BookTitle"/>
              </w:rPr>
            </w:pPr>
            <w:r w:rsidRPr="000313CF">
              <w:rPr>
                <w:rStyle w:val="BookTitle"/>
              </w:rPr>
              <w:t>DIN</w:t>
            </w:r>
          </w:p>
        </w:tc>
        <w:tc>
          <w:tcPr>
            <w:tcW w:w="930" w:type="pct"/>
            <w:tcBorders>
              <w:top w:val="nil"/>
              <w:bottom w:val="nil"/>
            </w:tcBorders>
            <w:noWrap/>
            <w:hideMark/>
          </w:tcPr>
          <w:p w14:paraId="0C3F86A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0.79</w:t>
            </w:r>
          </w:p>
        </w:tc>
        <w:tc>
          <w:tcPr>
            <w:tcW w:w="607" w:type="pct"/>
            <w:tcBorders>
              <w:top w:val="nil"/>
              <w:bottom w:val="nil"/>
            </w:tcBorders>
            <w:noWrap/>
            <w:hideMark/>
          </w:tcPr>
          <w:p w14:paraId="0C3F86A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0.07</w:t>
            </w:r>
          </w:p>
        </w:tc>
        <w:tc>
          <w:tcPr>
            <w:tcW w:w="774" w:type="pct"/>
            <w:tcBorders>
              <w:top w:val="nil"/>
              <w:bottom w:val="nil"/>
            </w:tcBorders>
            <w:noWrap/>
            <w:hideMark/>
          </w:tcPr>
          <w:p w14:paraId="0C3F86B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0.03</w:t>
            </w:r>
          </w:p>
        </w:tc>
        <w:tc>
          <w:tcPr>
            <w:tcW w:w="718" w:type="pct"/>
            <w:tcBorders>
              <w:top w:val="nil"/>
              <w:bottom w:val="nil"/>
              <w:right w:val="single" w:sz="4" w:space="0" w:color="auto"/>
            </w:tcBorders>
            <w:noWrap/>
            <w:hideMark/>
          </w:tcPr>
          <w:p w14:paraId="0C3F86B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0.01</w:t>
            </w:r>
          </w:p>
        </w:tc>
        <w:tc>
          <w:tcPr>
            <w:tcW w:w="896" w:type="pct"/>
            <w:gridSpan w:val="2"/>
            <w:tcBorders>
              <w:top w:val="nil"/>
              <w:left w:val="single" w:sz="4" w:space="0" w:color="auto"/>
              <w:bottom w:val="nil"/>
            </w:tcBorders>
            <w:noWrap/>
            <w:hideMark/>
          </w:tcPr>
          <w:p w14:paraId="0C3F86B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156</w:t>
            </w:r>
          </w:p>
        </w:tc>
      </w:tr>
      <w:tr w:rsidR="00935052" w:rsidRPr="000313CF" w14:paraId="0C3F86BA"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B4" w14:textId="77777777" w:rsidR="00935052" w:rsidRPr="000313CF" w:rsidRDefault="00935052" w:rsidP="000313CF">
            <w:pPr>
              <w:spacing w:before="0" w:after="0"/>
              <w:rPr>
                <w:rStyle w:val="BookTitle"/>
              </w:rPr>
            </w:pPr>
            <w:r w:rsidRPr="000313CF">
              <w:rPr>
                <w:rStyle w:val="BookTitle"/>
              </w:rPr>
              <w:t>DIP</w:t>
            </w:r>
          </w:p>
        </w:tc>
        <w:tc>
          <w:tcPr>
            <w:tcW w:w="930" w:type="pct"/>
            <w:tcBorders>
              <w:top w:val="nil"/>
              <w:bottom w:val="nil"/>
            </w:tcBorders>
            <w:noWrap/>
            <w:hideMark/>
          </w:tcPr>
          <w:p w14:paraId="0C3F86B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0.06</w:t>
            </w:r>
          </w:p>
        </w:tc>
        <w:tc>
          <w:tcPr>
            <w:tcW w:w="607" w:type="pct"/>
            <w:tcBorders>
              <w:top w:val="nil"/>
              <w:bottom w:val="nil"/>
            </w:tcBorders>
            <w:noWrap/>
            <w:hideMark/>
          </w:tcPr>
          <w:p w14:paraId="0C3F86B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0.01</w:t>
            </w:r>
          </w:p>
        </w:tc>
        <w:tc>
          <w:tcPr>
            <w:tcW w:w="774" w:type="pct"/>
            <w:tcBorders>
              <w:top w:val="nil"/>
              <w:bottom w:val="nil"/>
            </w:tcBorders>
            <w:noWrap/>
            <w:hideMark/>
          </w:tcPr>
          <w:p w14:paraId="0C3F86B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0.03</w:t>
            </w:r>
          </w:p>
        </w:tc>
        <w:tc>
          <w:tcPr>
            <w:tcW w:w="718" w:type="pct"/>
            <w:tcBorders>
              <w:top w:val="nil"/>
              <w:bottom w:val="nil"/>
              <w:right w:val="single" w:sz="4" w:space="0" w:color="auto"/>
            </w:tcBorders>
            <w:noWrap/>
            <w:hideMark/>
          </w:tcPr>
          <w:p w14:paraId="0C3F86B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0.03</w:t>
            </w:r>
          </w:p>
        </w:tc>
        <w:tc>
          <w:tcPr>
            <w:tcW w:w="896" w:type="pct"/>
            <w:gridSpan w:val="2"/>
            <w:tcBorders>
              <w:top w:val="nil"/>
              <w:left w:val="single" w:sz="4" w:space="0" w:color="auto"/>
              <w:bottom w:val="nil"/>
            </w:tcBorders>
            <w:noWrap/>
            <w:hideMark/>
          </w:tcPr>
          <w:p w14:paraId="0C3F86B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172</w:t>
            </w:r>
          </w:p>
        </w:tc>
      </w:tr>
      <w:tr w:rsidR="00935052" w:rsidRPr="000313CF" w14:paraId="0C3F86C1"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BB" w14:textId="77777777" w:rsidR="00935052" w:rsidRPr="000313CF" w:rsidRDefault="00935052" w:rsidP="000313CF">
            <w:pPr>
              <w:spacing w:before="0" w:after="0"/>
              <w:rPr>
                <w:rStyle w:val="BookTitle"/>
              </w:rPr>
            </w:pPr>
            <w:r w:rsidRPr="000313CF">
              <w:rPr>
                <w:rStyle w:val="BookTitle"/>
              </w:rPr>
              <w:t>PN</w:t>
            </w:r>
          </w:p>
        </w:tc>
        <w:tc>
          <w:tcPr>
            <w:tcW w:w="930" w:type="pct"/>
            <w:tcBorders>
              <w:top w:val="nil"/>
              <w:bottom w:val="nil"/>
            </w:tcBorders>
            <w:noWrap/>
            <w:hideMark/>
          </w:tcPr>
          <w:p w14:paraId="0C3F86B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0.07</w:t>
            </w:r>
          </w:p>
        </w:tc>
        <w:tc>
          <w:tcPr>
            <w:tcW w:w="607" w:type="pct"/>
            <w:tcBorders>
              <w:top w:val="nil"/>
              <w:bottom w:val="nil"/>
            </w:tcBorders>
            <w:noWrap/>
            <w:hideMark/>
          </w:tcPr>
          <w:p w14:paraId="0C3F86B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0.07</w:t>
            </w:r>
          </w:p>
        </w:tc>
        <w:tc>
          <w:tcPr>
            <w:tcW w:w="774" w:type="pct"/>
            <w:tcBorders>
              <w:top w:val="nil"/>
              <w:bottom w:val="nil"/>
            </w:tcBorders>
            <w:noWrap/>
            <w:hideMark/>
          </w:tcPr>
          <w:p w14:paraId="0C3F86B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0.00</w:t>
            </w:r>
          </w:p>
        </w:tc>
        <w:tc>
          <w:tcPr>
            <w:tcW w:w="718" w:type="pct"/>
            <w:tcBorders>
              <w:top w:val="nil"/>
              <w:bottom w:val="nil"/>
              <w:right w:val="single" w:sz="4" w:space="0" w:color="auto"/>
            </w:tcBorders>
            <w:noWrap/>
            <w:hideMark/>
          </w:tcPr>
          <w:p w14:paraId="0C3F86B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0.07</w:t>
            </w:r>
          </w:p>
        </w:tc>
        <w:tc>
          <w:tcPr>
            <w:tcW w:w="896" w:type="pct"/>
            <w:gridSpan w:val="2"/>
            <w:tcBorders>
              <w:top w:val="nil"/>
              <w:left w:val="single" w:sz="4" w:space="0" w:color="auto"/>
              <w:bottom w:val="nil"/>
            </w:tcBorders>
            <w:noWrap/>
            <w:hideMark/>
          </w:tcPr>
          <w:p w14:paraId="0C3F86C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166</w:t>
            </w:r>
          </w:p>
        </w:tc>
      </w:tr>
      <w:tr w:rsidR="00935052" w:rsidRPr="000313CF" w14:paraId="0C3F86C8"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hideMark/>
          </w:tcPr>
          <w:p w14:paraId="0C3F86C2" w14:textId="77777777" w:rsidR="00935052" w:rsidRPr="000313CF" w:rsidRDefault="00935052" w:rsidP="000313CF">
            <w:pPr>
              <w:spacing w:before="0" w:after="0"/>
              <w:rPr>
                <w:rStyle w:val="BookTitle"/>
              </w:rPr>
            </w:pPr>
            <w:r w:rsidRPr="000313CF">
              <w:rPr>
                <w:rStyle w:val="BookTitle"/>
              </w:rPr>
              <w:t>PP</w:t>
            </w:r>
          </w:p>
        </w:tc>
        <w:tc>
          <w:tcPr>
            <w:tcW w:w="930" w:type="pct"/>
            <w:tcBorders>
              <w:top w:val="nil"/>
              <w:bottom w:val="nil"/>
            </w:tcBorders>
            <w:noWrap/>
            <w:hideMark/>
          </w:tcPr>
          <w:p w14:paraId="0C3F86C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0.03</w:t>
            </w:r>
          </w:p>
        </w:tc>
        <w:tc>
          <w:tcPr>
            <w:tcW w:w="607" w:type="pct"/>
            <w:tcBorders>
              <w:top w:val="nil"/>
              <w:bottom w:val="nil"/>
            </w:tcBorders>
            <w:noWrap/>
            <w:hideMark/>
          </w:tcPr>
          <w:p w14:paraId="0C3F86C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0.00</w:t>
            </w:r>
          </w:p>
        </w:tc>
        <w:tc>
          <w:tcPr>
            <w:tcW w:w="774" w:type="pct"/>
            <w:tcBorders>
              <w:top w:val="nil"/>
              <w:bottom w:val="nil"/>
            </w:tcBorders>
            <w:noWrap/>
            <w:hideMark/>
          </w:tcPr>
          <w:p w14:paraId="0C3F86C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0.00</w:t>
            </w:r>
          </w:p>
        </w:tc>
        <w:tc>
          <w:tcPr>
            <w:tcW w:w="718" w:type="pct"/>
            <w:tcBorders>
              <w:top w:val="nil"/>
              <w:bottom w:val="nil"/>
              <w:right w:val="single" w:sz="4" w:space="0" w:color="auto"/>
            </w:tcBorders>
            <w:noWrap/>
            <w:hideMark/>
          </w:tcPr>
          <w:p w14:paraId="0C3F86C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0.03</w:t>
            </w:r>
          </w:p>
        </w:tc>
        <w:tc>
          <w:tcPr>
            <w:tcW w:w="896" w:type="pct"/>
            <w:gridSpan w:val="2"/>
            <w:tcBorders>
              <w:top w:val="nil"/>
              <w:left w:val="single" w:sz="4" w:space="0" w:color="auto"/>
              <w:bottom w:val="nil"/>
            </w:tcBorders>
            <w:noWrap/>
            <w:hideMark/>
          </w:tcPr>
          <w:p w14:paraId="0C3F86C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161</w:t>
            </w:r>
          </w:p>
        </w:tc>
      </w:tr>
      <w:tr w:rsidR="00935052" w:rsidRPr="000313CF" w14:paraId="0C3F86CF"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single" w:sz="4" w:space="0" w:color="auto"/>
            </w:tcBorders>
            <w:noWrap/>
            <w:hideMark/>
          </w:tcPr>
          <w:p w14:paraId="0C3F86C9" w14:textId="77777777" w:rsidR="00935052" w:rsidRPr="000313CF" w:rsidRDefault="00935052" w:rsidP="000313CF">
            <w:pPr>
              <w:spacing w:before="0" w:after="0"/>
              <w:rPr>
                <w:rStyle w:val="BookTitle"/>
              </w:rPr>
            </w:pPr>
            <w:r w:rsidRPr="000313CF">
              <w:rPr>
                <w:rStyle w:val="BookTitle"/>
              </w:rPr>
              <w:t>Mean Count</w:t>
            </w:r>
          </w:p>
        </w:tc>
        <w:tc>
          <w:tcPr>
            <w:tcW w:w="930" w:type="pct"/>
            <w:tcBorders>
              <w:top w:val="nil"/>
              <w:bottom w:val="single" w:sz="4" w:space="0" w:color="auto"/>
            </w:tcBorders>
            <w:noWrap/>
            <w:hideMark/>
          </w:tcPr>
          <w:p w14:paraId="0C3F86C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23</w:t>
            </w:r>
          </w:p>
        </w:tc>
        <w:tc>
          <w:tcPr>
            <w:tcW w:w="607" w:type="pct"/>
            <w:tcBorders>
              <w:top w:val="nil"/>
              <w:bottom w:val="single" w:sz="4" w:space="0" w:color="auto"/>
            </w:tcBorders>
            <w:noWrap/>
            <w:hideMark/>
          </w:tcPr>
          <w:p w14:paraId="0C3F86C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370</w:t>
            </w:r>
          </w:p>
        </w:tc>
        <w:tc>
          <w:tcPr>
            <w:tcW w:w="774" w:type="pct"/>
            <w:tcBorders>
              <w:top w:val="nil"/>
              <w:bottom w:val="single" w:sz="4" w:space="0" w:color="auto"/>
            </w:tcBorders>
            <w:noWrap/>
            <w:hideMark/>
          </w:tcPr>
          <w:p w14:paraId="0C3F86C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175</w:t>
            </w:r>
          </w:p>
        </w:tc>
        <w:tc>
          <w:tcPr>
            <w:tcW w:w="718" w:type="pct"/>
            <w:tcBorders>
              <w:top w:val="nil"/>
              <w:bottom w:val="single" w:sz="4" w:space="0" w:color="auto"/>
              <w:right w:val="single" w:sz="4" w:space="0" w:color="auto"/>
            </w:tcBorders>
            <w:noWrap/>
            <w:hideMark/>
          </w:tcPr>
          <w:p w14:paraId="0C3F86C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92</w:t>
            </w:r>
          </w:p>
        </w:tc>
        <w:tc>
          <w:tcPr>
            <w:tcW w:w="896" w:type="pct"/>
            <w:gridSpan w:val="2"/>
            <w:tcBorders>
              <w:top w:val="nil"/>
              <w:left w:val="single" w:sz="4" w:space="0" w:color="auto"/>
              <w:bottom w:val="single" w:sz="4" w:space="0" w:color="auto"/>
            </w:tcBorders>
            <w:noWrap/>
            <w:hideMark/>
          </w:tcPr>
          <w:p w14:paraId="0C3F86C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165</w:t>
            </w:r>
          </w:p>
        </w:tc>
      </w:tr>
      <w:tr w:rsidR="00935052" w:rsidRPr="000313CF" w14:paraId="0C3F86D6"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single" w:sz="4" w:space="0" w:color="auto"/>
              <w:bottom w:val="single" w:sz="4" w:space="0" w:color="auto"/>
            </w:tcBorders>
            <w:noWrap/>
          </w:tcPr>
          <w:p w14:paraId="0C3F86D0" w14:textId="77777777" w:rsidR="00935052" w:rsidRPr="000313CF" w:rsidRDefault="00935052" w:rsidP="000313CF">
            <w:pPr>
              <w:spacing w:before="0" w:after="0"/>
              <w:rPr>
                <w:rStyle w:val="BookTitle"/>
              </w:rPr>
            </w:pPr>
          </w:p>
        </w:tc>
        <w:tc>
          <w:tcPr>
            <w:tcW w:w="930" w:type="pct"/>
            <w:tcBorders>
              <w:top w:val="single" w:sz="4" w:space="0" w:color="auto"/>
              <w:bottom w:val="single" w:sz="4" w:space="0" w:color="auto"/>
            </w:tcBorders>
            <w:noWrap/>
          </w:tcPr>
          <w:p w14:paraId="0C3F86D1" w14:textId="77777777" w:rsidR="00935052" w:rsidRPr="005F304A"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i/>
              </w:rPr>
            </w:pPr>
            <w:r w:rsidRPr="005F304A">
              <w:rPr>
                <w:rStyle w:val="BookTitle"/>
                <w:i/>
              </w:rPr>
              <w:t>Mean</w:t>
            </w:r>
          </w:p>
        </w:tc>
        <w:tc>
          <w:tcPr>
            <w:tcW w:w="607" w:type="pct"/>
            <w:tcBorders>
              <w:top w:val="single" w:sz="4" w:space="0" w:color="auto"/>
              <w:bottom w:val="single" w:sz="4" w:space="0" w:color="auto"/>
            </w:tcBorders>
            <w:noWrap/>
          </w:tcPr>
          <w:p w14:paraId="0C3F86D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c>
          <w:tcPr>
            <w:tcW w:w="774" w:type="pct"/>
            <w:tcBorders>
              <w:top w:val="single" w:sz="4" w:space="0" w:color="auto"/>
              <w:bottom w:val="single" w:sz="4" w:space="0" w:color="auto"/>
            </w:tcBorders>
            <w:noWrap/>
          </w:tcPr>
          <w:p w14:paraId="0C3F86D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c>
          <w:tcPr>
            <w:tcW w:w="718" w:type="pct"/>
            <w:tcBorders>
              <w:top w:val="single" w:sz="4" w:space="0" w:color="auto"/>
              <w:bottom w:val="single" w:sz="4" w:space="0" w:color="auto"/>
              <w:right w:val="single" w:sz="4" w:space="0" w:color="auto"/>
            </w:tcBorders>
            <w:noWrap/>
          </w:tcPr>
          <w:p w14:paraId="0C3F86D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c>
          <w:tcPr>
            <w:tcW w:w="896" w:type="pct"/>
            <w:gridSpan w:val="2"/>
            <w:tcBorders>
              <w:top w:val="single" w:sz="4" w:space="0" w:color="auto"/>
              <w:left w:val="single" w:sz="4" w:space="0" w:color="auto"/>
              <w:bottom w:val="single" w:sz="4" w:space="0" w:color="auto"/>
            </w:tcBorders>
            <w:noWrap/>
          </w:tcPr>
          <w:p w14:paraId="0C3F86D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6DD"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single" w:sz="4" w:space="0" w:color="auto"/>
              <w:bottom w:val="nil"/>
            </w:tcBorders>
            <w:noWrap/>
          </w:tcPr>
          <w:p w14:paraId="0C3F86D7" w14:textId="77777777" w:rsidR="00935052" w:rsidRPr="000313CF" w:rsidRDefault="00935052" w:rsidP="000313CF">
            <w:pPr>
              <w:spacing w:before="0" w:after="0"/>
              <w:rPr>
                <w:rStyle w:val="BookTitle"/>
              </w:rPr>
            </w:pPr>
            <w:r w:rsidRPr="000313CF">
              <w:rPr>
                <w:rStyle w:val="BookTitle"/>
              </w:rPr>
              <w:t>TSS</w:t>
            </w:r>
          </w:p>
        </w:tc>
        <w:tc>
          <w:tcPr>
            <w:tcW w:w="930" w:type="pct"/>
            <w:tcBorders>
              <w:top w:val="single" w:sz="4" w:space="0" w:color="auto"/>
              <w:bottom w:val="nil"/>
            </w:tcBorders>
            <w:noWrap/>
          </w:tcPr>
          <w:p w14:paraId="0C3F86D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4.95</w:t>
            </w:r>
          </w:p>
        </w:tc>
        <w:tc>
          <w:tcPr>
            <w:tcW w:w="607" w:type="pct"/>
            <w:tcBorders>
              <w:top w:val="single" w:sz="4" w:space="0" w:color="auto"/>
              <w:bottom w:val="nil"/>
            </w:tcBorders>
            <w:noWrap/>
          </w:tcPr>
          <w:p w14:paraId="0C3F86D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7.19</w:t>
            </w:r>
          </w:p>
        </w:tc>
        <w:tc>
          <w:tcPr>
            <w:tcW w:w="774" w:type="pct"/>
            <w:tcBorders>
              <w:top w:val="single" w:sz="4" w:space="0" w:color="auto"/>
              <w:bottom w:val="nil"/>
            </w:tcBorders>
            <w:noWrap/>
          </w:tcPr>
          <w:p w14:paraId="0C3F86D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25.92</w:t>
            </w:r>
          </w:p>
        </w:tc>
        <w:tc>
          <w:tcPr>
            <w:tcW w:w="718" w:type="pct"/>
            <w:tcBorders>
              <w:top w:val="single" w:sz="4" w:space="0" w:color="auto"/>
              <w:bottom w:val="nil"/>
              <w:right w:val="single" w:sz="4" w:space="0" w:color="auto"/>
            </w:tcBorders>
            <w:noWrap/>
          </w:tcPr>
          <w:p w14:paraId="0C3F86D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28.98</w:t>
            </w:r>
          </w:p>
        </w:tc>
        <w:tc>
          <w:tcPr>
            <w:tcW w:w="896" w:type="pct"/>
            <w:gridSpan w:val="2"/>
            <w:tcBorders>
              <w:top w:val="single" w:sz="4" w:space="0" w:color="auto"/>
              <w:left w:val="single" w:sz="4" w:space="0" w:color="auto"/>
              <w:bottom w:val="nil"/>
            </w:tcBorders>
            <w:noWrap/>
          </w:tcPr>
          <w:p w14:paraId="0C3F86D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6E4"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6DE" w14:textId="77777777" w:rsidR="00935052" w:rsidRPr="000313CF" w:rsidRDefault="00935052" w:rsidP="000313CF">
            <w:pPr>
              <w:spacing w:before="0" w:after="0"/>
              <w:rPr>
                <w:rStyle w:val="BookTitle"/>
              </w:rPr>
            </w:pPr>
            <w:r w:rsidRPr="000313CF">
              <w:rPr>
                <w:rStyle w:val="BookTitle"/>
              </w:rPr>
              <w:t>Chl-a</w:t>
            </w:r>
          </w:p>
        </w:tc>
        <w:tc>
          <w:tcPr>
            <w:tcW w:w="930" w:type="pct"/>
            <w:tcBorders>
              <w:top w:val="nil"/>
              <w:bottom w:val="nil"/>
            </w:tcBorders>
            <w:noWrap/>
          </w:tcPr>
          <w:p w14:paraId="0C3F86D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0.77</w:t>
            </w:r>
          </w:p>
        </w:tc>
        <w:tc>
          <w:tcPr>
            <w:tcW w:w="607" w:type="pct"/>
            <w:tcBorders>
              <w:top w:val="nil"/>
              <w:bottom w:val="nil"/>
            </w:tcBorders>
            <w:noWrap/>
          </w:tcPr>
          <w:p w14:paraId="0C3F86E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0.98</w:t>
            </w:r>
          </w:p>
        </w:tc>
        <w:tc>
          <w:tcPr>
            <w:tcW w:w="774" w:type="pct"/>
            <w:tcBorders>
              <w:top w:val="nil"/>
              <w:bottom w:val="nil"/>
            </w:tcBorders>
            <w:noWrap/>
          </w:tcPr>
          <w:p w14:paraId="0C3F86E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0.96</w:t>
            </w:r>
          </w:p>
        </w:tc>
        <w:tc>
          <w:tcPr>
            <w:tcW w:w="718" w:type="pct"/>
            <w:tcBorders>
              <w:top w:val="nil"/>
              <w:bottom w:val="nil"/>
              <w:right w:val="single" w:sz="4" w:space="0" w:color="auto"/>
            </w:tcBorders>
            <w:noWrap/>
          </w:tcPr>
          <w:p w14:paraId="0C3F86E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2.41</w:t>
            </w:r>
          </w:p>
        </w:tc>
        <w:tc>
          <w:tcPr>
            <w:tcW w:w="896" w:type="pct"/>
            <w:gridSpan w:val="2"/>
            <w:tcBorders>
              <w:top w:val="nil"/>
              <w:left w:val="single" w:sz="4" w:space="0" w:color="auto"/>
              <w:bottom w:val="nil"/>
            </w:tcBorders>
            <w:noWrap/>
          </w:tcPr>
          <w:p w14:paraId="0C3F86E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6EB"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6E5" w14:textId="77777777" w:rsidR="00935052" w:rsidRPr="000313CF" w:rsidRDefault="00935052" w:rsidP="000313CF">
            <w:pPr>
              <w:spacing w:before="0" w:after="0"/>
              <w:rPr>
                <w:rStyle w:val="BookTitle"/>
              </w:rPr>
            </w:pPr>
            <w:r w:rsidRPr="000313CF">
              <w:rPr>
                <w:rStyle w:val="BookTitle"/>
              </w:rPr>
              <w:t>TN</w:t>
            </w:r>
          </w:p>
        </w:tc>
        <w:tc>
          <w:tcPr>
            <w:tcW w:w="930" w:type="pct"/>
            <w:tcBorders>
              <w:top w:val="nil"/>
              <w:bottom w:val="nil"/>
            </w:tcBorders>
            <w:noWrap/>
          </w:tcPr>
          <w:p w14:paraId="0C3F86E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11.50</w:t>
            </w:r>
          </w:p>
        </w:tc>
        <w:tc>
          <w:tcPr>
            <w:tcW w:w="607" w:type="pct"/>
            <w:tcBorders>
              <w:top w:val="nil"/>
              <w:bottom w:val="nil"/>
            </w:tcBorders>
            <w:noWrap/>
          </w:tcPr>
          <w:p w14:paraId="0C3F86E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11.72</w:t>
            </w:r>
          </w:p>
        </w:tc>
        <w:tc>
          <w:tcPr>
            <w:tcW w:w="774" w:type="pct"/>
            <w:tcBorders>
              <w:top w:val="nil"/>
              <w:bottom w:val="nil"/>
            </w:tcBorders>
            <w:noWrap/>
          </w:tcPr>
          <w:p w14:paraId="0C3F86E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16.79</w:t>
            </w:r>
          </w:p>
        </w:tc>
        <w:tc>
          <w:tcPr>
            <w:tcW w:w="718" w:type="pct"/>
            <w:tcBorders>
              <w:top w:val="nil"/>
              <w:bottom w:val="nil"/>
              <w:right w:val="single" w:sz="4" w:space="0" w:color="auto"/>
            </w:tcBorders>
            <w:noWrap/>
          </w:tcPr>
          <w:p w14:paraId="0C3F86E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24.05</w:t>
            </w:r>
          </w:p>
        </w:tc>
        <w:tc>
          <w:tcPr>
            <w:tcW w:w="896" w:type="pct"/>
            <w:gridSpan w:val="2"/>
            <w:tcBorders>
              <w:top w:val="nil"/>
              <w:left w:val="single" w:sz="4" w:space="0" w:color="auto"/>
              <w:bottom w:val="nil"/>
            </w:tcBorders>
            <w:noWrap/>
          </w:tcPr>
          <w:p w14:paraId="0C3F86E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6F2"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6EC" w14:textId="77777777" w:rsidR="00935052" w:rsidRPr="000313CF" w:rsidRDefault="00935052" w:rsidP="000313CF">
            <w:pPr>
              <w:spacing w:before="0" w:after="0"/>
              <w:rPr>
                <w:rStyle w:val="BookTitle"/>
              </w:rPr>
            </w:pPr>
            <w:r w:rsidRPr="000313CF">
              <w:rPr>
                <w:rStyle w:val="BookTitle"/>
              </w:rPr>
              <w:t>TP</w:t>
            </w:r>
          </w:p>
        </w:tc>
        <w:tc>
          <w:tcPr>
            <w:tcW w:w="930" w:type="pct"/>
            <w:tcBorders>
              <w:top w:val="nil"/>
              <w:bottom w:val="nil"/>
            </w:tcBorders>
            <w:noWrap/>
          </w:tcPr>
          <w:p w14:paraId="0C3F86E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0.45</w:t>
            </w:r>
          </w:p>
        </w:tc>
        <w:tc>
          <w:tcPr>
            <w:tcW w:w="607" w:type="pct"/>
            <w:tcBorders>
              <w:top w:val="nil"/>
              <w:bottom w:val="nil"/>
            </w:tcBorders>
            <w:noWrap/>
          </w:tcPr>
          <w:p w14:paraId="0C3F86E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0.67</w:t>
            </w:r>
          </w:p>
        </w:tc>
        <w:tc>
          <w:tcPr>
            <w:tcW w:w="774" w:type="pct"/>
            <w:tcBorders>
              <w:top w:val="nil"/>
              <w:bottom w:val="nil"/>
            </w:tcBorders>
            <w:noWrap/>
          </w:tcPr>
          <w:p w14:paraId="0C3F86E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1.20</w:t>
            </w:r>
          </w:p>
        </w:tc>
        <w:tc>
          <w:tcPr>
            <w:tcW w:w="718" w:type="pct"/>
            <w:tcBorders>
              <w:top w:val="nil"/>
              <w:bottom w:val="nil"/>
              <w:right w:val="single" w:sz="4" w:space="0" w:color="auto"/>
            </w:tcBorders>
            <w:noWrap/>
          </w:tcPr>
          <w:p w14:paraId="0C3F86F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1.60</w:t>
            </w:r>
          </w:p>
        </w:tc>
        <w:tc>
          <w:tcPr>
            <w:tcW w:w="896" w:type="pct"/>
            <w:gridSpan w:val="2"/>
            <w:tcBorders>
              <w:top w:val="nil"/>
              <w:left w:val="single" w:sz="4" w:space="0" w:color="auto"/>
              <w:bottom w:val="nil"/>
            </w:tcBorders>
            <w:noWrap/>
          </w:tcPr>
          <w:p w14:paraId="0C3F86F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6F9"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6F3" w14:textId="77777777" w:rsidR="00935052" w:rsidRPr="000313CF" w:rsidRDefault="00935052" w:rsidP="000313CF">
            <w:pPr>
              <w:spacing w:before="0" w:after="0"/>
              <w:rPr>
                <w:rStyle w:val="BookTitle"/>
              </w:rPr>
            </w:pPr>
            <w:r w:rsidRPr="000313CF">
              <w:rPr>
                <w:rStyle w:val="BookTitle"/>
              </w:rPr>
              <w:t>DIN</w:t>
            </w:r>
          </w:p>
        </w:tc>
        <w:tc>
          <w:tcPr>
            <w:tcW w:w="930" w:type="pct"/>
            <w:tcBorders>
              <w:top w:val="nil"/>
              <w:bottom w:val="nil"/>
            </w:tcBorders>
            <w:noWrap/>
          </w:tcPr>
          <w:p w14:paraId="0C3F86F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2.28</w:t>
            </w:r>
          </w:p>
        </w:tc>
        <w:tc>
          <w:tcPr>
            <w:tcW w:w="607" w:type="pct"/>
            <w:tcBorders>
              <w:top w:val="nil"/>
              <w:bottom w:val="nil"/>
            </w:tcBorders>
            <w:noWrap/>
          </w:tcPr>
          <w:p w14:paraId="0C3F86F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2.48</w:t>
            </w:r>
          </w:p>
        </w:tc>
        <w:tc>
          <w:tcPr>
            <w:tcW w:w="774" w:type="pct"/>
            <w:tcBorders>
              <w:top w:val="nil"/>
              <w:bottom w:val="nil"/>
            </w:tcBorders>
            <w:noWrap/>
          </w:tcPr>
          <w:p w14:paraId="0C3F86F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3.74</w:t>
            </w:r>
          </w:p>
        </w:tc>
        <w:tc>
          <w:tcPr>
            <w:tcW w:w="718" w:type="pct"/>
            <w:tcBorders>
              <w:top w:val="nil"/>
              <w:bottom w:val="nil"/>
              <w:right w:val="single" w:sz="4" w:space="0" w:color="auto"/>
            </w:tcBorders>
            <w:noWrap/>
          </w:tcPr>
          <w:p w14:paraId="0C3F86F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3.42</w:t>
            </w:r>
          </w:p>
        </w:tc>
        <w:tc>
          <w:tcPr>
            <w:tcW w:w="896" w:type="pct"/>
            <w:gridSpan w:val="2"/>
            <w:tcBorders>
              <w:top w:val="nil"/>
              <w:left w:val="single" w:sz="4" w:space="0" w:color="auto"/>
              <w:bottom w:val="nil"/>
            </w:tcBorders>
            <w:noWrap/>
          </w:tcPr>
          <w:p w14:paraId="0C3F86F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00"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6FA" w14:textId="77777777" w:rsidR="00935052" w:rsidRPr="000313CF" w:rsidRDefault="00935052" w:rsidP="000313CF">
            <w:pPr>
              <w:spacing w:before="0" w:after="0"/>
              <w:rPr>
                <w:rStyle w:val="BookTitle"/>
              </w:rPr>
            </w:pPr>
            <w:r w:rsidRPr="000313CF">
              <w:rPr>
                <w:rStyle w:val="BookTitle"/>
              </w:rPr>
              <w:t>DIP</w:t>
            </w:r>
          </w:p>
        </w:tc>
        <w:tc>
          <w:tcPr>
            <w:tcW w:w="930" w:type="pct"/>
            <w:tcBorders>
              <w:top w:val="nil"/>
              <w:bottom w:val="nil"/>
            </w:tcBorders>
            <w:noWrap/>
          </w:tcPr>
          <w:p w14:paraId="0C3F86F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0.21</w:t>
            </w:r>
          </w:p>
        </w:tc>
        <w:tc>
          <w:tcPr>
            <w:tcW w:w="607" w:type="pct"/>
            <w:tcBorders>
              <w:top w:val="nil"/>
              <w:bottom w:val="nil"/>
            </w:tcBorders>
            <w:noWrap/>
          </w:tcPr>
          <w:p w14:paraId="0C3F86F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0.31</w:t>
            </w:r>
          </w:p>
        </w:tc>
        <w:tc>
          <w:tcPr>
            <w:tcW w:w="774" w:type="pct"/>
            <w:tcBorders>
              <w:top w:val="nil"/>
              <w:bottom w:val="nil"/>
            </w:tcBorders>
            <w:noWrap/>
          </w:tcPr>
          <w:p w14:paraId="0C3F86F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0.36</w:t>
            </w:r>
          </w:p>
        </w:tc>
        <w:tc>
          <w:tcPr>
            <w:tcW w:w="718" w:type="pct"/>
            <w:tcBorders>
              <w:top w:val="nil"/>
              <w:bottom w:val="nil"/>
              <w:right w:val="single" w:sz="4" w:space="0" w:color="auto"/>
            </w:tcBorders>
            <w:noWrap/>
          </w:tcPr>
          <w:p w14:paraId="0C3F86F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0.96</w:t>
            </w:r>
          </w:p>
        </w:tc>
        <w:tc>
          <w:tcPr>
            <w:tcW w:w="896" w:type="pct"/>
            <w:gridSpan w:val="2"/>
            <w:tcBorders>
              <w:top w:val="nil"/>
              <w:left w:val="single" w:sz="4" w:space="0" w:color="auto"/>
              <w:bottom w:val="nil"/>
            </w:tcBorders>
            <w:noWrap/>
          </w:tcPr>
          <w:p w14:paraId="0C3F86F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07"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701" w14:textId="77777777" w:rsidR="00935052" w:rsidRPr="000313CF" w:rsidRDefault="00935052" w:rsidP="000313CF">
            <w:pPr>
              <w:spacing w:before="0" w:after="0"/>
              <w:rPr>
                <w:rStyle w:val="BookTitle"/>
              </w:rPr>
            </w:pPr>
            <w:r w:rsidRPr="000313CF">
              <w:rPr>
                <w:rStyle w:val="BookTitle"/>
              </w:rPr>
              <w:t>PN</w:t>
            </w:r>
          </w:p>
        </w:tc>
        <w:tc>
          <w:tcPr>
            <w:tcW w:w="930" w:type="pct"/>
            <w:tcBorders>
              <w:top w:val="nil"/>
              <w:bottom w:val="nil"/>
            </w:tcBorders>
            <w:noWrap/>
          </w:tcPr>
          <w:p w14:paraId="0C3F870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3.62</w:t>
            </w:r>
          </w:p>
        </w:tc>
        <w:tc>
          <w:tcPr>
            <w:tcW w:w="607" w:type="pct"/>
            <w:tcBorders>
              <w:top w:val="nil"/>
              <w:bottom w:val="nil"/>
            </w:tcBorders>
            <w:noWrap/>
          </w:tcPr>
          <w:p w14:paraId="0C3F870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2.38</w:t>
            </w:r>
          </w:p>
        </w:tc>
        <w:tc>
          <w:tcPr>
            <w:tcW w:w="774" w:type="pct"/>
            <w:tcBorders>
              <w:top w:val="nil"/>
              <w:bottom w:val="nil"/>
            </w:tcBorders>
            <w:noWrap/>
          </w:tcPr>
          <w:p w14:paraId="0C3F870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3.85</w:t>
            </w:r>
          </w:p>
        </w:tc>
        <w:tc>
          <w:tcPr>
            <w:tcW w:w="718" w:type="pct"/>
            <w:tcBorders>
              <w:top w:val="nil"/>
              <w:bottom w:val="nil"/>
              <w:right w:val="single" w:sz="4" w:space="0" w:color="auto"/>
            </w:tcBorders>
            <w:noWrap/>
          </w:tcPr>
          <w:p w14:paraId="0C3F870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5.98</w:t>
            </w:r>
          </w:p>
        </w:tc>
        <w:tc>
          <w:tcPr>
            <w:tcW w:w="896" w:type="pct"/>
            <w:gridSpan w:val="2"/>
            <w:tcBorders>
              <w:top w:val="nil"/>
              <w:left w:val="single" w:sz="4" w:space="0" w:color="auto"/>
              <w:bottom w:val="nil"/>
            </w:tcBorders>
            <w:noWrap/>
          </w:tcPr>
          <w:p w14:paraId="0C3F870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0E"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nil"/>
            </w:tcBorders>
            <w:noWrap/>
          </w:tcPr>
          <w:p w14:paraId="0C3F8708" w14:textId="77777777" w:rsidR="00935052" w:rsidRPr="000313CF" w:rsidRDefault="00935052" w:rsidP="000313CF">
            <w:pPr>
              <w:spacing w:before="0" w:after="0"/>
              <w:rPr>
                <w:rStyle w:val="BookTitle"/>
              </w:rPr>
            </w:pPr>
            <w:r w:rsidRPr="000313CF">
              <w:rPr>
                <w:rStyle w:val="BookTitle"/>
              </w:rPr>
              <w:t>PP</w:t>
            </w:r>
          </w:p>
        </w:tc>
        <w:tc>
          <w:tcPr>
            <w:tcW w:w="930" w:type="pct"/>
            <w:tcBorders>
              <w:top w:val="nil"/>
              <w:bottom w:val="nil"/>
            </w:tcBorders>
            <w:noWrap/>
          </w:tcPr>
          <w:p w14:paraId="0C3F870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0.16</w:t>
            </w:r>
          </w:p>
        </w:tc>
        <w:tc>
          <w:tcPr>
            <w:tcW w:w="607" w:type="pct"/>
            <w:tcBorders>
              <w:top w:val="nil"/>
              <w:bottom w:val="nil"/>
            </w:tcBorders>
            <w:noWrap/>
          </w:tcPr>
          <w:p w14:paraId="0C3F870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0.17</w:t>
            </w:r>
          </w:p>
        </w:tc>
        <w:tc>
          <w:tcPr>
            <w:tcW w:w="774" w:type="pct"/>
            <w:tcBorders>
              <w:top w:val="nil"/>
              <w:bottom w:val="nil"/>
            </w:tcBorders>
            <w:noWrap/>
          </w:tcPr>
          <w:p w14:paraId="0C3F870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0.56</w:t>
            </w:r>
          </w:p>
        </w:tc>
        <w:tc>
          <w:tcPr>
            <w:tcW w:w="718" w:type="pct"/>
            <w:tcBorders>
              <w:top w:val="nil"/>
              <w:bottom w:val="nil"/>
              <w:right w:val="single" w:sz="4" w:space="0" w:color="auto"/>
            </w:tcBorders>
            <w:noWrap/>
          </w:tcPr>
          <w:p w14:paraId="0C3F870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0.49</w:t>
            </w:r>
          </w:p>
        </w:tc>
        <w:tc>
          <w:tcPr>
            <w:tcW w:w="896" w:type="pct"/>
            <w:gridSpan w:val="2"/>
            <w:tcBorders>
              <w:top w:val="nil"/>
              <w:left w:val="single" w:sz="4" w:space="0" w:color="auto"/>
              <w:bottom w:val="nil"/>
            </w:tcBorders>
            <w:noWrap/>
          </w:tcPr>
          <w:p w14:paraId="0C3F870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15"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single" w:sz="4" w:space="0" w:color="auto"/>
            </w:tcBorders>
            <w:noWrap/>
          </w:tcPr>
          <w:p w14:paraId="0C3F870F" w14:textId="77777777" w:rsidR="00935052" w:rsidRPr="000313CF" w:rsidRDefault="00935052" w:rsidP="000313CF">
            <w:pPr>
              <w:spacing w:before="0" w:after="0"/>
              <w:rPr>
                <w:rStyle w:val="BookTitle"/>
              </w:rPr>
            </w:pPr>
            <w:r w:rsidRPr="000313CF">
              <w:rPr>
                <w:rStyle w:val="BookTitle"/>
              </w:rPr>
              <w:t>Mean Count</w:t>
            </w:r>
          </w:p>
        </w:tc>
        <w:tc>
          <w:tcPr>
            <w:tcW w:w="930" w:type="pct"/>
            <w:tcBorders>
              <w:top w:val="nil"/>
              <w:bottom w:val="single" w:sz="4" w:space="0" w:color="auto"/>
            </w:tcBorders>
            <w:noWrap/>
          </w:tcPr>
          <w:p w14:paraId="0C3F871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23</w:t>
            </w:r>
          </w:p>
        </w:tc>
        <w:tc>
          <w:tcPr>
            <w:tcW w:w="607" w:type="pct"/>
            <w:tcBorders>
              <w:top w:val="nil"/>
              <w:bottom w:val="single" w:sz="4" w:space="0" w:color="auto"/>
            </w:tcBorders>
            <w:noWrap/>
          </w:tcPr>
          <w:p w14:paraId="0C3F871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370</w:t>
            </w:r>
          </w:p>
        </w:tc>
        <w:tc>
          <w:tcPr>
            <w:tcW w:w="774" w:type="pct"/>
            <w:tcBorders>
              <w:top w:val="nil"/>
              <w:bottom w:val="single" w:sz="4" w:space="0" w:color="auto"/>
            </w:tcBorders>
            <w:noWrap/>
          </w:tcPr>
          <w:p w14:paraId="0C3F871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175</w:t>
            </w:r>
          </w:p>
        </w:tc>
        <w:tc>
          <w:tcPr>
            <w:tcW w:w="718" w:type="pct"/>
            <w:tcBorders>
              <w:top w:val="nil"/>
              <w:bottom w:val="single" w:sz="4" w:space="0" w:color="auto"/>
              <w:right w:val="single" w:sz="4" w:space="0" w:color="auto"/>
            </w:tcBorders>
            <w:noWrap/>
          </w:tcPr>
          <w:p w14:paraId="0C3F871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92</w:t>
            </w:r>
          </w:p>
        </w:tc>
        <w:tc>
          <w:tcPr>
            <w:tcW w:w="896" w:type="pct"/>
            <w:gridSpan w:val="2"/>
            <w:tcBorders>
              <w:top w:val="nil"/>
              <w:left w:val="single" w:sz="4" w:space="0" w:color="auto"/>
              <w:bottom w:val="single" w:sz="4" w:space="0" w:color="auto"/>
            </w:tcBorders>
            <w:noWrap/>
          </w:tcPr>
          <w:p w14:paraId="0C3F871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1C"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single" w:sz="4" w:space="0" w:color="auto"/>
              <w:bottom w:val="single" w:sz="4" w:space="0" w:color="auto"/>
            </w:tcBorders>
            <w:noWrap/>
          </w:tcPr>
          <w:p w14:paraId="0C3F8716" w14:textId="77777777" w:rsidR="00935052" w:rsidRPr="000313CF" w:rsidRDefault="00935052" w:rsidP="000313CF">
            <w:pPr>
              <w:spacing w:before="0" w:after="0"/>
              <w:rPr>
                <w:rStyle w:val="BookTitle"/>
              </w:rPr>
            </w:pPr>
          </w:p>
        </w:tc>
        <w:tc>
          <w:tcPr>
            <w:tcW w:w="930" w:type="pct"/>
            <w:tcBorders>
              <w:top w:val="single" w:sz="4" w:space="0" w:color="auto"/>
              <w:bottom w:val="single" w:sz="4" w:space="0" w:color="auto"/>
            </w:tcBorders>
            <w:noWrap/>
          </w:tcPr>
          <w:p w14:paraId="0C3F871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Maximum</w:t>
            </w:r>
          </w:p>
        </w:tc>
        <w:tc>
          <w:tcPr>
            <w:tcW w:w="607" w:type="pct"/>
            <w:tcBorders>
              <w:top w:val="single" w:sz="4" w:space="0" w:color="auto"/>
              <w:bottom w:val="single" w:sz="4" w:space="0" w:color="auto"/>
            </w:tcBorders>
            <w:noWrap/>
          </w:tcPr>
          <w:p w14:paraId="0C3F871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c>
          <w:tcPr>
            <w:tcW w:w="774" w:type="pct"/>
            <w:tcBorders>
              <w:top w:val="single" w:sz="4" w:space="0" w:color="auto"/>
              <w:bottom w:val="single" w:sz="4" w:space="0" w:color="auto"/>
            </w:tcBorders>
            <w:noWrap/>
          </w:tcPr>
          <w:p w14:paraId="0C3F871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c>
          <w:tcPr>
            <w:tcW w:w="718" w:type="pct"/>
            <w:tcBorders>
              <w:top w:val="single" w:sz="4" w:space="0" w:color="auto"/>
              <w:bottom w:val="single" w:sz="4" w:space="0" w:color="auto"/>
              <w:right w:val="single" w:sz="4" w:space="0" w:color="auto"/>
            </w:tcBorders>
            <w:noWrap/>
          </w:tcPr>
          <w:p w14:paraId="0C3F871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c>
          <w:tcPr>
            <w:tcW w:w="896" w:type="pct"/>
            <w:gridSpan w:val="2"/>
            <w:tcBorders>
              <w:top w:val="single" w:sz="4" w:space="0" w:color="auto"/>
              <w:left w:val="single" w:sz="4" w:space="0" w:color="auto"/>
              <w:bottom w:val="single" w:sz="4" w:space="0" w:color="auto"/>
            </w:tcBorders>
            <w:noWrap/>
          </w:tcPr>
          <w:p w14:paraId="0C3F871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23"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single" w:sz="4" w:space="0" w:color="auto"/>
            </w:tcBorders>
            <w:noWrap/>
          </w:tcPr>
          <w:p w14:paraId="0C3F871D" w14:textId="77777777" w:rsidR="00935052" w:rsidRPr="000313CF" w:rsidRDefault="00935052" w:rsidP="000313CF">
            <w:pPr>
              <w:spacing w:before="0" w:after="0"/>
              <w:rPr>
                <w:rStyle w:val="BookTitle"/>
              </w:rPr>
            </w:pPr>
            <w:r w:rsidRPr="000313CF">
              <w:rPr>
                <w:rStyle w:val="BookTitle"/>
              </w:rPr>
              <w:t>TSS</w:t>
            </w:r>
          </w:p>
        </w:tc>
        <w:tc>
          <w:tcPr>
            <w:tcW w:w="930" w:type="pct"/>
            <w:tcBorders>
              <w:top w:val="single" w:sz="4" w:space="0" w:color="auto"/>
            </w:tcBorders>
            <w:noWrap/>
          </w:tcPr>
          <w:p w14:paraId="0C3F871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15.00</w:t>
            </w:r>
          </w:p>
        </w:tc>
        <w:tc>
          <w:tcPr>
            <w:tcW w:w="607" w:type="pct"/>
            <w:tcBorders>
              <w:top w:val="single" w:sz="4" w:space="0" w:color="auto"/>
            </w:tcBorders>
            <w:noWrap/>
          </w:tcPr>
          <w:p w14:paraId="0C3F871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38.00</w:t>
            </w:r>
          </w:p>
        </w:tc>
        <w:tc>
          <w:tcPr>
            <w:tcW w:w="774" w:type="pct"/>
            <w:tcBorders>
              <w:top w:val="single" w:sz="4" w:space="0" w:color="auto"/>
            </w:tcBorders>
            <w:noWrap/>
          </w:tcPr>
          <w:p w14:paraId="0C3F872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348.00</w:t>
            </w:r>
          </w:p>
        </w:tc>
        <w:tc>
          <w:tcPr>
            <w:tcW w:w="718" w:type="pct"/>
            <w:tcBorders>
              <w:top w:val="single" w:sz="4" w:space="0" w:color="auto"/>
              <w:bottom w:val="nil"/>
              <w:right w:val="single" w:sz="4" w:space="0" w:color="auto"/>
            </w:tcBorders>
            <w:noWrap/>
          </w:tcPr>
          <w:p w14:paraId="0C3F872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430.00</w:t>
            </w:r>
          </w:p>
        </w:tc>
        <w:tc>
          <w:tcPr>
            <w:tcW w:w="896" w:type="pct"/>
            <w:gridSpan w:val="2"/>
            <w:tcBorders>
              <w:top w:val="single" w:sz="4" w:space="0" w:color="auto"/>
              <w:left w:val="single" w:sz="4" w:space="0" w:color="auto"/>
            </w:tcBorders>
            <w:noWrap/>
          </w:tcPr>
          <w:p w14:paraId="0C3F872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2A" w14:textId="77777777" w:rsidTr="00935052">
        <w:trPr>
          <w:trHeight w:val="20"/>
        </w:trPr>
        <w:tc>
          <w:tcPr>
            <w:cnfStyle w:val="001000000000" w:firstRow="0" w:lastRow="0" w:firstColumn="1" w:lastColumn="0" w:oddVBand="0" w:evenVBand="0" w:oddHBand="0" w:evenHBand="0" w:firstRowFirstColumn="0" w:firstRowLastColumn="0" w:lastRowFirstColumn="0" w:lastRowLastColumn="0"/>
            <w:tcW w:w="1074" w:type="pct"/>
            <w:noWrap/>
          </w:tcPr>
          <w:p w14:paraId="0C3F8724" w14:textId="77777777" w:rsidR="00935052" w:rsidRPr="000313CF" w:rsidRDefault="00935052" w:rsidP="000313CF">
            <w:pPr>
              <w:spacing w:before="0" w:after="0"/>
              <w:rPr>
                <w:rStyle w:val="BookTitle"/>
              </w:rPr>
            </w:pPr>
            <w:r w:rsidRPr="000313CF">
              <w:rPr>
                <w:rStyle w:val="BookTitle"/>
              </w:rPr>
              <w:t>Chl-a</w:t>
            </w:r>
          </w:p>
        </w:tc>
        <w:tc>
          <w:tcPr>
            <w:tcW w:w="930" w:type="pct"/>
            <w:noWrap/>
          </w:tcPr>
          <w:p w14:paraId="0C3F872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1.60</w:t>
            </w:r>
          </w:p>
        </w:tc>
        <w:tc>
          <w:tcPr>
            <w:tcW w:w="607" w:type="pct"/>
            <w:noWrap/>
          </w:tcPr>
          <w:p w14:paraId="0C3F872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9.74</w:t>
            </w:r>
          </w:p>
        </w:tc>
        <w:tc>
          <w:tcPr>
            <w:tcW w:w="774" w:type="pct"/>
            <w:noWrap/>
          </w:tcPr>
          <w:p w14:paraId="0C3F872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13.78</w:t>
            </w:r>
          </w:p>
        </w:tc>
        <w:tc>
          <w:tcPr>
            <w:tcW w:w="718" w:type="pct"/>
            <w:tcBorders>
              <w:top w:val="nil"/>
              <w:bottom w:val="nil"/>
              <w:right w:val="single" w:sz="4" w:space="0" w:color="auto"/>
            </w:tcBorders>
            <w:noWrap/>
          </w:tcPr>
          <w:p w14:paraId="0C3F872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26.70</w:t>
            </w:r>
          </w:p>
        </w:tc>
        <w:tc>
          <w:tcPr>
            <w:tcW w:w="896" w:type="pct"/>
            <w:gridSpan w:val="2"/>
            <w:tcBorders>
              <w:left w:val="single" w:sz="4" w:space="0" w:color="auto"/>
            </w:tcBorders>
            <w:noWrap/>
          </w:tcPr>
          <w:p w14:paraId="0C3F872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31" w14:textId="77777777" w:rsidTr="00935052">
        <w:trPr>
          <w:trHeight w:val="20"/>
        </w:trPr>
        <w:tc>
          <w:tcPr>
            <w:cnfStyle w:val="001000000000" w:firstRow="0" w:lastRow="0" w:firstColumn="1" w:lastColumn="0" w:oddVBand="0" w:evenVBand="0" w:oddHBand="0" w:evenHBand="0" w:firstRowFirstColumn="0" w:firstRowLastColumn="0" w:lastRowFirstColumn="0" w:lastRowLastColumn="0"/>
            <w:tcW w:w="1074" w:type="pct"/>
            <w:noWrap/>
          </w:tcPr>
          <w:p w14:paraId="0C3F872B" w14:textId="77777777" w:rsidR="00935052" w:rsidRPr="000313CF" w:rsidRDefault="00935052" w:rsidP="000313CF">
            <w:pPr>
              <w:spacing w:before="0" w:after="0"/>
              <w:rPr>
                <w:rStyle w:val="BookTitle"/>
              </w:rPr>
            </w:pPr>
            <w:r w:rsidRPr="000313CF">
              <w:rPr>
                <w:rStyle w:val="BookTitle"/>
              </w:rPr>
              <w:t>TN</w:t>
            </w:r>
          </w:p>
        </w:tc>
        <w:tc>
          <w:tcPr>
            <w:tcW w:w="930" w:type="pct"/>
            <w:noWrap/>
          </w:tcPr>
          <w:p w14:paraId="0C3F872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19.92</w:t>
            </w:r>
          </w:p>
        </w:tc>
        <w:tc>
          <w:tcPr>
            <w:tcW w:w="607" w:type="pct"/>
            <w:noWrap/>
          </w:tcPr>
          <w:p w14:paraId="0C3F872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56.40</w:t>
            </w:r>
          </w:p>
        </w:tc>
        <w:tc>
          <w:tcPr>
            <w:tcW w:w="774" w:type="pct"/>
            <w:noWrap/>
          </w:tcPr>
          <w:p w14:paraId="0C3F872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127.36</w:t>
            </w:r>
          </w:p>
        </w:tc>
        <w:tc>
          <w:tcPr>
            <w:tcW w:w="718" w:type="pct"/>
            <w:tcBorders>
              <w:top w:val="nil"/>
              <w:bottom w:val="nil"/>
              <w:right w:val="single" w:sz="4" w:space="0" w:color="auto"/>
            </w:tcBorders>
            <w:noWrap/>
          </w:tcPr>
          <w:p w14:paraId="0C3F872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56.90</w:t>
            </w:r>
          </w:p>
        </w:tc>
        <w:tc>
          <w:tcPr>
            <w:tcW w:w="896" w:type="pct"/>
            <w:gridSpan w:val="2"/>
            <w:tcBorders>
              <w:left w:val="single" w:sz="4" w:space="0" w:color="auto"/>
            </w:tcBorders>
            <w:noWrap/>
          </w:tcPr>
          <w:p w14:paraId="0C3F873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38" w14:textId="77777777" w:rsidTr="00935052">
        <w:trPr>
          <w:trHeight w:val="20"/>
        </w:trPr>
        <w:tc>
          <w:tcPr>
            <w:cnfStyle w:val="001000000000" w:firstRow="0" w:lastRow="0" w:firstColumn="1" w:lastColumn="0" w:oddVBand="0" w:evenVBand="0" w:oddHBand="0" w:evenHBand="0" w:firstRowFirstColumn="0" w:firstRowLastColumn="0" w:lastRowFirstColumn="0" w:lastRowLastColumn="0"/>
            <w:tcW w:w="1074" w:type="pct"/>
            <w:noWrap/>
          </w:tcPr>
          <w:p w14:paraId="0C3F8732" w14:textId="77777777" w:rsidR="00935052" w:rsidRPr="000313CF" w:rsidRDefault="00935052" w:rsidP="000313CF">
            <w:pPr>
              <w:spacing w:before="0" w:after="0"/>
              <w:rPr>
                <w:rStyle w:val="BookTitle"/>
              </w:rPr>
            </w:pPr>
            <w:r w:rsidRPr="000313CF">
              <w:rPr>
                <w:rStyle w:val="BookTitle"/>
              </w:rPr>
              <w:t>TP</w:t>
            </w:r>
          </w:p>
        </w:tc>
        <w:tc>
          <w:tcPr>
            <w:tcW w:w="930" w:type="pct"/>
            <w:noWrap/>
          </w:tcPr>
          <w:p w14:paraId="0C3F873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0.77</w:t>
            </w:r>
          </w:p>
        </w:tc>
        <w:tc>
          <w:tcPr>
            <w:tcW w:w="607" w:type="pct"/>
            <w:noWrap/>
          </w:tcPr>
          <w:p w14:paraId="0C3F873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2.68</w:t>
            </w:r>
          </w:p>
        </w:tc>
        <w:tc>
          <w:tcPr>
            <w:tcW w:w="774" w:type="pct"/>
            <w:noWrap/>
          </w:tcPr>
          <w:p w14:paraId="0C3F873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10.25</w:t>
            </w:r>
          </w:p>
        </w:tc>
        <w:tc>
          <w:tcPr>
            <w:tcW w:w="718" w:type="pct"/>
            <w:tcBorders>
              <w:top w:val="nil"/>
              <w:bottom w:val="nil"/>
              <w:right w:val="single" w:sz="4" w:space="0" w:color="auto"/>
            </w:tcBorders>
            <w:noWrap/>
          </w:tcPr>
          <w:p w14:paraId="0C3F873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5.65</w:t>
            </w:r>
          </w:p>
        </w:tc>
        <w:tc>
          <w:tcPr>
            <w:tcW w:w="896" w:type="pct"/>
            <w:gridSpan w:val="2"/>
            <w:tcBorders>
              <w:left w:val="single" w:sz="4" w:space="0" w:color="auto"/>
            </w:tcBorders>
            <w:noWrap/>
          </w:tcPr>
          <w:p w14:paraId="0C3F873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3F" w14:textId="77777777" w:rsidTr="00935052">
        <w:trPr>
          <w:trHeight w:val="20"/>
        </w:trPr>
        <w:tc>
          <w:tcPr>
            <w:cnfStyle w:val="001000000000" w:firstRow="0" w:lastRow="0" w:firstColumn="1" w:lastColumn="0" w:oddVBand="0" w:evenVBand="0" w:oddHBand="0" w:evenHBand="0" w:firstRowFirstColumn="0" w:firstRowLastColumn="0" w:lastRowFirstColumn="0" w:lastRowLastColumn="0"/>
            <w:tcW w:w="1074" w:type="pct"/>
            <w:noWrap/>
          </w:tcPr>
          <w:p w14:paraId="0C3F8739" w14:textId="77777777" w:rsidR="00935052" w:rsidRPr="000313CF" w:rsidRDefault="00935052" w:rsidP="000313CF">
            <w:pPr>
              <w:spacing w:before="0" w:after="0"/>
              <w:rPr>
                <w:rStyle w:val="BookTitle"/>
              </w:rPr>
            </w:pPr>
            <w:r w:rsidRPr="000313CF">
              <w:rPr>
                <w:rStyle w:val="BookTitle"/>
              </w:rPr>
              <w:t>DIN</w:t>
            </w:r>
          </w:p>
        </w:tc>
        <w:tc>
          <w:tcPr>
            <w:tcW w:w="930" w:type="pct"/>
            <w:noWrap/>
          </w:tcPr>
          <w:p w14:paraId="0C3F873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5.57</w:t>
            </w:r>
          </w:p>
        </w:tc>
        <w:tc>
          <w:tcPr>
            <w:tcW w:w="607" w:type="pct"/>
            <w:noWrap/>
          </w:tcPr>
          <w:p w14:paraId="0C3F873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26.34</w:t>
            </w:r>
          </w:p>
        </w:tc>
        <w:tc>
          <w:tcPr>
            <w:tcW w:w="774" w:type="pct"/>
            <w:noWrap/>
          </w:tcPr>
          <w:p w14:paraId="0C3F873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23.20</w:t>
            </w:r>
          </w:p>
        </w:tc>
        <w:tc>
          <w:tcPr>
            <w:tcW w:w="718" w:type="pct"/>
            <w:tcBorders>
              <w:top w:val="nil"/>
              <w:bottom w:val="nil"/>
              <w:right w:val="single" w:sz="4" w:space="0" w:color="auto"/>
            </w:tcBorders>
            <w:noWrap/>
          </w:tcPr>
          <w:p w14:paraId="0C3F873D"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13.99</w:t>
            </w:r>
          </w:p>
        </w:tc>
        <w:tc>
          <w:tcPr>
            <w:tcW w:w="896" w:type="pct"/>
            <w:gridSpan w:val="2"/>
            <w:tcBorders>
              <w:left w:val="single" w:sz="4" w:space="0" w:color="auto"/>
            </w:tcBorders>
            <w:noWrap/>
          </w:tcPr>
          <w:p w14:paraId="0C3F873E"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46" w14:textId="77777777" w:rsidTr="00935052">
        <w:trPr>
          <w:trHeight w:val="20"/>
        </w:trPr>
        <w:tc>
          <w:tcPr>
            <w:cnfStyle w:val="001000000000" w:firstRow="0" w:lastRow="0" w:firstColumn="1" w:lastColumn="0" w:oddVBand="0" w:evenVBand="0" w:oddHBand="0" w:evenHBand="0" w:firstRowFirstColumn="0" w:firstRowLastColumn="0" w:lastRowFirstColumn="0" w:lastRowLastColumn="0"/>
            <w:tcW w:w="1074" w:type="pct"/>
            <w:noWrap/>
          </w:tcPr>
          <w:p w14:paraId="0C3F8740" w14:textId="77777777" w:rsidR="00935052" w:rsidRPr="000313CF" w:rsidRDefault="00935052" w:rsidP="000313CF">
            <w:pPr>
              <w:spacing w:before="0" w:after="0"/>
              <w:rPr>
                <w:rStyle w:val="BookTitle"/>
              </w:rPr>
            </w:pPr>
            <w:r w:rsidRPr="000313CF">
              <w:rPr>
                <w:rStyle w:val="BookTitle"/>
              </w:rPr>
              <w:t>DIP</w:t>
            </w:r>
          </w:p>
        </w:tc>
        <w:tc>
          <w:tcPr>
            <w:tcW w:w="930" w:type="pct"/>
            <w:noWrap/>
          </w:tcPr>
          <w:p w14:paraId="0C3F874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0.58</w:t>
            </w:r>
          </w:p>
        </w:tc>
        <w:tc>
          <w:tcPr>
            <w:tcW w:w="607" w:type="pct"/>
            <w:noWrap/>
          </w:tcPr>
          <w:p w14:paraId="0C3F874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0.71</w:t>
            </w:r>
          </w:p>
        </w:tc>
        <w:tc>
          <w:tcPr>
            <w:tcW w:w="774" w:type="pct"/>
            <w:noWrap/>
          </w:tcPr>
          <w:p w14:paraId="0C3F874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3.07</w:t>
            </w:r>
          </w:p>
        </w:tc>
        <w:tc>
          <w:tcPr>
            <w:tcW w:w="718" w:type="pct"/>
            <w:tcBorders>
              <w:top w:val="nil"/>
              <w:bottom w:val="nil"/>
              <w:right w:val="single" w:sz="4" w:space="0" w:color="auto"/>
            </w:tcBorders>
            <w:noWrap/>
          </w:tcPr>
          <w:p w14:paraId="0C3F8744"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3.16</w:t>
            </w:r>
          </w:p>
        </w:tc>
        <w:tc>
          <w:tcPr>
            <w:tcW w:w="896" w:type="pct"/>
            <w:gridSpan w:val="2"/>
            <w:tcBorders>
              <w:left w:val="single" w:sz="4" w:space="0" w:color="auto"/>
            </w:tcBorders>
            <w:noWrap/>
          </w:tcPr>
          <w:p w14:paraId="0C3F8745"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4D" w14:textId="77777777" w:rsidTr="00935052">
        <w:trPr>
          <w:trHeight w:val="20"/>
        </w:trPr>
        <w:tc>
          <w:tcPr>
            <w:cnfStyle w:val="001000000000" w:firstRow="0" w:lastRow="0" w:firstColumn="1" w:lastColumn="0" w:oddVBand="0" w:evenVBand="0" w:oddHBand="0" w:evenHBand="0" w:firstRowFirstColumn="0" w:firstRowLastColumn="0" w:lastRowFirstColumn="0" w:lastRowLastColumn="0"/>
            <w:tcW w:w="1074" w:type="pct"/>
            <w:noWrap/>
          </w:tcPr>
          <w:p w14:paraId="0C3F8747" w14:textId="77777777" w:rsidR="00935052" w:rsidRPr="000313CF" w:rsidRDefault="00935052" w:rsidP="000313CF">
            <w:pPr>
              <w:spacing w:before="0" w:after="0"/>
              <w:rPr>
                <w:rStyle w:val="BookTitle"/>
              </w:rPr>
            </w:pPr>
            <w:r w:rsidRPr="000313CF">
              <w:rPr>
                <w:rStyle w:val="BookTitle"/>
              </w:rPr>
              <w:t>PN</w:t>
            </w:r>
          </w:p>
        </w:tc>
        <w:tc>
          <w:tcPr>
            <w:tcW w:w="930" w:type="pct"/>
            <w:noWrap/>
          </w:tcPr>
          <w:p w14:paraId="0C3F874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11.28</w:t>
            </w:r>
          </w:p>
        </w:tc>
        <w:tc>
          <w:tcPr>
            <w:tcW w:w="607" w:type="pct"/>
            <w:noWrap/>
          </w:tcPr>
          <w:p w14:paraId="0C3F874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26.70</w:t>
            </w:r>
          </w:p>
        </w:tc>
        <w:tc>
          <w:tcPr>
            <w:tcW w:w="774" w:type="pct"/>
            <w:noWrap/>
          </w:tcPr>
          <w:p w14:paraId="0C3F874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40.93</w:t>
            </w:r>
          </w:p>
        </w:tc>
        <w:tc>
          <w:tcPr>
            <w:tcW w:w="718" w:type="pct"/>
            <w:tcBorders>
              <w:top w:val="nil"/>
              <w:bottom w:val="nil"/>
              <w:right w:val="single" w:sz="4" w:space="0" w:color="auto"/>
            </w:tcBorders>
            <w:noWrap/>
          </w:tcPr>
          <w:p w14:paraId="0C3F874B"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26.13</w:t>
            </w:r>
          </w:p>
        </w:tc>
        <w:tc>
          <w:tcPr>
            <w:tcW w:w="896" w:type="pct"/>
            <w:gridSpan w:val="2"/>
            <w:tcBorders>
              <w:left w:val="single" w:sz="4" w:space="0" w:color="auto"/>
            </w:tcBorders>
            <w:noWrap/>
          </w:tcPr>
          <w:p w14:paraId="0C3F874C"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54"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bottom w:val="nil"/>
            </w:tcBorders>
            <w:noWrap/>
          </w:tcPr>
          <w:p w14:paraId="0C3F874E" w14:textId="77777777" w:rsidR="00935052" w:rsidRPr="000313CF" w:rsidRDefault="00935052" w:rsidP="000313CF">
            <w:pPr>
              <w:spacing w:before="0" w:after="0"/>
              <w:rPr>
                <w:rStyle w:val="BookTitle"/>
              </w:rPr>
            </w:pPr>
            <w:r w:rsidRPr="000313CF">
              <w:rPr>
                <w:rStyle w:val="BookTitle"/>
              </w:rPr>
              <w:t>PP</w:t>
            </w:r>
          </w:p>
        </w:tc>
        <w:tc>
          <w:tcPr>
            <w:tcW w:w="930" w:type="pct"/>
            <w:tcBorders>
              <w:bottom w:val="nil"/>
            </w:tcBorders>
            <w:noWrap/>
          </w:tcPr>
          <w:p w14:paraId="0C3F874F"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0.39</w:t>
            </w:r>
          </w:p>
        </w:tc>
        <w:tc>
          <w:tcPr>
            <w:tcW w:w="607" w:type="pct"/>
            <w:tcBorders>
              <w:bottom w:val="nil"/>
            </w:tcBorders>
            <w:noWrap/>
          </w:tcPr>
          <w:p w14:paraId="0C3F8750"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1.94</w:t>
            </w:r>
          </w:p>
        </w:tc>
        <w:tc>
          <w:tcPr>
            <w:tcW w:w="774" w:type="pct"/>
            <w:tcBorders>
              <w:bottom w:val="nil"/>
            </w:tcBorders>
            <w:noWrap/>
          </w:tcPr>
          <w:p w14:paraId="0C3F8751"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8.71</w:t>
            </w:r>
          </w:p>
        </w:tc>
        <w:tc>
          <w:tcPr>
            <w:tcW w:w="718" w:type="pct"/>
            <w:tcBorders>
              <w:top w:val="nil"/>
              <w:bottom w:val="nil"/>
              <w:right w:val="single" w:sz="4" w:space="0" w:color="auto"/>
            </w:tcBorders>
            <w:noWrap/>
          </w:tcPr>
          <w:p w14:paraId="0C3F8752"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5.23</w:t>
            </w:r>
          </w:p>
        </w:tc>
        <w:tc>
          <w:tcPr>
            <w:tcW w:w="896" w:type="pct"/>
            <w:gridSpan w:val="2"/>
            <w:tcBorders>
              <w:left w:val="single" w:sz="4" w:space="0" w:color="auto"/>
              <w:bottom w:val="nil"/>
            </w:tcBorders>
            <w:noWrap/>
          </w:tcPr>
          <w:p w14:paraId="0C3F8753"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r w:rsidR="00935052" w:rsidRPr="000313CF" w14:paraId="0C3F875B" w14:textId="77777777" w:rsidTr="005F304A">
        <w:trPr>
          <w:trHeight w:val="20"/>
        </w:trPr>
        <w:tc>
          <w:tcPr>
            <w:cnfStyle w:val="001000000000" w:firstRow="0" w:lastRow="0" w:firstColumn="1" w:lastColumn="0" w:oddVBand="0" w:evenVBand="0" w:oddHBand="0" w:evenHBand="0" w:firstRowFirstColumn="0" w:firstRowLastColumn="0" w:lastRowFirstColumn="0" w:lastRowLastColumn="0"/>
            <w:tcW w:w="1074" w:type="pct"/>
            <w:tcBorders>
              <w:top w:val="nil"/>
              <w:bottom w:val="single" w:sz="4" w:space="0" w:color="auto"/>
            </w:tcBorders>
            <w:noWrap/>
          </w:tcPr>
          <w:p w14:paraId="0C3F8755" w14:textId="77777777" w:rsidR="00935052" w:rsidRPr="000313CF" w:rsidRDefault="00935052" w:rsidP="000313CF">
            <w:pPr>
              <w:spacing w:before="0" w:after="0"/>
              <w:rPr>
                <w:rStyle w:val="BookTitle"/>
              </w:rPr>
            </w:pPr>
            <w:r w:rsidRPr="000313CF">
              <w:rPr>
                <w:rStyle w:val="BookTitle"/>
              </w:rPr>
              <w:t>Mean Count</w:t>
            </w:r>
          </w:p>
        </w:tc>
        <w:tc>
          <w:tcPr>
            <w:tcW w:w="930" w:type="pct"/>
            <w:tcBorders>
              <w:top w:val="nil"/>
              <w:bottom w:val="single" w:sz="4" w:space="0" w:color="auto"/>
            </w:tcBorders>
            <w:noWrap/>
          </w:tcPr>
          <w:p w14:paraId="0C3F8756"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23</w:t>
            </w:r>
          </w:p>
        </w:tc>
        <w:tc>
          <w:tcPr>
            <w:tcW w:w="607" w:type="pct"/>
            <w:tcBorders>
              <w:top w:val="nil"/>
              <w:bottom w:val="single" w:sz="4" w:space="0" w:color="auto"/>
            </w:tcBorders>
            <w:noWrap/>
          </w:tcPr>
          <w:p w14:paraId="0C3F8757"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370</w:t>
            </w:r>
          </w:p>
        </w:tc>
        <w:tc>
          <w:tcPr>
            <w:tcW w:w="774" w:type="pct"/>
            <w:tcBorders>
              <w:top w:val="nil"/>
              <w:bottom w:val="single" w:sz="4" w:space="0" w:color="auto"/>
            </w:tcBorders>
            <w:noWrap/>
          </w:tcPr>
          <w:p w14:paraId="0C3F8758"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175</w:t>
            </w:r>
          </w:p>
        </w:tc>
        <w:tc>
          <w:tcPr>
            <w:tcW w:w="718" w:type="pct"/>
            <w:tcBorders>
              <w:top w:val="nil"/>
              <w:bottom w:val="single" w:sz="4" w:space="0" w:color="auto"/>
              <w:right w:val="single" w:sz="4" w:space="0" w:color="auto"/>
            </w:tcBorders>
            <w:noWrap/>
          </w:tcPr>
          <w:p w14:paraId="0C3F8759"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r w:rsidRPr="000313CF">
              <w:rPr>
                <w:rStyle w:val="BookTitle"/>
              </w:rPr>
              <w:t>92</w:t>
            </w:r>
          </w:p>
        </w:tc>
        <w:tc>
          <w:tcPr>
            <w:tcW w:w="896" w:type="pct"/>
            <w:gridSpan w:val="2"/>
            <w:tcBorders>
              <w:top w:val="nil"/>
              <w:left w:val="single" w:sz="4" w:space="0" w:color="auto"/>
              <w:bottom w:val="single" w:sz="4" w:space="0" w:color="auto"/>
            </w:tcBorders>
            <w:noWrap/>
          </w:tcPr>
          <w:p w14:paraId="0C3F875A" w14:textId="77777777" w:rsidR="00935052" w:rsidRPr="000313CF" w:rsidRDefault="00935052" w:rsidP="000313CF">
            <w:pPr>
              <w:spacing w:before="0" w:after="0"/>
              <w:cnfStyle w:val="000000000000" w:firstRow="0" w:lastRow="0" w:firstColumn="0" w:lastColumn="0" w:oddVBand="0" w:evenVBand="0" w:oddHBand="0" w:evenHBand="0" w:firstRowFirstColumn="0" w:firstRowLastColumn="0" w:lastRowFirstColumn="0" w:lastRowLastColumn="0"/>
              <w:rPr>
                <w:rStyle w:val="BookTitle"/>
              </w:rPr>
            </w:pPr>
          </w:p>
        </w:tc>
      </w:tr>
    </w:tbl>
    <w:p w14:paraId="0C3F875C" w14:textId="77777777" w:rsidR="0015270F" w:rsidRDefault="0015270F" w:rsidP="0015270F"/>
    <w:p w14:paraId="0C3F875D" w14:textId="77777777" w:rsidR="00935052" w:rsidRDefault="00935052" w:rsidP="0015270F">
      <w:r w:rsidRPr="002827F5">
        <w:t>Highest concentrations of TSS, PN and PP were measured off both Burdekin and Fitzroy, reflecting the large area of grazing land and the movement of fine sediment through the river plumes (Bainbridge et al., 2014). High DIP measurements recorded for Burdekin and Fitzroy indicate desorption processes releasing DIP from high PP concentrations. Chl</w:t>
      </w:r>
      <w:r>
        <w:t>orophyll</w:t>
      </w:r>
      <w:r w:rsidRPr="002827F5">
        <w:t xml:space="preserve">-a is more varied, with the maximum values measured off the Dry Tropics, with the high mean values skewed by a small number of high values. </w:t>
      </w:r>
      <w:r>
        <w:t>Chlorophyll</w:t>
      </w:r>
      <w:r w:rsidRPr="002827F5">
        <w:t>-a collected off the Tully and Franklin Islands have lower maxima, but comparable mean values indicating</w:t>
      </w:r>
      <w:r>
        <w:t xml:space="preserve"> that the range of concentrations are less skewed and consistently elevated.</w:t>
      </w:r>
    </w:p>
    <w:p w14:paraId="0C3F875E" w14:textId="77777777" w:rsidR="0015270F" w:rsidRDefault="000313CF" w:rsidP="0015270F">
      <w:r>
        <w:t>T</w:t>
      </w:r>
      <w:r w:rsidR="0015270F">
        <w:t xml:space="preserve">he </w:t>
      </w:r>
      <w:r w:rsidR="0015270F" w:rsidRPr="0089419E">
        <w:t xml:space="preserve">Spearman’s </w:t>
      </w:r>
      <w:r w:rsidR="0015270F">
        <w:t xml:space="preserve">rank </w:t>
      </w:r>
      <w:r w:rsidR="0015270F" w:rsidRPr="0089419E">
        <w:t>correlation coefficients</w:t>
      </w:r>
      <w:r w:rsidR="0015270F">
        <w:t xml:space="preserve"> were computed (Table. </w:t>
      </w:r>
      <w:r w:rsidR="00330E11">
        <w:t>4-10</w:t>
      </w:r>
      <w:r w:rsidR="0015270F">
        <w:t>) for each river</w:t>
      </w:r>
      <w:r>
        <w:t xml:space="preserve"> representing the significance of the correlation between the water quality </w:t>
      </w:r>
      <w:r w:rsidR="002827F5">
        <w:t>parameters</w:t>
      </w:r>
      <w:r>
        <w:t xml:space="preserve"> and the </w:t>
      </w:r>
      <w:r w:rsidR="00330E11" w:rsidRPr="00330E11">
        <w:t xml:space="preserve">adjacent </w:t>
      </w:r>
      <w:r w:rsidRPr="00330E11">
        <w:t>river discharge</w:t>
      </w:r>
      <w:r w:rsidR="0015270F" w:rsidRPr="00330E11">
        <w:t>. The</w:t>
      </w:r>
      <w:r w:rsidR="0015270F">
        <w:t xml:space="preserve"> Tully has several WQ parameters correlating significantly with river discharge, including TSS, TP, DIN, DIP and PP. For Franklins, TN, DIN and PN were significantly correlated with discharge. The dissolved nutrients were not significant for the Burdekin, but TN, TP, PN and PP all correlated strongly. The Fitzroy river discharge correlates with all the nitrogen species, including TN, DIN and PN</w:t>
      </w:r>
      <w:r w:rsidR="00C479AE">
        <w:t>.</w:t>
      </w:r>
    </w:p>
    <w:p w14:paraId="0C3F875F" w14:textId="77777777" w:rsidR="0015270F" w:rsidRDefault="0015270F" w:rsidP="000313CF">
      <w:pPr>
        <w:pStyle w:val="Caption"/>
      </w:pPr>
      <w:bookmarkStart w:id="135" w:name="_Toc434208077"/>
      <w:r>
        <w:t xml:space="preserve">Table </w:t>
      </w:r>
      <w:r w:rsidR="00AE4287">
        <w:fldChar w:fldCharType="begin"/>
      </w:r>
      <w:r w:rsidR="00AE4287">
        <w:instrText xml:space="preserve"> STYLEREF 1 \s </w:instrText>
      </w:r>
      <w:r w:rsidR="00AE4287">
        <w:fldChar w:fldCharType="separate"/>
      </w:r>
      <w:r w:rsidR="00B62B50">
        <w:rPr>
          <w:noProof/>
        </w:rPr>
        <w:t>4</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10</w:t>
      </w:r>
      <w:r w:rsidR="00AE4287">
        <w:fldChar w:fldCharType="end"/>
      </w:r>
      <w:r>
        <w:t xml:space="preserve">: </w:t>
      </w:r>
      <w:r w:rsidRPr="0089419E">
        <w:t xml:space="preserve">Spearman’s </w:t>
      </w:r>
      <w:r>
        <w:t xml:space="preserve">rank </w:t>
      </w:r>
      <w:r w:rsidRPr="0089419E">
        <w:t xml:space="preserve">correlation coefficients </w:t>
      </w:r>
      <w:r>
        <w:t xml:space="preserve">form the four most frequent sampled transects over the GRB wide in the last 8 wet seasons. Values stand for correlation coefficient between the total wet season river </w:t>
      </w:r>
      <w:r w:rsidR="00362A9F">
        <w:t>discharge and</w:t>
      </w:r>
      <w:r>
        <w:t xml:space="preserve"> the WQ parameters: </w:t>
      </w:r>
      <w:r w:rsidR="000313CF">
        <w:t xml:space="preserve">include TSS, </w:t>
      </w:r>
      <w:r w:rsidR="00A822AD">
        <w:t>chl</w:t>
      </w:r>
      <w:r w:rsidR="000313CF">
        <w:t>-a TN, TP, DIN, DIP, PN, PP.</w:t>
      </w:r>
      <w:r>
        <w:t xml:space="preserve"> Highlighted values </w:t>
      </w:r>
      <w:r w:rsidRPr="0089419E">
        <w:t>are significa</w:t>
      </w:r>
      <w:r w:rsidR="00362A9F">
        <w:t>nt</w:t>
      </w:r>
      <w:r w:rsidRPr="0089419E">
        <w:t xml:space="preserve"> at p &lt; 0.01</w:t>
      </w:r>
      <w:r>
        <w:t>.</w:t>
      </w:r>
      <w:bookmarkEnd w:id="135"/>
    </w:p>
    <w:p w14:paraId="0C3F8760" w14:textId="77777777" w:rsidR="0015270F" w:rsidRDefault="0015270F" w:rsidP="0015270F"/>
    <w:tbl>
      <w:tblPr>
        <w:tblW w:w="0" w:type="auto"/>
        <w:jc w:val="center"/>
        <w:tblInd w:w="93" w:type="dxa"/>
        <w:tblLook w:val="04A0" w:firstRow="1" w:lastRow="0" w:firstColumn="1" w:lastColumn="0" w:noHBand="0" w:noVBand="1"/>
      </w:tblPr>
      <w:tblGrid>
        <w:gridCol w:w="550"/>
        <w:gridCol w:w="1028"/>
        <w:gridCol w:w="656"/>
        <w:gridCol w:w="1012"/>
        <w:gridCol w:w="828"/>
      </w:tblGrid>
      <w:tr w:rsidR="0015270F" w:rsidRPr="000313CF" w14:paraId="0C3F8766" w14:textId="77777777" w:rsidTr="0015270F">
        <w:trPr>
          <w:trHeight w:val="20"/>
          <w:jc w:val="center"/>
        </w:trPr>
        <w:tc>
          <w:tcPr>
            <w:tcW w:w="0" w:type="auto"/>
            <w:tcBorders>
              <w:top w:val="single" w:sz="4" w:space="0" w:color="auto"/>
              <w:left w:val="nil"/>
              <w:bottom w:val="single" w:sz="4" w:space="0" w:color="auto"/>
              <w:right w:val="nil"/>
            </w:tcBorders>
            <w:shd w:val="clear" w:color="auto" w:fill="auto"/>
            <w:noWrap/>
            <w:vAlign w:val="bottom"/>
            <w:hideMark/>
          </w:tcPr>
          <w:p w14:paraId="0C3F8761" w14:textId="77777777" w:rsidR="0015270F" w:rsidRPr="000313CF" w:rsidRDefault="0015270F" w:rsidP="000313CF">
            <w:pPr>
              <w:spacing w:before="0" w:after="0"/>
              <w:rPr>
                <w:rStyle w:val="BookTitle"/>
              </w:rPr>
            </w:pPr>
          </w:p>
        </w:tc>
        <w:tc>
          <w:tcPr>
            <w:tcW w:w="0" w:type="auto"/>
            <w:tcBorders>
              <w:top w:val="single" w:sz="4" w:space="0" w:color="auto"/>
              <w:left w:val="nil"/>
              <w:bottom w:val="single" w:sz="4" w:space="0" w:color="auto"/>
              <w:right w:val="nil"/>
            </w:tcBorders>
            <w:shd w:val="clear" w:color="auto" w:fill="auto"/>
            <w:noWrap/>
            <w:vAlign w:val="bottom"/>
            <w:hideMark/>
          </w:tcPr>
          <w:p w14:paraId="0C3F8762" w14:textId="77777777" w:rsidR="0015270F" w:rsidRPr="000313CF" w:rsidRDefault="0015270F" w:rsidP="000313CF">
            <w:pPr>
              <w:spacing w:before="0" w:after="0"/>
              <w:rPr>
                <w:rStyle w:val="BookTitle"/>
              </w:rPr>
            </w:pPr>
            <w:r w:rsidRPr="000313CF">
              <w:rPr>
                <w:rStyle w:val="BookTitle"/>
              </w:rPr>
              <w:t>Franklins</w:t>
            </w:r>
          </w:p>
        </w:tc>
        <w:tc>
          <w:tcPr>
            <w:tcW w:w="0" w:type="auto"/>
            <w:tcBorders>
              <w:top w:val="single" w:sz="4" w:space="0" w:color="auto"/>
              <w:left w:val="nil"/>
              <w:bottom w:val="single" w:sz="4" w:space="0" w:color="auto"/>
              <w:right w:val="nil"/>
            </w:tcBorders>
            <w:shd w:val="clear" w:color="auto" w:fill="auto"/>
            <w:noWrap/>
            <w:vAlign w:val="bottom"/>
            <w:hideMark/>
          </w:tcPr>
          <w:p w14:paraId="0C3F8763" w14:textId="77777777" w:rsidR="0015270F" w:rsidRPr="000313CF" w:rsidRDefault="0015270F" w:rsidP="000313CF">
            <w:pPr>
              <w:spacing w:before="0" w:after="0"/>
              <w:rPr>
                <w:rStyle w:val="BookTitle"/>
              </w:rPr>
            </w:pPr>
            <w:r w:rsidRPr="000313CF">
              <w:rPr>
                <w:rStyle w:val="BookTitle"/>
              </w:rPr>
              <w:t>Tully</w:t>
            </w:r>
          </w:p>
        </w:tc>
        <w:tc>
          <w:tcPr>
            <w:tcW w:w="0" w:type="auto"/>
            <w:tcBorders>
              <w:top w:val="single" w:sz="4" w:space="0" w:color="auto"/>
              <w:left w:val="nil"/>
              <w:bottom w:val="single" w:sz="4" w:space="0" w:color="auto"/>
              <w:right w:val="nil"/>
            </w:tcBorders>
            <w:shd w:val="clear" w:color="auto" w:fill="auto"/>
            <w:noWrap/>
            <w:vAlign w:val="bottom"/>
            <w:hideMark/>
          </w:tcPr>
          <w:p w14:paraId="0C3F8764" w14:textId="77777777" w:rsidR="0015270F" w:rsidRPr="000313CF" w:rsidRDefault="0015270F" w:rsidP="000313CF">
            <w:pPr>
              <w:spacing w:before="0" w:after="0"/>
              <w:rPr>
                <w:rStyle w:val="BookTitle"/>
              </w:rPr>
            </w:pPr>
            <w:r w:rsidRPr="000313CF">
              <w:rPr>
                <w:rStyle w:val="BookTitle"/>
              </w:rPr>
              <w:t>Burdekin</w:t>
            </w:r>
          </w:p>
        </w:tc>
        <w:tc>
          <w:tcPr>
            <w:tcW w:w="0" w:type="auto"/>
            <w:tcBorders>
              <w:top w:val="single" w:sz="4" w:space="0" w:color="auto"/>
              <w:left w:val="nil"/>
              <w:bottom w:val="single" w:sz="4" w:space="0" w:color="auto"/>
              <w:right w:val="nil"/>
            </w:tcBorders>
            <w:shd w:val="clear" w:color="auto" w:fill="auto"/>
            <w:noWrap/>
            <w:vAlign w:val="bottom"/>
            <w:hideMark/>
          </w:tcPr>
          <w:p w14:paraId="0C3F8765" w14:textId="77777777" w:rsidR="0015270F" w:rsidRPr="000313CF" w:rsidRDefault="0015270F" w:rsidP="000313CF">
            <w:pPr>
              <w:spacing w:before="0" w:after="0"/>
              <w:rPr>
                <w:rStyle w:val="BookTitle"/>
              </w:rPr>
            </w:pPr>
            <w:r w:rsidRPr="000313CF">
              <w:rPr>
                <w:rStyle w:val="BookTitle"/>
              </w:rPr>
              <w:t>Fitzroy</w:t>
            </w:r>
          </w:p>
        </w:tc>
      </w:tr>
      <w:tr w:rsidR="0015270F" w:rsidRPr="000313CF" w14:paraId="0C3F876C" w14:textId="77777777" w:rsidTr="0015270F">
        <w:trPr>
          <w:trHeight w:val="20"/>
          <w:jc w:val="center"/>
        </w:trPr>
        <w:tc>
          <w:tcPr>
            <w:tcW w:w="0" w:type="auto"/>
            <w:tcBorders>
              <w:top w:val="single" w:sz="4" w:space="0" w:color="auto"/>
              <w:left w:val="nil"/>
              <w:bottom w:val="nil"/>
              <w:right w:val="nil"/>
            </w:tcBorders>
            <w:shd w:val="clear" w:color="auto" w:fill="auto"/>
            <w:noWrap/>
            <w:vAlign w:val="bottom"/>
            <w:hideMark/>
          </w:tcPr>
          <w:p w14:paraId="0C3F8767" w14:textId="77777777" w:rsidR="0015270F" w:rsidRPr="000313CF" w:rsidRDefault="0015270F" w:rsidP="000313CF">
            <w:pPr>
              <w:spacing w:before="0" w:after="0"/>
              <w:rPr>
                <w:rStyle w:val="BookTitle"/>
              </w:rPr>
            </w:pPr>
            <w:r w:rsidRPr="000313CF">
              <w:rPr>
                <w:rStyle w:val="BookTitle"/>
              </w:rPr>
              <w:t>TSS</w:t>
            </w:r>
          </w:p>
        </w:tc>
        <w:tc>
          <w:tcPr>
            <w:tcW w:w="0" w:type="auto"/>
            <w:tcBorders>
              <w:top w:val="single" w:sz="4" w:space="0" w:color="auto"/>
              <w:left w:val="nil"/>
              <w:bottom w:val="nil"/>
              <w:right w:val="nil"/>
            </w:tcBorders>
            <w:shd w:val="clear" w:color="auto" w:fill="auto"/>
            <w:noWrap/>
            <w:vAlign w:val="bottom"/>
            <w:hideMark/>
          </w:tcPr>
          <w:p w14:paraId="0C3F8768" w14:textId="77777777" w:rsidR="0015270F" w:rsidRPr="000313CF" w:rsidRDefault="0015270F" w:rsidP="000313CF">
            <w:pPr>
              <w:spacing w:before="0" w:after="0"/>
              <w:rPr>
                <w:rStyle w:val="BookTitle"/>
              </w:rPr>
            </w:pPr>
            <w:r w:rsidRPr="000313CF">
              <w:rPr>
                <w:rStyle w:val="BookTitle"/>
              </w:rPr>
              <w:t>-0.56</w:t>
            </w:r>
          </w:p>
        </w:tc>
        <w:tc>
          <w:tcPr>
            <w:tcW w:w="0" w:type="auto"/>
            <w:tcBorders>
              <w:top w:val="single" w:sz="4" w:space="0" w:color="auto"/>
              <w:left w:val="nil"/>
              <w:bottom w:val="nil"/>
              <w:right w:val="nil"/>
            </w:tcBorders>
            <w:shd w:val="clear" w:color="auto" w:fill="auto"/>
            <w:noWrap/>
            <w:vAlign w:val="bottom"/>
            <w:hideMark/>
          </w:tcPr>
          <w:p w14:paraId="0C3F8769" w14:textId="77777777" w:rsidR="0015270F" w:rsidRPr="000313CF" w:rsidRDefault="0015270F" w:rsidP="000313CF">
            <w:pPr>
              <w:spacing w:before="0" w:after="0"/>
              <w:rPr>
                <w:rStyle w:val="BookTitle"/>
              </w:rPr>
            </w:pPr>
            <w:r w:rsidRPr="000313CF">
              <w:rPr>
                <w:rStyle w:val="BookTitle"/>
              </w:rPr>
              <w:t>-0.29</w:t>
            </w:r>
          </w:p>
        </w:tc>
        <w:tc>
          <w:tcPr>
            <w:tcW w:w="0" w:type="auto"/>
            <w:tcBorders>
              <w:top w:val="single" w:sz="4" w:space="0" w:color="auto"/>
              <w:left w:val="nil"/>
              <w:bottom w:val="nil"/>
              <w:right w:val="nil"/>
            </w:tcBorders>
            <w:shd w:val="clear" w:color="auto" w:fill="auto"/>
            <w:noWrap/>
            <w:vAlign w:val="bottom"/>
            <w:hideMark/>
          </w:tcPr>
          <w:p w14:paraId="0C3F876A" w14:textId="77777777" w:rsidR="0015270F" w:rsidRPr="000313CF" w:rsidRDefault="0015270F" w:rsidP="000313CF">
            <w:pPr>
              <w:spacing w:before="0" w:after="0"/>
              <w:rPr>
                <w:rStyle w:val="BookTitle"/>
              </w:rPr>
            </w:pPr>
            <w:r w:rsidRPr="000313CF">
              <w:rPr>
                <w:rStyle w:val="BookTitle"/>
              </w:rPr>
              <w:t>0.05</w:t>
            </w:r>
          </w:p>
        </w:tc>
        <w:tc>
          <w:tcPr>
            <w:tcW w:w="0" w:type="auto"/>
            <w:tcBorders>
              <w:top w:val="single" w:sz="4" w:space="0" w:color="auto"/>
              <w:left w:val="nil"/>
              <w:bottom w:val="nil"/>
              <w:right w:val="nil"/>
            </w:tcBorders>
            <w:shd w:val="clear" w:color="auto" w:fill="auto"/>
            <w:noWrap/>
            <w:vAlign w:val="bottom"/>
            <w:hideMark/>
          </w:tcPr>
          <w:p w14:paraId="0C3F876B" w14:textId="77777777" w:rsidR="0015270F" w:rsidRPr="000313CF" w:rsidRDefault="0015270F" w:rsidP="000313CF">
            <w:pPr>
              <w:spacing w:before="0" w:after="0"/>
              <w:rPr>
                <w:rStyle w:val="BookTitle"/>
              </w:rPr>
            </w:pPr>
            <w:r w:rsidRPr="000313CF">
              <w:rPr>
                <w:rStyle w:val="BookTitle"/>
              </w:rPr>
              <w:t>-0.07</w:t>
            </w:r>
          </w:p>
        </w:tc>
      </w:tr>
      <w:tr w:rsidR="0015270F" w:rsidRPr="000313CF" w14:paraId="0C3F8772" w14:textId="77777777" w:rsidTr="0015270F">
        <w:trPr>
          <w:trHeight w:val="20"/>
          <w:jc w:val="center"/>
        </w:trPr>
        <w:tc>
          <w:tcPr>
            <w:tcW w:w="0" w:type="auto"/>
            <w:tcBorders>
              <w:top w:val="nil"/>
              <w:left w:val="nil"/>
              <w:bottom w:val="nil"/>
              <w:right w:val="nil"/>
            </w:tcBorders>
            <w:shd w:val="clear" w:color="auto" w:fill="auto"/>
            <w:noWrap/>
            <w:vAlign w:val="bottom"/>
            <w:hideMark/>
          </w:tcPr>
          <w:p w14:paraId="0C3F876D" w14:textId="77777777" w:rsidR="0015270F" w:rsidRPr="000313CF" w:rsidRDefault="0015270F" w:rsidP="000313CF">
            <w:pPr>
              <w:spacing w:before="0" w:after="0"/>
              <w:rPr>
                <w:rStyle w:val="BookTitle"/>
              </w:rPr>
            </w:pPr>
            <w:r w:rsidRPr="000313CF">
              <w:rPr>
                <w:rStyle w:val="BookTitle"/>
              </w:rPr>
              <w:t>chl</w:t>
            </w:r>
          </w:p>
        </w:tc>
        <w:tc>
          <w:tcPr>
            <w:tcW w:w="0" w:type="auto"/>
            <w:tcBorders>
              <w:top w:val="nil"/>
              <w:left w:val="nil"/>
              <w:bottom w:val="nil"/>
              <w:right w:val="nil"/>
            </w:tcBorders>
            <w:shd w:val="clear" w:color="auto" w:fill="auto"/>
            <w:noWrap/>
            <w:vAlign w:val="bottom"/>
            <w:hideMark/>
          </w:tcPr>
          <w:p w14:paraId="0C3F876E" w14:textId="77777777" w:rsidR="0015270F" w:rsidRPr="000313CF" w:rsidRDefault="0015270F" w:rsidP="000313CF">
            <w:pPr>
              <w:spacing w:before="0" w:after="0"/>
              <w:rPr>
                <w:rStyle w:val="BookTitle"/>
              </w:rPr>
            </w:pPr>
            <w:r w:rsidRPr="000313CF">
              <w:rPr>
                <w:rStyle w:val="BookTitle"/>
              </w:rPr>
              <w:t>0.71</w:t>
            </w:r>
          </w:p>
        </w:tc>
        <w:tc>
          <w:tcPr>
            <w:tcW w:w="0" w:type="auto"/>
            <w:tcBorders>
              <w:top w:val="nil"/>
              <w:left w:val="nil"/>
              <w:bottom w:val="nil"/>
              <w:right w:val="nil"/>
            </w:tcBorders>
            <w:shd w:val="clear" w:color="auto" w:fill="auto"/>
            <w:noWrap/>
            <w:vAlign w:val="bottom"/>
            <w:hideMark/>
          </w:tcPr>
          <w:p w14:paraId="0C3F876F" w14:textId="77777777" w:rsidR="0015270F" w:rsidRPr="000313CF" w:rsidRDefault="0015270F" w:rsidP="000313CF">
            <w:pPr>
              <w:spacing w:before="0" w:after="0"/>
              <w:rPr>
                <w:rStyle w:val="BookTitle"/>
              </w:rPr>
            </w:pPr>
            <w:r w:rsidRPr="000313CF">
              <w:rPr>
                <w:rStyle w:val="BookTitle"/>
              </w:rPr>
              <w:t>0.05</w:t>
            </w:r>
          </w:p>
        </w:tc>
        <w:tc>
          <w:tcPr>
            <w:tcW w:w="0" w:type="auto"/>
            <w:tcBorders>
              <w:top w:val="nil"/>
              <w:left w:val="nil"/>
              <w:bottom w:val="nil"/>
              <w:right w:val="nil"/>
            </w:tcBorders>
            <w:shd w:val="clear" w:color="auto" w:fill="auto"/>
            <w:noWrap/>
            <w:vAlign w:val="bottom"/>
            <w:hideMark/>
          </w:tcPr>
          <w:p w14:paraId="0C3F8770" w14:textId="77777777" w:rsidR="0015270F" w:rsidRPr="000313CF" w:rsidRDefault="0015270F" w:rsidP="000313CF">
            <w:pPr>
              <w:spacing w:before="0" w:after="0"/>
              <w:rPr>
                <w:rStyle w:val="BookTitle"/>
              </w:rPr>
            </w:pPr>
            <w:r w:rsidRPr="000313CF">
              <w:rPr>
                <w:rStyle w:val="BookTitle"/>
              </w:rPr>
              <w:t>0.17</w:t>
            </w:r>
          </w:p>
        </w:tc>
        <w:tc>
          <w:tcPr>
            <w:tcW w:w="0" w:type="auto"/>
            <w:tcBorders>
              <w:top w:val="nil"/>
              <w:left w:val="nil"/>
              <w:bottom w:val="nil"/>
              <w:right w:val="nil"/>
            </w:tcBorders>
            <w:shd w:val="clear" w:color="auto" w:fill="auto"/>
            <w:noWrap/>
            <w:vAlign w:val="bottom"/>
            <w:hideMark/>
          </w:tcPr>
          <w:p w14:paraId="0C3F8771" w14:textId="77777777" w:rsidR="0015270F" w:rsidRPr="000313CF" w:rsidRDefault="0015270F" w:rsidP="000313CF">
            <w:pPr>
              <w:spacing w:before="0" w:after="0"/>
              <w:rPr>
                <w:rStyle w:val="BookTitle"/>
              </w:rPr>
            </w:pPr>
            <w:r w:rsidRPr="000313CF">
              <w:rPr>
                <w:rStyle w:val="BookTitle"/>
              </w:rPr>
              <w:t>0.04</w:t>
            </w:r>
          </w:p>
        </w:tc>
      </w:tr>
      <w:tr w:rsidR="0015270F" w:rsidRPr="000313CF" w14:paraId="0C3F8778" w14:textId="77777777" w:rsidTr="0015270F">
        <w:trPr>
          <w:trHeight w:val="20"/>
          <w:jc w:val="center"/>
        </w:trPr>
        <w:tc>
          <w:tcPr>
            <w:tcW w:w="0" w:type="auto"/>
            <w:tcBorders>
              <w:top w:val="nil"/>
              <w:left w:val="nil"/>
              <w:bottom w:val="nil"/>
              <w:right w:val="nil"/>
            </w:tcBorders>
            <w:shd w:val="clear" w:color="auto" w:fill="auto"/>
            <w:noWrap/>
            <w:vAlign w:val="bottom"/>
            <w:hideMark/>
          </w:tcPr>
          <w:p w14:paraId="0C3F8773" w14:textId="77777777" w:rsidR="0015270F" w:rsidRPr="000313CF" w:rsidRDefault="0015270F" w:rsidP="000313CF">
            <w:pPr>
              <w:spacing w:before="0" w:after="0"/>
              <w:rPr>
                <w:rStyle w:val="BookTitle"/>
              </w:rPr>
            </w:pPr>
            <w:r w:rsidRPr="000313CF">
              <w:rPr>
                <w:rStyle w:val="BookTitle"/>
              </w:rPr>
              <w:t>TN</w:t>
            </w:r>
          </w:p>
        </w:tc>
        <w:tc>
          <w:tcPr>
            <w:tcW w:w="0" w:type="auto"/>
            <w:tcBorders>
              <w:top w:val="nil"/>
              <w:left w:val="nil"/>
              <w:bottom w:val="nil"/>
              <w:right w:val="nil"/>
            </w:tcBorders>
            <w:shd w:val="clear" w:color="auto" w:fill="auto"/>
            <w:noWrap/>
            <w:vAlign w:val="bottom"/>
            <w:hideMark/>
          </w:tcPr>
          <w:p w14:paraId="0C3F8774" w14:textId="77777777" w:rsidR="0015270F" w:rsidRPr="000313CF" w:rsidRDefault="0015270F" w:rsidP="000313CF">
            <w:pPr>
              <w:spacing w:before="0" w:after="0"/>
              <w:rPr>
                <w:rStyle w:val="BookTitle"/>
              </w:rPr>
            </w:pPr>
            <w:r w:rsidRPr="000313CF">
              <w:rPr>
                <w:rStyle w:val="BookTitle"/>
              </w:rPr>
              <w:t>0.10</w:t>
            </w:r>
          </w:p>
        </w:tc>
        <w:tc>
          <w:tcPr>
            <w:tcW w:w="0" w:type="auto"/>
            <w:tcBorders>
              <w:top w:val="nil"/>
              <w:left w:val="nil"/>
              <w:bottom w:val="nil"/>
              <w:right w:val="nil"/>
            </w:tcBorders>
            <w:shd w:val="clear" w:color="auto" w:fill="auto"/>
            <w:noWrap/>
            <w:vAlign w:val="bottom"/>
            <w:hideMark/>
          </w:tcPr>
          <w:p w14:paraId="0C3F8775" w14:textId="77777777" w:rsidR="0015270F" w:rsidRPr="000313CF" w:rsidRDefault="0015270F" w:rsidP="000313CF">
            <w:pPr>
              <w:spacing w:before="0" w:after="0"/>
              <w:rPr>
                <w:rStyle w:val="BookTitle"/>
              </w:rPr>
            </w:pPr>
            <w:r w:rsidRPr="000313CF">
              <w:rPr>
                <w:rStyle w:val="BookTitle"/>
              </w:rPr>
              <w:t>0.00</w:t>
            </w:r>
          </w:p>
        </w:tc>
        <w:tc>
          <w:tcPr>
            <w:tcW w:w="0" w:type="auto"/>
            <w:tcBorders>
              <w:top w:val="nil"/>
              <w:left w:val="nil"/>
              <w:bottom w:val="nil"/>
              <w:right w:val="nil"/>
            </w:tcBorders>
            <w:shd w:val="clear" w:color="auto" w:fill="auto"/>
            <w:noWrap/>
            <w:vAlign w:val="bottom"/>
            <w:hideMark/>
          </w:tcPr>
          <w:p w14:paraId="0C3F8776" w14:textId="77777777" w:rsidR="0015270F" w:rsidRPr="000313CF" w:rsidRDefault="0015270F" w:rsidP="000313CF">
            <w:pPr>
              <w:spacing w:before="0" w:after="0"/>
              <w:rPr>
                <w:rStyle w:val="BookTitle"/>
              </w:rPr>
            </w:pPr>
            <w:r w:rsidRPr="000313CF">
              <w:rPr>
                <w:rStyle w:val="BookTitle"/>
              </w:rPr>
              <w:t>0.38</w:t>
            </w:r>
          </w:p>
        </w:tc>
        <w:tc>
          <w:tcPr>
            <w:tcW w:w="0" w:type="auto"/>
            <w:tcBorders>
              <w:top w:val="nil"/>
              <w:left w:val="nil"/>
              <w:bottom w:val="nil"/>
              <w:right w:val="nil"/>
            </w:tcBorders>
            <w:shd w:val="clear" w:color="auto" w:fill="auto"/>
            <w:noWrap/>
            <w:vAlign w:val="bottom"/>
            <w:hideMark/>
          </w:tcPr>
          <w:p w14:paraId="0C3F8777" w14:textId="77777777" w:rsidR="0015270F" w:rsidRPr="000313CF" w:rsidRDefault="0015270F" w:rsidP="000313CF">
            <w:pPr>
              <w:spacing w:before="0" w:after="0"/>
              <w:rPr>
                <w:rStyle w:val="BookTitle"/>
              </w:rPr>
            </w:pPr>
            <w:r w:rsidRPr="000313CF">
              <w:rPr>
                <w:rStyle w:val="BookTitle"/>
              </w:rPr>
              <w:t>0.40</w:t>
            </w:r>
          </w:p>
        </w:tc>
      </w:tr>
      <w:tr w:rsidR="0015270F" w:rsidRPr="000313CF" w14:paraId="0C3F877E" w14:textId="77777777" w:rsidTr="0015270F">
        <w:trPr>
          <w:trHeight w:val="20"/>
          <w:jc w:val="center"/>
        </w:trPr>
        <w:tc>
          <w:tcPr>
            <w:tcW w:w="0" w:type="auto"/>
            <w:tcBorders>
              <w:top w:val="nil"/>
              <w:left w:val="nil"/>
              <w:bottom w:val="nil"/>
              <w:right w:val="nil"/>
            </w:tcBorders>
            <w:shd w:val="clear" w:color="auto" w:fill="auto"/>
            <w:noWrap/>
            <w:vAlign w:val="bottom"/>
            <w:hideMark/>
          </w:tcPr>
          <w:p w14:paraId="0C3F8779" w14:textId="77777777" w:rsidR="0015270F" w:rsidRPr="000313CF" w:rsidRDefault="0015270F" w:rsidP="000313CF">
            <w:pPr>
              <w:spacing w:before="0" w:after="0"/>
              <w:rPr>
                <w:rStyle w:val="BookTitle"/>
              </w:rPr>
            </w:pPr>
            <w:r w:rsidRPr="000313CF">
              <w:rPr>
                <w:rStyle w:val="BookTitle"/>
              </w:rPr>
              <w:t>TP</w:t>
            </w:r>
          </w:p>
        </w:tc>
        <w:tc>
          <w:tcPr>
            <w:tcW w:w="0" w:type="auto"/>
            <w:tcBorders>
              <w:top w:val="nil"/>
              <w:left w:val="nil"/>
              <w:bottom w:val="nil"/>
              <w:right w:val="nil"/>
            </w:tcBorders>
            <w:shd w:val="clear" w:color="auto" w:fill="auto"/>
            <w:noWrap/>
            <w:vAlign w:val="bottom"/>
            <w:hideMark/>
          </w:tcPr>
          <w:p w14:paraId="0C3F877A" w14:textId="77777777" w:rsidR="0015270F" w:rsidRPr="000313CF" w:rsidRDefault="0015270F" w:rsidP="000313CF">
            <w:pPr>
              <w:spacing w:before="0" w:after="0"/>
              <w:rPr>
                <w:rStyle w:val="BookTitle"/>
              </w:rPr>
            </w:pPr>
            <w:r w:rsidRPr="000313CF">
              <w:rPr>
                <w:rStyle w:val="BookTitle"/>
              </w:rPr>
              <w:t>0.71</w:t>
            </w:r>
          </w:p>
        </w:tc>
        <w:tc>
          <w:tcPr>
            <w:tcW w:w="0" w:type="auto"/>
            <w:tcBorders>
              <w:top w:val="nil"/>
              <w:left w:val="nil"/>
              <w:bottom w:val="nil"/>
              <w:right w:val="nil"/>
            </w:tcBorders>
            <w:shd w:val="clear" w:color="auto" w:fill="auto"/>
            <w:noWrap/>
            <w:vAlign w:val="bottom"/>
            <w:hideMark/>
          </w:tcPr>
          <w:p w14:paraId="0C3F877B" w14:textId="77777777" w:rsidR="0015270F" w:rsidRPr="000313CF" w:rsidRDefault="0015270F" w:rsidP="000313CF">
            <w:pPr>
              <w:spacing w:before="0" w:after="0"/>
              <w:rPr>
                <w:rStyle w:val="BookTitle"/>
              </w:rPr>
            </w:pPr>
            <w:r w:rsidRPr="000313CF">
              <w:rPr>
                <w:rStyle w:val="BookTitle"/>
              </w:rPr>
              <w:t>0.51</w:t>
            </w:r>
          </w:p>
        </w:tc>
        <w:tc>
          <w:tcPr>
            <w:tcW w:w="0" w:type="auto"/>
            <w:tcBorders>
              <w:top w:val="nil"/>
              <w:left w:val="nil"/>
              <w:bottom w:val="nil"/>
              <w:right w:val="nil"/>
            </w:tcBorders>
            <w:shd w:val="clear" w:color="auto" w:fill="auto"/>
            <w:noWrap/>
            <w:vAlign w:val="bottom"/>
            <w:hideMark/>
          </w:tcPr>
          <w:p w14:paraId="0C3F877C" w14:textId="77777777" w:rsidR="0015270F" w:rsidRPr="000313CF" w:rsidRDefault="0015270F" w:rsidP="000313CF">
            <w:pPr>
              <w:spacing w:before="0" w:after="0"/>
              <w:rPr>
                <w:rStyle w:val="BookTitle"/>
              </w:rPr>
            </w:pPr>
            <w:r w:rsidRPr="000313CF">
              <w:rPr>
                <w:rStyle w:val="BookTitle"/>
              </w:rPr>
              <w:t>0.47</w:t>
            </w:r>
          </w:p>
        </w:tc>
        <w:tc>
          <w:tcPr>
            <w:tcW w:w="0" w:type="auto"/>
            <w:tcBorders>
              <w:top w:val="nil"/>
              <w:left w:val="nil"/>
              <w:bottom w:val="nil"/>
              <w:right w:val="nil"/>
            </w:tcBorders>
            <w:shd w:val="clear" w:color="auto" w:fill="auto"/>
            <w:noWrap/>
            <w:vAlign w:val="bottom"/>
            <w:hideMark/>
          </w:tcPr>
          <w:p w14:paraId="0C3F877D" w14:textId="77777777" w:rsidR="0015270F" w:rsidRPr="000313CF" w:rsidRDefault="0015270F" w:rsidP="000313CF">
            <w:pPr>
              <w:spacing w:before="0" w:after="0"/>
              <w:rPr>
                <w:rStyle w:val="BookTitle"/>
              </w:rPr>
            </w:pPr>
            <w:r w:rsidRPr="000313CF">
              <w:rPr>
                <w:rStyle w:val="BookTitle"/>
              </w:rPr>
              <w:t>0.03</w:t>
            </w:r>
          </w:p>
        </w:tc>
      </w:tr>
      <w:tr w:rsidR="0015270F" w:rsidRPr="000313CF" w14:paraId="0C3F8784" w14:textId="77777777" w:rsidTr="0015270F">
        <w:trPr>
          <w:trHeight w:val="20"/>
          <w:jc w:val="center"/>
        </w:trPr>
        <w:tc>
          <w:tcPr>
            <w:tcW w:w="0" w:type="auto"/>
            <w:tcBorders>
              <w:top w:val="nil"/>
              <w:left w:val="nil"/>
              <w:bottom w:val="nil"/>
              <w:right w:val="nil"/>
            </w:tcBorders>
            <w:shd w:val="clear" w:color="auto" w:fill="auto"/>
            <w:noWrap/>
            <w:vAlign w:val="bottom"/>
            <w:hideMark/>
          </w:tcPr>
          <w:p w14:paraId="0C3F877F" w14:textId="77777777" w:rsidR="0015270F" w:rsidRPr="000313CF" w:rsidRDefault="0015270F" w:rsidP="000313CF">
            <w:pPr>
              <w:spacing w:before="0" w:after="0"/>
              <w:rPr>
                <w:rStyle w:val="BookTitle"/>
              </w:rPr>
            </w:pPr>
            <w:r w:rsidRPr="000313CF">
              <w:rPr>
                <w:rStyle w:val="BookTitle"/>
              </w:rPr>
              <w:t>DIN</w:t>
            </w:r>
          </w:p>
        </w:tc>
        <w:tc>
          <w:tcPr>
            <w:tcW w:w="0" w:type="auto"/>
            <w:tcBorders>
              <w:top w:val="nil"/>
              <w:left w:val="nil"/>
              <w:bottom w:val="nil"/>
              <w:right w:val="nil"/>
            </w:tcBorders>
            <w:shd w:val="clear" w:color="auto" w:fill="auto"/>
            <w:noWrap/>
            <w:vAlign w:val="bottom"/>
            <w:hideMark/>
          </w:tcPr>
          <w:p w14:paraId="0C3F8780" w14:textId="77777777" w:rsidR="0015270F" w:rsidRPr="000313CF" w:rsidRDefault="0015270F" w:rsidP="000313CF">
            <w:pPr>
              <w:spacing w:before="0" w:after="0"/>
              <w:rPr>
                <w:rStyle w:val="BookTitle"/>
              </w:rPr>
            </w:pPr>
            <w:r w:rsidRPr="000313CF">
              <w:rPr>
                <w:rStyle w:val="BookTitle"/>
              </w:rPr>
              <w:t>0.86</w:t>
            </w:r>
          </w:p>
        </w:tc>
        <w:tc>
          <w:tcPr>
            <w:tcW w:w="0" w:type="auto"/>
            <w:tcBorders>
              <w:top w:val="nil"/>
              <w:left w:val="nil"/>
              <w:bottom w:val="nil"/>
              <w:right w:val="nil"/>
            </w:tcBorders>
            <w:shd w:val="clear" w:color="auto" w:fill="auto"/>
            <w:noWrap/>
            <w:vAlign w:val="bottom"/>
            <w:hideMark/>
          </w:tcPr>
          <w:p w14:paraId="0C3F8781" w14:textId="77777777" w:rsidR="0015270F" w:rsidRPr="000313CF" w:rsidRDefault="0015270F" w:rsidP="000313CF">
            <w:pPr>
              <w:spacing w:before="0" w:after="0"/>
              <w:rPr>
                <w:rStyle w:val="BookTitle"/>
              </w:rPr>
            </w:pPr>
            <w:r w:rsidRPr="000313CF">
              <w:rPr>
                <w:rStyle w:val="BookTitle"/>
              </w:rPr>
              <w:t>0.26</w:t>
            </w:r>
          </w:p>
        </w:tc>
        <w:tc>
          <w:tcPr>
            <w:tcW w:w="0" w:type="auto"/>
            <w:tcBorders>
              <w:top w:val="nil"/>
              <w:left w:val="nil"/>
              <w:bottom w:val="nil"/>
              <w:right w:val="nil"/>
            </w:tcBorders>
            <w:shd w:val="clear" w:color="auto" w:fill="auto"/>
            <w:noWrap/>
            <w:vAlign w:val="bottom"/>
            <w:hideMark/>
          </w:tcPr>
          <w:p w14:paraId="0C3F8782" w14:textId="77777777" w:rsidR="0015270F" w:rsidRPr="000313CF" w:rsidRDefault="0015270F" w:rsidP="000313CF">
            <w:pPr>
              <w:spacing w:before="0" w:after="0"/>
              <w:rPr>
                <w:rStyle w:val="BookTitle"/>
              </w:rPr>
            </w:pPr>
            <w:r w:rsidRPr="000313CF">
              <w:rPr>
                <w:rStyle w:val="BookTitle"/>
              </w:rPr>
              <w:t>0.23</w:t>
            </w:r>
          </w:p>
        </w:tc>
        <w:tc>
          <w:tcPr>
            <w:tcW w:w="0" w:type="auto"/>
            <w:tcBorders>
              <w:top w:val="nil"/>
              <w:left w:val="nil"/>
              <w:bottom w:val="nil"/>
              <w:right w:val="nil"/>
            </w:tcBorders>
            <w:shd w:val="clear" w:color="auto" w:fill="auto"/>
            <w:noWrap/>
            <w:vAlign w:val="bottom"/>
            <w:hideMark/>
          </w:tcPr>
          <w:p w14:paraId="0C3F8783" w14:textId="77777777" w:rsidR="0015270F" w:rsidRPr="000313CF" w:rsidRDefault="0015270F" w:rsidP="000313CF">
            <w:pPr>
              <w:spacing w:before="0" w:after="0"/>
              <w:rPr>
                <w:rStyle w:val="BookTitle"/>
              </w:rPr>
            </w:pPr>
            <w:r w:rsidRPr="000313CF">
              <w:rPr>
                <w:rStyle w:val="BookTitle"/>
              </w:rPr>
              <w:t>0.40</w:t>
            </w:r>
          </w:p>
        </w:tc>
      </w:tr>
      <w:tr w:rsidR="0015270F" w:rsidRPr="000313CF" w14:paraId="0C3F878A" w14:textId="77777777" w:rsidTr="0015270F">
        <w:trPr>
          <w:trHeight w:val="20"/>
          <w:jc w:val="center"/>
        </w:trPr>
        <w:tc>
          <w:tcPr>
            <w:tcW w:w="0" w:type="auto"/>
            <w:tcBorders>
              <w:top w:val="nil"/>
              <w:left w:val="nil"/>
              <w:bottom w:val="nil"/>
              <w:right w:val="nil"/>
            </w:tcBorders>
            <w:shd w:val="clear" w:color="auto" w:fill="auto"/>
            <w:noWrap/>
            <w:vAlign w:val="bottom"/>
            <w:hideMark/>
          </w:tcPr>
          <w:p w14:paraId="0C3F8785" w14:textId="77777777" w:rsidR="0015270F" w:rsidRPr="000313CF" w:rsidRDefault="0015270F" w:rsidP="000313CF">
            <w:pPr>
              <w:spacing w:before="0" w:after="0"/>
              <w:rPr>
                <w:rStyle w:val="BookTitle"/>
              </w:rPr>
            </w:pPr>
            <w:r w:rsidRPr="000313CF">
              <w:rPr>
                <w:rStyle w:val="BookTitle"/>
              </w:rPr>
              <w:t>DIP</w:t>
            </w:r>
          </w:p>
        </w:tc>
        <w:tc>
          <w:tcPr>
            <w:tcW w:w="0" w:type="auto"/>
            <w:tcBorders>
              <w:top w:val="nil"/>
              <w:left w:val="nil"/>
              <w:bottom w:val="nil"/>
              <w:right w:val="nil"/>
            </w:tcBorders>
            <w:shd w:val="clear" w:color="auto" w:fill="auto"/>
            <w:noWrap/>
            <w:vAlign w:val="bottom"/>
            <w:hideMark/>
          </w:tcPr>
          <w:p w14:paraId="0C3F8786" w14:textId="77777777" w:rsidR="0015270F" w:rsidRPr="000313CF" w:rsidRDefault="0015270F" w:rsidP="000313CF">
            <w:pPr>
              <w:spacing w:before="0" w:after="0"/>
              <w:rPr>
                <w:rStyle w:val="BookTitle"/>
              </w:rPr>
            </w:pPr>
            <w:r w:rsidRPr="000313CF">
              <w:rPr>
                <w:rStyle w:val="BookTitle"/>
              </w:rPr>
              <w:t>0.68</w:t>
            </w:r>
          </w:p>
        </w:tc>
        <w:tc>
          <w:tcPr>
            <w:tcW w:w="0" w:type="auto"/>
            <w:tcBorders>
              <w:top w:val="nil"/>
              <w:left w:val="nil"/>
              <w:bottom w:val="nil"/>
              <w:right w:val="nil"/>
            </w:tcBorders>
            <w:shd w:val="clear" w:color="auto" w:fill="auto"/>
            <w:noWrap/>
            <w:vAlign w:val="bottom"/>
            <w:hideMark/>
          </w:tcPr>
          <w:p w14:paraId="0C3F8787" w14:textId="77777777" w:rsidR="0015270F" w:rsidRPr="000313CF" w:rsidRDefault="0015270F" w:rsidP="000313CF">
            <w:pPr>
              <w:spacing w:before="0" w:after="0"/>
              <w:rPr>
                <w:rStyle w:val="BookTitle"/>
              </w:rPr>
            </w:pPr>
            <w:r w:rsidRPr="000313CF">
              <w:rPr>
                <w:rStyle w:val="BookTitle"/>
              </w:rPr>
              <w:t>0.23</w:t>
            </w:r>
          </w:p>
        </w:tc>
        <w:tc>
          <w:tcPr>
            <w:tcW w:w="0" w:type="auto"/>
            <w:tcBorders>
              <w:top w:val="nil"/>
              <w:left w:val="nil"/>
              <w:bottom w:val="nil"/>
              <w:right w:val="nil"/>
            </w:tcBorders>
            <w:shd w:val="clear" w:color="auto" w:fill="auto"/>
            <w:noWrap/>
            <w:vAlign w:val="bottom"/>
            <w:hideMark/>
          </w:tcPr>
          <w:p w14:paraId="0C3F8788" w14:textId="77777777" w:rsidR="0015270F" w:rsidRPr="000313CF" w:rsidRDefault="0015270F" w:rsidP="000313CF">
            <w:pPr>
              <w:spacing w:before="0" w:after="0"/>
              <w:rPr>
                <w:rStyle w:val="BookTitle"/>
              </w:rPr>
            </w:pPr>
            <w:r w:rsidRPr="000313CF">
              <w:rPr>
                <w:rStyle w:val="BookTitle"/>
              </w:rPr>
              <w:t>0.28</w:t>
            </w:r>
          </w:p>
        </w:tc>
        <w:tc>
          <w:tcPr>
            <w:tcW w:w="0" w:type="auto"/>
            <w:tcBorders>
              <w:top w:val="nil"/>
              <w:left w:val="nil"/>
              <w:bottom w:val="nil"/>
              <w:right w:val="nil"/>
            </w:tcBorders>
            <w:shd w:val="clear" w:color="auto" w:fill="auto"/>
            <w:noWrap/>
            <w:vAlign w:val="bottom"/>
            <w:hideMark/>
          </w:tcPr>
          <w:p w14:paraId="0C3F8789" w14:textId="77777777" w:rsidR="0015270F" w:rsidRPr="000313CF" w:rsidRDefault="0015270F" w:rsidP="000313CF">
            <w:pPr>
              <w:spacing w:before="0" w:after="0"/>
              <w:rPr>
                <w:rStyle w:val="BookTitle"/>
              </w:rPr>
            </w:pPr>
            <w:r w:rsidRPr="000313CF">
              <w:rPr>
                <w:rStyle w:val="BookTitle"/>
              </w:rPr>
              <w:t>-0.07</w:t>
            </w:r>
          </w:p>
        </w:tc>
      </w:tr>
      <w:tr w:rsidR="0015270F" w:rsidRPr="000313CF" w14:paraId="0C3F8790" w14:textId="77777777" w:rsidTr="0015270F">
        <w:trPr>
          <w:trHeight w:val="20"/>
          <w:jc w:val="center"/>
        </w:trPr>
        <w:tc>
          <w:tcPr>
            <w:tcW w:w="0" w:type="auto"/>
            <w:tcBorders>
              <w:top w:val="nil"/>
              <w:left w:val="nil"/>
              <w:right w:val="nil"/>
            </w:tcBorders>
            <w:shd w:val="clear" w:color="auto" w:fill="auto"/>
            <w:noWrap/>
            <w:vAlign w:val="bottom"/>
            <w:hideMark/>
          </w:tcPr>
          <w:p w14:paraId="0C3F878B" w14:textId="77777777" w:rsidR="0015270F" w:rsidRPr="000313CF" w:rsidRDefault="0015270F" w:rsidP="000313CF">
            <w:pPr>
              <w:spacing w:before="0" w:after="0"/>
              <w:rPr>
                <w:rStyle w:val="BookTitle"/>
              </w:rPr>
            </w:pPr>
            <w:r w:rsidRPr="000313CF">
              <w:rPr>
                <w:rStyle w:val="BookTitle"/>
              </w:rPr>
              <w:t>PN</w:t>
            </w:r>
          </w:p>
        </w:tc>
        <w:tc>
          <w:tcPr>
            <w:tcW w:w="0" w:type="auto"/>
            <w:tcBorders>
              <w:top w:val="nil"/>
              <w:left w:val="nil"/>
              <w:right w:val="nil"/>
            </w:tcBorders>
            <w:shd w:val="clear" w:color="auto" w:fill="auto"/>
            <w:noWrap/>
            <w:vAlign w:val="bottom"/>
            <w:hideMark/>
          </w:tcPr>
          <w:p w14:paraId="0C3F878C" w14:textId="77777777" w:rsidR="0015270F" w:rsidRPr="000313CF" w:rsidRDefault="0015270F" w:rsidP="000313CF">
            <w:pPr>
              <w:spacing w:before="0" w:after="0"/>
              <w:rPr>
                <w:rStyle w:val="BookTitle"/>
              </w:rPr>
            </w:pPr>
            <w:r w:rsidRPr="000313CF">
              <w:rPr>
                <w:rStyle w:val="BookTitle"/>
              </w:rPr>
              <w:t>-0.09</w:t>
            </w:r>
          </w:p>
        </w:tc>
        <w:tc>
          <w:tcPr>
            <w:tcW w:w="0" w:type="auto"/>
            <w:tcBorders>
              <w:top w:val="nil"/>
              <w:left w:val="nil"/>
              <w:right w:val="nil"/>
            </w:tcBorders>
            <w:shd w:val="clear" w:color="auto" w:fill="auto"/>
            <w:noWrap/>
            <w:vAlign w:val="bottom"/>
            <w:hideMark/>
          </w:tcPr>
          <w:p w14:paraId="0C3F878D" w14:textId="77777777" w:rsidR="0015270F" w:rsidRPr="000313CF" w:rsidRDefault="0015270F" w:rsidP="000313CF">
            <w:pPr>
              <w:spacing w:before="0" w:after="0"/>
              <w:rPr>
                <w:rStyle w:val="BookTitle"/>
              </w:rPr>
            </w:pPr>
            <w:r w:rsidRPr="000313CF">
              <w:rPr>
                <w:rStyle w:val="BookTitle"/>
              </w:rPr>
              <w:t>-0.01</w:t>
            </w:r>
          </w:p>
        </w:tc>
        <w:tc>
          <w:tcPr>
            <w:tcW w:w="0" w:type="auto"/>
            <w:tcBorders>
              <w:top w:val="nil"/>
              <w:left w:val="nil"/>
              <w:right w:val="nil"/>
            </w:tcBorders>
            <w:shd w:val="clear" w:color="auto" w:fill="auto"/>
            <w:noWrap/>
            <w:vAlign w:val="bottom"/>
            <w:hideMark/>
          </w:tcPr>
          <w:p w14:paraId="0C3F878E" w14:textId="77777777" w:rsidR="0015270F" w:rsidRPr="000313CF" w:rsidRDefault="0015270F" w:rsidP="000313CF">
            <w:pPr>
              <w:spacing w:before="0" w:after="0"/>
              <w:rPr>
                <w:rStyle w:val="BookTitle"/>
              </w:rPr>
            </w:pPr>
            <w:r w:rsidRPr="000313CF">
              <w:rPr>
                <w:rStyle w:val="BookTitle"/>
              </w:rPr>
              <w:t>0.41</w:t>
            </w:r>
          </w:p>
        </w:tc>
        <w:tc>
          <w:tcPr>
            <w:tcW w:w="0" w:type="auto"/>
            <w:tcBorders>
              <w:top w:val="nil"/>
              <w:left w:val="nil"/>
              <w:right w:val="nil"/>
            </w:tcBorders>
            <w:shd w:val="clear" w:color="auto" w:fill="auto"/>
            <w:noWrap/>
            <w:vAlign w:val="bottom"/>
            <w:hideMark/>
          </w:tcPr>
          <w:p w14:paraId="0C3F878F" w14:textId="77777777" w:rsidR="0015270F" w:rsidRPr="000313CF" w:rsidRDefault="0015270F" w:rsidP="000313CF">
            <w:pPr>
              <w:spacing w:before="0" w:after="0"/>
              <w:rPr>
                <w:rStyle w:val="BookTitle"/>
              </w:rPr>
            </w:pPr>
            <w:r w:rsidRPr="000313CF">
              <w:rPr>
                <w:rStyle w:val="BookTitle"/>
              </w:rPr>
              <w:t>0.41</w:t>
            </w:r>
          </w:p>
        </w:tc>
      </w:tr>
      <w:tr w:rsidR="0015270F" w:rsidRPr="000313CF" w14:paraId="0C3F8796" w14:textId="77777777" w:rsidTr="0015270F">
        <w:trPr>
          <w:trHeight w:val="20"/>
          <w:jc w:val="center"/>
        </w:trPr>
        <w:tc>
          <w:tcPr>
            <w:tcW w:w="0" w:type="auto"/>
            <w:tcBorders>
              <w:top w:val="nil"/>
              <w:left w:val="nil"/>
              <w:bottom w:val="single" w:sz="4" w:space="0" w:color="auto"/>
              <w:right w:val="nil"/>
            </w:tcBorders>
            <w:shd w:val="clear" w:color="auto" w:fill="auto"/>
            <w:noWrap/>
            <w:vAlign w:val="bottom"/>
            <w:hideMark/>
          </w:tcPr>
          <w:p w14:paraId="0C3F8791" w14:textId="77777777" w:rsidR="0015270F" w:rsidRPr="000313CF" w:rsidRDefault="0015270F" w:rsidP="000313CF">
            <w:pPr>
              <w:spacing w:before="0" w:after="0"/>
              <w:rPr>
                <w:rStyle w:val="BookTitle"/>
              </w:rPr>
            </w:pPr>
            <w:r w:rsidRPr="000313CF">
              <w:rPr>
                <w:rStyle w:val="BookTitle"/>
              </w:rPr>
              <w:t>PP</w:t>
            </w:r>
          </w:p>
        </w:tc>
        <w:tc>
          <w:tcPr>
            <w:tcW w:w="0" w:type="auto"/>
            <w:tcBorders>
              <w:top w:val="nil"/>
              <w:left w:val="nil"/>
              <w:bottom w:val="single" w:sz="4" w:space="0" w:color="auto"/>
              <w:right w:val="nil"/>
            </w:tcBorders>
            <w:shd w:val="clear" w:color="auto" w:fill="auto"/>
            <w:noWrap/>
            <w:vAlign w:val="bottom"/>
            <w:hideMark/>
          </w:tcPr>
          <w:p w14:paraId="0C3F8792" w14:textId="77777777" w:rsidR="0015270F" w:rsidRPr="000313CF" w:rsidRDefault="0015270F" w:rsidP="000313CF">
            <w:pPr>
              <w:spacing w:before="0" w:after="0"/>
              <w:rPr>
                <w:rStyle w:val="BookTitle"/>
              </w:rPr>
            </w:pPr>
            <w:r w:rsidRPr="000313CF">
              <w:rPr>
                <w:rStyle w:val="BookTitle"/>
              </w:rPr>
              <w:t>0.40</w:t>
            </w:r>
          </w:p>
        </w:tc>
        <w:tc>
          <w:tcPr>
            <w:tcW w:w="0" w:type="auto"/>
            <w:tcBorders>
              <w:top w:val="nil"/>
              <w:left w:val="nil"/>
              <w:bottom w:val="single" w:sz="4" w:space="0" w:color="auto"/>
              <w:right w:val="nil"/>
            </w:tcBorders>
            <w:shd w:val="clear" w:color="auto" w:fill="auto"/>
            <w:noWrap/>
            <w:vAlign w:val="bottom"/>
            <w:hideMark/>
          </w:tcPr>
          <w:p w14:paraId="0C3F8793" w14:textId="77777777" w:rsidR="0015270F" w:rsidRPr="000313CF" w:rsidRDefault="0015270F" w:rsidP="000313CF">
            <w:pPr>
              <w:spacing w:before="0" w:after="0"/>
              <w:rPr>
                <w:rStyle w:val="BookTitle"/>
              </w:rPr>
            </w:pPr>
            <w:r w:rsidRPr="000313CF">
              <w:rPr>
                <w:rStyle w:val="BookTitle"/>
              </w:rPr>
              <w:t>0.15</w:t>
            </w:r>
          </w:p>
        </w:tc>
        <w:tc>
          <w:tcPr>
            <w:tcW w:w="0" w:type="auto"/>
            <w:tcBorders>
              <w:top w:val="nil"/>
              <w:left w:val="nil"/>
              <w:bottom w:val="single" w:sz="4" w:space="0" w:color="auto"/>
              <w:right w:val="nil"/>
            </w:tcBorders>
            <w:shd w:val="clear" w:color="auto" w:fill="auto"/>
            <w:noWrap/>
            <w:vAlign w:val="bottom"/>
            <w:hideMark/>
          </w:tcPr>
          <w:p w14:paraId="0C3F8794" w14:textId="77777777" w:rsidR="0015270F" w:rsidRPr="000313CF" w:rsidRDefault="0015270F" w:rsidP="000313CF">
            <w:pPr>
              <w:spacing w:before="0" w:after="0"/>
              <w:rPr>
                <w:rStyle w:val="BookTitle"/>
              </w:rPr>
            </w:pPr>
            <w:r w:rsidRPr="000313CF">
              <w:rPr>
                <w:rStyle w:val="BookTitle"/>
              </w:rPr>
              <w:t>0.32</w:t>
            </w:r>
          </w:p>
        </w:tc>
        <w:tc>
          <w:tcPr>
            <w:tcW w:w="0" w:type="auto"/>
            <w:tcBorders>
              <w:top w:val="nil"/>
              <w:left w:val="nil"/>
              <w:bottom w:val="single" w:sz="4" w:space="0" w:color="auto"/>
              <w:right w:val="nil"/>
            </w:tcBorders>
            <w:shd w:val="clear" w:color="auto" w:fill="auto"/>
            <w:noWrap/>
            <w:vAlign w:val="bottom"/>
            <w:hideMark/>
          </w:tcPr>
          <w:p w14:paraId="0C3F8795" w14:textId="77777777" w:rsidR="0015270F" w:rsidRPr="000313CF" w:rsidRDefault="0015270F" w:rsidP="000313CF">
            <w:pPr>
              <w:spacing w:before="0" w:after="0"/>
              <w:rPr>
                <w:rStyle w:val="BookTitle"/>
              </w:rPr>
            </w:pPr>
            <w:r w:rsidRPr="000313CF">
              <w:rPr>
                <w:rStyle w:val="BookTitle"/>
              </w:rPr>
              <w:t>-0.07</w:t>
            </w:r>
          </w:p>
        </w:tc>
      </w:tr>
    </w:tbl>
    <w:p w14:paraId="0C3F8797" w14:textId="77777777" w:rsidR="0015270F" w:rsidRDefault="0015270F" w:rsidP="0015270F"/>
    <w:p w14:paraId="0C3F8798" w14:textId="77777777" w:rsidR="008172FD" w:rsidRPr="00D243CD" w:rsidRDefault="008172FD" w:rsidP="008172FD">
      <w:pPr>
        <w:rPr>
          <w:rFonts w:cs="Courier New"/>
        </w:rPr>
      </w:pPr>
      <w:r w:rsidRPr="00D243CD">
        <w:rPr>
          <w:rFonts w:cs="Courier New"/>
        </w:rPr>
        <w:t>The result of the GAMM analysis for each WQ component is presented as a set of 4 plots, vertically distributed (Figure 4-8</w:t>
      </w:r>
      <w:r w:rsidR="00D243CD" w:rsidRPr="00D243CD">
        <w:rPr>
          <w:rFonts w:cs="Courier New"/>
        </w:rPr>
        <w:t>, Figure 4-9, Figure 4-10</w:t>
      </w:r>
      <w:r w:rsidRPr="00D243CD">
        <w:rPr>
          <w:rFonts w:cs="Courier New"/>
        </w:rPr>
        <w:t>). The first three plots in each column are the partial effect plots from the multiple regression analysis. These plots show the behaviour of the WQ component against each predictor individually (</w:t>
      </w:r>
      <w:r w:rsidR="005B6DBF" w:rsidRPr="00D243CD">
        <w:rPr>
          <w:rFonts w:cs="Courier New"/>
        </w:rPr>
        <w:t xml:space="preserve">i.e., either (i) surface salinity, (ii) </w:t>
      </w:r>
      <w:r w:rsidRPr="00D243CD">
        <w:rPr>
          <w:rFonts w:cs="Courier New"/>
        </w:rPr>
        <w:t xml:space="preserve">distance or </w:t>
      </w:r>
      <w:r w:rsidR="005B6DBF" w:rsidRPr="00D243CD">
        <w:rPr>
          <w:rFonts w:cs="Courier New"/>
        </w:rPr>
        <w:t xml:space="preserve">(iii) </w:t>
      </w:r>
      <w:r w:rsidRPr="00D243CD">
        <w:rPr>
          <w:rFonts w:cs="Courier New"/>
        </w:rPr>
        <w:t>river discharge) when the other two predictors are kept constant. The last plot represents the temporal variation of each WQ component when the selected predictors (i.e., those that did not present as a straight line in the partial plots) were used as random effects in the GAMM analysis</w:t>
      </w:r>
    </w:p>
    <w:p w14:paraId="0C3F8799" w14:textId="77777777" w:rsidR="008172FD" w:rsidRPr="00D243CD" w:rsidRDefault="008172FD" w:rsidP="008172FD">
      <w:pPr>
        <w:rPr>
          <w:rFonts w:cs="Courier New"/>
        </w:rPr>
      </w:pPr>
      <w:r w:rsidRPr="00D243CD">
        <w:rPr>
          <w:rFonts w:cs="Courier New"/>
        </w:rPr>
        <w:t xml:space="preserve">The temporal variation of the </w:t>
      </w:r>
      <w:r w:rsidR="005B6DBF" w:rsidRPr="00D243CD">
        <w:rPr>
          <w:rFonts w:cs="Courier New"/>
        </w:rPr>
        <w:t xml:space="preserve">wet season </w:t>
      </w:r>
      <w:r w:rsidRPr="00D243CD">
        <w:rPr>
          <w:rFonts w:cs="Courier New"/>
        </w:rPr>
        <w:t xml:space="preserve">WQ components (data set 2006-2013) was best modelled by using all predictors (i.e., salinity, river discharge and distance) as random effects. Exceptions occurred for chlorophyll-a and PN that had no inclusion of the predictor distance, which is presented as a straight line parallel to x-axis in the partial effect plots (Fig. 4-8). Moreover, no temporal variation was identified for </w:t>
      </w:r>
      <w:r w:rsidR="00D243CD">
        <w:rPr>
          <w:rFonts w:cs="Courier New"/>
        </w:rPr>
        <w:t>CDOM (Figure 4.8</w:t>
      </w:r>
      <w:r w:rsidRPr="00D243CD">
        <w:rPr>
          <w:rFonts w:cs="Courier New"/>
        </w:rPr>
        <w:t xml:space="preserve">), </w:t>
      </w:r>
      <w:r w:rsidR="00D243CD">
        <w:rPr>
          <w:rFonts w:cs="Courier New"/>
        </w:rPr>
        <w:t>chlorophyll-a (Figure. 4.9</w:t>
      </w:r>
      <w:r w:rsidRPr="00D243CD">
        <w:rPr>
          <w:rFonts w:cs="Courier New"/>
        </w:rPr>
        <w:t>)</w:t>
      </w:r>
      <w:r w:rsidR="00D243CD">
        <w:rPr>
          <w:rFonts w:cs="Courier New"/>
        </w:rPr>
        <w:t xml:space="preserve"> and Si (Figure 4.10</w:t>
      </w:r>
      <w:r w:rsidRPr="00D243CD">
        <w:rPr>
          <w:rFonts w:cs="Courier New"/>
        </w:rPr>
        <w:t>), which presented an r-squared &lt; 0, suggesting that a straight line parallel to the x-axis explain</w:t>
      </w:r>
      <w:r w:rsidR="005B6DBF" w:rsidRPr="00D243CD">
        <w:rPr>
          <w:rFonts w:cs="Courier New"/>
        </w:rPr>
        <w:t>ed</w:t>
      </w:r>
      <w:r w:rsidRPr="00D243CD">
        <w:rPr>
          <w:rFonts w:cs="Courier New"/>
        </w:rPr>
        <w:t xml:space="preserve"> </w:t>
      </w:r>
      <w:r w:rsidR="005B6DBF" w:rsidRPr="00D243CD">
        <w:rPr>
          <w:rFonts w:cs="Courier New"/>
        </w:rPr>
        <w:t xml:space="preserve">their temporal </w:t>
      </w:r>
      <w:r w:rsidRPr="00D243CD">
        <w:rPr>
          <w:rFonts w:cs="Courier New"/>
        </w:rPr>
        <w:t>behaviour</w:t>
      </w:r>
      <w:r w:rsidR="005B6DBF" w:rsidRPr="00D243CD">
        <w:rPr>
          <w:rFonts w:cs="Courier New"/>
        </w:rPr>
        <w:t xml:space="preserve"> better</w:t>
      </w:r>
      <w:r w:rsidRPr="00D243CD">
        <w:rPr>
          <w:rFonts w:cs="Courier New"/>
        </w:rPr>
        <w:t xml:space="preserve"> than the fitted models. All the other WQ components exhibited significant temporal trends although the fitted models explain less than 10% of the data variability, except for DIP (r-sq. = 0.33</w:t>
      </w:r>
      <w:r w:rsidR="005B6DBF" w:rsidRPr="00D243CD">
        <w:rPr>
          <w:rFonts w:cs="Courier New"/>
        </w:rPr>
        <w:t xml:space="preserve">, Figure </w:t>
      </w:r>
      <w:r w:rsidR="0059730C">
        <w:rPr>
          <w:rFonts w:cs="Courier New"/>
        </w:rPr>
        <w:t>4.10</w:t>
      </w:r>
      <w:r w:rsidR="00AE4287" w:rsidRPr="00D243CD">
        <w:rPr>
          <w:rFonts w:cs="Courier New"/>
        </w:rPr>
        <w:t>)</w:t>
      </w:r>
      <w:r w:rsidRPr="00D243CD">
        <w:rPr>
          <w:rFonts w:cs="Courier New"/>
        </w:rPr>
        <w:t>. For DIN and DIP, one can see a clear reduction in values after 2012, whi</w:t>
      </w:r>
      <w:r w:rsidR="00AE4287" w:rsidRPr="00D243CD">
        <w:rPr>
          <w:rFonts w:cs="Courier New"/>
        </w:rPr>
        <w:t>ch was preceded by an increase</w:t>
      </w:r>
      <w:r w:rsidRPr="00D243CD">
        <w:rPr>
          <w:rFonts w:cs="Courier New"/>
        </w:rPr>
        <w:t xml:space="preserve"> in concentrations in 2010-2011 wet season, corresponding to the Ex-Tropical Cyclone Yasi passage in January-February, 2011. </w:t>
      </w:r>
      <w:r w:rsidR="00AE4287" w:rsidRPr="00D243CD">
        <w:rPr>
          <w:rFonts w:cs="Courier New"/>
        </w:rPr>
        <w:t>Patterns in light attenuation were similar highlighting that the</w:t>
      </w:r>
      <w:r w:rsidRPr="00D243CD">
        <w:rPr>
          <w:rFonts w:cs="Courier New"/>
        </w:rPr>
        <w:t xml:space="preserve"> turbid waters in 2011-12 wet season</w:t>
      </w:r>
      <w:r w:rsidR="00AE4287" w:rsidRPr="00D243CD">
        <w:rPr>
          <w:rFonts w:cs="Courier New"/>
        </w:rPr>
        <w:t xml:space="preserve"> were partly driven by green (secondary) waters</w:t>
      </w:r>
      <w:r w:rsidRPr="00D243CD">
        <w:rPr>
          <w:rFonts w:cs="Courier New"/>
        </w:rPr>
        <w:t>. As a general trend, the m</w:t>
      </w:r>
      <w:r w:rsidR="00AE4287" w:rsidRPr="00D243CD">
        <w:rPr>
          <w:rFonts w:cs="Courier New"/>
        </w:rPr>
        <w:t xml:space="preserve">ajority of the parameters show a reduction in </w:t>
      </w:r>
      <w:r w:rsidRPr="00D243CD">
        <w:rPr>
          <w:rFonts w:cs="Courier New"/>
        </w:rPr>
        <w:t xml:space="preserve">values towards the end of the analysed period, </w:t>
      </w:r>
      <w:r w:rsidR="00AE4287" w:rsidRPr="00D243CD">
        <w:rPr>
          <w:rFonts w:cs="Courier New"/>
        </w:rPr>
        <w:t>with the exception of</w:t>
      </w:r>
      <w:r w:rsidRPr="00D243CD">
        <w:rPr>
          <w:rFonts w:cs="Courier New"/>
        </w:rPr>
        <w:t xml:space="preserve"> TSS, that </w:t>
      </w:r>
      <w:r w:rsidR="00AE4287" w:rsidRPr="00D243CD">
        <w:rPr>
          <w:rFonts w:cs="Courier New"/>
        </w:rPr>
        <w:t>increased</w:t>
      </w:r>
      <w:r w:rsidRPr="00D243CD">
        <w:rPr>
          <w:rFonts w:cs="Courier New"/>
        </w:rPr>
        <w:t xml:space="preserve"> from 2010/2011 onwards.</w:t>
      </w:r>
      <w:r w:rsidR="00AE4287" w:rsidRPr="00D243CD">
        <w:rPr>
          <w:rFonts w:cs="Courier New"/>
        </w:rPr>
        <w:t xml:space="preserve"> These results suggest that the chronic increases in DIN and DIP are largely related to the scale and extent of the wet season flow, however TSS increases, whilst driven by the sediment inputs from catchments,  can also be linked to other factors, such as the resuspension of the finer sediment through the frequency and intensity of the wind</w:t>
      </w:r>
    </w:p>
    <w:p w14:paraId="0C3F879A" w14:textId="77777777" w:rsidR="008172FD" w:rsidRPr="00D243CD" w:rsidRDefault="008172FD" w:rsidP="008172FD">
      <w:pPr>
        <w:rPr>
          <w:rFonts w:cs="Courier New"/>
        </w:rPr>
      </w:pPr>
      <w:r w:rsidRPr="00D243CD">
        <w:rPr>
          <w:rFonts w:cs="Courier New"/>
        </w:rPr>
        <w:t>The</w:t>
      </w:r>
      <w:r w:rsidR="00AE4287" w:rsidRPr="00D243CD">
        <w:rPr>
          <w:rFonts w:cs="Courier New"/>
        </w:rPr>
        <w:t xml:space="preserve"> partial effect plots (Figure 4.8</w:t>
      </w:r>
      <w:r w:rsidR="00A127FE">
        <w:rPr>
          <w:rFonts w:cs="Courier New"/>
        </w:rPr>
        <w:t xml:space="preserve">, Figure 4.9, Figure 4.10; </w:t>
      </w:r>
      <w:r w:rsidRPr="00D243CD">
        <w:rPr>
          <w:rFonts w:cs="Courier New"/>
        </w:rPr>
        <w:t>first 3 plots in each column) provide useful insights on the behaviour of each WQ component against the predictors. Surface salinity was a significant predictor for all the WQ components (Tab</w:t>
      </w:r>
      <w:r w:rsidR="00AE4287" w:rsidRPr="00D243CD">
        <w:rPr>
          <w:rFonts w:cs="Courier New"/>
        </w:rPr>
        <w:t>le 4.11</w:t>
      </w:r>
      <w:r w:rsidRPr="00D243CD">
        <w:rPr>
          <w:rFonts w:cs="Courier New"/>
        </w:rPr>
        <w:t>). As a general trend</w:t>
      </w:r>
      <w:r w:rsidR="00AE4287" w:rsidRPr="00D243CD">
        <w:rPr>
          <w:rFonts w:cs="Courier New"/>
        </w:rPr>
        <w:t>,</w:t>
      </w:r>
      <w:r w:rsidRPr="00D243CD">
        <w:rPr>
          <w:rFonts w:cs="Courier New"/>
        </w:rPr>
        <w:t xml:space="preserve"> all the WQ components </w:t>
      </w:r>
      <w:r w:rsidR="00AE4287" w:rsidRPr="00D243CD">
        <w:rPr>
          <w:rFonts w:cs="Courier New"/>
        </w:rPr>
        <w:t>reduce as salinity increases, stabilising</w:t>
      </w:r>
      <w:r w:rsidRPr="00D243CD">
        <w:rPr>
          <w:rFonts w:cs="Courier New"/>
        </w:rPr>
        <w:t xml:space="preserve"> </w:t>
      </w:r>
      <w:r w:rsidR="00AE4287" w:rsidRPr="00D243CD">
        <w:rPr>
          <w:rFonts w:cs="Courier New"/>
        </w:rPr>
        <w:t>in the mid salinity ranges</w:t>
      </w:r>
      <w:r w:rsidRPr="00D243CD">
        <w:rPr>
          <w:rFonts w:cs="Courier New"/>
        </w:rPr>
        <w:t>, although the stabilization point varies depending on the WQ com</w:t>
      </w:r>
      <w:r w:rsidR="00A127FE">
        <w:rPr>
          <w:rFonts w:cs="Courier New"/>
        </w:rPr>
        <w:t>ponent (Figure</w:t>
      </w:r>
      <w:r w:rsidR="00AE4287" w:rsidRPr="00D243CD">
        <w:rPr>
          <w:rFonts w:cs="Courier New"/>
        </w:rPr>
        <w:t>. 4.8</w:t>
      </w:r>
      <w:r w:rsidRPr="00D243CD">
        <w:rPr>
          <w:rFonts w:cs="Courier New"/>
        </w:rPr>
        <w:t>, plots in the top row). Different patterns are observed for chlorophyll-a and DIP. Chlorophyll-a exhibits a peak of concentr</w:t>
      </w:r>
      <w:r w:rsidR="00AE4287" w:rsidRPr="00D243CD">
        <w:rPr>
          <w:rFonts w:cs="Courier New"/>
        </w:rPr>
        <w:t>ation</w:t>
      </w:r>
      <w:r w:rsidR="00A127FE">
        <w:rPr>
          <w:rFonts w:cs="Courier New"/>
        </w:rPr>
        <w:t xml:space="preserve"> around salinity 15 (Figure 4.9</w:t>
      </w:r>
      <w:r w:rsidRPr="00D243CD">
        <w:rPr>
          <w:rFonts w:cs="Courier New"/>
        </w:rPr>
        <w:t>), and PN increases</w:t>
      </w:r>
      <w:r w:rsidR="00A127FE">
        <w:rPr>
          <w:rFonts w:cs="Courier New"/>
        </w:rPr>
        <w:t xml:space="preserve"> with salinity &gt; 30 (Figure 4.10</w:t>
      </w:r>
      <w:r w:rsidRPr="00D243CD">
        <w:rPr>
          <w:rFonts w:cs="Courier New"/>
        </w:rPr>
        <w:t>).</w:t>
      </w:r>
    </w:p>
    <w:p w14:paraId="0C3F879B" w14:textId="77777777" w:rsidR="008172FD" w:rsidRPr="00D243CD" w:rsidRDefault="008172FD" w:rsidP="008172FD">
      <w:pPr>
        <w:rPr>
          <w:rFonts w:cs="Courier New"/>
        </w:rPr>
      </w:pPr>
      <w:r w:rsidRPr="00D243CD">
        <w:rPr>
          <w:rFonts w:cs="Courier New"/>
        </w:rPr>
        <w:t>In relation to distance,</w:t>
      </w:r>
      <w:r w:rsidR="00AE4287" w:rsidRPr="00D243CD">
        <w:rPr>
          <w:rFonts w:cs="Courier New"/>
        </w:rPr>
        <w:t xml:space="preserve"> as would be expected, </w:t>
      </w:r>
      <w:r w:rsidRPr="00D243CD">
        <w:rPr>
          <w:rFonts w:cs="Courier New"/>
        </w:rPr>
        <w:t>most</w:t>
      </w:r>
      <w:r w:rsidR="00AE4287" w:rsidRPr="00D243CD">
        <w:rPr>
          <w:rFonts w:cs="Courier New"/>
        </w:rPr>
        <w:t xml:space="preserve"> of the WQ components reduce a</w:t>
      </w:r>
      <w:r w:rsidRPr="00D243CD">
        <w:rPr>
          <w:rFonts w:cs="Courier New"/>
        </w:rPr>
        <w:t>s water moves fa</w:t>
      </w:r>
      <w:r w:rsidR="00AE4287" w:rsidRPr="00D243CD">
        <w:rPr>
          <w:rFonts w:cs="Courier New"/>
        </w:rPr>
        <w:t>r from the river mouth (Figure 4.8</w:t>
      </w:r>
      <w:r w:rsidRPr="00D243CD">
        <w:rPr>
          <w:rFonts w:cs="Courier New"/>
        </w:rPr>
        <w:t>, plots in the second row). The peak of reduction is also variable depending on the WQ component, ranging from as close as 20 km from the river mouth (e.g., Kd, Fig</w:t>
      </w:r>
      <w:r w:rsidR="00A127FE">
        <w:rPr>
          <w:rFonts w:cs="Courier New"/>
        </w:rPr>
        <w:t>ure 4.8</w:t>
      </w:r>
      <w:r w:rsidRPr="00D243CD">
        <w:rPr>
          <w:rFonts w:cs="Courier New"/>
        </w:rPr>
        <w:t>)</w:t>
      </w:r>
      <w:r w:rsidR="00AE4287" w:rsidRPr="00D243CD">
        <w:rPr>
          <w:rFonts w:cs="Courier New"/>
        </w:rPr>
        <w:t>,</w:t>
      </w:r>
      <w:r w:rsidRPr="00D243CD">
        <w:rPr>
          <w:rFonts w:cs="Courier New"/>
        </w:rPr>
        <w:t xml:space="preserve"> up to 100 km</w:t>
      </w:r>
      <w:r w:rsidR="00AE4287" w:rsidRPr="00D243CD">
        <w:rPr>
          <w:rFonts w:cs="Courier New"/>
        </w:rPr>
        <w:t xml:space="preserve"> or more such </w:t>
      </w:r>
      <w:r w:rsidR="00A127FE">
        <w:rPr>
          <w:rFonts w:cs="Courier New"/>
        </w:rPr>
        <w:t>as for DIN (Figure 4.9</w:t>
      </w:r>
      <w:r w:rsidRPr="00D243CD">
        <w:rPr>
          <w:rFonts w:cs="Courier New"/>
        </w:rPr>
        <w:t>). However, caution must be taken when looking at data &gt; 100 km far from the coast due to the reduced numb</w:t>
      </w:r>
      <w:r w:rsidR="0036389B" w:rsidRPr="00D243CD">
        <w:rPr>
          <w:rFonts w:cs="Courier New"/>
        </w:rPr>
        <w:t>er of data points, which result</w:t>
      </w:r>
      <w:r w:rsidRPr="00D243CD">
        <w:rPr>
          <w:rFonts w:cs="Courier New"/>
        </w:rPr>
        <w:t xml:space="preserve"> in wider error bars. For example, distance does not present a significant pattern for PP, PN, DIP and Chl-a (Tab</w:t>
      </w:r>
      <w:r w:rsidR="0036389B" w:rsidRPr="00D243CD">
        <w:rPr>
          <w:rFonts w:cs="Courier New"/>
        </w:rPr>
        <w:t>le 4.11</w:t>
      </w:r>
      <w:r w:rsidRPr="00D243CD">
        <w:rPr>
          <w:rFonts w:cs="Courier New"/>
        </w:rPr>
        <w:t xml:space="preserve">), although only chlorophyll-a and PN were not included as predictor in the </w:t>
      </w:r>
      <w:r w:rsidR="0036389B" w:rsidRPr="00D243CD">
        <w:rPr>
          <w:rFonts w:cs="Courier New"/>
        </w:rPr>
        <w:t xml:space="preserve">following </w:t>
      </w:r>
      <w:r w:rsidRPr="00D243CD">
        <w:rPr>
          <w:rFonts w:cs="Courier New"/>
        </w:rPr>
        <w:t>GAMM analysis as they were excluded in the predictor selection in the GAM analysis</w:t>
      </w:r>
      <w:r w:rsidR="00A127FE">
        <w:rPr>
          <w:rFonts w:cs="Courier New"/>
        </w:rPr>
        <w:t xml:space="preserve"> (Figure 4.9</w:t>
      </w:r>
      <w:r w:rsidR="0036389B" w:rsidRPr="00D243CD">
        <w:rPr>
          <w:rFonts w:cs="Courier New"/>
        </w:rPr>
        <w:t>) as the</w:t>
      </w:r>
      <w:r w:rsidRPr="00D243CD">
        <w:rPr>
          <w:rFonts w:cs="Courier New"/>
        </w:rPr>
        <w:t xml:space="preserve"> fitted model is parallel to x-a</w:t>
      </w:r>
      <w:r w:rsidR="0036389B" w:rsidRPr="00D243CD">
        <w:rPr>
          <w:rFonts w:cs="Courier New"/>
        </w:rPr>
        <w:t>xis</w:t>
      </w:r>
      <w:r w:rsidRPr="00D243CD">
        <w:rPr>
          <w:rFonts w:cs="Courier New"/>
        </w:rPr>
        <w:t xml:space="preserve">. </w:t>
      </w:r>
    </w:p>
    <w:p w14:paraId="0C3F879C" w14:textId="77777777" w:rsidR="008172FD" w:rsidRPr="00D243CD" w:rsidRDefault="008172FD" w:rsidP="008172FD">
      <w:pPr>
        <w:rPr>
          <w:rFonts w:cs="Courier New"/>
        </w:rPr>
      </w:pPr>
      <w:r w:rsidRPr="00D243CD">
        <w:rPr>
          <w:rFonts w:cs="Courier New"/>
        </w:rPr>
        <w:t>Most of the WQ components respond to river discharge, being the higher the discharge the hi</w:t>
      </w:r>
      <w:r w:rsidR="0036389B" w:rsidRPr="00D243CD">
        <w:rPr>
          <w:rFonts w:cs="Courier New"/>
        </w:rPr>
        <w:t>gher the concentration (Figure 4.8</w:t>
      </w:r>
      <w:r w:rsidRPr="00D243CD">
        <w:rPr>
          <w:rFonts w:cs="Courier New"/>
        </w:rPr>
        <w:t>, plots in the third row), up to a maximum value where discharge is no longer influential. An exception to this pattern is exhibited by Si (Fig</w:t>
      </w:r>
      <w:r w:rsidR="00A127FE">
        <w:rPr>
          <w:rFonts w:cs="Courier New"/>
        </w:rPr>
        <w:t>ure 4.10</w:t>
      </w:r>
      <w:r w:rsidRPr="00D243CD">
        <w:rPr>
          <w:rFonts w:cs="Courier New"/>
        </w:rPr>
        <w:t xml:space="preserve">), </w:t>
      </w:r>
      <w:r w:rsidR="0036389B" w:rsidRPr="00D243CD">
        <w:rPr>
          <w:rFonts w:cs="Courier New"/>
        </w:rPr>
        <w:t>where the maximum peak</w:t>
      </w:r>
      <w:r w:rsidRPr="00D243CD">
        <w:rPr>
          <w:rFonts w:cs="Courier New"/>
        </w:rPr>
        <w:t xml:space="preserve"> occurs at relativel</w:t>
      </w:r>
      <w:r w:rsidR="0036389B" w:rsidRPr="00D243CD">
        <w:rPr>
          <w:rFonts w:cs="Courier New"/>
        </w:rPr>
        <w:t xml:space="preserve">y low discharges (&gt; 50,000 ML). </w:t>
      </w:r>
      <w:r w:rsidRPr="00D243CD">
        <w:rPr>
          <w:rFonts w:cs="Courier New"/>
        </w:rPr>
        <w:t>Again caution must be taken when looking at data sampled under high river discharge due to the reduced number of data points, which results in wider error bars. For example, river discharge does not present a significant pattern for Kd and Chl-a (Tab</w:t>
      </w:r>
      <w:r w:rsidR="0036389B" w:rsidRPr="00D243CD">
        <w:rPr>
          <w:rFonts w:cs="Courier New"/>
        </w:rPr>
        <w:t>le 4.11</w:t>
      </w:r>
      <w:r w:rsidRPr="00D243CD">
        <w:rPr>
          <w:rFonts w:cs="Courier New"/>
        </w:rPr>
        <w:t>), although both were included as predictor in the GAMM analysis.</w:t>
      </w:r>
    </w:p>
    <w:p w14:paraId="0C3F879D" w14:textId="77777777" w:rsidR="008172FD" w:rsidRPr="00D243CD" w:rsidRDefault="008172FD" w:rsidP="008172FD">
      <w:pPr>
        <w:rPr>
          <w:rFonts w:cs="Courier New"/>
        </w:rPr>
      </w:pPr>
      <w:r w:rsidRPr="00D243CD">
        <w:rPr>
          <w:rFonts w:cs="Courier New"/>
        </w:rPr>
        <w:t xml:space="preserve">The WQ components </w:t>
      </w:r>
      <w:r w:rsidR="0036389B" w:rsidRPr="00D243CD">
        <w:rPr>
          <w:rFonts w:cs="Courier New"/>
        </w:rPr>
        <w:t xml:space="preserve">that were </w:t>
      </w:r>
      <w:r w:rsidRPr="00D243CD">
        <w:rPr>
          <w:rFonts w:cs="Courier New"/>
        </w:rPr>
        <w:t>explained</w:t>
      </w:r>
      <w:r w:rsidR="0036389B" w:rsidRPr="00D243CD">
        <w:rPr>
          <w:rFonts w:cs="Courier New"/>
        </w:rPr>
        <w:t xml:space="preserve"> well</w:t>
      </w:r>
      <w:r w:rsidRPr="00D243CD">
        <w:rPr>
          <w:rFonts w:cs="Courier New"/>
        </w:rPr>
        <w:t xml:space="preserve"> by the selected predictors (i.e., among salinity, river discharge and distance) were Si, CDOM and DIN, </w:t>
      </w:r>
      <w:r w:rsidR="0036389B" w:rsidRPr="00D243CD">
        <w:rPr>
          <w:rFonts w:cs="Courier New"/>
        </w:rPr>
        <w:t>with</w:t>
      </w:r>
      <w:r w:rsidRPr="00D243CD">
        <w:rPr>
          <w:rFonts w:cs="Courier New"/>
        </w:rPr>
        <w:t xml:space="preserve"> variability explained </w:t>
      </w:r>
      <w:r w:rsidR="0036389B" w:rsidRPr="00D243CD">
        <w:rPr>
          <w:rFonts w:cs="Courier New"/>
        </w:rPr>
        <w:t>by greater than</w:t>
      </w:r>
      <w:r w:rsidRPr="00D243CD">
        <w:rPr>
          <w:rFonts w:cs="Courier New"/>
        </w:rPr>
        <w:t xml:space="preserve"> 55%. Chlorophyll-a was the component with less variability explained (5%) by the predictors. Among the predictors, salinity has on average the highest contribution to the general r-squared, so it is the most influential parameter analysed for the WQ components, followed by discharge and distance.</w:t>
      </w:r>
    </w:p>
    <w:p w14:paraId="0C3F879E" w14:textId="77777777" w:rsidR="008172FD" w:rsidRDefault="008172FD" w:rsidP="008172FD">
      <w:pPr>
        <w:rPr>
          <w:rFonts w:cs="Courier New"/>
          <w:sz w:val="24"/>
        </w:rPr>
      </w:pPr>
    </w:p>
    <w:p w14:paraId="0C3F879F" w14:textId="77777777" w:rsidR="008172FD" w:rsidRDefault="008172FD" w:rsidP="008172FD">
      <w:pPr>
        <w:rPr>
          <w:rFonts w:cs="Courier New"/>
          <w:sz w:val="24"/>
        </w:rPr>
      </w:pPr>
    </w:p>
    <w:p w14:paraId="0C3F87A0" w14:textId="77777777" w:rsidR="00D243CD" w:rsidRDefault="00D243CD" w:rsidP="008172FD">
      <w:pPr>
        <w:rPr>
          <w:rFonts w:cs="Courier New"/>
          <w:sz w:val="24"/>
        </w:rPr>
      </w:pPr>
    </w:p>
    <w:p w14:paraId="0C3F87A1" w14:textId="77777777" w:rsidR="00D243CD" w:rsidRDefault="00D243CD" w:rsidP="008172FD">
      <w:pPr>
        <w:rPr>
          <w:rFonts w:cs="Courier New"/>
          <w:sz w:val="24"/>
        </w:rPr>
      </w:pPr>
    </w:p>
    <w:p w14:paraId="0C3F87A2" w14:textId="77777777" w:rsidR="00D243CD" w:rsidRDefault="00D243CD" w:rsidP="008172FD">
      <w:pPr>
        <w:rPr>
          <w:rFonts w:cs="Courier New"/>
          <w:sz w:val="24"/>
        </w:rPr>
      </w:pPr>
    </w:p>
    <w:p w14:paraId="0C3F87A3" w14:textId="77777777" w:rsidR="00D243CD" w:rsidRDefault="00D243CD" w:rsidP="008172FD">
      <w:pPr>
        <w:rPr>
          <w:rFonts w:cs="Courier New"/>
          <w:sz w:val="24"/>
        </w:rPr>
      </w:pPr>
    </w:p>
    <w:p w14:paraId="0C3F87A4" w14:textId="77777777" w:rsidR="00D243CD" w:rsidRDefault="00D243CD" w:rsidP="008172FD">
      <w:pPr>
        <w:rPr>
          <w:rFonts w:cs="Courier New"/>
          <w:sz w:val="24"/>
        </w:rPr>
      </w:pPr>
    </w:p>
    <w:p w14:paraId="0C3F87A5" w14:textId="77777777" w:rsidR="008172FD" w:rsidRPr="00CC5FCA" w:rsidRDefault="00AE4287" w:rsidP="00AE4287">
      <w:pPr>
        <w:pStyle w:val="Caption"/>
        <w:rPr>
          <w:rFonts w:cs="Courier New"/>
          <w:sz w:val="24"/>
        </w:rPr>
      </w:pPr>
      <w:bookmarkStart w:id="136" w:name="_Toc434208078"/>
      <w:r>
        <w:t xml:space="preserve">Table </w:t>
      </w:r>
      <w:r>
        <w:fldChar w:fldCharType="begin"/>
      </w:r>
      <w:r>
        <w:instrText xml:space="preserve"> STYLEREF 1 \s </w:instrText>
      </w:r>
      <w:r>
        <w:fldChar w:fldCharType="separate"/>
      </w:r>
      <w:r w:rsidR="00B62B50">
        <w:rPr>
          <w:noProof/>
        </w:rPr>
        <w:t>4</w:t>
      </w:r>
      <w:r>
        <w:fldChar w:fldCharType="end"/>
      </w:r>
      <w:r>
        <w:noBreakHyphen/>
      </w:r>
      <w:r>
        <w:fldChar w:fldCharType="begin"/>
      </w:r>
      <w:r>
        <w:instrText xml:space="preserve"> SEQ Table \* ARABIC \s 1 </w:instrText>
      </w:r>
      <w:r>
        <w:fldChar w:fldCharType="separate"/>
      </w:r>
      <w:r w:rsidR="00B62B50">
        <w:rPr>
          <w:noProof/>
        </w:rPr>
        <w:t>11</w:t>
      </w:r>
      <w:r>
        <w:fldChar w:fldCharType="end"/>
      </w:r>
      <w:r>
        <w:t xml:space="preserve">: </w:t>
      </w:r>
      <w:r w:rsidR="008172FD">
        <w:rPr>
          <w:rFonts w:cs="Courier New"/>
          <w:sz w:val="24"/>
        </w:rPr>
        <w:t>Statistical summary of the multiple regression analysis. Number of data points, the general model r-squared and its p-value for each WQ component are shown in the left site of the table. The p-value and the percentage of contribution to the total r-squared for each predictor from the relative importance (number in brackets) are in the right side of the table. WQ components are sorted by general model r-squared, and numbers in bold stand for predictors not included in the GAMM analysis.</w:t>
      </w:r>
      <w:bookmarkEnd w:id="136"/>
    </w:p>
    <w:tbl>
      <w:tblPr>
        <w:tblW w:w="9320" w:type="dxa"/>
        <w:tblInd w:w="93" w:type="dxa"/>
        <w:tblLook w:val="04A0" w:firstRow="1" w:lastRow="0" w:firstColumn="1" w:lastColumn="0" w:noHBand="0" w:noVBand="1"/>
      </w:tblPr>
      <w:tblGrid>
        <w:gridCol w:w="1247"/>
        <w:gridCol w:w="1250"/>
        <w:gridCol w:w="648"/>
        <w:gridCol w:w="1042"/>
        <w:gridCol w:w="280"/>
        <w:gridCol w:w="1660"/>
        <w:gridCol w:w="1660"/>
        <w:gridCol w:w="1660"/>
      </w:tblGrid>
      <w:tr w:rsidR="008172FD" w:rsidRPr="00CC5FCA" w14:paraId="0C3F87AA" w14:textId="77777777" w:rsidTr="005B6DBF">
        <w:trPr>
          <w:trHeight w:val="300"/>
        </w:trPr>
        <w:tc>
          <w:tcPr>
            <w:tcW w:w="1120" w:type="dxa"/>
            <w:vMerge w:val="restart"/>
            <w:tcBorders>
              <w:top w:val="single" w:sz="4" w:space="0" w:color="auto"/>
              <w:left w:val="nil"/>
              <w:bottom w:val="single" w:sz="4" w:space="0" w:color="000000"/>
              <w:right w:val="nil"/>
            </w:tcBorders>
            <w:shd w:val="clear" w:color="auto" w:fill="auto"/>
            <w:vAlign w:val="bottom"/>
            <w:hideMark/>
          </w:tcPr>
          <w:p w14:paraId="0C3F87A6"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WQ component</w:t>
            </w:r>
          </w:p>
        </w:tc>
        <w:tc>
          <w:tcPr>
            <w:tcW w:w="2940" w:type="dxa"/>
            <w:gridSpan w:val="3"/>
            <w:tcBorders>
              <w:top w:val="single" w:sz="4" w:space="0" w:color="auto"/>
              <w:left w:val="nil"/>
              <w:bottom w:val="single" w:sz="4" w:space="0" w:color="auto"/>
              <w:right w:val="nil"/>
            </w:tcBorders>
            <w:shd w:val="clear" w:color="auto" w:fill="auto"/>
            <w:noWrap/>
            <w:vAlign w:val="bottom"/>
            <w:hideMark/>
          </w:tcPr>
          <w:p w14:paraId="0C3F87A7"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multiple regression model</w:t>
            </w:r>
          </w:p>
        </w:tc>
        <w:tc>
          <w:tcPr>
            <w:tcW w:w="280" w:type="dxa"/>
            <w:tcBorders>
              <w:top w:val="single" w:sz="4" w:space="0" w:color="auto"/>
              <w:left w:val="nil"/>
              <w:bottom w:val="nil"/>
              <w:right w:val="nil"/>
            </w:tcBorders>
            <w:shd w:val="clear" w:color="auto" w:fill="auto"/>
            <w:noWrap/>
            <w:vAlign w:val="bottom"/>
            <w:hideMark/>
          </w:tcPr>
          <w:p w14:paraId="0C3F87A8"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 </w:t>
            </w:r>
          </w:p>
        </w:tc>
        <w:tc>
          <w:tcPr>
            <w:tcW w:w="4980" w:type="dxa"/>
            <w:gridSpan w:val="3"/>
            <w:tcBorders>
              <w:top w:val="single" w:sz="4" w:space="0" w:color="auto"/>
              <w:left w:val="nil"/>
              <w:bottom w:val="single" w:sz="4" w:space="0" w:color="auto"/>
              <w:right w:val="nil"/>
            </w:tcBorders>
            <w:shd w:val="clear" w:color="auto" w:fill="auto"/>
            <w:noWrap/>
            <w:vAlign w:val="bottom"/>
            <w:hideMark/>
          </w:tcPr>
          <w:p w14:paraId="0C3F87A9"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p-value of each predictor (% of r-sq. contribution)</w:t>
            </w:r>
          </w:p>
        </w:tc>
      </w:tr>
      <w:tr w:rsidR="008172FD" w:rsidRPr="00CC5FCA" w14:paraId="0C3F87B3" w14:textId="77777777" w:rsidTr="005B6DBF">
        <w:trPr>
          <w:trHeight w:val="300"/>
        </w:trPr>
        <w:tc>
          <w:tcPr>
            <w:tcW w:w="1120" w:type="dxa"/>
            <w:vMerge/>
            <w:tcBorders>
              <w:top w:val="single" w:sz="4" w:space="0" w:color="auto"/>
              <w:left w:val="nil"/>
              <w:bottom w:val="single" w:sz="4" w:space="0" w:color="000000"/>
              <w:right w:val="nil"/>
            </w:tcBorders>
            <w:vAlign w:val="center"/>
            <w:hideMark/>
          </w:tcPr>
          <w:p w14:paraId="0C3F87AB" w14:textId="77777777" w:rsidR="008172FD" w:rsidRPr="00CC5FCA" w:rsidRDefault="008172FD" w:rsidP="005B6DBF">
            <w:pPr>
              <w:spacing w:after="0"/>
              <w:jc w:val="left"/>
              <w:rPr>
                <w:rFonts w:ascii="Calibri" w:hAnsi="Calibri" w:cs="Times New Roman"/>
                <w:color w:val="000000"/>
              </w:rPr>
            </w:pPr>
          </w:p>
        </w:tc>
        <w:tc>
          <w:tcPr>
            <w:tcW w:w="1250" w:type="dxa"/>
            <w:tcBorders>
              <w:top w:val="nil"/>
              <w:left w:val="nil"/>
              <w:bottom w:val="single" w:sz="4" w:space="0" w:color="auto"/>
              <w:right w:val="nil"/>
            </w:tcBorders>
            <w:shd w:val="clear" w:color="auto" w:fill="auto"/>
            <w:noWrap/>
            <w:vAlign w:val="bottom"/>
            <w:hideMark/>
          </w:tcPr>
          <w:p w14:paraId="0C3F87AC"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Data size</w:t>
            </w:r>
          </w:p>
        </w:tc>
        <w:tc>
          <w:tcPr>
            <w:tcW w:w="648" w:type="dxa"/>
            <w:tcBorders>
              <w:top w:val="nil"/>
              <w:left w:val="nil"/>
              <w:bottom w:val="single" w:sz="4" w:space="0" w:color="auto"/>
              <w:right w:val="nil"/>
            </w:tcBorders>
            <w:shd w:val="clear" w:color="auto" w:fill="auto"/>
            <w:noWrap/>
            <w:vAlign w:val="bottom"/>
            <w:hideMark/>
          </w:tcPr>
          <w:p w14:paraId="0C3F87AD"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r-sq.</w:t>
            </w:r>
          </w:p>
        </w:tc>
        <w:tc>
          <w:tcPr>
            <w:tcW w:w="1042" w:type="dxa"/>
            <w:tcBorders>
              <w:top w:val="nil"/>
              <w:left w:val="nil"/>
              <w:bottom w:val="single" w:sz="4" w:space="0" w:color="auto"/>
              <w:right w:val="nil"/>
            </w:tcBorders>
            <w:shd w:val="clear" w:color="auto" w:fill="auto"/>
            <w:noWrap/>
            <w:vAlign w:val="bottom"/>
            <w:hideMark/>
          </w:tcPr>
          <w:p w14:paraId="0C3F87AE"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p-value</w:t>
            </w:r>
          </w:p>
        </w:tc>
        <w:tc>
          <w:tcPr>
            <w:tcW w:w="280" w:type="dxa"/>
            <w:tcBorders>
              <w:top w:val="nil"/>
              <w:left w:val="nil"/>
              <w:bottom w:val="single" w:sz="4" w:space="0" w:color="auto"/>
              <w:right w:val="nil"/>
            </w:tcBorders>
            <w:shd w:val="clear" w:color="auto" w:fill="auto"/>
            <w:noWrap/>
            <w:vAlign w:val="bottom"/>
            <w:hideMark/>
          </w:tcPr>
          <w:p w14:paraId="0C3F87AF"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 </w:t>
            </w:r>
          </w:p>
        </w:tc>
        <w:tc>
          <w:tcPr>
            <w:tcW w:w="1660" w:type="dxa"/>
            <w:tcBorders>
              <w:top w:val="nil"/>
              <w:left w:val="nil"/>
              <w:bottom w:val="single" w:sz="4" w:space="0" w:color="auto"/>
              <w:right w:val="nil"/>
            </w:tcBorders>
            <w:shd w:val="clear" w:color="auto" w:fill="auto"/>
            <w:noWrap/>
            <w:vAlign w:val="bottom"/>
            <w:hideMark/>
          </w:tcPr>
          <w:p w14:paraId="0C3F87B0"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Salinity</w:t>
            </w:r>
          </w:p>
        </w:tc>
        <w:tc>
          <w:tcPr>
            <w:tcW w:w="1660" w:type="dxa"/>
            <w:tcBorders>
              <w:top w:val="nil"/>
              <w:left w:val="nil"/>
              <w:bottom w:val="single" w:sz="4" w:space="0" w:color="auto"/>
              <w:right w:val="nil"/>
            </w:tcBorders>
            <w:shd w:val="clear" w:color="auto" w:fill="auto"/>
            <w:noWrap/>
            <w:vAlign w:val="bottom"/>
            <w:hideMark/>
          </w:tcPr>
          <w:p w14:paraId="0C3F87B1"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Distance</w:t>
            </w:r>
          </w:p>
        </w:tc>
        <w:tc>
          <w:tcPr>
            <w:tcW w:w="1660" w:type="dxa"/>
            <w:tcBorders>
              <w:top w:val="nil"/>
              <w:left w:val="nil"/>
              <w:bottom w:val="single" w:sz="4" w:space="0" w:color="auto"/>
              <w:right w:val="nil"/>
            </w:tcBorders>
            <w:shd w:val="clear" w:color="auto" w:fill="auto"/>
            <w:noWrap/>
            <w:vAlign w:val="bottom"/>
            <w:hideMark/>
          </w:tcPr>
          <w:p w14:paraId="0C3F87B2"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Discharge</w:t>
            </w:r>
          </w:p>
        </w:tc>
      </w:tr>
      <w:tr w:rsidR="008172FD" w:rsidRPr="00CC5FCA" w14:paraId="0C3F87BC" w14:textId="77777777" w:rsidTr="005B6DBF">
        <w:trPr>
          <w:trHeight w:val="300"/>
        </w:trPr>
        <w:tc>
          <w:tcPr>
            <w:tcW w:w="1120" w:type="dxa"/>
            <w:tcBorders>
              <w:top w:val="nil"/>
              <w:left w:val="nil"/>
              <w:right w:val="nil"/>
            </w:tcBorders>
            <w:shd w:val="clear" w:color="auto" w:fill="auto"/>
            <w:noWrap/>
            <w:vAlign w:val="bottom"/>
            <w:hideMark/>
          </w:tcPr>
          <w:p w14:paraId="0C3F87B4"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Si</w:t>
            </w:r>
          </w:p>
        </w:tc>
        <w:tc>
          <w:tcPr>
            <w:tcW w:w="1250" w:type="dxa"/>
            <w:tcBorders>
              <w:top w:val="nil"/>
              <w:left w:val="nil"/>
              <w:right w:val="nil"/>
            </w:tcBorders>
            <w:shd w:val="clear" w:color="auto" w:fill="auto"/>
            <w:noWrap/>
            <w:vAlign w:val="bottom"/>
            <w:hideMark/>
          </w:tcPr>
          <w:p w14:paraId="0C3F87B5"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165</w:t>
            </w:r>
          </w:p>
        </w:tc>
        <w:tc>
          <w:tcPr>
            <w:tcW w:w="648" w:type="dxa"/>
            <w:tcBorders>
              <w:top w:val="nil"/>
              <w:left w:val="nil"/>
              <w:right w:val="nil"/>
            </w:tcBorders>
            <w:shd w:val="clear" w:color="auto" w:fill="auto"/>
            <w:noWrap/>
            <w:vAlign w:val="bottom"/>
            <w:hideMark/>
          </w:tcPr>
          <w:p w14:paraId="0C3F87B6"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0.85</w:t>
            </w:r>
          </w:p>
        </w:tc>
        <w:tc>
          <w:tcPr>
            <w:tcW w:w="1042" w:type="dxa"/>
            <w:tcBorders>
              <w:top w:val="nil"/>
              <w:left w:val="nil"/>
              <w:right w:val="nil"/>
            </w:tcBorders>
            <w:shd w:val="clear" w:color="auto" w:fill="auto"/>
            <w:noWrap/>
            <w:vAlign w:val="bottom"/>
            <w:hideMark/>
          </w:tcPr>
          <w:p w14:paraId="0C3F87B7"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right w:val="nil"/>
            </w:tcBorders>
            <w:shd w:val="clear" w:color="auto" w:fill="auto"/>
            <w:noWrap/>
            <w:vAlign w:val="bottom"/>
            <w:hideMark/>
          </w:tcPr>
          <w:p w14:paraId="0C3F87B8"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 </w:t>
            </w:r>
          </w:p>
        </w:tc>
        <w:tc>
          <w:tcPr>
            <w:tcW w:w="1660" w:type="dxa"/>
            <w:tcBorders>
              <w:top w:val="nil"/>
              <w:left w:val="nil"/>
              <w:right w:val="nil"/>
            </w:tcBorders>
            <w:shd w:val="clear" w:color="auto" w:fill="auto"/>
            <w:noWrap/>
            <w:vAlign w:val="bottom"/>
            <w:hideMark/>
          </w:tcPr>
          <w:p w14:paraId="0C3F87B9"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(79.1)</w:t>
            </w:r>
          </w:p>
        </w:tc>
        <w:tc>
          <w:tcPr>
            <w:tcW w:w="1660" w:type="dxa"/>
            <w:tcBorders>
              <w:top w:val="nil"/>
              <w:left w:val="nil"/>
              <w:right w:val="nil"/>
            </w:tcBorders>
            <w:shd w:val="clear" w:color="auto" w:fill="auto"/>
            <w:noWrap/>
            <w:vAlign w:val="bottom"/>
            <w:hideMark/>
          </w:tcPr>
          <w:p w14:paraId="0C3F87BA"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(7.7)</w:t>
            </w:r>
          </w:p>
        </w:tc>
        <w:tc>
          <w:tcPr>
            <w:tcW w:w="1660" w:type="dxa"/>
            <w:tcBorders>
              <w:top w:val="nil"/>
              <w:left w:val="nil"/>
              <w:right w:val="nil"/>
            </w:tcBorders>
            <w:shd w:val="clear" w:color="auto" w:fill="auto"/>
            <w:noWrap/>
            <w:vAlign w:val="bottom"/>
            <w:hideMark/>
          </w:tcPr>
          <w:p w14:paraId="0C3F87BB"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(13.3)</w:t>
            </w:r>
          </w:p>
        </w:tc>
      </w:tr>
      <w:tr w:rsidR="008172FD" w:rsidRPr="00CC5FCA" w14:paraId="0C3F87C5" w14:textId="77777777" w:rsidTr="005B6DBF">
        <w:trPr>
          <w:trHeight w:val="300"/>
        </w:trPr>
        <w:tc>
          <w:tcPr>
            <w:tcW w:w="1120" w:type="dxa"/>
            <w:tcBorders>
              <w:top w:val="nil"/>
              <w:left w:val="nil"/>
              <w:bottom w:val="nil"/>
              <w:right w:val="nil"/>
            </w:tcBorders>
            <w:shd w:val="clear" w:color="auto" w:fill="auto"/>
            <w:noWrap/>
            <w:vAlign w:val="bottom"/>
            <w:hideMark/>
          </w:tcPr>
          <w:p w14:paraId="0C3F87BD"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CDOM</w:t>
            </w:r>
          </w:p>
        </w:tc>
        <w:tc>
          <w:tcPr>
            <w:tcW w:w="1250" w:type="dxa"/>
            <w:tcBorders>
              <w:top w:val="nil"/>
              <w:left w:val="nil"/>
              <w:bottom w:val="nil"/>
              <w:right w:val="nil"/>
            </w:tcBorders>
            <w:shd w:val="clear" w:color="auto" w:fill="auto"/>
            <w:noWrap/>
            <w:vAlign w:val="bottom"/>
            <w:hideMark/>
          </w:tcPr>
          <w:p w14:paraId="0C3F87BE"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589</w:t>
            </w:r>
          </w:p>
        </w:tc>
        <w:tc>
          <w:tcPr>
            <w:tcW w:w="648" w:type="dxa"/>
            <w:tcBorders>
              <w:top w:val="nil"/>
              <w:left w:val="nil"/>
              <w:bottom w:val="nil"/>
              <w:right w:val="nil"/>
            </w:tcBorders>
            <w:shd w:val="clear" w:color="auto" w:fill="auto"/>
            <w:noWrap/>
            <w:vAlign w:val="bottom"/>
            <w:hideMark/>
          </w:tcPr>
          <w:p w14:paraId="0C3F87BF"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0.58</w:t>
            </w:r>
          </w:p>
        </w:tc>
        <w:tc>
          <w:tcPr>
            <w:tcW w:w="1042" w:type="dxa"/>
            <w:tcBorders>
              <w:top w:val="nil"/>
              <w:left w:val="nil"/>
              <w:bottom w:val="nil"/>
              <w:right w:val="nil"/>
            </w:tcBorders>
            <w:shd w:val="clear" w:color="auto" w:fill="auto"/>
            <w:noWrap/>
            <w:vAlign w:val="bottom"/>
            <w:hideMark/>
          </w:tcPr>
          <w:p w14:paraId="0C3F87C0"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nil"/>
              <w:right w:val="nil"/>
            </w:tcBorders>
            <w:shd w:val="clear" w:color="auto" w:fill="auto"/>
            <w:noWrap/>
            <w:vAlign w:val="bottom"/>
            <w:hideMark/>
          </w:tcPr>
          <w:p w14:paraId="0C3F87C1"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nil"/>
              <w:right w:val="nil"/>
            </w:tcBorders>
            <w:shd w:val="clear" w:color="auto" w:fill="auto"/>
            <w:noWrap/>
            <w:vAlign w:val="bottom"/>
            <w:hideMark/>
          </w:tcPr>
          <w:p w14:paraId="0C3F87C2"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(56.2)</w:t>
            </w:r>
          </w:p>
        </w:tc>
        <w:tc>
          <w:tcPr>
            <w:tcW w:w="1660" w:type="dxa"/>
            <w:tcBorders>
              <w:top w:val="nil"/>
              <w:left w:val="nil"/>
              <w:bottom w:val="nil"/>
              <w:right w:val="nil"/>
            </w:tcBorders>
            <w:shd w:val="clear" w:color="auto" w:fill="auto"/>
            <w:noWrap/>
            <w:vAlign w:val="bottom"/>
            <w:hideMark/>
          </w:tcPr>
          <w:p w14:paraId="0C3F87C3"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(5.8)</w:t>
            </w:r>
          </w:p>
        </w:tc>
        <w:tc>
          <w:tcPr>
            <w:tcW w:w="1660" w:type="dxa"/>
            <w:tcBorders>
              <w:top w:val="nil"/>
              <w:left w:val="nil"/>
              <w:bottom w:val="nil"/>
              <w:right w:val="nil"/>
            </w:tcBorders>
            <w:shd w:val="clear" w:color="auto" w:fill="auto"/>
            <w:noWrap/>
            <w:vAlign w:val="bottom"/>
            <w:hideMark/>
          </w:tcPr>
          <w:p w14:paraId="0C3F87C4"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(38)</w:t>
            </w:r>
          </w:p>
        </w:tc>
      </w:tr>
      <w:tr w:rsidR="008172FD" w:rsidRPr="00CC5FCA" w14:paraId="0C3F87CE" w14:textId="77777777" w:rsidTr="005B6DBF">
        <w:trPr>
          <w:trHeight w:val="300"/>
        </w:trPr>
        <w:tc>
          <w:tcPr>
            <w:tcW w:w="1120" w:type="dxa"/>
            <w:tcBorders>
              <w:top w:val="nil"/>
              <w:left w:val="nil"/>
              <w:bottom w:val="nil"/>
              <w:right w:val="nil"/>
            </w:tcBorders>
            <w:shd w:val="clear" w:color="auto" w:fill="auto"/>
            <w:noWrap/>
            <w:vAlign w:val="bottom"/>
            <w:hideMark/>
          </w:tcPr>
          <w:p w14:paraId="0C3F87C6"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DIN</w:t>
            </w:r>
          </w:p>
        </w:tc>
        <w:tc>
          <w:tcPr>
            <w:tcW w:w="1250" w:type="dxa"/>
            <w:tcBorders>
              <w:top w:val="nil"/>
              <w:left w:val="nil"/>
              <w:bottom w:val="nil"/>
              <w:right w:val="nil"/>
            </w:tcBorders>
            <w:shd w:val="clear" w:color="auto" w:fill="auto"/>
            <w:noWrap/>
            <w:vAlign w:val="bottom"/>
            <w:hideMark/>
          </w:tcPr>
          <w:p w14:paraId="0C3F87C7"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698</w:t>
            </w:r>
          </w:p>
        </w:tc>
        <w:tc>
          <w:tcPr>
            <w:tcW w:w="648" w:type="dxa"/>
            <w:tcBorders>
              <w:top w:val="nil"/>
              <w:left w:val="nil"/>
              <w:bottom w:val="nil"/>
              <w:right w:val="nil"/>
            </w:tcBorders>
            <w:shd w:val="clear" w:color="auto" w:fill="auto"/>
            <w:noWrap/>
            <w:vAlign w:val="bottom"/>
            <w:hideMark/>
          </w:tcPr>
          <w:p w14:paraId="0C3F87C8"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0.57</w:t>
            </w:r>
          </w:p>
        </w:tc>
        <w:tc>
          <w:tcPr>
            <w:tcW w:w="1042" w:type="dxa"/>
            <w:tcBorders>
              <w:top w:val="nil"/>
              <w:left w:val="nil"/>
              <w:bottom w:val="nil"/>
              <w:right w:val="nil"/>
            </w:tcBorders>
            <w:shd w:val="clear" w:color="auto" w:fill="auto"/>
            <w:noWrap/>
            <w:vAlign w:val="bottom"/>
            <w:hideMark/>
          </w:tcPr>
          <w:p w14:paraId="0C3F87C9"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nil"/>
              <w:right w:val="nil"/>
            </w:tcBorders>
            <w:shd w:val="clear" w:color="auto" w:fill="auto"/>
            <w:noWrap/>
            <w:vAlign w:val="bottom"/>
            <w:hideMark/>
          </w:tcPr>
          <w:p w14:paraId="0C3F87CA"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nil"/>
              <w:right w:val="nil"/>
            </w:tcBorders>
            <w:shd w:val="clear" w:color="auto" w:fill="auto"/>
            <w:noWrap/>
            <w:vAlign w:val="bottom"/>
            <w:hideMark/>
          </w:tcPr>
          <w:p w14:paraId="0C3F87CB"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(77.2)</w:t>
            </w:r>
          </w:p>
        </w:tc>
        <w:tc>
          <w:tcPr>
            <w:tcW w:w="1660" w:type="dxa"/>
            <w:tcBorders>
              <w:top w:val="nil"/>
              <w:left w:val="nil"/>
              <w:bottom w:val="nil"/>
              <w:right w:val="nil"/>
            </w:tcBorders>
            <w:shd w:val="clear" w:color="auto" w:fill="auto"/>
            <w:noWrap/>
            <w:vAlign w:val="bottom"/>
            <w:hideMark/>
          </w:tcPr>
          <w:p w14:paraId="0C3F87CC"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(1.5)</w:t>
            </w:r>
          </w:p>
        </w:tc>
        <w:tc>
          <w:tcPr>
            <w:tcW w:w="1660" w:type="dxa"/>
            <w:tcBorders>
              <w:top w:val="nil"/>
              <w:left w:val="nil"/>
              <w:bottom w:val="nil"/>
              <w:right w:val="nil"/>
            </w:tcBorders>
            <w:shd w:val="clear" w:color="auto" w:fill="auto"/>
            <w:noWrap/>
            <w:vAlign w:val="bottom"/>
            <w:hideMark/>
          </w:tcPr>
          <w:p w14:paraId="0C3F87CD"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(21.4)</w:t>
            </w:r>
          </w:p>
        </w:tc>
      </w:tr>
      <w:tr w:rsidR="008172FD" w:rsidRPr="00CC5FCA" w14:paraId="0C3F87D7" w14:textId="77777777" w:rsidTr="005B6DBF">
        <w:trPr>
          <w:trHeight w:val="300"/>
        </w:trPr>
        <w:tc>
          <w:tcPr>
            <w:tcW w:w="1120" w:type="dxa"/>
            <w:tcBorders>
              <w:top w:val="nil"/>
              <w:left w:val="nil"/>
              <w:bottom w:val="nil"/>
              <w:right w:val="nil"/>
            </w:tcBorders>
            <w:shd w:val="clear" w:color="auto" w:fill="auto"/>
            <w:noWrap/>
            <w:vAlign w:val="bottom"/>
            <w:hideMark/>
          </w:tcPr>
          <w:p w14:paraId="0C3F87CF"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TSS</w:t>
            </w:r>
          </w:p>
        </w:tc>
        <w:tc>
          <w:tcPr>
            <w:tcW w:w="1250" w:type="dxa"/>
            <w:tcBorders>
              <w:top w:val="nil"/>
              <w:left w:val="nil"/>
              <w:bottom w:val="nil"/>
              <w:right w:val="nil"/>
            </w:tcBorders>
            <w:shd w:val="clear" w:color="auto" w:fill="auto"/>
            <w:noWrap/>
            <w:vAlign w:val="bottom"/>
            <w:hideMark/>
          </w:tcPr>
          <w:p w14:paraId="0C3F87D0"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740</w:t>
            </w:r>
          </w:p>
        </w:tc>
        <w:tc>
          <w:tcPr>
            <w:tcW w:w="648" w:type="dxa"/>
            <w:tcBorders>
              <w:top w:val="nil"/>
              <w:left w:val="nil"/>
              <w:bottom w:val="nil"/>
              <w:right w:val="nil"/>
            </w:tcBorders>
            <w:shd w:val="clear" w:color="auto" w:fill="auto"/>
            <w:noWrap/>
            <w:vAlign w:val="bottom"/>
            <w:hideMark/>
          </w:tcPr>
          <w:p w14:paraId="0C3F87D1"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0.47</w:t>
            </w:r>
          </w:p>
        </w:tc>
        <w:tc>
          <w:tcPr>
            <w:tcW w:w="1042" w:type="dxa"/>
            <w:tcBorders>
              <w:top w:val="nil"/>
              <w:left w:val="nil"/>
              <w:bottom w:val="nil"/>
              <w:right w:val="nil"/>
            </w:tcBorders>
            <w:shd w:val="clear" w:color="auto" w:fill="auto"/>
            <w:noWrap/>
            <w:vAlign w:val="bottom"/>
            <w:hideMark/>
          </w:tcPr>
          <w:p w14:paraId="0C3F87D2"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nil"/>
              <w:right w:val="nil"/>
            </w:tcBorders>
            <w:shd w:val="clear" w:color="auto" w:fill="auto"/>
            <w:noWrap/>
            <w:vAlign w:val="bottom"/>
            <w:hideMark/>
          </w:tcPr>
          <w:p w14:paraId="0C3F87D3"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nil"/>
              <w:right w:val="nil"/>
            </w:tcBorders>
            <w:shd w:val="clear" w:color="auto" w:fill="auto"/>
            <w:noWrap/>
            <w:vAlign w:val="bottom"/>
            <w:hideMark/>
          </w:tcPr>
          <w:p w14:paraId="0C3F87D4"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(53.3)</w:t>
            </w:r>
          </w:p>
        </w:tc>
        <w:tc>
          <w:tcPr>
            <w:tcW w:w="1660" w:type="dxa"/>
            <w:tcBorders>
              <w:top w:val="nil"/>
              <w:left w:val="nil"/>
              <w:bottom w:val="nil"/>
              <w:right w:val="nil"/>
            </w:tcBorders>
            <w:shd w:val="clear" w:color="auto" w:fill="auto"/>
            <w:noWrap/>
            <w:vAlign w:val="bottom"/>
            <w:hideMark/>
          </w:tcPr>
          <w:p w14:paraId="0C3F87D5"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(3.7)</w:t>
            </w:r>
          </w:p>
        </w:tc>
        <w:tc>
          <w:tcPr>
            <w:tcW w:w="1660" w:type="dxa"/>
            <w:tcBorders>
              <w:top w:val="nil"/>
              <w:left w:val="nil"/>
              <w:bottom w:val="nil"/>
              <w:right w:val="nil"/>
            </w:tcBorders>
            <w:shd w:val="clear" w:color="auto" w:fill="auto"/>
            <w:noWrap/>
            <w:vAlign w:val="bottom"/>
            <w:hideMark/>
          </w:tcPr>
          <w:p w14:paraId="0C3F87D6"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(43)</w:t>
            </w:r>
          </w:p>
        </w:tc>
      </w:tr>
      <w:tr w:rsidR="008172FD" w:rsidRPr="00CC5FCA" w14:paraId="0C3F87E0" w14:textId="77777777" w:rsidTr="005B6DBF">
        <w:trPr>
          <w:trHeight w:val="300"/>
        </w:trPr>
        <w:tc>
          <w:tcPr>
            <w:tcW w:w="1120" w:type="dxa"/>
            <w:tcBorders>
              <w:top w:val="nil"/>
              <w:left w:val="nil"/>
              <w:bottom w:val="nil"/>
              <w:right w:val="nil"/>
            </w:tcBorders>
            <w:shd w:val="clear" w:color="auto" w:fill="auto"/>
            <w:noWrap/>
            <w:vAlign w:val="bottom"/>
            <w:hideMark/>
          </w:tcPr>
          <w:p w14:paraId="0C3F87D8"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PP</w:t>
            </w:r>
          </w:p>
        </w:tc>
        <w:tc>
          <w:tcPr>
            <w:tcW w:w="1250" w:type="dxa"/>
            <w:tcBorders>
              <w:top w:val="nil"/>
              <w:left w:val="nil"/>
              <w:bottom w:val="nil"/>
              <w:right w:val="nil"/>
            </w:tcBorders>
            <w:shd w:val="clear" w:color="auto" w:fill="auto"/>
            <w:noWrap/>
            <w:vAlign w:val="bottom"/>
            <w:hideMark/>
          </w:tcPr>
          <w:p w14:paraId="0C3F87D9"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719</w:t>
            </w:r>
          </w:p>
        </w:tc>
        <w:tc>
          <w:tcPr>
            <w:tcW w:w="648" w:type="dxa"/>
            <w:tcBorders>
              <w:top w:val="nil"/>
              <w:left w:val="nil"/>
              <w:bottom w:val="nil"/>
              <w:right w:val="nil"/>
            </w:tcBorders>
            <w:shd w:val="clear" w:color="auto" w:fill="auto"/>
            <w:noWrap/>
            <w:vAlign w:val="bottom"/>
            <w:hideMark/>
          </w:tcPr>
          <w:p w14:paraId="0C3F87DA"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0.39</w:t>
            </w:r>
          </w:p>
        </w:tc>
        <w:tc>
          <w:tcPr>
            <w:tcW w:w="1042" w:type="dxa"/>
            <w:tcBorders>
              <w:top w:val="nil"/>
              <w:left w:val="nil"/>
              <w:bottom w:val="nil"/>
              <w:right w:val="nil"/>
            </w:tcBorders>
            <w:shd w:val="clear" w:color="auto" w:fill="auto"/>
            <w:noWrap/>
            <w:vAlign w:val="bottom"/>
            <w:hideMark/>
          </w:tcPr>
          <w:p w14:paraId="0C3F87DB"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nil"/>
              <w:right w:val="nil"/>
            </w:tcBorders>
            <w:shd w:val="clear" w:color="auto" w:fill="auto"/>
            <w:noWrap/>
            <w:vAlign w:val="bottom"/>
            <w:hideMark/>
          </w:tcPr>
          <w:p w14:paraId="0C3F87DC"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nil"/>
              <w:right w:val="nil"/>
            </w:tcBorders>
            <w:shd w:val="clear" w:color="auto" w:fill="auto"/>
            <w:noWrap/>
            <w:vAlign w:val="bottom"/>
            <w:hideMark/>
          </w:tcPr>
          <w:p w14:paraId="0C3F87DD"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(64.7)</w:t>
            </w:r>
          </w:p>
        </w:tc>
        <w:tc>
          <w:tcPr>
            <w:tcW w:w="1660" w:type="dxa"/>
            <w:tcBorders>
              <w:top w:val="nil"/>
              <w:left w:val="nil"/>
              <w:bottom w:val="nil"/>
              <w:right w:val="nil"/>
            </w:tcBorders>
            <w:shd w:val="clear" w:color="auto" w:fill="auto"/>
            <w:noWrap/>
            <w:vAlign w:val="bottom"/>
            <w:hideMark/>
          </w:tcPr>
          <w:p w14:paraId="0C3F87DE"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0.17 (1.4)</w:t>
            </w:r>
          </w:p>
        </w:tc>
        <w:tc>
          <w:tcPr>
            <w:tcW w:w="1660" w:type="dxa"/>
            <w:tcBorders>
              <w:top w:val="nil"/>
              <w:left w:val="nil"/>
              <w:bottom w:val="nil"/>
              <w:right w:val="nil"/>
            </w:tcBorders>
            <w:shd w:val="clear" w:color="auto" w:fill="auto"/>
            <w:noWrap/>
            <w:vAlign w:val="bottom"/>
            <w:hideMark/>
          </w:tcPr>
          <w:p w14:paraId="0C3F87DF"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(33.8)</w:t>
            </w:r>
          </w:p>
        </w:tc>
      </w:tr>
      <w:tr w:rsidR="008172FD" w:rsidRPr="00CC5FCA" w14:paraId="0C3F87E9" w14:textId="77777777" w:rsidTr="005B6DBF">
        <w:trPr>
          <w:trHeight w:val="300"/>
        </w:trPr>
        <w:tc>
          <w:tcPr>
            <w:tcW w:w="1120" w:type="dxa"/>
            <w:tcBorders>
              <w:top w:val="nil"/>
              <w:left w:val="nil"/>
              <w:bottom w:val="nil"/>
              <w:right w:val="nil"/>
            </w:tcBorders>
            <w:shd w:val="clear" w:color="auto" w:fill="auto"/>
            <w:noWrap/>
            <w:vAlign w:val="bottom"/>
            <w:hideMark/>
          </w:tcPr>
          <w:p w14:paraId="0C3F87E1"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Kd</w:t>
            </w:r>
          </w:p>
        </w:tc>
        <w:tc>
          <w:tcPr>
            <w:tcW w:w="1250" w:type="dxa"/>
            <w:tcBorders>
              <w:top w:val="nil"/>
              <w:left w:val="nil"/>
              <w:bottom w:val="nil"/>
              <w:right w:val="nil"/>
            </w:tcBorders>
            <w:shd w:val="clear" w:color="auto" w:fill="auto"/>
            <w:noWrap/>
            <w:vAlign w:val="bottom"/>
            <w:hideMark/>
          </w:tcPr>
          <w:p w14:paraId="0C3F87E2"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355</w:t>
            </w:r>
          </w:p>
        </w:tc>
        <w:tc>
          <w:tcPr>
            <w:tcW w:w="648" w:type="dxa"/>
            <w:tcBorders>
              <w:top w:val="nil"/>
              <w:left w:val="nil"/>
              <w:bottom w:val="nil"/>
              <w:right w:val="nil"/>
            </w:tcBorders>
            <w:shd w:val="clear" w:color="auto" w:fill="auto"/>
            <w:noWrap/>
            <w:vAlign w:val="bottom"/>
            <w:hideMark/>
          </w:tcPr>
          <w:p w14:paraId="0C3F87E3"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0.36</w:t>
            </w:r>
          </w:p>
        </w:tc>
        <w:tc>
          <w:tcPr>
            <w:tcW w:w="1042" w:type="dxa"/>
            <w:tcBorders>
              <w:top w:val="nil"/>
              <w:left w:val="nil"/>
              <w:bottom w:val="nil"/>
              <w:right w:val="nil"/>
            </w:tcBorders>
            <w:shd w:val="clear" w:color="auto" w:fill="auto"/>
            <w:noWrap/>
            <w:vAlign w:val="bottom"/>
            <w:hideMark/>
          </w:tcPr>
          <w:p w14:paraId="0C3F87E4"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nil"/>
              <w:right w:val="nil"/>
            </w:tcBorders>
            <w:shd w:val="clear" w:color="auto" w:fill="auto"/>
            <w:noWrap/>
            <w:vAlign w:val="bottom"/>
            <w:hideMark/>
          </w:tcPr>
          <w:p w14:paraId="0C3F87E5"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nil"/>
              <w:right w:val="nil"/>
            </w:tcBorders>
            <w:shd w:val="clear" w:color="auto" w:fill="auto"/>
            <w:noWrap/>
            <w:vAlign w:val="bottom"/>
            <w:hideMark/>
          </w:tcPr>
          <w:p w14:paraId="0C3F87E6"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(71.8)</w:t>
            </w:r>
          </w:p>
        </w:tc>
        <w:tc>
          <w:tcPr>
            <w:tcW w:w="1660" w:type="dxa"/>
            <w:tcBorders>
              <w:top w:val="nil"/>
              <w:left w:val="nil"/>
              <w:bottom w:val="nil"/>
              <w:right w:val="nil"/>
            </w:tcBorders>
            <w:shd w:val="clear" w:color="auto" w:fill="auto"/>
            <w:noWrap/>
            <w:vAlign w:val="bottom"/>
            <w:hideMark/>
          </w:tcPr>
          <w:p w14:paraId="0C3F87E7"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(23.7)</w:t>
            </w:r>
          </w:p>
        </w:tc>
        <w:tc>
          <w:tcPr>
            <w:tcW w:w="1660" w:type="dxa"/>
            <w:tcBorders>
              <w:top w:val="nil"/>
              <w:left w:val="nil"/>
              <w:bottom w:val="nil"/>
              <w:right w:val="nil"/>
            </w:tcBorders>
            <w:shd w:val="clear" w:color="auto" w:fill="auto"/>
            <w:noWrap/>
            <w:vAlign w:val="bottom"/>
            <w:hideMark/>
          </w:tcPr>
          <w:p w14:paraId="0C3F87E8"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0.26 (4.5)</w:t>
            </w:r>
          </w:p>
        </w:tc>
      </w:tr>
      <w:tr w:rsidR="008172FD" w:rsidRPr="00CC5FCA" w14:paraId="0C3F87F2" w14:textId="77777777" w:rsidTr="005B6DBF">
        <w:trPr>
          <w:trHeight w:val="300"/>
        </w:trPr>
        <w:tc>
          <w:tcPr>
            <w:tcW w:w="1120" w:type="dxa"/>
            <w:tcBorders>
              <w:top w:val="nil"/>
              <w:left w:val="nil"/>
              <w:bottom w:val="nil"/>
              <w:right w:val="nil"/>
            </w:tcBorders>
            <w:shd w:val="clear" w:color="auto" w:fill="auto"/>
            <w:noWrap/>
            <w:vAlign w:val="bottom"/>
            <w:hideMark/>
          </w:tcPr>
          <w:p w14:paraId="0C3F87EA"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PN</w:t>
            </w:r>
          </w:p>
        </w:tc>
        <w:tc>
          <w:tcPr>
            <w:tcW w:w="1250" w:type="dxa"/>
            <w:tcBorders>
              <w:top w:val="nil"/>
              <w:left w:val="nil"/>
              <w:bottom w:val="nil"/>
              <w:right w:val="nil"/>
            </w:tcBorders>
            <w:shd w:val="clear" w:color="auto" w:fill="auto"/>
            <w:noWrap/>
            <w:vAlign w:val="bottom"/>
            <w:hideMark/>
          </w:tcPr>
          <w:p w14:paraId="0C3F87EB"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701</w:t>
            </w:r>
          </w:p>
        </w:tc>
        <w:tc>
          <w:tcPr>
            <w:tcW w:w="648" w:type="dxa"/>
            <w:tcBorders>
              <w:top w:val="nil"/>
              <w:left w:val="nil"/>
              <w:bottom w:val="nil"/>
              <w:right w:val="nil"/>
            </w:tcBorders>
            <w:shd w:val="clear" w:color="auto" w:fill="auto"/>
            <w:noWrap/>
            <w:vAlign w:val="bottom"/>
            <w:hideMark/>
          </w:tcPr>
          <w:p w14:paraId="0C3F87EC"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0.30</w:t>
            </w:r>
          </w:p>
        </w:tc>
        <w:tc>
          <w:tcPr>
            <w:tcW w:w="1042" w:type="dxa"/>
            <w:tcBorders>
              <w:top w:val="nil"/>
              <w:left w:val="nil"/>
              <w:bottom w:val="nil"/>
              <w:right w:val="nil"/>
            </w:tcBorders>
            <w:shd w:val="clear" w:color="auto" w:fill="auto"/>
            <w:noWrap/>
            <w:vAlign w:val="bottom"/>
            <w:hideMark/>
          </w:tcPr>
          <w:p w14:paraId="0C3F87ED"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nil"/>
              <w:right w:val="nil"/>
            </w:tcBorders>
            <w:shd w:val="clear" w:color="auto" w:fill="auto"/>
            <w:noWrap/>
            <w:vAlign w:val="bottom"/>
            <w:hideMark/>
          </w:tcPr>
          <w:p w14:paraId="0C3F87EE"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nil"/>
              <w:right w:val="nil"/>
            </w:tcBorders>
            <w:shd w:val="clear" w:color="auto" w:fill="auto"/>
            <w:noWrap/>
            <w:vAlign w:val="bottom"/>
            <w:hideMark/>
          </w:tcPr>
          <w:p w14:paraId="0C3F87EF"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(71.9)</w:t>
            </w:r>
          </w:p>
        </w:tc>
        <w:tc>
          <w:tcPr>
            <w:tcW w:w="1660" w:type="dxa"/>
            <w:tcBorders>
              <w:top w:val="nil"/>
              <w:left w:val="nil"/>
              <w:bottom w:val="nil"/>
              <w:right w:val="nil"/>
            </w:tcBorders>
            <w:shd w:val="clear" w:color="auto" w:fill="auto"/>
            <w:noWrap/>
            <w:vAlign w:val="bottom"/>
            <w:hideMark/>
          </w:tcPr>
          <w:p w14:paraId="0C3F87F0" w14:textId="77777777" w:rsidR="008172FD" w:rsidRPr="00CC5FCA" w:rsidRDefault="008172FD" w:rsidP="005B6DBF">
            <w:pPr>
              <w:spacing w:after="0"/>
              <w:jc w:val="center"/>
              <w:rPr>
                <w:rFonts w:ascii="Calibri" w:hAnsi="Calibri" w:cs="Times New Roman"/>
                <w:b/>
                <w:color w:val="000000"/>
              </w:rPr>
            </w:pPr>
            <w:r w:rsidRPr="00CC5FCA">
              <w:rPr>
                <w:rFonts w:ascii="Calibri" w:hAnsi="Calibri" w:cs="Times New Roman"/>
                <w:b/>
                <w:color w:val="000000"/>
              </w:rPr>
              <w:t>1 (0.7)</w:t>
            </w:r>
          </w:p>
        </w:tc>
        <w:tc>
          <w:tcPr>
            <w:tcW w:w="1660" w:type="dxa"/>
            <w:tcBorders>
              <w:top w:val="nil"/>
              <w:left w:val="nil"/>
              <w:bottom w:val="nil"/>
              <w:right w:val="nil"/>
            </w:tcBorders>
            <w:shd w:val="clear" w:color="auto" w:fill="auto"/>
            <w:noWrap/>
            <w:vAlign w:val="bottom"/>
            <w:hideMark/>
          </w:tcPr>
          <w:p w14:paraId="0C3F87F1"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(27.5)</w:t>
            </w:r>
          </w:p>
        </w:tc>
      </w:tr>
      <w:tr w:rsidR="008172FD" w:rsidRPr="00CC5FCA" w14:paraId="0C3F87FB" w14:textId="77777777" w:rsidTr="005B6DBF">
        <w:trPr>
          <w:trHeight w:val="300"/>
        </w:trPr>
        <w:tc>
          <w:tcPr>
            <w:tcW w:w="1120" w:type="dxa"/>
            <w:tcBorders>
              <w:top w:val="nil"/>
              <w:left w:val="nil"/>
              <w:right w:val="nil"/>
            </w:tcBorders>
            <w:shd w:val="clear" w:color="auto" w:fill="auto"/>
            <w:noWrap/>
            <w:vAlign w:val="bottom"/>
            <w:hideMark/>
          </w:tcPr>
          <w:p w14:paraId="0C3F87F3"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DIP</w:t>
            </w:r>
          </w:p>
        </w:tc>
        <w:tc>
          <w:tcPr>
            <w:tcW w:w="1250" w:type="dxa"/>
            <w:tcBorders>
              <w:top w:val="nil"/>
              <w:left w:val="nil"/>
              <w:right w:val="nil"/>
            </w:tcBorders>
            <w:shd w:val="clear" w:color="auto" w:fill="auto"/>
            <w:noWrap/>
            <w:vAlign w:val="bottom"/>
            <w:hideMark/>
          </w:tcPr>
          <w:p w14:paraId="0C3F87F4"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776</w:t>
            </w:r>
          </w:p>
        </w:tc>
        <w:tc>
          <w:tcPr>
            <w:tcW w:w="648" w:type="dxa"/>
            <w:tcBorders>
              <w:top w:val="nil"/>
              <w:left w:val="nil"/>
              <w:right w:val="nil"/>
            </w:tcBorders>
            <w:shd w:val="clear" w:color="auto" w:fill="auto"/>
            <w:noWrap/>
            <w:vAlign w:val="bottom"/>
            <w:hideMark/>
          </w:tcPr>
          <w:p w14:paraId="0C3F87F5"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0.09</w:t>
            </w:r>
          </w:p>
        </w:tc>
        <w:tc>
          <w:tcPr>
            <w:tcW w:w="1042" w:type="dxa"/>
            <w:tcBorders>
              <w:top w:val="nil"/>
              <w:left w:val="nil"/>
              <w:right w:val="nil"/>
            </w:tcBorders>
            <w:shd w:val="clear" w:color="auto" w:fill="auto"/>
            <w:noWrap/>
            <w:vAlign w:val="bottom"/>
            <w:hideMark/>
          </w:tcPr>
          <w:p w14:paraId="0C3F87F6"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right w:val="nil"/>
            </w:tcBorders>
            <w:shd w:val="clear" w:color="auto" w:fill="auto"/>
            <w:noWrap/>
            <w:vAlign w:val="bottom"/>
            <w:hideMark/>
          </w:tcPr>
          <w:p w14:paraId="0C3F87F7"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right w:val="nil"/>
            </w:tcBorders>
            <w:shd w:val="clear" w:color="auto" w:fill="auto"/>
            <w:noWrap/>
            <w:vAlign w:val="bottom"/>
            <w:hideMark/>
          </w:tcPr>
          <w:p w14:paraId="0C3F87F8"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(39.5)</w:t>
            </w:r>
          </w:p>
        </w:tc>
        <w:tc>
          <w:tcPr>
            <w:tcW w:w="1660" w:type="dxa"/>
            <w:tcBorders>
              <w:top w:val="nil"/>
              <w:left w:val="nil"/>
              <w:right w:val="nil"/>
            </w:tcBorders>
            <w:shd w:val="clear" w:color="auto" w:fill="auto"/>
            <w:noWrap/>
            <w:vAlign w:val="bottom"/>
            <w:hideMark/>
          </w:tcPr>
          <w:p w14:paraId="0C3F87F9"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0.12 (16.4)</w:t>
            </w:r>
          </w:p>
        </w:tc>
        <w:tc>
          <w:tcPr>
            <w:tcW w:w="1660" w:type="dxa"/>
            <w:tcBorders>
              <w:top w:val="nil"/>
              <w:left w:val="nil"/>
              <w:right w:val="nil"/>
            </w:tcBorders>
            <w:shd w:val="clear" w:color="auto" w:fill="auto"/>
            <w:noWrap/>
            <w:vAlign w:val="bottom"/>
            <w:hideMark/>
          </w:tcPr>
          <w:p w14:paraId="0C3F87FA"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(44.1)</w:t>
            </w:r>
          </w:p>
        </w:tc>
      </w:tr>
      <w:tr w:rsidR="008172FD" w:rsidRPr="00CC5FCA" w14:paraId="0C3F8804" w14:textId="77777777" w:rsidTr="005B6DBF">
        <w:trPr>
          <w:trHeight w:val="300"/>
        </w:trPr>
        <w:tc>
          <w:tcPr>
            <w:tcW w:w="1120" w:type="dxa"/>
            <w:tcBorders>
              <w:top w:val="nil"/>
              <w:left w:val="nil"/>
              <w:bottom w:val="single" w:sz="4" w:space="0" w:color="auto"/>
              <w:right w:val="nil"/>
            </w:tcBorders>
            <w:shd w:val="clear" w:color="auto" w:fill="auto"/>
            <w:noWrap/>
            <w:vAlign w:val="bottom"/>
            <w:hideMark/>
          </w:tcPr>
          <w:p w14:paraId="0C3F87FC" w14:textId="77777777" w:rsidR="008172FD" w:rsidRPr="00CC5FCA" w:rsidRDefault="008172FD" w:rsidP="005B6DBF">
            <w:pPr>
              <w:spacing w:after="0"/>
              <w:jc w:val="left"/>
              <w:rPr>
                <w:rFonts w:ascii="Calibri" w:hAnsi="Calibri" w:cs="Times New Roman"/>
                <w:color w:val="000000"/>
              </w:rPr>
            </w:pPr>
            <w:r w:rsidRPr="00CC5FCA">
              <w:rPr>
                <w:rFonts w:ascii="Calibri" w:hAnsi="Calibri" w:cs="Times New Roman"/>
                <w:color w:val="000000"/>
              </w:rPr>
              <w:t>Chl-a</w:t>
            </w:r>
          </w:p>
        </w:tc>
        <w:tc>
          <w:tcPr>
            <w:tcW w:w="1250" w:type="dxa"/>
            <w:tcBorders>
              <w:top w:val="nil"/>
              <w:left w:val="nil"/>
              <w:bottom w:val="single" w:sz="4" w:space="0" w:color="auto"/>
              <w:right w:val="nil"/>
            </w:tcBorders>
            <w:shd w:val="clear" w:color="auto" w:fill="auto"/>
            <w:noWrap/>
            <w:vAlign w:val="bottom"/>
            <w:hideMark/>
          </w:tcPr>
          <w:p w14:paraId="0C3F87FD"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868</w:t>
            </w:r>
          </w:p>
        </w:tc>
        <w:tc>
          <w:tcPr>
            <w:tcW w:w="648" w:type="dxa"/>
            <w:tcBorders>
              <w:top w:val="nil"/>
              <w:left w:val="nil"/>
              <w:bottom w:val="single" w:sz="4" w:space="0" w:color="auto"/>
              <w:right w:val="nil"/>
            </w:tcBorders>
            <w:shd w:val="clear" w:color="auto" w:fill="auto"/>
            <w:noWrap/>
            <w:vAlign w:val="bottom"/>
            <w:hideMark/>
          </w:tcPr>
          <w:p w14:paraId="0C3F87FE"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0.05</w:t>
            </w:r>
          </w:p>
        </w:tc>
        <w:tc>
          <w:tcPr>
            <w:tcW w:w="1042" w:type="dxa"/>
            <w:tcBorders>
              <w:top w:val="nil"/>
              <w:left w:val="nil"/>
              <w:bottom w:val="single" w:sz="4" w:space="0" w:color="auto"/>
              <w:right w:val="nil"/>
            </w:tcBorders>
            <w:shd w:val="clear" w:color="auto" w:fill="auto"/>
            <w:noWrap/>
            <w:vAlign w:val="bottom"/>
            <w:hideMark/>
          </w:tcPr>
          <w:p w14:paraId="0C3F87FF"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w:t>
            </w:r>
          </w:p>
        </w:tc>
        <w:tc>
          <w:tcPr>
            <w:tcW w:w="280" w:type="dxa"/>
            <w:tcBorders>
              <w:top w:val="nil"/>
              <w:left w:val="nil"/>
              <w:bottom w:val="single" w:sz="4" w:space="0" w:color="auto"/>
              <w:right w:val="nil"/>
            </w:tcBorders>
            <w:shd w:val="clear" w:color="auto" w:fill="auto"/>
            <w:noWrap/>
            <w:vAlign w:val="bottom"/>
            <w:hideMark/>
          </w:tcPr>
          <w:p w14:paraId="0C3F8800" w14:textId="77777777" w:rsidR="008172FD" w:rsidRPr="00CC5FCA" w:rsidRDefault="008172FD" w:rsidP="005B6DBF">
            <w:pPr>
              <w:spacing w:after="0"/>
              <w:jc w:val="center"/>
              <w:rPr>
                <w:rFonts w:ascii="Calibri" w:hAnsi="Calibri" w:cs="Times New Roman"/>
                <w:color w:val="000000"/>
              </w:rPr>
            </w:pPr>
          </w:p>
        </w:tc>
        <w:tc>
          <w:tcPr>
            <w:tcW w:w="1660" w:type="dxa"/>
            <w:tcBorders>
              <w:top w:val="nil"/>
              <w:left w:val="nil"/>
              <w:bottom w:val="single" w:sz="4" w:space="0" w:color="auto"/>
              <w:right w:val="nil"/>
            </w:tcBorders>
            <w:shd w:val="clear" w:color="auto" w:fill="auto"/>
            <w:noWrap/>
            <w:vAlign w:val="bottom"/>
            <w:hideMark/>
          </w:tcPr>
          <w:p w14:paraId="0C3F8801"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&lt; 0.01 (94.4)</w:t>
            </w:r>
          </w:p>
        </w:tc>
        <w:tc>
          <w:tcPr>
            <w:tcW w:w="1660" w:type="dxa"/>
            <w:tcBorders>
              <w:top w:val="nil"/>
              <w:left w:val="nil"/>
              <w:bottom w:val="single" w:sz="4" w:space="0" w:color="auto"/>
              <w:right w:val="nil"/>
            </w:tcBorders>
            <w:shd w:val="clear" w:color="auto" w:fill="auto"/>
            <w:noWrap/>
            <w:vAlign w:val="bottom"/>
            <w:hideMark/>
          </w:tcPr>
          <w:p w14:paraId="0C3F8802" w14:textId="77777777" w:rsidR="008172FD" w:rsidRPr="00CC5FCA" w:rsidRDefault="008172FD" w:rsidP="005B6DBF">
            <w:pPr>
              <w:spacing w:after="0"/>
              <w:jc w:val="center"/>
              <w:rPr>
                <w:rFonts w:ascii="Calibri" w:hAnsi="Calibri" w:cs="Times New Roman"/>
                <w:b/>
                <w:color w:val="000000"/>
              </w:rPr>
            </w:pPr>
            <w:r w:rsidRPr="00CC5FCA">
              <w:rPr>
                <w:rFonts w:ascii="Calibri" w:hAnsi="Calibri" w:cs="Times New Roman"/>
                <w:b/>
                <w:color w:val="000000"/>
              </w:rPr>
              <w:t>0.99 (1.7)</w:t>
            </w:r>
          </w:p>
        </w:tc>
        <w:tc>
          <w:tcPr>
            <w:tcW w:w="1660" w:type="dxa"/>
            <w:tcBorders>
              <w:top w:val="nil"/>
              <w:left w:val="nil"/>
              <w:bottom w:val="single" w:sz="4" w:space="0" w:color="auto"/>
              <w:right w:val="nil"/>
            </w:tcBorders>
            <w:shd w:val="clear" w:color="auto" w:fill="auto"/>
            <w:noWrap/>
            <w:vAlign w:val="bottom"/>
            <w:hideMark/>
          </w:tcPr>
          <w:p w14:paraId="0C3F8803" w14:textId="77777777" w:rsidR="008172FD" w:rsidRPr="00CC5FCA" w:rsidRDefault="008172FD" w:rsidP="005B6DBF">
            <w:pPr>
              <w:spacing w:after="0"/>
              <w:jc w:val="center"/>
              <w:rPr>
                <w:rFonts w:ascii="Calibri" w:hAnsi="Calibri" w:cs="Times New Roman"/>
                <w:color w:val="000000"/>
              </w:rPr>
            </w:pPr>
            <w:r w:rsidRPr="00CC5FCA">
              <w:rPr>
                <w:rFonts w:ascii="Calibri" w:hAnsi="Calibri" w:cs="Times New Roman"/>
                <w:color w:val="000000"/>
              </w:rPr>
              <w:t>0.53 (3.9)</w:t>
            </w:r>
          </w:p>
        </w:tc>
      </w:tr>
      <w:tr w:rsidR="008172FD" w:rsidRPr="00CC5FCA" w14:paraId="0C3F880D" w14:textId="77777777" w:rsidTr="005B6DBF">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0C3F8805" w14:textId="77777777" w:rsidR="008172FD" w:rsidRPr="00CC5FCA" w:rsidRDefault="008172FD" w:rsidP="005B6DBF">
            <w:pPr>
              <w:spacing w:after="0"/>
              <w:jc w:val="left"/>
              <w:rPr>
                <w:rFonts w:ascii="Calibri" w:hAnsi="Calibri" w:cs="Times New Roman"/>
                <w:i/>
                <w:iCs/>
                <w:color w:val="000000"/>
              </w:rPr>
            </w:pPr>
            <w:r w:rsidRPr="00CC5FCA">
              <w:rPr>
                <w:rFonts w:ascii="Calibri" w:hAnsi="Calibri" w:cs="Times New Roman"/>
                <w:i/>
                <w:iCs/>
                <w:color w:val="000000"/>
              </w:rPr>
              <w:t>mean</w:t>
            </w:r>
          </w:p>
        </w:tc>
        <w:tc>
          <w:tcPr>
            <w:tcW w:w="1250" w:type="dxa"/>
            <w:tcBorders>
              <w:top w:val="single" w:sz="4" w:space="0" w:color="auto"/>
              <w:left w:val="nil"/>
              <w:bottom w:val="single" w:sz="4" w:space="0" w:color="auto"/>
              <w:right w:val="nil"/>
            </w:tcBorders>
            <w:shd w:val="clear" w:color="auto" w:fill="auto"/>
            <w:noWrap/>
            <w:vAlign w:val="bottom"/>
            <w:hideMark/>
          </w:tcPr>
          <w:p w14:paraId="0C3F8806" w14:textId="77777777" w:rsidR="008172FD" w:rsidRPr="00CC5FCA" w:rsidRDefault="008172FD" w:rsidP="005B6DBF">
            <w:pPr>
              <w:spacing w:after="0"/>
              <w:jc w:val="center"/>
              <w:rPr>
                <w:rFonts w:ascii="Calibri" w:hAnsi="Calibri" w:cs="Times New Roman"/>
                <w:i/>
                <w:iCs/>
                <w:color w:val="000000"/>
              </w:rPr>
            </w:pPr>
            <w:r w:rsidRPr="00CC5FCA">
              <w:rPr>
                <w:rFonts w:ascii="Calibri" w:hAnsi="Calibri" w:cs="Times New Roman"/>
                <w:i/>
                <w:iCs/>
                <w:color w:val="000000"/>
              </w:rPr>
              <w:t>623.4</w:t>
            </w:r>
          </w:p>
        </w:tc>
        <w:tc>
          <w:tcPr>
            <w:tcW w:w="648" w:type="dxa"/>
            <w:tcBorders>
              <w:top w:val="single" w:sz="4" w:space="0" w:color="auto"/>
              <w:left w:val="nil"/>
              <w:bottom w:val="single" w:sz="4" w:space="0" w:color="auto"/>
              <w:right w:val="nil"/>
            </w:tcBorders>
            <w:shd w:val="clear" w:color="auto" w:fill="auto"/>
            <w:noWrap/>
            <w:vAlign w:val="bottom"/>
            <w:hideMark/>
          </w:tcPr>
          <w:p w14:paraId="0C3F8807" w14:textId="77777777" w:rsidR="008172FD" w:rsidRPr="00CC5FCA" w:rsidRDefault="008172FD" w:rsidP="005B6DBF">
            <w:pPr>
              <w:spacing w:after="0"/>
              <w:jc w:val="center"/>
              <w:rPr>
                <w:rFonts w:ascii="Calibri" w:hAnsi="Calibri" w:cs="Times New Roman"/>
                <w:i/>
                <w:iCs/>
                <w:color w:val="000000"/>
              </w:rPr>
            </w:pPr>
            <w:r w:rsidRPr="00CC5FCA">
              <w:rPr>
                <w:rFonts w:ascii="Calibri" w:hAnsi="Calibri" w:cs="Times New Roman"/>
                <w:i/>
                <w:iCs/>
                <w:color w:val="000000"/>
              </w:rPr>
              <w:t>0.4</w:t>
            </w:r>
          </w:p>
        </w:tc>
        <w:tc>
          <w:tcPr>
            <w:tcW w:w="1042" w:type="dxa"/>
            <w:tcBorders>
              <w:top w:val="single" w:sz="4" w:space="0" w:color="auto"/>
              <w:left w:val="nil"/>
              <w:bottom w:val="single" w:sz="4" w:space="0" w:color="auto"/>
              <w:right w:val="nil"/>
            </w:tcBorders>
            <w:shd w:val="clear" w:color="auto" w:fill="auto"/>
            <w:noWrap/>
            <w:vAlign w:val="bottom"/>
            <w:hideMark/>
          </w:tcPr>
          <w:p w14:paraId="0C3F8808" w14:textId="77777777" w:rsidR="008172FD" w:rsidRPr="00CC5FCA" w:rsidRDefault="008172FD" w:rsidP="005B6DBF">
            <w:pPr>
              <w:spacing w:after="0"/>
              <w:jc w:val="left"/>
              <w:rPr>
                <w:rFonts w:ascii="Calibri" w:hAnsi="Calibri" w:cs="Times New Roman"/>
                <w:i/>
                <w:iCs/>
                <w:color w:val="000000"/>
              </w:rPr>
            </w:pPr>
            <w:r w:rsidRPr="00CC5FCA">
              <w:rPr>
                <w:rFonts w:ascii="Calibri" w:hAnsi="Calibri" w:cs="Times New Roman"/>
                <w:i/>
                <w:iCs/>
                <w:color w:val="000000"/>
              </w:rPr>
              <w:t> </w:t>
            </w:r>
          </w:p>
        </w:tc>
        <w:tc>
          <w:tcPr>
            <w:tcW w:w="280" w:type="dxa"/>
            <w:tcBorders>
              <w:top w:val="single" w:sz="4" w:space="0" w:color="auto"/>
              <w:left w:val="nil"/>
              <w:bottom w:val="single" w:sz="4" w:space="0" w:color="auto"/>
              <w:right w:val="nil"/>
            </w:tcBorders>
            <w:shd w:val="clear" w:color="auto" w:fill="auto"/>
            <w:noWrap/>
            <w:vAlign w:val="bottom"/>
            <w:hideMark/>
          </w:tcPr>
          <w:p w14:paraId="0C3F8809" w14:textId="77777777" w:rsidR="008172FD" w:rsidRPr="00CC5FCA" w:rsidRDefault="008172FD" w:rsidP="005B6DBF">
            <w:pPr>
              <w:spacing w:after="0"/>
              <w:jc w:val="left"/>
              <w:rPr>
                <w:rFonts w:ascii="Calibri" w:hAnsi="Calibri" w:cs="Times New Roman"/>
                <w:i/>
                <w:iCs/>
                <w:color w:val="000000"/>
              </w:rPr>
            </w:pPr>
            <w:r w:rsidRPr="00CC5FCA">
              <w:rPr>
                <w:rFonts w:ascii="Calibri" w:hAnsi="Calibri" w:cs="Times New Roman"/>
                <w:i/>
                <w:iCs/>
                <w:color w:val="000000"/>
              </w:rPr>
              <w:t> </w:t>
            </w:r>
          </w:p>
        </w:tc>
        <w:tc>
          <w:tcPr>
            <w:tcW w:w="1660" w:type="dxa"/>
            <w:tcBorders>
              <w:top w:val="single" w:sz="4" w:space="0" w:color="auto"/>
              <w:left w:val="nil"/>
              <w:bottom w:val="single" w:sz="4" w:space="0" w:color="auto"/>
              <w:right w:val="nil"/>
            </w:tcBorders>
            <w:shd w:val="clear" w:color="auto" w:fill="auto"/>
            <w:noWrap/>
            <w:vAlign w:val="bottom"/>
            <w:hideMark/>
          </w:tcPr>
          <w:p w14:paraId="0C3F880A" w14:textId="77777777" w:rsidR="008172FD" w:rsidRPr="00CC5FCA" w:rsidRDefault="008172FD" w:rsidP="005B6DBF">
            <w:pPr>
              <w:spacing w:after="0"/>
              <w:jc w:val="center"/>
              <w:rPr>
                <w:rFonts w:ascii="Calibri" w:hAnsi="Calibri" w:cs="Times New Roman"/>
                <w:i/>
                <w:iCs/>
                <w:color w:val="000000"/>
              </w:rPr>
            </w:pPr>
            <w:r w:rsidRPr="00CC5FCA">
              <w:rPr>
                <w:rFonts w:ascii="Calibri" w:hAnsi="Calibri" w:cs="Times New Roman"/>
                <w:i/>
                <w:iCs/>
                <w:color w:val="000000"/>
              </w:rPr>
              <w:t>(67.6)</w:t>
            </w:r>
          </w:p>
        </w:tc>
        <w:tc>
          <w:tcPr>
            <w:tcW w:w="1660" w:type="dxa"/>
            <w:tcBorders>
              <w:top w:val="single" w:sz="4" w:space="0" w:color="auto"/>
              <w:left w:val="nil"/>
              <w:bottom w:val="single" w:sz="4" w:space="0" w:color="auto"/>
              <w:right w:val="nil"/>
            </w:tcBorders>
            <w:shd w:val="clear" w:color="auto" w:fill="auto"/>
            <w:noWrap/>
            <w:vAlign w:val="bottom"/>
            <w:hideMark/>
          </w:tcPr>
          <w:p w14:paraId="0C3F880B" w14:textId="77777777" w:rsidR="008172FD" w:rsidRPr="00CC5FCA" w:rsidRDefault="008172FD" w:rsidP="005B6DBF">
            <w:pPr>
              <w:spacing w:after="0"/>
              <w:jc w:val="center"/>
              <w:rPr>
                <w:rFonts w:ascii="Calibri" w:hAnsi="Calibri" w:cs="Times New Roman"/>
                <w:i/>
                <w:iCs/>
                <w:color w:val="000000"/>
              </w:rPr>
            </w:pPr>
            <w:r w:rsidRPr="00CC5FCA">
              <w:rPr>
                <w:rFonts w:ascii="Calibri" w:hAnsi="Calibri" w:cs="Times New Roman"/>
                <w:i/>
                <w:iCs/>
                <w:color w:val="000000"/>
              </w:rPr>
              <w:t>(7)</w:t>
            </w:r>
          </w:p>
        </w:tc>
        <w:tc>
          <w:tcPr>
            <w:tcW w:w="1660" w:type="dxa"/>
            <w:tcBorders>
              <w:top w:val="single" w:sz="4" w:space="0" w:color="auto"/>
              <w:left w:val="nil"/>
              <w:bottom w:val="single" w:sz="4" w:space="0" w:color="auto"/>
              <w:right w:val="nil"/>
            </w:tcBorders>
            <w:shd w:val="clear" w:color="auto" w:fill="auto"/>
            <w:noWrap/>
            <w:vAlign w:val="bottom"/>
            <w:hideMark/>
          </w:tcPr>
          <w:p w14:paraId="0C3F880C" w14:textId="77777777" w:rsidR="008172FD" w:rsidRPr="00CC5FCA" w:rsidRDefault="008172FD" w:rsidP="005B6DBF">
            <w:pPr>
              <w:spacing w:after="0"/>
              <w:jc w:val="center"/>
              <w:rPr>
                <w:rFonts w:ascii="Calibri" w:hAnsi="Calibri" w:cs="Times New Roman"/>
                <w:i/>
                <w:iCs/>
                <w:color w:val="000000"/>
              </w:rPr>
            </w:pPr>
            <w:r w:rsidRPr="00CC5FCA">
              <w:rPr>
                <w:rFonts w:ascii="Calibri" w:hAnsi="Calibri" w:cs="Times New Roman"/>
                <w:i/>
                <w:iCs/>
                <w:color w:val="000000"/>
              </w:rPr>
              <w:t>(25.5)</w:t>
            </w:r>
          </w:p>
        </w:tc>
      </w:tr>
    </w:tbl>
    <w:p w14:paraId="0C3F880E" w14:textId="77777777" w:rsidR="008172FD" w:rsidRPr="00CC5FCA" w:rsidRDefault="008172FD" w:rsidP="008172FD">
      <w:pPr>
        <w:rPr>
          <w:rFonts w:cs="Courier New"/>
          <w:sz w:val="24"/>
        </w:rPr>
      </w:pPr>
    </w:p>
    <w:p w14:paraId="0C3F880F" w14:textId="77777777" w:rsidR="008172FD" w:rsidRPr="00CC5FCA" w:rsidRDefault="008172FD" w:rsidP="008172FD">
      <w:pPr>
        <w:rPr>
          <w:rFonts w:cs="Courier New"/>
          <w:sz w:val="24"/>
        </w:rPr>
      </w:pPr>
    </w:p>
    <w:p w14:paraId="0C3F8810" w14:textId="77777777" w:rsidR="008172FD" w:rsidRPr="00CC5FCA" w:rsidRDefault="008172FD" w:rsidP="008172FD">
      <w:pPr>
        <w:jc w:val="left"/>
        <w:rPr>
          <w:rFonts w:cs="Courier New"/>
          <w:sz w:val="24"/>
        </w:rPr>
      </w:pPr>
      <w:r w:rsidRPr="00CC5FCA">
        <w:rPr>
          <w:rFonts w:cs="Courier New"/>
          <w:sz w:val="24"/>
        </w:rPr>
        <w:br w:type="page"/>
      </w:r>
    </w:p>
    <w:p w14:paraId="0C3F8811" w14:textId="77777777" w:rsidR="008172FD" w:rsidRPr="00CC5FCA" w:rsidRDefault="008172FD" w:rsidP="005B6DBF">
      <w:pPr>
        <w:rPr>
          <w:rFonts w:cs="Courier New"/>
          <w:sz w:val="24"/>
        </w:rPr>
      </w:pPr>
      <w:r w:rsidRPr="00CC5FCA">
        <w:rPr>
          <w:rFonts w:cs="Courier New"/>
          <w:noProof/>
          <w:sz w:val="24"/>
        </w:rPr>
        <w:drawing>
          <wp:inline distT="0" distB="0" distL="0" distR="0" wp14:anchorId="0C3F8FFD" wp14:editId="0C3F8FFE">
            <wp:extent cx="4946573" cy="7419860"/>
            <wp:effectExtent l="0" t="0" r="6985" b="0"/>
            <wp:docPr id="3" name="Picture 3" descr="GAMM analysis for Kd, /m, left column), CDOM, /m, mid column) and TSS, mg/L, right column) collected from December, 2005 to April, 2013 (inclusive). First four plots in each column are for the partial effect plots and last pot is the temporal analysis (see text for explanation). Shade area stands for ±1 SE and rubs on x-axis stand for data density." title="GAMM analy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2013physfig.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951772" cy="7427659"/>
                    </a:xfrm>
                    <a:prstGeom prst="rect">
                      <a:avLst/>
                    </a:prstGeom>
                  </pic:spPr>
                </pic:pic>
              </a:graphicData>
            </a:graphic>
          </wp:inline>
        </w:drawing>
      </w:r>
    </w:p>
    <w:p w14:paraId="0C3F8812" w14:textId="77777777" w:rsidR="008172FD" w:rsidRPr="00CC5FCA" w:rsidRDefault="005B6DBF" w:rsidP="005B6DBF">
      <w:pPr>
        <w:pStyle w:val="Caption"/>
        <w:rPr>
          <w:rFonts w:cs="Courier New"/>
          <w:sz w:val="24"/>
        </w:rPr>
      </w:pPr>
      <w:bookmarkStart w:id="137" w:name="_Toc434208036"/>
      <w:r>
        <w:t xml:space="preserve">Figure </w:t>
      </w:r>
      <w:r w:rsidR="00D243CD">
        <w:fldChar w:fldCharType="begin"/>
      </w:r>
      <w:r w:rsidR="00D243CD">
        <w:instrText xml:space="preserve"> STYLEREF 1 \s </w:instrText>
      </w:r>
      <w:r w:rsidR="00D243CD">
        <w:fldChar w:fldCharType="separate"/>
      </w:r>
      <w:r w:rsidR="00B62B50">
        <w:rPr>
          <w:noProof/>
        </w:rPr>
        <w:t>4</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8</w:t>
      </w:r>
      <w:r w:rsidR="00D243CD">
        <w:fldChar w:fldCharType="end"/>
      </w:r>
      <w:r>
        <w:t>:</w:t>
      </w:r>
      <w:r w:rsidR="008172FD" w:rsidRPr="00CC5FCA">
        <w:rPr>
          <w:rFonts w:cs="Courier New"/>
          <w:sz w:val="24"/>
        </w:rPr>
        <w:t xml:space="preserve">GAMM analysis </w:t>
      </w:r>
      <w:r>
        <w:rPr>
          <w:rFonts w:cs="Courier New"/>
          <w:sz w:val="24"/>
        </w:rPr>
        <w:t xml:space="preserve">for </w:t>
      </w:r>
      <w:r w:rsidR="008172FD" w:rsidRPr="00CC5FCA">
        <w:rPr>
          <w:rFonts w:cs="Courier New"/>
          <w:sz w:val="24"/>
        </w:rPr>
        <w:t>Kd, /m, left column),</w:t>
      </w:r>
      <w:r w:rsidRPr="00CC5FCA">
        <w:rPr>
          <w:rFonts w:cs="Courier New"/>
          <w:sz w:val="24"/>
        </w:rPr>
        <w:t xml:space="preserve"> </w:t>
      </w:r>
      <w:r w:rsidR="008172FD" w:rsidRPr="00CC5FCA">
        <w:rPr>
          <w:rFonts w:cs="Courier New"/>
          <w:sz w:val="24"/>
        </w:rPr>
        <w:t>CDOM, /m, mid column) and TSS, mg/L, right column) collected from December, 2005 to April, 2013 (inclusive). First four plots in each column are for the partial effect plots and last pot is the temporal analysis (see text for explanation). Shade area stands for ±1 SE and rubs on x-axis stand for data density.</w:t>
      </w:r>
      <w:bookmarkEnd w:id="137"/>
    </w:p>
    <w:p w14:paraId="0C3F8813" w14:textId="77777777" w:rsidR="008172FD" w:rsidRPr="00CC5FCA" w:rsidRDefault="008172FD" w:rsidP="008172FD">
      <w:pPr>
        <w:jc w:val="center"/>
        <w:rPr>
          <w:rFonts w:cs="Courier New"/>
          <w:sz w:val="24"/>
        </w:rPr>
      </w:pPr>
      <w:r w:rsidRPr="00CC5FCA">
        <w:rPr>
          <w:rFonts w:cs="Courier New"/>
          <w:noProof/>
          <w:sz w:val="24"/>
        </w:rPr>
        <w:drawing>
          <wp:inline distT="0" distB="0" distL="0" distR="0" wp14:anchorId="0C3F8FFF" wp14:editId="0C3F9000">
            <wp:extent cx="5040000" cy="7560000"/>
            <wp:effectExtent l="0" t="0" r="8255" b="3175"/>
            <wp:docPr id="37" name="Picture 37" descr="GAMM analysis for Chl-a, µg/L, left column), PN, µM, mid column) and DIN, µM, right column) collected from December, 2005 to April, 2013 (inclusive). First three plots in each column are for the partial effect plots and last pot is the temporal analysis Shade area stands for ±1 SE and rubs on x-axis stand for data density." title="GAM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2013physfig.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040000" cy="7560000"/>
                    </a:xfrm>
                    <a:prstGeom prst="rect">
                      <a:avLst/>
                    </a:prstGeom>
                  </pic:spPr>
                </pic:pic>
              </a:graphicData>
            </a:graphic>
          </wp:inline>
        </w:drawing>
      </w:r>
    </w:p>
    <w:p w14:paraId="0C3F8814" w14:textId="77777777" w:rsidR="008172FD" w:rsidRPr="005B6DBF" w:rsidRDefault="00D243CD" w:rsidP="00D243CD">
      <w:pPr>
        <w:pStyle w:val="Caption"/>
      </w:pPr>
      <w:r>
        <w:t xml:space="preserve">Figure </w:t>
      </w:r>
      <w:r>
        <w:fldChar w:fldCharType="begin"/>
      </w:r>
      <w:r>
        <w:instrText xml:space="preserve"> STYLEREF 1 \s </w:instrText>
      </w:r>
      <w:r>
        <w:fldChar w:fldCharType="separate"/>
      </w:r>
      <w:r w:rsidR="00B62B50">
        <w:rPr>
          <w:noProof/>
        </w:rPr>
        <w:t>4</w:t>
      </w:r>
      <w:r>
        <w:fldChar w:fldCharType="end"/>
      </w:r>
      <w:r>
        <w:noBreakHyphen/>
      </w:r>
      <w:r>
        <w:fldChar w:fldCharType="begin"/>
      </w:r>
      <w:r>
        <w:instrText xml:space="preserve"> SEQ Figure \* ARABIC \s 1 </w:instrText>
      </w:r>
      <w:r>
        <w:fldChar w:fldCharType="separate"/>
      </w:r>
      <w:r w:rsidR="00B62B50">
        <w:rPr>
          <w:noProof/>
        </w:rPr>
        <w:t>9</w:t>
      </w:r>
      <w:r>
        <w:fldChar w:fldCharType="end"/>
      </w:r>
      <w:r>
        <w:t xml:space="preserve">: </w:t>
      </w:r>
      <w:r w:rsidR="008172FD" w:rsidRPr="005B6DBF">
        <w:t>GAMM analysis for Chl-a, µg/L, left column), PN, µM, mid column) and DIN, µM, right column) collected from December, 2005 to Apri</w:t>
      </w:r>
      <w:r w:rsidR="005B6DBF" w:rsidRPr="005B6DBF">
        <w:t xml:space="preserve">l, 2013 (inclusive). First three </w:t>
      </w:r>
      <w:r w:rsidR="008172FD" w:rsidRPr="005B6DBF">
        <w:t>plots in each column are for the partial effect plots and last pot is the temporal analysis Shade area stands for ±1 SE and rubs on x-axis stand for data density.</w:t>
      </w:r>
    </w:p>
    <w:p w14:paraId="0C3F8815" w14:textId="77777777" w:rsidR="008172FD" w:rsidRPr="00CC5FCA" w:rsidRDefault="008172FD" w:rsidP="008172FD">
      <w:pPr>
        <w:jc w:val="center"/>
        <w:rPr>
          <w:rFonts w:cs="Courier New"/>
          <w:sz w:val="24"/>
        </w:rPr>
      </w:pPr>
      <w:r w:rsidRPr="00CC5FCA">
        <w:rPr>
          <w:rFonts w:cs="Courier New"/>
          <w:noProof/>
          <w:sz w:val="24"/>
        </w:rPr>
        <w:drawing>
          <wp:inline distT="0" distB="0" distL="0" distR="0" wp14:anchorId="0C3F9001" wp14:editId="0C3F9002">
            <wp:extent cx="5040000" cy="7560000"/>
            <wp:effectExtent l="0" t="0" r="8255" b="3175"/>
            <wp:docPr id="38" name="Picture 38" descr="GAMM analysis for PP, µM, left column), DIP, µM, mid column) and Si, µM, right column) collected from December, 2005 to April, 2013 (inclusive). First three plots in each column are for the partial effect plots and last pot is the temporal analysis." title="GAMM analy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2013physfig.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40000" cy="7560000"/>
                    </a:xfrm>
                    <a:prstGeom prst="rect">
                      <a:avLst/>
                    </a:prstGeom>
                  </pic:spPr>
                </pic:pic>
              </a:graphicData>
            </a:graphic>
          </wp:inline>
        </w:drawing>
      </w:r>
    </w:p>
    <w:p w14:paraId="0C3F8816" w14:textId="77777777" w:rsidR="00330E11" w:rsidRPr="005B6DBF" w:rsidRDefault="00D243CD" w:rsidP="00D243CD">
      <w:pPr>
        <w:pStyle w:val="Caption"/>
      </w:pPr>
      <w:r>
        <w:t xml:space="preserve">Figure </w:t>
      </w:r>
      <w:r>
        <w:fldChar w:fldCharType="begin"/>
      </w:r>
      <w:r>
        <w:instrText xml:space="preserve"> STYLEREF 1 \s </w:instrText>
      </w:r>
      <w:r>
        <w:fldChar w:fldCharType="separate"/>
      </w:r>
      <w:r w:rsidR="00B62B50">
        <w:rPr>
          <w:noProof/>
        </w:rPr>
        <w:t>4</w:t>
      </w:r>
      <w:r>
        <w:fldChar w:fldCharType="end"/>
      </w:r>
      <w:r>
        <w:noBreakHyphen/>
      </w:r>
      <w:r>
        <w:fldChar w:fldCharType="begin"/>
      </w:r>
      <w:r>
        <w:instrText xml:space="preserve"> SEQ Figure \* ARABIC \s 1 </w:instrText>
      </w:r>
      <w:r>
        <w:fldChar w:fldCharType="separate"/>
      </w:r>
      <w:r w:rsidR="00B62B50">
        <w:rPr>
          <w:noProof/>
        </w:rPr>
        <w:t>10</w:t>
      </w:r>
      <w:r>
        <w:fldChar w:fldCharType="end"/>
      </w:r>
      <w:r>
        <w:t xml:space="preserve">: </w:t>
      </w:r>
      <w:r w:rsidR="008172FD" w:rsidRPr="005B6DBF">
        <w:t xml:space="preserve">GAMM analysis for PP, µM, left column), DIP, µM, mid column) and Si, µM, right column) collected from December, 2005 to April, 2013 (inclusive). First </w:t>
      </w:r>
      <w:r w:rsidR="005B6DBF" w:rsidRPr="005B6DBF">
        <w:t xml:space="preserve">three </w:t>
      </w:r>
      <w:r w:rsidR="008172FD" w:rsidRPr="005B6DBF">
        <w:t>plots in each column are for the partial effect plots and las</w:t>
      </w:r>
      <w:r w:rsidR="005B6DBF" w:rsidRPr="005B6DBF">
        <w:t>t pot is the temporal analysis.</w:t>
      </w:r>
    </w:p>
    <w:p w14:paraId="0C3F8817" w14:textId="77777777" w:rsidR="0002115B" w:rsidRDefault="0002115B" w:rsidP="0002115B"/>
    <w:p w14:paraId="0C3F8818" w14:textId="77777777" w:rsidR="00703EC1" w:rsidRPr="001758C6" w:rsidRDefault="00EB770E" w:rsidP="00EB770E">
      <w:pPr>
        <w:pStyle w:val="Heading1"/>
        <w:numPr>
          <w:ilvl w:val="0"/>
          <w:numId w:val="3"/>
        </w:numPr>
        <w:spacing w:after="240" w:line="80" w:lineRule="atLeast"/>
        <w:rPr>
          <w:caps w:val="0"/>
        </w:rPr>
      </w:pPr>
      <w:bookmarkStart w:id="138" w:name="_Toc434208001"/>
      <w:bookmarkEnd w:id="95"/>
      <w:r w:rsidRPr="001758C6">
        <w:rPr>
          <w:caps w:val="0"/>
        </w:rPr>
        <w:t>Mapping of river plumes</w:t>
      </w:r>
      <w:bookmarkEnd w:id="138"/>
    </w:p>
    <w:p w14:paraId="0C3F8819" w14:textId="77777777" w:rsidR="00836155" w:rsidRPr="00E11FA7" w:rsidRDefault="00EB770E" w:rsidP="00E11FA7">
      <w:pPr>
        <w:pStyle w:val="Heading3"/>
        <w:numPr>
          <w:ilvl w:val="1"/>
          <w:numId w:val="3"/>
        </w:numPr>
        <w:rPr>
          <w:rStyle w:val="Heading20"/>
          <w:b/>
        </w:rPr>
      </w:pPr>
      <w:bookmarkStart w:id="139" w:name="_Toc434208002"/>
      <w:r w:rsidRPr="00E11FA7">
        <w:rPr>
          <w:rStyle w:val="Heading20"/>
          <w:b/>
        </w:rPr>
        <w:t>Introduction</w:t>
      </w:r>
      <w:bookmarkEnd w:id="139"/>
    </w:p>
    <w:p w14:paraId="0C3F881A" w14:textId="77777777" w:rsidR="00131E41" w:rsidRPr="00EB770E" w:rsidRDefault="00131E41" w:rsidP="00131E41">
      <w:pPr>
        <w:rPr>
          <w:rFonts w:eastAsia="Calibri"/>
          <w:lang w:eastAsia="en-US"/>
        </w:rPr>
      </w:pPr>
      <w:bookmarkStart w:id="140" w:name="_Toc420329339"/>
      <w:bookmarkStart w:id="141" w:name="_Toc416533901"/>
      <w:bookmarkStart w:id="142" w:name="_Toc416533947"/>
      <w:bookmarkEnd w:id="140"/>
      <w:r w:rsidRPr="00EB770E">
        <w:rPr>
          <w:rFonts w:eastAsia="Calibri"/>
          <w:lang w:eastAsia="en-US"/>
        </w:rPr>
        <w:t>Remote sens</w:t>
      </w:r>
      <w:r>
        <w:rPr>
          <w:rFonts w:eastAsia="Calibri"/>
          <w:lang w:eastAsia="en-US"/>
        </w:rPr>
        <w:t>ing</w:t>
      </w:r>
      <w:r w:rsidRPr="00EB770E">
        <w:rPr>
          <w:rFonts w:eastAsia="Calibri"/>
          <w:lang w:eastAsia="en-US"/>
        </w:rPr>
        <w:t xml:space="preserve"> image</w:t>
      </w:r>
      <w:r>
        <w:rPr>
          <w:rFonts w:eastAsia="Calibri"/>
          <w:lang w:eastAsia="en-US"/>
        </w:rPr>
        <w:t>ry</w:t>
      </w:r>
      <w:r w:rsidRPr="00EB770E">
        <w:rPr>
          <w:rFonts w:eastAsia="Calibri"/>
          <w:lang w:eastAsia="en-US"/>
        </w:rPr>
        <w:t xml:space="preserve"> ha</w:t>
      </w:r>
      <w:r>
        <w:rPr>
          <w:rFonts w:eastAsia="Calibri"/>
          <w:lang w:eastAsia="en-US"/>
        </w:rPr>
        <w:t>s</w:t>
      </w:r>
      <w:r w:rsidRPr="00EB770E">
        <w:rPr>
          <w:rFonts w:eastAsia="Calibri"/>
          <w:lang w:eastAsia="en-US"/>
        </w:rPr>
        <w:t xml:space="preserve"> become a useful and operational assessment tool in the monitoring of river flood plumes (hereafter river plumes) in the GBR. Combined with </w:t>
      </w:r>
      <w:r w:rsidRPr="00EB770E">
        <w:rPr>
          <w:rFonts w:eastAsia="Calibri"/>
          <w:i/>
          <w:lang w:eastAsia="en-US"/>
        </w:rPr>
        <w:t>in situ</w:t>
      </w:r>
      <w:r w:rsidRPr="00EB770E">
        <w:rPr>
          <w:rFonts w:eastAsia="Calibri"/>
          <w:lang w:eastAsia="en-US"/>
        </w:rPr>
        <w:t xml:space="preserve"> WQ sampling the use of remote sensing (RS) is a valid and practical way to estimate both the extent and frequency of river plume exposure on GBR ecosystems. Ocean colour imagery provides synoptic-scale information regarding the movement and composition of river plumes. Thus, in the past five years, RS imagery combined with </w:t>
      </w:r>
      <w:r w:rsidRPr="00EB770E">
        <w:rPr>
          <w:rFonts w:eastAsia="Calibri"/>
          <w:i/>
          <w:lang w:eastAsia="en-US"/>
        </w:rPr>
        <w:t>in situ</w:t>
      </w:r>
      <w:r w:rsidRPr="00EB770E">
        <w:rPr>
          <w:rFonts w:eastAsia="Calibri"/>
          <w:lang w:eastAsia="en-US"/>
        </w:rPr>
        <w:t xml:space="preserve"> sampling of river plumes has provided an essential source of data related to the movement and composition of river plumes in GBR waters (e.g., Bainbridge et al., 2012; Brodie et al.; 2010; Devlin et al.; 2012a, b; Schroeder et al., 2012). </w:t>
      </w:r>
    </w:p>
    <w:p w14:paraId="0C3F881B" w14:textId="77777777" w:rsidR="00131E41" w:rsidRPr="00EB770E" w:rsidRDefault="00131E41" w:rsidP="00131E41">
      <w:pPr>
        <w:rPr>
          <w:rFonts w:eastAsia="Calibri"/>
          <w:lang w:eastAsia="en-US"/>
        </w:rPr>
      </w:pPr>
      <w:r w:rsidRPr="00EB770E">
        <w:rPr>
          <w:rFonts w:eastAsia="Calibri"/>
          <w:lang w:eastAsia="en-US"/>
        </w:rPr>
        <w:t xml:space="preserve">Our efforts to improve RS methods are continuing. As part of the last MMP in 2011-12 (Devlin et al., 2013a), </w:t>
      </w:r>
      <w:r>
        <w:rPr>
          <w:rFonts w:eastAsia="Calibri"/>
          <w:lang w:eastAsia="en-US"/>
        </w:rPr>
        <w:t xml:space="preserve">a </w:t>
      </w:r>
      <w:r w:rsidRPr="00EB770E">
        <w:rPr>
          <w:rFonts w:eastAsia="Calibri"/>
          <w:lang w:eastAsia="en-US"/>
        </w:rPr>
        <w:t>number of important and innovative developments were undertaken to improve our capacity to identify and monitor the exposure of GBR ecosystems to river plumes and anthropogenic WQ influences, using RS data. These steps included:</w:t>
      </w:r>
    </w:p>
    <w:p w14:paraId="0C3F881C" w14:textId="77777777" w:rsidR="00131E41" w:rsidRPr="00E11FA7" w:rsidRDefault="00131E41" w:rsidP="00C05A63">
      <w:pPr>
        <w:pStyle w:val="ListParagraph"/>
        <w:numPr>
          <w:ilvl w:val="0"/>
          <w:numId w:val="17"/>
        </w:numPr>
        <w:rPr>
          <w:rFonts w:eastAsia="Calibri"/>
          <w:lang w:eastAsia="en-US"/>
        </w:rPr>
      </w:pPr>
      <w:r w:rsidRPr="00E11FA7">
        <w:rPr>
          <w:rFonts w:eastAsia="Calibri"/>
          <w:lang w:eastAsia="en-US"/>
        </w:rPr>
        <w:t>The development of a semi-automated qualitative method to delineate river plumes (full extent) and river plume water types (Primary, Secondary, and Tertiary) using two types of Moderate Resolution Imaging Spectroradiometer (MODIS) imagery: (i) true color (TC) data (Álvarez-Romero et al., 2013; Devlin et al., 2013a). Maps produced from this method are hereafter referred as “TC maps”. (ii) MODIS Level 2 (L2; i.e., geophysical) data and WQ thresholds (Devlin et al., 2013a</w:t>
      </w:r>
      <w:r>
        <w:rPr>
          <w:rFonts w:eastAsia="Calibri"/>
          <w:lang w:eastAsia="en-US"/>
        </w:rPr>
        <w:t>, Petus et al., 2014b</w:t>
      </w:r>
      <w:r w:rsidRPr="00E11FA7">
        <w:rPr>
          <w:rFonts w:eastAsia="Calibri"/>
          <w:lang w:eastAsia="en-US"/>
        </w:rPr>
        <w:t>). Maps produced from this method are hereafter referred as “L2 maps”. Both TC and L2 maps are used to map the extent, movement and frequency of occurrence of river plumes in the GBR during the wet season.</w:t>
      </w:r>
      <w:r w:rsidRPr="00EB770E">
        <w:t xml:space="preserve"> </w:t>
      </w:r>
    </w:p>
    <w:p w14:paraId="0C3F881D" w14:textId="77777777" w:rsidR="00131E41" w:rsidRPr="00E11FA7" w:rsidRDefault="00131E41" w:rsidP="00C05A63">
      <w:pPr>
        <w:pStyle w:val="ListParagraph"/>
        <w:numPr>
          <w:ilvl w:val="0"/>
          <w:numId w:val="17"/>
        </w:numPr>
        <w:rPr>
          <w:rFonts w:eastAsia="Calibri"/>
          <w:lang w:eastAsia="en-US"/>
        </w:rPr>
      </w:pPr>
      <w:r w:rsidRPr="00E11FA7">
        <w:rPr>
          <w:rFonts w:eastAsia="Calibri"/>
          <w:lang w:eastAsia="en-US"/>
        </w:rPr>
        <w:t>The development of an innovative satellite method to map the discharge and dispersal of TSS and DIN in the coastal/marine environment (Álvarez-Romero, 2013)</w:t>
      </w:r>
      <w:r>
        <w:rPr>
          <w:rFonts w:eastAsia="Calibri"/>
          <w:lang w:eastAsia="en-US"/>
        </w:rPr>
        <w:t>. It</w:t>
      </w:r>
      <w:r w:rsidRPr="00E11FA7">
        <w:rPr>
          <w:rFonts w:eastAsia="Calibri"/>
          <w:lang w:eastAsia="en-US"/>
        </w:rPr>
        <w:t xml:space="preserve"> incorporates TC-derived products and spatially distributed load data to produce TSS and DIN load maps from 2007 to 2011</w:t>
      </w:r>
      <w:r>
        <w:rPr>
          <w:rStyle w:val="FootnoteReference"/>
          <w:rFonts w:eastAsia="Calibri"/>
          <w:lang w:eastAsia="en-US"/>
        </w:rPr>
        <w:footnoteReference w:id="2"/>
      </w:r>
      <w:r w:rsidRPr="00E11FA7">
        <w:rPr>
          <w:rFonts w:eastAsia="Calibri"/>
          <w:lang w:eastAsia="en-US"/>
        </w:rPr>
        <w:t>. Maps produced from this method are referred as “load maps”.</w:t>
      </w:r>
    </w:p>
    <w:p w14:paraId="0C3F881E" w14:textId="77777777" w:rsidR="00131E41" w:rsidRPr="00EB770E" w:rsidRDefault="00131E41" w:rsidP="00131E41">
      <w:pPr>
        <w:rPr>
          <w:rFonts w:eastAsia="Calibri"/>
          <w:lang w:eastAsia="en-US"/>
        </w:rPr>
      </w:pPr>
      <w:r w:rsidRPr="00EB770E">
        <w:rPr>
          <w:rFonts w:eastAsia="Calibri"/>
          <w:lang w:eastAsia="en-US"/>
        </w:rPr>
        <w:t>As part of this MMP report in 2012-13, our technical efforts focused on the improvement and validation of the RS methods developed in 2011-12 to map GBR river plumes and river plume water types (hereafter, plumes water types), as well as on the development of new methods to measure the exposure of coastal-marine ecosystems to river plumes and associated pollutants through the production of river plume exposure/risk maps</w:t>
      </w:r>
      <w:r>
        <w:rPr>
          <w:rFonts w:eastAsia="Calibri"/>
          <w:lang w:eastAsia="en-US"/>
        </w:rPr>
        <w:t xml:space="preserve"> (herafter potential risk maps)</w:t>
      </w:r>
      <w:r w:rsidRPr="00EB770E">
        <w:rPr>
          <w:rFonts w:eastAsia="Calibri"/>
          <w:lang w:eastAsia="en-US"/>
        </w:rPr>
        <w:t>. More particularly we focused on:</w:t>
      </w:r>
    </w:p>
    <w:p w14:paraId="0C3F881F" w14:textId="77777777" w:rsidR="00131E41" w:rsidRPr="003118C5" w:rsidRDefault="00131E41" w:rsidP="00C05A63">
      <w:pPr>
        <w:pStyle w:val="ListParagraph"/>
        <w:numPr>
          <w:ilvl w:val="0"/>
          <w:numId w:val="22"/>
        </w:numPr>
        <w:rPr>
          <w:rFonts w:eastAsia="Calibri"/>
          <w:lang w:eastAsia="en-US"/>
        </w:rPr>
      </w:pPr>
      <w:r w:rsidRPr="003118C5">
        <w:rPr>
          <w:rFonts w:eastAsia="Calibri"/>
          <w:lang w:eastAsia="en-US"/>
        </w:rPr>
        <w:t>The improvement, automation and validation of the TC and L2 methods to delineate river plumes (full extent) and plume water types (Primary, Secondary, Tertiary) (e.g. Petus et al., 2014b).</w:t>
      </w:r>
      <w:r w:rsidRPr="00EB770E">
        <w:t xml:space="preserve"> </w:t>
      </w:r>
      <w:r w:rsidRPr="003118C5">
        <w:rPr>
          <w:rFonts w:eastAsia="Calibri"/>
          <w:lang w:eastAsia="en-US"/>
        </w:rPr>
        <w:t>Outputs from both MODIS TC and L2 -derived products are compared in this report to determine the best outputs to use as problem-oriented management tools.</w:t>
      </w:r>
    </w:p>
    <w:p w14:paraId="0C3F8820" w14:textId="77777777" w:rsidR="00131E41" w:rsidRPr="00522DB0" w:rsidRDefault="00131E41" w:rsidP="00C05A63">
      <w:pPr>
        <w:pStyle w:val="ListParagraph"/>
        <w:numPr>
          <w:ilvl w:val="0"/>
          <w:numId w:val="22"/>
        </w:numPr>
        <w:rPr>
          <w:rFonts w:eastAsia="Calibri"/>
          <w:lang w:eastAsia="en-US"/>
        </w:rPr>
      </w:pPr>
      <w:r w:rsidRPr="005B7CDC">
        <w:rPr>
          <w:rFonts w:eastAsia="Calibri"/>
          <w:lang w:eastAsia="en-US"/>
        </w:rPr>
        <w:t>The improvement and automation of the production of pollutants load maps (TSS, DIN, pesticides; Álvarez-Romero, 2013). This load wo</w:t>
      </w:r>
      <w:r w:rsidRPr="00522DB0">
        <w:rPr>
          <w:rFonts w:eastAsia="Calibri"/>
          <w:lang w:eastAsia="en-US"/>
        </w:rPr>
        <w:t>rk is still in progress and no outputs are presented in this report as we are currently incorporating all rivers into the pollutant loading surface.</w:t>
      </w:r>
    </w:p>
    <w:p w14:paraId="0C3F8821" w14:textId="77777777" w:rsidR="00131E41" w:rsidRPr="00613ED9" w:rsidRDefault="00131E41" w:rsidP="00C05A63">
      <w:pPr>
        <w:pStyle w:val="ListParagraph"/>
        <w:numPr>
          <w:ilvl w:val="0"/>
          <w:numId w:val="22"/>
        </w:numPr>
        <w:rPr>
          <w:rFonts w:eastAsia="Calibri"/>
          <w:lang w:eastAsia="en-US"/>
        </w:rPr>
      </w:pPr>
      <w:r w:rsidRPr="00522DB0">
        <w:rPr>
          <w:rFonts w:eastAsia="Calibri"/>
          <w:lang w:eastAsia="en-US"/>
        </w:rPr>
        <w:t>The exploration of the potential of using MODIS images to produce potential risk maps from river plume exposure for GBR reef and seagrass ecosystems;</w:t>
      </w:r>
    </w:p>
    <w:p w14:paraId="0C3F8822" w14:textId="77777777" w:rsidR="00131E41" w:rsidRPr="00E11FA7" w:rsidRDefault="00131E41" w:rsidP="00131E41">
      <w:pPr>
        <w:pStyle w:val="Heading3"/>
        <w:numPr>
          <w:ilvl w:val="1"/>
          <w:numId w:val="3"/>
        </w:numPr>
        <w:rPr>
          <w:rStyle w:val="Heading20"/>
          <w:b/>
        </w:rPr>
      </w:pPr>
      <w:bookmarkStart w:id="143" w:name="_Toc434208003"/>
      <w:bookmarkEnd w:id="141"/>
      <w:r w:rsidRPr="00E11FA7">
        <w:rPr>
          <w:rStyle w:val="Heading20"/>
          <w:b/>
        </w:rPr>
        <w:t>Methods</w:t>
      </w:r>
      <w:bookmarkEnd w:id="143"/>
    </w:p>
    <w:p w14:paraId="0C3F8823" w14:textId="77777777" w:rsidR="00131E41" w:rsidRDefault="00131E41" w:rsidP="00131E41">
      <w:pPr>
        <w:pStyle w:val="Heading3"/>
        <w:numPr>
          <w:ilvl w:val="2"/>
          <w:numId w:val="3"/>
        </w:numPr>
      </w:pPr>
      <w:bookmarkStart w:id="144" w:name="_Toc434208004"/>
      <w:r>
        <w:t>GBR plumes water types</w:t>
      </w:r>
      <w:bookmarkEnd w:id="144"/>
    </w:p>
    <w:p w14:paraId="0C3F8824" w14:textId="77777777" w:rsidR="00131E41" w:rsidRPr="00C97CC0" w:rsidRDefault="00131E41" w:rsidP="00131E41">
      <w:pPr>
        <w:rPr>
          <w:rFonts w:ascii="Calibri" w:eastAsia="Calibri" w:hAnsi="Calibri" w:cs="Times New Roman"/>
          <w:color w:val="000000" w:themeColor="text1"/>
          <w:lang w:eastAsia="en-US"/>
        </w:rPr>
      </w:pPr>
      <w:bookmarkStart w:id="145" w:name="_Toc416533902"/>
      <w:r w:rsidRPr="00C97CC0">
        <w:rPr>
          <w:rFonts w:ascii="Calibri" w:eastAsia="Calibri" w:hAnsi="Calibri" w:cs="Times New Roman"/>
          <w:color w:val="000000" w:themeColor="text1"/>
          <w:lang w:eastAsia="en-US"/>
        </w:rPr>
        <w:t xml:space="preserve">Three distinct plume water types have been described within GBR river plumes (from the inshore to the offshore boundary of river plumes). They are characterized by varying salinity levels, spectral properties, colour, and WQ concentrations. </w:t>
      </w:r>
    </w:p>
    <w:p w14:paraId="0C3F8825" w14:textId="77777777" w:rsidR="00131E41" w:rsidRPr="009217DD" w:rsidRDefault="00131E41" w:rsidP="00C05A63">
      <w:pPr>
        <w:pStyle w:val="ListParagraph"/>
        <w:numPr>
          <w:ilvl w:val="0"/>
          <w:numId w:val="14"/>
        </w:numPr>
        <w:rPr>
          <w:rFonts w:ascii="Calibri" w:eastAsia="Calibri" w:hAnsi="Calibri" w:cs="Times New Roman"/>
          <w:color w:val="000000" w:themeColor="text1"/>
          <w:lang w:eastAsia="en-US"/>
        </w:rPr>
      </w:pPr>
      <w:r w:rsidRPr="009217DD">
        <w:rPr>
          <w:rFonts w:ascii="Calibri" w:eastAsia="Calibri" w:hAnsi="Calibri" w:cs="Times New Roman"/>
          <w:color w:val="000000" w:themeColor="text1"/>
          <w:lang w:eastAsia="en-US"/>
        </w:rPr>
        <w:t xml:space="preserve">The Primary water type presents very high turbidity, low salinity (0 to 10; Devlin et al., 2010), and very high values of CDOM and Total Suspended Sediment (TSS). Turbidity levels limit light penetration in Primary waters, inhibiting primary production and limiting chl-a concentration. </w:t>
      </w:r>
    </w:p>
    <w:p w14:paraId="0C3F8826" w14:textId="77777777" w:rsidR="00131E41" w:rsidRPr="009217DD" w:rsidRDefault="00131E41" w:rsidP="00C05A63">
      <w:pPr>
        <w:pStyle w:val="ListParagraph"/>
        <w:numPr>
          <w:ilvl w:val="0"/>
          <w:numId w:val="14"/>
        </w:numPr>
        <w:rPr>
          <w:rFonts w:ascii="Calibri" w:eastAsia="Calibri" w:hAnsi="Calibri" w:cs="Times New Roman"/>
          <w:color w:val="000000" w:themeColor="text1"/>
          <w:lang w:eastAsia="en-US"/>
        </w:rPr>
      </w:pPr>
      <w:r w:rsidRPr="009217DD">
        <w:rPr>
          <w:rFonts w:ascii="Calibri" w:eastAsia="Calibri" w:hAnsi="Calibri" w:cs="Times New Roman"/>
          <w:color w:val="000000" w:themeColor="text1"/>
          <w:lang w:eastAsia="en-US"/>
        </w:rPr>
        <w:t xml:space="preserve">The Secondary water type is characterised by intermediate salinity, elevated CDOM concentrations, and reduced TSS due to sedimentation (Bainbridge et al., 2012). In this water type (middle salinity range: 10 to 25; Devlin et al., 2010), the phytoplankton growth is prompted by the increased light (due to lower TSS) and high nutrient availability delivered by the river plume. </w:t>
      </w:r>
    </w:p>
    <w:p w14:paraId="0C3F8827" w14:textId="77777777" w:rsidR="00131E41" w:rsidRPr="009217DD" w:rsidRDefault="00131E41" w:rsidP="00C05A63">
      <w:pPr>
        <w:pStyle w:val="ListParagraph"/>
        <w:numPr>
          <w:ilvl w:val="0"/>
          <w:numId w:val="14"/>
        </w:numPr>
        <w:rPr>
          <w:rFonts w:ascii="Calibri" w:eastAsia="Calibri" w:hAnsi="Calibri" w:cs="Times New Roman"/>
          <w:color w:val="000000" w:themeColor="text1"/>
          <w:lang w:eastAsia="en-US"/>
        </w:rPr>
      </w:pPr>
      <w:r w:rsidRPr="009217DD">
        <w:rPr>
          <w:rFonts w:ascii="Calibri" w:eastAsia="Calibri" w:hAnsi="Calibri" w:cs="Times New Roman"/>
          <w:color w:val="000000" w:themeColor="text1"/>
          <w:lang w:eastAsia="en-US"/>
        </w:rPr>
        <w:t>The Tertiary water type occupies the external region of the river plume. It exhibits no or low TSS associated with the river plume, and above-ambient concentrations of chl-a and CDOM. This water type can be described as being the transition between Secondary water and marine ambient water, and present salinity lower than the marine waters (typically defined by salinity ≥ 35; e.g., Pinet, 2000).</w:t>
      </w:r>
    </w:p>
    <w:p w14:paraId="0C3F8828" w14:textId="77777777" w:rsidR="00131E41" w:rsidRPr="007629C0" w:rsidRDefault="00131E41" w:rsidP="00131E41">
      <w:pPr>
        <w:pStyle w:val="Heading3"/>
        <w:numPr>
          <w:ilvl w:val="2"/>
          <w:numId w:val="3"/>
        </w:numPr>
      </w:pPr>
      <w:bookmarkStart w:id="146" w:name="_Toc427251540"/>
      <w:bookmarkStart w:id="147" w:name="_Toc427831196"/>
      <w:bookmarkStart w:id="148" w:name="_Toc428793326"/>
      <w:bookmarkStart w:id="149" w:name="_Toc428851343"/>
      <w:bookmarkStart w:id="150" w:name="_Toc434208005"/>
      <w:r w:rsidRPr="007629C0">
        <w:t>Mapping of the GBR River plumes, using MODIS images</w:t>
      </w:r>
      <w:bookmarkEnd w:id="146"/>
      <w:bookmarkEnd w:id="147"/>
      <w:bookmarkEnd w:id="148"/>
      <w:bookmarkEnd w:id="149"/>
      <w:bookmarkEnd w:id="150"/>
    </w:p>
    <w:p w14:paraId="0C3F8829" w14:textId="77777777" w:rsidR="00131E41" w:rsidRPr="00C97CC0" w:rsidRDefault="00131E41" w:rsidP="00131E41">
      <w:pPr>
        <w:rPr>
          <w:rFonts w:ascii="Calibri" w:eastAsia="Calibri" w:hAnsi="Calibri" w:cs="Times New Roman"/>
          <w:color w:val="000000" w:themeColor="text1"/>
          <w:lang w:eastAsia="en-US"/>
        </w:rPr>
      </w:pPr>
      <w:r w:rsidRPr="00C97CC0">
        <w:rPr>
          <w:rFonts w:ascii="Calibri" w:eastAsia="Calibri" w:hAnsi="Calibri" w:cs="Times New Roman"/>
          <w:color w:val="000000" w:themeColor="text1"/>
          <w:lang w:eastAsia="en-US"/>
        </w:rPr>
        <w:t>Level of exposure of GBR ecosystems (including the coral reefs and seagrass meadows) to river plumes and land-sourced contaminants is spatially and temporally dependent of the different land-uses in the GBR catchments, the local transports of contaminants, and the distance of respective ecosystems to the river mouths (Brodie et al., 2013). Understanding the exposure of the GBR ecosystems and resulting changes in ecosystem health conditions is important to facilitate management of the GBR to respond to anthropogenic pressures under a changing climate. The main objective of the RS component of the wet season monitoring under the MMP is to produce maps of river plumes, models that summarize land-sourced contaminants transport, describe water quality concentrations within wet season conditions, and to integrate all these methods to evaluate the susceptibility of GBR key ecosystems to the river plume/pollutants exposure i.e. to model the risk of GBR ecosystem due to exposure to river plumes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_Ref428881339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t xml:space="preserve">Figure </w:t>
      </w:r>
      <w:r w:rsidR="00B62B50">
        <w:rPr>
          <w:noProof/>
        </w:rPr>
        <w:t>5</w:t>
      </w:r>
      <w:r w:rsidR="00B62B50">
        <w:noBreakHyphen/>
      </w:r>
      <w:r w:rsidR="00B62B50">
        <w:rPr>
          <w:noProof/>
        </w:rPr>
        <w:t>1</w:t>
      </w:r>
      <w:r>
        <w:rPr>
          <w:rFonts w:ascii="Calibri" w:eastAsia="Calibri" w:hAnsi="Calibri" w:cs="Times New Roman"/>
          <w:color w:val="000000" w:themeColor="text1"/>
          <w:lang w:eastAsia="en-US"/>
        </w:rPr>
        <w:fldChar w:fldCharType="end"/>
      </w:r>
      <w:r w:rsidRPr="00C97CC0">
        <w:rPr>
          <w:rFonts w:ascii="Calibri" w:eastAsia="Calibri" w:hAnsi="Calibri" w:cs="Times New Roman"/>
          <w:color w:val="000000" w:themeColor="text1"/>
          <w:lang w:eastAsia="en-US"/>
        </w:rPr>
        <w:t>).</w:t>
      </w:r>
    </w:p>
    <w:p w14:paraId="0C3F882A" w14:textId="77777777" w:rsidR="00131E41" w:rsidRPr="007629C0" w:rsidRDefault="00131E41" w:rsidP="00131E41">
      <w:pPr>
        <w:pStyle w:val="Heading3"/>
        <w:numPr>
          <w:ilvl w:val="2"/>
          <w:numId w:val="3"/>
        </w:numPr>
      </w:pPr>
      <w:bookmarkStart w:id="151" w:name="_Toc428851344"/>
      <w:bookmarkStart w:id="152" w:name="_Toc434208006"/>
      <w:bookmarkStart w:id="153" w:name="_Toc427831197"/>
      <w:bookmarkStart w:id="154" w:name="_Toc428793327"/>
      <w:r>
        <w:t xml:space="preserve">Development of </w:t>
      </w:r>
      <w:r w:rsidRPr="007629C0">
        <w:t>Remote sensing products</w:t>
      </w:r>
      <w:bookmarkEnd w:id="151"/>
      <w:bookmarkEnd w:id="152"/>
      <w:r w:rsidRPr="007629C0">
        <w:t xml:space="preserve"> </w:t>
      </w:r>
      <w:bookmarkEnd w:id="153"/>
      <w:bookmarkEnd w:id="154"/>
    </w:p>
    <w:p w14:paraId="0C3F882B" w14:textId="77777777" w:rsidR="00131E41" w:rsidRPr="00C97CC0" w:rsidRDefault="00131E41" w:rsidP="00131E41">
      <w:pPr>
        <w:rPr>
          <w:rFonts w:ascii="Calibri" w:eastAsia="Calibri" w:hAnsi="Calibri" w:cs="Times New Roman"/>
          <w:color w:val="000000" w:themeColor="text1"/>
          <w:lang w:eastAsia="en-US"/>
        </w:rPr>
      </w:pPr>
      <w:r w:rsidRPr="00C97CC0">
        <w:rPr>
          <w:rFonts w:ascii="Calibri" w:eastAsia="Calibri" w:hAnsi="Calibri" w:cs="Times New Roman"/>
          <w:color w:val="000000" w:themeColor="text1"/>
          <w:lang w:eastAsia="en-US"/>
        </w:rPr>
        <w:t xml:space="preserve">MODIS images, offer daily and whole GBR scale pictures of GBR coastal environments and thus help with identification and mapping of GBR river plumes. Two families of supervised classification methods based on MODIS data have been investigated though MMP funding to map marine areas exposed to river plumes and the different plume water types: one based on MODIS true colour images (hereafter TC method), and one using MODIS images calibrated into WQ proxies (i.e., MODIS L2 data; hereafter L2 method). </w:t>
      </w:r>
      <w:r w:rsidRPr="00C97CC0">
        <w:rPr>
          <w:rFonts w:ascii="Calibri" w:eastAsia="Calibri" w:hAnsi="Calibri" w:cs="Calibri"/>
          <w:color w:val="000000" w:themeColor="text1"/>
          <w:lang w:eastAsia="en-US"/>
        </w:rPr>
        <w:t xml:space="preserve">The TC method is based on classification of spectrally enhanced quasi-true colour MODIS images (Álvarez-Romero et al., 2013). This method exploits the differences in colour between the turbid river plumes and the marine ambient water, and between respective water type inside the river plumes (Álvarez-Romero et al., 2013). The second family of analysis or L2 method, uses threshold values applied to atmospherically corrected Level-2 products derived from satellite images to delineate river plume boundaries and surface water types inside river plumes (e.g., Dzwonkowski and Yan, 2005; Petus et al., 2014b; Saldias et al., 2012; Schroeder et al. 2012). </w:t>
      </w:r>
      <w:r w:rsidRPr="00C97CC0">
        <w:rPr>
          <w:rFonts w:ascii="Calibri" w:eastAsia="Calibri" w:hAnsi="Calibri" w:cs="Times New Roman"/>
          <w:color w:val="000000" w:themeColor="text1"/>
          <w:lang w:eastAsia="en-US"/>
        </w:rPr>
        <w:t xml:space="preserve">Both methods (Álvarez-Romero et al., 2013, Devlin et al. 2013a, Petus et al., 2014b) present advantages and disadvantages, described in Petus et al. (2014b) and in the discussion section of this report in order to determine the best data to use as problem-oriented management tool. </w:t>
      </w:r>
    </w:p>
    <w:p w14:paraId="0C3F882C" w14:textId="77777777" w:rsidR="00131E41" w:rsidRPr="00C97CC0" w:rsidRDefault="00131E41" w:rsidP="00131E41">
      <w:pPr>
        <w:rPr>
          <w:rFonts w:ascii="Calibri" w:eastAsia="Calibri" w:hAnsi="Calibri" w:cs="Times New Roman"/>
          <w:color w:val="000000" w:themeColor="text1"/>
          <w:lang w:eastAsia="en-US"/>
        </w:rPr>
      </w:pPr>
      <w:r w:rsidRPr="00C97CC0">
        <w:rPr>
          <w:rFonts w:ascii="Calibri" w:eastAsia="Calibri" w:hAnsi="Calibri" w:cs="Times New Roman"/>
          <w:color w:val="000000" w:themeColor="text1"/>
          <w:lang w:eastAsia="en-US"/>
        </w:rPr>
        <w:t>Maps were produced at different spatial (whole-GBR; NRM-, river-) and temporal (daily-, weekly-, annual- and multi-annual-) scales and included:</w:t>
      </w:r>
    </w:p>
    <w:p w14:paraId="0C3F882D" w14:textId="77777777" w:rsidR="00131E41" w:rsidRPr="009217DD" w:rsidRDefault="00131E41" w:rsidP="00C05A63">
      <w:pPr>
        <w:pStyle w:val="ListParagraph"/>
        <w:numPr>
          <w:ilvl w:val="0"/>
          <w:numId w:val="15"/>
        </w:numPr>
        <w:rPr>
          <w:rFonts w:ascii="Calibri" w:eastAsia="Calibri" w:hAnsi="Calibri" w:cs="Times New Roman"/>
          <w:color w:val="000000" w:themeColor="text1"/>
          <w:lang w:eastAsia="en-US"/>
        </w:rPr>
      </w:pPr>
      <w:r w:rsidRPr="009217DD">
        <w:rPr>
          <w:rFonts w:ascii="Calibri" w:eastAsia="Calibri" w:hAnsi="Calibri" w:cs="Times New Roman"/>
          <w:color w:val="000000" w:themeColor="text1"/>
          <w:lang w:eastAsia="en-US"/>
        </w:rPr>
        <w:t>River plume (full extent) maps. The river plume maps illustrate the movement of riverine waters, but do not provide information on the composition of the water and WQ constituents.</w:t>
      </w:r>
    </w:p>
    <w:p w14:paraId="0C3F882E" w14:textId="77777777" w:rsidR="00131E41" w:rsidRPr="009217DD" w:rsidRDefault="00131E41" w:rsidP="00C05A63">
      <w:pPr>
        <w:pStyle w:val="ListParagraph"/>
        <w:numPr>
          <w:ilvl w:val="0"/>
          <w:numId w:val="15"/>
        </w:numPr>
        <w:rPr>
          <w:rFonts w:ascii="Calibri" w:eastAsia="Calibri" w:hAnsi="Calibri" w:cs="Times New Roman"/>
          <w:color w:val="000000" w:themeColor="text1"/>
          <w:lang w:eastAsia="en-US"/>
        </w:rPr>
      </w:pPr>
      <w:r w:rsidRPr="009217DD">
        <w:rPr>
          <w:rFonts w:ascii="Calibri" w:eastAsia="Calibri" w:hAnsi="Calibri" w:cs="Times New Roman"/>
          <w:color w:val="000000" w:themeColor="text1"/>
          <w:lang w:eastAsia="en-US"/>
        </w:rPr>
        <w:t xml:space="preserve">Plume water type (Primary, Secondary and Tertiary) maps produced from the TC and L2 methods Plume water types are associated with different levels and combination of pollutants (see, e.g., discussion in Petus et al., 2014b) and, in combination with in-situ WQ information, provide a broad scale approach to reporting contaminant concentrations in the GBR marine environment. </w:t>
      </w:r>
    </w:p>
    <w:p w14:paraId="0C3F882F" w14:textId="77777777" w:rsidR="00131E41" w:rsidRPr="009217DD" w:rsidRDefault="00131E41" w:rsidP="00C05A63">
      <w:pPr>
        <w:pStyle w:val="ListParagraph"/>
        <w:numPr>
          <w:ilvl w:val="0"/>
          <w:numId w:val="15"/>
        </w:numPr>
        <w:rPr>
          <w:rFonts w:ascii="Calibri" w:eastAsia="Calibri" w:hAnsi="Calibri" w:cs="Times New Roman"/>
          <w:color w:val="000000" w:themeColor="text1"/>
          <w:lang w:eastAsia="en-US"/>
        </w:rPr>
      </w:pPr>
      <w:r w:rsidRPr="009217DD">
        <w:rPr>
          <w:rFonts w:ascii="Calibri" w:eastAsia="Calibri" w:hAnsi="Calibri" w:cs="Times New Roman"/>
          <w:color w:val="000000" w:themeColor="text1"/>
          <w:lang w:eastAsia="en-US"/>
        </w:rPr>
        <w:t xml:space="preserve">Load maps of land-sourced pollutants (TSS and DIN) derived from the TC method. The load mapping exercise, allows us to further understand the movements of pollutants which are carried within the river plume waters. </w:t>
      </w:r>
    </w:p>
    <w:p w14:paraId="0C3F8830" w14:textId="77777777" w:rsidR="00131E41" w:rsidRPr="00C97CC0" w:rsidRDefault="00131E41" w:rsidP="00131E41">
      <w:pPr>
        <w:rPr>
          <w:rFonts w:ascii="Calibri" w:eastAsia="Calibri" w:hAnsi="Calibri" w:cs="Times New Roman"/>
          <w:lang w:eastAsia="en-US"/>
        </w:rPr>
      </w:pPr>
    </w:p>
    <w:p w14:paraId="0C3F8831" w14:textId="77777777" w:rsidR="00131E41" w:rsidRDefault="00131E41" w:rsidP="00131E41">
      <w:r w:rsidRPr="009B0AE8">
        <w:rPr>
          <w:rFonts w:eastAsia="Calibri"/>
          <w:noProof/>
        </w:rPr>
        <w:drawing>
          <wp:inline distT="0" distB="0" distL="0" distR="0" wp14:anchorId="0C3F9003" wp14:editId="0C3F9004">
            <wp:extent cx="5805377" cy="4369981"/>
            <wp:effectExtent l="0" t="0" r="0" b="12065"/>
            <wp:docPr id="76" name="Diagram 76" descr="Remote sensing products designed in order to model the risk of GBR ecosystems due to river plumes during the wet season." title="Remote sensing products designed in order to model the risk of GBR ecosystems due to river plumes during the wet seas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0C3F8832" w14:textId="77777777" w:rsidR="00131E41" w:rsidRDefault="00131E41" w:rsidP="00131E41">
      <w:pPr>
        <w:pStyle w:val="Caption"/>
        <w:rPr>
          <w:rFonts w:eastAsia="Calibri"/>
        </w:rPr>
      </w:pPr>
      <w:bookmarkStart w:id="155" w:name="_Ref428881339"/>
      <w:bookmarkStart w:id="156" w:name="_Toc427833268"/>
      <w:bookmarkStart w:id="157" w:name="_Toc434208037"/>
      <w:r>
        <w:t xml:space="preserve">Figure </w:t>
      </w:r>
      <w:r w:rsidR="00D243CD">
        <w:fldChar w:fldCharType="begin"/>
      </w:r>
      <w:r w:rsidR="00D243CD">
        <w:instrText xml:space="preserve"> STYLEREF 1 \s </w:instrText>
      </w:r>
      <w:r w:rsidR="00D243CD">
        <w:fldChar w:fldCharType="separate"/>
      </w:r>
      <w:r w:rsidR="00B62B50">
        <w:rPr>
          <w:noProof/>
        </w:rPr>
        <w:t>5</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1</w:t>
      </w:r>
      <w:r w:rsidR="00D243CD">
        <w:fldChar w:fldCharType="end"/>
      </w:r>
      <w:bookmarkEnd w:id="155"/>
      <w:r>
        <w:t xml:space="preserve">: </w:t>
      </w:r>
      <w:r w:rsidRPr="00C97CC0">
        <w:rPr>
          <w:rFonts w:eastAsia="Calibri"/>
        </w:rPr>
        <w:t>Remote sensing products designed in order to model the risk of GBR ecosystems due to river plumes during the wet season.</w:t>
      </w:r>
      <w:bookmarkEnd w:id="156"/>
      <w:bookmarkEnd w:id="157"/>
    </w:p>
    <w:p w14:paraId="0C3F8833" w14:textId="77777777" w:rsidR="00131E41" w:rsidRDefault="00131E41" w:rsidP="00131E41">
      <w:pPr>
        <w:rPr>
          <w:rFonts w:eastAsia="Calibri"/>
          <w:lang w:val="en-GB" w:eastAsia="en-US"/>
        </w:rPr>
      </w:pPr>
    </w:p>
    <w:p w14:paraId="0C3F8834" w14:textId="77777777" w:rsidR="00131E41" w:rsidRPr="009217DD" w:rsidRDefault="00131E41" w:rsidP="00131E41">
      <w:pPr>
        <w:rPr>
          <w:rFonts w:eastAsia="Calibri"/>
          <w:lang w:val="en-GB" w:eastAsia="en-US"/>
        </w:rPr>
      </w:pPr>
    </w:p>
    <w:p w14:paraId="0C3F8835" w14:textId="77777777" w:rsidR="00131E41" w:rsidRPr="00E11FA7" w:rsidRDefault="00131E41" w:rsidP="00131E41">
      <w:pPr>
        <w:pStyle w:val="Heading3"/>
        <w:numPr>
          <w:ilvl w:val="2"/>
          <w:numId w:val="3"/>
        </w:numPr>
        <w:rPr>
          <w:bCs/>
          <w:iCs/>
        </w:rPr>
      </w:pPr>
      <w:bookmarkStart w:id="158" w:name="_Toc427831198"/>
      <w:bookmarkStart w:id="159" w:name="_Toc428793328"/>
      <w:bookmarkStart w:id="160" w:name="_Toc428851345"/>
      <w:bookmarkStart w:id="161" w:name="_Toc434208007"/>
      <w:bookmarkStart w:id="162" w:name="_Toc427251541"/>
      <w:r>
        <w:rPr>
          <w:bCs/>
          <w:iCs/>
        </w:rPr>
        <w:t>Remote sensing products: “</w:t>
      </w:r>
      <w:r w:rsidRPr="00E11FA7">
        <w:rPr>
          <w:bCs/>
          <w:iCs/>
        </w:rPr>
        <w:t>potential risk</w:t>
      </w:r>
      <w:r>
        <w:rPr>
          <w:bCs/>
          <w:iCs/>
        </w:rPr>
        <w:t>”</w:t>
      </w:r>
      <w:r w:rsidRPr="00E11FA7">
        <w:rPr>
          <w:bCs/>
          <w:iCs/>
        </w:rPr>
        <w:t xml:space="preserve"> maps</w:t>
      </w:r>
      <w:bookmarkEnd w:id="158"/>
      <w:bookmarkEnd w:id="159"/>
      <w:bookmarkEnd w:id="160"/>
      <w:bookmarkEnd w:id="161"/>
      <w:r w:rsidRPr="00E11FA7" w:rsidDel="002E6AFD">
        <w:rPr>
          <w:bCs/>
          <w:iCs/>
        </w:rPr>
        <w:t xml:space="preserve"> </w:t>
      </w:r>
      <w:bookmarkEnd w:id="162"/>
      <w:r w:rsidRPr="00E11FA7">
        <w:rPr>
          <w:bCs/>
          <w:iCs/>
        </w:rPr>
        <w:t xml:space="preserve"> </w:t>
      </w:r>
    </w:p>
    <w:p w14:paraId="0C3F8836" w14:textId="77777777" w:rsidR="00131E41" w:rsidRPr="00C97CC0" w:rsidRDefault="00131E41" w:rsidP="00131E41">
      <w:pPr>
        <w:rPr>
          <w:rFonts w:ascii="Calibri" w:eastAsia="Calibri" w:hAnsi="Calibri" w:cs="Times New Roman"/>
          <w:lang w:eastAsia="en-US"/>
        </w:rPr>
      </w:pPr>
      <w:r w:rsidRPr="00C97CC0">
        <w:rPr>
          <w:rFonts w:ascii="Calibri" w:eastAsia="Calibri" w:hAnsi="Calibri" w:cs="Times New Roman"/>
          <w:lang w:eastAsia="en-US"/>
        </w:rPr>
        <w:t xml:space="preserve">As part of our efforts for this 2012-13 MMP report, we have assessed the potential of using annual </w:t>
      </w:r>
      <w:r w:rsidRPr="00C97CC0">
        <w:rPr>
          <w:rFonts w:ascii="Calibri" w:eastAsia="Calibri" w:hAnsi="Calibri" w:cs="Times New Roman"/>
          <w:i/>
          <w:lang w:eastAsia="en-US"/>
        </w:rPr>
        <w:t>w</w:t>
      </w:r>
      <w:r w:rsidRPr="00C97CC0">
        <w:rPr>
          <w:rFonts w:ascii="Calibri" w:eastAsia="Calibri" w:hAnsi="Calibri" w:cs="Times New Roman"/>
          <w:lang w:eastAsia="en-US"/>
        </w:rPr>
        <w:t xml:space="preserve">ater type maps produced from both L2 and TC method to produce </w:t>
      </w:r>
      <w:r w:rsidRPr="00C97CC0">
        <w:rPr>
          <w:rFonts w:ascii="Calibri" w:eastAsia="Calibri" w:hAnsi="Calibri" w:cs="Times New Roman"/>
          <w:u w:val="single"/>
          <w:lang w:eastAsia="en-US"/>
        </w:rPr>
        <w:t>potential</w:t>
      </w:r>
      <w:r w:rsidRPr="00C97CC0">
        <w:rPr>
          <w:rFonts w:ascii="Calibri" w:eastAsia="Calibri" w:hAnsi="Calibri" w:cs="Times New Roman"/>
          <w:lang w:eastAsia="en-US"/>
        </w:rPr>
        <w:t xml:space="preserve"> risk maps for the GBR ecosystems from river plume exposure (Petus et al., 2014b</w:t>
      </w:r>
      <w:r>
        <w:rPr>
          <w:rFonts w:ascii="Calibri" w:eastAsia="Calibri" w:hAnsi="Calibri" w:cs="Times New Roman"/>
          <w:lang w:eastAsia="en-US"/>
        </w:rPr>
        <w:t>, Petus et al., in prep.</w:t>
      </w:r>
      <w:r w:rsidRPr="00C97CC0">
        <w:rPr>
          <w:rFonts w:ascii="Calibri" w:eastAsia="Calibri" w:hAnsi="Calibri" w:cs="Times New Roman"/>
          <w:lang w:eastAsia="en-US"/>
        </w:rPr>
        <w:t>).</w:t>
      </w:r>
    </w:p>
    <w:p w14:paraId="0C3F8837" w14:textId="77777777" w:rsidR="00131E41" w:rsidRPr="00C97CC0" w:rsidRDefault="00131E41" w:rsidP="00131E41">
      <w:pPr>
        <w:rPr>
          <w:rFonts w:ascii="Calibri" w:eastAsia="Calibri" w:hAnsi="Calibri" w:cs="Times New Roman"/>
          <w:lang w:eastAsia="en-US"/>
        </w:rPr>
      </w:pPr>
      <w:r w:rsidRPr="00C97CC0">
        <w:rPr>
          <w:rFonts w:ascii="Calibri" w:eastAsia="Calibri" w:hAnsi="Calibri" w:cs="Times New Roman"/>
          <w:lang w:eastAsia="en-US"/>
        </w:rPr>
        <w:t xml:space="preserve">Theories behind the production of River plume risk maps for the GBR ecosystems are described in Petus et al. (2014b) and summarized </w:t>
      </w:r>
      <w:r>
        <w:rPr>
          <w:rFonts w:ascii="Calibri" w:eastAsia="Calibri" w:hAnsi="Calibri" w:cs="Times New Roman"/>
          <w:lang w:eastAsia="en-US"/>
        </w:rPr>
        <w:t>briefly here</w:t>
      </w:r>
      <w:r w:rsidRPr="00C97CC0">
        <w:rPr>
          <w:rFonts w:ascii="Calibri" w:eastAsia="Calibri" w:hAnsi="Calibri" w:cs="Times New Roman"/>
          <w:lang w:eastAsia="en-US"/>
        </w:rPr>
        <w:t>.</w:t>
      </w:r>
      <w:r>
        <w:rPr>
          <w:rFonts w:ascii="Calibri" w:eastAsia="Calibri" w:hAnsi="Calibri" w:cs="Times New Roman"/>
          <w:lang w:eastAsia="en-US"/>
        </w:rPr>
        <w:t xml:space="preserve"> </w:t>
      </w:r>
      <w:r w:rsidRPr="00C97CC0">
        <w:rPr>
          <w:rFonts w:ascii="Calibri" w:eastAsia="Calibri" w:hAnsi="Calibri" w:cs="Times New Roman"/>
          <w:lang w:eastAsia="en-US"/>
        </w:rPr>
        <w:t xml:space="preserve">Measuring the magnitude of the river plume risk to coral reefs and seagrass beds </w:t>
      </w:r>
      <w:r w:rsidR="001E79B7">
        <w:rPr>
          <w:rFonts w:ascii="Calibri" w:eastAsia="Calibri" w:hAnsi="Calibri" w:cs="Times New Roman"/>
          <w:lang w:eastAsia="en-US"/>
        </w:rPr>
        <w:t>can be</w:t>
      </w:r>
      <w:r w:rsidRPr="00C97CC0">
        <w:rPr>
          <w:rFonts w:ascii="Calibri" w:eastAsia="Calibri" w:hAnsi="Calibri" w:cs="Times New Roman"/>
          <w:lang w:eastAsia="en-US"/>
        </w:rPr>
        <w:t xml:space="preserve"> challenging because </w:t>
      </w:r>
      <w:r w:rsidR="001E79B7">
        <w:rPr>
          <w:rFonts w:ascii="Calibri" w:eastAsia="Calibri" w:hAnsi="Calibri" w:cs="Times New Roman"/>
          <w:lang w:eastAsia="en-US"/>
        </w:rPr>
        <w:t xml:space="preserve">of the combination of </w:t>
      </w:r>
      <w:r w:rsidRPr="00C97CC0">
        <w:rPr>
          <w:rFonts w:ascii="Calibri" w:eastAsia="Calibri" w:hAnsi="Calibri" w:cs="Times New Roman"/>
          <w:lang w:eastAsia="en-US"/>
        </w:rPr>
        <w:t xml:space="preserve">different stressors </w:t>
      </w:r>
      <w:r w:rsidR="001E79B7">
        <w:rPr>
          <w:rFonts w:ascii="Calibri" w:eastAsia="Calibri" w:hAnsi="Calibri" w:cs="Times New Roman"/>
          <w:lang w:eastAsia="en-US"/>
        </w:rPr>
        <w:t>in</w:t>
      </w:r>
      <w:r w:rsidRPr="00C97CC0">
        <w:rPr>
          <w:rFonts w:ascii="Calibri" w:eastAsia="Calibri" w:hAnsi="Calibri" w:cs="Times New Roman"/>
          <w:lang w:eastAsia="en-US"/>
        </w:rPr>
        <w:t xml:space="preserve"> river plume waters. Devlin et al. (2012b) underscored the need to develop risk models that incorporate the cumulative effects of pollutants. Elevated levels of turbidity, which limits light penetration, and reduce the amount of light available for seagrass photosynthesis, are described as the primary cause of seagrass loss (Mckenzie et al. 2012; Collier et al. 2012a, b). Coral biodiversity also declines as a function of increasing turbidity throughout the GBR (De’ath and Fabricius 2010) and reef development ceases at depths where light is below 6- 8% of surface irradiance (Cooper et al. 2007; Titlyanov and Latypov 1991). Furthermore, more than 90% of the land-sourced nutrients enter the GBR lagoon during high flow periods (Brodie et al., 2012; Mitchell et al., 2005). A linear decrease of DIN concentrations across river plumes (from the coast to offshore i.e., from Primary to Tertiary water types) have been described by Álvarez-Romero et al. (2013). Photosystem II inhibiting herbicides (PSII herbicides) at elevated concentrations have also been traced during the wet season in river plumes from catchments to the GBR lagoon (Davis et al., 2008). It was demonstrated by Kennedy et al. (2012) and Lewis et al. (2009) that the concentrations of PSII herbicides on the GBR typically exhibit a linear decline across the salinity gradient (i.e., from Primary to Tertiary water types). </w:t>
      </w:r>
    </w:p>
    <w:p w14:paraId="0C3F8838" w14:textId="77777777" w:rsidR="00131E41" w:rsidRPr="00C97CC0" w:rsidRDefault="00131E41" w:rsidP="00131E41">
      <w:pPr>
        <w:rPr>
          <w:rFonts w:ascii="Calibri" w:eastAsia="Calibri" w:hAnsi="Calibri" w:cs="Times New Roman"/>
          <w:lang w:eastAsia="en-US"/>
        </w:rPr>
      </w:pPr>
      <w:r w:rsidRPr="00C97CC0">
        <w:rPr>
          <w:rFonts w:ascii="Calibri" w:eastAsia="Calibri" w:hAnsi="Calibri" w:cs="Times New Roman"/>
          <w:lang w:eastAsia="en-US"/>
        </w:rPr>
        <w:t xml:space="preserve">As an approximation, Petus et al., (2014b) assumed that the magnitude of risk for the GBR seagrass beds and coral reefs from river plume exposure will increase from the Tertiary waters to the Primary core of river plumes. Classification of surface waters into Primary, Secondary, and Tertiary water types can thus provide a mechanism to cluster cumulative WQ stressors into three (ecologically relevant) broad categories of risk magnitude. At the multi-annual scale, the changes in the frequency of occurrence of these surface water types help understanding the likelihood of the different categories of risk magnitude. Producing annual maps of frequency of Primary, Secondary, and Tertiary water types in the GBR lagoon summarise thus the combined likelihood and magnitude of the river plume risk over a defined time period. In combination with ecosystem maps, it can serve as the basis to assess potential ecological consequences imposed by different levels and frequency of exposure to land-sourced contaminants in river plume (i.e., magnitude of risk). </w:t>
      </w:r>
    </w:p>
    <w:p w14:paraId="0C3F8839" w14:textId="77777777" w:rsidR="00131E41" w:rsidRPr="00C97CC0" w:rsidRDefault="00131E41" w:rsidP="00131E41">
      <w:pPr>
        <w:rPr>
          <w:rFonts w:ascii="Calibri" w:eastAsia="Calibri" w:hAnsi="Calibri" w:cs="Times New Roman"/>
          <w:lang w:eastAsia="en-US"/>
        </w:rPr>
      </w:pPr>
      <w:r>
        <w:rPr>
          <w:rFonts w:ascii="Calibri" w:eastAsia="Calibri" w:hAnsi="Calibri" w:cs="Times New Roman"/>
          <w:lang w:eastAsia="en-US"/>
        </w:rPr>
        <w:t>Thus, in summary, t</w:t>
      </w:r>
      <w:r w:rsidRPr="00C97CC0">
        <w:rPr>
          <w:rFonts w:ascii="Calibri" w:eastAsia="Calibri" w:hAnsi="Calibri" w:cs="Times New Roman"/>
          <w:lang w:eastAsia="en-US"/>
        </w:rPr>
        <w:t xml:space="preserve">he risk of a particular ecosystem (e.g., in the GBR, seagrass meadows or coral reefs) to be affected by a particular stressor (in this case land-sourced pollutants associated with river plumes) can be assessed by evaluating: </w:t>
      </w:r>
    </w:p>
    <w:p w14:paraId="0C3F883A" w14:textId="77777777" w:rsidR="00131E41" w:rsidRPr="009217DD" w:rsidRDefault="00131E41" w:rsidP="00C05A63">
      <w:pPr>
        <w:pStyle w:val="ListParagraph"/>
        <w:numPr>
          <w:ilvl w:val="0"/>
          <w:numId w:val="16"/>
        </w:numPr>
        <w:rPr>
          <w:rFonts w:ascii="Calibri" w:eastAsia="Calibri" w:hAnsi="Calibri" w:cs="Times New Roman"/>
          <w:lang w:eastAsia="en-US"/>
        </w:rPr>
      </w:pPr>
      <w:r w:rsidRPr="009217DD">
        <w:rPr>
          <w:rFonts w:ascii="Calibri" w:eastAsia="Calibri" w:hAnsi="Calibri" w:cs="Times New Roman"/>
          <w:lang w:eastAsia="en-US"/>
        </w:rPr>
        <w:t xml:space="preserve">The likelihood of the risk, i.e., how likely a particular stressor is to happen. This can be estimated by calculating the frequency of occurrence of river plumes or specific plume water type; </w:t>
      </w:r>
    </w:p>
    <w:p w14:paraId="0C3F883B" w14:textId="77777777" w:rsidR="00131E41" w:rsidRPr="009217DD" w:rsidRDefault="00131E41" w:rsidP="00C05A63">
      <w:pPr>
        <w:pStyle w:val="ListParagraph"/>
        <w:numPr>
          <w:ilvl w:val="0"/>
          <w:numId w:val="16"/>
        </w:numPr>
        <w:rPr>
          <w:rFonts w:ascii="Calibri" w:eastAsia="Calibri" w:hAnsi="Calibri" w:cs="Times New Roman"/>
          <w:lang w:eastAsia="en-US"/>
        </w:rPr>
      </w:pPr>
      <w:r w:rsidRPr="009217DD">
        <w:rPr>
          <w:rFonts w:ascii="Calibri" w:eastAsia="Calibri" w:hAnsi="Calibri" w:cs="Times New Roman"/>
          <w:lang w:eastAsia="en-US"/>
        </w:rPr>
        <w:t>The magnitude of the risk, i.e., in river plume risk analysis, the intensity quantified as concentration, level or load of pollutant discharge through the river plume; and</w:t>
      </w:r>
    </w:p>
    <w:p w14:paraId="0C3F883C" w14:textId="77777777" w:rsidR="00131E41" w:rsidRPr="009217DD" w:rsidRDefault="00131E41" w:rsidP="00C05A63">
      <w:pPr>
        <w:pStyle w:val="ListParagraph"/>
        <w:numPr>
          <w:ilvl w:val="0"/>
          <w:numId w:val="16"/>
        </w:numPr>
        <w:rPr>
          <w:rFonts w:ascii="Calibri" w:eastAsia="Calibri" w:hAnsi="Calibri" w:cs="Times New Roman"/>
          <w:lang w:eastAsia="en-US"/>
        </w:rPr>
      </w:pPr>
      <w:r w:rsidRPr="009217DD">
        <w:rPr>
          <w:rFonts w:ascii="Calibri" w:eastAsia="Calibri" w:hAnsi="Calibri" w:cs="Times New Roman"/>
          <w:lang w:eastAsia="en-US"/>
        </w:rPr>
        <w:t>The ecological consequences of the risk, i.e., the extent of the ecological impact for a particular ecosystem given a combination of magnitude and likelihood of occurrence of the stressor.</w:t>
      </w:r>
    </w:p>
    <w:p w14:paraId="0C3F883D" w14:textId="77777777" w:rsidR="00131E41" w:rsidRPr="00C97CC0" w:rsidRDefault="00131E41" w:rsidP="00131E41">
      <w:pPr>
        <w:rPr>
          <w:rFonts w:ascii="Calibri" w:eastAsia="Calibri" w:hAnsi="Calibri" w:cs="Times New Roman"/>
          <w:lang w:eastAsia="en-US"/>
        </w:rPr>
      </w:pPr>
      <w:r>
        <w:rPr>
          <w:rFonts w:ascii="Calibri" w:eastAsia="Calibri" w:hAnsi="Calibri" w:cs="Times New Roman"/>
          <w:lang w:eastAsia="en-US"/>
        </w:rPr>
        <w:t>A</w:t>
      </w:r>
      <w:r w:rsidRPr="00C97CC0">
        <w:rPr>
          <w:rFonts w:ascii="Calibri" w:eastAsia="Calibri" w:hAnsi="Calibri" w:cs="Times New Roman"/>
          <w:lang w:eastAsia="en-US"/>
        </w:rPr>
        <w:t>nnual “potential” risk maps were produced over seven wet seasons (2007 to 2013) using annual maps of frequency of occurrence of plume water types produced from both the TC and L2 methods as well as a simplified risk matrix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_Ref428881514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t xml:space="preserve">Table </w:t>
      </w:r>
      <w:r w:rsidR="00B62B50">
        <w:rPr>
          <w:noProof/>
        </w:rPr>
        <w:t>5</w:t>
      </w:r>
      <w:r w:rsidR="00B62B50">
        <w:noBreakHyphen/>
      </w:r>
      <w:r w:rsidR="00B62B50">
        <w:rPr>
          <w:noProof/>
        </w:rPr>
        <w:t>1</w:t>
      </w:r>
      <w:r>
        <w:rPr>
          <w:rFonts w:ascii="Calibri" w:eastAsia="Calibri" w:hAnsi="Calibri" w:cs="Times New Roman"/>
          <w:lang w:eastAsia="en-US"/>
        </w:rPr>
        <w:fldChar w:fldCharType="end"/>
      </w:r>
      <w:r w:rsidRPr="00C97CC0">
        <w:rPr>
          <w:rFonts w:ascii="Calibri" w:eastAsia="Calibri" w:hAnsi="Calibri" w:cs="Times New Roman"/>
          <w:lang w:eastAsia="en-US"/>
        </w:rPr>
        <w:t xml:space="preserve">). </w:t>
      </w:r>
    </w:p>
    <w:p w14:paraId="0C3F883E" w14:textId="77777777" w:rsidR="00131E41" w:rsidRPr="00C97CC0" w:rsidRDefault="00131E41" w:rsidP="00131E41">
      <w:pPr>
        <w:rPr>
          <w:rFonts w:ascii="Calibri" w:eastAsia="Calibri" w:hAnsi="Calibri" w:cs="Times New Roman"/>
          <w:lang w:eastAsia="en-US"/>
        </w:rPr>
      </w:pPr>
    </w:p>
    <w:p w14:paraId="0C3F883F" w14:textId="77777777" w:rsidR="00131E41" w:rsidRPr="00C97CC0" w:rsidRDefault="00131E41" w:rsidP="00131E41">
      <w:pPr>
        <w:pStyle w:val="Caption"/>
        <w:rPr>
          <w:rFonts w:eastAsia="Calibri"/>
        </w:rPr>
      </w:pPr>
      <w:bookmarkStart w:id="163" w:name="_Ref428881514"/>
      <w:bookmarkStart w:id="164" w:name="_Toc434208079"/>
      <w:r>
        <w:t xml:space="preserve">Table </w:t>
      </w:r>
      <w:r w:rsidR="00AE4287">
        <w:fldChar w:fldCharType="begin"/>
      </w:r>
      <w:r w:rsidR="00AE4287">
        <w:instrText xml:space="preserve"> STYLEREF 1 \s </w:instrText>
      </w:r>
      <w:r w:rsidR="00AE4287">
        <w:fldChar w:fldCharType="separate"/>
      </w:r>
      <w:r w:rsidR="00B62B50">
        <w:rPr>
          <w:noProof/>
        </w:rPr>
        <w:t>5</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1</w:t>
      </w:r>
      <w:r w:rsidR="00AE4287">
        <w:fldChar w:fldCharType="end"/>
      </w:r>
      <w:bookmarkEnd w:id="163"/>
      <w:r>
        <w:t xml:space="preserve">: </w:t>
      </w:r>
      <w:r w:rsidRPr="00F44B82">
        <w:rPr>
          <w:rFonts w:eastAsia="Calibri"/>
          <w:color w:val="4F81BD"/>
        </w:rPr>
        <w:t>Risk categories (I, II, III, and IV) in function of the magnitude and the likelihood of the river plume risk (modified from Petus et al., 2014b).</w:t>
      </w:r>
      <w:bookmarkEnd w:id="164"/>
    </w:p>
    <w:tbl>
      <w:tblPr>
        <w:tblW w:w="5416" w:type="dxa"/>
        <w:jc w:val="center"/>
        <w:tblInd w:w="93" w:type="dxa"/>
        <w:tblLook w:val="04A0" w:firstRow="1" w:lastRow="0" w:firstColumn="1" w:lastColumn="0" w:noHBand="0" w:noVBand="1"/>
      </w:tblPr>
      <w:tblGrid>
        <w:gridCol w:w="1400"/>
        <w:gridCol w:w="1337"/>
        <w:gridCol w:w="1210"/>
        <w:gridCol w:w="1469"/>
      </w:tblGrid>
      <w:tr w:rsidR="00131E41" w:rsidRPr="005F45A6" w14:paraId="0C3F8847" w14:textId="77777777" w:rsidTr="00131E4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8840"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Magnitude</w:t>
            </w:r>
          </w:p>
        </w:tc>
        <w:tc>
          <w:tcPr>
            <w:tcW w:w="1337" w:type="dxa"/>
            <w:vMerge w:val="restart"/>
            <w:tcBorders>
              <w:top w:val="nil"/>
              <w:left w:val="nil"/>
              <w:right w:val="nil"/>
            </w:tcBorders>
            <w:shd w:val="clear" w:color="auto" w:fill="auto"/>
            <w:noWrap/>
            <w:vAlign w:val="center"/>
            <w:hideMark/>
          </w:tcPr>
          <w:p w14:paraId="0C3F8841"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Tertiary</w:t>
            </w:r>
          </w:p>
          <w:p w14:paraId="0C3F8842" w14:textId="77777777" w:rsidR="00131E41" w:rsidRPr="005F45A6" w:rsidRDefault="00131E41" w:rsidP="00131E41">
            <w:pPr>
              <w:spacing w:after="0"/>
              <w:jc w:val="center"/>
              <w:rPr>
                <w:rFonts w:ascii="Calibri" w:hAnsi="Calibri" w:cs="Calibri"/>
                <w:b/>
                <w:bCs/>
                <w:color w:val="000000" w:themeColor="text1"/>
                <w:sz w:val="20"/>
                <w:szCs w:val="20"/>
              </w:rPr>
            </w:pPr>
          </w:p>
        </w:tc>
        <w:tc>
          <w:tcPr>
            <w:tcW w:w="1210" w:type="dxa"/>
            <w:vMerge w:val="restart"/>
            <w:tcBorders>
              <w:top w:val="nil"/>
              <w:left w:val="nil"/>
              <w:right w:val="nil"/>
            </w:tcBorders>
            <w:shd w:val="clear" w:color="auto" w:fill="auto"/>
            <w:noWrap/>
            <w:vAlign w:val="center"/>
            <w:hideMark/>
          </w:tcPr>
          <w:p w14:paraId="0C3F8843"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Secondary</w:t>
            </w:r>
          </w:p>
          <w:p w14:paraId="0C3F8844" w14:textId="77777777" w:rsidR="00131E41" w:rsidRPr="005F45A6" w:rsidRDefault="00131E41" w:rsidP="00131E41">
            <w:pPr>
              <w:spacing w:after="0"/>
              <w:jc w:val="center"/>
              <w:rPr>
                <w:rFonts w:ascii="Calibri" w:hAnsi="Calibri" w:cs="Calibri"/>
                <w:b/>
                <w:bCs/>
                <w:color w:val="000000" w:themeColor="text1"/>
                <w:sz w:val="20"/>
                <w:szCs w:val="20"/>
              </w:rPr>
            </w:pPr>
          </w:p>
        </w:tc>
        <w:tc>
          <w:tcPr>
            <w:tcW w:w="1469" w:type="dxa"/>
            <w:vMerge w:val="restart"/>
            <w:tcBorders>
              <w:top w:val="nil"/>
              <w:left w:val="nil"/>
              <w:right w:val="nil"/>
            </w:tcBorders>
            <w:shd w:val="clear" w:color="auto" w:fill="auto"/>
            <w:noWrap/>
            <w:vAlign w:val="center"/>
            <w:hideMark/>
          </w:tcPr>
          <w:p w14:paraId="0C3F8845"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Primary</w:t>
            </w:r>
          </w:p>
          <w:p w14:paraId="0C3F8846" w14:textId="77777777" w:rsidR="00131E41" w:rsidRPr="005F45A6" w:rsidRDefault="00131E41" w:rsidP="00131E41">
            <w:pPr>
              <w:spacing w:after="0"/>
              <w:jc w:val="center"/>
              <w:rPr>
                <w:rFonts w:ascii="Calibri" w:hAnsi="Calibri" w:cs="Calibri"/>
                <w:b/>
                <w:bCs/>
                <w:color w:val="000000" w:themeColor="text1"/>
                <w:sz w:val="20"/>
                <w:szCs w:val="20"/>
              </w:rPr>
            </w:pPr>
          </w:p>
        </w:tc>
      </w:tr>
      <w:tr w:rsidR="00131E41" w:rsidRPr="005F45A6" w14:paraId="0C3F884C" w14:textId="77777777" w:rsidTr="00131E41">
        <w:trPr>
          <w:trHeight w:val="300"/>
          <w:jc w:val="center"/>
        </w:trPr>
        <w:tc>
          <w:tcPr>
            <w:tcW w:w="1400" w:type="dxa"/>
            <w:tcBorders>
              <w:top w:val="nil"/>
              <w:left w:val="nil"/>
              <w:bottom w:val="single" w:sz="4" w:space="0" w:color="auto"/>
              <w:right w:val="single" w:sz="4" w:space="0" w:color="auto"/>
            </w:tcBorders>
            <w:shd w:val="clear" w:color="auto" w:fill="auto"/>
            <w:noWrap/>
            <w:vAlign w:val="center"/>
            <w:hideMark/>
          </w:tcPr>
          <w:p w14:paraId="0C3F8848"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Likelihood</w:t>
            </w:r>
          </w:p>
        </w:tc>
        <w:tc>
          <w:tcPr>
            <w:tcW w:w="1337" w:type="dxa"/>
            <w:vMerge/>
            <w:tcBorders>
              <w:left w:val="nil"/>
              <w:bottom w:val="single" w:sz="4" w:space="0" w:color="auto"/>
              <w:right w:val="nil"/>
            </w:tcBorders>
            <w:shd w:val="clear" w:color="auto" w:fill="auto"/>
            <w:noWrap/>
            <w:vAlign w:val="center"/>
            <w:hideMark/>
          </w:tcPr>
          <w:p w14:paraId="0C3F8849" w14:textId="77777777" w:rsidR="00131E41" w:rsidRPr="005F45A6" w:rsidRDefault="00131E41" w:rsidP="00131E41">
            <w:pPr>
              <w:spacing w:after="0"/>
              <w:jc w:val="center"/>
              <w:rPr>
                <w:rFonts w:ascii="Calibri" w:hAnsi="Calibri" w:cs="Calibri"/>
                <w:b/>
                <w:bCs/>
                <w:color w:val="000000" w:themeColor="text1"/>
                <w:sz w:val="20"/>
                <w:szCs w:val="20"/>
              </w:rPr>
            </w:pPr>
          </w:p>
        </w:tc>
        <w:tc>
          <w:tcPr>
            <w:tcW w:w="1210" w:type="dxa"/>
            <w:vMerge/>
            <w:tcBorders>
              <w:left w:val="nil"/>
              <w:bottom w:val="single" w:sz="4" w:space="0" w:color="auto"/>
              <w:right w:val="nil"/>
            </w:tcBorders>
            <w:shd w:val="clear" w:color="auto" w:fill="auto"/>
            <w:noWrap/>
            <w:vAlign w:val="center"/>
            <w:hideMark/>
          </w:tcPr>
          <w:p w14:paraId="0C3F884A" w14:textId="77777777" w:rsidR="00131E41" w:rsidRPr="005F45A6" w:rsidRDefault="00131E41" w:rsidP="00131E41">
            <w:pPr>
              <w:spacing w:after="0"/>
              <w:jc w:val="center"/>
              <w:rPr>
                <w:rFonts w:ascii="Calibri" w:hAnsi="Calibri" w:cs="Calibri"/>
                <w:b/>
                <w:bCs/>
                <w:color w:val="000000" w:themeColor="text1"/>
                <w:sz w:val="20"/>
                <w:szCs w:val="20"/>
              </w:rPr>
            </w:pPr>
          </w:p>
        </w:tc>
        <w:tc>
          <w:tcPr>
            <w:tcW w:w="1469" w:type="dxa"/>
            <w:vMerge/>
            <w:tcBorders>
              <w:left w:val="nil"/>
              <w:bottom w:val="single" w:sz="4" w:space="0" w:color="auto"/>
              <w:right w:val="nil"/>
            </w:tcBorders>
            <w:shd w:val="clear" w:color="auto" w:fill="auto"/>
            <w:noWrap/>
            <w:vAlign w:val="center"/>
            <w:hideMark/>
          </w:tcPr>
          <w:p w14:paraId="0C3F884B" w14:textId="77777777" w:rsidR="00131E41" w:rsidRPr="005F45A6" w:rsidRDefault="00131E41" w:rsidP="00131E41">
            <w:pPr>
              <w:spacing w:after="0"/>
              <w:jc w:val="center"/>
              <w:rPr>
                <w:rFonts w:ascii="Calibri" w:hAnsi="Calibri" w:cs="Calibri"/>
                <w:b/>
                <w:bCs/>
                <w:color w:val="000000" w:themeColor="text1"/>
                <w:sz w:val="20"/>
                <w:szCs w:val="20"/>
              </w:rPr>
            </w:pPr>
          </w:p>
        </w:tc>
      </w:tr>
      <w:tr w:rsidR="00131E41" w:rsidRPr="005F45A6" w14:paraId="0C3F8851" w14:textId="77777777" w:rsidTr="00131E4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884D"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rare</w:t>
            </w:r>
          </w:p>
        </w:tc>
        <w:tc>
          <w:tcPr>
            <w:tcW w:w="1337" w:type="dxa"/>
            <w:tcBorders>
              <w:top w:val="nil"/>
              <w:left w:val="nil"/>
              <w:bottom w:val="nil"/>
              <w:right w:val="nil"/>
            </w:tcBorders>
            <w:shd w:val="clear" w:color="000000" w:fill="00B0F0"/>
            <w:noWrap/>
            <w:vAlign w:val="center"/>
            <w:hideMark/>
          </w:tcPr>
          <w:p w14:paraId="0C3F884E"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w:t>
            </w:r>
          </w:p>
        </w:tc>
        <w:tc>
          <w:tcPr>
            <w:tcW w:w="1210" w:type="dxa"/>
            <w:tcBorders>
              <w:top w:val="nil"/>
              <w:left w:val="nil"/>
              <w:bottom w:val="nil"/>
              <w:right w:val="nil"/>
            </w:tcBorders>
            <w:shd w:val="clear" w:color="000000" w:fill="00B0F0"/>
            <w:noWrap/>
            <w:vAlign w:val="center"/>
            <w:hideMark/>
          </w:tcPr>
          <w:p w14:paraId="0C3F884F"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w:t>
            </w:r>
          </w:p>
        </w:tc>
        <w:tc>
          <w:tcPr>
            <w:tcW w:w="1469" w:type="dxa"/>
            <w:tcBorders>
              <w:top w:val="nil"/>
              <w:left w:val="nil"/>
              <w:bottom w:val="nil"/>
              <w:right w:val="nil"/>
            </w:tcBorders>
            <w:shd w:val="clear" w:color="000000" w:fill="1EC103"/>
            <w:noWrap/>
            <w:vAlign w:val="center"/>
            <w:hideMark/>
          </w:tcPr>
          <w:p w14:paraId="0C3F8850"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w:t>
            </w:r>
          </w:p>
        </w:tc>
      </w:tr>
      <w:tr w:rsidR="00131E41" w:rsidRPr="005F45A6" w14:paraId="0C3F8856" w14:textId="77777777" w:rsidTr="00131E4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8852"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infrequent</w:t>
            </w:r>
          </w:p>
        </w:tc>
        <w:tc>
          <w:tcPr>
            <w:tcW w:w="1337" w:type="dxa"/>
            <w:tcBorders>
              <w:top w:val="nil"/>
              <w:left w:val="nil"/>
              <w:bottom w:val="nil"/>
              <w:right w:val="nil"/>
            </w:tcBorders>
            <w:shd w:val="clear" w:color="000000" w:fill="00B0F0"/>
            <w:noWrap/>
            <w:vAlign w:val="center"/>
            <w:hideMark/>
          </w:tcPr>
          <w:p w14:paraId="0C3F8853"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w:t>
            </w:r>
          </w:p>
        </w:tc>
        <w:tc>
          <w:tcPr>
            <w:tcW w:w="1210" w:type="dxa"/>
            <w:tcBorders>
              <w:top w:val="nil"/>
              <w:left w:val="nil"/>
              <w:bottom w:val="nil"/>
              <w:right w:val="nil"/>
            </w:tcBorders>
            <w:shd w:val="clear" w:color="000000" w:fill="1EC103"/>
            <w:noWrap/>
            <w:vAlign w:val="center"/>
            <w:hideMark/>
          </w:tcPr>
          <w:p w14:paraId="0C3F8854"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w:t>
            </w:r>
          </w:p>
        </w:tc>
        <w:tc>
          <w:tcPr>
            <w:tcW w:w="1469" w:type="dxa"/>
            <w:tcBorders>
              <w:top w:val="nil"/>
              <w:left w:val="nil"/>
              <w:bottom w:val="nil"/>
              <w:right w:val="nil"/>
            </w:tcBorders>
            <w:shd w:val="clear" w:color="000000" w:fill="1EC103"/>
            <w:noWrap/>
            <w:vAlign w:val="center"/>
            <w:hideMark/>
          </w:tcPr>
          <w:p w14:paraId="0C3F8855"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w:t>
            </w:r>
          </w:p>
        </w:tc>
      </w:tr>
      <w:tr w:rsidR="00131E41" w:rsidRPr="005F45A6" w14:paraId="0C3F885B" w14:textId="77777777" w:rsidTr="00131E4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8857"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occasional</w:t>
            </w:r>
          </w:p>
        </w:tc>
        <w:tc>
          <w:tcPr>
            <w:tcW w:w="1337" w:type="dxa"/>
            <w:tcBorders>
              <w:top w:val="nil"/>
              <w:left w:val="nil"/>
              <w:bottom w:val="nil"/>
              <w:right w:val="nil"/>
            </w:tcBorders>
            <w:shd w:val="clear" w:color="000000" w:fill="1EC103"/>
            <w:noWrap/>
            <w:vAlign w:val="center"/>
            <w:hideMark/>
          </w:tcPr>
          <w:p w14:paraId="0C3F8858"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w:t>
            </w:r>
          </w:p>
        </w:tc>
        <w:tc>
          <w:tcPr>
            <w:tcW w:w="1210" w:type="dxa"/>
            <w:tcBorders>
              <w:top w:val="nil"/>
              <w:left w:val="nil"/>
              <w:bottom w:val="nil"/>
              <w:right w:val="nil"/>
            </w:tcBorders>
            <w:shd w:val="clear" w:color="000000" w:fill="1EC103"/>
            <w:noWrap/>
            <w:vAlign w:val="center"/>
            <w:hideMark/>
          </w:tcPr>
          <w:p w14:paraId="0C3F8859"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w:t>
            </w:r>
          </w:p>
        </w:tc>
        <w:tc>
          <w:tcPr>
            <w:tcW w:w="1469" w:type="dxa"/>
            <w:tcBorders>
              <w:top w:val="nil"/>
              <w:left w:val="nil"/>
              <w:bottom w:val="nil"/>
              <w:right w:val="nil"/>
            </w:tcBorders>
            <w:shd w:val="clear" w:color="000000" w:fill="FF0000"/>
            <w:noWrap/>
            <w:vAlign w:val="center"/>
            <w:hideMark/>
          </w:tcPr>
          <w:p w14:paraId="0C3F885A"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III</w:t>
            </w:r>
          </w:p>
        </w:tc>
      </w:tr>
      <w:tr w:rsidR="00131E41" w:rsidRPr="005F45A6" w14:paraId="0C3F8860" w14:textId="77777777" w:rsidTr="00131E4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885C"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frequent</w:t>
            </w:r>
          </w:p>
        </w:tc>
        <w:tc>
          <w:tcPr>
            <w:tcW w:w="1337" w:type="dxa"/>
            <w:tcBorders>
              <w:top w:val="nil"/>
              <w:left w:val="nil"/>
              <w:bottom w:val="nil"/>
              <w:right w:val="nil"/>
            </w:tcBorders>
            <w:shd w:val="clear" w:color="000000" w:fill="1EC103"/>
            <w:noWrap/>
            <w:vAlign w:val="center"/>
            <w:hideMark/>
          </w:tcPr>
          <w:p w14:paraId="0C3F885D"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w:t>
            </w:r>
          </w:p>
        </w:tc>
        <w:tc>
          <w:tcPr>
            <w:tcW w:w="1210" w:type="dxa"/>
            <w:tcBorders>
              <w:top w:val="nil"/>
              <w:left w:val="nil"/>
              <w:bottom w:val="nil"/>
              <w:right w:val="nil"/>
            </w:tcBorders>
            <w:shd w:val="clear" w:color="000000" w:fill="FF0000"/>
            <w:noWrap/>
            <w:vAlign w:val="center"/>
            <w:hideMark/>
          </w:tcPr>
          <w:p w14:paraId="0C3F885E"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III</w:t>
            </w:r>
          </w:p>
        </w:tc>
        <w:tc>
          <w:tcPr>
            <w:tcW w:w="1469" w:type="dxa"/>
            <w:tcBorders>
              <w:top w:val="nil"/>
              <w:left w:val="nil"/>
              <w:bottom w:val="nil"/>
              <w:right w:val="nil"/>
            </w:tcBorders>
            <w:shd w:val="clear" w:color="000000" w:fill="FF0000"/>
            <w:noWrap/>
            <w:vAlign w:val="center"/>
            <w:hideMark/>
          </w:tcPr>
          <w:p w14:paraId="0C3F885F"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III</w:t>
            </w:r>
          </w:p>
        </w:tc>
      </w:tr>
      <w:tr w:rsidR="00131E41" w:rsidRPr="005F45A6" w14:paraId="0C3F8865" w14:textId="77777777" w:rsidTr="00131E41">
        <w:trPr>
          <w:trHeight w:val="300"/>
          <w:jc w:val="center"/>
        </w:trPr>
        <w:tc>
          <w:tcPr>
            <w:tcW w:w="1400" w:type="dxa"/>
            <w:tcBorders>
              <w:top w:val="nil"/>
              <w:left w:val="nil"/>
              <w:bottom w:val="nil"/>
              <w:right w:val="single" w:sz="4" w:space="0" w:color="auto"/>
            </w:tcBorders>
            <w:shd w:val="clear" w:color="auto" w:fill="auto"/>
            <w:noWrap/>
            <w:vAlign w:val="center"/>
            <w:hideMark/>
          </w:tcPr>
          <w:p w14:paraId="0C3F8861" w14:textId="77777777" w:rsidR="00131E41" w:rsidRPr="005F45A6" w:rsidRDefault="00131E41" w:rsidP="00131E41">
            <w:pPr>
              <w:spacing w:after="0"/>
              <w:jc w:val="center"/>
              <w:rPr>
                <w:rFonts w:ascii="Calibri" w:hAnsi="Calibri" w:cs="Calibri"/>
                <w:b/>
                <w:bCs/>
                <w:color w:val="000000" w:themeColor="text1"/>
                <w:sz w:val="20"/>
                <w:szCs w:val="20"/>
              </w:rPr>
            </w:pPr>
            <w:r w:rsidRPr="005F45A6">
              <w:rPr>
                <w:rFonts w:ascii="Calibri" w:hAnsi="Calibri" w:cs="Calibri"/>
                <w:b/>
                <w:bCs/>
                <w:color w:val="000000" w:themeColor="text1"/>
                <w:sz w:val="20"/>
                <w:szCs w:val="20"/>
              </w:rPr>
              <w:t>very frequent</w:t>
            </w:r>
          </w:p>
        </w:tc>
        <w:tc>
          <w:tcPr>
            <w:tcW w:w="1337" w:type="dxa"/>
            <w:tcBorders>
              <w:top w:val="nil"/>
              <w:left w:val="nil"/>
              <w:bottom w:val="nil"/>
              <w:right w:val="nil"/>
            </w:tcBorders>
            <w:shd w:val="clear" w:color="000000" w:fill="FF0000"/>
            <w:noWrap/>
            <w:vAlign w:val="center"/>
            <w:hideMark/>
          </w:tcPr>
          <w:p w14:paraId="0C3F8862"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III</w:t>
            </w:r>
          </w:p>
        </w:tc>
        <w:tc>
          <w:tcPr>
            <w:tcW w:w="1210" w:type="dxa"/>
            <w:tcBorders>
              <w:top w:val="nil"/>
              <w:left w:val="nil"/>
              <w:bottom w:val="nil"/>
              <w:right w:val="nil"/>
            </w:tcBorders>
            <w:shd w:val="clear" w:color="000000" w:fill="FF0000"/>
            <w:noWrap/>
            <w:vAlign w:val="center"/>
            <w:hideMark/>
          </w:tcPr>
          <w:p w14:paraId="0C3F8863"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III</w:t>
            </w:r>
          </w:p>
        </w:tc>
        <w:tc>
          <w:tcPr>
            <w:tcW w:w="1469" w:type="dxa"/>
            <w:tcBorders>
              <w:top w:val="nil"/>
              <w:left w:val="nil"/>
              <w:bottom w:val="nil"/>
              <w:right w:val="nil"/>
            </w:tcBorders>
            <w:shd w:val="clear" w:color="000000" w:fill="C00000"/>
            <w:noWrap/>
            <w:vAlign w:val="center"/>
            <w:hideMark/>
          </w:tcPr>
          <w:p w14:paraId="0C3F8864" w14:textId="77777777" w:rsidR="00131E41" w:rsidRPr="005F45A6" w:rsidRDefault="00131E41" w:rsidP="00131E41">
            <w:pPr>
              <w:spacing w:after="0"/>
              <w:jc w:val="center"/>
              <w:rPr>
                <w:rFonts w:ascii="Calibri" w:hAnsi="Calibri" w:cs="Calibri"/>
                <w:color w:val="000000" w:themeColor="text1"/>
                <w:sz w:val="20"/>
                <w:szCs w:val="20"/>
              </w:rPr>
            </w:pPr>
            <w:r>
              <w:rPr>
                <w:rFonts w:ascii="Calibri" w:hAnsi="Calibri" w:cs="Calibri"/>
                <w:color w:val="000000" w:themeColor="text1"/>
                <w:sz w:val="20"/>
                <w:szCs w:val="20"/>
              </w:rPr>
              <w:t>IV</w:t>
            </w:r>
          </w:p>
        </w:tc>
      </w:tr>
    </w:tbl>
    <w:p w14:paraId="0C3F8866" w14:textId="77777777" w:rsidR="00131E41" w:rsidRPr="00C97CC0" w:rsidRDefault="00131E41" w:rsidP="00131E41">
      <w:pPr>
        <w:rPr>
          <w:rFonts w:ascii="Calibri" w:eastAsia="Calibri" w:hAnsi="Calibri" w:cs="Times New Roman"/>
          <w:lang w:eastAsia="en-US"/>
        </w:rPr>
      </w:pPr>
    </w:p>
    <w:p w14:paraId="0C3F8867" w14:textId="77777777" w:rsidR="00131E41" w:rsidRPr="00C97CC0" w:rsidRDefault="00131E41" w:rsidP="00131E41">
      <w:pPr>
        <w:rPr>
          <w:rFonts w:ascii="Calibri" w:eastAsia="Calibri" w:hAnsi="Calibri" w:cs="Times New Roman"/>
          <w:lang w:eastAsia="en-US"/>
        </w:rPr>
      </w:pPr>
      <w:r w:rsidRPr="00C97CC0">
        <w:rPr>
          <w:rFonts w:ascii="Calibri" w:eastAsia="Calibri" w:hAnsi="Calibri" w:cs="Times New Roman"/>
          <w:lang w:eastAsia="en-US"/>
        </w:rPr>
        <w:t>This risk matrix assumes that potential risk level for GBR ecosystems can be ranked in four qualitative categories (</w:t>
      </w:r>
      <w:r>
        <w:rPr>
          <w:rFonts w:ascii="Calibri" w:eastAsia="Calibri" w:hAnsi="Calibri" w:cs="Times New Roman"/>
          <w:lang w:eastAsia="en-US"/>
        </w:rPr>
        <w:t>I, II, III, IV</w:t>
      </w:r>
      <w:r w:rsidRPr="00C97CC0">
        <w:rPr>
          <w:rFonts w:ascii="Calibri" w:eastAsia="Calibri" w:hAnsi="Calibri" w:cs="Times New Roman"/>
          <w:lang w:eastAsia="en-US"/>
        </w:rPr>
        <w:t>) determined by the combination of the magnitude (i.e., the estimated level of land-sourced pollutants in flood plume) and the likelihood (i.e. the frequency of occurrence) of the river plume risk (modified from Castillo et al., 2012). Potential risk maps were produced in Arcgis and a 4 pixel majority filter used to smooth the final maps. The term ‘potential’ is used as risk maps haven’t been yet validated against ecological health data to confirm the ecological consequences of the risk, i.e., the risk ranking in</w:t>
      </w:r>
      <w:r>
        <w:rPr>
          <w:rFonts w:ascii="Calibri" w:eastAsia="Calibri" w:hAnsi="Calibri" w:cs="Times New Roman"/>
          <w:lang w:eastAsia="en-US"/>
        </w:rPr>
        <w:t xml:space="preserv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_Ref428881514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t xml:space="preserve">Table </w:t>
      </w:r>
      <w:r w:rsidR="00B62B50">
        <w:rPr>
          <w:noProof/>
        </w:rPr>
        <w:t>5</w:t>
      </w:r>
      <w:r w:rsidR="00B62B50">
        <w:noBreakHyphen/>
      </w:r>
      <w:r w:rsidR="00B62B50">
        <w:rPr>
          <w:noProof/>
        </w:rPr>
        <w:t>1</w:t>
      </w:r>
      <w:r>
        <w:rPr>
          <w:rFonts w:ascii="Calibri" w:eastAsia="Calibri" w:hAnsi="Calibri" w:cs="Times New Roman"/>
          <w:lang w:eastAsia="en-US"/>
        </w:rPr>
        <w:fldChar w:fldCharType="end"/>
      </w:r>
      <w:r w:rsidRPr="00C97CC0">
        <w:rPr>
          <w:rFonts w:ascii="Calibri" w:eastAsia="Calibri" w:hAnsi="Calibri" w:cs="Times New Roman"/>
          <w:lang w:eastAsia="en-US"/>
        </w:rPr>
        <w:t xml:space="preserve"> (</w:t>
      </w:r>
      <w:r>
        <w:rPr>
          <w:rFonts w:ascii="Calibri" w:eastAsia="Calibri" w:hAnsi="Calibri" w:cs="Times New Roman"/>
          <w:lang w:eastAsia="en-US"/>
        </w:rPr>
        <w:t>I, II, III, IV</w:t>
      </w:r>
      <w:r w:rsidRPr="00C97CC0">
        <w:rPr>
          <w:rFonts w:ascii="Calibri" w:eastAsia="Calibri" w:hAnsi="Calibri" w:cs="Times New Roman"/>
          <w:lang w:eastAsia="en-US"/>
        </w:rPr>
        <w:t>) given a combination of magnitude and likelihood is, at this stage, theoretical.</w:t>
      </w:r>
    </w:p>
    <w:p w14:paraId="0C3F8868" w14:textId="77777777" w:rsidR="00131E41" w:rsidRPr="000879B8" w:rsidRDefault="00131E41" w:rsidP="00131E41">
      <w:pPr>
        <w:pStyle w:val="Heading3"/>
        <w:numPr>
          <w:ilvl w:val="2"/>
          <w:numId w:val="3"/>
        </w:numPr>
        <w:rPr>
          <w:bCs/>
          <w:iCs/>
        </w:rPr>
      </w:pPr>
      <w:bookmarkStart w:id="165" w:name="_Toc434208008"/>
      <w:r w:rsidRPr="000879B8">
        <w:rPr>
          <w:bCs/>
          <w:iCs/>
        </w:rPr>
        <w:t>Exposure of GBR ecosystems to river plumes</w:t>
      </w:r>
      <w:bookmarkEnd w:id="165"/>
    </w:p>
    <w:p w14:paraId="0C3F8869" w14:textId="77777777" w:rsidR="00131E41" w:rsidRPr="00C05222" w:rsidRDefault="00131E41" w:rsidP="00C05222">
      <w:pPr>
        <w:rPr>
          <w:rFonts w:eastAsia="Calibri"/>
          <w:lang w:eastAsia="en-US"/>
        </w:rPr>
      </w:pPr>
      <w:r w:rsidRPr="00C05222">
        <w:rPr>
          <w:rFonts w:eastAsia="Calibri"/>
          <w:lang w:eastAsia="en-US"/>
        </w:rPr>
        <w:t xml:space="preserve">RS products designed from both TC and L2 methods help to evaluate the level of exposure of the coral reefs and seagrass meadows to river plumes and land-sourced contaminants during the wet season (e.g., Petus et al., 2014b). These mapping outputs are used to define the exposure of GBR ecosystems (coral reefs and seagrass meadows) to river plumes and anthropogenic WQ exposure. The exposure of GBR marine ecosystems is expressed simply as the area (km2) and percentage (%) of coral reefs and seagrass meadows exposed to river plume and exposed to the different categories (I, II, III, IV) of potential risk from river plume exposure. Areas of GBR waters within each marine NRM region exposed to river plume and river plume risk are also reported in recognition of other important habitats and populations that exist in these areas (Brodie et al., 2013). </w:t>
      </w:r>
      <w:r w:rsidRPr="00C05222">
        <w:rPr>
          <w:rFonts w:eastAsia="Calibri"/>
          <w:lang w:eastAsia="en-US"/>
        </w:rPr>
        <w:fldChar w:fldCharType="begin"/>
      </w:r>
      <w:r w:rsidRPr="00C05222">
        <w:rPr>
          <w:rFonts w:eastAsia="Calibri"/>
          <w:lang w:eastAsia="en-US"/>
        </w:rPr>
        <w:instrText xml:space="preserve"> REF _Ref432671074 \h </w:instrText>
      </w:r>
      <w:r w:rsidR="00C05222">
        <w:rPr>
          <w:rFonts w:eastAsia="Calibri"/>
          <w:lang w:eastAsia="en-US"/>
        </w:rPr>
        <w:instrText xml:space="preserve"> \* MERGEFORMAT </w:instrText>
      </w:r>
      <w:r w:rsidRPr="00C05222">
        <w:rPr>
          <w:rFonts w:eastAsia="Calibri"/>
          <w:lang w:eastAsia="en-US"/>
        </w:rPr>
      </w:r>
      <w:r w:rsidRPr="00C05222">
        <w:rPr>
          <w:rFonts w:eastAsia="Calibri"/>
          <w:lang w:eastAsia="en-US"/>
        </w:rPr>
        <w:fldChar w:fldCharType="separate"/>
      </w:r>
      <w:r w:rsidR="00B62B50" w:rsidRPr="00B62B50">
        <w:rPr>
          <w:rFonts w:eastAsia="Calibri"/>
          <w:lang w:eastAsia="en-US"/>
        </w:rPr>
        <w:t>Figure 5</w:t>
      </w:r>
      <w:r w:rsidR="00B62B50" w:rsidRPr="00B62B50">
        <w:rPr>
          <w:rFonts w:eastAsia="Calibri"/>
          <w:lang w:eastAsia="en-US"/>
        </w:rPr>
        <w:noBreakHyphen/>
        <w:t>2</w:t>
      </w:r>
      <w:r w:rsidRPr="00C05222">
        <w:rPr>
          <w:rFonts w:eastAsia="Calibri"/>
          <w:lang w:eastAsia="en-US"/>
        </w:rPr>
        <w:fldChar w:fldCharType="end"/>
      </w:r>
      <w:r w:rsidRPr="00C05222">
        <w:rPr>
          <w:rFonts w:eastAsia="Calibri"/>
          <w:lang w:eastAsia="en-US"/>
        </w:rPr>
        <w:t xml:space="preserve"> and </w:t>
      </w:r>
      <w:r w:rsidRPr="00C05222">
        <w:rPr>
          <w:rFonts w:eastAsia="Calibri"/>
          <w:lang w:eastAsia="en-US"/>
        </w:rPr>
        <w:fldChar w:fldCharType="begin"/>
      </w:r>
      <w:r w:rsidRPr="00C05222">
        <w:rPr>
          <w:rFonts w:eastAsia="Calibri"/>
          <w:lang w:eastAsia="en-US"/>
        </w:rPr>
        <w:instrText xml:space="preserve"> REF _Ref432671080 \h </w:instrText>
      </w:r>
      <w:r w:rsidR="00C05222">
        <w:rPr>
          <w:rFonts w:eastAsia="Calibri"/>
          <w:lang w:eastAsia="en-US"/>
        </w:rPr>
        <w:instrText xml:space="preserve"> \* MERGEFORMAT </w:instrText>
      </w:r>
      <w:r w:rsidRPr="00C05222">
        <w:rPr>
          <w:rFonts w:eastAsia="Calibri"/>
          <w:lang w:eastAsia="en-US"/>
        </w:rPr>
      </w:r>
      <w:r w:rsidRPr="00C05222">
        <w:rPr>
          <w:rFonts w:eastAsia="Calibri"/>
          <w:lang w:eastAsia="en-US"/>
        </w:rPr>
        <w:fldChar w:fldCharType="separate"/>
      </w:r>
      <w:r w:rsidR="00B62B50" w:rsidRPr="00DF1C49">
        <w:rPr>
          <w:rFonts w:eastAsia="Calibri"/>
          <w:lang w:eastAsia="en-US"/>
        </w:rPr>
        <w:t xml:space="preserve">Figure </w:t>
      </w:r>
      <w:r w:rsidR="00B62B50">
        <w:rPr>
          <w:rFonts w:eastAsia="Calibri"/>
          <w:lang w:eastAsia="en-US"/>
        </w:rPr>
        <w:t>5</w:t>
      </w:r>
      <w:r w:rsidR="00B62B50">
        <w:rPr>
          <w:rFonts w:eastAsia="Calibri"/>
          <w:lang w:eastAsia="en-US"/>
        </w:rPr>
        <w:noBreakHyphen/>
        <w:t>3</w:t>
      </w:r>
      <w:r w:rsidRPr="00C05222">
        <w:rPr>
          <w:rFonts w:eastAsia="Calibri"/>
          <w:lang w:eastAsia="en-US"/>
        </w:rPr>
        <w:fldChar w:fldCharType="end"/>
      </w:r>
      <w:r w:rsidRPr="00C05222">
        <w:rPr>
          <w:rFonts w:eastAsia="Calibri"/>
          <w:lang w:eastAsia="en-US"/>
        </w:rPr>
        <w:t xml:space="preserve"> present the marine boundaries used for the GBR Marine Park, each NRM region and the seagrass and coral reefs ecosystems. </w:t>
      </w:r>
    </w:p>
    <w:p w14:paraId="0C3F886A" w14:textId="77777777" w:rsidR="00131E41" w:rsidRPr="00ED3D85" w:rsidRDefault="00131E41" w:rsidP="00131E41">
      <w:pPr>
        <w:rPr>
          <w:rFonts w:eastAsia="Calibri"/>
          <w:lang w:eastAsia="en-US"/>
        </w:rPr>
      </w:pPr>
      <w:r>
        <w:rPr>
          <w:rFonts w:eastAsia="Calibri"/>
          <w:lang w:eastAsia="en-US"/>
        </w:rPr>
        <w:t xml:space="preserve">We assumed in this study that the shapefile can be used as a representation of the actual seagrass distribution. </w:t>
      </w:r>
      <w:r w:rsidRPr="00DF1C49">
        <w:rPr>
          <w:rFonts w:eastAsia="Calibri"/>
          <w:lang w:eastAsia="en-US"/>
        </w:rPr>
        <w:t>Spatial distribution of the deepwater seagrass is a statistically mode</w:t>
      </w:r>
      <w:r>
        <w:rPr>
          <w:rFonts w:eastAsia="Calibri"/>
          <w:lang w:eastAsia="en-US"/>
        </w:rPr>
        <w:t>l</w:t>
      </w:r>
      <w:r w:rsidRPr="00DF1C49">
        <w:rPr>
          <w:rFonts w:eastAsia="Calibri"/>
          <w:lang w:eastAsia="en-US"/>
        </w:rPr>
        <w:t>led pro</w:t>
      </w:r>
      <w:r>
        <w:rPr>
          <w:rFonts w:eastAsia="Calibri"/>
          <w:lang w:eastAsia="en-US"/>
        </w:rPr>
        <w:t>b</w:t>
      </w:r>
      <w:r w:rsidRPr="00DF1C49">
        <w:rPr>
          <w:rFonts w:eastAsia="Calibri"/>
          <w:lang w:eastAsia="en-US"/>
        </w:rPr>
        <w:t>ability of seagrass presence (using generalized additive models (GAMs) with binomial error and smoothed terms in relative distance across and along the GBR) in GBRWHA wat</w:t>
      </w:r>
      <w:r>
        <w:rPr>
          <w:rFonts w:eastAsia="Calibri"/>
          <w:lang w:eastAsia="en-US"/>
        </w:rPr>
        <w:t>ers &gt;15m depth, based on ground-truthing of each data point</w:t>
      </w:r>
      <w:r w:rsidRPr="00DF1C49">
        <w:rPr>
          <w:rFonts w:eastAsia="Calibri"/>
          <w:lang w:eastAsia="en-US"/>
        </w:rPr>
        <w:t>. For details on approach, see Coles et al. (2009).</w:t>
      </w:r>
    </w:p>
    <w:p w14:paraId="0C3F886B" w14:textId="77777777" w:rsidR="00131E41" w:rsidRDefault="00131E41" w:rsidP="00131E41">
      <w:pPr>
        <w:rPr>
          <w:rFonts w:ascii="Calibri" w:eastAsia="Calibri" w:hAnsi="Calibri" w:cs="Times New Roman"/>
          <w:lang w:eastAsia="en-US"/>
        </w:rPr>
      </w:pPr>
      <w:r w:rsidRPr="00DF1C49">
        <w:rPr>
          <w:rFonts w:ascii="Calibri" w:eastAsia="Calibri" w:hAnsi="Calibri" w:cs="Times New Roman"/>
          <w:lang w:eastAsia="en-US"/>
        </w:rPr>
        <w:t>These mapping outputs are used to define the exposure of GBR ecosystems (coral reefs and seagrass meadows) to river plumes and anthropogenic WQ exposure. The exposure of GBR marine ecosystems is expressed simply as the area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and percentage (%) of coral reefs and seagrass meadows exposed to</w:t>
      </w:r>
      <w:r>
        <w:rPr>
          <w:rFonts w:ascii="Calibri" w:eastAsia="Calibri" w:hAnsi="Calibri" w:cs="Times New Roman"/>
          <w:lang w:eastAsia="en-US"/>
        </w:rPr>
        <w:t xml:space="preserve"> river plume and exposed to the different categories (</w:t>
      </w:r>
      <w:r w:rsidR="001E79B7">
        <w:rPr>
          <w:rFonts w:ascii="Calibri" w:eastAsia="Calibri" w:hAnsi="Calibri" w:cs="Times New Roman"/>
          <w:lang w:eastAsia="en-US"/>
        </w:rPr>
        <w:t>I to IV</w:t>
      </w:r>
      <w:r>
        <w:rPr>
          <w:rFonts w:ascii="Calibri" w:eastAsia="Calibri" w:hAnsi="Calibri" w:cs="Times New Roman"/>
          <w:lang w:eastAsia="en-US"/>
        </w:rPr>
        <w:t xml:space="preserve">) of potential </w:t>
      </w:r>
      <w:r w:rsidRPr="00DF1C49">
        <w:rPr>
          <w:rFonts w:ascii="Calibri" w:eastAsia="Calibri" w:hAnsi="Calibri" w:cs="Times New Roman"/>
          <w:lang w:eastAsia="en-US"/>
        </w:rPr>
        <w:t>risk</w:t>
      </w:r>
      <w:r>
        <w:rPr>
          <w:rFonts w:ascii="Calibri" w:eastAsia="Calibri" w:hAnsi="Calibri" w:cs="Times New Roman"/>
          <w:lang w:eastAsia="en-US"/>
        </w:rPr>
        <w:t xml:space="preserve"> from river plume exposure</w:t>
      </w:r>
      <w:r w:rsidRPr="00DF1C49">
        <w:rPr>
          <w:rFonts w:ascii="Calibri" w:eastAsia="Calibri" w:hAnsi="Calibri" w:cs="Times New Roman"/>
          <w:lang w:eastAsia="en-US"/>
        </w:rPr>
        <w:t xml:space="preserve">. Areas of GBR waters within each marine NRM region exposed to river plume and river plume risk are also reported in recognition of other important habitats and populations that exist in these areas (Brodie et al., 2013). </w:t>
      </w:r>
      <w:r w:rsidRPr="00DF1C49">
        <w:rPr>
          <w:rFonts w:ascii="Calibri" w:eastAsia="Calibri" w:hAnsi="Calibri" w:cs="Times New Roman"/>
          <w:lang w:eastAsia="en-US"/>
        </w:rPr>
        <w:fldChar w:fldCharType="begin"/>
      </w:r>
      <w:r w:rsidRPr="00DF1C49">
        <w:rPr>
          <w:rFonts w:ascii="Calibri" w:eastAsia="Calibri" w:hAnsi="Calibri" w:cs="Times New Roman"/>
          <w:lang w:eastAsia="en-US"/>
        </w:rPr>
        <w:instrText xml:space="preserve"> REF _Ref377039340 \h  \* MERGEFORMAT </w:instrText>
      </w:r>
      <w:r w:rsidRPr="00DF1C49">
        <w:rPr>
          <w:rFonts w:ascii="Calibri" w:eastAsia="Calibri" w:hAnsi="Calibri" w:cs="Times New Roman"/>
          <w:lang w:eastAsia="en-US"/>
        </w:rPr>
      </w:r>
      <w:r w:rsidRPr="00DF1C49">
        <w:rPr>
          <w:rFonts w:ascii="Calibri" w:eastAsia="Calibri" w:hAnsi="Calibri" w:cs="Times New Roman"/>
          <w:lang w:eastAsia="en-US"/>
        </w:rPr>
        <w:fldChar w:fldCharType="separate"/>
      </w:r>
      <w:r w:rsidR="00B62B50">
        <w:rPr>
          <w:rFonts w:ascii="Calibri" w:eastAsia="Calibri" w:hAnsi="Calibri" w:cs="Times New Roman"/>
          <w:b/>
          <w:bCs/>
          <w:lang w:val="en-US" w:eastAsia="en-US"/>
        </w:rPr>
        <w:t>Error! Reference source not found.</w:t>
      </w:r>
      <w:r w:rsidRPr="00DF1C49">
        <w:rPr>
          <w:rFonts w:ascii="Calibri" w:eastAsia="Calibri" w:hAnsi="Calibri" w:cs="Times New Roman"/>
          <w:lang w:eastAsia="en-US"/>
        </w:rPr>
        <w:fldChar w:fldCharType="end"/>
      </w:r>
      <w:r w:rsidRPr="00DF1C49">
        <w:rPr>
          <w:rFonts w:ascii="Calibri" w:eastAsia="Calibri" w:hAnsi="Calibri" w:cs="Times New Roman"/>
          <w:lang w:eastAsia="en-US"/>
        </w:rPr>
        <w:t xml:space="preserve"> and </w:t>
      </w:r>
      <w:r w:rsidRPr="00DF1C49">
        <w:rPr>
          <w:rFonts w:ascii="Calibri" w:eastAsia="Calibri" w:hAnsi="Calibri" w:cs="Times New Roman"/>
          <w:lang w:eastAsia="en-US"/>
        </w:rPr>
        <w:fldChar w:fldCharType="begin"/>
      </w:r>
      <w:r w:rsidRPr="00DF1C49">
        <w:rPr>
          <w:rFonts w:ascii="Calibri" w:eastAsia="Calibri" w:hAnsi="Calibri" w:cs="Times New Roman"/>
          <w:lang w:eastAsia="en-US"/>
        </w:rPr>
        <w:instrText xml:space="preserve"> REF _Ref377039362 \h  \* MERGEFORMAT </w:instrText>
      </w:r>
      <w:r w:rsidRPr="00DF1C49">
        <w:rPr>
          <w:rFonts w:ascii="Calibri" w:eastAsia="Calibri" w:hAnsi="Calibri" w:cs="Times New Roman"/>
          <w:lang w:eastAsia="en-US"/>
        </w:rPr>
      </w:r>
      <w:r w:rsidRPr="00DF1C49">
        <w:rPr>
          <w:rFonts w:ascii="Calibri" w:eastAsia="Calibri" w:hAnsi="Calibri" w:cs="Times New Roman"/>
          <w:lang w:eastAsia="en-US"/>
        </w:rPr>
        <w:fldChar w:fldCharType="separate"/>
      </w:r>
      <w:r w:rsidR="00B62B50">
        <w:rPr>
          <w:rFonts w:ascii="Calibri" w:eastAsia="Calibri" w:hAnsi="Calibri" w:cs="Times New Roman"/>
          <w:b/>
          <w:bCs/>
          <w:lang w:val="en-US" w:eastAsia="en-US"/>
        </w:rPr>
        <w:t>Error! Reference source not found.</w:t>
      </w:r>
      <w:r w:rsidRPr="00DF1C49">
        <w:rPr>
          <w:rFonts w:ascii="Calibri" w:eastAsia="Calibri" w:hAnsi="Calibri" w:cs="Times New Roman"/>
          <w:lang w:eastAsia="en-US"/>
        </w:rPr>
        <w:fldChar w:fldCharType="end"/>
      </w:r>
      <w:r w:rsidRPr="00DF1C49">
        <w:rPr>
          <w:rFonts w:ascii="Calibri" w:eastAsia="Calibri" w:hAnsi="Calibri" w:cs="Times New Roman"/>
          <w:lang w:eastAsia="en-US"/>
        </w:rPr>
        <w:t xml:space="preserve"> present the marine boundaries used for the GBR Marine Park, each NRM region and the seagrass and coral reefs ecosystems. </w:t>
      </w:r>
    </w:p>
    <w:p w14:paraId="0C3F886C" w14:textId="77777777" w:rsidR="00131E41" w:rsidRDefault="00131E41" w:rsidP="00131E41">
      <w:pPr>
        <w:rPr>
          <w:rFonts w:ascii="Calibri" w:eastAsia="Calibri" w:hAnsi="Calibri" w:cs="Times New Roman"/>
          <w:lang w:eastAsia="en-US"/>
        </w:rPr>
      </w:pPr>
      <w:r w:rsidRPr="00DF1C49">
        <w:rPr>
          <w:rFonts w:ascii="Calibri" w:eastAsia="Calibri" w:hAnsi="Calibri" w:cs="Times New Roman"/>
          <w:noProof/>
        </w:rPr>
        <w:drawing>
          <wp:anchor distT="0" distB="0" distL="114300" distR="114300" simplePos="0" relativeHeight="251786240" behindDoc="0" locked="0" layoutInCell="1" allowOverlap="1" wp14:anchorId="0C3F9005" wp14:editId="0C3F9006">
            <wp:simplePos x="0" y="0"/>
            <wp:positionH relativeFrom="column">
              <wp:posOffset>-4445</wp:posOffset>
            </wp:positionH>
            <wp:positionV relativeFrom="paragraph">
              <wp:posOffset>314325</wp:posOffset>
            </wp:positionV>
            <wp:extent cx="3956050" cy="4036695"/>
            <wp:effectExtent l="19050" t="19050" r="25400" b="20955"/>
            <wp:wrapSquare wrapText="bothSides"/>
            <wp:docPr id="77" name="Picture 3" descr="Marine boundaries used for the GBR Marine Park (a), each NRM region and the coral reefs ecosystems. Coral Reef and NRM layers derived from: GBRMPA, 2013, GBR feature shapefiles and enlargements around (b) the Tully-Herbert Rivers and (c) the Burdekin river. " title="Marine boundaries used for the GBR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56050" cy="4036695"/>
                    </a:xfrm>
                    <a:prstGeom prst="rect">
                      <a:avLst/>
                    </a:prstGeom>
                    <a:solidFill>
                      <a:sysClr val="window" lastClr="FFFFFF"/>
                    </a:solidFill>
                    <a:ln>
                      <a:solidFill>
                        <a:schemeClr val="tx1"/>
                      </a:solidFill>
                    </a:ln>
                  </pic:spPr>
                </pic:pic>
              </a:graphicData>
            </a:graphic>
            <wp14:sizeRelH relativeFrom="page">
              <wp14:pctWidth>0</wp14:pctWidth>
            </wp14:sizeRelH>
            <wp14:sizeRelV relativeFrom="page">
              <wp14:pctHeight>0</wp14:pctHeight>
            </wp14:sizeRelV>
          </wp:anchor>
        </w:drawing>
      </w:r>
    </w:p>
    <w:p w14:paraId="0C3F886D" w14:textId="77777777" w:rsidR="00131E41" w:rsidRPr="00DF1C49" w:rsidRDefault="00131E41" w:rsidP="00131E41">
      <w:pPr>
        <w:rPr>
          <w:rFonts w:ascii="Calibri" w:eastAsia="Calibri" w:hAnsi="Calibri" w:cs="Times New Roman"/>
          <w:lang w:eastAsia="en-US"/>
        </w:rPr>
      </w:pPr>
    </w:p>
    <w:p w14:paraId="0C3F886E" w14:textId="77777777" w:rsidR="00131E41" w:rsidRDefault="00131E41" w:rsidP="00131E41">
      <w:pPr>
        <w:pStyle w:val="Caption"/>
        <w:rPr>
          <w:rFonts w:eastAsia="Calibri"/>
        </w:rPr>
      </w:pPr>
      <w:bookmarkStart w:id="166" w:name="_Ref432671074"/>
      <w:bookmarkStart w:id="167" w:name="_Toc427833269"/>
      <w:bookmarkStart w:id="168" w:name="_Toc434208038"/>
      <w:r w:rsidRPr="00E11FA7">
        <w:t xml:space="preserve">Figure </w:t>
      </w:r>
      <w:r w:rsidR="00D243CD">
        <w:fldChar w:fldCharType="begin"/>
      </w:r>
      <w:r w:rsidR="00D243CD">
        <w:instrText xml:space="preserve"> STYLEREF 1 \s </w:instrText>
      </w:r>
      <w:r w:rsidR="00D243CD">
        <w:fldChar w:fldCharType="separate"/>
      </w:r>
      <w:r w:rsidR="00B62B50">
        <w:rPr>
          <w:noProof/>
        </w:rPr>
        <w:t>5</w:t>
      </w:r>
      <w:r w:rsidR="00D243CD">
        <w:fldChar w:fldCharType="end"/>
      </w:r>
      <w:r w:rsidR="00D243CD">
        <w:noBreakHyphen/>
      </w:r>
      <w:r w:rsidR="00D243CD">
        <w:fldChar w:fldCharType="begin"/>
      </w:r>
      <w:r w:rsidR="00D243CD">
        <w:instrText xml:space="preserve"> SEQ Figure \* ARABIC \s 1 </w:instrText>
      </w:r>
      <w:r w:rsidR="00D243CD">
        <w:fldChar w:fldCharType="separate"/>
      </w:r>
      <w:r w:rsidR="00B62B50">
        <w:rPr>
          <w:noProof/>
        </w:rPr>
        <w:t>2</w:t>
      </w:r>
      <w:r w:rsidR="00D243CD">
        <w:fldChar w:fldCharType="end"/>
      </w:r>
      <w:bookmarkEnd w:id="166"/>
      <w:r w:rsidRPr="00E11FA7">
        <w:t xml:space="preserve">: </w:t>
      </w:r>
      <w:r w:rsidRPr="00E11FA7">
        <w:rPr>
          <w:rFonts w:eastAsia="Calibri"/>
        </w:rPr>
        <w:t>Marine boundaries used for the GBR Marine Park (a), each NRM region and the coral reefs ecosystems. Coral Reef and NRM layers derived from: GBRMPA, 2013, GBR feature shapefiles and enlargements around (b) the Tully-Herbert Rivers and (c) the Burdekin river.</w:t>
      </w:r>
      <w:bookmarkEnd w:id="167"/>
      <w:bookmarkEnd w:id="168"/>
      <w:r w:rsidRPr="00E11FA7">
        <w:rPr>
          <w:rFonts w:eastAsia="Calibri"/>
        </w:rPr>
        <w:t xml:space="preserve"> </w:t>
      </w:r>
    </w:p>
    <w:p w14:paraId="0C3F886F" w14:textId="77777777" w:rsidR="00131E41" w:rsidRDefault="00131E41" w:rsidP="00131E41">
      <w:pPr>
        <w:rPr>
          <w:rFonts w:eastAsia="Calibri"/>
          <w:lang w:val="en-GB" w:eastAsia="en-US"/>
        </w:rPr>
      </w:pPr>
    </w:p>
    <w:p w14:paraId="0C3F8870" w14:textId="77777777" w:rsidR="00131E41" w:rsidRDefault="00131E41" w:rsidP="00131E41">
      <w:pPr>
        <w:rPr>
          <w:rFonts w:eastAsia="Calibri"/>
          <w:lang w:val="en-GB" w:eastAsia="en-US"/>
        </w:rPr>
      </w:pPr>
    </w:p>
    <w:p w14:paraId="0C3F8871" w14:textId="77777777" w:rsidR="00131E41" w:rsidRDefault="00131E41" w:rsidP="00131E41">
      <w:pPr>
        <w:rPr>
          <w:rFonts w:eastAsia="Calibri"/>
          <w:lang w:val="en-GB" w:eastAsia="en-US"/>
        </w:rPr>
      </w:pPr>
    </w:p>
    <w:p w14:paraId="0C3F8872" w14:textId="77777777" w:rsidR="00131E41" w:rsidRDefault="00131E41" w:rsidP="00131E41">
      <w:pPr>
        <w:rPr>
          <w:rFonts w:eastAsia="Calibri"/>
          <w:lang w:val="en-GB" w:eastAsia="en-US"/>
        </w:rPr>
      </w:pPr>
    </w:p>
    <w:p w14:paraId="0C3F8873" w14:textId="77777777" w:rsidR="00131E41" w:rsidRDefault="00131E41" w:rsidP="00131E41">
      <w:pPr>
        <w:rPr>
          <w:rFonts w:eastAsia="Calibri"/>
          <w:lang w:val="en-GB" w:eastAsia="en-US"/>
        </w:rPr>
      </w:pPr>
    </w:p>
    <w:p w14:paraId="0C3F8874" w14:textId="77777777" w:rsidR="00131E41" w:rsidRDefault="00131E41" w:rsidP="00131E41">
      <w:pPr>
        <w:rPr>
          <w:rFonts w:eastAsia="Calibri"/>
          <w:lang w:val="en-GB" w:eastAsia="en-US"/>
        </w:rPr>
      </w:pPr>
    </w:p>
    <w:p w14:paraId="0C3F8875" w14:textId="77777777" w:rsidR="00131E41" w:rsidRPr="00A56E8D" w:rsidRDefault="00131E41" w:rsidP="00131E41">
      <w:pPr>
        <w:rPr>
          <w:rFonts w:eastAsia="Calibri"/>
          <w:lang w:val="en-GB" w:eastAsia="en-US"/>
        </w:rPr>
      </w:pPr>
    </w:p>
    <w:p w14:paraId="0C3F8876" w14:textId="77777777" w:rsidR="00131E41" w:rsidRDefault="00131E41" w:rsidP="00C05222">
      <w:pPr>
        <w:rPr>
          <w:rFonts w:eastAsia="Calibri"/>
        </w:rPr>
      </w:pPr>
      <w:bookmarkStart w:id="169" w:name="_Toc434208039"/>
      <w:r w:rsidRPr="00DF1C49">
        <w:rPr>
          <w:rFonts w:ascii="Calibri" w:eastAsia="Calibri" w:hAnsi="Calibri" w:cs="Times New Roman"/>
          <w:noProof/>
        </w:rPr>
        <w:drawing>
          <wp:anchor distT="0" distB="0" distL="114300" distR="114300" simplePos="0" relativeHeight="251787264" behindDoc="0" locked="0" layoutInCell="1" allowOverlap="1" wp14:anchorId="0C3F9007" wp14:editId="0C3F9008">
            <wp:simplePos x="0" y="0"/>
            <wp:positionH relativeFrom="column">
              <wp:posOffset>3810</wp:posOffset>
            </wp:positionH>
            <wp:positionV relativeFrom="paragraph">
              <wp:posOffset>1905</wp:posOffset>
            </wp:positionV>
            <wp:extent cx="3954145" cy="3930650"/>
            <wp:effectExtent l="19050" t="19050" r="27305" b="12700"/>
            <wp:wrapSquare wrapText="bothSides"/>
            <wp:docPr id="78" name="Picture 11" descr="Marine boundaries used for the GBR Marine Park (a), each NRM region and the coral reefs ecosystems. NRM layers derived from: GBRMPA, 2013, GBR feature shapefiles and seagrass layers from DAFF, Feb. 2013; and enlargements around (b) the Tully-Herbert rivers and (c) the Burdekin rivers. Spatial distribution of the surveyed seagrasses bed is an historical layer composed from all meadows examined between 1984 and 2008 (see reports at: http://www.seagrasswatch.org/meg.html). " title="Marine boundaries used for the GBR Marine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54145" cy="3930650"/>
                    </a:xfrm>
                    <a:prstGeom prst="rect">
                      <a:avLst/>
                    </a:prstGeom>
                    <a:solidFill>
                      <a:sysClr val="window" lastClr="FFFFFF"/>
                    </a:solidFill>
                    <a:ln>
                      <a:solidFill>
                        <a:schemeClr val="tx1"/>
                      </a:solidFill>
                    </a:ln>
                  </pic:spPr>
                </pic:pic>
              </a:graphicData>
            </a:graphic>
            <wp14:sizeRelH relativeFrom="page">
              <wp14:pctWidth>0</wp14:pctWidth>
            </wp14:sizeRelH>
            <wp14:sizeRelV relativeFrom="page">
              <wp14:pctHeight>0</wp14:pctHeight>
            </wp14:sizeRelV>
          </wp:anchor>
        </w:drawing>
      </w:r>
      <w:bookmarkStart w:id="170" w:name="_Ref432671080"/>
      <w:bookmarkStart w:id="171" w:name="_Toc427833270"/>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3</w:t>
      </w:r>
      <w:r w:rsidR="00D243CD">
        <w:rPr>
          <w:rFonts w:eastAsia="Calibri"/>
        </w:rPr>
        <w:fldChar w:fldCharType="end"/>
      </w:r>
      <w:bookmarkEnd w:id="170"/>
      <w:r w:rsidRPr="00DF1C49">
        <w:rPr>
          <w:rFonts w:eastAsia="Calibri"/>
        </w:rPr>
        <w:t>: Marine boundaries used for the GBR Marine Park</w:t>
      </w:r>
      <w:r>
        <w:rPr>
          <w:rFonts w:eastAsia="Calibri"/>
        </w:rPr>
        <w:t xml:space="preserve"> (a)</w:t>
      </w:r>
      <w:r w:rsidRPr="00DF1C49">
        <w:rPr>
          <w:rFonts w:eastAsia="Calibri"/>
        </w:rPr>
        <w:t xml:space="preserve">, each NRM region and the coral reefs ecosystems. NRM layers derived from: GBRMPA, 2013, GBR feature shapefiles and seagrass layers from DAFF, Feb. 2013; and enlargements around </w:t>
      </w:r>
      <w:r>
        <w:rPr>
          <w:rFonts w:eastAsia="Calibri"/>
        </w:rPr>
        <w:t>(b</w:t>
      </w:r>
      <w:r w:rsidRPr="00DF1C49">
        <w:rPr>
          <w:rFonts w:eastAsia="Calibri"/>
        </w:rPr>
        <w:t xml:space="preserve">) the Tully-Herbert rivers and </w:t>
      </w:r>
      <w:r>
        <w:rPr>
          <w:rFonts w:eastAsia="Calibri"/>
        </w:rPr>
        <w:t>(</w:t>
      </w:r>
      <w:r w:rsidRPr="00DF1C49">
        <w:rPr>
          <w:rFonts w:eastAsia="Calibri"/>
        </w:rPr>
        <w:t xml:space="preserve">c) the Burdekin rivers. Spatial distribution of the surveyed seagrasses bed </w:t>
      </w:r>
      <w:r>
        <w:rPr>
          <w:rFonts w:eastAsia="Calibri"/>
        </w:rPr>
        <w:t xml:space="preserve">is an historical layer </w:t>
      </w:r>
      <w:r w:rsidRPr="00DF1C49">
        <w:rPr>
          <w:rFonts w:eastAsia="Calibri"/>
        </w:rPr>
        <w:t xml:space="preserve">composed from all meadows examined between 1984 and 2008 (see reports at: </w:t>
      </w:r>
      <w:hyperlink r:id="rId80" w:tooltip="more information" w:history="1">
        <w:r w:rsidRPr="00821A1B">
          <w:rPr>
            <w:rStyle w:val="Hyperlink"/>
            <w:rFonts w:eastAsia="Calibri"/>
            <w:bCs/>
          </w:rPr>
          <w:t>http://www.seagrasswatch.org/meg.html</w:t>
        </w:r>
      </w:hyperlink>
      <w:r w:rsidRPr="00DF1C49">
        <w:rPr>
          <w:rFonts w:eastAsia="Calibri"/>
        </w:rPr>
        <w:t>).</w:t>
      </w:r>
      <w:bookmarkEnd w:id="169"/>
      <w:r>
        <w:rPr>
          <w:rFonts w:eastAsia="Calibri"/>
        </w:rPr>
        <w:t xml:space="preserve"> </w:t>
      </w:r>
    </w:p>
    <w:p w14:paraId="0C3F8877" w14:textId="77777777" w:rsidR="00131E41" w:rsidRPr="00A56E8D" w:rsidRDefault="00131E41" w:rsidP="00131E41">
      <w:pPr>
        <w:pStyle w:val="Heading3"/>
        <w:numPr>
          <w:ilvl w:val="1"/>
          <w:numId w:val="3"/>
        </w:numPr>
        <w:rPr>
          <w:rStyle w:val="Heading20"/>
          <w:b/>
        </w:rPr>
      </w:pPr>
      <w:bookmarkStart w:id="172" w:name="_Toc434208009"/>
      <w:bookmarkEnd w:id="171"/>
      <w:r w:rsidRPr="00A56E8D">
        <w:rPr>
          <w:rStyle w:val="Heading20"/>
          <w:b/>
        </w:rPr>
        <w:t>Results</w:t>
      </w:r>
      <w:bookmarkEnd w:id="172"/>
    </w:p>
    <w:p w14:paraId="0C3F8878" w14:textId="77777777" w:rsidR="00131E41" w:rsidRPr="00A56E8D" w:rsidRDefault="00131E41" w:rsidP="00131E41">
      <w:pPr>
        <w:pStyle w:val="Heading3"/>
        <w:numPr>
          <w:ilvl w:val="2"/>
          <w:numId w:val="3"/>
        </w:numPr>
        <w:rPr>
          <w:bCs/>
          <w:iCs/>
        </w:rPr>
      </w:pPr>
      <w:bookmarkStart w:id="173" w:name="_Toc427251548"/>
      <w:bookmarkStart w:id="174" w:name="_Toc427831211"/>
      <w:bookmarkStart w:id="175" w:name="_Toc428793342"/>
      <w:bookmarkStart w:id="176" w:name="_Toc428851347"/>
      <w:bookmarkStart w:id="177" w:name="_Toc434208010"/>
      <w:r w:rsidRPr="00A56E8D">
        <w:rPr>
          <w:bCs/>
          <w:iCs/>
        </w:rPr>
        <w:t>Production maps (weekly composite maps of secondary water type)</w:t>
      </w:r>
      <w:bookmarkEnd w:id="173"/>
      <w:bookmarkEnd w:id="174"/>
      <w:bookmarkEnd w:id="175"/>
      <w:bookmarkEnd w:id="176"/>
      <w:bookmarkEnd w:id="177"/>
    </w:p>
    <w:p w14:paraId="0C3F8879" w14:textId="77777777" w:rsidR="00131E41" w:rsidRPr="00DF1C49" w:rsidRDefault="00131E41" w:rsidP="00131E41">
      <w:pPr>
        <w:rPr>
          <w:rFonts w:ascii="Calibri" w:eastAsia="Calibri" w:hAnsi="Calibri" w:cs="Times New Roman"/>
          <w:lang w:eastAsia="en-US"/>
        </w:rPr>
      </w:pPr>
      <w:r>
        <w:rPr>
          <w:rFonts w:ascii="Calibri" w:eastAsia="Calibri" w:hAnsi="Calibri" w:cs="Times New Roman"/>
          <w:lang w:eastAsia="en-US"/>
        </w:rPr>
        <w:t>W</w:t>
      </w:r>
      <w:r w:rsidRPr="00DF1C49">
        <w:rPr>
          <w:rFonts w:ascii="Calibri" w:eastAsia="Calibri" w:hAnsi="Calibri" w:cs="Times New Roman"/>
          <w:lang w:eastAsia="en-US"/>
        </w:rPr>
        <w:t>eekly composite</w:t>
      </w:r>
      <w:r>
        <w:rPr>
          <w:rFonts w:ascii="Calibri" w:eastAsia="Calibri" w:hAnsi="Calibri" w:cs="Times New Roman"/>
          <w:lang w:eastAsia="en-US"/>
        </w:rPr>
        <w:t xml:space="preserve"> maps of s</w:t>
      </w:r>
      <w:r w:rsidRPr="00DF1C49">
        <w:rPr>
          <w:rFonts w:ascii="Calibri" w:eastAsia="Calibri" w:hAnsi="Calibri" w:cs="Times New Roman"/>
          <w:lang w:eastAsia="en-US"/>
        </w:rPr>
        <w:t>econdary plume water type</w:t>
      </w:r>
      <w:r>
        <w:rPr>
          <w:rFonts w:ascii="Calibri" w:eastAsia="Calibri" w:hAnsi="Calibri" w:cs="Times New Roman"/>
          <w:lang w:eastAsia="en-US"/>
        </w:rPr>
        <w:t xml:space="preserve"> focusing </w:t>
      </w:r>
      <w:r w:rsidRPr="00DF1C49">
        <w:rPr>
          <w:rFonts w:ascii="Calibri" w:eastAsia="Calibri" w:hAnsi="Calibri" w:cs="Times New Roman"/>
          <w:lang w:eastAsia="en-US"/>
        </w:rPr>
        <w:t xml:space="preserve">on the Tully-Herbert and Burdekin regions are presented in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_Ref432671488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5</w:t>
      </w:r>
      <w:r>
        <w:rPr>
          <w:rFonts w:ascii="Calibri" w:eastAsia="Calibri" w:hAnsi="Calibri" w:cs="Times New Roman"/>
          <w:lang w:eastAsia="en-US"/>
        </w:rPr>
        <w:fldChar w:fldCharType="end"/>
      </w:r>
      <w:r>
        <w:rPr>
          <w:rFonts w:ascii="Calibri" w:eastAsia="Calibri" w:hAnsi="Calibri" w:cs="Times New Roman"/>
          <w:lang w:eastAsia="en-US"/>
        </w:rPr>
        <w:t xml:space="preserve"> and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_Ref432671491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6</w:t>
      </w:r>
      <w:r>
        <w:rPr>
          <w:rFonts w:ascii="Calibri" w:eastAsia="Calibri" w:hAnsi="Calibri" w:cs="Times New Roman"/>
          <w:lang w:eastAsia="en-US"/>
        </w:rPr>
        <w:fldChar w:fldCharType="end"/>
      </w:r>
      <w:r w:rsidRPr="00DF1C49">
        <w:rPr>
          <w:rFonts w:ascii="Calibri" w:eastAsia="Calibri" w:hAnsi="Calibri" w:cs="Times New Roman"/>
          <w:lang w:eastAsia="en-US"/>
        </w:rPr>
        <w:t>, respectively</w:t>
      </w:r>
      <w:r>
        <w:rPr>
          <w:rFonts w:ascii="Calibri" w:eastAsia="Calibri" w:hAnsi="Calibri" w:cs="Times New Roman"/>
          <w:lang w:eastAsia="en-US"/>
        </w:rPr>
        <w:t>.</w:t>
      </w:r>
      <w:r w:rsidRPr="00DF1C49">
        <w:rPr>
          <w:rFonts w:ascii="Calibri" w:eastAsia="Calibri" w:hAnsi="Calibri" w:cs="Times New Roman"/>
          <w:lang w:eastAsia="en-US"/>
        </w:rPr>
        <w:t xml:space="preserve"> Identifying the full extent of these Secondary waters on weekly basis provides recurrent production maps (i.e., areas with mean chl-a = 1.3±0.6 μg L</w:t>
      </w:r>
      <w:r w:rsidRPr="005B726C">
        <w:rPr>
          <w:rFonts w:ascii="Calibri" w:eastAsia="Calibri" w:hAnsi="Calibri" w:cs="Times New Roman"/>
          <w:vertAlign w:val="superscript"/>
          <w:lang w:eastAsia="en-US"/>
        </w:rPr>
        <w:t>-1</w:t>
      </w:r>
      <w:r w:rsidRPr="00DF1C49">
        <w:rPr>
          <w:rFonts w:ascii="Calibri" w:eastAsia="Calibri" w:hAnsi="Calibri" w:cs="Times New Roman"/>
          <w:lang w:eastAsia="en-US"/>
        </w:rPr>
        <w:t xml:space="preserve">; Devlin et al., 2013), and </w:t>
      </w:r>
      <w:r w:rsidRPr="009C3DB1">
        <w:rPr>
          <w:rFonts w:ascii="Calibri" w:eastAsia="Calibri" w:hAnsi="Calibri" w:cs="Times New Roman"/>
          <w:lang w:eastAsia="en-US"/>
        </w:rPr>
        <w:t>identifies areas in which high phytoplankton biomass production are likely to occur during the variable wet season conditions</w:t>
      </w:r>
      <w:r w:rsidRPr="00DF1C49">
        <w:rPr>
          <w:rFonts w:ascii="Calibri" w:eastAsia="Calibri" w:hAnsi="Calibri" w:cs="Times New Roman"/>
          <w:lang w:eastAsia="en-US"/>
        </w:rPr>
        <w:t>.</w:t>
      </w:r>
      <w:r>
        <w:rPr>
          <w:rFonts w:ascii="Calibri" w:eastAsia="Calibri" w:hAnsi="Calibri" w:cs="Times New Roman"/>
          <w:lang w:eastAsia="en-US"/>
        </w:rPr>
        <w:t xml:space="preserve"> Secondary</w:t>
      </w:r>
      <w:r w:rsidRPr="00D70F7B">
        <w:rPr>
          <w:rFonts w:ascii="Calibri" w:eastAsia="Calibri" w:hAnsi="Calibri" w:cs="Times New Roman"/>
          <w:lang w:eastAsia="en-US"/>
        </w:rPr>
        <w:t xml:space="preserve"> </w:t>
      </w:r>
      <w:r>
        <w:rPr>
          <w:rFonts w:ascii="Calibri" w:eastAsia="Calibri" w:hAnsi="Calibri" w:cs="Times New Roman"/>
          <w:lang w:eastAsia="en-US"/>
        </w:rPr>
        <w:t xml:space="preserve">composite </w:t>
      </w:r>
      <w:r w:rsidRPr="00D70F7B">
        <w:rPr>
          <w:rFonts w:ascii="Calibri" w:eastAsia="Calibri" w:hAnsi="Calibri" w:cs="Times New Roman"/>
          <w:lang w:eastAsia="en-US"/>
        </w:rPr>
        <w:t xml:space="preserve">maps </w:t>
      </w:r>
      <w:r>
        <w:rPr>
          <w:rFonts w:ascii="Calibri" w:eastAsia="Calibri" w:hAnsi="Calibri" w:cs="Times New Roman"/>
          <w:lang w:eastAsia="en-US"/>
        </w:rPr>
        <w:t xml:space="preserve">for the whole GBR are </w:t>
      </w:r>
      <w:r w:rsidRPr="00C05222">
        <w:rPr>
          <w:rFonts w:ascii="Calibri" w:eastAsia="Calibri" w:hAnsi="Calibri" w:cs="Times New Roman"/>
          <w:lang w:eastAsia="en-US"/>
        </w:rPr>
        <w:t>presented in Appendix B, Figure</w:t>
      </w:r>
      <w:r>
        <w:rPr>
          <w:rFonts w:ascii="Calibri" w:eastAsia="Calibri" w:hAnsi="Calibri" w:cs="Times New Roman"/>
          <w:lang w:eastAsia="en-US"/>
        </w:rPr>
        <w:t xml:space="preserve"> B-1.</w:t>
      </w:r>
      <w:r w:rsidRPr="00D70F7B">
        <w:rPr>
          <w:rFonts w:ascii="Calibri" w:eastAsia="Calibri" w:hAnsi="Calibri" w:cs="Times New Roman"/>
          <w:lang w:eastAsia="en-US"/>
        </w:rPr>
        <w:t xml:space="preserve"> </w:t>
      </w:r>
      <w:r w:rsidRPr="00B4710A">
        <w:rPr>
          <w:rFonts w:ascii="Calibri" w:eastAsia="Calibri" w:hAnsi="Calibri" w:cs="Times New Roman"/>
          <w:lang w:eastAsia="en-US"/>
        </w:rPr>
        <w:t xml:space="preserve">Table </w:t>
      </w:r>
      <w:r>
        <w:rPr>
          <w:rFonts w:ascii="Calibri" w:eastAsia="Calibri" w:hAnsi="Calibri" w:cs="Times New Roman"/>
          <w:lang w:eastAsia="en-US"/>
        </w:rPr>
        <w:t>B</w:t>
      </w:r>
      <w:r w:rsidRPr="00B4710A">
        <w:rPr>
          <w:rFonts w:ascii="Calibri" w:eastAsia="Calibri" w:hAnsi="Calibri" w:cs="Times New Roman"/>
          <w:lang w:eastAsia="en-US"/>
        </w:rPr>
        <w:t>-</w:t>
      </w:r>
      <w:r>
        <w:rPr>
          <w:rFonts w:ascii="Calibri" w:eastAsia="Calibri" w:hAnsi="Calibri" w:cs="Times New Roman"/>
          <w:lang w:eastAsia="en-US"/>
        </w:rPr>
        <w:t>1 in Appendix B</w:t>
      </w:r>
      <w:r w:rsidRPr="00DF1C49">
        <w:rPr>
          <w:rFonts w:ascii="Calibri" w:eastAsia="Calibri" w:hAnsi="Calibri" w:cs="Times New Roman"/>
          <w:lang w:eastAsia="en-US"/>
        </w:rPr>
        <w:t xml:space="preserve"> presents a conversion chart between Julian days, dates and week numbers. </w:t>
      </w:r>
      <w:r w:rsidRPr="00600E32">
        <w:rPr>
          <w:rFonts w:ascii="Calibri" w:eastAsia="Calibri" w:hAnsi="Calibri" w:cs="Times New Roman"/>
          <w:lang w:eastAsia="en-US"/>
        </w:rPr>
        <w:t>The maximum</w:t>
      </w:r>
      <w:r>
        <w:rPr>
          <w:rFonts w:ascii="Calibri" w:eastAsia="Calibri" w:hAnsi="Calibri" w:cs="Times New Roman"/>
          <w:lang w:eastAsia="en-US"/>
        </w:rPr>
        <w:t xml:space="preserve"> surface aerial</w:t>
      </w:r>
      <w:r w:rsidRPr="00600E32">
        <w:rPr>
          <w:rFonts w:ascii="Calibri" w:eastAsia="Calibri" w:hAnsi="Calibri" w:cs="Times New Roman"/>
          <w:lang w:eastAsia="en-US"/>
        </w:rPr>
        <w:t xml:space="preserve"> extent</w:t>
      </w:r>
      <w:r>
        <w:rPr>
          <w:rFonts w:ascii="Calibri" w:eastAsia="Calibri" w:hAnsi="Calibri" w:cs="Times New Roman"/>
          <w:lang w:eastAsia="en-US"/>
        </w:rPr>
        <w:t>s</w:t>
      </w:r>
      <w:r w:rsidRPr="00600E32">
        <w:rPr>
          <w:rFonts w:ascii="Calibri" w:eastAsia="Calibri" w:hAnsi="Calibri" w:cs="Times New Roman"/>
          <w:lang w:eastAsia="en-US"/>
        </w:rPr>
        <w:t xml:space="preserve"> of secondary water</w:t>
      </w:r>
      <w:r>
        <w:rPr>
          <w:rFonts w:ascii="Calibri" w:eastAsia="Calibri" w:hAnsi="Calibri" w:cs="Times New Roman"/>
          <w:lang w:eastAsia="en-US"/>
        </w:rPr>
        <w:t>s</w:t>
      </w:r>
      <w:r w:rsidRPr="00600E32">
        <w:rPr>
          <w:rFonts w:ascii="Calibri" w:eastAsia="Calibri" w:hAnsi="Calibri" w:cs="Times New Roman"/>
          <w:lang w:eastAsia="en-US"/>
        </w:rPr>
        <w:t xml:space="preserve"> </w:t>
      </w:r>
      <w:r w:rsidRPr="00DF1C49">
        <w:rPr>
          <w:rFonts w:ascii="Calibri" w:eastAsia="Calibri" w:hAnsi="Calibri" w:cs="Times New Roman"/>
          <w:lang w:eastAsia="en-US"/>
        </w:rPr>
        <w:t>were recorded around weeks 9, 15 and 20 (i.e., between the 26t</w:t>
      </w:r>
      <w:r>
        <w:rPr>
          <w:rFonts w:ascii="Calibri" w:eastAsia="Calibri" w:hAnsi="Calibri" w:cs="Times New Roman"/>
          <w:lang w:eastAsia="en-US"/>
        </w:rPr>
        <w:t xml:space="preserve">h of January and 19th of April </w:t>
      </w:r>
      <w:r w:rsidRPr="00DF1C49">
        <w:rPr>
          <w:rFonts w:ascii="Calibri" w:eastAsia="Calibri" w:hAnsi="Calibri" w:cs="Times New Roman"/>
          <w:lang w:eastAsia="en-US"/>
        </w:rPr>
        <w:t>and followed maximum peaks of discharge measured in the Tully-Herbert and Burdekin rivers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_Ref432671576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4</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w:t>
      </w:r>
      <w:r>
        <w:rPr>
          <w:rFonts w:ascii="Calibri" w:eastAsia="Calibri" w:hAnsi="Calibri" w:cs="Times New Roman"/>
          <w:lang w:eastAsia="en-US"/>
        </w:rPr>
        <w:t>S</w:t>
      </w:r>
      <w:r w:rsidRPr="007D397E">
        <w:rPr>
          <w:rFonts w:ascii="Calibri" w:eastAsia="Calibri" w:hAnsi="Calibri" w:cs="Times New Roman"/>
          <w:lang w:eastAsia="en-US"/>
        </w:rPr>
        <w:t xml:space="preserve">urface aerial extent </w:t>
      </w:r>
      <w:r w:rsidRPr="007C616C">
        <w:rPr>
          <w:rFonts w:ascii="Calibri" w:eastAsia="Calibri" w:hAnsi="Calibri" w:cs="Times New Roman"/>
          <w:lang w:eastAsia="en-US"/>
        </w:rPr>
        <w:t>ma</w:t>
      </w:r>
      <w:r>
        <w:rPr>
          <w:rFonts w:ascii="Calibri" w:eastAsia="Calibri" w:hAnsi="Calibri" w:cs="Times New Roman"/>
          <w:lang w:eastAsia="en-US"/>
        </w:rPr>
        <w:t xml:space="preserve">pped </w:t>
      </w:r>
      <w:r w:rsidRPr="00DF1C49">
        <w:rPr>
          <w:rFonts w:ascii="Calibri" w:eastAsia="Calibri" w:hAnsi="Calibri" w:cs="Times New Roman"/>
          <w:lang w:eastAsia="en-US"/>
        </w:rPr>
        <w:t>were largest in end of January/early February in the wet Tropics and in mid-March/early April in the Burdekin region. Some areas were underestimated due to cloud cover; for example weeks 8 or 19 in the Wet Tropics and week 9 in the Burdekin region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_Ref432671488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5</w:t>
      </w:r>
      <w:r>
        <w:rPr>
          <w:rFonts w:ascii="Calibri" w:eastAsia="Calibri" w:hAnsi="Calibri" w:cs="Times New Roman"/>
          <w:lang w:eastAsia="en-US"/>
        </w:rPr>
        <w:fldChar w:fldCharType="end"/>
      </w:r>
      <w:r>
        <w:rPr>
          <w:rFonts w:ascii="Calibri" w:eastAsia="Calibri" w:hAnsi="Calibri" w:cs="Times New Roman"/>
          <w:lang w:eastAsia="en-US"/>
        </w:rPr>
        <w:t xml:space="preserve"> and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_Ref432671491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6</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w:t>
      </w:r>
    </w:p>
    <w:p w14:paraId="0C3F887A" w14:textId="77777777" w:rsidR="00131E41" w:rsidRPr="00DF1C49" w:rsidRDefault="00131E41" w:rsidP="00131E41">
      <w:pPr>
        <w:jc w:val="left"/>
        <w:rPr>
          <w:rFonts w:ascii="Calibri" w:eastAsia="Calibri" w:hAnsi="Calibri" w:cs="Times New Roman"/>
          <w:lang w:eastAsia="en-US"/>
        </w:rPr>
      </w:pPr>
      <w:r w:rsidRPr="00DF1C49">
        <w:rPr>
          <w:rFonts w:ascii="Calibri" w:eastAsia="Calibri" w:hAnsi="Calibri" w:cs="Times New Roman"/>
          <w:noProof/>
        </w:rPr>
        <w:drawing>
          <wp:inline distT="0" distB="0" distL="0" distR="0" wp14:anchorId="0C3F9009" wp14:editId="0C3F900A">
            <wp:extent cx="3686175" cy="4773257"/>
            <wp:effectExtent l="0" t="0" r="0" b="8890"/>
            <wp:docPr id="92" name="Picture 92" descr="a) Secondary plume waters areas recorded for the GBR, the Tully-Herbert and the Burdekin subsets and b) cumulative weekly river discharge measured for the Tully-Herbert and Burdekin 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84604" cy="4771223"/>
                    </a:xfrm>
                    <a:prstGeom prst="rect">
                      <a:avLst/>
                    </a:prstGeom>
                    <a:solidFill>
                      <a:sysClr val="window" lastClr="FFFFFF"/>
                    </a:solidFill>
                  </pic:spPr>
                </pic:pic>
              </a:graphicData>
            </a:graphic>
          </wp:inline>
        </w:drawing>
      </w:r>
    </w:p>
    <w:p w14:paraId="0C3F887B" w14:textId="77777777" w:rsidR="00131E41" w:rsidRPr="00DF1C49" w:rsidRDefault="00131E41" w:rsidP="00131E41">
      <w:pPr>
        <w:pStyle w:val="Caption"/>
        <w:rPr>
          <w:rFonts w:eastAsia="Calibri"/>
        </w:rPr>
      </w:pPr>
      <w:bookmarkStart w:id="178" w:name="_Ref432671576"/>
      <w:bookmarkStart w:id="179" w:name="_Toc427833284"/>
      <w:bookmarkStart w:id="180" w:name="_Toc434208040"/>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4</w:t>
      </w:r>
      <w:r w:rsidR="00D243CD">
        <w:rPr>
          <w:rFonts w:eastAsia="Calibri"/>
        </w:rPr>
        <w:fldChar w:fldCharType="end"/>
      </w:r>
      <w:bookmarkEnd w:id="178"/>
      <w:r w:rsidRPr="00DF1C49">
        <w:rPr>
          <w:rFonts w:eastAsia="Calibri"/>
        </w:rPr>
        <w:t>: a) Secondary plume waters areas recorded for the GBR, the Tully-Herbert and the Burdekin subsets and b) cumulative weekly river discharge measured for the Tully-Herbert and Burdekin rivers.</w:t>
      </w:r>
      <w:bookmarkEnd w:id="179"/>
      <w:bookmarkEnd w:id="180"/>
      <w:r w:rsidRPr="00DF1C49">
        <w:rPr>
          <w:rFonts w:eastAsia="Calibri"/>
        </w:rPr>
        <w:t xml:space="preserve"> </w:t>
      </w:r>
    </w:p>
    <w:p w14:paraId="0C3F887C" w14:textId="77777777" w:rsidR="00131E41" w:rsidRPr="006E3BBF" w:rsidRDefault="00131E41" w:rsidP="00131E41">
      <w:pPr>
        <w:rPr>
          <w:lang w:eastAsia="en-US"/>
        </w:rPr>
      </w:pPr>
    </w:p>
    <w:p w14:paraId="0C3F887D"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rPr>
        <w:drawing>
          <wp:inline distT="0" distB="0" distL="0" distR="0" wp14:anchorId="0C3F900B" wp14:editId="0C3F900C">
            <wp:extent cx="4464000" cy="7678239"/>
            <wp:effectExtent l="0" t="0" r="0" b="0"/>
            <wp:docPr id="90" name="Picture 90" descr="Secondary plume weekly composites of the Tully-Herbert marine region" title="Secondary plume weekly composites of the Tully-Herbert mari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464000" cy="7678239"/>
                    </a:xfrm>
                    <a:prstGeom prst="rect">
                      <a:avLst/>
                    </a:prstGeom>
                    <a:solidFill>
                      <a:sysClr val="window" lastClr="FFFFFF"/>
                    </a:solidFill>
                  </pic:spPr>
                </pic:pic>
              </a:graphicData>
            </a:graphic>
          </wp:inline>
        </w:drawing>
      </w:r>
    </w:p>
    <w:p w14:paraId="0C3F887E" w14:textId="77777777" w:rsidR="00131E41" w:rsidRDefault="00131E41" w:rsidP="00131E41">
      <w:pPr>
        <w:pStyle w:val="Caption"/>
        <w:rPr>
          <w:rFonts w:eastAsia="Calibri"/>
        </w:rPr>
      </w:pPr>
      <w:bookmarkStart w:id="181" w:name="_Ref432671488"/>
      <w:bookmarkStart w:id="182" w:name="_Toc427833282"/>
      <w:bookmarkStart w:id="183" w:name="_Toc434208041"/>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5</w:t>
      </w:r>
      <w:r w:rsidR="00D243CD">
        <w:rPr>
          <w:rFonts w:eastAsia="Calibri"/>
        </w:rPr>
        <w:fldChar w:fldCharType="end"/>
      </w:r>
      <w:bookmarkEnd w:id="181"/>
      <w:r w:rsidRPr="00DF1C49">
        <w:rPr>
          <w:rFonts w:eastAsia="Calibri"/>
        </w:rPr>
        <w:t>: Secondary plume weekly composites of the Tully-Herbert marine region</w:t>
      </w:r>
      <w:bookmarkEnd w:id="182"/>
      <w:bookmarkEnd w:id="183"/>
    </w:p>
    <w:p w14:paraId="0C3F887F" w14:textId="77777777" w:rsidR="00131E41" w:rsidRDefault="00131E41" w:rsidP="00131E41">
      <w:pPr>
        <w:rPr>
          <w:rFonts w:ascii="Calibri" w:eastAsia="Calibri" w:hAnsi="Calibri" w:cs="Times New Roman"/>
          <w:bCs/>
          <w:color w:val="4F81BD"/>
          <w:lang w:eastAsia="en-US"/>
        </w:rPr>
      </w:pPr>
    </w:p>
    <w:p w14:paraId="0C3F8880"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rPr>
        <w:drawing>
          <wp:inline distT="0" distB="0" distL="0" distR="0" wp14:anchorId="0C3F900D" wp14:editId="0C3F900E">
            <wp:extent cx="4464000" cy="7675825"/>
            <wp:effectExtent l="0" t="0" r="0" b="1905"/>
            <wp:docPr id="91" name="Picture 91" descr=" Secondary plume weekly composites of the Burdekin marine region" title=" Secondary plume weekly composites of the Burdekin mari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464000" cy="7675825"/>
                    </a:xfrm>
                    <a:prstGeom prst="rect">
                      <a:avLst/>
                    </a:prstGeom>
                    <a:solidFill>
                      <a:sysClr val="window" lastClr="FFFFFF"/>
                    </a:solidFill>
                  </pic:spPr>
                </pic:pic>
              </a:graphicData>
            </a:graphic>
          </wp:inline>
        </w:drawing>
      </w:r>
    </w:p>
    <w:p w14:paraId="0C3F8881" w14:textId="77777777" w:rsidR="00131E41" w:rsidRDefault="00131E41" w:rsidP="00131E41">
      <w:pPr>
        <w:pStyle w:val="Caption"/>
        <w:rPr>
          <w:rFonts w:eastAsia="Calibri"/>
        </w:rPr>
      </w:pPr>
      <w:bookmarkStart w:id="184" w:name="_Ref432671491"/>
      <w:bookmarkStart w:id="185" w:name="_Toc427833283"/>
      <w:bookmarkStart w:id="186" w:name="_Toc434208042"/>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6</w:t>
      </w:r>
      <w:r w:rsidR="00D243CD">
        <w:rPr>
          <w:rFonts w:eastAsia="Calibri"/>
        </w:rPr>
        <w:fldChar w:fldCharType="end"/>
      </w:r>
      <w:bookmarkEnd w:id="184"/>
      <w:r w:rsidRPr="00DF1C49">
        <w:rPr>
          <w:rFonts w:eastAsia="Calibri"/>
        </w:rPr>
        <w:t>: Secondary plume weekly composites of the Burdekin marine region</w:t>
      </w:r>
      <w:bookmarkEnd w:id="185"/>
      <w:bookmarkEnd w:id="186"/>
    </w:p>
    <w:p w14:paraId="0C3F8882" w14:textId="77777777" w:rsidR="00131E41" w:rsidRDefault="00131E41" w:rsidP="00131E41">
      <w:pPr>
        <w:rPr>
          <w:rFonts w:ascii="Calibri" w:eastAsia="Calibri" w:hAnsi="Calibri" w:cs="Times New Roman"/>
          <w:bCs/>
          <w:color w:val="4F81BD"/>
          <w:lang w:eastAsia="en-US"/>
        </w:rPr>
      </w:pPr>
    </w:p>
    <w:p w14:paraId="0C3F8883" w14:textId="77777777" w:rsidR="00131E41" w:rsidRPr="00DF1C49" w:rsidRDefault="00131E41" w:rsidP="00131E41">
      <w:pPr>
        <w:rPr>
          <w:rFonts w:ascii="Calibri" w:eastAsia="Calibri" w:hAnsi="Calibri" w:cs="Times New Roman"/>
          <w:lang w:eastAsia="en-US"/>
        </w:rPr>
      </w:pPr>
    </w:p>
    <w:p w14:paraId="0C3F8884" w14:textId="77777777" w:rsidR="00131E41" w:rsidRPr="00C570D1" w:rsidRDefault="00131E41" w:rsidP="00131E41">
      <w:pPr>
        <w:pStyle w:val="Heading3"/>
        <w:numPr>
          <w:ilvl w:val="2"/>
          <w:numId w:val="3"/>
        </w:numPr>
        <w:rPr>
          <w:bCs/>
          <w:iCs/>
        </w:rPr>
      </w:pPr>
      <w:bookmarkStart w:id="187" w:name="_Toc427251549"/>
      <w:bookmarkStart w:id="188" w:name="_Toc427831212"/>
      <w:bookmarkStart w:id="189" w:name="_Toc428793343"/>
      <w:bookmarkStart w:id="190" w:name="_Toc428851348"/>
      <w:bookmarkStart w:id="191" w:name="_Toc434208011"/>
      <w:r w:rsidRPr="00C570D1">
        <w:rPr>
          <w:bCs/>
          <w:iCs/>
        </w:rPr>
        <w:t>2012-13 frequency maps</w:t>
      </w:r>
      <w:bookmarkEnd w:id="187"/>
      <w:bookmarkEnd w:id="188"/>
      <w:bookmarkEnd w:id="189"/>
      <w:bookmarkEnd w:id="190"/>
      <w:bookmarkEnd w:id="191"/>
    </w:p>
    <w:p w14:paraId="0C3F8885" w14:textId="77777777" w:rsidR="00131E41" w:rsidRPr="00DF1C49" w:rsidRDefault="00131E41" w:rsidP="00131E41">
      <w:pPr>
        <w:rPr>
          <w:rFonts w:ascii="Calibri" w:eastAsia="Calibri" w:hAnsi="Calibri" w:cs="Times New Roman"/>
          <w:lang w:eastAsia="en-US"/>
        </w:rPr>
      </w:pPr>
      <w:r>
        <w:rPr>
          <w:rFonts w:ascii="Calibri" w:eastAsia="Calibri" w:hAnsi="Calibri" w:cs="Times New Roman"/>
          <w:lang w:eastAsia="en-US"/>
        </w:rPr>
        <w:t>The annual frequency maps</w:t>
      </w:r>
      <w:r w:rsidRPr="00DF1C49">
        <w:rPr>
          <w:rFonts w:ascii="Calibri" w:eastAsia="Calibri" w:hAnsi="Calibri" w:cs="Times New Roman"/>
          <w:lang w:eastAsia="en-US"/>
        </w:rPr>
        <w:t xml:space="preserve"> produced applying both TC and L2 methods illustrate GBR marine areas affected by river plume waters as well as the spatial </w:t>
      </w:r>
      <w:r w:rsidRPr="00593CC8">
        <w:rPr>
          <w:rFonts w:ascii="Calibri" w:eastAsia="Calibri" w:hAnsi="Calibri" w:cs="Times New Roman"/>
          <w:color w:val="000000" w:themeColor="text1"/>
          <w:lang w:eastAsia="en-US"/>
        </w:rPr>
        <w:t xml:space="preserve">distribution and frequencies of occurrence of the three GBR plume water types (Primary, Secondary, and Tertiary) during the wet season 2012-13. Enlargements around the Tully Herbert and Burdekin regions are presented in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_Ref427659567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7</w:t>
      </w:r>
      <w:r>
        <w:rPr>
          <w:rFonts w:ascii="Calibri" w:eastAsia="Calibri" w:hAnsi="Calibri" w:cs="Times New Roman"/>
          <w:color w:val="000000" w:themeColor="text1"/>
          <w:lang w:eastAsia="en-US"/>
        </w:rPr>
        <w:fldChar w:fldCharType="end"/>
      </w:r>
      <w:r>
        <w:rPr>
          <w:rFonts w:ascii="Calibri" w:eastAsia="Calibri" w:hAnsi="Calibri" w:cs="Times New Roman"/>
          <w:color w:val="000000" w:themeColor="text1"/>
          <w:lang w:eastAsia="en-US"/>
        </w:rPr>
        <w:t xml:space="preserve"> to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_Ref432671675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14</w:t>
      </w:r>
      <w:r>
        <w:rPr>
          <w:rFonts w:ascii="Calibri" w:eastAsia="Calibri" w:hAnsi="Calibri" w:cs="Times New Roman"/>
          <w:color w:val="000000" w:themeColor="text1"/>
          <w:lang w:eastAsia="en-US"/>
        </w:rPr>
        <w:fldChar w:fldCharType="end"/>
      </w:r>
      <w:r w:rsidRPr="00593CC8">
        <w:rPr>
          <w:rFonts w:ascii="Calibri" w:eastAsia="Calibri" w:hAnsi="Calibri" w:cs="Times New Roman"/>
          <w:color w:val="000000" w:themeColor="text1"/>
          <w:lang w:eastAsia="en-US"/>
        </w:rPr>
        <w:t xml:space="preserve"> and whole-GBR scale maps in Appendix </w:t>
      </w:r>
      <w:r>
        <w:rPr>
          <w:rFonts w:ascii="Calibri" w:eastAsia="Calibri" w:hAnsi="Calibri" w:cs="Times New Roman"/>
          <w:color w:val="000000" w:themeColor="text1"/>
          <w:lang w:eastAsia="en-US"/>
        </w:rPr>
        <w:t>B</w:t>
      </w:r>
      <w:r w:rsidRPr="00593CC8">
        <w:rPr>
          <w:rFonts w:ascii="Calibri" w:eastAsia="Calibri" w:hAnsi="Calibri" w:cs="Times New Roman"/>
          <w:color w:val="000000" w:themeColor="text1"/>
          <w:lang w:eastAsia="en-US"/>
        </w:rPr>
        <w:t xml:space="preserve"> (Figures </w:t>
      </w:r>
      <w:r>
        <w:rPr>
          <w:rFonts w:ascii="Calibri" w:eastAsia="Calibri" w:hAnsi="Calibri" w:cs="Times New Roman"/>
          <w:color w:val="000000" w:themeColor="text1"/>
          <w:lang w:eastAsia="en-US"/>
        </w:rPr>
        <w:t>B-2 to B-5</w:t>
      </w:r>
      <w:r w:rsidRPr="00593CC8">
        <w:rPr>
          <w:rFonts w:ascii="Calibri" w:eastAsia="Calibri" w:hAnsi="Calibri" w:cs="Times New Roman"/>
          <w:color w:val="000000" w:themeColor="text1"/>
          <w:lang w:eastAsia="en-US"/>
        </w:rPr>
        <w:t xml:space="preserve">). Note that this mapping exercise only identifies the surface river plume waters and plume </w:t>
      </w:r>
      <w:r w:rsidRPr="007D397E">
        <w:rPr>
          <w:rFonts w:ascii="Calibri" w:eastAsia="Calibri" w:hAnsi="Calibri" w:cs="Times New Roman"/>
          <w:lang w:eastAsia="en-US"/>
        </w:rPr>
        <w:t xml:space="preserve">water types and is not identifying scale or extent of impact on GBR ecosystems. </w:t>
      </w:r>
      <w:r w:rsidRPr="00DF1C49">
        <w:rPr>
          <w:rFonts w:ascii="Calibri" w:eastAsia="Calibri" w:hAnsi="Calibri" w:cs="Times New Roman"/>
          <w:lang w:eastAsia="en-US"/>
        </w:rPr>
        <w:t>The higher level of precision observed in all TC maps in comparison to L2 maps is due to satellite resolution</w:t>
      </w:r>
      <w:r>
        <w:rPr>
          <w:rFonts w:ascii="Calibri" w:eastAsia="Calibri" w:hAnsi="Calibri" w:cs="Times New Roman"/>
          <w:lang w:eastAsia="en-US"/>
        </w:rPr>
        <w:t>.</w:t>
      </w:r>
      <w:r w:rsidRPr="00DF1C49">
        <w:rPr>
          <w:rFonts w:ascii="Calibri" w:eastAsia="Calibri" w:hAnsi="Calibri" w:cs="Times New Roman"/>
          <w:lang w:eastAsia="en-US"/>
        </w:rPr>
        <w:t xml:space="preserve"> TC data used </w:t>
      </w:r>
      <w:r>
        <w:rPr>
          <w:rFonts w:ascii="Calibri" w:eastAsia="Calibri" w:hAnsi="Calibri" w:cs="Times New Roman"/>
          <w:lang w:eastAsia="en-US"/>
        </w:rPr>
        <w:t>are, indeed,</w:t>
      </w:r>
      <w:r w:rsidRPr="00DF1C49">
        <w:rPr>
          <w:rFonts w:ascii="Calibri" w:eastAsia="Calibri" w:hAnsi="Calibri" w:cs="Times New Roman"/>
          <w:lang w:eastAsia="en-US"/>
        </w:rPr>
        <w:t xml:space="preserve"> with a 500</w:t>
      </w:r>
      <w:r>
        <w:rPr>
          <w:rFonts w:ascii="Calibri" w:eastAsia="Calibri" w:hAnsi="Calibri" w:cs="Times New Roman"/>
          <w:lang w:eastAsia="en-US"/>
        </w:rPr>
        <w:t xml:space="preserve"> m x </w:t>
      </w:r>
      <w:r w:rsidRPr="00DF1C49">
        <w:rPr>
          <w:rFonts w:ascii="Calibri" w:eastAsia="Calibri" w:hAnsi="Calibri" w:cs="Times New Roman"/>
          <w:lang w:eastAsia="en-US"/>
        </w:rPr>
        <w:t>500 m resolution</w:t>
      </w:r>
      <w:r>
        <w:rPr>
          <w:rFonts w:ascii="Calibri" w:eastAsia="Calibri" w:hAnsi="Calibri" w:cs="Times New Roman"/>
          <w:lang w:eastAsia="en-US"/>
        </w:rPr>
        <w:t>,</w:t>
      </w:r>
      <w:r w:rsidRPr="00DF1C49">
        <w:rPr>
          <w:rFonts w:ascii="Calibri" w:eastAsia="Calibri" w:hAnsi="Calibri" w:cs="Times New Roman"/>
          <w:lang w:eastAsia="en-US"/>
        </w:rPr>
        <w:t xml:space="preserve"> while the L2 data are only 1000</w:t>
      </w:r>
      <w:r>
        <w:rPr>
          <w:rFonts w:ascii="Calibri" w:eastAsia="Calibri" w:hAnsi="Calibri" w:cs="Times New Roman"/>
          <w:lang w:eastAsia="en-US"/>
        </w:rPr>
        <w:t xml:space="preserve"> m x </w:t>
      </w:r>
      <w:r w:rsidRPr="00600E32">
        <w:rPr>
          <w:rFonts w:ascii="Calibri" w:eastAsia="Calibri" w:hAnsi="Calibri" w:cs="Times New Roman"/>
          <w:lang w:eastAsia="en-US"/>
        </w:rPr>
        <w:t>1</w:t>
      </w:r>
      <w:r w:rsidRPr="00DF1C49">
        <w:rPr>
          <w:rFonts w:ascii="Calibri" w:eastAsia="Calibri" w:hAnsi="Calibri" w:cs="Times New Roman"/>
          <w:lang w:eastAsia="en-US"/>
        </w:rPr>
        <w:t xml:space="preserve">000 m. The TC and L2 methods give similar outcomes in term of total GBR areas exposed to river plume. However, frequencies of exposure to river plumes differ and areas mapped as very frequently to frequently exposed to river plumes are more </w:t>
      </w:r>
      <w:r w:rsidRPr="007F5E4B">
        <w:rPr>
          <w:rFonts w:ascii="Calibri" w:eastAsia="Calibri" w:hAnsi="Calibri" w:cs="Times New Roman"/>
          <w:lang w:eastAsia="en-US"/>
        </w:rPr>
        <w:t>extensive in area</w:t>
      </w:r>
      <w:r w:rsidRPr="00DF1C49">
        <w:rPr>
          <w:rFonts w:ascii="Calibri" w:eastAsia="Calibri" w:hAnsi="Calibri" w:cs="Times New Roman"/>
          <w:lang w:eastAsia="en-US"/>
        </w:rPr>
        <w:t xml:space="preserve"> using the TC method than the L2 method, particularly in the wet tropics </w:t>
      </w:r>
    </w:p>
    <w:p w14:paraId="0C3F8886" w14:textId="77777777" w:rsidR="00131E41" w:rsidRPr="00ED3D85" w:rsidRDefault="00131E41" w:rsidP="00131E41">
      <w:pPr>
        <w:rPr>
          <w:rFonts w:ascii="Calibri" w:eastAsia="Calibri" w:hAnsi="Calibri" w:cs="Times New Roman"/>
          <w:lang w:eastAsia="en-US"/>
        </w:rPr>
      </w:pPr>
      <w:r>
        <w:rPr>
          <w:rFonts w:ascii="Calibri" w:eastAsia="Calibri" w:hAnsi="Calibri" w:cs="Times New Roman"/>
          <w:lang w:eastAsia="en-US"/>
        </w:rPr>
        <w:t>The plume water type maps</w:t>
      </w:r>
      <w:r w:rsidRPr="00DF1C49">
        <w:rPr>
          <w:rFonts w:ascii="Calibri" w:eastAsia="Calibri" w:hAnsi="Calibri" w:cs="Times New Roman"/>
          <w:lang w:eastAsia="en-US"/>
        </w:rPr>
        <w:t xml:space="preserve"> </w:t>
      </w:r>
      <w:r>
        <w:rPr>
          <w:rFonts w:ascii="Calibri" w:eastAsia="Calibri" w:hAnsi="Calibri" w:cs="Times New Roman"/>
          <w:lang w:eastAsia="en-US"/>
        </w:rPr>
        <w:t xml:space="preserve">provide </w:t>
      </w:r>
      <w:r w:rsidRPr="00DF1C49">
        <w:rPr>
          <w:rFonts w:ascii="Calibri" w:eastAsia="Calibri" w:hAnsi="Calibri" w:cs="Times New Roman"/>
          <w:lang w:eastAsia="en-US"/>
        </w:rPr>
        <w:t>inform</w:t>
      </w:r>
      <w:r>
        <w:rPr>
          <w:rFonts w:ascii="Calibri" w:eastAsia="Calibri" w:hAnsi="Calibri" w:cs="Times New Roman"/>
          <w:lang w:eastAsia="en-US"/>
        </w:rPr>
        <w:t>ation</w:t>
      </w:r>
      <w:r w:rsidRPr="00DF1C49">
        <w:rPr>
          <w:rFonts w:ascii="Calibri" w:eastAsia="Calibri" w:hAnsi="Calibri" w:cs="Times New Roman"/>
          <w:lang w:eastAsia="en-US"/>
        </w:rPr>
        <w:t xml:space="preserve"> on the type/composition of river plume (through the Primary, Secondary, and Tertiary water type classification) and on the frequency of occurrence (or likelihood) of these plume water </w:t>
      </w:r>
      <w:r w:rsidRPr="00593CC8">
        <w:rPr>
          <w:rFonts w:ascii="Calibri" w:eastAsia="Calibri" w:hAnsi="Calibri" w:cs="Times New Roman"/>
          <w:color w:val="000000" w:themeColor="text1"/>
          <w:lang w:eastAsia="en-US"/>
        </w:rPr>
        <w:t>types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_Ref432671776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9</w:t>
      </w:r>
      <w:r>
        <w:rPr>
          <w:rFonts w:ascii="Calibri" w:eastAsia="Calibri" w:hAnsi="Calibri" w:cs="Times New Roman"/>
          <w:color w:val="000000" w:themeColor="text1"/>
          <w:lang w:eastAsia="en-US"/>
        </w:rPr>
        <w:fldChar w:fldCharType="end"/>
      </w:r>
      <w:r w:rsidRPr="00593CC8">
        <w:rPr>
          <w:rFonts w:ascii="Calibri" w:eastAsia="Calibri" w:hAnsi="Calibri" w:cs="Times New Roman"/>
          <w:color w:val="000000" w:themeColor="text1"/>
          <w:lang w:eastAsia="en-US"/>
        </w:rPr>
        <w:t xml:space="preserve"> </w:t>
      </w:r>
      <w:r>
        <w:rPr>
          <w:rFonts w:ascii="Calibri" w:eastAsia="Calibri" w:hAnsi="Calibri" w:cs="Times New Roman"/>
          <w:color w:val="000000" w:themeColor="text1"/>
          <w:lang w:eastAsia="en-US"/>
        </w:rPr>
        <w:t xml:space="preserve">to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_Ref432671675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14</w:t>
      </w:r>
      <w:r>
        <w:rPr>
          <w:rFonts w:ascii="Calibri" w:eastAsia="Calibri" w:hAnsi="Calibri" w:cs="Times New Roman"/>
          <w:color w:val="000000" w:themeColor="text1"/>
          <w:lang w:eastAsia="en-US"/>
        </w:rPr>
        <w:fldChar w:fldCharType="end"/>
      </w:r>
      <w:r w:rsidRPr="00593CC8">
        <w:rPr>
          <w:rFonts w:ascii="Calibri" w:eastAsia="Calibri" w:hAnsi="Calibri" w:cs="Times New Roman"/>
          <w:color w:val="000000" w:themeColor="text1"/>
          <w:lang w:eastAsia="en-US"/>
        </w:rPr>
        <w:t xml:space="preserve">). </w:t>
      </w:r>
      <w:r w:rsidRPr="00DF1C49">
        <w:rPr>
          <w:rFonts w:ascii="Calibri" w:eastAsia="Calibri" w:hAnsi="Calibri" w:cs="Times New Roman"/>
          <w:lang w:eastAsia="en-US"/>
        </w:rPr>
        <w:t xml:space="preserve">Differences exist between areas and frequencies of plume water types mapped using the L2 and TC methods, particularly between the TC and L2 Secondary (chl-dominated) water type maps. Using the TC outputs, coastal waters of the Burdekin NRM are more often exposed to primary waters (i.e., sediment dominated water type,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_Ref432672036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10</w:t>
      </w:r>
      <w:r>
        <w:rPr>
          <w:rFonts w:ascii="Calibri" w:eastAsia="Calibri" w:hAnsi="Calibri" w:cs="Times New Roman"/>
          <w:lang w:eastAsia="en-US"/>
        </w:rPr>
        <w:fldChar w:fldCharType="end"/>
      </w:r>
      <w:r w:rsidRPr="00DF1C49">
        <w:rPr>
          <w:rFonts w:ascii="Calibri" w:eastAsia="Calibri" w:hAnsi="Calibri" w:cs="Times New Roman"/>
          <w:lang w:eastAsia="en-US"/>
        </w:rPr>
        <w:t>) than coastal waters of the Wet Tropic NRM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_Ref432671776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9</w:t>
      </w:r>
      <w:r>
        <w:rPr>
          <w:rFonts w:ascii="Calibri" w:eastAsia="Calibri" w:hAnsi="Calibri" w:cs="Times New Roman"/>
          <w:lang w:eastAsia="en-US"/>
        </w:rPr>
        <w:fldChar w:fldCharType="end"/>
      </w:r>
      <w:r w:rsidRPr="00DF1C49">
        <w:rPr>
          <w:rFonts w:ascii="Calibri" w:eastAsia="Calibri" w:hAnsi="Calibri" w:cs="Times New Roman"/>
          <w:lang w:eastAsia="en-US"/>
        </w:rPr>
        <w:t>). Inversely marine areas occasionally to frequently exposed to Secondary and Tertiary water types are more extended in the Wet Tropic NRM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_Ref432672066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11</w:t>
      </w:r>
      <w:r>
        <w:rPr>
          <w:rFonts w:ascii="Calibri" w:eastAsia="Calibri" w:hAnsi="Calibri" w:cs="Times New Roman"/>
          <w:lang w:eastAsia="en-US"/>
        </w:rPr>
        <w:fldChar w:fldCharType="end"/>
      </w:r>
      <w:r>
        <w:rPr>
          <w:rFonts w:ascii="Calibri" w:eastAsia="Calibri" w:hAnsi="Calibri" w:cs="Times New Roman"/>
          <w:lang w:eastAsia="en-US"/>
        </w:rPr>
        <w:t xml:space="preserve"> and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_Ref432672071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13</w:t>
      </w:r>
      <w:r>
        <w:rPr>
          <w:rFonts w:ascii="Calibri" w:eastAsia="Calibri" w:hAnsi="Calibri" w:cs="Times New Roman"/>
          <w:lang w:eastAsia="en-US"/>
        </w:rPr>
        <w:fldChar w:fldCharType="end"/>
      </w:r>
      <w:r w:rsidRPr="00DF1C49">
        <w:rPr>
          <w:rFonts w:ascii="Calibri" w:eastAsia="Calibri" w:hAnsi="Calibri" w:cs="Times New Roman"/>
          <w:lang w:eastAsia="en-US"/>
        </w:rPr>
        <w:t>) than in the Burdekin NRM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_Ref432672098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12</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and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_Ref432671675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14</w:t>
      </w:r>
      <w:r>
        <w:rPr>
          <w:rFonts w:ascii="Calibri" w:eastAsia="Calibri" w:hAnsi="Calibri" w:cs="Times New Roman"/>
          <w:lang w:eastAsia="en-US"/>
        </w:rPr>
        <w:fldChar w:fldCharType="end"/>
      </w:r>
      <w:r w:rsidRPr="00DF1C49">
        <w:rPr>
          <w:rFonts w:ascii="Calibri" w:eastAsia="Calibri" w:hAnsi="Calibri" w:cs="Times New Roman"/>
          <w:lang w:eastAsia="en-US"/>
        </w:rPr>
        <w:t>). Tertiary waters (CDOM dominated) are located offshore in the GBR and constitute the transitional waters between plume-affected</w:t>
      </w:r>
      <w:r>
        <w:rPr>
          <w:rFonts w:ascii="Calibri" w:eastAsia="Calibri" w:hAnsi="Calibri" w:cs="Times New Roman"/>
          <w:lang w:eastAsia="en-US"/>
        </w:rPr>
        <w:t xml:space="preserve"> and ambient waters. </w:t>
      </w:r>
    </w:p>
    <w:p w14:paraId="0C3F8887"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rPr>
        <w:drawing>
          <wp:inline distT="0" distB="0" distL="0" distR="0" wp14:anchorId="0C3F900F" wp14:editId="0C3F9010">
            <wp:extent cx="5086350" cy="6400800"/>
            <wp:effectExtent l="0" t="0" r="0" b="0"/>
            <wp:docPr id="93" name="Picture 93" descr="Frequency of occurrence of river plume recorded in 2013 in the Tully-Herbert region by a) and b) the TC method and c) and d) the L2 method. Maps a) and c) show all areas that have been classified as least one day over the wet season 2012-13 as river plume waters. Maps b) and d) show same maps reclassified into frequency breaks  " title="Frequency of occurrence of river p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90077" cy="6405490"/>
                    </a:xfrm>
                    <a:prstGeom prst="rect">
                      <a:avLst/>
                    </a:prstGeom>
                    <a:solidFill>
                      <a:sysClr val="window" lastClr="FFFFFF"/>
                    </a:solidFill>
                  </pic:spPr>
                </pic:pic>
              </a:graphicData>
            </a:graphic>
          </wp:inline>
        </w:drawing>
      </w:r>
    </w:p>
    <w:p w14:paraId="0C3F8888" w14:textId="77777777" w:rsidR="00131E41" w:rsidRPr="00DF1C49" w:rsidRDefault="00131E41" w:rsidP="00131E41">
      <w:pPr>
        <w:pStyle w:val="Caption"/>
        <w:rPr>
          <w:rFonts w:eastAsia="Calibri"/>
        </w:rPr>
      </w:pPr>
      <w:bookmarkStart w:id="192" w:name="_Ref427659567"/>
      <w:bookmarkStart w:id="193" w:name="_Toc434208043"/>
      <w:bookmarkStart w:id="194" w:name="_Toc427833285"/>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7</w:t>
      </w:r>
      <w:r w:rsidR="00D243CD">
        <w:rPr>
          <w:rFonts w:eastAsia="Calibri"/>
        </w:rPr>
        <w:fldChar w:fldCharType="end"/>
      </w:r>
      <w:bookmarkEnd w:id="192"/>
      <w:r w:rsidRPr="00DF1C49">
        <w:rPr>
          <w:rFonts w:eastAsia="Calibri"/>
        </w:rPr>
        <w:t xml:space="preserve">: Frequency of occurrence of river plume recorded in 2013 in the Tully-Herbert region by a) and b) the TC method and c) and d) the L2 method. Maps a) and c) show all areas that have been </w:t>
      </w:r>
      <w:r>
        <w:rPr>
          <w:rFonts w:eastAsia="Calibri"/>
        </w:rPr>
        <w:t>c</w:t>
      </w:r>
      <w:r w:rsidRPr="00DF1C49">
        <w:rPr>
          <w:rFonts w:eastAsia="Calibri"/>
        </w:rPr>
        <w:t>lassified as least one day over the wet season 2012-13 as river plume waters. Maps b) and d) show same maps reclassified into frequency breaks</w:t>
      </w:r>
      <w:r>
        <w:rPr>
          <w:rStyle w:val="FootnoteReference"/>
          <w:rFonts w:eastAsia="Calibri"/>
        </w:rPr>
        <w:footnoteReference w:id="3"/>
      </w:r>
      <w:bookmarkEnd w:id="193"/>
      <w:r w:rsidRPr="00DF1C49">
        <w:rPr>
          <w:rFonts w:eastAsia="Calibri"/>
        </w:rPr>
        <w:t xml:space="preserve"> </w:t>
      </w:r>
      <w:bookmarkEnd w:id="194"/>
    </w:p>
    <w:p w14:paraId="0C3F8889"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rPr>
        <w:drawing>
          <wp:inline distT="0" distB="0" distL="0" distR="0" wp14:anchorId="0C3F9011" wp14:editId="0C3F9012">
            <wp:extent cx="5580000" cy="7024522"/>
            <wp:effectExtent l="0" t="0" r="1905" b="5080"/>
            <wp:docPr id="94" name="Picture 94" descr="Frequency of occurrence of river plume recorded in 2013 in the Burdekin region by a) and b) the TC method and c) and d) the L2 method. Maps a) and c) show all areas that have been classified as least one day over the wet season 2012-13 as river plume waters. Maps b) and d) show same maps reclassified into frequency breaks" title="Frequency of occurrence of river p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580000" cy="7024522"/>
                    </a:xfrm>
                    <a:prstGeom prst="rect">
                      <a:avLst/>
                    </a:prstGeom>
                    <a:solidFill>
                      <a:sysClr val="window" lastClr="FFFFFF"/>
                    </a:solidFill>
                  </pic:spPr>
                </pic:pic>
              </a:graphicData>
            </a:graphic>
          </wp:inline>
        </w:drawing>
      </w:r>
    </w:p>
    <w:p w14:paraId="0C3F888A" w14:textId="77777777" w:rsidR="00131E41" w:rsidRDefault="00131E41" w:rsidP="00131E41">
      <w:pPr>
        <w:pStyle w:val="Caption"/>
        <w:rPr>
          <w:rFonts w:eastAsia="Calibri"/>
        </w:rPr>
      </w:pPr>
      <w:bookmarkStart w:id="195" w:name="_Toc427833286"/>
      <w:bookmarkStart w:id="196" w:name="_Toc434208044"/>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8</w:t>
      </w:r>
      <w:r w:rsidR="00D243CD">
        <w:rPr>
          <w:rFonts w:eastAsia="Calibri"/>
        </w:rPr>
        <w:fldChar w:fldCharType="end"/>
      </w:r>
      <w:r w:rsidRPr="00DF1C49">
        <w:rPr>
          <w:rFonts w:eastAsia="Calibri"/>
        </w:rPr>
        <w:t>: Frequency of occurrence of river plume recorded in 2013 in the Burdekin region by a) and b) the TC method and c) and d) the L2 method. Maps a) and c) show all areas that have been classified as least one day over the wet season 2012-13 as river plume waters. Maps b) and d) show same maps reclassified into frequency breaks</w:t>
      </w:r>
      <w:bookmarkEnd w:id="195"/>
      <w:bookmarkEnd w:id="196"/>
    </w:p>
    <w:p w14:paraId="0C3F888B" w14:textId="77777777" w:rsidR="00131E41" w:rsidRPr="00DF1C49" w:rsidRDefault="00131E41" w:rsidP="00131E41">
      <w:pPr>
        <w:rPr>
          <w:rFonts w:ascii="Calibri" w:eastAsia="Calibri" w:hAnsi="Calibri" w:cs="Times New Roman"/>
          <w:bCs/>
          <w:color w:val="4F81BD"/>
          <w:lang w:eastAsia="en-US"/>
        </w:rPr>
      </w:pPr>
    </w:p>
    <w:p w14:paraId="0C3F888C"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sz w:val="24"/>
          <w:szCs w:val="24"/>
        </w:rPr>
        <w:drawing>
          <wp:inline distT="0" distB="0" distL="0" distR="0" wp14:anchorId="0C3F9013" wp14:editId="0C3F9014">
            <wp:extent cx="5508000" cy="6933884"/>
            <wp:effectExtent l="0" t="0" r="0" b="635"/>
            <wp:docPr id="95" name="Picture 95" descr="Frequency of occurrence of Primary plume waters recorded in 2013 in the Tully-Herbert region by a) and b) the TC method and c) and d) the L2 method. Maps a) and c) show all areas that have been classified as least one day over the wet season 2012-13 as Primary plume waters. Maps b) and d) show same maps reclassified into frequency breaks" title="Frequency of occurrence of Primary plume waters recorded in 2013 in the Tully-Herbert 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508000" cy="6933884"/>
                    </a:xfrm>
                    <a:prstGeom prst="rect">
                      <a:avLst/>
                    </a:prstGeom>
                    <a:solidFill>
                      <a:sysClr val="window" lastClr="FFFFFF"/>
                    </a:solidFill>
                  </pic:spPr>
                </pic:pic>
              </a:graphicData>
            </a:graphic>
          </wp:inline>
        </w:drawing>
      </w:r>
    </w:p>
    <w:p w14:paraId="0C3F888D" w14:textId="77777777" w:rsidR="00131E41" w:rsidRPr="00DF1C49" w:rsidRDefault="00131E41" w:rsidP="00131E41">
      <w:pPr>
        <w:pStyle w:val="Caption"/>
        <w:rPr>
          <w:rFonts w:eastAsia="Calibri"/>
        </w:rPr>
      </w:pPr>
      <w:bookmarkStart w:id="197" w:name="_Ref432671776"/>
      <w:bookmarkStart w:id="198" w:name="_Toc427833287"/>
      <w:bookmarkStart w:id="199" w:name="_Toc434208045"/>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9</w:t>
      </w:r>
      <w:r w:rsidR="00D243CD">
        <w:rPr>
          <w:rFonts w:eastAsia="Calibri"/>
        </w:rPr>
        <w:fldChar w:fldCharType="end"/>
      </w:r>
      <w:bookmarkEnd w:id="197"/>
      <w:r w:rsidRPr="00DF1C49">
        <w:rPr>
          <w:rFonts w:eastAsia="Calibri"/>
        </w:rPr>
        <w:t>: Frequency of occurrence of Primary plume waters recorded in 2013 in the Tully-Herbert region by a) and b) the TC method and c) and d) the L2 method. Maps a) and c) show all areas that have been classified as least one day over the wet season 2012-13 as Primary plume waters. Maps b) and d) show same maps reclassified into frequency break</w:t>
      </w:r>
      <w:bookmarkEnd w:id="198"/>
      <w:r>
        <w:rPr>
          <w:rFonts w:eastAsia="Calibri"/>
        </w:rPr>
        <w:t>s</w:t>
      </w:r>
      <w:bookmarkEnd w:id="199"/>
    </w:p>
    <w:p w14:paraId="0C3F888E"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sz w:val="24"/>
          <w:szCs w:val="24"/>
        </w:rPr>
        <w:drawing>
          <wp:inline distT="0" distB="0" distL="0" distR="0" wp14:anchorId="0C3F9015" wp14:editId="0C3F9016">
            <wp:extent cx="5724000" cy="7207200"/>
            <wp:effectExtent l="0" t="0" r="0" b="0"/>
            <wp:docPr id="96" name="Picture 96" descr="Frequency of occurrence of Primary plume waters recorded in 2013 in the Burdekin region by a) and b) the TC method and c) and d) the L2 method. Maps a) and c) show all areas that have been classified as least one day over the wet season 2012-13 as Primary plume waters. Maps b) and d) show same maps reclassified into frequency breaks" title="Frequency of occurrence of Primary plume waters recorded in 2013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24000" cy="7207200"/>
                    </a:xfrm>
                    <a:prstGeom prst="rect">
                      <a:avLst/>
                    </a:prstGeom>
                    <a:solidFill>
                      <a:sysClr val="window" lastClr="FFFFFF"/>
                    </a:solidFill>
                  </pic:spPr>
                </pic:pic>
              </a:graphicData>
            </a:graphic>
          </wp:inline>
        </w:drawing>
      </w:r>
    </w:p>
    <w:p w14:paraId="0C3F888F" w14:textId="77777777" w:rsidR="00131E41" w:rsidRPr="00A56E8D" w:rsidRDefault="00131E41" w:rsidP="00131E41">
      <w:pPr>
        <w:pStyle w:val="Caption"/>
        <w:rPr>
          <w:rFonts w:eastAsia="Calibri"/>
        </w:rPr>
      </w:pPr>
      <w:bookmarkStart w:id="200" w:name="_Ref432672036"/>
      <w:bookmarkStart w:id="201" w:name="_Toc427833288"/>
      <w:bookmarkStart w:id="202" w:name="_Toc434208046"/>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10</w:t>
      </w:r>
      <w:r w:rsidR="00D243CD">
        <w:rPr>
          <w:rFonts w:eastAsia="Calibri"/>
        </w:rPr>
        <w:fldChar w:fldCharType="end"/>
      </w:r>
      <w:bookmarkEnd w:id="200"/>
      <w:r w:rsidRPr="00DF1C49">
        <w:rPr>
          <w:rFonts w:eastAsia="Calibri"/>
        </w:rPr>
        <w:t>: Frequency of occurrence of Primary plume waters recorded in 2013 in the Burdekin region by a) and b) the TC method and c) and d) the L2 method. Maps a) and c) show all areas that have been classified as least one day over the wet season 2012-13 as Primary plume waters. Maps b) and d) show same maps reclassified into frequency breaks</w:t>
      </w:r>
      <w:bookmarkEnd w:id="201"/>
      <w:bookmarkEnd w:id="202"/>
    </w:p>
    <w:p w14:paraId="0C3F8890"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sz w:val="24"/>
          <w:szCs w:val="24"/>
        </w:rPr>
        <w:drawing>
          <wp:inline distT="0" distB="0" distL="0" distR="0" wp14:anchorId="0C3F9017" wp14:editId="0C3F9018">
            <wp:extent cx="5544000" cy="6980560"/>
            <wp:effectExtent l="0" t="0" r="0" b="0"/>
            <wp:docPr id="97" name="Picture 97" descr="Frequency of occurrence of Secondary plume waters recorded in 2013 in the Tully-Herbert region by a) and b) the TC method and c) and d) the L2 method. Maps a) and c) show all areas that have been classified as least one day over the wet season 2012-13 as Secondary plume waters. Maps b) and d) show same maps reclassified into frequency breaks" title="Frequency of occurrence of Secondary plume waters recorded in 2013 in the Tully-Herber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544000" cy="6980560"/>
                    </a:xfrm>
                    <a:prstGeom prst="rect">
                      <a:avLst/>
                    </a:prstGeom>
                    <a:solidFill>
                      <a:sysClr val="window" lastClr="FFFFFF"/>
                    </a:solidFill>
                  </pic:spPr>
                </pic:pic>
              </a:graphicData>
            </a:graphic>
          </wp:inline>
        </w:drawing>
      </w:r>
    </w:p>
    <w:p w14:paraId="0C3F8891" w14:textId="77777777" w:rsidR="00131E41" w:rsidRPr="00DF1C49" w:rsidRDefault="00131E41" w:rsidP="00131E41">
      <w:pPr>
        <w:pStyle w:val="Caption"/>
        <w:rPr>
          <w:rFonts w:eastAsia="Calibri"/>
          <w:highlight w:val="green"/>
        </w:rPr>
      </w:pPr>
      <w:bookmarkStart w:id="203" w:name="_Ref432672066"/>
      <w:bookmarkStart w:id="204" w:name="_Toc427833289"/>
      <w:bookmarkStart w:id="205" w:name="_Toc434208047"/>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11</w:t>
      </w:r>
      <w:r w:rsidR="00D243CD">
        <w:rPr>
          <w:rFonts w:eastAsia="Calibri"/>
        </w:rPr>
        <w:fldChar w:fldCharType="end"/>
      </w:r>
      <w:bookmarkEnd w:id="203"/>
      <w:r w:rsidRPr="00DF1C49">
        <w:rPr>
          <w:rFonts w:eastAsia="Calibri"/>
        </w:rPr>
        <w:t>: Frequency of occurrence of Secondary plume waters recorded in 2013 in the Tully-Herbert region by a) and b) the TC method and c) and d) the L2 method. Maps a) and c) show all areas that have been classified as least one day over the wet season 2012-13 as Secondary plume waters. Maps b) and d) show same maps reclassified into frequency breaks</w:t>
      </w:r>
      <w:bookmarkEnd w:id="204"/>
      <w:bookmarkEnd w:id="205"/>
    </w:p>
    <w:p w14:paraId="0C3F8892"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sz w:val="24"/>
          <w:szCs w:val="24"/>
        </w:rPr>
        <w:drawing>
          <wp:inline distT="0" distB="0" distL="0" distR="0" wp14:anchorId="0C3F9019" wp14:editId="0C3F901A">
            <wp:extent cx="5724000" cy="7205798"/>
            <wp:effectExtent l="0" t="0" r="0" b="0"/>
            <wp:docPr id="98" name="Picture 98" descr="Frequency of occurrence of Secondary plume waters recorded in 2013 in the Burdekin region by a) and b) the TC method and c) and d) the L2 method. Maps a) and c) show all areas that have been classified as least one day over the wet season 2012-13 as Secondary plume waters. Maps b) and d) show same maps reclassified into frequency breaks" title="Frequency of occurrence of Secondary plume waters recorded in 2013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24000" cy="7205798"/>
                    </a:xfrm>
                    <a:prstGeom prst="rect">
                      <a:avLst/>
                    </a:prstGeom>
                    <a:solidFill>
                      <a:sysClr val="window" lastClr="FFFFFF"/>
                    </a:solidFill>
                  </pic:spPr>
                </pic:pic>
              </a:graphicData>
            </a:graphic>
          </wp:inline>
        </w:drawing>
      </w:r>
    </w:p>
    <w:p w14:paraId="0C3F8893" w14:textId="77777777" w:rsidR="00131E41" w:rsidRDefault="00131E41" w:rsidP="00131E41">
      <w:pPr>
        <w:pStyle w:val="Caption"/>
        <w:rPr>
          <w:rFonts w:eastAsia="Calibri"/>
        </w:rPr>
      </w:pPr>
      <w:bookmarkStart w:id="206" w:name="_Ref432672098"/>
      <w:bookmarkStart w:id="207" w:name="_Toc427833290"/>
      <w:bookmarkStart w:id="208" w:name="_Toc434208048"/>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12</w:t>
      </w:r>
      <w:r w:rsidR="00D243CD">
        <w:rPr>
          <w:rFonts w:eastAsia="Calibri"/>
        </w:rPr>
        <w:fldChar w:fldCharType="end"/>
      </w:r>
      <w:bookmarkEnd w:id="206"/>
      <w:r w:rsidRPr="00DF1C49">
        <w:rPr>
          <w:rFonts w:eastAsia="Calibri"/>
        </w:rPr>
        <w:t>: Frequency of occurrence of Secondary plume waters recorded in 2013 in the Burdekin region by a) and b) the TC method and c) and d) the L2 method. Maps a) and c) show all areas that have been classified as least one day over the wet season 2012-13 as Secondary plume waters. Maps b) and d) show same maps reclassified into frequency breaks</w:t>
      </w:r>
      <w:bookmarkEnd w:id="207"/>
      <w:bookmarkEnd w:id="208"/>
    </w:p>
    <w:p w14:paraId="0C3F8894"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sz w:val="24"/>
          <w:szCs w:val="24"/>
        </w:rPr>
        <w:drawing>
          <wp:inline distT="0" distB="0" distL="0" distR="0" wp14:anchorId="0C3F901B" wp14:editId="0C3F901C">
            <wp:extent cx="5544000" cy="6980560"/>
            <wp:effectExtent l="0" t="0" r="0" b="0"/>
            <wp:docPr id="99" name="Picture 99" descr="Frequency of occurrence of Tertiary plume waters recorded in 2013 in the Tully-Herbert region by a) and b) the TC method and c) and d) the L2 method. Maps a) and c) show all areas that have been classified as least one day over the wet season 2012-13 as Tertiary plume water. Maps b) and d) show same maps reclassified into frequency breaks" title="Frequency of occurrence of Tertiary plume waters recorded in 2013 in the Tully-Herber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544000" cy="6980560"/>
                    </a:xfrm>
                    <a:prstGeom prst="rect">
                      <a:avLst/>
                    </a:prstGeom>
                    <a:solidFill>
                      <a:sysClr val="window" lastClr="FFFFFF"/>
                    </a:solidFill>
                  </pic:spPr>
                </pic:pic>
              </a:graphicData>
            </a:graphic>
          </wp:inline>
        </w:drawing>
      </w:r>
    </w:p>
    <w:p w14:paraId="0C3F8895" w14:textId="77777777" w:rsidR="00131E41" w:rsidRPr="00DF1C49" w:rsidRDefault="00131E41" w:rsidP="00131E41">
      <w:pPr>
        <w:pStyle w:val="Caption"/>
        <w:rPr>
          <w:rFonts w:eastAsia="Calibri"/>
          <w:highlight w:val="green"/>
        </w:rPr>
      </w:pPr>
      <w:bookmarkStart w:id="209" w:name="_Ref432672071"/>
      <w:bookmarkStart w:id="210" w:name="_Toc427833291"/>
      <w:bookmarkStart w:id="211" w:name="_Toc434208049"/>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13</w:t>
      </w:r>
      <w:r w:rsidR="00D243CD">
        <w:rPr>
          <w:rFonts w:eastAsia="Calibri"/>
        </w:rPr>
        <w:fldChar w:fldCharType="end"/>
      </w:r>
      <w:bookmarkEnd w:id="209"/>
      <w:r w:rsidRPr="00DF1C49">
        <w:rPr>
          <w:rFonts w:eastAsia="Calibri"/>
        </w:rPr>
        <w:t xml:space="preserve">: Frequency of occurrence of </w:t>
      </w:r>
      <w:r>
        <w:rPr>
          <w:rFonts w:eastAsia="Calibri"/>
        </w:rPr>
        <w:t>Tertiary</w:t>
      </w:r>
      <w:r w:rsidRPr="00DF1C49">
        <w:rPr>
          <w:rFonts w:eastAsia="Calibri"/>
        </w:rPr>
        <w:t xml:space="preserve"> plume waters recorded in 2013 in the Tully-Herbert region by a) and b) the TC method and c) and d) the L2 method. Maps a) and c) show all areas that have been classified as least one day over the wet season 2012-13 as Tertiary plume water. Maps b) and d) show same maps reclassified into frequency breaks</w:t>
      </w:r>
      <w:bookmarkEnd w:id="210"/>
      <w:bookmarkEnd w:id="211"/>
    </w:p>
    <w:p w14:paraId="0C3F8896"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sz w:val="24"/>
          <w:szCs w:val="24"/>
        </w:rPr>
        <w:drawing>
          <wp:inline distT="0" distB="0" distL="0" distR="0" wp14:anchorId="0C3F901D" wp14:editId="0C3F901E">
            <wp:extent cx="5802924" cy="7306573"/>
            <wp:effectExtent l="0" t="0" r="7620" b="8890"/>
            <wp:docPr id="100" name="Picture 100" descr="Frequency of occurrence of Tertiary plume waters recorded in 2013 in the Burdekin region by a) and b) the TC method and c) and d) the L2 method. Maps a) and c) show all areas that have been classified as least one day over the wet season 2012-13 as Tertiary plume water. Maps b) and d) show same maps reclassified into frequency breaks." title="Frequency of occurrence of Tertiary plume waters recorded in 2013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801263" cy="7304481"/>
                    </a:xfrm>
                    <a:prstGeom prst="rect">
                      <a:avLst/>
                    </a:prstGeom>
                    <a:solidFill>
                      <a:sysClr val="window" lastClr="FFFFFF"/>
                    </a:solidFill>
                  </pic:spPr>
                </pic:pic>
              </a:graphicData>
            </a:graphic>
          </wp:inline>
        </w:drawing>
      </w:r>
    </w:p>
    <w:p w14:paraId="0C3F8897" w14:textId="77777777" w:rsidR="00131E41" w:rsidRDefault="00131E41" w:rsidP="00131E41">
      <w:pPr>
        <w:pStyle w:val="Caption"/>
        <w:rPr>
          <w:rFonts w:eastAsia="Calibri"/>
        </w:rPr>
      </w:pPr>
      <w:bookmarkStart w:id="212" w:name="_Ref432671675"/>
      <w:bookmarkStart w:id="213" w:name="_Toc427833292"/>
      <w:bookmarkStart w:id="214" w:name="_Toc434208050"/>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14</w:t>
      </w:r>
      <w:r w:rsidR="00D243CD">
        <w:rPr>
          <w:rFonts w:eastAsia="Calibri"/>
        </w:rPr>
        <w:fldChar w:fldCharType="end"/>
      </w:r>
      <w:bookmarkEnd w:id="212"/>
      <w:r w:rsidRPr="00DF1C49">
        <w:rPr>
          <w:rFonts w:eastAsia="Calibri"/>
        </w:rPr>
        <w:t>: Frequency of occurrence of Tertiary plume waters recorded in 2013 in the Burdekin region by a) and b) the TC method and c) and d) the L2 method. Maps a) and c) show all areas that have been classified as least one day over the wet season 2012-13 as Tertiary plume water. Maps b) and d) show same maps reclassified into frequency breaks</w:t>
      </w:r>
      <w:bookmarkEnd w:id="213"/>
      <w:r>
        <w:rPr>
          <w:rFonts w:eastAsia="Calibri"/>
        </w:rPr>
        <w:t>.</w:t>
      </w:r>
      <w:bookmarkEnd w:id="214"/>
    </w:p>
    <w:p w14:paraId="0C3F8898" w14:textId="77777777" w:rsidR="00131E41" w:rsidRPr="00CF0CFC" w:rsidRDefault="00131E41" w:rsidP="00131E41">
      <w:pPr>
        <w:rPr>
          <w:rFonts w:eastAsia="Calibri"/>
          <w:lang w:val="en-GB" w:eastAsia="en-US"/>
        </w:rPr>
      </w:pPr>
    </w:p>
    <w:p w14:paraId="0C3F8899" w14:textId="77777777" w:rsidR="00131E41" w:rsidRPr="00C570D1" w:rsidRDefault="00131E41" w:rsidP="00131E41">
      <w:pPr>
        <w:pStyle w:val="Heading3"/>
        <w:numPr>
          <w:ilvl w:val="2"/>
          <w:numId w:val="3"/>
        </w:numPr>
        <w:rPr>
          <w:bCs/>
          <w:iCs/>
        </w:rPr>
      </w:pPr>
      <w:bookmarkStart w:id="215" w:name="_Toc427831218"/>
      <w:bookmarkStart w:id="216" w:name="_Toc428793349"/>
      <w:bookmarkStart w:id="217" w:name="_Toc428851354"/>
      <w:bookmarkStart w:id="218" w:name="_Toc434208012"/>
      <w:r w:rsidRPr="00C570D1">
        <w:rPr>
          <w:bCs/>
          <w:iCs/>
        </w:rPr>
        <w:t>Water Quality concentration in river plumes</w:t>
      </w:r>
      <w:bookmarkEnd w:id="215"/>
      <w:bookmarkEnd w:id="216"/>
      <w:bookmarkEnd w:id="217"/>
      <w:bookmarkEnd w:id="218"/>
    </w:p>
    <w:p w14:paraId="0C3F889A" w14:textId="77777777" w:rsidR="00131E41" w:rsidRPr="00AA03D3" w:rsidRDefault="00131E41" w:rsidP="00131E41">
      <w:pPr>
        <w:rPr>
          <w:rFonts w:ascii="Calibri" w:eastAsia="Calibri" w:hAnsi="Calibri" w:cs="Times New Roman"/>
          <w:lang w:eastAsia="en-US"/>
        </w:rPr>
      </w:pPr>
      <w:r w:rsidRPr="00AA03D3">
        <w:rPr>
          <w:rFonts w:ascii="Calibri" w:eastAsia="Calibri" w:hAnsi="Calibri" w:cs="Times New Roman"/>
          <w:lang w:eastAsia="en-US"/>
        </w:rPr>
        <w:t>Comparison of plume water type maps produced from the TC method with in-situ WQ data of the wet seasons from 2007 to 2012 were performed and published in Devlin et al. (2013b). Mean annual (i.e., from December to April) in-situ values of chl-a, TSS and the Kd</w:t>
      </w:r>
      <w:r>
        <w:rPr>
          <w:rFonts w:ascii="Calibri" w:eastAsia="Calibri" w:hAnsi="Calibri" w:cs="Times New Roman"/>
          <w:lang w:eastAsia="en-US"/>
        </w:rPr>
        <w:t>(</w:t>
      </w:r>
      <w:r w:rsidRPr="00AA03D3">
        <w:rPr>
          <w:rFonts w:ascii="Calibri" w:eastAsia="Calibri" w:hAnsi="Calibri" w:cs="Times New Roman"/>
          <w:lang w:eastAsia="en-US"/>
        </w:rPr>
        <w:t>PAR</w:t>
      </w:r>
      <w:r>
        <w:rPr>
          <w:rFonts w:ascii="Calibri" w:eastAsia="Calibri" w:hAnsi="Calibri" w:cs="Times New Roman"/>
          <w:lang w:eastAsia="en-US"/>
        </w:rPr>
        <w:t>)</w:t>
      </w:r>
      <w:r w:rsidRPr="00AA03D3">
        <w:rPr>
          <w:rFonts w:ascii="Calibri" w:eastAsia="Calibri" w:hAnsi="Calibri" w:cs="Times New Roman"/>
          <w:lang w:eastAsia="en-US"/>
        </w:rPr>
        <w:t xml:space="preserve">, measured </w:t>
      </w:r>
      <w:r>
        <w:rPr>
          <w:rFonts w:ascii="Calibri" w:eastAsia="Calibri" w:hAnsi="Calibri" w:cs="Times New Roman"/>
          <w:lang w:eastAsia="en-US"/>
        </w:rPr>
        <w:t xml:space="preserve">across plume waters </w:t>
      </w:r>
      <w:r w:rsidRPr="00AA03D3">
        <w:rPr>
          <w:rFonts w:ascii="Calibri" w:eastAsia="Calibri" w:hAnsi="Calibri" w:cs="Times New Roman"/>
          <w:lang w:eastAsia="en-US"/>
        </w:rPr>
        <w:t>through MMP funding, were mapped against annual frequency maps of Primary, Secondary and Tertiary water types produced from the TC method for 6 wet seasons (2007 to 2012). WQ data (chl-a, TSS, KdPAR) over these 6 years were assigned to Primary, Secondary or Tertiary water type where that frequency of the water type was greater than 0.5, representing the pixel was identified as “this” water type for at least 50% of the wet season. The mean value (x +/- standard error) of chl-a, Kd</w:t>
      </w:r>
      <w:r>
        <w:rPr>
          <w:rFonts w:ascii="Calibri" w:eastAsia="Calibri" w:hAnsi="Calibri" w:cs="Times New Roman"/>
          <w:lang w:eastAsia="en-US"/>
        </w:rPr>
        <w:t>(</w:t>
      </w:r>
      <w:r w:rsidRPr="00AA03D3">
        <w:rPr>
          <w:rFonts w:ascii="Calibri" w:eastAsia="Calibri" w:hAnsi="Calibri" w:cs="Times New Roman"/>
          <w:lang w:eastAsia="en-US"/>
        </w:rPr>
        <w:t>PAR</w:t>
      </w:r>
      <w:r>
        <w:rPr>
          <w:rFonts w:ascii="Calibri" w:eastAsia="Calibri" w:hAnsi="Calibri" w:cs="Times New Roman"/>
          <w:lang w:eastAsia="en-US"/>
        </w:rPr>
        <w:t>)</w:t>
      </w:r>
      <w:r w:rsidRPr="00AA03D3">
        <w:rPr>
          <w:rFonts w:ascii="Calibri" w:eastAsia="Calibri" w:hAnsi="Calibri" w:cs="Times New Roman"/>
          <w:lang w:eastAsia="en-US"/>
        </w:rPr>
        <w:t xml:space="preserve"> and TSS was calculated for each water type over the sampling period</w:t>
      </w:r>
      <w:r>
        <w:rPr>
          <w:rFonts w:ascii="Calibri" w:eastAsia="Calibri" w:hAnsi="Calibri" w:cs="Times New Roman"/>
          <w:lang w:eastAsia="en-US"/>
        </w:rPr>
        <w:t xml:space="preserve"> </w:t>
      </w:r>
      <w:r w:rsidRPr="00AA03D3">
        <w:rPr>
          <w:rFonts w:ascii="Calibri" w:eastAsia="Calibri" w:hAnsi="Calibri" w:cs="Times New Roman"/>
          <w:lang w:eastAsia="en-US"/>
        </w:rPr>
        <w:t>.</w:t>
      </w:r>
    </w:p>
    <w:p w14:paraId="0C3F889B" w14:textId="77777777" w:rsidR="00131E41" w:rsidRDefault="00131E41" w:rsidP="00131E41">
      <w:pPr>
        <w:rPr>
          <w:rFonts w:ascii="Calibri" w:eastAsia="Calibri" w:hAnsi="Calibri" w:cs="Times New Roman"/>
          <w:lang w:eastAsia="en-US"/>
        </w:rPr>
      </w:pPr>
      <w:r w:rsidRPr="00AA03D3">
        <w:rPr>
          <w:rFonts w:ascii="Calibri" w:eastAsia="Calibri" w:hAnsi="Calibri" w:cs="Times New Roman"/>
          <w:lang w:eastAsia="en-US"/>
        </w:rPr>
        <w:t>WQ concentrations across the three plume water types were comparable with the current understanding of GBR WQ gradients (as described by e.g. Devlin and Schaffelke, 2009; Devlin et al., 2012a and Devlin et al., 2013a, b)</w:t>
      </w:r>
      <w:r>
        <w:rPr>
          <w:rFonts w:ascii="Calibri" w:eastAsia="Calibri" w:hAnsi="Calibri" w:cs="Times New Roman"/>
          <w:lang w:eastAsia="en-US"/>
        </w:rPr>
        <w:t>. It</w:t>
      </w:r>
      <w:r w:rsidRPr="00AA03D3">
        <w:rPr>
          <w:rFonts w:ascii="Calibri" w:eastAsia="Calibri" w:hAnsi="Calibri" w:cs="Times New Roman"/>
          <w:lang w:eastAsia="en-US"/>
        </w:rPr>
        <w:t xml:space="preserve"> supported the validity of the TC method developed to produce GBR river plume and plume water type maps</w:t>
      </w:r>
      <w:r>
        <w:rPr>
          <w:rFonts w:ascii="Calibri" w:eastAsia="Calibri" w:hAnsi="Calibri" w:cs="Times New Roman"/>
          <w:lang w:eastAsia="en-US"/>
        </w:rPr>
        <w:t xml:space="preserve"> as well as theories behind the production of potential river plume risk maps for GBR ecosystems, i.e., theories assuming </w:t>
      </w:r>
      <w:r w:rsidRPr="005224DA">
        <w:rPr>
          <w:rFonts w:ascii="Calibri" w:eastAsia="Calibri" w:hAnsi="Calibri" w:cs="Times New Roman"/>
          <w:lang w:eastAsia="en-US"/>
        </w:rPr>
        <w:t>that the magnitude of the river plume risk for the GBR seagrass beds and coral reefs from combined WQ stressors w</w:t>
      </w:r>
      <w:r>
        <w:rPr>
          <w:rFonts w:ascii="Calibri" w:eastAsia="Calibri" w:hAnsi="Calibri" w:cs="Times New Roman"/>
          <w:lang w:eastAsia="en-US"/>
        </w:rPr>
        <w:t>ould</w:t>
      </w:r>
      <w:r w:rsidRPr="005224DA">
        <w:rPr>
          <w:rFonts w:ascii="Calibri" w:eastAsia="Calibri" w:hAnsi="Calibri" w:cs="Times New Roman"/>
          <w:lang w:eastAsia="en-US"/>
        </w:rPr>
        <w:t xml:space="preserve"> increase from the Tertiary waters to the Primary core of river plumes</w:t>
      </w:r>
      <w:r w:rsidRPr="00AA03D3">
        <w:rPr>
          <w:rFonts w:ascii="Calibri" w:eastAsia="Calibri" w:hAnsi="Calibri" w:cs="Times New Roman"/>
          <w:lang w:eastAsia="en-US"/>
        </w:rPr>
        <w:t>. The TSS and Kd(PAR) values reduce through the three plume water types from 36.8 ± 5.5 mg l</w:t>
      </w:r>
      <w:r w:rsidRPr="009A2DEC">
        <w:rPr>
          <w:rFonts w:ascii="Calibri" w:eastAsia="Calibri" w:hAnsi="Calibri" w:cs="Times New Roman"/>
          <w:vertAlign w:val="superscript"/>
          <w:lang w:eastAsia="en-US"/>
        </w:rPr>
        <w:t>-1</w:t>
      </w:r>
      <w:r w:rsidRPr="00AA03D3">
        <w:rPr>
          <w:rFonts w:ascii="Calibri" w:eastAsia="Calibri" w:hAnsi="Calibri" w:cs="Times New Roman"/>
          <w:lang w:eastAsia="en-US"/>
        </w:rPr>
        <w:t xml:space="preserve"> and 0.73 ± 0.54 m</w:t>
      </w:r>
      <w:r w:rsidRPr="009A2DEC">
        <w:rPr>
          <w:rFonts w:ascii="Calibri" w:eastAsia="Calibri" w:hAnsi="Calibri" w:cs="Times New Roman"/>
          <w:vertAlign w:val="superscript"/>
          <w:lang w:eastAsia="en-US"/>
        </w:rPr>
        <w:t>-1</w:t>
      </w:r>
      <w:r w:rsidRPr="00AA03D3">
        <w:rPr>
          <w:rFonts w:ascii="Calibri" w:eastAsia="Calibri" w:hAnsi="Calibri" w:cs="Times New Roman"/>
          <w:lang w:eastAsia="en-US"/>
        </w:rPr>
        <w:t xml:space="preserve"> (Primary), to 8.9 ± 18.1 mg l</w:t>
      </w:r>
      <w:r w:rsidRPr="009A2DEC">
        <w:rPr>
          <w:rFonts w:ascii="Calibri" w:eastAsia="Calibri" w:hAnsi="Calibri" w:cs="Times New Roman"/>
          <w:vertAlign w:val="superscript"/>
          <w:lang w:eastAsia="en-US"/>
        </w:rPr>
        <w:t>-1</w:t>
      </w:r>
      <w:r w:rsidRPr="00AA03D3">
        <w:rPr>
          <w:rFonts w:ascii="Calibri" w:eastAsia="Calibri" w:hAnsi="Calibri" w:cs="Times New Roman"/>
          <w:lang w:eastAsia="en-US"/>
        </w:rPr>
        <w:t xml:space="preserve"> and 0.39 ± 0.20 m</w:t>
      </w:r>
      <w:r w:rsidRPr="009A2DEC">
        <w:rPr>
          <w:rFonts w:ascii="Calibri" w:eastAsia="Calibri" w:hAnsi="Calibri" w:cs="Times New Roman"/>
          <w:vertAlign w:val="superscript"/>
          <w:lang w:eastAsia="en-US"/>
        </w:rPr>
        <w:t>-1</w:t>
      </w:r>
      <w:r w:rsidRPr="00AA03D3">
        <w:rPr>
          <w:rFonts w:ascii="Calibri" w:eastAsia="Calibri" w:hAnsi="Calibri" w:cs="Times New Roman"/>
          <w:lang w:eastAsia="en-US"/>
        </w:rPr>
        <w:t xml:space="preserve"> (Secondary) and to 2.9 ± 3.2 mg l</w:t>
      </w:r>
      <w:r w:rsidRPr="009A2DEC">
        <w:rPr>
          <w:rFonts w:ascii="Calibri" w:eastAsia="Calibri" w:hAnsi="Calibri" w:cs="Times New Roman"/>
          <w:vertAlign w:val="superscript"/>
          <w:lang w:eastAsia="en-US"/>
        </w:rPr>
        <w:t>-1</w:t>
      </w:r>
      <w:r w:rsidRPr="00AA03D3">
        <w:rPr>
          <w:rFonts w:ascii="Calibri" w:eastAsia="Calibri" w:hAnsi="Calibri" w:cs="Times New Roman"/>
          <w:lang w:eastAsia="en-US"/>
        </w:rPr>
        <w:t>, and 0.24 ± 0.02 m</w:t>
      </w:r>
      <w:r w:rsidRPr="009A2DEC">
        <w:rPr>
          <w:rFonts w:ascii="Calibri" w:eastAsia="Calibri" w:hAnsi="Calibri" w:cs="Times New Roman"/>
          <w:vertAlign w:val="superscript"/>
          <w:lang w:eastAsia="en-US"/>
        </w:rPr>
        <w:t>-1</w:t>
      </w:r>
      <w:r w:rsidRPr="00AA03D3">
        <w:rPr>
          <w:rFonts w:ascii="Calibri" w:eastAsia="Calibri" w:hAnsi="Calibri" w:cs="Times New Roman"/>
          <w:lang w:eastAsia="en-US"/>
        </w:rPr>
        <w:t xml:space="preserve"> (Tertiary), respectively. The chl-a concentration were lower in the initial turbid Primary water type (0.98 ± 0.2 μg L</w:t>
      </w:r>
      <w:r w:rsidRPr="002C6534">
        <w:rPr>
          <w:rFonts w:ascii="Calibri" w:eastAsia="Calibri" w:hAnsi="Calibri" w:cs="Times New Roman"/>
          <w:vertAlign w:val="superscript"/>
          <w:lang w:eastAsia="en-US"/>
        </w:rPr>
        <w:t>-1</w:t>
      </w:r>
      <w:r w:rsidRPr="00AA03D3">
        <w:rPr>
          <w:rFonts w:ascii="Calibri" w:eastAsia="Calibri" w:hAnsi="Calibri" w:cs="Times New Roman"/>
          <w:lang w:eastAsia="en-US"/>
        </w:rPr>
        <w:t>) and increased through the Secondary water type (1.3 ± 0.6 μg L</w:t>
      </w:r>
      <w:r w:rsidRPr="002C6534">
        <w:rPr>
          <w:rFonts w:ascii="Calibri" w:eastAsia="Calibri" w:hAnsi="Calibri" w:cs="Times New Roman"/>
          <w:vertAlign w:val="superscript"/>
          <w:lang w:eastAsia="en-US"/>
        </w:rPr>
        <w:t>-1</w:t>
      </w:r>
      <w:r w:rsidRPr="00AA03D3">
        <w:rPr>
          <w:rFonts w:ascii="Calibri" w:eastAsia="Calibri" w:hAnsi="Calibri" w:cs="Times New Roman"/>
          <w:lang w:eastAsia="en-US"/>
        </w:rPr>
        <w:t>) as sedimentation increases and nutrient concentrations stay elevated. The concentrations were lower in the Tertiary zone (0.7 ± 0.3 μg L</w:t>
      </w:r>
      <w:r w:rsidRPr="002C6534">
        <w:rPr>
          <w:rFonts w:ascii="Calibri" w:eastAsia="Calibri" w:hAnsi="Calibri" w:cs="Times New Roman"/>
          <w:vertAlign w:val="superscript"/>
          <w:lang w:eastAsia="en-US"/>
        </w:rPr>
        <w:t>-1</w:t>
      </w:r>
      <w:r w:rsidRPr="00AA03D3">
        <w:rPr>
          <w:rFonts w:ascii="Calibri" w:eastAsia="Calibri" w:hAnsi="Calibri" w:cs="Times New Roman"/>
          <w:lang w:eastAsia="en-US"/>
        </w:rPr>
        <w:t xml:space="preserve">), suggesting dilution processes and biological uptake as the flood plume aged over time and space. </w:t>
      </w:r>
    </w:p>
    <w:p w14:paraId="0C3F889C" w14:textId="77777777" w:rsidR="00131E41" w:rsidRPr="0025424E" w:rsidRDefault="00131E41" w:rsidP="00131E41">
      <w:pPr>
        <w:rPr>
          <w:rFonts w:ascii="Calibri" w:eastAsia="Calibri" w:hAnsi="Calibri" w:cs="Times New Roman"/>
          <w:bCs/>
          <w:color w:val="4F81BD"/>
          <w:sz w:val="18"/>
          <w:szCs w:val="18"/>
          <w:lang w:eastAsia="en-US"/>
        </w:rPr>
      </w:pPr>
      <w:r>
        <w:rPr>
          <w:noProof/>
        </w:rPr>
        <w:drawing>
          <wp:inline distT="0" distB="0" distL="0" distR="0" wp14:anchorId="0C3F901F" wp14:editId="0C3F9020">
            <wp:extent cx="4680000" cy="3129557"/>
            <wp:effectExtent l="0" t="0" r="6350" b="0"/>
            <wp:docPr id="101" name="Picture 25" descr="Mean concentrations of in-situ WQ measurements within each plume type. WQ data were assigned to plume water type based on dominant frequency (frequency &gt; 0.5). Data are reported for (a) total suspended solids (TSS), with higher values in the Primary " title="Mean concentrations of in-situ WQ measurements within each plum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80000" cy="3129557"/>
                    </a:xfrm>
                    <a:prstGeom prst="rect">
                      <a:avLst/>
                    </a:prstGeom>
                    <a:solidFill>
                      <a:schemeClr val="bg1"/>
                    </a:solidFill>
                  </pic:spPr>
                </pic:pic>
              </a:graphicData>
            </a:graphic>
          </wp:inline>
        </w:drawing>
      </w:r>
    </w:p>
    <w:p w14:paraId="0C3F889D" w14:textId="77777777" w:rsidR="00131E41" w:rsidRPr="00C570D1" w:rsidRDefault="00131E41" w:rsidP="00131E41">
      <w:pPr>
        <w:pStyle w:val="Caption"/>
        <w:rPr>
          <w:rFonts w:eastAsia="Calibri"/>
        </w:rPr>
      </w:pPr>
      <w:bookmarkStart w:id="219" w:name="_Ref427763904"/>
      <w:bookmarkStart w:id="220" w:name="_Toc427833293"/>
      <w:bookmarkStart w:id="221" w:name="_Toc434208051"/>
      <w:r w:rsidRPr="00C570D1">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15</w:t>
      </w:r>
      <w:r w:rsidR="00D243CD">
        <w:rPr>
          <w:rFonts w:eastAsia="Calibri"/>
        </w:rPr>
        <w:fldChar w:fldCharType="end"/>
      </w:r>
      <w:bookmarkEnd w:id="219"/>
      <w:r w:rsidRPr="00C570D1">
        <w:rPr>
          <w:rFonts w:eastAsia="Calibri"/>
        </w:rPr>
        <w:t>: Mean concentrations of in-situ WQ measurements within each plume type. WQ data were assigned to plume water type based on dominant frequency (frequency &gt; 0.5). Data are reported for (a) total suspended solids (TSS), with higher values in the Primary plume zone, (b) KdPAR, with higher values in the Primary plume zone, and (c) chl-a, with highest values in the Secondary plume zone (modified from Devlin et al., 2013b).</w:t>
      </w:r>
      <w:bookmarkEnd w:id="220"/>
      <w:bookmarkEnd w:id="221"/>
    </w:p>
    <w:p w14:paraId="0C3F889E" w14:textId="77777777" w:rsidR="00131E41" w:rsidRDefault="00131E41" w:rsidP="00131E41">
      <w:pPr>
        <w:rPr>
          <w:rFonts w:ascii="Calibri" w:eastAsia="Calibri" w:hAnsi="Calibri" w:cs="Times New Roman"/>
          <w:lang w:eastAsia="en-US"/>
        </w:rPr>
      </w:pPr>
    </w:p>
    <w:p w14:paraId="0C3F889F" w14:textId="77777777" w:rsidR="00131E41" w:rsidRDefault="00131E41" w:rsidP="00131E41">
      <w:pPr>
        <w:rPr>
          <w:rFonts w:ascii="Calibri" w:eastAsia="Calibri" w:hAnsi="Calibri" w:cs="Times New Roman"/>
          <w:lang w:eastAsia="en-US"/>
        </w:rPr>
      </w:pPr>
      <w:r>
        <w:rPr>
          <w:rFonts w:ascii="Calibri" w:eastAsia="Calibri" w:hAnsi="Calibri" w:cs="Times New Roman"/>
          <w:lang w:eastAsia="en-US"/>
        </w:rPr>
        <w:t xml:space="preserve">Similar results were obtained by Petus et al. (2014b). where the authors compared </w:t>
      </w:r>
      <w:r w:rsidRPr="001C3998">
        <w:rPr>
          <w:rFonts w:ascii="Calibri" w:eastAsia="Calibri" w:hAnsi="Calibri" w:cs="Times New Roman"/>
          <w:lang w:eastAsia="en-US"/>
        </w:rPr>
        <w:t>water type maps produced from the L2 method in wet seasons of 2011, 2012, 2013 against in-situ values of chl-a, TSS, CDOM, and Kd(PAR) acquired within ±2 h of the satellite over passes.</w:t>
      </w:r>
      <w:r>
        <w:rPr>
          <w:rFonts w:ascii="Calibri" w:eastAsia="Calibri" w:hAnsi="Calibri" w:cs="Times New Roman"/>
          <w:lang w:eastAsia="en-US"/>
        </w:rPr>
        <w:t xml:space="preserve"> </w:t>
      </w:r>
      <w:r w:rsidRPr="001C3998">
        <w:rPr>
          <w:rFonts w:ascii="Calibri" w:eastAsia="Calibri" w:hAnsi="Calibri" w:cs="Times New Roman"/>
          <w:lang w:eastAsia="en-US"/>
        </w:rPr>
        <w:t xml:space="preserve">WQ concentrations across the three plume water were comparable with </w:t>
      </w:r>
      <w:r>
        <w:rPr>
          <w:rFonts w:ascii="Calibri" w:eastAsia="Calibri" w:hAnsi="Calibri" w:cs="Times New Roman"/>
          <w:lang w:eastAsia="en-US"/>
        </w:rPr>
        <w:t>the</w:t>
      </w:r>
      <w:r w:rsidRPr="001C3998">
        <w:rPr>
          <w:rFonts w:ascii="Calibri" w:eastAsia="Calibri" w:hAnsi="Calibri" w:cs="Times New Roman"/>
          <w:lang w:eastAsia="en-US"/>
        </w:rPr>
        <w:t xml:space="preserve"> current understanding of WQ gradients (as described by e.g. Devlin and Schaffelke, 2009; Devlin et al., 2012a, 2013a, b), with mean in-situ WQ values similar to the ones calculated for the validation of the TC method (Devlin et al., 2013b). The Kd(PAR) and CDOM values reduced through the three plume water types from 0.67 m</w:t>
      </w:r>
      <w:r w:rsidRPr="00282A2C">
        <w:rPr>
          <w:rFonts w:ascii="Calibri" w:eastAsia="Calibri" w:hAnsi="Calibri" w:cs="Times New Roman"/>
          <w:vertAlign w:val="superscript"/>
          <w:lang w:eastAsia="en-US"/>
        </w:rPr>
        <w:t>-1</w:t>
      </w:r>
      <w:r w:rsidRPr="001C3998">
        <w:rPr>
          <w:rFonts w:ascii="Calibri" w:eastAsia="Calibri" w:hAnsi="Calibri" w:cs="Times New Roman"/>
          <w:lang w:eastAsia="en-US"/>
        </w:rPr>
        <w:t xml:space="preserve"> and 0.35 m</w:t>
      </w:r>
      <w:r w:rsidRPr="00282A2C">
        <w:rPr>
          <w:rFonts w:ascii="Calibri" w:eastAsia="Calibri" w:hAnsi="Calibri" w:cs="Times New Roman"/>
          <w:vertAlign w:val="superscript"/>
          <w:lang w:eastAsia="en-US"/>
        </w:rPr>
        <w:t>-1</w:t>
      </w:r>
      <w:r w:rsidRPr="001C3998">
        <w:rPr>
          <w:rFonts w:ascii="Calibri" w:eastAsia="Calibri" w:hAnsi="Calibri" w:cs="Times New Roman"/>
          <w:lang w:eastAsia="en-US"/>
        </w:rPr>
        <w:t xml:space="preserve"> (Primary) to 0.32 m</w:t>
      </w:r>
      <w:r w:rsidRPr="00282A2C">
        <w:rPr>
          <w:rFonts w:ascii="Calibri" w:eastAsia="Calibri" w:hAnsi="Calibri" w:cs="Times New Roman"/>
          <w:vertAlign w:val="superscript"/>
          <w:lang w:eastAsia="en-US"/>
        </w:rPr>
        <w:t>-1</w:t>
      </w:r>
      <w:r w:rsidRPr="001C3998">
        <w:rPr>
          <w:rFonts w:ascii="Calibri" w:eastAsia="Calibri" w:hAnsi="Calibri" w:cs="Times New Roman"/>
          <w:lang w:eastAsia="en-US"/>
        </w:rPr>
        <w:t xml:space="preserve"> and 0.22 m</w:t>
      </w:r>
      <w:r w:rsidRPr="00282A2C">
        <w:rPr>
          <w:rFonts w:ascii="Calibri" w:eastAsia="Calibri" w:hAnsi="Calibri" w:cs="Times New Roman"/>
          <w:vertAlign w:val="superscript"/>
          <w:lang w:eastAsia="en-US"/>
        </w:rPr>
        <w:t>-1</w:t>
      </w:r>
      <w:r w:rsidRPr="001C3998">
        <w:rPr>
          <w:rFonts w:ascii="Calibri" w:eastAsia="Calibri" w:hAnsi="Calibri" w:cs="Times New Roman"/>
          <w:lang w:eastAsia="en-US"/>
        </w:rPr>
        <w:t xml:space="preserve"> (Tertiary), respectively. The chl-a concentration were lower in the initial turbid Primary water type (0.75 μg L</w:t>
      </w:r>
      <w:r w:rsidRPr="00282A2C">
        <w:rPr>
          <w:rFonts w:ascii="Calibri" w:eastAsia="Calibri" w:hAnsi="Calibri" w:cs="Times New Roman"/>
          <w:vertAlign w:val="superscript"/>
          <w:lang w:eastAsia="en-US"/>
        </w:rPr>
        <w:t>-1</w:t>
      </w:r>
      <w:r w:rsidRPr="001C3998">
        <w:rPr>
          <w:rFonts w:ascii="Calibri" w:eastAsia="Calibri" w:hAnsi="Calibri" w:cs="Times New Roman"/>
          <w:lang w:eastAsia="en-US"/>
        </w:rPr>
        <w:t>) and increased through the Secondary water type (0.96 μg L</w:t>
      </w:r>
      <w:r w:rsidRPr="00282A2C">
        <w:rPr>
          <w:rFonts w:ascii="Calibri" w:eastAsia="Calibri" w:hAnsi="Calibri" w:cs="Times New Roman"/>
          <w:vertAlign w:val="superscript"/>
          <w:lang w:eastAsia="en-US"/>
        </w:rPr>
        <w:t>-1</w:t>
      </w:r>
      <w:r w:rsidRPr="001C3998">
        <w:rPr>
          <w:rFonts w:ascii="Calibri" w:eastAsia="Calibri" w:hAnsi="Calibri" w:cs="Times New Roman"/>
          <w:lang w:eastAsia="en-US"/>
        </w:rPr>
        <w:t>) as sedimentation increases and nutrient concentrations stay elevated. The chl-a values calculated in the TC method are slightly higher with 0.98 μg L</w:t>
      </w:r>
      <w:r w:rsidRPr="003C792F">
        <w:rPr>
          <w:rFonts w:ascii="Calibri" w:eastAsia="Calibri" w:hAnsi="Calibri" w:cs="Times New Roman"/>
          <w:vertAlign w:val="superscript"/>
          <w:lang w:eastAsia="en-US"/>
        </w:rPr>
        <w:t>-1</w:t>
      </w:r>
      <w:r w:rsidRPr="001C3998">
        <w:rPr>
          <w:rFonts w:ascii="Calibri" w:eastAsia="Calibri" w:hAnsi="Calibri" w:cs="Times New Roman"/>
          <w:lang w:eastAsia="en-US"/>
        </w:rPr>
        <w:t xml:space="preserve"> in the Primary water type and 1.3 μg L</w:t>
      </w:r>
      <w:r w:rsidRPr="00AA7607">
        <w:rPr>
          <w:rFonts w:ascii="Calibri" w:eastAsia="Calibri" w:hAnsi="Calibri" w:cs="Times New Roman"/>
          <w:vertAlign w:val="superscript"/>
          <w:lang w:eastAsia="en-US"/>
        </w:rPr>
        <w:t>-1</w:t>
      </w:r>
      <w:r w:rsidRPr="001C3998">
        <w:rPr>
          <w:rFonts w:ascii="Calibri" w:eastAsia="Calibri" w:hAnsi="Calibri" w:cs="Times New Roman"/>
          <w:lang w:eastAsia="en-US"/>
        </w:rPr>
        <w:t xml:space="preserve"> in the secondary water type. These differences in chl-a values are the most probably due to datasets used to compare the in-situ WQ data and the river plume maps. Indeed L2 comparisons utilize only data acquired within ±2 h of the satellite over passes (i.e., direct match ups) while TC comparisons utilize all data available and do not exclude on direct match ups. Furthermore, differences have been observed between areas and frequencies of plume water types mapped using the L2 and TC methods, particularly between the TC and L2 Secondary (chl-dominated) water type maps (see </w:t>
      </w:r>
      <w:r>
        <w:rPr>
          <w:rFonts w:ascii="Calibri" w:eastAsia="Calibri" w:hAnsi="Calibri" w:cs="Times New Roman"/>
          <w:lang w:eastAsia="en-US"/>
        </w:rPr>
        <w:t>previous section</w:t>
      </w:r>
      <w:r w:rsidRPr="001C3998">
        <w:rPr>
          <w:rFonts w:ascii="Calibri" w:eastAsia="Calibri" w:hAnsi="Calibri" w:cs="Times New Roman"/>
          <w:lang w:eastAsia="en-US"/>
        </w:rPr>
        <w:t xml:space="preserve">). </w:t>
      </w:r>
    </w:p>
    <w:p w14:paraId="0C3F88A0" w14:textId="77777777" w:rsidR="00131E41" w:rsidRDefault="00131E41" w:rsidP="00131E41">
      <w:pPr>
        <w:rPr>
          <w:rFonts w:ascii="Calibri" w:eastAsia="Calibri" w:hAnsi="Calibri" w:cs="Times New Roman"/>
          <w:lang w:eastAsia="en-US"/>
        </w:rPr>
      </w:pPr>
    </w:p>
    <w:p w14:paraId="0C3F88A1" w14:textId="77777777" w:rsidR="00131E41" w:rsidRDefault="00131E41" w:rsidP="00131E41">
      <w:pPr>
        <w:rPr>
          <w:rFonts w:ascii="Calibri" w:eastAsia="Calibri" w:hAnsi="Calibri" w:cs="Times New Roman"/>
          <w:lang w:eastAsia="en-US"/>
        </w:rPr>
      </w:pPr>
      <w:r>
        <w:rPr>
          <w:noProof/>
        </w:rPr>
        <w:drawing>
          <wp:inline distT="0" distB="0" distL="0" distR="0" wp14:anchorId="0C3F9021" wp14:editId="0C3F9022">
            <wp:extent cx="5148000" cy="3296016"/>
            <wp:effectExtent l="0" t="0" r="0" b="0"/>
            <wp:docPr id="102" name="Picture 29" descr="mean concentrations of in-situ WQ measurements (CDOM, TSS, Chl-a and Kd(PAR)) within each plume water type. WQ data assigned to plume water when the difference between in-situ collection and the satellite over passes is within ±2 h. Number of data is indicated in italic (modified from Petus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48889"/>
                    <a:stretch/>
                  </pic:blipFill>
                  <pic:spPr bwMode="auto">
                    <a:xfrm>
                      <a:off x="0" y="0"/>
                      <a:ext cx="5148000" cy="3296016"/>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8A2" w14:textId="77777777" w:rsidR="00131E41" w:rsidRDefault="00131E41" w:rsidP="00131E41">
      <w:pPr>
        <w:pStyle w:val="Caption"/>
        <w:rPr>
          <w:rFonts w:eastAsia="Calibri"/>
        </w:rPr>
      </w:pPr>
      <w:bookmarkStart w:id="222" w:name="_Toc427833294"/>
      <w:bookmarkStart w:id="223" w:name="_Toc434208052"/>
      <w:r w:rsidRPr="00DF1C49">
        <w:rPr>
          <w:rFonts w:eastAsia="Calibri"/>
          <w:bCs/>
          <w:color w:val="4F81BD"/>
        </w:rPr>
        <w:t xml:space="preserve">Figure </w:t>
      </w:r>
      <w:r w:rsidR="00D243CD">
        <w:rPr>
          <w:rFonts w:eastAsia="Calibri"/>
          <w:bCs/>
          <w:color w:val="4F81BD"/>
        </w:rPr>
        <w:fldChar w:fldCharType="begin"/>
      </w:r>
      <w:r w:rsidR="00D243CD">
        <w:rPr>
          <w:rFonts w:eastAsia="Calibri"/>
          <w:bCs/>
          <w:color w:val="4F81BD"/>
        </w:rPr>
        <w:instrText xml:space="preserve"> STYLEREF 1 \s </w:instrText>
      </w:r>
      <w:r w:rsidR="00D243CD">
        <w:rPr>
          <w:rFonts w:eastAsia="Calibri"/>
          <w:bCs/>
          <w:color w:val="4F81BD"/>
        </w:rPr>
        <w:fldChar w:fldCharType="separate"/>
      </w:r>
      <w:r w:rsidR="00B62B50">
        <w:rPr>
          <w:rFonts w:eastAsia="Calibri"/>
          <w:bCs/>
          <w:noProof/>
          <w:color w:val="4F81BD"/>
        </w:rPr>
        <w:t>5</w:t>
      </w:r>
      <w:r w:rsidR="00D243CD">
        <w:rPr>
          <w:rFonts w:eastAsia="Calibri"/>
          <w:bCs/>
          <w:color w:val="4F81BD"/>
        </w:rPr>
        <w:fldChar w:fldCharType="end"/>
      </w:r>
      <w:r w:rsidR="00D243CD">
        <w:rPr>
          <w:rFonts w:eastAsia="Calibri"/>
          <w:bCs/>
          <w:color w:val="4F81BD"/>
        </w:rPr>
        <w:noBreakHyphen/>
      </w:r>
      <w:r w:rsidR="00D243CD">
        <w:rPr>
          <w:rFonts w:eastAsia="Calibri"/>
          <w:bCs/>
          <w:color w:val="4F81BD"/>
        </w:rPr>
        <w:fldChar w:fldCharType="begin"/>
      </w:r>
      <w:r w:rsidR="00D243CD">
        <w:rPr>
          <w:rFonts w:eastAsia="Calibri"/>
          <w:bCs/>
          <w:color w:val="4F81BD"/>
        </w:rPr>
        <w:instrText xml:space="preserve"> SEQ Figure \* ARABIC \s 1 </w:instrText>
      </w:r>
      <w:r w:rsidR="00D243CD">
        <w:rPr>
          <w:rFonts w:eastAsia="Calibri"/>
          <w:bCs/>
          <w:color w:val="4F81BD"/>
        </w:rPr>
        <w:fldChar w:fldCharType="separate"/>
      </w:r>
      <w:r w:rsidR="00B62B50">
        <w:rPr>
          <w:rFonts w:eastAsia="Calibri"/>
          <w:bCs/>
          <w:noProof/>
          <w:color w:val="4F81BD"/>
        </w:rPr>
        <w:t>16</w:t>
      </w:r>
      <w:r w:rsidR="00D243CD">
        <w:rPr>
          <w:rFonts w:eastAsia="Calibri"/>
          <w:bCs/>
          <w:color w:val="4F81BD"/>
        </w:rPr>
        <w:fldChar w:fldCharType="end"/>
      </w:r>
      <w:r w:rsidRPr="00AA03D3">
        <w:rPr>
          <w:rFonts w:eastAsia="Calibri"/>
        </w:rPr>
        <w:t xml:space="preserve">: </w:t>
      </w:r>
      <w:r w:rsidRPr="00173201">
        <w:rPr>
          <w:rFonts w:eastAsia="Calibri"/>
        </w:rPr>
        <w:t>mean concentrations of in-situ WQ measurements (CDOM, TSS, Chl-a and Kd(PAR)) within each plume water type. WQ data assigned to plume water when the difference between in-situ collection and the satellite over passes is within ±2 h. Number of data is indicated in italic (modified from Petus et al., in press).</w:t>
      </w:r>
      <w:bookmarkEnd w:id="222"/>
      <w:bookmarkEnd w:id="223"/>
    </w:p>
    <w:p w14:paraId="0C3F88A3" w14:textId="77777777" w:rsidR="00131E41" w:rsidRPr="001C3998" w:rsidRDefault="00131E41" w:rsidP="00131E41">
      <w:pPr>
        <w:rPr>
          <w:rFonts w:ascii="Calibri" w:eastAsia="Calibri" w:hAnsi="Calibri" w:cs="Times New Roman"/>
          <w:lang w:eastAsia="en-US"/>
        </w:rPr>
      </w:pPr>
    </w:p>
    <w:p w14:paraId="0C3F88A4" w14:textId="77777777" w:rsidR="00131E41" w:rsidRDefault="00131E41" w:rsidP="00131E41">
      <w:pPr>
        <w:rPr>
          <w:rFonts w:ascii="Calibri" w:eastAsia="Calibri" w:hAnsi="Calibri" w:cs="Times New Roman"/>
          <w:lang w:eastAsia="en-US"/>
        </w:rPr>
      </w:pPr>
      <w:r w:rsidRPr="001C3998">
        <w:rPr>
          <w:rFonts w:ascii="Calibri" w:eastAsia="Calibri" w:hAnsi="Calibri" w:cs="Times New Roman"/>
          <w:lang w:eastAsia="en-US"/>
        </w:rPr>
        <w:t>TSS concentration reduced from the Secondary (10 mg L</w:t>
      </w:r>
      <w:r w:rsidRPr="00294F2C">
        <w:rPr>
          <w:rFonts w:ascii="Calibri" w:eastAsia="Calibri" w:hAnsi="Calibri" w:cs="Times New Roman"/>
          <w:vertAlign w:val="superscript"/>
          <w:lang w:eastAsia="en-US"/>
        </w:rPr>
        <w:t>-1</w:t>
      </w:r>
      <w:r w:rsidRPr="001C3998">
        <w:rPr>
          <w:rFonts w:ascii="Calibri" w:eastAsia="Calibri" w:hAnsi="Calibri" w:cs="Times New Roman"/>
          <w:lang w:eastAsia="en-US"/>
        </w:rPr>
        <w:t>) to the Tertiary (5 m L</w:t>
      </w:r>
      <w:r w:rsidRPr="00D1022D">
        <w:rPr>
          <w:rFonts w:ascii="Calibri" w:eastAsia="Calibri" w:hAnsi="Calibri" w:cs="Times New Roman"/>
          <w:vertAlign w:val="superscript"/>
          <w:lang w:eastAsia="en-US"/>
        </w:rPr>
        <w:t>-1</w:t>
      </w:r>
      <w:r w:rsidRPr="001C3998">
        <w:rPr>
          <w:rFonts w:ascii="Calibri" w:eastAsia="Calibri" w:hAnsi="Calibri" w:cs="Times New Roman"/>
          <w:lang w:eastAsia="en-US"/>
        </w:rPr>
        <w:t>) water type. The low TSS concentrations in the Primary water type, as compared to e.g. Devlin et al. (2013b) can be attributed to the limited number of TSS data points available within ±2 h time difference between in-situ collection and the satellite over passes in the Primary water type data (only 2 TSS measurements). Despite this limitation, Figure 2 support the validity of the supervised classification method applied in this study.</w:t>
      </w:r>
    </w:p>
    <w:p w14:paraId="0C3F88A5" w14:textId="77777777" w:rsidR="00131E41" w:rsidRPr="00C570D1" w:rsidRDefault="00131E41" w:rsidP="00131E41">
      <w:pPr>
        <w:pStyle w:val="Heading3"/>
        <w:numPr>
          <w:ilvl w:val="2"/>
          <w:numId w:val="3"/>
        </w:numPr>
      </w:pPr>
      <w:bookmarkStart w:id="224" w:name="_Toc427251550"/>
      <w:bookmarkStart w:id="225" w:name="_Toc427831221"/>
      <w:bookmarkStart w:id="226" w:name="_Toc428793352"/>
      <w:bookmarkStart w:id="227" w:name="_Toc428851357"/>
      <w:bookmarkStart w:id="228" w:name="_Toc434208013"/>
      <w:r>
        <w:t>P</w:t>
      </w:r>
      <w:r w:rsidRPr="00C570D1">
        <w:t>otential river plume risk maps</w:t>
      </w:r>
      <w:bookmarkEnd w:id="224"/>
      <w:bookmarkEnd w:id="225"/>
      <w:bookmarkEnd w:id="226"/>
      <w:bookmarkEnd w:id="227"/>
      <w:r>
        <w:t xml:space="preserve"> – 2012/2013</w:t>
      </w:r>
      <w:bookmarkEnd w:id="228"/>
      <w:r w:rsidRPr="00C570D1">
        <w:t xml:space="preserve"> </w:t>
      </w:r>
    </w:p>
    <w:p w14:paraId="0C3F88A6" w14:textId="77777777" w:rsidR="00131E41" w:rsidRPr="00EA05E0" w:rsidRDefault="00131E41" w:rsidP="00131E41">
      <w:pPr>
        <w:rPr>
          <w:rFonts w:ascii="Calibri" w:eastAsia="Calibri" w:hAnsi="Calibri" w:cs="Times New Roman"/>
          <w:lang w:eastAsia="en-US"/>
        </w:rPr>
      </w:pP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_Ref427754111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17</w:t>
      </w:r>
      <w:r>
        <w:rPr>
          <w:rFonts w:ascii="Calibri" w:eastAsia="Calibri" w:hAnsi="Calibri" w:cs="Times New Roman"/>
          <w:lang w:eastAsia="en-US"/>
        </w:rPr>
        <w:fldChar w:fldCharType="end"/>
      </w:r>
      <w:r w:rsidRPr="00EA05E0">
        <w:rPr>
          <w:rFonts w:ascii="Calibri" w:eastAsia="Calibri" w:hAnsi="Calibri" w:cs="Times New Roman"/>
          <w:lang w:eastAsia="en-US"/>
        </w:rPr>
        <w:t xml:space="preserve"> presents the 2013 river plume potential risk map and enlargements around the Tully Herbert and Burdekin regions produced using the simple risk matrix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_Ref428881339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t xml:space="preserve">Figure </w:t>
      </w:r>
      <w:r w:rsidR="00B62B50">
        <w:rPr>
          <w:noProof/>
        </w:rPr>
        <w:t>5</w:t>
      </w:r>
      <w:r w:rsidR="00B62B50">
        <w:noBreakHyphen/>
      </w:r>
      <w:r w:rsidR="00B62B50">
        <w:rPr>
          <w:noProof/>
        </w:rPr>
        <w:t>1</w:t>
      </w:r>
      <w:r>
        <w:rPr>
          <w:rFonts w:ascii="Calibri" w:eastAsia="Calibri" w:hAnsi="Calibri" w:cs="Times New Roman"/>
          <w:lang w:eastAsia="en-US"/>
        </w:rPr>
        <w:fldChar w:fldCharType="end"/>
      </w:r>
      <w:r w:rsidRPr="00EA05E0">
        <w:rPr>
          <w:rFonts w:ascii="Calibri" w:eastAsia="Calibri" w:hAnsi="Calibri" w:cs="Times New Roman"/>
          <w:lang w:eastAsia="en-US"/>
        </w:rPr>
        <w:t>). This table assumes that potential risk level from plume exposure for GBR ecosystems can be ranked in four qualitative categories (</w:t>
      </w:r>
      <w:r>
        <w:rPr>
          <w:rFonts w:ascii="Calibri" w:eastAsia="Calibri" w:hAnsi="Calibri" w:cs="Times New Roman"/>
          <w:lang w:eastAsia="en-US"/>
        </w:rPr>
        <w:t>I, II, III and IV)</w:t>
      </w:r>
      <w:r w:rsidRPr="00EA05E0">
        <w:rPr>
          <w:rFonts w:ascii="Calibri" w:eastAsia="Calibri" w:hAnsi="Calibri" w:cs="Times New Roman"/>
          <w:lang w:eastAsia="en-US"/>
        </w:rPr>
        <w:t xml:space="preserve"> determined by the combination of the magnitude (mapped through the Primary, Secondary, Tertiary water type classes) and the likelihood (mapped through the frequency of occurrence of Primary, Secondary, Tertiary water type classes) of the river plume exposure (Petus et al., 2014b).</w:t>
      </w:r>
    </w:p>
    <w:p w14:paraId="0C3F88A7" w14:textId="77777777" w:rsidR="00131E41" w:rsidRPr="00362A9F" w:rsidRDefault="00131E41" w:rsidP="00362A9F">
      <w:pPr>
        <w:rPr>
          <w:rFonts w:eastAsia="Calibri"/>
        </w:rPr>
      </w:pPr>
      <w:r w:rsidRPr="00362A9F">
        <w:rPr>
          <w:rFonts w:eastAsia="Calibri"/>
        </w:rPr>
        <w:t>At the GBR scale, the TC and L2 methods give similar outcomes. A general inshore to offshore spatial pattern is present in both TC and L2 potential river plume risk maps, with inshore areas within 10 to 30 km of the coast experiencing exposure to the highest potential risk categories (III and IV) and offshore areas experiencing lower potential risk from river plume water. At the regional scale, differences exist between potential risk maps produced using the L2 and TC methods, particularly around the Wet-tropics (</w:t>
      </w:r>
      <w:r w:rsidRPr="00362A9F">
        <w:rPr>
          <w:rFonts w:eastAsia="Calibri"/>
        </w:rPr>
        <w:fldChar w:fldCharType="begin"/>
      </w:r>
      <w:r w:rsidRPr="00362A9F">
        <w:rPr>
          <w:rFonts w:eastAsia="Calibri"/>
        </w:rPr>
        <w:instrText xml:space="preserve"> REF _Ref427754111 \h </w:instrText>
      </w:r>
      <w:r w:rsidR="00362A9F">
        <w:rPr>
          <w:rFonts w:eastAsia="Calibri"/>
        </w:rPr>
        <w:instrText xml:space="preserve"> \* MERGEFORMAT </w:instrText>
      </w:r>
      <w:r w:rsidRPr="00362A9F">
        <w:rPr>
          <w:rFonts w:eastAsia="Calibri"/>
        </w:rPr>
      </w:r>
      <w:r w:rsidRPr="00362A9F">
        <w:rPr>
          <w:rFonts w:eastAsia="Calibri"/>
        </w:rPr>
        <w:fldChar w:fldCharType="separate"/>
      </w:r>
      <w:r w:rsidR="00B62B50" w:rsidRPr="00DF1C49">
        <w:rPr>
          <w:rFonts w:eastAsia="Calibri"/>
        </w:rPr>
        <w:t xml:space="preserve">Figure </w:t>
      </w:r>
      <w:r w:rsidR="00B62B50">
        <w:rPr>
          <w:rFonts w:eastAsia="Calibri"/>
        </w:rPr>
        <w:t>5</w:t>
      </w:r>
      <w:r w:rsidR="00B62B50">
        <w:rPr>
          <w:rFonts w:eastAsia="Calibri"/>
        </w:rPr>
        <w:noBreakHyphen/>
        <w:t>17</w:t>
      </w:r>
      <w:r w:rsidRPr="00362A9F">
        <w:rPr>
          <w:rFonts w:eastAsia="Calibri"/>
        </w:rPr>
        <w:fldChar w:fldCharType="end"/>
      </w:r>
      <w:r w:rsidRPr="00362A9F">
        <w:rPr>
          <w:rFonts w:eastAsia="Calibri"/>
        </w:rPr>
        <w:t>). In this region, areas categorized as potential risk III for the GBR ecosystems are largest using the TC method than the L2 method. Potential risk maps produced in the Burdekin region are similar using both the TC and L2 methods, even if areas categorized as potential risk III are again largest using the TC method. Total areas under exposure to river plumes extend 85 km offshore of the Herbert River mouth and 60 km offshore of the Burdekin River mouth (if measured along a NE/SW strait line from both estuary mouths).</w:t>
      </w:r>
    </w:p>
    <w:p w14:paraId="0C3F88A8" w14:textId="77777777" w:rsidR="00131E41" w:rsidRDefault="00131E41" w:rsidP="00131E41">
      <w:pPr>
        <w:rPr>
          <w:rFonts w:ascii="Calibri" w:eastAsia="Calibri" w:hAnsi="Calibri" w:cs="Times New Roman"/>
          <w:lang w:eastAsia="en-US"/>
        </w:rPr>
      </w:pPr>
    </w:p>
    <w:p w14:paraId="0C3F88A9" w14:textId="77777777" w:rsidR="00131E41" w:rsidRPr="00DF1C49" w:rsidRDefault="00131E41" w:rsidP="00131E41">
      <w:pPr>
        <w:rPr>
          <w:rFonts w:ascii="Calibri" w:eastAsia="Calibri" w:hAnsi="Calibri" w:cs="Times New Roman"/>
          <w:lang w:eastAsia="en-US"/>
        </w:rPr>
      </w:pPr>
      <w:r w:rsidRPr="00856ED8">
        <w:rPr>
          <w:rFonts w:ascii="Calibri" w:eastAsia="Calibri" w:hAnsi="Calibri" w:cs="Times New Roman"/>
          <w:noProof/>
        </w:rPr>
        <w:t xml:space="preserve"> </w:t>
      </w:r>
      <w:r>
        <w:rPr>
          <w:rFonts w:ascii="Calibri" w:eastAsia="Calibri" w:hAnsi="Calibri" w:cs="Times New Roman"/>
          <w:noProof/>
        </w:rPr>
        <w:drawing>
          <wp:inline distT="0" distB="0" distL="0" distR="0" wp14:anchorId="0C3F9023" wp14:editId="0C3F9024">
            <wp:extent cx="5328000" cy="5670000"/>
            <wp:effectExtent l="0" t="0" r="6350" b="6985"/>
            <wp:docPr id="4" name="Picture 4" descr="2012-13 “potential” river plume risk maps of (left) the GBR; (middle) the Tully Herbert region and (right) the Burdekin region produced by a) the TC method and b) the L2 method. Maps have been smoothed twice with a 4 pixel majority filter (Arc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28000" cy="5670000"/>
                    </a:xfrm>
                    <a:prstGeom prst="rect">
                      <a:avLst/>
                    </a:prstGeom>
                    <a:noFill/>
                  </pic:spPr>
                </pic:pic>
              </a:graphicData>
            </a:graphic>
          </wp:inline>
        </w:drawing>
      </w:r>
    </w:p>
    <w:p w14:paraId="0C3F88AA" w14:textId="77777777" w:rsidR="00131E41" w:rsidRPr="00DF1C49" w:rsidRDefault="00131E41" w:rsidP="00131E41">
      <w:pPr>
        <w:pStyle w:val="Caption"/>
        <w:rPr>
          <w:rFonts w:eastAsia="Calibri"/>
        </w:rPr>
      </w:pPr>
      <w:bookmarkStart w:id="229" w:name="_Ref427754111"/>
      <w:bookmarkStart w:id="230" w:name="_Toc427833295"/>
      <w:bookmarkStart w:id="231" w:name="_Toc434208053"/>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17</w:t>
      </w:r>
      <w:r w:rsidR="00D243CD">
        <w:rPr>
          <w:rFonts w:eastAsia="Calibri"/>
        </w:rPr>
        <w:fldChar w:fldCharType="end"/>
      </w:r>
      <w:bookmarkEnd w:id="229"/>
      <w:r w:rsidRPr="00DF1C49">
        <w:rPr>
          <w:rFonts w:eastAsia="Calibri"/>
        </w:rPr>
        <w:t>: 201</w:t>
      </w:r>
      <w:r>
        <w:rPr>
          <w:rFonts w:eastAsia="Calibri"/>
        </w:rPr>
        <w:t>2-1</w:t>
      </w:r>
      <w:r w:rsidRPr="00DF1C49">
        <w:rPr>
          <w:rFonts w:eastAsia="Calibri"/>
        </w:rPr>
        <w:t>3 “potential” river plume risk maps of (left) the GBR; (middle) the Tully Herbert region and (right) the Burdekin region produced by a) the TC method and b) the L2 method. Maps have been smoothed twice with a 4 pixel majority filter (ArcGIS).</w:t>
      </w:r>
      <w:bookmarkEnd w:id="230"/>
      <w:bookmarkEnd w:id="231"/>
    </w:p>
    <w:p w14:paraId="0C3F88AB" w14:textId="77777777" w:rsidR="00131E41" w:rsidRDefault="00131E41" w:rsidP="00131E41">
      <w:pPr>
        <w:rPr>
          <w:rStyle w:val="Heading20"/>
          <w:rFonts w:eastAsia="Calibri"/>
        </w:rPr>
      </w:pPr>
      <w:bookmarkStart w:id="232" w:name="_Toc427831222"/>
      <w:bookmarkStart w:id="233" w:name="_Toc428793353"/>
      <w:bookmarkStart w:id="234" w:name="_Toc428851358"/>
    </w:p>
    <w:p w14:paraId="0C3F88AC" w14:textId="77777777" w:rsidR="00131E41" w:rsidRPr="008D23C3" w:rsidRDefault="00131E41" w:rsidP="00131E41">
      <w:pPr>
        <w:pStyle w:val="Heading3"/>
        <w:numPr>
          <w:ilvl w:val="2"/>
          <w:numId w:val="3"/>
        </w:numPr>
      </w:pPr>
      <w:bookmarkStart w:id="235" w:name="_Toc434208014"/>
      <w:bookmarkEnd w:id="232"/>
      <w:bookmarkEnd w:id="233"/>
      <w:bookmarkEnd w:id="234"/>
      <w:r w:rsidRPr="008D23C3">
        <w:t>Comparison between RS outputs derived from the TC and L2 methods</w:t>
      </w:r>
      <w:bookmarkEnd w:id="235"/>
    </w:p>
    <w:p w14:paraId="0C3F88AD" w14:textId="77777777" w:rsidR="00131E41" w:rsidRDefault="00131E41" w:rsidP="00131E41">
      <w:pPr>
        <w:rPr>
          <w:rFonts w:ascii="Calibri" w:eastAsia="Calibri" w:hAnsi="Calibri" w:cs="Calibri"/>
          <w:lang w:eastAsia="en-US"/>
        </w:rPr>
      </w:pPr>
      <w:r w:rsidRPr="009077F2">
        <w:rPr>
          <w:rFonts w:ascii="Calibri" w:eastAsia="Calibri" w:hAnsi="Calibri" w:cs="Calibri"/>
          <w:lang w:eastAsia="en-US"/>
        </w:rPr>
        <w:t xml:space="preserve">Both </w:t>
      </w:r>
      <w:r>
        <w:rPr>
          <w:rFonts w:ascii="Calibri" w:eastAsia="Calibri" w:hAnsi="Calibri" w:cs="Calibri"/>
          <w:lang w:eastAsia="en-US"/>
        </w:rPr>
        <w:t xml:space="preserve">the TC and L2 </w:t>
      </w:r>
      <w:r w:rsidRPr="009077F2">
        <w:rPr>
          <w:rFonts w:ascii="Calibri" w:eastAsia="Calibri" w:hAnsi="Calibri" w:cs="Calibri"/>
          <w:lang w:eastAsia="en-US"/>
        </w:rPr>
        <w:t>methods</w:t>
      </w:r>
      <w:r>
        <w:rPr>
          <w:rFonts w:ascii="Calibri" w:eastAsia="Calibri" w:hAnsi="Calibri" w:cs="Calibri"/>
          <w:lang w:eastAsia="en-US"/>
        </w:rPr>
        <w:t xml:space="preserve"> used in this report</w:t>
      </w:r>
      <w:r w:rsidRPr="009077F2">
        <w:rPr>
          <w:rFonts w:ascii="Calibri" w:eastAsia="Calibri" w:hAnsi="Calibri" w:cs="Calibri"/>
          <w:lang w:eastAsia="en-US"/>
        </w:rPr>
        <w:t xml:space="preserve"> rely on the same principle: gradients of WQ existing in river plumes (from the estuary mouth to the edge of the river plume) modify the optical signature of the water (related to the concentration of TSS, chl-a, CDOM), which in turn change the colour of the water. Both methods present advantages and disadvantages: the TC method offers a simple and objective method by clustering the information contained in MODIS true-colour composites (Red–Green–Blue bands), but relies on non-atmospherically corrected data, and the spectral signature used to classify images (from Alvarez-Romero et al., 2013) does not incorporate potential spatio-temporal variability. The L2 threshold method assumes fixed WQ value/level/concentration thresholds (</w:t>
      </w:r>
      <w:r>
        <w:rPr>
          <w:rFonts w:ascii="Calibri" w:eastAsia="Calibri" w:hAnsi="Calibri" w:cs="Calibri"/>
          <w:lang w:eastAsia="en-US"/>
        </w:rPr>
        <w:t>Petus et al., 2014b</w:t>
      </w:r>
      <w:r w:rsidRPr="009077F2">
        <w:rPr>
          <w:rFonts w:ascii="Calibri" w:eastAsia="Calibri" w:hAnsi="Calibri" w:cs="Calibri"/>
          <w:lang w:eastAsia="en-US"/>
        </w:rPr>
        <w:t>) and thus also ignores potential temporal and spatial variability, but does account for atmospheric correction. In addition, this method offers valuable quantitative information, such as the concentration of CDOM, TSS, chl-a, or Kd(PAR) values that are not directly available through the clustering of the true-colour composites. This quantitative information can be interesting to further evaluate the concentration/level/load of stressors discharged through river plumes during the wet season and to assess potential ecological impacts.</w:t>
      </w:r>
      <w:r>
        <w:rPr>
          <w:rFonts w:ascii="Calibri" w:eastAsia="Calibri" w:hAnsi="Calibri" w:cs="Calibri"/>
          <w:lang w:eastAsia="en-US"/>
        </w:rPr>
        <w:t xml:space="preserve"> </w:t>
      </w:r>
    </w:p>
    <w:p w14:paraId="0C3F88AE" w14:textId="77777777" w:rsidR="00131E41" w:rsidRPr="00DF1C49" w:rsidRDefault="00131E41" w:rsidP="00131E41">
      <w:pPr>
        <w:rPr>
          <w:rFonts w:ascii="Calibri" w:eastAsia="Calibri" w:hAnsi="Calibri" w:cs="Calibri"/>
          <w:lang w:eastAsia="en-US"/>
        </w:rPr>
      </w:pPr>
      <w:r w:rsidRPr="00DF1C49">
        <w:rPr>
          <w:rFonts w:ascii="Calibri" w:eastAsia="Calibri" w:hAnsi="Calibri" w:cs="Calibri"/>
          <w:lang w:eastAsia="en-US"/>
        </w:rPr>
        <w:t>Differences observed between the annual L2 and TC maps of frequency of occurrence of river plumes and plume water types produced can be explain</w:t>
      </w:r>
      <w:r>
        <w:rPr>
          <w:rFonts w:ascii="Calibri" w:eastAsia="Calibri" w:hAnsi="Calibri" w:cs="Calibri"/>
          <w:lang w:eastAsia="en-US"/>
        </w:rPr>
        <w:t>ed</w:t>
      </w:r>
      <w:r w:rsidRPr="00DF1C49">
        <w:rPr>
          <w:rFonts w:ascii="Calibri" w:eastAsia="Calibri" w:hAnsi="Calibri" w:cs="Calibri"/>
          <w:lang w:eastAsia="en-US"/>
        </w:rPr>
        <w:t xml:space="preserve"> by different factors:</w:t>
      </w:r>
    </w:p>
    <w:p w14:paraId="0C3F88AF" w14:textId="77777777" w:rsidR="00131E41" w:rsidRPr="00C236D5" w:rsidRDefault="00131E41" w:rsidP="00C05A63">
      <w:pPr>
        <w:pStyle w:val="ListParagraph"/>
        <w:numPr>
          <w:ilvl w:val="0"/>
          <w:numId w:val="18"/>
        </w:numPr>
        <w:rPr>
          <w:rFonts w:ascii="Calibri" w:eastAsia="Calibri" w:hAnsi="Calibri" w:cs="Calibri"/>
          <w:lang w:eastAsia="en-US"/>
        </w:rPr>
      </w:pPr>
      <w:r w:rsidRPr="00C236D5">
        <w:rPr>
          <w:rFonts w:ascii="Calibri" w:eastAsia="Calibri" w:hAnsi="Calibri" w:cs="Calibri"/>
          <w:lang w:eastAsia="en-US"/>
        </w:rPr>
        <w:t>Maps are with different spatial resolutions: 500 m for the TC outputs vs. 1000 m for the L2 outputs;</w:t>
      </w:r>
    </w:p>
    <w:p w14:paraId="0C3F88B0" w14:textId="77777777" w:rsidR="00131E41" w:rsidRPr="00C236D5" w:rsidRDefault="00131E41" w:rsidP="00C05A63">
      <w:pPr>
        <w:pStyle w:val="ListParagraph"/>
        <w:numPr>
          <w:ilvl w:val="0"/>
          <w:numId w:val="18"/>
        </w:numPr>
        <w:rPr>
          <w:rFonts w:ascii="Calibri" w:eastAsia="Calibri" w:hAnsi="Calibri" w:cs="Calibri"/>
          <w:lang w:eastAsia="en-US"/>
        </w:rPr>
      </w:pPr>
      <w:r w:rsidRPr="00C236D5">
        <w:rPr>
          <w:rFonts w:ascii="Calibri" w:eastAsia="Calibri" w:hAnsi="Calibri" w:cs="Calibri"/>
          <w:lang w:eastAsia="en-US"/>
        </w:rPr>
        <w:t xml:space="preserve">The TC method allow to map river plumes and plume water types under light cloud cover or sunglint conditions (Alvarez-Romero et al., 2013); while MODIS Level-2 products used for the L2 method are inaccurate and masked out when any cloud or sunglint are present. Numbers of river plumes mapped per wet season are thus larger using the TC method than the L2 method. </w:t>
      </w:r>
    </w:p>
    <w:p w14:paraId="0C3F88B1" w14:textId="77777777" w:rsidR="00131E41" w:rsidRPr="00C236D5" w:rsidRDefault="00131E41" w:rsidP="00C05A63">
      <w:pPr>
        <w:pStyle w:val="ListParagraph"/>
        <w:numPr>
          <w:ilvl w:val="0"/>
          <w:numId w:val="18"/>
        </w:numPr>
        <w:rPr>
          <w:rFonts w:ascii="Calibri" w:eastAsia="Calibri" w:hAnsi="Calibri" w:cs="Calibri"/>
          <w:lang w:eastAsia="en-US"/>
        </w:rPr>
      </w:pPr>
      <w:r w:rsidRPr="00C236D5">
        <w:rPr>
          <w:rFonts w:ascii="Calibri" w:eastAsia="Calibri" w:hAnsi="Calibri" w:cs="Calibri"/>
          <w:lang w:eastAsia="en-US"/>
        </w:rPr>
        <w:t xml:space="preserve">Annual maps of frequency of occurrence of river plumes and plume water types obtained from the TC method are created from </w:t>
      </w:r>
      <w:r w:rsidRPr="00C236D5">
        <w:rPr>
          <w:rFonts w:ascii="Calibri" w:eastAsia="Calibri" w:hAnsi="Calibri" w:cs="Calibri"/>
          <w:u w:val="single"/>
          <w:lang w:eastAsia="en-US"/>
        </w:rPr>
        <w:t>w</w:t>
      </w:r>
      <w:r w:rsidRPr="00C236D5">
        <w:rPr>
          <w:rFonts w:ascii="Calibri" w:eastAsia="Calibri" w:hAnsi="Calibri" w:cs="Times New Roman"/>
          <w:u w:val="single"/>
          <w:lang w:eastAsia="en-US"/>
        </w:rPr>
        <w:t>eekly</w:t>
      </w:r>
      <w:r w:rsidRPr="00C236D5">
        <w:rPr>
          <w:rFonts w:ascii="Calibri" w:eastAsia="Calibri" w:hAnsi="Calibri" w:cs="Times New Roman"/>
          <w:lang w:eastAsia="en-US"/>
        </w:rPr>
        <w:t xml:space="preserve"> 6-color class composites produced from the TC method while L2 maps are created from </w:t>
      </w:r>
      <w:r w:rsidRPr="00C236D5">
        <w:rPr>
          <w:rFonts w:ascii="Calibri" w:eastAsia="Calibri" w:hAnsi="Calibri" w:cs="Times New Roman"/>
          <w:u w:val="single"/>
          <w:lang w:eastAsia="en-US"/>
        </w:rPr>
        <w:t>daily</w:t>
      </w:r>
      <w:r w:rsidRPr="00C236D5">
        <w:rPr>
          <w:rFonts w:ascii="Calibri" w:eastAsia="Calibri" w:hAnsi="Calibri" w:cs="Times New Roman"/>
          <w:lang w:eastAsia="en-US"/>
        </w:rPr>
        <w:t xml:space="preserve"> river plume maps and plume water type maps produced from the L2 method. The technique presented by Alvarez-Romero et al (2013) to calculate the weekly color class composites is really conservative as the minimum color-class value of each cell/week (i.e., the color class with the highest turbidity level) is used to map the color classes. This means that the highest level of risk to river plume for each week is selected (assuming the color classes represented a gradient in exposure to pollutants). This also explain why breaks used to categorize the annual maps of frequency of occurrence of river plume and plume water types are different when using the L2 (breaks in days) and TC methods (breaks in weeks</w:t>
      </w:r>
      <w:r w:rsidRPr="00C236D5">
        <w:rPr>
          <w:rFonts w:ascii="Calibri" w:eastAsia="Calibri" w:hAnsi="Calibri" w:cs="Calibri"/>
          <w:lang w:eastAsia="en-US"/>
        </w:rPr>
        <w:t>) (</w:t>
      </w:r>
      <w:r w:rsidRPr="00C236D5">
        <w:rPr>
          <w:rFonts w:ascii="Calibri" w:eastAsia="Calibri" w:hAnsi="Calibri" w:cs="Times New Roman"/>
          <w:lang w:eastAsia="en-US"/>
        </w:rPr>
        <w:t>Annexe 4-1.4, Table 2</w:t>
      </w:r>
      <w:r w:rsidRPr="00C236D5">
        <w:rPr>
          <w:rFonts w:ascii="Calibri" w:eastAsia="Calibri" w:hAnsi="Calibri" w:cs="Calibri"/>
          <w:lang w:eastAsia="en-US"/>
        </w:rPr>
        <w:t>).</w:t>
      </w:r>
    </w:p>
    <w:p w14:paraId="0C3F88B2" w14:textId="77777777" w:rsidR="00131E41" w:rsidRPr="00C236D5" w:rsidRDefault="00131E41" w:rsidP="00C05A63">
      <w:pPr>
        <w:pStyle w:val="ListParagraph"/>
        <w:numPr>
          <w:ilvl w:val="0"/>
          <w:numId w:val="18"/>
        </w:numPr>
        <w:rPr>
          <w:rFonts w:ascii="Calibri" w:eastAsia="Calibri" w:hAnsi="Calibri" w:cs="Calibri"/>
          <w:lang w:eastAsia="en-US"/>
        </w:rPr>
      </w:pPr>
      <w:r w:rsidRPr="00C236D5">
        <w:rPr>
          <w:rFonts w:ascii="Calibri" w:eastAsia="Calibri" w:hAnsi="Calibri" w:cs="Calibri"/>
          <w:lang w:eastAsia="en-US"/>
        </w:rPr>
        <w:t>External/full extent boundaries of the weekly TC are manually cleaned (high precision but time consuming) while a simple “maximum river plume extent” shapefile (computed from MODIS river plumes mapped from 2007 to 2013) is used to clean the L2 annual maps of frequency of occurrence of river plumes and plume water types (lower precision but less time consuming);</w:t>
      </w:r>
    </w:p>
    <w:p w14:paraId="0C3F88B3" w14:textId="77777777" w:rsidR="00131E41" w:rsidRDefault="00131E41" w:rsidP="00131E41">
      <w:pPr>
        <w:rPr>
          <w:rFonts w:ascii="Calibri" w:eastAsia="Calibri" w:hAnsi="Calibri" w:cs="Calibri"/>
          <w:lang w:eastAsia="en-US"/>
        </w:rPr>
      </w:pPr>
      <w:r w:rsidRPr="009077F2">
        <w:rPr>
          <w:rFonts w:ascii="Calibri" w:eastAsia="Calibri" w:hAnsi="Calibri" w:cs="Calibri"/>
          <w:lang w:eastAsia="en-US"/>
        </w:rPr>
        <w:t>The main objective of the RS part of the MMP is to develop and apply innovative spatial products</w:t>
      </w:r>
      <w:r>
        <w:rPr>
          <w:rFonts w:ascii="Calibri" w:eastAsia="Calibri" w:hAnsi="Calibri" w:cs="Calibri"/>
          <w:lang w:eastAsia="en-US"/>
        </w:rPr>
        <w:t>.</w:t>
      </w:r>
      <w:r w:rsidRPr="009077F2">
        <w:rPr>
          <w:rFonts w:ascii="Calibri" w:eastAsia="Calibri" w:hAnsi="Calibri" w:cs="Calibri"/>
          <w:lang w:eastAsia="en-US"/>
        </w:rPr>
        <w:t xml:space="preserve"> </w:t>
      </w:r>
      <w:r w:rsidRPr="007A147F">
        <w:rPr>
          <w:rFonts w:ascii="Calibri" w:eastAsia="Calibri" w:hAnsi="Calibri" w:cs="Calibri"/>
          <w:lang w:eastAsia="en-US"/>
        </w:rPr>
        <w:t>Assessing water quality concentrations, and especially the CDOM and Chl-a concentrations, with satellite data is notoriously challenging in the optically complex coastal waters (Case 2 waters) around the world, including the GBR lagoon, where suspended sediment and Coloured Dissolved Organic Matter (CDOM) co-occur with phytoplankton (see Gitelson et al. 2008, Odermatt et al. 2012). For the GBR, Qin et al. (2007) demonstrated that the accuracy of NASA algorithms implemented in SeaDAS for the retrieval of Chl-a, TSS concentrations or CDOM (hereafter global algorithms) decreased with increasing CDOM and inorganic particles concentrations; with level of disagreement at least twofold for Chl-a concentrations above 2 μg L</w:t>
      </w:r>
      <w:r w:rsidRPr="002C6534">
        <w:rPr>
          <w:rFonts w:ascii="Calibri" w:eastAsia="Calibri" w:hAnsi="Calibri" w:cs="Calibri"/>
          <w:vertAlign w:val="superscript"/>
          <w:lang w:eastAsia="en-US"/>
        </w:rPr>
        <w:t>-1</w:t>
      </w:r>
      <w:r w:rsidRPr="007A147F">
        <w:rPr>
          <w:rFonts w:ascii="Calibri" w:eastAsia="Calibri" w:hAnsi="Calibri" w:cs="Calibri"/>
          <w:lang w:eastAsia="en-US"/>
        </w:rPr>
        <w:t xml:space="preserve"> (Brando et al. 2011; 2013; King et al. 2014). </w:t>
      </w:r>
      <w:r w:rsidRPr="00DE6CC8">
        <w:rPr>
          <w:rFonts w:ascii="Calibri" w:eastAsia="Calibri" w:hAnsi="Calibri" w:cs="Calibri"/>
          <w:lang w:eastAsia="en-US"/>
        </w:rPr>
        <w:t>Differences observed between TC and L2 maps of frequency of occurrence of Secondary water type are the most probably linked to the MODIS algorithm used to estimate the chl-a concentrations</w:t>
      </w:r>
      <w:r>
        <w:rPr>
          <w:rFonts w:ascii="Calibri" w:eastAsia="Calibri" w:hAnsi="Calibri" w:cs="Calibri"/>
          <w:lang w:eastAsia="en-US"/>
        </w:rPr>
        <w:t xml:space="preserve"> (</w:t>
      </w:r>
      <w:r w:rsidRPr="00DF1C49">
        <w:rPr>
          <w:rFonts w:ascii="Calibri" w:eastAsia="Calibri" w:hAnsi="Calibri" w:cs="Calibri"/>
          <w:lang w:eastAsia="en-US"/>
        </w:rPr>
        <w:t>chl-a-oc3 algorithm</w:t>
      </w:r>
      <w:r>
        <w:rPr>
          <w:rFonts w:ascii="Calibri" w:eastAsia="Calibri" w:hAnsi="Calibri" w:cs="Calibri"/>
          <w:lang w:eastAsia="en-US"/>
        </w:rPr>
        <w:t>, Petus et al., 2014b)</w:t>
      </w:r>
      <w:r w:rsidRPr="007A147F">
        <w:rPr>
          <w:rFonts w:ascii="Calibri" w:eastAsia="Calibri" w:hAnsi="Calibri" w:cs="Calibri"/>
          <w:lang w:eastAsia="en-US"/>
        </w:rPr>
        <w:t>.</w:t>
      </w:r>
      <w:r>
        <w:rPr>
          <w:rFonts w:ascii="Calibri" w:eastAsia="Calibri" w:hAnsi="Calibri" w:cs="Calibri"/>
          <w:lang w:eastAsia="en-US"/>
        </w:rPr>
        <w:t xml:space="preserve"> </w:t>
      </w:r>
      <w:r w:rsidRPr="007A147F">
        <w:rPr>
          <w:rFonts w:ascii="Calibri" w:eastAsia="Calibri" w:hAnsi="Calibri" w:cs="Calibri"/>
          <w:lang w:eastAsia="en-US"/>
        </w:rPr>
        <w:t xml:space="preserve">Regional parameterisation helps to increase accuracies of so called “global algorithms”, and a regionally parameterised inversion algorithm for the GBR coastal waters (hereafter GBR Algorithm) was developed to achieve more accurate retrievals of optically active constituents in the GBR (Brando et al. 2008, Schroeder et al. 2008, Brando et al. 2010, Brando et al. 2012, Schroeder et al. 2012, Brando et al. 2013, King et al., 2014). This </w:t>
      </w:r>
      <w:r>
        <w:rPr>
          <w:rFonts w:ascii="Calibri" w:eastAsia="Calibri" w:hAnsi="Calibri" w:cs="Calibri"/>
          <w:lang w:eastAsia="en-US"/>
        </w:rPr>
        <w:t xml:space="preserve">GBR </w:t>
      </w:r>
      <w:r w:rsidRPr="007A147F">
        <w:rPr>
          <w:rFonts w:ascii="Calibri" w:eastAsia="Calibri" w:hAnsi="Calibri" w:cs="Calibri"/>
          <w:lang w:eastAsia="en-US"/>
        </w:rPr>
        <w:t xml:space="preserve">algorithm nevertheless still requires further validation across the GBR coastal water types, particularly in optically complex wet season conditions (Petus et al., 2015). </w:t>
      </w:r>
    </w:p>
    <w:p w14:paraId="0C3F88B4" w14:textId="77777777" w:rsidR="00131E41" w:rsidRDefault="00131E41" w:rsidP="00131E41">
      <w:pPr>
        <w:rPr>
          <w:rFonts w:ascii="Calibri" w:eastAsia="Calibri" w:hAnsi="Calibri" w:cs="Calibri"/>
          <w:lang w:eastAsia="en-US"/>
        </w:rPr>
      </w:pPr>
      <w:r w:rsidRPr="00EC5A32">
        <w:rPr>
          <w:rFonts w:ascii="Calibri" w:eastAsia="Calibri" w:hAnsi="Calibri" w:cs="Calibri"/>
          <w:lang w:eastAsia="en-US"/>
        </w:rPr>
        <w:t xml:space="preserve">It was thus decided, for the rest of this report and for the following monitoring years, to work with river plume products derived from </w:t>
      </w:r>
      <w:r w:rsidRPr="00C236D5">
        <w:rPr>
          <w:rFonts w:ascii="Calibri" w:eastAsia="Calibri" w:hAnsi="Calibri" w:cs="Calibri"/>
          <w:u w:val="single"/>
          <w:lang w:eastAsia="en-US"/>
        </w:rPr>
        <w:t>MODIS true color satellite data only</w:t>
      </w:r>
      <w:r w:rsidRPr="00EC5A32">
        <w:rPr>
          <w:rFonts w:ascii="Calibri" w:eastAsia="Calibri" w:hAnsi="Calibri" w:cs="Calibri"/>
          <w:lang w:eastAsia="en-US"/>
        </w:rPr>
        <w:t xml:space="preserve"> to assess the exposure of GBR key ecosystems to the river plume and describe the potential risk experienced by these ecosystems from the river plume exposure</w:t>
      </w:r>
      <w:r>
        <w:rPr>
          <w:rFonts w:ascii="Calibri" w:eastAsia="Calibri" w:hAnsi="Calibri" w:cs="Calibri"/>
          <w:lang w:eastAsia="en-US"/>
        </w:rPr>
        <w:t xml:space="preserve">. It is however worth noting that effort to produce accurate L2 data for the GBR and other optically complex waters in the world are ongoing in the RS community. Methods could thus be updated in future toward the use of L2 derived RS product if more accurate L2 algorithms become available.  </w:t>
      </w:r>
    </w:p>
    <w:p w14:paraId="0C3F88B5" w14:textId="77777777" w:rsidR="00131E41" w:rsidRDefault="00131E41" w:rsidP="00131E41">
      <w:pPr>
        <w:rPr>
          <w:rFonts w:ascii="Calibri" w:eastAsia="Calibri" w:hAnsi="Calibri" w:cs="Times New Roman"/>
          <w:lang w:eastAsia="en-US"/>
        </w:rPr>
      </w:pPr>
    </w:p>
    <w:p w14:paraId="0C3F88B6" w14:textId="77777777" w:rsidR="00131E41" w:rsidRPr="008D23C3" w:rsidRDefault="00131E41" w:rsidP="00131E41">
      <w:pPr>
        <w:pStyle w:val="Heading3"/>
        <w:numPr>
          <w:ilvl w:val="2"/>
          <w:numId w:val="3"/>
        </w:numPr>
      </w:pPr>
      <w:bookmarkStart w:id="236" w:name="_Toc428341676"/>
      <w:bookmarkStart w:id="237" w:name="_Toc434208015"/>
      <w:r w:rsidRPr="008D23C3">
        <w:t>Exposure of GBR ecosystems to river plumes and potential risk from river plume exposure in 2013</w:t>
      </w:r>
      <w:bookmarkEnd w:id="236"/>
      <w:bookmarkEnd w:id="237"/>
    </w:p>
    <w:p w14:paraId="0C3F88B7" w14:textId="77777777" w:rsidR="00131E41" w:rsidRDefault="00131E41" w:rsidP="00131E41">
      <w:pPr>
        <w:rPr>
          <w:rFonts w:ascii="Calibri" w:eastAsia="Calibri" w:hAnsi="Calibri" w:cs="Times New Roman"/>
          <w:lang w:eastAsia="en-US"/>
        </w:rPr>
      </w:pPr>
      <w:r w:rsidRPr="00DF1C49">
        <w:rPr>
          <w:rFonts w:ascii="Calibri" w:eastAsia="Calibri" w:hAnsi="Calibri" w:cs="Times New Roman"/>
          <w:lang w:eastAsia="en-US"/>
        </w:rPr>
        <w:t>The 2013 frequency</w:t>
      </w:r>
      <w:r>
        <w:rPr>
          <w:rFonts w:ascii="Calibri" w:eastAsia="Calibri" w:hAnsi="Calibri" w:cs="Times New Roman"/>
          <w:lang w:eastAsia="en-US"/>
        </w:rPr>
        <w:t xml:space="preserve"> maps (full extent and plume water types)</w:t>
      </w:r>
      <w:r w:rsidRPr="00DF1C49">
        <w:rPr>
          <w:rFonts w:ascii="Calibri" w:eastAsia="Calibri" w:hAnsi="Calibri" w:cs="Times New Roman"/>
          <w:lang w:eastAsia="en-US"/>
        </w:rPr>
        <w:t xml:space="preserve"> </w:t>
      </w:r>
      <w:r>
        <w:rPr>
          <w:rFonts w:ascii="Calibri" w:eastAsia="Calibri" w:hAnsi="Calibri" w:cs="Times New Roman"/>
          <w:lang w:eastAsia="en-US"/>
        </w:rPr>
        <w:t xml:space="preserve">and </w:t>
      </w:r>
      <w:r w:rsidRPr="00DF1C49">
        <w:rPr>
          <w:rFonts w:ascii="Calibri" w:eastAsia="Calibri" w:hAnsi="Calibri" w:cs="Times New Roman"/>
          <w:lang w:eastAsia="en-US"/>
        </w:rPr>
        <w:t>potential risk map</w:t>
      </w:r>
      <w:r>
        <w:rPr>
          <w:rFonts w:ascii="Calibri" w:eastAsia="Calibri" w:hAnsi="Calibri" w:cs="Times New Roman"/>
          <w:lang w:eastAsia="en-US"/>
        </w:rPr>
        <w:t>s</w:t>
      </w:r>
      <w:r w:rsidRPr="00DF1C49">
        <w:rPr>
          <w:rFonts w:ascii="Calibri" w:eastAsia="Calibri" w:hAnsi="Calibri" w:cs="Times New Roman"/>
          <w:lang w:eastAsia="en-US"/>
        </w:rPr>
        <w:t xml:space="preserve"> </w:t>
      </w:r>
      <w:r>
        <w:rPr>
          <w:rFonts w:ascii="Calibri" w:eastAsia="Calibri" w:hAnsi="Calibri" w:cs="Times New Roman"/>
          <w:lang w:eastAsia="en-US"/>
        </w:rPr>
        <w:t>constructed</w:t>
      </w:r>
      <w:r w:rsidRPr="00305332">
        <w:rPr>
          <w:rFonts w:ascii="Calibri" w:eastAsia="Calibri" w:hAnsi="Calibri" w:cs="Times New Roman"/>
          <w:lang w:eastAsia="en-US"/>
        </w:rPr>
        <w:t xml:space="preserve"> </w:t>
      </w:r>
      <w:r w:rsidRPr="00652C07">
        <w:rPr>
          <w:rFonts w:ascii="Calibri" w:eastAsia="Calibri" w:hAnsi="Calibri" w:cs="Times New Roman"/>
          <w:u w:val="single"/>
          <w:lang w:eastAsia="en-US"/>
        </w:rPr>
        <w:t>from the TC methods</w:t>
      </w:r>
      <w:r w:rsidRPr="00DF1C49">
        <w:rPr>
          <w:rFonts w:ascii="Calibri" w:eastAsia="Calibri" w:hAnsi="Calibri" w:cs="Times New Roman"/>
          <w:lang w:eastAsia="en-US"/>
        </w:rPr>
        <w:t xml:space="preserve"> were used to describe the exposure of GBR ecosystems to plumes and </w:t>
      </w:r>
      <w:r>
        <w:rPr>
          <w:rFonts w:ascii="Calibri" w:eastAsia="Calibri" w:hAnsi="Calibri" w:cs="Times New Roman"/>
          <w:lang w:eastAsia="en-US"/>
        </w:rPr>
        <w:t xml:space="preserve"> potential</w:t>
      </w:r>
      <w:r w:rsidRPr="00DF1C49">
        <w:rPr>
          <w:rFonts w:ascii="Calibri" w:eastAsia="Calibri" w:hAnsi="Calibri" w:cs="Times New Roman"/>
          <w:lang w:eastAsia="en-US"/>
        </w:rPr>
        <w:t xml:space="preserve"> risk</w:t>
      </w:r>
      <w:r>
        <w:rPr>
          <w:rFonts w:ascii="Calibri" w:eastAsia="Calibri" w:hAnsi="Calibri" w:cs="Times New Roman"/>
          <w:lang w:eastAsia="en-US"/>
        </w:rPr>
        <w:t xml:space="preserve"> from river plume exposure during the 2012-13 wet season</w:t>
      </w:r>
      <w:r w:rsidRPr="00DF1C49">
        <w:rPr>
          <w:rFonts w:ascii="Calibri" w:eastAsia="Calibri" w:hAnsi="Calibri" w:cs="Times New Roman"/>
          <w:lang w:eastAsia="en-US"/>
        </w:rPr>
        <w:t xml:space="preserve"> (</w:t>
      </w:r>
      <w:r>
        <w:rPr>
          <w:rFonts w:ascii="Calibri" w:eastAsia="Calibri" w:hAnsi="Calibri" w:cs="Times New Roman"/>
          <w:lang w:eastAsia="en-US"/>
        </w:rPr>
        <w:t xml:space="preserve">Appendix B, </w:t>
      </w:r>
      <w:r w:rsidRPr="004B2708">
        <w:rPr>
          <w:rFonts w:ascii="Calibri" w:eastAsia="Calibri" w:hAnsi="Calibri" w:cs="Times New Roman"/>
          <w:lang w:eastAsia="en-US"/>
        </w:rPr>
        <w:t>Tables A-</w:t>
      </w:r>
      <w:r>
        <w:rPr>
          <w:rFonts w:ascii="Calibri" w:eastAsia="Calibri" w:hAnsi="Calibri" w:cs="Times New Roman"/>
          <w:lang w:eastAsia="en-US"/>
        </w:rPr>
        <w:t>2</w:t>
      </w:r>
      <w:r w:rsidRPr="004B2708">
        <w:rPr>
          <w:rFonts w:ascii="Calibri" w:eastAsia="Calibri" w:hAnsi="Calibri" w:cs="Times New Roman"/>
          <w:lang w:eastAsia="en-US"/>
        </w:rPr>
        <w:t>, A-</w:t>
      </w:r>
      <w:r>
        <w:rPr>
          <w:rFonts w:ascii="Calibri" w:eastAsia="Calibri" w:hAnsi="Calibri" w:cs="Times New Roman"/>
          <w:lang w:eastAsia="en-US"/>
        </w:rPr>
        <w:t>3</w:t>
      </w:r>
      <w:r w:rsidRPr="004B2708">
        <w:rPr>
          <w:rFonts w:ascii="Calibri" w:eastAsia="Calibri" w:hAnsi="Calibri" w:cs="Times New Roman"/>
          <w:lang w:eastAsia="en-US"/>
        </w:rPr>
        <w:t>, A-</w:t>
      </w:r>
      <w:r>
        <w:rPr>
          <w:rFonts w:ascii="Calibri" w:eastAsia="Calibri" w:hAnsi="Calibri" w:cs="Times New Roman"/>
          <w:lang w:eastAsia="en-US"/>
        </w:rPr>
        <w:t>4)</w:t>
      </w:r>
      <w:r w:rsidRPr="00DF1C49">
        <w:rPr>
          <w:rFonts w:ascii="Calibri" w:eastAsia="Calibri" w:hAnsi="Calibri" w:cs="Times New Roman"/>
          <w:lang w:eastAsia="en-US"/>
        </w:rPr>
        <w:t xml:space="preserve">. The </w:t>
      </w:r>
      <w:r>
        <w:rPr>
          <w:rFonts w:ascii="Calibri" w:eastAsia="Calibri" w:hAnsi="Calibri" w:cs="Times New Roman"/>
          <w:lang w:eastAsia="en-US"/>
        </w:rPr>
        <w:t>total GBR</w:t>
      </w:r>
      <w:r w:rsidRPr="00DF1C49">
        <w:rPr>
          <w:rFonts w:ascii="Calibri" w:eastAsia="Calibri" w:hAnsi="Calibri" w:cs="Times New Roman"/>
          <w:lang w:eastAsia="en-US"/>
        </w:rPr>
        <w:t xml:space="preserve"> area</w:t>
      </w:r>
      <w:r>
        <w:rPr>
          <w:rFonts w:ascii="Calibri" w:eastAsia="Calibri" w:hAnsi="Calibri" w:cs="Times New Roman"/>
          <w:lang w:eastAsia="en-US"/>
        </w:rPr>
        <w:t xml:space="preserve"> exposed to</w:t>
      </w:r>
      <w:r w:rsidRPr="00DF1C49">
        <w:rPr>
          <w:rFonts w:ascii="Calibri" w:eastAsia="Calibri" w:hAnsi="Calibri" w:cs="Times New Roman"/>
          <w:lang w:eastAsia="en-US"/>
        </w:rPr>
        <w:t xml:space="preserve"> </w:t>
      </w:r>
      <w:r>
        <w:rPr>
          <w:rFonts w:ascii="Calibri" w:eastAsia="Calibri" w:hAnsi="Calibri" w:cs="Times New Roman"/>
          <w:lang w:eastAsia="en-US"/>
        </w:rPr>
        <w:t xml:space="preserve">river </w:t>
      </w:r>
      <w:r w:rsidRPr="00DF1C49">
        <w:rPr>
          <w:rFonts w:ascii="Calibri" w:eastAsia="Calibri" w:hAnsi="Calibri" w:cs="Times New Roman"/>
          <w:lang w:eastAsia="en-US"/>
        </w:rPr>
        <w:t>plume waters</w:t>
      </w:r>
      <w:r>
        <w:rPr>
          <w:rFonts w:ascii="Calibri" w:eastAsia="Calibri" w:hAnsi="Calibri" w:cs="Times New Roman"/>
          <w:lang w:eastAsia="en-US"/>
        </w:rPr>
        <w:t xml:space="preserve"> was </w:t>
      </w:r>
      <w:r w:rsidRPr="00DF1C49">
        <w:rPr>
          <w:rFonts w:ascii="Calibri" w:eastAsia="Calibri" w:hAnsi="Calibri" w:cs="Times New Roman"/>
          <w:lang w:eastAsia="en-US"/>
        </w:rPr>
        <w:t>153852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i.e., 44% of the GBR </w:t>
      </w:r>
      <w:r>
        <w:rPr>
          <w:rFonts w:ascii="Calibri" w:eastAsia="Calibri" w:hAnsi="Calibri" w:cs="Times New Roman"/>
          <w:lang w:eastAsia="en-US"/>
        </w:rPr>
        <w:t>(</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18</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and </w:t>
      </w:r>
      <w:r>
        <w:rPr>
          <w:rFonts w:ascii="Calibri" w:eastAsia="Calibri" w:hAnsi="Calibri" w:cs="Times New Roman"/>
          <w:lang w:eastAsia="en-US"/>
        </w:rPr>
        <w:t xml:space="preserve">Appendix B: </w:t>
      </w:r>
      <w:r w:rsidRPr="00305332">
        <w:rPr>
          <w:rFonts w:ascii="Calibri" w:eastAsia="Calibri" w:hAnsi="Calibri" w:cs="Times New Roman"/>
          <w:lang w:eastAsia="en-US"/>
        </w:rPr>
        <w:t xml:space="preserve">Table </w:t>
      </w:r>
      <w:r>
        <w:rPr>
          <w:rFonts w:ascii="Calibri" w:eastAsia="Calibri" w:hAnsi="Calibri" w:cs="Times New Roman"/>
          <w:lang w:eastAsia="en-US"/>
        </w:rPr>
        <w:t>A-2.</w:t>
      </w:r>
      <w:r w:rsidRPr="00DF1C49">
        <w:rPr>
          <w:rFonts w:ascii="Calibri" w:eastAsia="Calibri" w:hAnsi="Calibri" w:cs="Times New Roman"/>
          <w:lang w:eastAsia="en-US"/>
        </w:rPr>
        <w:t xml:space="preserve"> However, the actual area very frequent</w:t>
      </w:r>
      <w:r>
        <w:rPr>
          <w:rFonts w:ascii="Calibri" w:eastAsia="Calibri" w:hAnsi="Calibri" w:cs="Times New Roman"/>
          <w:lang w:eastAsia="en-US"/>
        </w:rPr>
        <w:t>ly</w:t>
      </w:r>
      <w:r w:rsidRPr="00DF1C49">
        <w:rPr>
          <w:rFonts w:ascii="Calibri" w:eastAsia="Calibri" w:hAnsi="Calibri" w:cs="Times New Roman"/>
          <w:lang w:eastAsia="en-US"/>
        </w:rPr>
        <w:t xml:space="preserve"> to frequent</w:t>
      </w:r>
      <w:r>
        <w:rPr>
          <w:rFonts w:ascii="Calibri" w:eastAsia="Calibri" w:hAnsi="Calibri" w:cs="Times New Roman"/>
          <w:lang w:eastAsia="en-US"/>
        </w:rPr>
        <w:t>ly exposed to r</w:t>
      </w:r>
      <w:r w:rsidRPr="00DF1C49">
        <w:rPr>
          <w:rFonts w:ascii="Calibri" w:eastAsia="Calibri" w:hAnsi="Calibri" w:cs="Times New Roman"/>
          <w:lang w:eastAsia="en-US"/>
        </w:rPr>
        <w:t>iver plume</w:t>
      </w:r>
      <w:r>
        <w:rPr>
          <w:rFonts w:ascii="Calibri" w:eastAsia="Calibri" w:hAnsi="Calibri" w:cs="Times New Roman"/>
          <w:lang w:eastAsia="en-US"/>
        </w:rPr>
        <w:t xml:space="preserve"> was</w:t>
      </w:r>
      <w:r w:rsidRPr="00DF1C49">
        <w:rPr>
          <w:rFonts w:ascii="Calibri" w:eastAsia="Calibri" w:hAnsi="Calibri" w:cs="Times New Roman"/>
          <w:lang w:eastAsia="en-US"/>
        </w:rPr>
        <w:t xml:space="preserve"> much lower: 63027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i.e., about 18% of the GBR</w:t>
      </w:r>
      <w:r>
        <w:rPr>
          <w:rFonts w:ascii="Calibri" w:eastAsia="Calibri" w:hAnsi="Calibri" w:cs="Times New Roman"/>
          <w:lang w:eastAsia="en-US"/>
        </w:rPr>
        <w:t xml:space="preserve">. NRM areas exposed </w:t>
      </w:r>
      <w:r w:rsidRPr="00DF1C49">
        <w:rPr>
          <w:rFonts w:ascii="Calibri" w:eastAsia="Calibri" w:hAnsi="Calibri" w:cs="Times New Roman"/>
          <w:lang w:eastAsia="en-US"/>
        </w:rPr>
        <w:t>ranged from 2050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in Burnett-Mary (i.e., 5% of the Burnett-Mary NRM) to 18522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(i.e., 21% of the Burnett-Mary NRM) in the Fitzroy NRM. </w:t>
      </w:r>
    </w:p>
    <w:p w14:paraId="0C3F88B8" w14:textId="77777777" w:rsidR="00131E41" w:rsidRDefault="00131E41" w:rsidP="00131E41">
      <w:pPr>
        <w:spacing w:after="200" w:line="276" w:lineRule="auto"/>
        <w:rPr>
          <w:rFonts w:ascii="Calibri" w:eastAsia="Calibri" w:hAnsi="Calibri" w:cs="Times New Roman"/>
          <w:lang w:eastAsia="en-US"/>
        </w:rPr>
      </w:pP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18</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illustrates the areas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and percentage (%) of the GBR lagoon, coral reefs and </w:t>
      </w:r>
      <w:r>
        <w:rPr>
          <w:rFonts w:ascii="Calibri" w:eastAsia="Calibri" w:hAnsi="Calibri" w:cs="Times New Roman"/>
          <w:lang w:eastAsia="en-US"/>
        </w:rPr>
        <w:t xml:space="preserve">seagrass beds, including the </w:t>
      </w:r>
      <w:r w:rsidRPr="00DF1C49">
        <w:rPr>
          <w:rFonts w:ascii="Calibri" w:eastAsia="Calibri" w:hAnsi="Calibri" w:cs="Times New Roman"/>
          <w:lang w:eastAsia="en-US"/>
        </w:rPr>
        <w:t>surveyed; deep and total</w:t>
      </w:r>
      <w:r>
        <w:rPr>
          <w:rFonts w:ascii="Calibri" w:eastAsia="Calibri" w:hAnsi="Calibri" w:cs="Times New Roman"/>
          <w:lang w:eastAsia="en-US"/>
        </w:rPr>
        <w:t xml:space="preserve"> </w:t>
      </w:r>
      <w:r w:rsidRPr="00DF1C49">
        <w:rPr>
          <w:rFonts w:ascii="Calibri" w:eastAsia="Calibri" w:hAnsi="Calibri" w:cs="Times New Roman"/>
          <w:lang w:eastAsia="en-US"/>
        </w:rPr>
        <w:t xml:space="preserve">(surveyed + deep) seagrass beds exposed to different categories of </w:t>
      </w:r>
      <w:r>
        <w:rPr>
          <w:rFonts w:ascii="Calibri" w:eastAsia="Calibri" w:hAnsi="Calibri" w:cs="Times New Roman"/>
          <w:lang w:eastAsia="en-US"/>
        </w:rPr>
        <w:t xml:space="preserve">potential </w:t>
      </w:r>
      <w:r w:rsidRPr="00DF1C49">
        <w:rPr>
          <w:rFonts w:ascii="Calibri" w:eastAsia="Calibri" w:hAnsi="Calibri" w:cs="Times New Roman"/>
          <w:lang w:eastAsia="en-US"/>
        </w:rPr>
        <w:t>river plume risk within each NRM</w:t>
      </w:r>
      <w:r>
        <w:rPr>
          <w:rFonts w:ascii="Calibri" w:eastAsia="Calibri" w:hAnsi="Calibri" w:cs="Times New Roman"/>
          <w:lang w:eastAsia="en-US"/>
        </w:rPr>
        <w:t xml:space="preserve"> (Appendix B: Table </w:t>
      </w:r>
      <w:r w:rsidRPr="004B2708">
        <w:rPr>
          <w:rFonts w:ascii="Calibri" w:eastAsia="Calibri" w:hAnsi="Calibri" w:cs="Times New Roman"/>
          <w:lang w:eastAsia="en-US"/>
        </w:rPr>
        <w:t>A-</w:t>
      </w:r>
      <w:r>
        <w:rPr>
          <w:rFonts w:ascii="Calibri" w:eastAsia="Calibri" w:hAnsi="Calibri" w:cs="Times New Roman"/>
          <w:lang w:eastAsia="en-US"/>
        </w:rPr>
        <w:t>3 and</w:t>
      </w:r>
      <w:r w:rsidRPr="004B2708">
        <w:rPr>
          <w:rFonts w:ascii="Calibri" w:eastAsia="Calibri" w:hAnsi="Calibri" w:cs="Times New Roman"/>
          <w:lang w:eastAsia="en-US"/>
        </w:rPr>
        <w:t xml:space="preserve"> A-</w:t>
      </w:r>
      <w:r>
        <w:rPr>
          <w:rFonts w:ascii="Calibri" w:eastAsia="Calibri" w:hAnsi="Calibri" w:cs="Times New Roman"/>
          <w:lang w:eastAsia="en-US"/>
        </w:rPr>
        <w:t>4)</w:t>
      </w:r>
      <w:r w:rsidRPr="00DF1C49">
        <w:rPr>
          <w:rFonts w:ascii="Calibri" w:eastAsia="Calibri" w:hAnsi="Calibri" w:cs="Times New Roman"/>
          <w:lang w:eastAsia="en-US"/>
        </w:rPr>
        <w:t>. Coral reefs and seagrass beds exhibit a wide range of exposure to the</w:t>
      </w:r>
      <w:r>
        <w:rPr>
          <w:rFonts w:ascii="Calibri" w:eastAsia="Calibri" w:hAnsi="Calibri" w:cs="Times New Roman"/>
          <w:lang w:eastAsia="en-US"/>
        </w:rPr>
        <w:t xml:space="preserve"> potential</w:t>
      </w:r>
      <w:r w:rsidRPr="00DF1C49">
        <w:rPr>
          <w:rFonts w:ascii="Calibri" w:eastAsia="Calibri" w:hAnsi="Calibri" w:cs="Times New Roman"/>
          <w:lang w:eastAsia="en-US"/>
        </w:rPr>
        <w:t xml:space="preserve"> river plume risk, reflecting the differences</w:t>
      </w:r>
      <w:r>
        <w:rPr>
          <w:rFonts w:ascii="Calibri" w:eastAsia="Calibri" w:hAnsi="Calibri" w:cs="Times New Roman"/>
          <w:lang w:eastAsia="en-US"/>
        </w:rPr>
        <w:t xml:space="preserve"> in</w:t>
      </w:r>
      <w:r w:rsidRPr="00DF1C49">
        <w:rPr>
          <w:rFonts w:ascii="Calibri" w:eastAsia="Calibri" w:hAnsi="Calibri" w:cs="Times New Roman"/>
          <w:lang w:eastAsia="en-US"/>
        </w:rPr>
        <w:t xml:space="preserve"> </w:t>
      </w:r>
      <w:r>
        <w:rPr>
          <w:rFonts w:ascii="Calibri" w:eastAsia="Calibri" w:hAnsi="Calibri" w:cs="Times New Roman"/>
          <w:lang w:eastAsia="en-US"/>
        </w:rPr>
        <w:t xml:space="preserve">exposure (likelihood or frequency) and composition (measured though the different water types) of river plumes </w:t>
      </w:r>
      <w:r w:rsidRPr="00DF1C49">
        <w:rPr>
          <w:rFonts w:ascii="Calibri" w:eastAsia="Calibri" w:hAnsi="Calibri" w:cs="Times New Roman"/>
          <w:lang w:eastAsia="en-US"/>
        </w:rPr>
        <w:t xml:space="preserve"> </w:t>
      </w:r>
      <w:r>
        <w:rPr>
          <w:rFonts w:ascii="Calibri" w:eastAsia="Calibri" w:hAnsi="Calibri" w:cs="Times New Roman"/>
          <w:lang w:eastAsia="en-US"/>
        </w:rPr>
        <w:t>across the</w:t>
      </w:r>
      <w:r w:rsidRPr="00DF1C49">
        <w:rPr>
          <w:rFonts w:ascii="Calibri" w:eastAsia="Calibri" w:hAnsi="Calibri" w:cs="Times New Roman"/>
          <w:lang w:eastAsia="en-US"/>
        </w:rPr>
        <w:t xml:space="preserve"> NRM</w:t>
      </w:r>
      <w:r>
        <w:rPr>
          <w:rFonts w:ascii="Calibri" w:eastAsia="Calibri" w:hAnsi="Calibri" w:cs="Times New Roman"/>
          <w:lang w:eastAsia="en-US"/>
        </w:rPr>
        <w:t xml:space="preserve"> regions</w:t>
      </w:r>
      <w:r w:rsidRPr="00DF1C49">
        <w:rPr>
          <w:rFonts w:ascii="Calibri" w:eastAsia="Calibri" w:hAnsi="Calibri" w:cs="Times New Roman"/>
          <w:lang w:eastAsia="en-US"/>
        </w:rPr>
        <w:t xml:space="preserve"> as well of cross-shore locations of the habitats. In 2013, the </w:t>
      </w:r>
      <w:r>
        <w:rPr>
          <w:rFonts w:ascii="Calibri" w:eastAsia="Calibri" w:hAnsi="Calibri" w:cs="Times New Roman"/>
          <w:lang w:eastAsia="en-US"/>
        </w:rPr>
        <w:t>potential</w:t>
      </w:r>
      <w:r w:rsidRPr="00DF1C49">
        <w:rPr>
          <w:rFonts w:ascii="Calibri" w:eastAsia="Calibri" w:hAnsi="Calibri" w:cs="Times New Roman"/>
          <w:lang w:eastAsia="en-US"/>
        </w:rPr>
        <w:t xml:space="preserve"> risk from </w:t>
      </w:r>
      <w:r>
        <w:rPr>
          <w:rFonts w:ascii="Calibri" w:eastAsia="Calibri" w:hAnsi="Calibri" w:cs="Times New Roman"/>
          <w:lang w:eastAsia="en-US"/>
        </w:rPr>
        <w:t xml:space="preserve">exposure to </w:t>
      </w:r>
      <w:r w:rsidRPr="00DF1C49">
        <w:rPr>
          <w:rFonts w:ascii="Calibri" w:eastAsia="Calibri" w:hAnsi="Calibri" w:cs="Times New Roman"/>
          <w:lang w:eastAsia="en-US"/>
        </w:rPr>
        <w:t xml:space="preserve">river plume </w:t>
      </w:r>
      <w:r>
        <w:rPr>
          <w:rFonts w:ascii="Calibri" w:eastAsia="Calibri" w:hAnsi="Calibri" w:cs="Times New Roman"/>
          <w:lang w:eastAsia="en-US"/>
        </w:rPr>
        <w:t>generally increased from</w:t>
      </w:r>
      <w:r w:rsidRPr="00DF1C49">
        <w:rPr>
          <w:rFonts w:ascii="Calibri" w:eastAsia="Calibri" w:hAnsi="Calibri" w:cs="Times New Roman"/>
          <w:lang w:eastAsia="en-US"/>
        </w:rPr>
        <w:t xml:space="preserve"> the coral reefs, </w:t>
      </w:r>
      <w:r>
        <w:rPr>
          <w:rFonts w:ascii="Calibri" w:eastAsia="Calibri" w:hAnsi="Calibri" w:cs="Times New Roman"/>
          <w:lang w:eastAsia="en-US"/>
        </w:rPr>
        <w:t>to</w:t>
      </w:r>
      <w:r w:rsidRPr="00DF1C49">
        <w:rPr>
          <w:rFonts w:ascii="Calibri" w:eastAsia="Calibri" w:hAnsi="Calibri" w:cs="Times New Roman"/>
          <w:lang w:eastAsia="en-US"/>
        </w:rPr>
        <w:t xml:space="preserve"> the deep seagrasses</w:t>
      </w:r>
      <w:r>
        <w:rPr>
          <w:rFonts w:ascii="Calibri" w:eastAsia="Calibri" w:hAnsi="Calibri" w:cs="Times New Roman"/>
          <w:lang w:eastAsia="en-US"/>
        </w:rPr>
        <w:t>, to the</w:t>
      </w:r>
      <w:r w:rsidRPr="00DF1C49">
        <w:rPr>
          <w:rFonts w:ascii="Calibri" w:eastAsia="Calibri" w:hAnsi="Calibri" w:cs="Times New Roman"/>
          <w:lang w:eastAsia="en-US"/>
        </w:rPr>
        <w:t xml:space="preserve"> surveyed (coastal) seagrass beds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18</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w:t>
      </w:r>
    </w:p>
    <w:p w14:paraId="0C3F88B9" w14:textId="77777777" w:rsidR="00131E41" w:rsidRPr="00DF1C49" w:rsidRDefault="00131E41" w:rsidP="00131E41">
      <w:pPr>
        <w:spacing w:after="200" w:line="276" w:lineRule="auto"/>
        <w:rPr>
          <w:rFonts w:ascii="Calibri" w:eastAsia="Calibri" w:hAnsi="Calibri" w:cs="Times New Roman"/>
          <w:lang w:eastAsia="en-US"/>
        </w:rPr>
      </w:pPr>
      <w:r w:rsidRPr="0090382F">
        <w:rPr>
          <w:rFonts w:ascii="Calibri" w:eastAsia="Calibri" w:hAnsi="Calibri" w:cs="Times New Roman"/>
          <w:lang w:eastAsia="en-US"/>
        </w:rPr>
        <w:t>Twelve percent (Mackay-Whitsundays</w:t>
      </w:r>
      <w:r w:rsidRPr="0090382F" w:rsidDel="009D15DC">
        <w:rPr>
          <w:rFonts w:ascii="Calibri" w:eastAsia="Calibri" w:hAnsi="Calibri" w:cs="Times New Roman"/>
          <w:lang w:eastAsia="en-US"/>
        </w:rPr>
        <w:t xml:space="preserve"> </w:t>
      </w:r>
      <w:r w:rsidRPr="0090382F">
        <w:rPr>
          <w:rFonts w:ascii="Calibri" w:eastAsia="Calibri" w:hAnsi="Calibri" w:cs="Times New Roman"/>
          <w:lang w:eastAsia="en-US"/>
        </w:rPr>
        <w:t xml:space="preserve">NRM) to 100% (Burnett-Mary NRM) of the coral reefs were exposed to river plumes, with most of them </w:t>
      </w:r>
      <w:r>
        <w:rPr>
          <w:rFonts w:ascii="Calibri" w:eastAsia="Calibri" w:hAnsi="Calibri" w:cs="Times New Roman"/>
          <w:lang w:eastAsia="en-US"/>
        </w:rPr>
        <w:t>exposed to</w:t>
      </w:r>
      <w:r w:rsidRPr="0090382F">
        <w:rPr>
          <w:rFonts w:ascii="Calibri" w:eastAsia="Calibri" w:hAnsi="Calibri" w:cs="Times New Roman"/>
          <w:lang w:eastAsia="en-US"/>
        </w:rPr>
        <w:t xml:space="preserve"> </w:t>
      </w:r>
      <w:r>
        <w:rPr>
          <w:rFonts w:ascii="Calibri" w:eastAsia="Calibri" w:hAnsi="Calibri" w:cs="Times New Roman"/>
          <w:lang w:eastAsia="en-US"/>
        </w:rPr>
        <w:t>the lowest</w:t>
      </w:r>
      <w:r w:rsidRPr="0090382F">
        <w:rPr>
          <w:rFonts w:ascii="Calibri" w:eastAsia="Calibri" w:hAnsi="Calibri" w:cs="Times New Roman"/>
          <w:lang w:eastAsia="en-US"/>
        </w:rPr>
        <w:t xml:space="preserve"> potential risk </w:t>
      </w:r>
      <w:r>
        <w:rPr>
          <w:rFonts w:ascii="Calibri" w:eastAsia="Calibri" w:hAnsi="Calibri" w:cs="Times New Roman"/>
          <w:lang w:eastAsia="en-US"/>
        </w:rPr>
        <w:t xml:space="preserve">categories (I and II) </w:t>
      </w:r>
      <w:r w:rsidRPr="0090382F">
        <w:rPr>
          <w:rFonts w:ascii="Calibri" w:eastAsia="Calibri" w:hAnsi="Calibri" w:cs="Times New Roman"/>
          <w:lang w:eastAsia="en-US"/>
        </w:rPr>
        <w:t>from the river plumes</w:t>
      </w:r>
      <w:r>
        <w:rPr>
          <w:rFonts w:ascii="Calibri" w:eastAsia="Calibri" w:hAnsi="Calibri" w:cs="Times New Roman"/>
          <w:lang w:eastAsia="en-US"/>
        </w:rPr>
        <w:t xml:space="preserve"> exposure</w:t>
      </w:r>
      <w:r w:rsidRPr="0090382F">
        <w:rPr>
          <w:rFonts w:ascii="Calibri" w:eastAsia="Calibri" w:hAnsi="Calibri" w:cs="Times New Roman"/>
          <w:lang w:eastAsia="en-US"/>
        </w:rPr>
        <w:t xml:space="preserv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18</w:t>
      </w:r>
      <w:r>
        <w:rPr>
          <w:rFonts w:ascii="Calibri" w:eastAsia="Calibri" w:hAnsi="Calibri" w:cs="Times New Roman"/>
          <w:lang w:eastAsia="en-US"/>
        </w:rPr>
        <w:fldChar w:fldCharType="end"/>
      </w:r>
      <w:r w:rsidRPr="0090382F">
        <w:rPr>
          <w:rFonts w:ascii="Calibri" w:eastAsia="Calibri" w:hAnsi="Calibri" w:cs="Times New Roman"/>
          <w:lang w:eastAsia="en-US"/>
        </w:rPr>
        <w:t xml:space="preserve">b and Appendix </w:t>
      </w:r>
      <w:r>
        <w:rPr>
          <w:rFonts w:ascii="Calibri" w:eastAsia="Calibri" w:hAnsi="Calibri" w:cs="Times New Roman"/>
          <w:lang w:eastAsia="en-US"/>
        </w:rPr>
        <w:t>B</w:t>
      </w:r>
      <w:r w:rsidRPr="0090382F">
        <w:rPr>
          <w:rFonts w:ascii="Calibri" w:eastAsia="Calibri" w:hAnsi="Calibri" w:cs="Times New Roman"/>
          <w:lang w:eastAsia="en-US"/>
        </w:rPr>
        <w:t>: Table A-</w:t>
      </w:r>
      <w:r>
        <w:rPr>
          <w:rFonts w:ascii="Calibri" w:eastAsia="Calibri" w:hAnsi="Calibri" w:cs="Times New Roman"/>
          <w:lang w:eastAsia="en-US"/>
        </w:rPr>
        <w:t>3</w:t>
      </w:r>
      <w:r w:rsidRPr="0090382F">
        <w:rPr>
          <w:rFonts w:ascii="Calibri" w:eastAsia="Calibri" w:hAnsi="Calibri" w:cs="Times New Roman"/>
          <w:lang w:eastAsia="en-US"/>
        </w:rPr>
        <w:t>).</w:t>
      </w:r>
      <w:r>
        <w:rPr>
          <w:rFonts w:ascii="Calibri" w:eastAsia="Calibri" w:hAnsi="Calibri" w:cs="Times New Roman"/>
          <w:lang w:eastAsia="en-US"/>
        </w:rPr>
        <w:t xml:space="preserve"> C</w:t>
      </w:r>
      <w:r w:rsidRPr="00DF1C49">
        <w:rPr>
          <w:rFonts w:ascii="Calibri" w:eastAsia="Calibri" w:hAnsi="Calibri" w:cs="Times New Roman"/>
          <w:lang w:eastAsia="en-US"/>
        </w:rPr>
        <w:t>oral reefs</w:t>
      </w:r>
      <w:r>
        <w:rPr>
          <w:rFonts w:ascii="Calibri" w:eastAsia="Calibri" w:hAnsi="Calibri" w:cs="Times New Roman"/>
          <w:lang w:eastAsia="en-US"/>
        </w:rPr>
        <w:t xml:space="preserve"> of the Fitzroy NRM</w:t>
      </w:r>
      <w:r w:rsidRPr="00DF1C49">
        <w:rPr>
          <w:rFonts w:ascii="Calibri" w:eastAsia="Calibri" w:hAnsi="Calibri" w:cs="Times New Roman"/>
          <w:lang w:eastAsia="en-US"/>
        </w:rPr>
        <w:t xml:space="preserve"> experienced</w:t>
      </w:r>
      <w:r>
        <w:rPr>
          <w:rFonts w:ascii="Calibri" w:eastAsia="Calibri" w:hAnsi="Calibri" w:cs="Times New Roman"/>
          <w:lang w:eastAsia="en-US"/>
        </w:rPr>
        <w:t xml:space="preserve"> the highest potential risk from river plume</w:t>
      </w:r>
      <w:r w:rsidRPr="00DF1C49">
        <w:rPr>
          <w:rFonts w:ascii="Calibri" w:eastAsia="Calibri" w:hAnsi="Calibri" w:cs="Times New Roman"/>
          <w:lang w:eastAsia="en-US"/>
        </w:rPr>
        <w:t xml:space="preserve"> (153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or 3% of the Fitzroy reefs</w:t>
      </w:r>
      <w:r>
        <w:rPr>
          <w:rFonts w:ascii="Calibri" w:eastAsia="Calibri" w:hAnsi="Calibri" w:cs="Times New Roman"/>
          <w:lang w:eastAsia="en-US"/>
        </w:rPr>
        <w:t xml:space="preserve"> exposed potential</w:t>
      </w:r>
      <w:r w:rsidRPr="00DF1C49">
        <w:rPr>
          <w:rFonts w:ascii="Calibri" w:eastAsia="Calibri" w:hAnsi="Calibri" w:cs="Times New Roman"/>
          <w:lang w:eastAsia="en-US"/>
        </w:rPr>
        <w:t xml:space="preserve"> risk </w:t>
      </w:r>
      <w:r>
        <w:rPr>
          <w:rFonts w:ascii="Calibri" w:eastAsia="Calibri" w:hAnsi="Calibri" w:cs="Times New Roman"/>
          <w:lang w:eastAsia="en-US"/>
        </w:rPr>
        <w:t>categories III and IV</w:t>
      </w:r>
      <w:r w:rsidRPr="00DF1C49">
        <w:rPr>
          <w:rFonts w:ascii="Calibri" w:eastAsia="Calibri" w:hAnsi="Calibri" w:cs="Times New Roman"/>
          <w:lang w:eastAsia="en-US"/>
        </w:rPr>
        <w:t xml:space="preserve">), </w:t>
      </w:r>
      <w:r>
        <w:rPr>
          <w:rFonts w:ascii="Calibri" w:eastAsia="Calibri" w:hAnsi="Calibri" w:cs="Times New Roman"/>
          <w:lang w:eastAsia="en-US"/>
        </w:rPr>
        <w:t xml:space="preserve">followed by the </w:t>
      </w:r>
      <w:r w:rsidRPr="00DF1C49">
        <w:rPr>
          <w:rFonts w:ascii="Calibri" w:eastAsia="Calibri" w:hAnsi="Calibri" w:cs="Times New Roman"/>
          <w:lang w:eastAsia="en-US"/>
        </w:rPr>
        <w:t>Mackay-Whitsundays</w:t>
      </w:r>
      <w:r>
        <w:rPr>
          <w:rFonts w:ascii="Calibri" w:eastAsia="Calibri" w:hAnsi="Calibri" w:cs="Times New Roman"/>
          <w:lang w:eastAsia="en-US"/>
        </w:rPr>
        <w:t xml:space="preserve"> reefs</w:t>
      </w:r>
      <w:r w:rsidRPr="00DF1C49">
        <w:rPr>
          <w:rFonts w:ascii="Calibri" w:eastAsia="Calibri" w:hAnsi="Calibri" w:cs="Times New Roman"/>
          <w:lang w:eastAsia="en-US"/>
        </w:rPr>
        <w:t xml:space="preserve"> (104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or 3% of the Mackay-Whitsundays reefs), and Cape York</w:t>
      </w:r>
      <w:r>
        <w:rPr>
          <w:rFonts w:ascii="Calibri" w:eastAsia="Calibri" w:hAnsi="Calibri" w:cs="Times New Roman"/>
          <w:lang w:eastAsia="en-US"/>
        </w:rPr>
        <w:t xml:space="preserve"> reefs</w:t>
      </w:r>
      <w:r w:rsidRPr="00DF1C49">
        <w:rPr>
          <w:rFonts w:ascii="Calibri" w:eastAsia="Calibri" w:hAnsi="Calibri" w:cs="Times New Roman"/>
          <w:lang w:eastAsia="en-US"/>
        </w:rPr>
        <w:t xml:space="preserve"> (76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or 1% of the Cape York reefs)</w:t>
      </w:r>
      <w:r>
        <w:rPr>
          <w:rFonts w:ascii="Calibri" w:eastAsia="Calibri" w:hAnsi="Calibri" w:cs="Times New Roman"/>
          <w:lang w:eastAsia="en-US"/>
        </w:rPr>
        <w:t xml:space="preserve"> (Appendix B: Table </w:t>
      </w:r>
      <w:r w:rsidRPr="004B2708">
        <w:rPr>
          <w:rFonts w:ascii="Calibri" w:eastAsia="Calibri" w:hAnsi="Calibri" w:cs="Times New Roman"/>
          <w:lang w:eastAsia="en-US"/>
        </w:rPr>
        <w:t>A-</w:t>
      </w:r>
      <w:r>
        <w:rPr>
          <w:rFonts w:ascii="Calibri" w:eastAsia="Calibri" w:hAnsi="Calibri" w:cs="Times New Roman"/>
          <w:lang w:eastAsia="en-US"/>
        </w:rPr>
        <w:t>3</w:t>
      </w:r>
      <w:r w:rsidRPr="00DF1C49">
        <w:rPr>
          <w:rFonts w:ascii="Calibri" w:eastAsia="Calibri" w:hAnsi="Calibri" w:cs="Times New Roman"/>
          <w:lang w:eastAsia="en-US"/>
        </w:rPr>
        <w:t xml:space="preserve">). </w:t>
      </w:r>
      <w:r>
        <w:rPr>
          <w:rFonts w:ascii="Calibri" w:eastAsia="Calibri" w:hAnsi="Calibri" w:cs="Times New Roman"/>
          <w:lang w:eastAsia="en-US"/>
        </w:rPr>
        <w:t xml:space="preserve">Despite being nearly always exposed to plume waters (&gt; 98% of the wet season), the potential river plume risk was lower for coral reefs of the </w:t>
      </w:r>
      <w:r w:rsidRPr="00DF1C49">
        <w:rPr>
          <w:rFonts w:ascii="Calibri" w:eastAsia="Calibri" w:hAnsi="Calibri" w:cs="Times New Roman"/>
          <w:lang w:eastAsia="en-US"/>
        </w:rPr>
        <w:t xml:space="preserve">Wet Tropics and Burnett Mary </w:t>
      </w:r>
      <w:r>
        <w:rPr>
          <w:rFonts w:ascii="Calibri" w:eastAsia="Calibri" w:hAnsi="Calibri" w:cs="Times New Roman"/>
          <w:lang w:eastAsia="en-US"/>
        </w:rPr>
        <w:t xml:space="preserve">NRM regions </w:t>
      </w:r>
      <w:r w:rsidRPr="00DF1C49">
        <w:rPr>
          <w:rFonts w:ascii="Calibri" w:eastAsia="Calibri" w:hAnsi="Calibri" w:cs="Times New Roman"/>
          <w:lang w:eastAsia="en-US"/>
        </w:rPr>
        <w:t>(</w:t>
      </w:r>
      <w:r>
        <w:rPr>
          <w:rFonts w:ascii="Calibri" w:eastAsia="Calibri" w:hAnsi="Calibri" w:cs="Times New Roman"/>
          <w:lang w:eastAsia="en-US"/>
        </w:rPr>
        <w:t>more than</w:t>
      </w:r>
      <w:r w:rsidRPr="00DF1C49">
        <w:rPr>
          <w:rFonts w:ascii="Calibri" w:eastAsia="Calibri" w:hAnsi="Calibri" w:cs="Times New Roman"/>
          <w:lang w:eastAsia="en-US"/>
        </w:rPr>
        <w:t xml:space="preserve"> 96%</w:t>
      </w:r>
      <w:r>
        <w:rPr>
          <w:rFonts w:ascii="Calibri" w:eastAsia="Calibri" w:hAnsi="Calibri" w:cs="Times New Roman"/>
          <w:lang w:eastAsia="en-US"/>
        </w:rPr>
        <w:t xml:space="preserve"> of reefs</w:t>
      </w:r>
      <w:r w:rsidRPr="00DF1C49">
        <w:rPr>
          <w:rFonts w:ascii="Calibri" w:eastAsia="Calibri" w:hAnsi="Calibri" w:cs="Times New Roman"/>
          <w:lang w:eastAsia="en-US"/>
        </w:rPr>
        <w:t xml:space="preserve"> under </w:t>
      </w:r>
      <w:r>
        <w:rPr>
          <w:rFonts w:ascii="Calibri" w:eastAsia="Calibri" w:hAnsi="Calibri" w:cs="Times New Roman"/>
          <w:lang w:eastAsia="en-US"/>
        </w:rPr>
        <w:t>potential</w:t>
      </w:r>
      <w:r w:rsidRPr="00DF1C49">
        <w:rPr>
          <w:rFonts w:ascii="Calibri" w:eastAsia="Calibri" w:hAnsi="Calibri" w:cs="Times New Roman"/>
          <w:lang w:eastAsia="en-US"/>
        </w:rPr>
        <w:t xml:space="preserve"> risk</w:t>
      </w:r>
      <w:r>
        <w:rPr>
          <w:rFonts w:ascii="Calibri" w:eastAsia="Calibri" w:hAnsi="Calibri" w:cs="Times New Roman"/>
          <w:lang w:eastAsia="en-US"/>
        </w:rPr>
        <w:t xml:space="preserve"> category I</w:t>
      </w:r>
      <w:r w:rsidRPr="00DF1C49">
        <w:rPr>
          <w:rFonts w:ascii="Calibri" w:eastAsia="Calibri" w:hAnsi="Calibri" w:cs="Times New Roman"/>
          <w:lang w:eastAsia="en-US"/>
        </w:rPr>
        <w:t xml:space="preserve">). </w:t>
      </w:r>
    </w:p>
    <w:p w14:paraId="0C3F88BA" w14:textId="77777777" w:rsidR="00131E41" w:rsidRDefault="00131E41" w:rsidP="00131E41">
      <w:pPr>
        <w:spacing w:after="200" w:line="276" w:lineRule="auto"/>
        <w:rPr>
          <w:rFonts w:ascii="Calibri" w:eastAsia="Calibri" w:hAnsi="Calibri" w:cs="Times New Roman"/>
          <w:lang w:eastAsia="en-US"/>
        </w:rPr>
      </w:pPr>
      <w:r>
        <w:rPr>
          <w:rFonts w:ascii="Calibri" w:eastAsia="Calibri" w:hAnsi="Calibri" w:cs="Times New Roman"/>
          <w:lang w:eastAsia="en-US"/>
        </w:rPr>
        <w:t>Ninety four</w:t>
      </w:r>
      <w:r w:rsidRPr="00485511">
        <w:rPr>
          <w:rFonts w:ascii="Calibri" w:eastAsia="Calibri" w:hAnsi="Calibri" w:cs="Times New Roman"/>
          <w:lang w:eastAsia="en-US"/>
        </w:rPr>
        <w:t xml:space="preserve"> </w:t>
      </w:r>
      <w:r>
        <w:rPr>
          <w:rFonts w:ascii="Calibri" w:eastAsia="Calibri" w:hAnsi="Calibri" w:cs="Times New Roman"/>
          <w:lang w:eastAsia="en-US"/>
        </w:rPr>
        <w:t>percent</w:t>
      </w:r>
      <w:r w:rsidRPr="00DF1C49">
        <w:rPr>
          <w:rFonts w:ascii="Calibri" w:eastAsia="Calibri" w:hAnsi="Calibri" w:cs="Times New Roman"/>
          <w:lang w:eastAsia="en-US"/>
        </w:rPr>
        <w:t xml:space="preserve"> (Cape York NRM) to 100% (Burdekin, Fitzroy and Burnett-Mary NRM</w:t>
      </w:r>
      <w:r>
        <w:rPr>
          <w:rFonts w:ascii="Calibri" w:eastAsia="Calibri" w:hAnsi="Calibri" w:cs="Times New Roman"/>
          <w:lang w:eastAsia="en-US"/>
        </w:rPr>
        <w:t xml:space="preserve"> region</w:t>
      </w:r>
      <w:r w:rsidRPr="00DF1C49">
        <w:rPr>
          <w:rFonts w:ascii="Calibri" w:eastAsia="Calibri" w:hAnsi="Calibri" w:cs="Times New Roman"/>
          <w:lang w:eastAsia="en-US"/>
        </w:rPr>
        <w:t xml:space="preserve">s) of the monitored seagrass beds were exposed to </w:t>
      </w:r>
      <w:r>
        <w:rPr>
          <w:rFonts w:ascii="Calibri" w:eastAsia="Calibri" w:hAnsi="Calibri" w:cs="Times New Roman"/>
          <w:lang w:eastAsia="en-US"/>
        </w:rPr>
        <w:t>river plumes,</w:t>
      </w:r>
      <w:r w:rsidRPr="00DF1C49">
        <w:rPr>
          <w:rFonts w:ascii="Calibri" w:eastAsia="Calibri" w:hAnsi="Calibri" w:cs="Times New Roman"/>
          <w:lang w:eastAsia="en-US"/>
        </w:rPr>
        <w:t xml:space="preserve"> with most of them under </w:t>
      </w:r>
      <w:r>
        <w:rPr>
          <w:rFonts w:ascii="Calibri" w:eastAsia="Calibri" w:hAnsi="Calibri" w:cs="Times New Roman"/>
          <w:lang w:eastAsia="en-US"/>
        </w:rPr>
        <w:t>the highest</w:t>
      </w:r>
      <w:r w:rsidRPr="00DF1C49">
        <w:rPr>
          <w:rFonts w:ascii="Calibri" w:eastAsia="Calibri" w:hAnsi="Calibri" w:cs="Times New Roman"/>
          <w:lang w:eastAsia="en-US"/>
        </w:rPr>
        <w:t xml:space="preserve"> </w:t>
      </w:r>
      <w:r>
        <w:rPr>
          <w:rFonts w:ascii="Calibri" w:eastAsia="Calibri" w:hAnsi="Calibri" w:cs="Times New Roman"/>
          <w:lang w:eastAsia="en-US"/>
        </w:rPr>
        <w:t xml:space="preserve">potential </w:t>
      </w:r>
      <w:r w:rsidRPr="00DF1C49">
        <w:rPr>
          <w:rFonts w:ascii="Calibri" w:eastAsia="Calibri" w:hAnsi="Calibri" w:cs="Times New Roman"/>
          <w:lang w:eastAsia="en-US"/>
        </w:rPr>
        <w:t>risk</w:t>
      </w:r>
      <w:r>
        <w:rPr>
          <w:rFonts w:ascii="Calibri" w:eastAsia="Calibri" w:hAnsi="Calibri" w:cs="Times New Roman"/>
          <w:lang w:eastAsia="en-US"/>
        </w:rPr>
        <w:t xml:space="preserve"> categories (III and IV)</w:t>
      </w:r>
      <w:r w:rsidRPr="00DF1C49">
        <w:rPr>
          <w:rFonts w:ascii="Calibri" w:eastAsia="Calibri" w:hAnsi="Calibri" w:cs="Times New Roman"/>
          <w:lang w:eastAsia="en-US"/>
        </w:rPr>
        <w:t xml:space="preserve"> from the river plumes</w:t>
      </w:r>
      <w:r>
        <w:rPr>
          <w:rFonts w:ascii="Calibri" w:eastAsia="Calibri" w:hAnsi="Calibri" w:cs="Times New Roman"/>
          <w:lang w:eastAsia="en-US"/>
        </w:rPr>
        <w:t xml:space="preserve"> </w:t>
      </w:r>
      <w:r w:rsidRPr="00DF1C49">
        <w:rPr>
          <w:rFonts w:ascii="Calibri" w:eastAsia="Calibri" w:hAnsi="Calibri" w:cs="Times New Roman"/>
          <w:lang w:eastAsia="en-US"/>
        </w:rPr>
        <w:t>(</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 MERGEFORMAT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B62B50">
        <w:rPr>
          <w:rFonts w:ascii="Calibri" w:eastAsia="Calibri" w:hAnsi="Calibri" w:cs="Times New Roman"/>
          <w:lang w:eastAsia="en-US"/>
        </w:rPr>
        <w:t>Figure 5</w:t>
      </w:r>
      <w:r w:rsidR="00B62B50" w:rsidRPr="00B62B50">
        <w:rPr>
          <w:rFonts w:ascii="Calibri" w:eastAsia="Calibri" w:hAnsi="Calibri" w:cs="Times New Roman"/>
          <w:lang w:eastAsia="en-US"/>
        </w:rPr>
        <w:noBreakHyphen/>
        <w:t>18</w:t>
      </w:r>
      <w:r>
        <w:rPr>
          <w:rFonts w:ascii="Calibri" w:eastAsia="Calibri" w:hAnsi="Calibri" w:cs="Times New Roman"/>
          <w:lang w:eastAsia="en-US"/>
        </w:rPr>
        <w:fldChar w:fldCharType="end"/>
      </w:r>
      <w:r w:rsidR="00A60496">
        <w:rPr>
          <w:rFonts w:ascii="Calibri" w:eastAsia="Calibri" w:hAnsi="Calibri" w:cs="Times New Roman"/>
          <w:lang w:eastAsia="en-US"/>
        </w:rPr>
        <w:t xml:space="preserve"> </w:t>
      </w:r>
      <w:r w:rsidRPr="00DF1C49">
        <w:rPr>
          <w:rFonts w:ascii="Calibri" w:eastAsia="Calibri" w:hAnsi="Calibri" w:cs="Times New Roman"/>
          <w:lang w:eastAsia="en-US"/>
        </w:rPr>
        <w:t xml:space="preserve">and </w:t>
      </w:r>
      <w:r>
        <w:rPr>
          <w:rFonts w:ascii="Calibri" w:eastAsia="Calibri" w:hAnsi="Calibri" w:cs="Times New Roman"/>
          <w:lang w:eastAsia="en-US"/>
        </w:rPr>
        <w:t xml:space="preserve">Appendix B: Table </w:t>
      </w:r>
      <w:r w:rsidRPr="004B2708">
        <w:rPr>
          <w:rFonts w:ascii="Calibri" w:eastAsia="Calibri" w:hAnsi="Calibri" w:cs="Times New Roman"/>
          <w:lang w:eastAsia="en-US"/>
        </w:rPr>
        <w:t>A-</w:t>
      </w:r>
      <w:r>
        <w:rPr>
          <w:rFonts w:ascii="Calibri" w:eastAsia="Calibri" w:hAnsi="Calibri" w:cs="Times New Roman"/>
          <w:lang w:eastAsia="en-US"/>
        </w:rPr>
        <w:t>4a</w:t>
      </w:r>
      <w:r w:rsidRPr="00DF1C49">
        <w:rPr>
          <w:rFonts w:ascii="Calibri" w:eastAsia="Calibri" w:hAnsi="Calibri" w:cs="Times New Roman"/>
          <w:lang w:eastAsia="en-US"/>
        </w:rPr>
        <w:t>).</w:t>
      </w:r>
      <w:r>
        <w:rPr>
          <w:rFonts w:ascii="Calibri" w:eastAsia="Calibri" w:hAnsi="Calibri" w:cs="Times New Roman"/>
          <w:lang w:eastAsia="en-US"/>
        </w:rPr>
        <w:t xml:space="preserve"> Seagrass beds of the </w:t>
      </w:r>
      <w:r w:rsidRPr="00DF1C49">
        <w:rPr>
          <w:rFonts w:ascii="Calibri" w:eastAsia="Calibri" w:hAnsi="Calibri" w:cs="Times New Roman"/>
          <w:lang w:eastAsia="en-US"/>
        </w:rPr>
        <w:t>Cape York</w:t>
      </w:r>
      <w:r>
        <w:rPr>
          <w:rFonts w:ascii="Calibri" w:eastAsia="Calibri" w:hAnsi="Calibri" w:cs="Times New Roman"/>
          <w:lang w:eastAsia="en-US"/>
        </w:rPr>
        <w:t xml:space="preserve"> and Burdekin NRM regions were evaluated as the most at risk, with </w:t>
      </w:r>
      <w:r w:rsidRPr="00C1049D">
        <w:rPr>
          <w:rFonts w:ascii="Calibri" w:eastAsia="Calibri" w:hAnsi="Calibri" w:cs="Times New Roman"/>
          <w:lang w:eastAsia="en-US"/>
        </w:rPr>
        <w:t>1186 km</w:t>
      </w:r>
      <w:r w:rsidRPr="00C1049D">
        <w:rPr>
          <w:rFonts w:ascii="Calibri" w:eastAsia="Calibri" w:hAnsi="Calibri" w:cs="Times New Roman"/>
          <w:vertAlign w:val="superscript"/>
          <w:lang w:eastAsia="en-US"/>
        </w:rPr>
        <w:t>2</w:t>
      </w:r>
      <w:r w:rsidRPr="00C1049D">
        <w:rPr>
          <w:rFonts w:ascii="Calibri" w:eastAsia="Calibri" w:hAnsi="Calibri" w:cs="Times New Roman"/>
          <w:lang w:eastAsia="en-US"/>
        </w:rPr>
        <w:t xml:space="preserve"> </w:t>
      </w:r>
      <w:r>
        <w:rPr>
          <w:rFonts w:ascii="Calibri" w:eastAsia="Calibri" w:hAnsi="Calibri" w:cs="Times New Roman"/>
          <w:lang w:eastAsia="en-US"/>
        </w:rPr>
        <w:t>(</w:t>
      </w:r>
      <w:r w:rsidRPr="00C1049D">
        <w:rPr>
          <w:rFonts w:ascii="Calibri" w:eastAsia="Calibri" w:hAnsi="Calibri" w:cs="Times New Roman"/>
          <w:lang w:eastAsia="en-US"/>
        </w:rPr>
        <w:t>or 49%</w:t>
      </w:r>
      <w:r>
        <w:rPr>
          <w:rFonts w:ascii="Calibri" w:eastAsia="Calibri" w:hAnsi="Calibri" w:cs="Times New Roman"/>
          <w:lang w:eastAsia="en-US"/>
        </w:rPr>
        <w:t xml:space="preserve">) and </w:t>
      </w:r>
      <w:r w:rsidRPr="00DF1C49">
        <w:rPr>
          <w:rFonts w:ascii="Calibri" w:eastAsia="Calibri" w:hAnsi="Calibri" w:cs="Times New Roman"/>
          <w:lang w:eastAsia="en-US"/>
        </w:rPr>
        <w:t>501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80%</w:t>
      </w:r>
      <w:r>
        <w:rPr>
          <w:rFonts w:ascii="Calibri" w:eastAsia="Calibri" w:hAnsi="Calibri" w:cs="Times New Roman"/>
          <w:lang w:eastAsia="en-US"/>
        </w:rPr>
        <w:t>)</w:t>
      </w:r>
      <w:r w:rsidRPr="00DF1C49">
        <w:rPr>
          <w:rFonts w:ascii="Calibri" w:eastAsia="Calibri" w:hAnsi="Calibri" w:cs="Times New Roman"/>
          <w:lang w:eastAsia="en-US"/>
        </w:rPr>
        <w:t xml:space="preserve"> </w:t>
      </w:r>
      <w:r w:rsidRPr="00C1049D">
        <w:rPr>
          <w:rFonts w:ascii="Calibri" w:eastAsia="Calibri" w:hAnsi="Calibri" w:cs="Times New Roman"/>
          <w:lang w:eastAsia="en-US"/>
        </w:rPr>
        <w:t>of the monitored Cape York</w:t>
      </w:r>
      <w:r>
        <w:rPr>
          <w:rFonts w:ascii="Calibri" w:eastAsia="Calibri" w:hAnsi="Calibri" w:cs="Times New Roman"/>
          <w:lang w:eastAsia="en-US"/>
        </w:rPr>
        <w:t xml:space="preserve"> and Burdekin</w:t>
      </w:r>
      <w:r w:rsidRPr="00C1049D">
        <w:rPr>
          <w:rFonts w:ascii="Calibri" w:eastAsia="Calibri" w:hAnsi="Calibri" w:cs="Times New Roman"/>
          <w:lang w:eastAsia="en-US"/>
        </w:rPr>
        <w:t xml:space="preserve"> seagrass beds exposed to </w:t>
      </w:r>
      <w:r>
        <w:rPr>
          <w:rFonts w:ascii="Calibri" w:eastAsia="Calibri" w:hAnsi="Calibri" w:cs="Times New Roman"/>
          <w:lang w:eastAsia="en-US"/>
        </w:rPr>
        <w:t xml:space="preserve">potential </w:t>
      </w:r>
      <w:r w:rsidRPr="00C1049D">
        <w:rPr>
          <w:rFonts w:ascii="Calibri" w:eastAsia="Calibri" w:hAnsi="Calibri" w:cs="Times New Roman"/>
          <w:lang w:eastAsia="en-US"/>
        </w:rPr>
        <w:t>risk categories</w:t>
      </w:r>
      <w:r>
        <w:rPr>
          <w:rFonts w:ascii="Calibri" w:eastAsia="Calibri" w:hAnsi="Calibri" w:cs="Times New Roman"/>
          <w:lang w:eastAsia="en-US"/>
        </w:rPr>
        <w:t xml:space="preserve"> III and IV, respectively</w:t>
      </w:r>
      <w:r w:rsidRPr="00DF1C49">
        <w:rPr>
          <w:rFonts w:ascii="Calibri" w:eastAsia="Calibri" w:hAnsi="Calibri" w:cs="Times New Roman"/>
          <w:lang w:eastAsia="en-US"/>
        </w:rPr>
        <w:t xml:space="preserve">. When expressed in percentage, monitored seagrass beds the most exposed </w:t>
      </w:r>
      <w:r>
        <w:rPr>
          <w:rFonts w:ascii="Calibri" w:eastAsia="Calibri" w:hAnsi="Calibri" w:cs="Times New Roman"/>
          <w:lang w:eastAsia="en-US"/>
        </w:rPr>
        <w:t>the potential</w:t>
      </w:r>
      <w:r w:rsidRPr="00DF1C49">
        <w:rPr>
          <w:rFonts w:ascii="Calibri" w:eastAsia="Calibri" w:hAnsi="Calibri" w:cs="Times New Roman"/>
          <w:lang w:eastAsia="en-US"/>
        </w:rPr>
        <w:t xml:space="preserve"> risk </w:t>
      </w:r>
      <w:r>
        <w:rPr>
          <w:rFonts w:ascii="Calibri" w:eastAsia="Calibri" w:hAnsi="Calibri" w:cs="Times New Roman"/>
          <w:lang w:eastAsia="en-US"/>
        </w:rPr>
        <w:t>category IV</w:t>
      </w:r>
      <w:r w:rsidRPr="00DF1C49">
        <w:rPr>
          <w:rFonts w:ascii="Calibri" w:eastAsia="Calibri" w:hAnsi="Calibri" w:cs="Times New Roman"/>
          <w:lang w:eastAsia="en-US"/>
        </w:rPr>
        <w:t xml:space="preserve"> were those located in the Dry tropics NRM</w:t>
      </w:r>
      <w:r>
        <w:rPr>
          <w:rFonts w:ascii="Calibri" w:eastAsia="Calibri" w:hAnsi="Calibri" w:cs="Times New Roman"/>
          <w:lang w:eastAsia="en-US"/>
        </w:rPr>
        <w:t xml:space="preserve"> regions</w:t>
      </w:r>
      <w:r w:rsidRPr="00DF1C49">
        <w:rPr>
          <w:rFonts w:ascii="Calibri" w:eastAsia="Calibri" w:hAnsi="Calibri" w:cs="Times New Roman"/>
          <w:lang w:eastAsia="en-US"/>
        </w:rPr>
        <w:t xml:space="preserve"> (Fitzroy: 24%, Burnett-Mary: 20% and Burdekin: 11% of the seagrass beds monitored in each respective NRM).</w:t>
      </w:r>
    </w:p>
    <w:p w14:paraId="0C3F88BB" w14:textId="77777777" w:rsidR="00131E41" w:rsidRPr="00DF1C49" w:rsidRDefault="00131E41" w:rsidP="00131E41">
      <w:pPr>
        <w:rPr>
          <w:rFonts w:ascii="Calibri" w:eastAsia="Calibri" w:hAnsi="Calibri" w:cs="Times New Roman"/>
          <w:bCs/>
          <w:color w:val="4F81BD"/>
          <w:sz w:val="18"/>
          <w:szCs w:val="18"/>
          <w:lang w:eastAsia="en-US"/>
        </w:rPr>
      </w:pPr>
      <w:r>
        <w:rPr>
          <w:rFonts w:ascii="Calibri" w:eastAsia="Calibri" w:hAnsi="Calibri" w:cs="Times New Roman"/>
          <w:bCs/>
          <w:noProof/>
          <w:color w:val="4F81BD"/>
          <w:sz w:val="24"/>
          <w:szCs w:val="24"/>
        </w:rPr>
        <w:drawing>
          <wp:inline distT="0" distB="0" distL="0" distR="0" wp14:anchorId="0C3F9025" wp14:editId="0C3F9026">
            <wp:extent cx="5724000" cy="7160400"/>
            <wp:effectExtent l="0" t="0" r="0" b="2540"/>
            <wp:docPr id="10" name="Picture 10" descr="Areas (km2) and percentage (%) of the a) GBR lagoon, b) coral reefs and c) seagrass beds (c1: surveyed; c2: deep and c3) total (surveyed + deep) seagrass beds) exposed to different categories of river plume risk within each NRM and during the wet season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24000" cy="7160400"/>
                    </a:xfrm>
                    <a:prstGeom prst="rect">
                      <a:avLst/>
                    </a:prstGeom>
                    <a:noFill/>
                  </pic:spPr>
                </pic:pic>
              </a:graphicData>
            </a:graphic>
          </wp:inline>
        </w:drawing>
      </w:r>
    </w:p>
    <w:p w14:paraId="0C3F88BC" w14:textId="77777777" w:rsidR="00131E41" w:rsidRPr="00DF1C49" w:rsidRDefault="00131E41" w:rsidP="00131E41">
      <w:pPr>
        <w:pStyle w:val="Caption"/>
        <w:rPr>
          <w:rFonts w:eastAsia="Calibri"/>
        </w:rPr>
      </w:pPr>
      <w:bookmarkStart w:id="238" w:name="_Ref427750071"/>
      <w:bookmarkStart w:id="239" w:name="_Toc427833296"/>
      <w:bookmarkStart w:id="240" w:name="_Toc434208054"/>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18</w:t>
      </w:r>
      <w:r w:rsidR="00D243CD">
        <w:rPr>
          <w:rFonts w:eastAsia="Calibri"/>
        </w:rPr>
        <w:fldChar w:fldCharType="end"/>
      </w:r>
      <w:bookmarkEnd w:id="238"/>
      <w:r w:rsidRPr="00DF1C49">
        <w:rPr>
          <w:rFonts w:eastAsia="Calibri"/>
        </w:rPr>
        <w:t>: Areas (km</w:t>
      </w:r>
      <w:r w:rsidRPr="00DF1C49">
        <w:rPr>
          <w:rFonts w:eastAsia="Calibri"/>
          <w:vertAlign w:val="superscript"/>
        </w:rPr>
        <w:t>2</w:t>
      </w:r>
      <w:r w:rsidRPr="00DF1C49">
        <w:rPr>
          <w:rFonts w:eastAsia="Calibri"/>
        </w:rPr>
        <w:t>) and percentage (%) of the a) GBR lagoon, b) coral reefs and c) seagrass beds (c1: surveyed; c2: deep and c3) total (surveyed + deep) seagrass beds) exposed to different categories of river plume risk within each NRM and during the wet season 2012-13.</w:t>
      </w:r>
      <w:bookmarkEnd w:id="239"/>
      <w:bookmarkEnd w:id="240"/>
      <w:r w:rsidRPr="00DF1C49">
        <w:rPr>
          <w:rFonts w:eastAsia="Calibri"/>
        </w:rPr>
        <w:t xml:space="preserve"> </w:t>
      </w:r>
    </w:p>
    <w:p w14:paraId="0C3F88BD" w14:textId="77777777" w:rsidR="00131E41" w:rsidRPr="00DF1C49" w:rsidRDefault="00131E41" w:rsidP="00131E41">
      <w:pPr>
        <w:rPr>
          <w:rFonts w:ascii="Calibri" w:eastAsia="Calibri" w:hAnsi="Calibri" w:cs="Times New Roman"/>
          <w:lang w:eastAsia="en-US"/>
        </w:rPr>
      </w:pPr>
    </w:p>
    <w:p w14:paraId="0C3F88BE" w14:textId="77777777" w:rsidR="00131E41" w:rsidRDefault="00131E41" w:rsidP="00131E41">
      <w:pPr>
        <w:spacing w:after="200" w:line="276" w:lineRule="auto"/>
        <w:rPr>
          <w:rFonts w:ascii="Calibri" w:eastAsia="Calibri" w:hAnsi="Calibri" w:cs="Times New Roman"/>
          <w:lang w:eastAsia="en-US"/>
        </w:rPr>
      </w:pPr>
      <w:r>
        <w:rPr>
          <w:rFonts w:ascii="Calibri" w:eastAsia="Calibri" w:hAnsi="Calibri" w:cs="Times New Roman"/>
          <w:lang w:eastAsia="en-US"/>
        </w:rPr>
        <w:t>Sixty four</w:t>
      </w:r>
      <w:r w:rsidRPr="00485511">
        <w:rPr>
          <w:rFonts w:ascii="Calibri" w:eastAsia="Calibri" w:hAnsi="Calibri" w:cs="Times New Roman"/>
          <w:lang w:eastAsia="en-US"/>
        </w:rPr>
        <w:t xml:space="preserve"> </w:t>
      </w:r>
      <w:r>
        <w:rPr>
          <w:rFonts w:ascii="Calibri" w:eastAsia="Calibri" w:hAnsi="Calibri" w:cs="Times New Roman"/>
          <w:lang w:eastAsia="en-US"/>
        </w:rPr>
        <w:t>percent</w:t>
      </w:r>
      <w:r w:rsidRPr="00DF1C49">
        <w:rPr>
          <w:rFonts w:ascii="Calibri" w:eastAsia="Calibri" w:hAnsi="Calibri" w:cs="Times New Roman"/>
          <w:lang w:eastAsia="en-US"/>
        </w:rPr>
        <w:t xml:space="preserve"> (Burdekin NRM) to 100% (Wet Tropics, Mackay-Whitsundays and Fitzroy NRM</w:t>
      </w:r>
      <w:r>
        <w:rPr>
          <w:rFonts w:ascii="Calibri" w:eastAsia="Calibri" w:hAnsi="Calibri" w:cs="Times New Roman"/>
          <w:lang w:eastAsia="en-US"/>
        </w:rPr>
        <w:t xml:space="preserve"> region</w:t>
      </w:r>
      <w:r w:rsidRPr="00DF1C49">
        <w:rPr>
          <w:rFonts w:ascii="Calibri" w:eastAsia="Calibri" w:hAnsi="Calibri" w:cs="Times New Roman"/>
          <w:lang w:eastAsia="en-US"/>
        </w:rPr>
        <w:t xml:space="preserve">s) of the </w:t>
      </w:r>
      <w:r>
        <w:rPr>
          <w:rFonts w:ascii="Calibri" w:eastAsia="Calibri" w:hAnsi="Calibri" w:cs="Times New Roman"/>
          <w:lang w:eastAsia="en-US"/>
        </w:rPr>
        <w:t xml:space="preserve">modelled </w:t>
      </w:r>
      <w:r w:rsidRPr="00DF1C49">
        <w:rPr>
          <w:rFonts w:ascii="Calibri" w:eastAsia="Calibri" w:hAnsi="Calibri" w:cs="Times New Roman"/>
          <w:lang w:eastAsia="en-US"/>
        </w:rPr>
        <w:t>deep seagrass beds were exposed to river plumes</w:t>
      </w:r>
      <w:r>
        <w:rPr>
          <w:rFonts w:ascii="Calibri" w:eastAsia="Calibri" w:hAnsi="Calibri" w:cs="Times New Roman"/>
          <w:lang w:eastAsia="en-US"/>
        </w:rPr>
        <w:t xml:space="preserve">, </w:t>
      </w:r>
      <w:r w:rsidRPr="00DF1C49">
        <w:rPr>
          <w:rFonts w:ascii="Calibri" w:eastAsia="Calibri" w:hAnsi="Calibri" w:cs="Times New Roman"/>
          <w:lang w:eastAsia="en-US"/>
        </w:rPr>
        <w:t xml:space="preserve">with most of them under </w:t>
      </w:r>
      <w:r>
        <w:rPr>
          <w:rFonts w:ascii="Calibri" w:eastAsia="Calibri" w:hAnsi="Calibri" w:cs="Times New Roman"/>
          <w:lang w:eastAsia="en-US"/>
        </w:rPr>
        <w:t xml:space="preserve">potential </w:t>
      </w:r>
      <w:r w:rsidRPr="00DF1C49">
        <w:rPr>
          <w:rFonts w:ascii="Calibri" w:eastAsia="Calibri" w:hAnsi="Calibri" w:cs="Times New Roman"/>
          <w:lang w:eastAsia="en-US"/>
        </w:rPr>
        <w:t>risk</w:t>
      </w:r>
      <w:r>
        <w:rPr>
          <w:rFonts w:ascii="Calibri" w:eastAsia="Calibri" w:hAnsi="Calibri" w:cs="Times New Roman"/>
          <w:lang w:eastAsia="en-US"/>
        </w:rPr>
        <w:t xml:space="preserve"> categories II and III</w:t>
      </w:r>
      <w:r w:rsidRPr="00DF1C49">
        <w:rPr>
          <w:rFonts w:ascii="Calibri" w:eastAsia="Calibri" w:hAnsi="Calibri" w:cs="Times New Roman"/>
          <w:lang w:eastAsia="en-US"/>
        </w:rPr>
        <w:t xml:space="preserve"> from the river plumes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 MERGEFORMAT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B62B50">
        <w:rPr>
          <w:rFonts w:ascii="Calibri" w:eastAsia="Calibri" w:hAnsi="Calibri" w:cs="Times New Roman"/>
          <w:lang w:eastAsia="en-US"/>
        </w:rPr>
        <w:t>Figure 5</w:t>
      </w:r>
      <w:r w:rsidR="00B62B50" w:rsidRPr="00B62B50">
        <w:rPr>
          <w:rFonts w:ascii="Calibri" w:eastAsia="Calibri" w:hAnsi="Calibri" w:cs="Times New Roman"/>
          <w:lang w:eastAsia="en-US"/>
        </w:rPr>
        <w:noBreakHyphen/>
        <w:t>18</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c2 and </w:t>
      </w:r>
      <w:r>
        <w:rPr>
          <w:rFonts w:ascii="Calibri" w:eastAsia="Calibri" w:hAnsi="Calibri" w:cs="Times New Roman"/>
          <w:lang w:eastAsia="en-US"/>
        </w:rPr>
        <w:t xml:space="preserve">Appendix B: Table </w:t>
      </w:r>
      <w:r w:rsidRPr="004B2708">
        <w:rPr>
          <w:rFonts w:ascii="Calibri" w:eastAsia="Calibri" w:hAnsi="Calibri" w:cs="Times New Roman"/>
          <w:lang w:eastAsia="en-US"/>
        </w:rPr>
        <w:t>A-</w:t>
      </w:r>
      <w:r>
        <w:rPr>
          <w:rFonts w:ascii="Calibri" w:eastAsia="Calibri" w:hAnsi="Calibri" w:cs="Times New Roman"/>
          <w:lang w:eastAsia="en-US"/>
        </w:rPr>
        <w:t>4b</w:t>
      </w:r>
      <w:r w:rsidRPr="00DF1C49">
        <w:rPr>
          <w:rFonts w:ascii="Calibri" w:eastAsia="Calibri" w:hAnsi="Calibri" w:cs="Times New Roman"/>
          <w:lang w:eastAsia="en-US"/>
        </w:rPr>
        <w:t>).</w:t>
      </w:r>
      <w:r>
        <w:rPr>
          <w:rFonts w:ascii="Calibri" w:eastAsia="Calibri" w:hAnsi="Calibri" w:cs="Times New Roman"/>
          <w:lang w:eastAsia="en-US"/>
        </w:rPr>
        <w:t xml:space="preserve"> Deep seagrass of the </w:t>
      </w:r>
      <w:r w:rsidRPr="00DF1C49">
        <w:rPr>
          <w:rFonts w:ascii="Calibri" w:eastAsia="Calibri" w:hAnsi="Calibri" w:cs="Times New Roman"/>
          <w:lang w:eastAsia="en-US"/>
        </w:rPr>
        <w:t>Cape York</w:t>
      </w:r>
      <w:r>
        <w:rPr>
          <w:rFonts w:ascii="Calibri" w:eastAsia="Calibri" w:hAnsi="Calibri" w:cs="Times New Roman"/>
          <w:lang w:eastAsia="en-US"/>
        </w:rPr>
        <w:t xml:space="preserve">, </w:t>
      </w:r>
      <w:r w:rsidRPr="00DF1C49">
        <w:rPr>
          <w:rFonts w:ascii="Calibri" w:eastAsia="Calibri" w:hAnsi="Calibri" w:cs="Times New Roman"/>
          <w:lang w:eastAsia="en-US"/>
        </w:rPr>
        <w:t>Burnett-Mary</w:t>
      </w:r>
      <w:r>
        <w:rPr>
          <w:rFonts w:ascii="Calibri" w:eastAsia="Calibri" w:hAnsi="Calibri" w:cs="Times New Roman"/>
          <w:lang w:eastAsia="en-US"/>
        </w:rPr>
        <w:t xml:space="preserve"> and</w:t>
      </w:r>
      <w:r w:rsidRPr="00DF1C49">
        <w:rPr>
          <w:rFonts w:ascii="Calibri" w:eastAsia="Calibri" w:hAnsi="Calibri" w:cs="Times New Roman"/>
          <w:lang w:eastAsia="en-US"/>
        </w:rPr>
        <w:t xml:space="preserve"> Fitzroy</w:t>
      </w:r>
      <w:r>
        <w:rPr>
          <w:rFonts w:ascii="Calibri" w:eastAsia="Calibri" w:hAnsi="Calibri" w:cs="Times New Roman"/>
          <w:lang w:eastAsia="en-US"/>
        </w:rPr>
        <w:t xml:space="preserve"> NRM regions were evaluated as the most at risk, with </w:t>
      </w:r>
      <w:r w:rsidRPr="00DF1C49">
        <w:rPr>
          <w:rFonts w:ascii="Calibri" w:eastAsia="Calibri" w:hAnsi="Calibri" w:cs="Times New Roman"/>
          <w:lang w:eastAsia="en-US"/>
        </w:rPr>
        <w:t>6634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70%</w:t>
      </w:r>
      <w:r>
        <w:rPr>
          <w:rFonts w:ascii="Calibri" w:eastAsia="Calibri" w:hAnsi="Calibri" w:cs="Times New Roman"/>
          <w:lang w:eastAsia="en-US"/>
        </w:rPr>
        <w:t xml:space="preserve">), </w:t>
      </w:r>
      <w:r w:rsidRPr="00DF1C49">
        <w:rPr>
          <w:rFonts w:ascii="Calibri" w:eastAsia="Calibri" w:hAnsi="Calibri" w:cs="Times New Roman"/>
          <w:lang w:eastAsia="en-US"/>
        </w:rPr>
        <w:t>2829 km</w:t>
      </w:r>
      <w:r w:rsidRPr="00600E32">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45%</w:t>
      </w:r>
      <w:r>
        <w:rPr>
          <w:rFonts w:ascii="Calibri" w:eastAsia="Calibri" w:hAnsi="Calibri" w:cs="Times New Roman"/>
          <w:lang w:eastAsia="en-US"/>
        </w:rPr>
        <w:t xml:space="preserve">) and </w:t>
      </w:r>
      <w:r w:rsidRPr="00DF1C49">
        <w:rPr>
          <w:rFonts w:ascii="Calibri" w:eastAsia="Calibri" w:hAnsi="Calibri" w:cs="Times New Roman"/>
          <w:lang w:eastAsia="en-US"/>
        </w:rPr>
        <w:t>2181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39%</w:t>
      </w:r>
      <w:r>
        <w:rPr>
          <w:rFonts w:ascii="Calibri" w:eastAsia="Calibri" w:hAnsi="Calibri" w:cs="Times New Roman"/>
          <w:lang w:eastAsia="en-US"/>
        </w:rPr>
        <w:t xml:space="preserve">) of the </w:t>
      </w:r>
      <w:r w:rsidRPr="00DF1C49">
        <w:rPr>
          <w:rFonts w:ascii="Calibri" w:eastAsia="Calibri" w:hAnsi="Calibri" w:cs="Times New Roman"/>
          <w:lang w:eastAsia="en-US"/>
        </w:rPr>
        <w:t>Cape York</w:t>
      </w:r>
      <w:r>
        <w:rPr>
          <w:rFonts w:ascii="Calibri" w:eastAsia="Calibri" w:hAnsi="Calibri" w:cs="Times New Roman"/>
          <w:lang w:eastAsia="en-US"/>
        </w:rPr>
        <w:t xml:space="preserve">, </w:t>
      </w:r>
      <w:r w:rsidRPr="00DF1C49">
        <w:rPr>
          <w:rFonts w:ascii="Calibri" w:eastAsia="Calibri" w:hAnsi="Calibri" w:cs="Times New Roman"/>
          <w:lang w:eastAsia="en-US"/>
        </w:rPr>
        <w:t>Burnett-Mary</w:t>
      </w:r>
      <w:r>
        <w:rPr>
          <w:rFonts w:ascii="Calibri" w:eastAsia="Calibri" w:hAnsi="Calibri" w:cs="Times New Roman"/>
          <w:lang w:eastAsia="en-US"/>
        </w:rPr>
        <w:t xml:space="preserve"> and </w:t>
      </w:r>
      <w:r w:rsidRPr="00C1049D">
        <w:rPr>
          <w:rFonts w:ascii="Calibri" w:eastAsia="Calibri" w:hAnsi="Calibri" w:cs="Times New Roman"/>
          <w:lang w:eastAsia="en-US"/>
        </w:rPr>
        <w:t>Fitzroy</w:t>
      </w:r>
      <w:r>
        <w:rPr>
          <w:rFonts w:ascii="Calibri" w:eastAsia="Calibri" w:hAnsi="Calibri" w:cs="Times New Roman"/>
          <w:lang w:eastAsia="en-US"/>
        </w:rPr>
        <w:t xml:space="preserve"> </w:t>
      </w:r>
      <w:r w:rsidRPr="00DF1C49">
        <w:rPr>
          <w:rFonts w:ascii="Calibri" w:eastAsia="Calibri" w:hAnsi="Calibri" w:cs="Times New Roman"/>
          <w:lang w:eastAsia="en-US"/>
        </w:rPr>
        <w:t>deep</w:t>
      </w:r>
      <w:r>
        <w:rPr>
          <w:rFonts w:ascii="Calibri" w:eastAsia="Calibri" w:hAnsi="Calibri" w:cs="Times New Roman"/>
          <w:lang w:eastAsia="en-US"/>
        </w:rPr>
        <w:t xml:space="preserve"> </w:t>
      </w:r>
      <w:r w:rsidRPr="00DF1C49">
        <w:rPr>
          <w:rFonts w:ascii="Calibri" w:eastAsia="Calibri" w:hAnsi="Calibri" w:cs="Times New Roman"/>
          <w:lang w:eastAsia="en-US"/>
        </w:rPr>
        <w:t>seagrass beds</w:t>
      </w:r>
      <w:r>
        <w:rPr>
          <w:rFonts w:ascii="Calibri" w:eastAsia="Calibri" w:hAnsi="Calibri" w:cs="Times New Roman"/>
          <w:lang w:eastAsia="en-US"/>
        </w:rPr>
        <w:t xml:space="preserve"> </w:t>
      </w:r>
      <w:r w:rsidRPr="00C1049D">
        <w:rPr>
          <w:rFonts w:ascii="Calibri" w:eastAsia="Calibri" w:hAnsi="Calibri" w:cs="Times New Roman"/>
          <w:lang w:eastAsia="en-US"/>
        </w:rPr>
        <w:t xml:space="preserve">exposed </w:t>
      </w:r>
      <w:r>
        <w:rPr>
          <w:rFonts w:ascii="Calibri" w:eastAsia="Calibri" w:hAnsi="Calibri" w:cs="Times New Roman"/>
          <w:lang w:eastAsia="en-US"/>
        </w:rPr>
        <w:t xml:space="preserve">to </w:t>
      </w:r>
      <w:r w:rsidRPr="00C1049D">
        <w:rPr>
          <w:rFonts w:ascii="Calibri" w:eastAsia="Calibri" w:hAnsi="Calibri" w:cs="Times New Roman"/>
          <w:lang w:eastAsia="en-US"/>
        </w:rPr>
        <w:t>potential risk categories</w:t>
      </w:r>
      <w:r>
        <w:rPr>
          <w:rFonts w:ascii="Calibri" w:eastAsia="Calibri" w:hAnsi="Calibri" w:cs="Times New Roman"/>
          <w:lang w:eastAsia="en-US"/>
        </w:rPr>
        <w:t xml:space="preserve"> II and III</w:t>
      </w:r>
      <w:r w:rsidRPr="00C1049D">
        <w:rPr>
          <w:rFonts w:ascii="Calibri" w:eastAsia="Calibri" w:hAnsi="Calibri" w:cs="Times New Roman"/>
          <w:lang w:eastAsia="en-US"/>
        </w:rPr>
        <w:t>, respectively</w:t>
      </w:r>
      <w:r>
        <w:rPr>
          <w:rFonts w:ascii="Calibri" w:eastAsia="Calibri" w:hAnsi="Calibri" w:cs="Times New Roman"/>
          <w:lang w:eastAsia="en-US"/>
        </w:rPr>
        <w:t xml:space="preserve">. </w:t>
      </w:r>
      <w:r w:rsidRPr="00DF1C49">
        <w:rPr>
          <w:rFonts w:ascii="Calibri" w:eastAsia="Calibri" w:hAnsi="Calibri" w:cs="Times New Roman"/>
          <w:lang w:eastAsia="en-US"/>
        </w:rPr>
        <w:t xml:space="preserve">When expressed in percentage, </w:t>
      </w:r>
      <w:r>
        <w:rPr>
          <w:rFonts w:ascii="Calibri" w:eastAsia="Calibri" w:hAnsi="Calibri" w:cs="Times New Roman"/>
          <w:lang w:eastAsia="en-US"/>
        </w:rPr>
        <w:t>deep seagrass beds</w:t>
      </w:r>
      <w:r w:rsidRPr="00DF1C49">
        <w:rPr>
          <w:rFonts w:ascii="Calibri" w:eastAsia="Calibri" w:hAnsi="Calibri" w:cs="Times New Roman"/>
          <w:lang w:eastAsia="en-US"/>
        </w:rPr>
        <w:t xml:space="preserve"> the most exposed to </w:t>
      </w:r>
      <w:r>
        <w:rPr>
          <w:rFonts w:ascii="Calibri" w:eastAsia="Calibri" w:hAnsi="Calibri" w:cs="Times New Roman"/>
          <w:lang w:eastAsia="en-US"/>
        </w:rPr>
        <w:t>potential</w:t>
      </w:r>
      <w:r w:rsidRPr="00DF1C49">
        <w:rPr>
          <w:rFonts w:ascii="Calibri" w:eastAsia="Calibri" w:hAnsi="Calibri" w:cs="Times New Roman"/>
          <w:lang w:eastAsia="en-US"/>
        </w:rPr>
        <w:t xml:space="preserve"> risk </w:t>
      </w:r>
      <w:r>
        <w:rPr>
          <w:rFonts w:ascii="Calibri" w:eastAsia="Calibri" w:hAnsi="Calibri" w:cs="Times New Roman"/>
          <w:lang w:eastAsia="en-US"/>
        </w:rPr>
        <w:t xml:space="preserve">categories II and III </w:t>
      </w:r>
      <w:r w:rsidRPr="00DF1C49">
        <w:rPr>
          <w:rFonts w:ascii="Calibri" w:eastAsia="Calibri" w:hAnsi="Calibri" w:cs="Times New Roman"/>
          <w:lang w:eastAsia="en-US"/>
        </w:rPr>
        <w:t xml:space="preserve">from river plumes were </w:t>
      </w:r>
      <w:r>
        <w:rPr>
          <w:rFonts w:ascii="Calibri" w:eastAsia="Calibri" w:hAnsi="Calibri" w:cs="Times New Roman"/>
          <w:lang w:eastAsia="en-US"/>
        </w:rPr>
        <w:t xml:space="preserve">located in the </w:t>
      </w:r>
      <w:r w:rsidRPr="00DF1C49">
        <w:rPr>
          <w:rFonts w:ascii="Calibri" w:eastAsia="Calibri" w:hAnsi="Calibri" w:cs="Times New Roman"/>
          <w:lang w:eastAsia="en-US"/>
        </w:rPr>
        <w:t xml:space="preserve">Mackay-Whitsundays, Cape York, Burnett-Mary and Fitzroy (100%, 70%, 45% and 39% of the deep seagrass beds modelled in each respective NRM). </w:t>
      </w:r>
    </w:p>
    <w:p w14:paraId="0C3F88BF" w14:textId="77777777" w:rsidR="00131E41" w:rsidRDefault="00131E41" w:rsidP="00131E41">
      <w:pPr>
        <w:spacing w:after="200" w:line="276" w:lineRule="auto"/>
        <w:rPr>
          <w:rFonts w:ascii="Calibri" w:eastAsia="Calibri" w:hAnsi="Calibri" w:cs="Times New Roman"/>
          <w:lang w:eastAsia="en-US"/>
        </w:rPr>
      </w:pPr>
      <w:r w:rsidRPr="00DF1C49">
        <w:rPr>
          <w:rFonts w:ascii="Calibri" w:eastAsia="Calibri" w:hAnsi="Calibri" w:cs="Times New Roman"/>
          <w:lang w:eastAsia="en-US"/>
        </w:rPr>
        <w:t>Finally,</w:t>
      </w:r>
      <w:r>
        <w:rPr>
          <w:rFonts w:ascii="Calibri" w:eastAsia="Calibri" w:hAnsi="Calibri" w:cs="Times New Roman"/>
          <w:lang w:eastAsia="en-US"/>
        </w:rPr>
        <w:t xml:space="preserve"> when the modelled and deep seagrass beds were combined, total seagrass beds the most at risk were located in the</w:t>
      </w:r>
      <w:r w:rsidRPr="00D67045">
        <w:rPr>
          <w:rFonts w:ascii="Calibri" w:eastAsia="Calibri" w:hAnsi="Calibri" w:cs="Times New Roman"/>
          <w:lang w:eastAsia="en-US"/>
        </w:rPr>
        <w:t xml:space="preserve"> </w:t>
      </w:r>
      <w:r w:rsidRPr="00DF1C49">
        <w:rPr>
          <w:rFonts w:ascii="Calibri" w:eastAsia="Calibri" w:hAnsi="Calibri" w:cs="Times New Roman"/>
          <w:lang w:eastAsia="en-US"/>
        </w:rPr>
        <w:t>Cape York</w:t>
      </w:r>
      <w:r>
        <w:rPr>
          <w:rFonts w:ascii="Calibri" w:eastAsia="Calibri" w:hAnsi="Calibri" w:cs="Times New Roman"/>
          <w:lang w:eastAsia="en-US"/>
        </w:rPr>
        <w:t xml:space="preserve">, </w:t>
      </w:r>
      <w:r w:rsidRPr="00DF1C49">
        <w:rPr>
          <w:rFonts w:ascii="Calibri" w:eastAsia="Calibri" w:hAnsi="Calibri" w:cs="Times New Roman"/>
          <w:lang w:eastAsia="en-US"/>
        </w:rPr>
        <w:t>Burdekin</w:t>
      </w:r>
      <w:r>
        <w:rPr>
          <w:rFonts w:ascii="Calibri" w:eastAsia="Calibri" w:hAnsi="Calibri" w:cs="Times New Roman"/>
          <w:lang w:eastAsia="en-US"/>
        </w:rPr>
        <w:t xml:space="preserve"> </w:t>
      </w:r>
      <w:r w:rsidRPr="00DF1C49">
        <w:rPr>
          <w:rFonts w:ascii="Calibri" w:eastAsia="Calibri" w:hAnsi="Calibri" w:cs="Times New Roman"/>
          <w:lang w:eastAsia="en-US"/>
        </w:rPr>
        <w:t>and Fitzroy</w:t>
      </w:r>
      <w:r>
        <w:rPr>
          <w:rFonts w:ascii="Calibri" w:eastAsia="Calibri" w:hAnsi="Calibri" w:cs="Times New Roman"/>
          <w:lang w:eastAsia="en-US"/>
        </w:rPr>
        <w:t xml:space="preserve"> NRM regions, with </w:t>
      </w:r>
      <w:r w:rsidRPr="00DF1C49">
        <w:rPr>
          <w:rFonts w:ascii="Calibri" w:eastAsia="Calibri" w:hAnsi="Calibri" w:cs="Times New Roman"/>
          <w:lang w:eastAsia="en-US"/>
        </w:rPr>
        <w:t>1362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11%</w:t>
      </w:r>
      <w:r>
        <w:rPr>
          <w:rFonts w:ascii="Calibri" w:eastAsia="Calibri" w:hAnsi="Calibri" w:cs="Times New Roman"/>
          <w:lang w:eastAsia="en-US"/>
        </w:rPr>
        <w:t xml:space="preserve">), </w:t>
      </w:r>
      <w:r w:rsidRPr="00DF1C49">
        <w:rPr>
          <w:rFonts w:ascii="Calibri" w:eastAsia="Calibri" w:hAnsi="Calibri" w:cs="Times New Roman"/>
          <w:lang w:eastAsia="en-US"/>
        </w:rPr>
        <w:t>501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8%</w:t>
      </w:r>
      <w:r>
        <w:rPr>
          <w:rFonts w:ascii="Calibri" w:eastAsia="Calibri" w:hAnsi="Calibri" w:cs="Times New Roman"/>
          <w:lang w:eastAsia="en-US"/>
        </w:rPr>
        <w:t xml:space="preserve">) and </w:t>
      </w:r>
      <w:r w:rsidRPr="00DF1C49">
        <w:rPr>
          <w:rFonts w:ascii="Calibri" w:eastAsia="Calibri" w:hAnsi="Calibri" w:cs="Times New Roman"/>
          <w:lang w:eastAsia="en-US"/>
        </w:rPr>
        <w:t>500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or 9%</w:t>
      </w:r>
      <w:r>
        <w:rPr>
          <w:rFonts w:ascii="Calibri" w:eastAsia="Calibri" w:hAnsi="Calibri" w:cs="Times New Roman"/>
          <w:lang w:eastAsia="en-US"/>
        </w:rPr>
        <w:t xml:space="preserve">) of the </w:t>
      </w:r>
      <w:r w:rsidRPr="00DF1C49">
        <w:rPr>
          <w:rFonts w:ascii="Calibri" w:eastAsia="Calibri" w:hAnsi="Calibri" w:cs="Times New Roman"/>
          <w:lang w:eastAsia="en-US"/>
        </w:rPr>
        <w:t>Cape York</w:t>
      </w:r>
      <w:r>
        <w:rPr>
          <w:rFonts w:ascii="Calibri" w:eastAsia="Calibri" w:hAnsi="Calibri" w:cs="Times New Roman"/>
          <w:b/>
          <w:lang w:eastAsia="en-US"/>
        </w:rPr>
        <w:t xml:space="preserve">, </w:t>
      </w:r>
      <w:r>
        <w:rPr>
          <w:rFonts w:ascii="Calibri" w:eastAsia="Calibri" w:hAnsi="Calibri" w:cs="Times New Roman"/>
          <w:lang w:eastAsia="en-US"/>
        </w:rPr>
        <w:t xml:space="preserve">Burdekin and </w:t>
      </w:r>
      <w:r w:rsidRPr="00DF1C49">
        <w:rPr>
          <w:rFonts w:ascii="Calibri" w:eastAsia="Calibri" w:hAnsi="Calibri" w:cs="Times New Roman"/>
          <w:lang w:eastAsia="en-US"/>
        </w:rPr>
        <w:t>Fitzroy</w:t>
      </w:r>
      <w:r>
        <w:rPr>
          <w:rFonts w:ascii="Calibri" w:eastAsia="Calibri" w:hAnsi="Calibri" w:cs="Times New Roman"/>
          <w:lang w:eastAsia="en-US"/>
        </w:rPr>
        <w:t xml:space="preserve"> total seagrass beds </w:t>
      </w:r>
      <w:r w:rsidRPr="00DF1C49">
        <w:rPr>
          <w:rFonts w:ascii="Calibri" w:eastAsia="Calibri" w:hAnsi="Calibri" w:cs="Times New Roman"/>
          <w:lang w:eastAsia="en-US"/>
        </w:rPr>
        <w:t>exposed</w:t>
      </w:r>
      <w:r w:rsidRPr="00C1049D">
        <w:rPr>
          <w:rFonts w:ascii="Calibri" w:eastAsia="Calibri" w:hAnsi="Calibri" w:cs="Times New Roman"/>
          <w:lang w:eastAsia="en-US"/>
        </w:rPr>
        <w:t xml:space="preserve"> to </w:t>
      </w:r>
      <w:r>
        <w:rPr>
          <w:rFonts w:ascii="Calibri" w:eastAsia="Calibri" w:hAnsi="Calibri" w:cs="Times New Roman"/>
          <w:lang w:eastAsia="en-US"/>
        </w:rPr>
        <w:t>the highest</w:t>
      </w:r>
      <w:r w:rsidRPr="00C1049D">
        <w:rPr>
          <w:rFonts w:ascii="Calibri" w:eastAsia="Calibri" w:hAnsi="Calibri" w:cs="Times New Roman"/>
          <w:lang w:eastAsia="en-US"/>
        </w:rPr>
        <w:t xml:space="preserve"> </w:t>
      </w:r>
      <w:r>
        <w:rPr>
          <w:rFonts w:ascii="Calibri" w:eastAsia="Calibri" w:hAnsi="Calibri" w:cs="Times New Roman"/>
          <w:lang w:eastAsia="en-US"/>
        </w:rPr>
        <w:t xml:space="preserve">potential </w:t>
      </w:r>
      <w:r w:rsidRPr="00C1049D">
        <w:rPr>
          <w:rFonts w:ascii="Calibri" w:eastAsia="Calibri" w:hAnsi="Calibri" w:cs="Times New Roman"/>
          <w:lang w:eastAsia="en-US"/>
        </w:rPr>
        <w:t>risk categories</w:t>
      </w:r>
      <w:r>
        <w:rPr>
          <w:rFonts w:ascii="Calibri" w:eastAsia="Calibri" w:hAnsi="Calibri" w:cs="Times New Roman"/>
          <w:lang w:eastAsia="en-US"/>
        </w:rPr>
        <w:t xml:space="preserve"> (III and IV), respectively. </w:t>
      </w:r>
      <w:r w:rsidRPr="00DF1C49">
        <w:rPr>
          <w:rFonts w:ascii="Calibri" w:eastAsia="Calibri" w:hAnsi="Calibri" w:cs="Times New Roman"/>
          <w:lang w:eastAsia="en-US"/>
        </w:rPr>
        <w:t xml:space="preserve">When expressed in %, </w:t>
      </w:r>
      <w:r>
        <w:rPr>
          <w:rFonts w:ascii="Calibri" w:eastAsia="Calibri" w:hAnsi="Calibri" w:cs="Times New Roman"/>
          <w:lang w:eastAsia="en-US"/>
        </w:rPr>
        <w:t>total seagrass beds the most exposed were those located in the</w:t>
      </w:r>
      <w:r w:rsidRPr="00DF1C49">
        <w:rPr>
          <w:rFonts w:ascii="Calibri" w:eastAsia="Calibri" w:hAnsi="Calibri" w:cs="Times New Roman"/>
          <w:lang w:eastAsia="en-US"/>
        </w:rPr>
        <w:t xml:space="preserve"> Mackay-Whitsunday NRM</w:t>
      </w:r>
      <w:r>
        <w:rPr>
          <w:rFonts w:ascii="Calibri" w:eastAsia="Calibri" w:hAnsi="Calibri" w:cs="Times New Roman"/>
          <w:lang w:eastAsia="en-US"/>
        </w:rPr>
        <w:t xml:space="preserve">, with </w:t>
      </w:r>
      <w:r w:rsidRPr="00DF1C49">
        <w:rPr>
          <w:rFonts w:ascii="Calibri" w:eastAsia="Calibri" w:hAnsi="Calibri" w:cs="Times New Roman"/>
          <w:lang w:eastAsia="en-US"/>
        </w:rPr>
        <w:t>239 km</w:t>
      </w:r>
      <w:r w:rsidRPr="00DF1C49">
        <w:rPr>
          <w:rFonts w:ascii="Calibri" w:eastAsia="Calibri" w:hAnsi="Calibri" w:cs="Times New Roman"/>
          <w:vertAlign w:val="superscript"/>
          <w:lang w:eastAsia="en-US"/>
        </w:rPr>
        <w:t>2</w:t>
      </w:r>
      <w:r>
        <w:rPr>
          <w:rFonts w:ascii="Calibri" w:eastAsia="Calibri" w:hAnsi="Calibri" w:cs="Times New Roman"/>
          <w:vertAlign w:val="superscript"/>
          <w:lang w:eastAsia="en-US"/>
        </w:rPr>
        <w:t xml:space="preserve"> </w:t>
      </w:r>
      <w:r>
        <w:rPr>
          <w:rFonts w:ascii="Calibri" w:eastAsia="Calibri" w:hAnsi="Calibri" w:cs="Times New Roman"/>
          <w:lang w:eastAsia="en-US"/>
        </w:rPr>
        <w:t xml:space="preserve">(or </w:t>
      </w:r>
      <w:r w:rsidRPr="00DF1C49">
        <w:rPr>
          <w:rFonts w:ascii="Calibri" w:eastAsia="Calibri" w:hAnsi="Calibri" w:cs="Times New Roman"/>
          <w:lang w:eastAsia="en-US"/>
        </w:rPr>
        <w:t>53%</w:t>
      </w:r>
      <w:r>
        <w:rPr>
          <w:rFonts w:ascii="Calibri" w:eastAsia="Calibri" w:hAnsi="Calibri" w:cs="Times New Roman"/>
          <w:lang w:eastAsia="en-US"/>
        </w:rPr>
        <w:t>) of seagrass bed under the</w:t>
      </w:r>
      <w:r w:rsidRPr="00DF1C49">
        <w:rPr>
          <w:rFonts w:ascii="Calibri" w:eastAsia="Calibri" w:hAnsi="Calibri" w:cs="Times New Roman"/>
          <w:lang w:eastAsia="en-US"/>
        </w:rPr>
        <w:t xml:space="preserve"> </w:t>
      </w:r>
      <w:r>
        <w:rPr>
          <w:rFonts w:ascii="Calibri" w:eastAsia="Calibri" w:hAnsi="Calibri" w:cs="Times New Roman"/>
          <w:lang w:eastAsia="en-US"/>
        </w:rPr>
        <w:t>potential</w:t>
      </w:r>
      <w:r w:rsidRPr="00DF1C49">
        <w:rPr>
          <w:rFonts w:ascii="Calibri" w:eastAsia="Calibri" w:hAnsi="Calibri" w:cs="Times New Roman"/>
          <w:lang w:eastAsia="en-US"/>
        </w:rPr>
        <w:t xml:space="preserve"> risk</w:t>
      </w:r>
      <w:r>
        <w:rPr>
          <w:rFonts w:ascii="Calibri" w:eastAsia="Calibri" w:hAnsi="Calibri" w:cs="Times New Roman"/>
          <w:lang w:eastAsia="en-US"/>
        </w:rPr>
        <w:t xml:space="preserve"> categories III and IV</w:t>
      </w:r>
      <w:r w:rsidRPr="00DF1C49">
        <w:rPr>
          <w:rFonts w:ascii="Calibri" w:eastAsia="Calibri" w:hAnsi="Calibri" w:cs="Times New Roman"/>
          <w:lang w:eastAsia="en-US"/>
        </w:rPr>
        <w:t xml:space="preserve"> and</w:t>
      </w:r>
      <w:r>
        <w:rPr>
          <w:rFonts w:ascii="Calibri" w:eastAsia="Calibri" w:hAnsi="Calibri" w:cs="Times New Roman"/>
          <w:lang w:eastAsia="en-US"/>
        </w:rPr>
        <w:t xml:space="preserve"> </w:t>
      </w:r>
      <w:r w:rsidRPr="00FA7916">
        <w:rPr>
          <w:rFonts w:ascii="Calibri" w:eastAsia="Calibri" w:hAnsi="Calibri" w:cs="Times New Roman"/>
          <w:lang w:eastAsia="en-US"/>
        </w:rPr>
        <w:t xml:space="preserve">203 </w:t>
      </w:r>
      <w:r w:rsidRPr="00DF1C49">
        <w:rPr>
          <w:rFonts w:ascii="Calibri" w:eastAsia="Calibri" w:hAnsi="Calibri" w:cs="Times New Roman"/>
          <w:lang w:eastAsia="en-US"/>
        </w:rPr>
        <w:t>km</w:t>
      </w:r>
      <w:r w:rsidRPr="00FA7916">
        <w:rPr>
          <w:rFonts w:ascii="Calibri" w:eastAsia="Calibri" w:hAnsi="Calibri" w:cs="Times New Roman"/>
          <w:vertAlign w:val="superscript"/>
          <w:lang w:eastAsia="en-US"/>
        </w:rPr>
        <w:t>2</w:t>
      </w:r>
      <w:r>
        <w:rPr>
          <w:rFonts w:ascii="Calibri" w:eastAsia="Calibri" w:hAnsi="Calibri" w:cs="Times New Roman"/>
          <w:lang w:eastAsia="en-US"/>
        </w:rPr>
        <w:t xml:space="preserve"> (45%) under the</w:t>
      </w:r>
      <w:r w:rsidRPr="00DF1C49">
        <w:rPr>
          <w:rFonts w:ascii="Calibri" w:eastAsia="Calibri" w:hAnsi="Calibri" w:cs="Times New Roman"/>
          <w:lang w:eastAsia="en-US"/>
        </w:rPr>
        <w:t xml:space="preserve"> </w:t>
      </w:r>
      <w:r>
        <w:rPr>
          <w:rFonts w:ascii="Calibri" w:eastAsia="Calibri" w:hAnsi="Calibri" w:cs="Times New Roman"/>
          <w:lang w:eastAsia="en-US"/>
        </w:rPr>
        <w:t>potential risk category III. The</w:t>
      </w:r>
      <w:r w:rsidRPr="00DF1C49">
        <w:rPr>
          <w:rFonts w:ascii="Calibri" w:eastAsia="Calibri" w:hAnsi="Calibri" w:cs="Times New Roman"/>
          <w:lang w:eastAsia="en-US"/>
        </w:rPr>
        <w:t xml:space="preserve"> Burdekin seagrass</w:t>
      </w:r>
      <w:r>
        <w:rPr>
          <w:rFonts w:ascii="Calibri" w:eastAsia="Calibri" w:hAnsi="Calibri" w:cs="Times New Roman"/>
          <w:lang w:eastAsia="en-US"/>
        </w:rPr>
        <w:t xml:space="preserve"> beds</w:t>
      </w:r>
      <w:r w:rsidRPr="00DF1C49">
        <w:rPr>
          <w:rFonts w:ascii="Calibri" w:eastAsia="Calibri" w:hAnsi="Calibri" w:cs="Times New Roman"/>
          <w:lang w:eastAsia="en-US"/>
        </w:rPr>
        <w:t xml:space="preserve"> were the least at risk from river plumes</w:t>
      </w:r>
      <w:r>
        <w:rPr>
          <w:rFonts w:ascii="Calibri" w:eastAsia="Calibri" w:hAnsi="Calibri" w:cs="Times New Roman"/>
          <w:lang w:eastAsia="en-US"/>
        </w:rPr>
        <w:t>; however,</w:t>
      </w:r>
      <w:r w:rsidRPr="00DF1C49">
        <w:rPr>
          <w:rFonts w:ascii="Calibri" w:eastAsia="Calibri" w:hAnsi="Calibri" w:cs="Times New Roman"/>
          <w:lang w:eastAsia="en-US"/>
        </w:rPr>
        <w:t xml:space="preserve"> seagrass meadows in Hervey Bay (outside of the GBR southern boundary) were not included in the</w:t>
      </w:r>
      <w:r>
        <w:rPr>
          <w:rFonts w:ascii="Calibri" w:eastAsia="Calibri" w:hAnsi="Calibri" w:cs="Times New Roman"/>
          <w:lang w:eastAsia="en-US"/>
        </w:rPr>
        <w:t xml:space="preserve"> potential</w:t>
      </w:r>
      <w:r w:rsidRPr="00DF1C49">
        <w:rPr>
          <w:rFonts w:ascii="Calibri" w:eastAsia="Calibri" w:hAnsi="Calibri" w:cs="Times New Roman"/>
          <w:lang w:eastAsia="en-US"/>
        </w:rPr>
        <w:t xml:space="preserve"> risk analysis</w:t>
      </w:r>
      <w:r>
        <w:rPr>
          <w:rFonts w:ascii="Calibri" w:eastAsia="Calibri" w:hAnsi="Calibri" w:cs="Times New Roman"/>
          <w:lang w:eastAsia="en-US"/>
        </w:rPr>
        <w:t xml:space="preserve"> </w:t>
      </w:r>
      <w:r w:rsidRPr="00DF1C49">
        <w:rPr>
          <w:rFonts w:ascii="Calibri" w:eastAsia="Calibri" w:hAnsi="Calibri" w:cs="Times New Roman"/>
          <w:lang w:eastAsia="en-US"/>
        </w:rPr>
        <w:t>(</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_Ref427750071 \h  \* MERGEFORMAT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B62B50">
        <w:rPr>
          <w:rFonts w:ascii="Calibri" w:eastAsia="Calibri" w:hAnsi="Calibri" w:cs="Times New Roman"/>
          <w:lang w:eastAsia="en-US"/>
        </w:rPr>
        <w:t>Figure 5</w:t>
      </w:r>
      <w:r w:rsidR="00B62B50" w:rsidRPr="00B62B50">
        <w:rPr>
          <w:rFonts w:ascii="Calibri" w:eastAsia="Calibri" w:hAnsi="Calibri" w:cs="Times New Roman"/>
          <w:lang w:eastAsia="en-US"/>
        </w:rPr>
        <w:noBreakHyphen/>
        <w:t>18</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c3). </w:t>
      </w:r>
    </w:p>
    <w:p w14:paraId="0C3F88C0" w14:textId="77777777" w:rsidR="00131E41" w:rsidRPr="00DF1C49" w:rsidRDefault="00131E41" w:rsidP="00131E41">
      <w:pPr>
        <w:rPr>
          <w:rFonts w:ascii="Calibri" w:eastAsia="Calibri" w:hAnsi="Calibri" w:cs="Times New Roman"/>
          <w:lang w:eastAsia="en-US"/>
        </w:rPr>
      </w:pPr>
    </w:p>
    <w:p w14:paraId="0C3F88C1" w14:textId="77777777" w:rsidR="00131E41" w:rsidRPr="00C570D1" w:rsidRDefault="00131E41" w:rsidP="00131E41">
      <w:pPr>
        <w:pStyle w:val="Heading3"/>
        <w:numPr>
          <w:ilvl w:val="2"/>
          <w:numId w:val="3"/>
        </w:numPr>
      </w:pPr>
      <w:bookmarkStart w:id="241" w:name="_Toc434208016"/>
      <w:bookmarkStart w:id="242" w:name="_Toc427251553"/>
      <w:bookmarkStart w:id="243" w:name="_Toc427831225"/>
      <w:bookmarkStart w:id="244" w:name="_Toc428793356"/>
      <w:bookmarkStart w:id="245" w:name="_Toc428851361"/>
      <w:r>
        <w:t>P</w:t>
      </w:r>
      <w:r w:rsidRPr="00C570D1">
        <w:t>otential river plume risk maps</w:t>
      </w:r>
      <w:r>
        <w:t xml:space="preserve"> – 2007</w:t>
      </w:r>
      <w:r w:rsidRPr="00C570D1">
        <w:t xml:space="preserve"> </w:t>
      </w:r>
      <w:r>
        <w:t>- 2012</w:t>
      </w:r>
      <w:bookmarkEnd w:id="241"/>
    </w:p>
    <w:bookmarkEnd w:id="242"/>
    <w:bookmarkEnd w:id="243"/>
    <w:bookmarkEnd w:id="244"/>
    <w:bookmarkEnd w:id="245"/>
    <w:p w14:paraId="0C3F88C2" w14:textId="77777777" w:rsidR="00131E41" w:rsidRDefault="00131E41" w:rsidP="00131E41">
      <w:pPr>
        <w:rPr>
          <w:rFonts w:ascii="Calibri" w:eastAsia="Calibri" w:hAnsi="Calibri" w:cs="Times New Roman"/>
          <w:lang w:eastAsia="en-US"/>
        </w:rPr>
      </w:pPr>
      <w:r w:rsidRPr="00DF1C49">
        <w:rPr>
          <w:rFonts w:ascii="Calibri" w:eastAsia="Calibri" w:hAnsi="Calibri" w:cs="Times New Roman"/>
          <w:lang w:eastAsia="en-US"/>
        </w:rPr>
        <w:t xml:space="preserve">Annual </w:t>
      </w:r>
      <w:r>
        <w:rPr>
          <w:rFonts w:ascii="Calibri" w:eastAsia="Calibri" w:hAnsi="Calibri" w:cs="Times New Roman"/>
          <w:lang w:eastAsia="en-US"/>
        </w:rPr>
        <w:t>potential</w:t>
      </w:r>
      <w:r w:rsidRPr="00DF1C49">
        <w:rPr>
          <w:rFonts w:ascii="Calibri" w:eastAsia="Calibri" w:hAnsi="Calibri" w:cs="Times New Roman"/>
          <w:lang w:eastAsia="en-US"/>
        </w:rPr>
        <w:t xml:space="preserve"> risk maps</w:t>
      </w:r>
      <w:r>
        <w:rPr>
          <w:rFonts w:ascii="Calibri" w:eastAsia="Calibri" w:hAnsi="Calibri" w:cs="Times New Roman"/>
          <w:lang w:eastAsia="en-US"/>
        </w:rPr>
        <w:t xml:space="preserve"> from river plume exposure</w:t>
      </w:r>
      <w:r w:rsidRPr="00DF1C49">
        <w:rPr>
          <w:rFonts w:ascii="Calibri" w:eastAsia="Calibri" w:hAnsi="Calibri" w:cs="Times New Roman"/>
          <w:lang w:eastAsia="en-US"/>
        </w:rPr>
        <w:t xml:space="preserve"> produced from 2007 to 2012 using the TC method are presented in</w:t>
      </w:r>
      <w:r>
        <w:rPr>
          <w:rFonts w:ascii="Calibri" w:eastAsia="Calibri" w:hAnsi="Calibri" w:cs="Times New Roman"/>
          <w:lang w:eastAsia="en-US"/>
        </w:rPr>
        <w:t xml:space="preserv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_Ref432673962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19</w:t>
      </w:r>
      <w:r>
        <w:rPr>
          <w:rFonts w:ascii="Calibri" w:eastAsia="Calibri" w:hAnsi="Calibri" w:cs="Times New Roman"/>
          <w:lang w:eastAsia="en-US"/>
        </w:rPr>
        <w:fldChar w:fldCharType="end"/>
      </w:r>
      <w:r>
        <w:rPr>
          <w:rFonts w:ascii="Calibri" w:eastAsia="Calibri" w:hAnsi="Calibri" w:cs="Times New Roman"/>
          <w:lang w:eastAsia="en-US"/>
        </w:rPr>
        <w:t xml:space="preserve"> and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_Ref432673964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20</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w:t>
      </w:r>
      <w:r>
        <w:rPr>
          <w:rFonts w:ascii="Calibri" w:eastAsia="Calibri" w:hAnsi="Calibri" w:cs="Times New Roman"/>
          <w:lang w:eastAsia="en-US"/>
        </w:rPr>
        <w:t>Surface a</w:t>
      </w:r>
      <w:r w:rsidRPr="00DF1C49">
        <w:rPr>
          <w:rFonts w:ascii="Calibri" w:eastAsia="Calibri" w:hAnsi="Calibri" w:cs="Times New Roman"/>
          <w:lang w:eastAsia="en-US"/>
        </w:rPr>
        <w:t xml:space="preserve">reas </w:t>
      </w:r>
      <w:r>
        <w:rPr>
          <w:rFonts w:ascii="Calibri" w:eastAsia="Calibri" w:hAnsi="Calibri" w:cs="Times New Roman"/>
          <w:lang w:eastAsia="en-US"/>
        </w:rPr>
        <w:t>of the GBR under the highest potential</w:t>
      </w:r>
      <w:r w:rsidRPr="00DF1C49">
        <w:rPr>
          <w:rFonts w:ascii="Calibri" w:eastAsia="Calibri" w:hAnsi="Calibri" w:cs="Times New Roman"/>
          <w:lang w:eastAsia="en-US"/>
        </w:rPr>
        <w:t xml:space="preserve"> risk </w:t>
      </w:r>
      <w:r>
        <w:rPr>
          <w:rFonts w:ascii="Calibri" w:eastAsia="Calibri" w:hAnsi="Calibri" w:cs="Times New Roman"/>
          <w:lang w:eastAsia="en-US"/>
        </w:rPr>
        <w:t xml:space="preserve">(III and IV) </w:t>
      </w:r>
      <w:r w:rsidRPr="00DF1C49">
        <w:rPr>
          <w:rFonts w:ascii="Calibri" w:eastAsia="Calibri" w:hAnsi="Calibri" w:cs="Times New Roman"/>
          <w:lang w:eastAsia="en-US"/>
        </w:rPr>
        <w:t>from river plumes</w:t>
      </w:r>
      <w:r>
        <w:rPr>
          <w:rFonts w:ascii="Calibri" w:eastAsia="Calibri" w:hAnsi="Calibri" w:cs="Times New Roman"/>
          <w:lang w:eastAsia="en-US"/>
        </w:rPr>
        <w:t xml:space="preserve"> exposure</w:t>
      </w:r>
      <w:r w:rsidRPr="00DF1C49">
        <w:rPr>
          <w:rFonts w:ascii="Calibri" w:eastAsia="Calibri" w:hAnsi="Calibri" w:cs="Times New Roman"/>
          <w:lang w:eastAsia="en-US"/>
        </w:rPr>
        <w:t xml:space="preserve"> ranged between 24</w:t>
      </w:r>
      <w:r>
        <w:rPr>
          <w:rFonts w:ascii="Calibri" w:eastAsia="Calibri" w:hAnsi="Calibri" w:cs="Times New Roman"/>
          <w:lang w:eastAsia="en-US"/>
        </w:rPr>
        <w:t>340</w:t>
      </w:r>
      <w:r w:rsidRPr="00DF1C49">
        <w:rPr>
          <w:rFonts w:ascii="Calibri" w:eastAsia="Calibri" w:hAnsi="Calibri" w:cs="Times New Roman"/>
          <w:lang w:eastAsia="en-US"/>
        </w:rPr>
        <w:t xml:space="preserve"> km² (in 2011) to 16</w:t>
      </w:r>
      <w:r>
        <w:rPr>
          <w:rFonts w:ascii="Calibri" w:eastAsia="Calibri" w:hAnsi="Calibri" w:cs="Times New Roman"/>
          <w:lang w:eastAsia="en-US"/>
        </w:rPr>
        <w:t>940</w:t>
      </w:r>
      <w:r w:rsidRPr="00DF1C49">
        <w:rPr>
          <w:rFonts w:ascii="Calibri" w:eastAsia="Calibri" w:hAnsi="Calibri" w:cs="Times New Roman"/>
          <w:lang w:eastAsia="en-US"/>
        </w:rPr>
        <w:t xml:space="preserve"> km² (in 2008)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_Ref432674034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t xml:space="preserve">Table </w:t>
      </w:r>
      <w:r w:rsidR="00B62B50">
        <w:rPr>
          <w:noProof/>
        </w:rPr>
        <w:t>5</w:t>
      </w:r>
      <w:r w:rsidR="00B62B50">
        <w:noBreakHyphen/>
      </w:r>
      <w:r w:rsidR="00B62B50">
        <w:rPr>
          <w:noProof/>
        </w:rPr>
        <w:t>2</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Whatever the year considered, areas under </w:t>
      </w:r>
      <w:r>
        <w:rPr>
          <w:rFonts w:ascii="Calibri" w:eastAsia="Calibri" w:hAnsi="Calibri" w:cs="Times New Roman"/>
          <w:lang w:eastAsia="en-US"/>
        </w:rPr>
        <w:t>the potential</w:t>
      </w:r>
      <w:r w:rsidRPr="00DF1C49">
        <w:rPr>
          <w:rFonts w:ascii="Calibri" w:eastAsia="Calibri" w:hAnsi="Calibri" w:cs="Times New Roman"/>
          <w:lang w:eastAsia="en-US"/>
        </w:rPr>
        <w:t xml:space="preserve"> risk categor</w:t>
      </w:r>
      <w:r>
        <w:rPr>
          <w:rFonts w:ascii="Calibri" w:eastAsia="Calibri" w:hAnsi="Calibri" w:cs="Times New Roman"/>
          <w:lang w:eastAsia="en-US"/>
        </w:rPr>
        <w:t>y IV</w:t>
      </w:r>
      <w:r w:rsidRPr="00DF1C49">
        <w:rPr>
          <w:rFonts w:ascii="Calibri" w:eastAsia="Calibri" w:hAnsi="Calibri" w:cs="Times New Roman"/>
          <w:lang w:eastAsia="en-US"/>
        </w:rPr>
        <w:t xml:space="preserve"> were higher in the Burdekin region than in the Tully-Herbert region</w:t>
      </w:r>
      <w:r>
        <w:rPr>
          <w:rFonts w:ascii="Calibri" w:eastAsia="Calibri" w:hAnsi="Calibri" w:cs="Times New Roman"/>
          <w:lang w:eastAsia="en-US"/>
        </w:rPr>
        <w:t>.</w:t>
      </w:r>
    </w:p>
    <w:p w14:paraId="0C3F88C3" w14:textId="77777777" w:rsidR="00131E41" w:rsidRPr="00DF1C49" w:rsidRDefault="00131E41" w:rsidP="00131E41">
      <w:pPr>
        <w:spacing w:after="200" w:line="276" w:lineRule="auto"/>
        <w:rPr>
          <w:rFonts w:ascii="Calibri" w:eastAsia="Calibri" w:hAnsi="Calibri" w:cs="Times New Roman"/>
          <w:lang w:eastAsia="en-US"/>
        </w:rPr>
      </w:pPr>
      <w:r w:rsidRPr="00DF1C49">
        <w:rPr>
          <w:rFonts w:ascii="Calibri" w:eastAsia="Calibri" w:hAnsi="Calibri" w:cs="Times New Roman"/>
          <w:lang w:eastAsia="en-US"/>
        </w:rPr>
        <w:t xml:space="preserve">No significative correlation could be found between the total </w:t>
      </w:r>
      <w:r>
        <w:rPr>
          <w:rFonts w:ascii="Calibri" w:eastAsia="Calibri" w:hAnsi="Calibri" w:cs="Times New Roman"/>
          <w:lang w:eastAsia="en-US"/>
        </w:rPr>
        <w:t xml:space="preserve">GBR surface </w:t>
      </w:r>
      <w:r w:rsidRPr="00DF1C49">
        <w:rPr>
          <w:rFonts w:ascii="Calibri" w:eastAsia="Calibri" w:hAnsi="Calibri" w:cs="Times New Roman"/>
          <w:lang w:eastAsia="en-US"/>
        </w:rPr>
        <w:t xml:space="preserve">areas exposed to </w:t>
      </w:r>
      <w:r>
        <w:rPr>
          <w:rFonts w:ascii="Calibri" w:eastAsia="Calibri" w:hAnsi="Calibri" w:cs="Times New Roman"/>
          <w:lang w:eastAsia="en-US"/>
        </w:rPr>
        <w:t xml:space="preserve">river plume </w:t>
      </w:r>
      <w:r w:rsidRPr="00DF1C49">
        <w:rPr>
          <w:rFonts w:ascii="Calibri" w:eastAsia="Calibri" w:hAnsi="Calibri" w:cs="Times New Roman"/>
          <w:lang w:eastAsia="en-US"/>
        </w:rPr>
        <w:t xml:space="preserve">and the total GBR river discharge. </w:t>
      </w:r>
      <w:r>
        <w:rPr>
          <w:rFonts w:ascii="Calibri" w:eastAsia="Calibri" w:hAnsi="Calibri" w:cs="Times New Roman"/>
          <w:lang w:eastAsia="en-US"/>
        </w:rPr>
        <w:t>Surface a</w:t>
      </w:r>
      <w:r w:rsidRPr="00DF1C49">
        <w:rPr>
          <w:rFonts w:ascii="Calibri" w:eastAsia="Calibri" w:hAnsi="Calibri" w:cs="Times New Roman"/>
          <w:lang w:eastAsia="en-US"/>
        </w:rPr>
        <w:t xml:space="preserve">reas </w:t>
      </w:r>
      <w:r>
        <w:rPr>
          <w:rFonts w:ascii="Calibri" w:eastAsia="Calibri" w:hAnsi="Calibri" w:cs="Times New Roman"/>
          <w:lang w:eastAsia="en-US"/>
        </w:rPr>
        <w:t>of the GBR (in km</w:t>
      </w:r>
      <w:r w:rsidRPr="00767E7F">
        <w:rPr>
          <w:rFonts w:ascii="Calibri" w:eastAsia="Calibri" w:hAnsi="Calibri" w:cs="Times New Roman"/>
          <w:vertAlign w:val="superscript"/>
          <w:lang w:eastAsia="en-US"/>
        </w:rPr>
        <w:t>2</w:t>
      </w:r>
      <w:r>
        <w:rPr>
          <w:rFonts w:ascii="Calibri" w:eastAsia="Calibri" w:hAnsi="Calibri" w:cs="Times New Roman"/>
          <w:lang w:eastAsia="en-US"/>
        </w:rPr>
        <w:t>) under the highest potential</w:t>
      </w:r>
      <w:r w:rsidRPr="00DF1C49">
        <w:rPr>
          <w:rFonts w:ascii="Calibri" w:eastAsia="Calibri" w:hAnsi="Calibri" w:cs="Times New Roman"/>
          <w:lang w:eastAsia="en-US"/>
        </w:rPr>
        <w:t xml:space="preserve"> risk from river plume</w:t>
      </w:r>
      <w:r>
        <w:rPr>
          <w:rFonts w:ascii="Calibri" w:eastAsia="Calibri" w:hAnsi="Calibri" w:cs="Times New Roman"/>
          <w:lang w:eastAsia="en-US"/>
        </w:rPr>
        <w:t xml:space="preserve"> expo</w:t>
      </w:r>
      <w:r w:rsidRPr="00DF1C49">
        <w:rPr>
          <w:rFonts w:ascii="Calibri" w:eastAsia="Calibri" w:hAnsi="Calibri" w:cs="Times New Roman"/>
          <w:lang w:eastAsia="en-US"/>
        </w:rPr>
        <w:t>s</w:t>
      </w:r>
      <w:r>
        <w:rPr>
          <w:rFonts w:ascii="Calibri" w:eastAsia="Calibri" w:hAnsi="Calibri" w:cs="Times New Roman"/>
          <w:lang w:eastAsia="en-US"/>
        </w:rPr>
        <w:t>ure (III and IV)</w:t>
      </w:r>
      <w:r w:rsidRPr="00DF1C49">
        <w:rPr>
          <w:rFonts w:ascii="Calibri" w:eastAsia="Calibri" w:hAnsi="Calibri" w:cs="Times New Roman"/>
          <w:lang w:eastAsia="en-US"/>
        </w:rPr>
        <w:t xml:space="preserve"> were</w:t>
      </w:r>
      <w:r>
        <w:rPr>
          <w:rFonts w:ascii="Calibri" w:eastAsia="Calibri" w:hAnsi="Calibri" w:cs="Times New Roman"/>
          <w:lang w:eastAsia="en-US"/>
        </w:rPr>
        <w:t>,</w:t>
      </w:r>
      <w:r w:rsidRPr="00DF1C49">
        <w:rPr>
          <w:rFonts w:ascii="Calibri" w:eastAsia="Calibri" w:hAnsi="Calibri" w:cs="Times New Roman"/>
          <w:lang w:eastAsia="en-US"/>
        </w:rPr>
        <w:t xml:space="preserve"> </w:t>
      </w:r>
      <w:r>
        <w:rPr>
          <w:rFonts w:ascii="Calibri" w:eastAsia="Calibri" w:hAnsi="Calibri" w:cs="Times New Roman"/>
          <w:lang w:eastAsia="en-US"/>
        </w:rPr>
        <w:t xml:space="preserve">however, </w:t>
      </w:r>
      <w:r w:rsidRPr="00DF1C49">
        <w:rPr>
          <w:rFonts w:ascii="Calibri" w:eastAsia="Calibri" w:hAnsi="Calibri" w:cs="Times New Roman"/>
          <w:lang w:eastAsia="en-US"/>
        </w:rPr>
        <w:t>correlated to the total GBR river discharge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_Ref427752201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21</w:t>
      </w:r>
      <w:r>
        <w:rPr>
          <w:rFonts w:ascii="Calibri" w:eastAsia="Calibri" w:hAnsi="Calibri" w:cs="Times New Roman"/>
          <w:lang w:eastAsia="en-US"/>
        </w:rPr>
        <w:fldChar w:fldCharType="end"/>
      </w:r>
      <w:r w:rsidRPr="00DF1C49">
        <w:rPr>
          <w:rFonts w:ascii="Calibri" w:eastAsia="Calibri" w:hAnsi="Calibri" w:cs="Times New Roman"/>
          <w:lang w:eastAsia="en-US"/>
        </w:rPr>
        <w:t>)</w:t>
      </w:r>
      <w:r>
        <w:rPr>
          <w:rFonts w:ascii="Calibri" w:eastAsia="Calibri" w:hAnsi="Calibri" w:cs="Times New Roman"/>
          <w:lang w:eastAsia="en-US"/>
        </w:rPr>
        <w:t>, but 2008 was an outlier of the relationship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_Ref427752201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21</w:t>
      </w:r>
      <w:r>
        <w:rPr>
          <w:rFonts w:ascii="Calibri" w:eastAsia="Calibri" w:hAnsi="Calibri" w:cs="Times New Roman"/>
          <w:lang w:eastAsia="en-US"/>
        </w:rPr>
        <w:fldChar w:fldCharType="end"/>
      </w:r>
      <w:r>
        <w:rPr>
          <w:rFonts w:ascii="Calibri" w:eastAsia="Calibri" w:hAnsi="Calibri" w:cs="Times New Roman"/>
          <w:lang w:eastAsia="en-US"/>
        </w:rPr>
        <w:t>: R</w:t>
      </w:r>
      <w:r w:rsidRPr="00767E7F">
        <w:rPr>
          <w:rFonts w:ascii="Calibri" w:eastAsia="Calibri" w:hAnsi="Calibri" w:cs="Times New Roman"/>
          <w:vertAlign w:val="superscript"/>
          <w:lang w:eastAsia="en-US"/>
        </w:rPr>
        <w:t>2</w:t>
      </w:r>
      <w:r>
        <w:rPr>
          <w:rFonts w:ascii="Calibri" w:eastAsia="Calibri" w:hAnsi="Calibri" w:cs="Times New Roman"/>
          <w:lang w:eastAsia="en-US"/>
        </w:rPr>
        <w:t>= 0.8)</w:t>
      </w:r>
      <w:r w:rsidRPr="00DF1C49">
        <w:rPr>
          <w:rFonts w:ascii="Calibri" w:eastAsia="Calibri" w:hAnsi="Calibri" w:cs="Times New Roman"/>
          <w:lang w:eastAsia="en-US"/>
        </w:rPr>
        <w:t>.</w:t>
      </w:r>
    </w:p>
    <w:p w14:paraId="0C3F88C4" w14:textId="77777777" w:rsidR="00131E41" w:rsidRPr="00DF1C49" w:rsidRDefault="00131E41" w:rsidP="00131E41">
      <w:pPr>
        <w:rPr>
          <w:rFonts w:ascii="Calibri" w:eastAsia="Calibri" w:hAnsi="Calibri" w:cs="Times New Roman"/>
          <w:lang w:eastAsia="en-US"/>
        </w:rPr>
      </w:pPr>
    </w:p>
    <w:p w14:paraId="0C3F88C5" w14:textId="77777777" w:rsidR="00131E41" w:rsidRPr="00DF1C49" w:rsidRDefault="00131E41" w:rsidP="00131E41">
      <w:pPr>
        <w:rPr>
          <w:rFonts w:ascii="Calibri" w:eastAsia="Calibri" w:hAnsi="Calibri" w:cs="Times New Roman"/>
          <w:bCs/>
          <w:color w:val="4F81BD"/>
          <w:lang w:eastAsia="en-US"/>
        </w:rPr>
      </w:pPr>
      <w:r w:rsidRPr="00DF1C49">
        <w:rPr>
          <w:rFonts w:ascii="Calibri" w:eastAsia="Calibri" w:hAnsi="Calibri" w:cs="Times New Roman"/>
          <w:bCs/>
          <w:color w:val="4F81BD"/>
          <w:lang w:eastAsia="en-US"/>
        </w:rPr>
        <w:t xml:space="preserve"> </w:t>
      </w:r>
      <w:r>
        <w:rPr>
          <w:rFonts w:ascii="Calibri" w:eastAsia="Calibri" w:hAnsi="Calibri" w:cs="Times New Roman"/>
          <w:bCs/>
          <w:noProof/>
          <w:color w:val="4F81BD"/>
        </w:rPr>
        <w:drawing>
          <wp:inline distT="0" distB="0" distL="0" distR="0" wp14:anchorId="0C3F9027" wp14:editId="0C3F9028">
            <wp:extent cx="5724000" cy="7961807"/>
            <wp:effectExtent l="0" t="0" r="0" b="1270"/>
            <wp:docPr id="23" name="Picture 23" descr=" “potential” river plume risk maps of (left) the GBR; (middle) the Tully Herbert region and (right) the Burdekin region produced by a) the TC method in a) 2007, b) 2008, c) 2009. Maps have been smoothed twice with a 4 pixel majority filter (Arc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24000" cy="7961807"/>
                    </a:xfrm>
                    <a:prstGeom prst="rect">
                      <a:avLst/>
                    </a:prstGeom>
                    <a:noFill/>
                  </pic:spPr>
                </pic:pic>
              </a:graphicData>
            </a:graphic>
          </wp:inline>
        </w:drawing>
      </w:r>
    </w:p>
    <w:p w14:paraId="0C3F88C6" w14:textId="77777777" w:rsidR="00131E41" w:rsidRPr="00DF1C49" w:rsidRDefault="00131E41" w:rsidP="00131E41">
      <w:pPr>
        <w:pStyle w:val="Caption"/>
        <w:rPr>
          <w:rFonts w:eastAsia="Calibri"/>
        </w:rPr>
      </w:pPr>
      <w:bookmarkStart w:id="246" w:name="_Ref432673962"/>
      <w:bookmarkStart w:id="247" w:name="_Toc427833297"/>
      <w:bookmarkStart w:id="248" w:name="_Toc434208055"/>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19</w:t>
      </w:r>
      <w:r w:rsidR="00D243CD">
        <w:rPr>
          <w:rFonts w:eastAsia="Calibri"/>
        </w:rPr>
        <w:fldChar w:fldCharType="end"/>
      </w:r>
      <w:bookmarkEnd w:id="246"/>
      <w:r w:rsidRPr="00DF1C49">
        <w:rPr>
          <w:rFonts w:eastAsia="Calibri"/>
        </w:rPr>
        <w:t>: “potential” river plume risk maps of (left) the GBR; (middle) the Tully Herbert region and (right) the Burdekin region produced by a) the TC method in a) 2007, b) 2008, c) 2009. Maps have been smoothed twice with a 4 pixel majority filter (ArcGIS).</w:t>
      </w:r>
      <w:bookmarkEnd w:id="247"/>
      <w:bookmarkEnd w:id="248"/>
    </w:p>
    <w:p w14:paraId="0C3F88C7" w14:textId="77777777" w:rsidR="00131E41" w:rsidRPr="00DF1C49" w:rsidRDefault="00131E41" w:rsidP="00131E41">
      <w:pPr>
        <w:rPr>
          <w:rFonts w:ascii="Calibri" w:eastAsia="Calibri" w:hAnsi="Calibri" w:cs="Times New Roman"/>
          <w:lang w:eastAsia="en-US"/>
        </w:rPr>
      </w:pPr>
      <w:r>
        <w:rPr>
          <w:rFonts w:ascii="Calibri" w:eastAsia="Calibri" w:hAnsi="Calibri" w:cs="Times New Roman"/>
          <w:noProof/>
        </w:rPr>
        <w:drawing>
          <wp:inline distT="0" distB="0" distL="0" distR="0" wp14:anchorId="0C3F9029" wp14:editId="0C3F902A">
            <wp:extent cx="5724000" cy="7963200"/>
            <wp:effectExtent l="0" t="0" r="0" b="0"/>
            <wp:docPr id="24" name="Picture 24" descr="Figure 5 20: “Potential” river plume risk maps of (left) the GBR; (middle) the Tully Herbert region and (right) the Burdekin region produced by a) the TC method in a) 2010, b) 2011, c) 2012. Maps have been smoothed twice with a 4 pixel majority filter (Arc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24000" cy="7963200"/>
                    </a:xfrm>
                    <a:prstGeom prst="rect">
                      <a:avLst/>
                    </a:prstGeom>
                    <a:noFill/>
                  </pic:spPr>
                </pic:pic>
              </a:graphicData>
            </a:graphic>
          </wp:inline>
        </w:drawing>
      </w:r>
    </w:p>
    <w:p w14:paraId="0C3F88C8" w14:textId="77777777" w:rsidR="00131E41" w:rsidRDefault="00131E41" w:rsidP="00131E41">
      <w:pPr>
        <w:pStyle w:val="Caption"/>
        <w:rPr>
          <w:rFonts w:eastAsia="Calibri"/>
        </w:rPr>
      </w:pPr>
      <w:bookmarkStart w:id="249" w:name="_Ref432673964"/>
      <w:bookmarkStart w:id="250" w:name="_Toc427833298"/>
      <w:bookmarkStart w:id="251" w:name="_Toc434208056"/>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20</w:t>
      </w:r>
      <w:r w:rsidR="00D243CD">
        <w:rPr>
          <w:rFonts w:eastAsia="Calibri"/>
        </w:rPr>
        <w:fldChar w:fldCharType="end"/>
      </w:r>
      <w:bookmarkEnd w:id="249"/>
      <w:r>
        <w:rPr>
          <w:rFonts w:eastAsia="Calibri"/>
        </w:rPr>
        <w:t>: “P</w:t>
      </w:r>
      <w:r w:rsidRPr="00DF1C49">
        <w:rPr>
          <w:rFonts w:eastAsia="Calibri"/>
        </w:rPr>
        <w:t>otential” river plume risk maps of (left) the GBR; (middle) the Tully Herbert region and (right) the Burdekin region produced by a) the TC method in a) 2010, b) 2011, c) 2012. Maps have been smoothed twice with a 4 pixel majority filter (ArcGIS).</w:t>
      </w:r>
      <w:bookmarkEnd w:id="250"/>
      <w:bookmarkEnd w:id="251"/>
    </w:p>
    <w:p w14:paraId="0C3F88C9" w14:textId="77777777" w:rsidR="00131E41" w:rsidRDefault="00131E41" w:rsidP="00131E41">
      <w:pPr>
        <w:pStyle w:val="Caption"/>
        <w:rPr>
          <w:rFonts w:eastAsia="Calibri"/>
          <w:bCs/>
        </w:rPr>
      </w:pPr>
      <w:bookmarkStart w:id="252" w:name="_Ref432674034"/>
      <w:bookmarkStart w:id="253" w:name="_Toc434208080"/>
      <w:r>
        <w:t xml:space="preserve">Table </w:t>
      </w:r>
      <w:r w:rsidR="00AE4287">
        <w:fldChar w:fldCharType="begin"/>
      </w:r>
      <w:r w:rsidR="00AE4287">
        <w:instrText xml:space="preserve"> STYLEREF 1 \s </w:instrText>
      </w:r>
      <w:r w:rsidR="00AE4287">
        <w:fldChar w:fldCharType="separate"/>
      </w:r>
      <w:r w:rsidR="00B62B50">
        <w:rPr>
          <w:noProof/>
        </w:rPr>
        <w:t>5</w:t>
      </w:r>
      <w:r w:rsidR="00AE4287">
        <w:fldChar w:fldCharType="end"/>
      </w:r>
      <w:r w:rsidR="00AE4287">
        <w:noBreakHyphen/>
      </w:r>
      <w:r w:rsidR="00AE4287">
        <w:fldChar w:fldCharType="begin"/>
      </w:r>
      <w:r w:rsidR="00AE4287">
        <w:instrText xml:space="preserve"> SEQ Table \* ARABIC \s 1 </w:instrText>
      </w:r>
      <w:r w:rsidR="00AE4287">
        <w:fldChar w:fldCharType="separate"/>
      </w:r>
      <w:r w:rsidR="00B62B50">
        <w:rPr>
          <w:noProof/>
        </w:rPr>
        <w:t>2</w:t>
      </w:r>
      <w:r w:rsidR="00AE4287">
        <w:fldChar w:fldCharType="end"/>
      </w:r>
      <w:bookmarkEnd w:id="252"/>
      <w:r>
        <w:t xml:space="preserve">: </w:t>
      </w:r>
      <w:r w:rsidRPr="0032103D">
        <w:rPr>
          <w:rFonts w:eastAsia="Calibri"/>
        </w:rPr>
        <w:t>inter-annual (2007-2012) areas (km</w:t>
      </w:r>
      <w:r w:rsidRPr="0032103D">
        <w:rPr>
          <w:rFonts w:eastAsia="Calibri"/>
          <w:vertAlign w:val="superscript"/>
        </w:rPr>
        <w:t>2</w:t>
      </w:r>
      <w:r>
        <w:rPr>
          <w:rFonts w:eastAsia="Calibri"/>
        </w:rPr>
        <w:t>, left table</w:t>
      </w:r>
      <w:r w:rsidRPr="0032103D">
        <w:rPr>
          <w:rFonts w:eastAsia="Calibri"/>
        </w:rPr>
        <w:t>) and percentage (%</w:t>
      </w:r>
      <w:r>
        <w:rPr>
          <w:rFonts w:eastAsia="Calibri"/>
        </w:rPr>
        <w:t>, right table</w:t>
      </w:r>
      <w:r w:rsidRPr="0032103D">
        <w:rPr>
          <w:rFonts w:eastAsia="Calibri"/>
        </w:rPr>
        <w:t xml:space="preserve">) of the </w:t>
      </w:r>
      <w:r>
        <w:rPr>
          <w:rFonts w:eastAsia="Calibri"/>
        </w:rPr>
        <w:t>GBR under potential risk from river plume exposure.</w:t>
      </w:r>
      <w:bookmarkEnd w:id="253"/>
    </w:p>
    <w:tbl>
      <w:tblPr>
        <w:tblW w:w="9049" w:type="dxa"/>
        <w:tblLayout w:type="fixed"/>
        <w:tblLook w:val="04A0" w:firstRow="1" w:lastRow="0" w:firstColumn="1" w:lastColumn="0" w:noHBand="0" w:noVBand="1"/>
        <w:tblDescription w:val="inter-annual (2007-2012) areas (km2, left table) and percentage (%, right table) of the GBR under potential risk from river plume exposure."/>
      </w:tblPr>
      <w:tblGrid>
        <w:gridCol w:w="675"/>
        <w:gridCol w:w="1007"/>
        <w:gridCol w:w="639"/>
        <w:gridCol w:w="55"/>
        <w:gridCol w:w="584"/>
        <w:gridCol w:w="125"/>
        <w:gridCol w:w="709"/>
        <w:gridCol w:w="850"/>
        <w:gridCol w:w="801"/>
        <w:gridCol w:w="617"/>
        <w:gridCol w:w="236"/>
        <w:gridCol w:w="331"/>
        <w:gridCol w:w="210"/>
        <w:gridCol w:w="215"/>
        <w:gridCol w:w="326"/>
        <w:gridCol w:w="99"/>
        <w:gridCol w:w="567"/>
        <w:gridCol w:w="76"/>
        <w:gridCol w:w="350"/>
        <w:gridCol w:w="76"/>
        <w:gridCol w:w="425"/>
        <w:gridCol w:w="76"/>
      </w:tblGrid>
      <w:tr w:rsidR="00131E41" w:rsidRPr="00464AC8" w14:paraId="0C3F88D8" w14:textId="77777777" w:rsidTr="00131E41">
        <w:trPr>
          <w:trHeight w:val="300"/>
        </w:trPr>
        <w:tc>
          <w:tcPr>
            <w:tcW w:w="675" w:type="dxa"/>
            <w:tcBorders>
              <w:top w:val="nil"/>
              <w:left w:val="nil"/>
              <w:bottom w:val="nil"/>
              <w:right w:val="nil"/>
            </w:tcBorders>
            <w:shd w:val="clear" w:color="auto" w:fill="auto"/>
            <w:noWrap/>
            <w:vAlign w:val="center"/>
            <w:hideMark/>
          </w:tcPr>
          <w:p w14:paraId="0C3F88CA" w14:textId="77777777" w:rsidR="00131E41" w:rsidRPr="00464AC8" w:rsidRDefault="00131E41" w:rsidP="00131E41">
            <w:pPr>
              <w:spacing w:after="120"/>
              <w:jc w:val="center"/>
              <w:rPr>
                <w:rFonts w:ascii="Calibri" w:hAnsi="Calibri" w:cs="Calibri"/>
                <w:color w:val="000000"/>
                <w:sz w:val="18"/>
                <w:szCs w:val="18"/>
              </w:rPr>
            </w:pPr>
          </w:p>
        </w:tc>
        <w:tc>
          <w:tcPr>
            <w:tcW w:w="1007" w:type="dxa"/>
            <w:tcBorders>
              <w:top w:val="nil"/>
              <w:left w:val="nil"/>
              <w:bottom w:val="nil"/>
              <w:right w:val="nil"/>
            </w:tcBorders>
            <w:shd w:val="clear" w:color="auto" w:fill="auto"/>
            <w:noWrap/>
            <w:vAlign w:val="center"/>
            <w:hideMark/>
          </w:tcPr>
          <w:p w14:paraId="0C3F88CB" w14:textId="77777777" w:rsidR="00131E41" w:rsidRPr="00464AC8" w:rsidRDefault="00131E41" w:rsidP="00131E41">
            <w:pPr>
              <w:spacing w:after="120"/>
              <w:jc w:val="center"/>
              <w:rPr>
                <w:rFonts w:ascii="Calibri" w:hAnsi="Calibri" w:cs="Calibri"/>
                <w:color w:val="000000"/>
                <w:sz w:val="18"/>
                <w:szCs w:val="18"/>
              </w:rPr>
            </w:pPr>
          </w:p>
        </w:tc>
        <w:tc>
          <w:tcPr>
            <w:tcW w:w="639" w:type="dxa"/>
            <w:tcBorders>
              <w:top w:val="nil"/>
              <w:left w:val="nil"/>
              <w:bottom w:val="nil"/>
              <w:right w:val="nil"/>
            </w:tcBorders>
            <w:shd w:val="clear" w:color="auto" w:fill="auto"/>
            <w:noWrap/>
            <w:vAlign w:val="center"/>
            <w:hideMark/>
          </w:tcPr>
          <w:p w14:paraId="0C3F88CC" w14:textId="77777777" w:rsidR="00131E41" w:rsidRPr="00464AC8" w:rsidRDefault="00131E41" w:rsidP="00131E41">
            <w:pPr>
              <w:spacing w:after="120"/>
              <w:jc w:val="center"/>
              <w:rPr>
                <w:rFonts w:ascii="Calibri" w:hAnsi="Calibri" w:cs="Calibri"/>
                <w:color w:val="000000"/>
                <w:sz w:val="18"/>
                <w:szCs w:val="18"/>
              </w:rPr>
            </w:pPr>
          </w:p>
        </w:tc>
        <w:tc>
          <w:tcPr>
            <w:tcW w:w="639" w:type="dxa"/>
            <w:gridSpan w:val="2"/>
            <w:tcBorders>
              <w:top w:val="nil"/>
              <w:left w:val="nil"/>
              <w:bottom w:val="nil"/>
              <w:right w:val="nil"/>
            </w:tcBorders>
            <w:shd w:val="clear" w:color="auto" w:fill="auto"/>
            <w:noWrap/>
            <w:vAlign w:val="center"/>
            <w:hideMark/>
          </w:tcPr>
          <w:p w14:paraId="0C3F88CD" w14:textId="77777777" w:rsidR="00131E41" w:rsidRPr="00464AC8" w:rsidRDefault="00131E41" w:rsidP="00131E41">
            <w:pPr>
              <w:spacing w:after="120"/>
              <w:jc w:val="center"/>
              <w:rPr>
                <w:rFonts w:ascii="Calibri" w:hAnsi="Calibri" w:cs="Calibri"/>
                <w:color w:val="000000"/>
                <w:sz w:val="18"/>
                <w:szCs w:val="18"/>
              </w:rPr>
            </w:pPr>
          </w:p>
        </w:tc>
        <w:tc>
          <w:tcPr>
            <w:tcW w:w="834" w:type="dxa"/>
            <w:gridSpan w:val="2"/>
            <w:tcBorders>
              <w:top w:val="nil"/>
              <w:left w:val="nil"/>
              <w:bottom w:val="nil"/>
              <w:right w:val="nil"/>
            </w:tcBorders>
            <w:shd w:val="clear" w:color="auto" w:fill="auto"/>
            <w:noWrap/>
            <w:vAlign w:val="center"/>
            <w:hideMark/>
          </w:tcPr>
          <w:p w14:paraId="0C3F88CE" w14:textId="77777777" w:rsidR="00131E41" w:rsidRPr="00464AC8" w:rsidRDefault="00131E41" w:rsidP="00131E41">
            <w:pPr>
              <w:spacing w:after="120"/>
              <w:jc w:val="center"/>
              <w:rPr>
                <w:rFonts w:ascii="Calibri" w:hAnsi="Calibri" w:cs="Calibri"/>
                <w:color w:val="000000"/>
                <w:sz w:val="18"/>
                <w:szCs w:val="18"/>
              </w:rPr>
            </w:pPr>
          </w:p>
        </w:tc>
        <w:tc>
          <w:tcPr>
            <w:tcW w:w="850" w:type="dxa"/>
            <w:tcBorders>
              <w:top w:val="nil"/>
              <w:left w:val="nil"/>
              <w:bottom w:val="nil"/>
              <w:right w:val="nil"/>
            </w:tcBorders>
            <w:shd w:val="clear" w:color="auto" w:fill="auto"/>
            <w:noWrap/>
            <w:vAlign w:val="center"/>
            <w:hideMark/>
          </w:tcPr>
          <w:p w14:paraId="0C3F88CF" w14:textId="77777777" w:rsidR="00131E41" w:rsidRPr="00464AC8" w:rsidRDefault="00131E41" w:rsidP="00131E41">
            <w:pPr>
              <w:spacing w:after="120"/>
              <w:jc w:val="center"/>
              <w:rPr>
                <w:rFonts w:ascii="Calibri" w:hAnsi="Calibri" w:cs="Calibri"/>
                <w:color w:val="000000"/>
                <w:sz w:val="18"/>
                <w:szCs w:val="18"/>
              </w:rPr>
            </w:pPr>
          </w:p>
        </w:tc>
        <w:tc>
          <w:tcPr>
            <w:tcW w:w="801" w:type="dxa"/>
            <w:tcBorders>
              <w:top w:val="nil"/>
              <w:left w:val="nil"/>
              <w:bottom w:val="nil"/>
              <w:right w:val="nil"/>
            </w:tcBorders>
            <w:shd w:val="clear" w:color="auto" w:fill="auto"/>
            <w:noWrap/>
            <w:vAlign w:val="center"/>
            <w:hideMark/>
          </w:tcPr>
          <w:p w14:paraId="0C3F88D0" w14:textId="77777777" w:rsidR="00131E41" w:rsidRPr="00464AC8" w:rsidRDefault="00131E41" w:rsidP="00131E41">
            <w:pPr>
              <w:spacing w:after="120"/>
              <w:jc w:val="center"/>
              <w:rPr>
                <w:rFonts w:ascii="Calibri" w:hAnsi="Calibri" w:cs="Calibri"/>
                <w:color w:val="000000"/>
                <w:sz w:val="18"/>
                <w:szCs w:val="18"/>
              </w:rPr>
            </w:pPr>
          </w:p>
        </w:tc>
        <w:tc>
          <w:tcPr>
            <w:tcW w:w="617" w:type="dxa"/>
            <w:tcBorders>
              <w:top w:val="nil"/>
              <w:left w:val="nil"/>
              <w:bottom w:val="nil"/>
              <w:right w:val="nil"/>
            </w:tcBorders>
            <w:shd w:val="clear" w:color="auto" w:fill="auto"/>
            <w:noWrap/>
            <w:vAlign w:val="center"/>
            <w:hideMark/>
          </w:tcPr>
          <w:p w14:paraId="0C3F88D1" w14:textId="77777777" w:rsidR="00131E41" w:rsidRPr="00464AC8" w:rsidRDefault="00131E41" w:rsidP="00131E41">
            <w:pPr>
              <w:spacing w:after="120"/>
              <w:jc w:val="center"/>
              <w:rPr>
                <w:rFonts w:ascii="Calibri" w:hAnsi="Calibri" w:cs="Calibri"/>
                <w:color w:val="000000"/>
                <w:sz w:val="18"/>
                <w:szCs w:val="18"/>
              </w:rPr>
            </w:pPr>
          </w:p>
        </w:tc>
        <w:tc>
          <w:tcPr>
            <w:tcW w:w="236" w:type="dxa"/>
            <w:tcBorders>
              <w:top w:val="nil"/>
              <w:left w:val="nil"/>
              <w:bottom w:val="nil"/>
              <w:right w:val="nil"/>
            </w:tcBorders>
            <w:shd w:val="clear" w:color="auto" w:fill="auto"/>
            <w:noWrap/>
            <w:vAlign w:val="center"/>
            <w:hideMark/>
          </w:tcPr>
          <w:p w14:paraId="0C3F88D2" w14:textId="77777777" w:rsidR="00131E41" w:rsidRPr="00464AC8" w:rsidRDefault="00131E41" w:rsidP="00131E41">
            <w:pPr>
              <w:spacing w:after="120"/>
              <w:jc w:val="center"/>
              <w:rPr>
                <w:rFonts w:ascii="Calibri" w:hAnsi="Calibri" w:cs="Calibri"/>
                <w:color w:val="000000"/>
                <w:sz w:val="18"/>
                <w:szCs w:val="18"/>
              </w:rPr>
            </w:pPr>
          </w:p>
        </w:tc>
        <w:tc>
          <w:tcPr>
            <w:tcW w:w="541" w:type="dxa"/>
            <w:gridSpan w:val="2"/>
            <w:tcBorders>
              <w:top w:val="nil"/>
              <w:left w:val="nil"/>
              <w:bottom w:val="nil"/>
              <w:right w:val="nil"/>
            </w:tcBorders>
            <w:shd w:val="clear" w:color="auto" w:fill="auto"/>
            <w:noWrap/>
            <w:vAlign w:val="center"/>
            <w:hideMark/>
          </w:tcPr>
          <w:p w14:paraId="0C3F88D3" w14:textId="77777777" w:rsidR="00131E41" w:rsidRPr="00464AC8" w:rsidRDefault="00131E41" w:rsidP="00131E41">
            <w:pPr>
              <w:spacing w:after="120"/>
              <w:jc w:val="center"/>
              <w:rPr>
                <w:rFonts w:ascii="Calibri" w:hAnsi="Calibri" w:cs="Calibri"/>
                <w:color w:val="000000"/>
                <w:sz w:val="18"/>
                <w:szCs w:val="18"/>
              </w:rPr>
            </w:pPr>
          </w:p>
        </w:tc>
        <w:tc>
          <w:tcPr>
            <w:tcW w:w="541" w:type="dxa"/>
            <w:gridSpan w:val="2"/>
            <w:tcBorders>
              <w:top w:val="nil"/>
              <w:left w:val="nil"/>
              <w:bottom w:val="nil"/>
              <w:right w:val="nil"/>
            </w:tcBorders>
            <w:shd w:val="clear" w:color="auto" w:fill="auto"/>
            <w:noWrap/>
            <w:vAlign w:val="center"/>
            <w:hideMark/>
          </w:tcPr>
          <w:p w14:paraId="0C3F88D4" w14:textId="77777777" w:rsidR="00131E41" w:rsidRPr="00464AC8" w:rsidRDefault="00131E41" w:rsidP="00131E41">
            <w:pPr>
              <w:spacing w:after="120"/>
              <w:jc w:val="center"/>
              <w:rPr>
                <w:rFonts w:ascii="Calibri" w:hAnsi="Calibri" w:cs="Calibri"/>
                <w:color w:val="000000"/>
                <w:sz w:val="18"/>
                <w:szCs w:val="18"/>
              </w:rPr>
            </w:pPr>
          </w:p>
        </w:tc>
        <w:tc>
          <w:tcPr>
            <w:tcW w:w="742" w:type="dxa"/>
            <w:gridSpan w:val="3"/>
            <w:tcBorders>
              <w:top w:val="nil"/>
              <w:left w:val="nil"/>
              <w:bottom w:val="nil"/>
              <w:right w:val="nil"/>
            </w:tcBorders>
            <w:shd w:val="clear" w:color="auto" w:fill="auto"/>
            <w:noWrap/>
            <w:vAlign w:val="center"/>
            <w:hideMark/>
          </w:tcPr>
          <w:p w14:paraId="0C3F88D5" w14:textId="77777777" w:rsidR="00131E41" w:rsidRPr="00464AC8" w:rsidRDefault="00131E41" w:rsidP="00131E41">
            <w:pPr>
              <w:spacing w:after="120"/>
              <w:jc w:val="center"/>
              <w:rPr>
                <w:rFonts w:ascii="Calibri" w:hAnsi="Calibri" w:cs="Calibri"/>
                <w:color w:val="000000"/>
                <w:sz w:val="18"/>
                <w:szCs w:val="18"/>
              </w:rPr>
            </w:pPr>
          </w:p>
        </w:tc>
        <w:tc>
          <w:tcPr>
            <w:tcW w:w="426" w:type="dxa"/>
            <w:gridSpan w:val="2"/>
            <w:tcBorders>
              <w:top w:val="nil"/>
              <w:left w:val="nil"/>
              <w:bottom w:val="nil"/>
              <w:right w:val="nil"/>
            </w:tcBorders>
            <w:shd w:val="clear" w:color="auto" w:fill="auto"/>
            <w:noWrap/>
            <w:vAlign w:val="center"/>
            <w:hideMark/>
          </w:tcPr>
          <w:p w14:paraId="0C3F88D6" w14:textId="77777777" w:rsidR="00131E41" w:rsidRPr="00464AC8" w:rsidRDefault="00131E41" w:rsidP="00131E41">
            <w:pPr>
              <w:spacing w:after="120"/>
              <w:jc w:val="center"/>
              <w:rPr>
                <w:rFonts w:ascii="Calibri" w:hAnsi="Calibri" w:cs="Calibri"/>
                <w:color w:val="000000"/>
                <w:sz w:val="18"/>
                <w:szCs w:val="18"/>
              </w:rPr>
            </w:pPr>
          </w:p>
        </w:tc>
        <w:tc>
          <w:tcPr>
            <w:tcW w:w="501" w:type="dxa"/>
            <w:gridSpan w:val="2"/>
            <w:tcBorders>
              <w:top w:val="nil"/>
              <w:left w:val="nil"/>
              <w:bottom w:val="nil"/>
              <w:right w:val="nil"/>
            </w:tcBorders>
            <w:shd w:val="clear" w:color="auto" w:fill="auto"/>
            <w:noWrap/>
            <w:vAlign w:val="center"/>
            <w:hideMark/>
          </w:tcPr>
          <w:p w14:paraId="0C3F88D7" w14:textId="77777777" w:rsidR="00131E41" w:rsidRPr="00464AC8" w:rsidRDefault="00131E41" w:rsidP="00131E41">
            <w:pPr>
              <w:spacing w:after="120"/>
              <w:jc w:val="center"/>
              <w:rPr>
                <w:rFonts w:ascii="Calibri" w:hAnsi="Calibri" w:cs="Calibri"/>
                <w:color w:val="000000"/>
                <w:sz w:val="18"/>
                <w:szCs w:val="18"/>
              </w:rPr>
            </w:pPr>
          </w:p>
        </w:tc>
      </w:tr>
      <w:tr w:rsidR="00131E41" w:rsidRPr="00F44B82" w14:paraId="0C3F88E1" w14:textId="77777777" w:rsidTr="00131E41">
        <w:trPr>
          <w:gridAfter w:val="1"/>
          <w:wAfter w:w="76" w:type="dxa"/>
          <w:trHeight w:val="300"/>
        </w:trPr>
        <w:tc>
          <w:tcPr>
            <w:tcW w:w="675" w:type="dxa"/>
            <w:tcBorders>
              <w:top w:val="nil"/>
              <w:left w:val="nil"/>
              <w:bottom w:val="nil"/>
              <w:right w:val="nil"/>
            </w:tcBorders>
            <w:shd w:val="clear" w:color="auto" w:fill="auto"/>
            <w:noWrap/>
            <w:vAlign w:val="center"/>
            <w:hideMark/>
          </w:tcPr>
          <w:p w14:paraId="0C3F88D9" w14:textId="77777777" w:rsidR="00131E41" w:rsidRPr="00464AC8" w:rsidRDefault="00131E41" w:rsidP="00131E41">
            <w:pPr>
              <w:spacing w:after="120"/>
              <w:jc w:val="center"/>
              <w:rPr>
                <w:rFonts w:ascii="Calibri" w:hAnsi="Calibri" w:cs="Calibri"/>
                <w:color w:val="000000"/>
                <w:sz w:val="18"/>
                <w:szCs w:val="18"/>
              </w:rPr>
            </w:pPr>
          </w:p>
        </w:tc>
        <w:tc>
          <w:tcPr>
            <w:tcW w:w="3119" w:type="dxa"/>
            <w:gridSpan w:val="6"/>
            <w:tcBorders>
              <w:top w:val="single" w:sz="4" w:space="0" w:color="auto"/>
              <w:left w:val="single" w:sz="4" w:space="0" w:color="auto"/>
              <w:bottom w:val="single" w:sz="4" w:space="0" w:color="auto"/>
              <w:right w:val="nil"/>
            </w:tcBorders>
            <w:shd w:val="clear" w:color="000000" w:fill="F2F2F2"/>
            <w:noWrap/>
            <w:vAlign w:val="center"/>
            <w:hideMark/>
          </w:tcPr>
          <w:p w14:paraId="0C3F88DA"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Risk category</w:t>
            </w:r>
          </w:p>
        </w:tc>
        <w:tc>
          <w:tcPr>
            <w:tcW w:w="850" w:type="dxa"/>
            <w:vMerge w:val="restart"/>
            <w:tcBorders>
              <w:top w:val="single" w:sz="4" w:space="0" w:color="auto"/>
              <w:left w:val="nil"/>
              <w:bottom w:val="nil"/>
              <w:right w:val="nil"/>
            </w:tcBorders>
            <w:shd w:val="clear" w:color="000000" w:fill="F2DCDB"/>
            <w:textDirection w:val="btLr"/>
            <w:vAlign w:val="bottom"/>
            <w:hideMark/>
          </w:tcPr>
          <w:p w14:paraId="0C3F88DB" w14:textId="77777777" w:rsidR="00131E41" w:rsidRPr="00DF1C49" w:rsidRDefault="00131E41" w:rsidP="00131E41">
            <w:pPr>
              <w:spacing w:after="120"/>
              <w:ind w:left="113" w:right="113"/>
              <w:jc w:val="center"/>
              <w:rPr>
                <w:rFonts w:ascii="Calibri" w:hAnsi="Calibri" w:cs="Calibri"/>
                <w:b/>
                <w:bCs/>
                <w:sz w:val="20"/>
                <w:szCs w:val="20"/>
              </w:rPr>
            </w:pPr>
            <w:r w:rsidRPr="00DF1C49">
              <w:rPr>
                <w:rFonts w:ascii="Calibri" w:hAnsi="Calibri" w:cs="Calibri"/>
                <w:b/>
                <w:bCs/>
                <w:sz w:val="20"/>
                <w:szCs w:val="20"/>
              </w:rPr>
              <w:t xml:space="preserve">TOT </w:t>
            </w:r>
            <w:r>
              <w:rPr>
                <w:rFonts w:ascii="Calibri" w:hAnsi="Calibri" w:cs="Calibri"/>
                <w:b/>
                <w:bCs/>
                <w:sz w:val="20"/>
                <w:szCs w:val="20"/>
              </w:rPr>
              <w:t>exp.</w:t>
            </w:r>
          </w:p>
        </w:tc>
        <w:tc>
          <w:tcPr>
            <w:tcW w:w="801" w:type="dxa"/>
            <w:vMerge w:val="restart"/>
            <w:tcBorders>
              <w:top w:val="single" w:sz="4" w:space="0" w:color="auto"/>
              <w:left w:val="nil"/>
              <w:bottom w:val="nil"/>
              <w:right w:val="single" w:sz="4" w:space="0" w:color="auto"/>
            </w:tcBorders>
            <w:shd w:val="clear" w:color="000000" w:fill="F2DCDB"/>
            <w:textDirection w:val="btLr"/>
            <w:vAlign w:val="bottom"/>
            <w:hideMark/>
          </w:tcPr>
          <w:p w14:paraId="0C3F88DC" w14:textId="77777777" w:rsidR="00131E41" w:rsidRPr="00DF1C49" w:rsidRDefault="00131E41" w:rsidP="00131E41">
            <w:pPr>
              <w:spacing w:after="120"/>
              <w:ind w:left="113" w:right="113"/>
              <w:jc w:val="center"/>
              <w:rPr>
                <w:rFonts w:ascii="Calibri" w:hAnsi="Calibri" w:cs="Calibri"/>
                <w:b/>
                <w:bCs/>
                <w:sz w:val="20"/>
                <w:szCs w:val="20"/>
              </w:rPr>
            </w:pPr>
            <w:r w:rsidRPr="00DF1C49">
              <w:rPr>
                <w:rFonts w:ascii="Calibri" w:hAnsi="Calibri" w:cs="Calibri"/>
                <w:b/>
                <w:bCs/>
                <w:sz w:val="20"/>
                <w:szCs w:val="20"/>
              </w:rPr>
              <w:t xml:space="preserve">TOT non </w:t>
            </w:r>
            <w:r>
              <w:rPr>
                <w:rFonts w:ascii="Calibri" w:hAnsi="Calibri" w:cs="Calibri"/>
                <w:b/>
                <w:bCs/>
                <w:sz w:val="20"/>
                <w:szCs w:val="20"/>
              </w:rPr>
              <w:t>exp.</w:t>
            </w:r>
          </w:p>
        </w:tc>
        <w:tc>
          <w:tcPr>
            <w:tcW w:w="617" w:type="dxa"/>
            <w:tcBorders>
              <w:top w:val="nil"/>
              <w:left w:val="nil"/>
              <w:bottom w:val="nil"/>
              <w:right w:val="nil"/>
            </w:tcBorders>
            <w:shd w:val="clear" w:color="auto" w:fill="auto"/>
            <w:noWrap/>
            <w:vAlign w:val="center"/>
            <w:hideMark/>
          </w:tcPr>
          <w:p w14:paraId="0C3F88DD" w14:textId="77777777" w:rsidR="00131E41" w:rsidRPr="00464AC8" w:rsidRDefault="00131E41" w:rsidP="00131E41">
            <w:pPr>
              <w:spacing w:after="120"/>
              <w:jc w:val="center"/>
              <w:rPr>
                <w:rFonts w:ascii="Calibri" w:hAnsi="Calibri" w:cs="Calibri"/>
                <w:color w:val="000000"/>
                <w:sz w:val="18"/>
                <w:szCs w:val="18"/>
              </w:rPr>
            </w:pPr>
          </w:p>
        </w:tc>
        <w:tc>
          <w:tcPr>
            <w:tcW w:w="1984" w:type="dxa"/>
            <w:gridSpan w:val="7"/>
            <w:tcBorders>
              <w:top w:val="single" w:sz="4" w:space="0" w:color="auto"/>
              <w:left w:val="single" w:sz="4" w:space="0" w:color="auto"/>
              <w:bottom w:val="single" w:sz="4" w:space="0" w:color="auto"/>
              <w:right w:val="nil"/>
            </w:tcBorders>
            <w:shd w:val="clear" w:color="000000" w:fill="F2F2F2"/>
            <w:noWrap/>
            <w:vAlign w:val="center"/>
            <w:hideMark/>
          </w:tcPr>
          <w:p w14:paraId="0C3F88DE"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Risk category</w:t>
            </w:r>
          </w:p>
        </w:tc>
        <w:tc>
          <w:tcPr>
            <w:tcW w:w="426" w:type="dxa"/>
            <w:gridSpan w:val="2"/>
            <w:vMerge w:val="restart"/>
            <w:tcBorders>
              <w:top w:val="single" w:sz="4" w:space="0" w:color="auto"/>
              <w:left w:val="single" w:sz="4" w:space="0" w:color="auto"/>
              <w:bottom w:val="single" w:sz="4" w:space="0" w:color="000000"/>
              <w:right w:val="nil"/>
            </w:tcBorders>
            <w:shd w:val="clear" w:color="000000" w:fill="F2DCDB"/>
            <w:textDirection w:val="btLr"/>
            <w:hideMark/>
          </w:tcPr>
          <w:p w14:paraId="0C3F88DF" w14:textId="77777777" w:rsidR="00131E41" w:rsidRPr="009842DB" w:rsidRDefault="00131E41" w:rsidP="00131E41">
            <w:pPr>
              <w:spacing w:after="120"/>
              <w:ind w:left="113" w:right="113"/>
              <w:jc w:val="center"/>
              <w:rPr>
                <w:rFonts w:ascii="Calibri" w:hAnsi="Calibri" w:cs="Calibri"/>
                <w:b/>
                <w:bCs/>
                <w:sz w:val="20"/>
                <w:szCs w:val="20"/>
              </w:rPr>
            </w:pPr>
            <w:r w:rsidRPr="009842DB">
              <w:rPr>
                <w:b/>
              </w:rPr>
              <w:t>TOT exp.</w:t>
            </w:r>
          </w:p>
        </w:tc>
        <w:tc>
          <w:tcPr>
            <w:tcW w:w="501" w:type="dxa"/>
            <w:gridSpan w:val="2"/>
            <w:vMerge w:val="restart"/>
            <w:tcBorders>
              <w:top w:val="single" w:sz="4" w:space="0" w:color="auto"/>
              <w:left w:val="nil"/>
              <w:bottom w:val="single" w:sz="4" w:space="0" w:color="000000"/>
              <w:right w:val="single" w:sz="4" w:space="0" w:color="auto"/>
            </w:tcBorders>
            <w:shd w:val="clear" w:color="000000" w:fill="F2DCDB"/>
            <w:textDirection w:val="btLr"/>
            <w:hideMark/>
          </w:tcPr>
          <w:p w14:paraId="0C3F88E0" w14:textId="77777777" w:rsidR="00131E41" w:rsidRPr="009842DB" w:rsidRDefault="00131E41" w:rsidP="00131E41">
            <w:pPr>
              <w:spacing w:after="120"/>
              <w:ind w:left="113" w:right="113"/>
              <w:jc w:val="center"/>
              <w:rPr>
                <w:rFonts w:ascii="Calibri" w:hAnsi="Calibri" w:cs="Calibri"/>
                <w:b/>
                <w:bCs/>
                <w:sz w:val="20"/>
                <w:szCs w:val="20"/>
                <w:lang w:val="fr-FR"/>
              </w:rPr>
            </w:pPr>
            <w:r w:rsidRPr="009842DB">
              <w:rPr>
                <w:b/>
              </w:rPr>
              <w:t>TOT non exp.</w:t>
            </w:r>
          </w:p>
        </w:tc>
      </w:tr>
      <w:tr w:rsidR="00131E41" w:rsidRPr="00464AC8" w14:paraId="0C3F88F0" w14:textId="77777777" w:rsidTr="00131E41">
        <w:trPr>
          <w:gridAfter w:val="1"/>
          <w:wAfter w:w="76" w:type="dxa"/>
          <w:cantSplit/>
          <w:trHeight w:val="1144"/>
        </w:trPr>
        <w:tc>
          <w:tcPr>
            <w:tcW w:w="67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3F88E2" w14:textId="77777777" w:rsidR="00131E41" w:rsidRPr="00464AC8" w:rsidRDefault="00131E41" w:rsidP="00131E41">
            <w:pPr>
              <w:spacing w:after="120"/>
              <w:jc w:val="center"/>
              <w:rPr>
                <w:rFonts w:ascii="Calibri" w:hAnsi="Calibri" w:cs="Calibri"/>
                <w:b/>
                <w:bCs/>
                <w:color w:val="000000"/>
                <w:sz w:val="18"/>
                <w:szCs w:val="18"/>
              </w:rPr>
            </w:pPr>
            <w:r>
              <w:rPr>
                <w:rFonts w:ascii="Calibri" w:hAnsi="Calibri" w:cs="Calibri"/>
                <w:b/>
                <w:bCs/>
                <w:color w:val="000000"/>
                <w:sz w:val="18"/>
                <w:szCs w:val="18"/>
              </w:rPr>
              <w:t>GBR</w:t>
            </w:r>
            <w:r w:rsidRPr="00464AC8">
              <w:rPr>
                <w:rFonts w:ascii="Calibri" w:hAnsi="Calibri" w:cs="Calibri"/>
                <w:b/>
                <w:bCs/>
                <w:color w:val="000000"/>
                <w:sz w:val="18"/>
                <w:szCs w:val="18"/>
              </w:rPr>
              <w:t xml:space="preserve"> (</w:t>
            </w:r>
            <w:r>
              <w:rPr>
                <w:rFonts w:ascii="Calibri" w:hAnsi="Calibri" w:cs="Calibri"/>
                <w:b/>
                <w:bCs/>
                <w:color w:val="000000"/>
                <w:sz w:val="18"/>
                <w:szCs w:val="18"/>
              </w:rPr>
              <w:t>km</w:t>
            </w:r>
            <w:r w:rsidRPr="00224D62">
              <w:rPr>
                <w:rFonts w:ascii="Calibri" w:hAnsi="Calibri" w:cs="Calibri"/>
                <w:b/>
                <w:bCs/>
                <w:color w:val="000000"/>
                <w:sz w:val="18"/>
                <w:szCs w:val="18"/>
                <w:vertAlign w:val="superscript"/>
              </w:rPr>
              <w:t>2</w:t>
            </w:r>
            <w:r w:rsidRPr="00464AC8">
              <w:rPr>
                <w:rFonts w:ascii="Calibri" w:hAnsi="Calibri" w:cs="Calibri"/>
                <w:b/>
                <w:bCs/>
                <w:color w:val="000000"/>
                <w:sz w:val="18"/>
                <w:szCs w:val="18"/>
              </w:rPr>
              <w:t>)</w:t>
            </w:r>
          </w:p>
        </w:tc>
        <w:tc>
          <w:tcPr>
            <w:tcW w:w="1007" w:type="dxa"/>
            <w:tcBorders>
              <w:top w:val="nil"/>
              <w:left w:val="nil"/>
              <w:bottom w:val="nil"/>
              <w:right w:val="nil"/>
            </w:tcBorders>
            <w:shd w:val="clear" w:color="000000" w:fill="0070C0"/>
            <w:noWrap/>
            <w:vAlign w:val="center"/>
            <w:hideMark/>
          </w:tcPr>
          <w:p w14:paraId="0C3F88E3"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w:t>
            </w:r>
          </w:p>
        </w:tc>
        <w:tc>
          <w:tcPr>
            <w:tcW w:w="694" w:type="dxa"/>
            <w:gridSpan w:val="2"/>
            <w:tcBorders>
              <w:top w:val="nil"/>
              <w:left w:val="nil"/>
              <w:bottom w:val="nil"/>
              <w:right w:val="nil"/>
            </w:tcBorders>
            <w:shd w:val="clear" w:color="000000" w:fill="00B050"/>
            <w:noWrap/>
            <w:vAlign w:val="center"/>
            <w:hideMark/>
          </w:tcPr>
          <w:p w14:paraId="0C3F88E4"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II</w:t>
            </w:r>
          </w:p>
        </w:tc>
        <w:tc>
          <w:tcPr>
            <w:tcW w:w="709" w:type="dxa"/>
            <w:gridSpan w:val="2"/>
            <w:tcBorders>
              <w:top w:val="nil"/>
              <w:left w:val="nil"/>
              <w:bottom w:val="nil"/>
              <w:right w:val="nil"/>
            </w:tcBorders>
            <w:shd w:val="clear" w:color="000000" w:fill="FF0000"/>
            <w:noWrap/>
            <w:vAlign w:val="center"/>
            <w:hideMark/>
          </w:tcPr>
          <w:p w14:paraId="0C3F88E5"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III</w:t>
            </w:r>
          </w:p>
        </w:tc>
        <w:tc>
          <w:tcPr>
            <w:tcW w:w="709" w:type="dxa"/>
            <w:tcBorders>
              <w:top w:val="nil"/>
              <w:left w:val="nil"/>
              <w:bottom w:val="nil"/>
              <w:right w:val="nil"/>
            </w:tcBorders>
            <w:shd w:val="clear" w:color="000000" w:fill="C00000"/>
            <w:noWrap/>
            <w:vAlign w:val="center"/>
            <w:hideMark/>
          </w:tcPr>
          <w:p w14:paraId="0C3F88E6"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IV</w:t>
            </w:r>
          </w:p>
        </w:tc>
        <w:tc>
          <w:tcPr>
            <w:tcW w:w="850" w:type="dxa"/>
            <w:vMerge/>
            <w:tcBorders>
              <w:top w:val="single" w:sz="4" w:space="0" w:color="auto"/>
              <w:left w:val="nil"/>
              <w:bottom w:val="nil"/>
              <w:right w:val="nil"/>
            </w:tcBorders>
            <w:vAlign w:val="center"/>
            <w:hideMark/>
          </w:tcPr>
          <w:p w14:paraId="0C3F88E7" w14:textId="77777777" w:rsidR="00131E41" w:rsidRPr="00464AC8" w:rsidRDefault="00131E41" w:rsidP="00131E41">
            <w:pPr>
              <w:spacing w:after="120"/>
              <w:rPr>
                <w:rFonts w:ascii="Calibri" w:hAnsi="Calibri" w:cs="Calibri"/>
                <w:b/>
                <w:bCs/>
                <w:sz w:val="18"/>
                <w:szCs w:val="18"/>
              </w:rPr>
            </w:pPr>
          </w:p>
        </w:tc>
        <w:tc>
          <w:tcPr>
            <w:tcW w:w="801" w:type="dxa"/>
            <w:vMerge/>
            <w:tcBorders>
              <w:top w:val="single" w:sz="4" w:space="0" w:color="auto"/>
              <w:left w:val="nil"/>
              <w:bottom w:val="nil"/>
              <w:right w:val="single" w:sz="4" w:space="0" w:color="auto"/>
            </w:tcBorders>
            <w:vAlign w:val="center"/>
            <w:hideMark/>
          </w:tcPr>
          <w:p w14:paraId="0C3F88E8" w14:textId="77777777" w:rsidR="00131E41" w:rsidRPr="00464AC8" w:rsidRDefault="00131E41" w:rsidP="00131E41">
            <w:pPr>
              <w:spacing w:after="120"/>
              <w:rPr>
                <w:rFonts w:ascii="Calibri" w:hAnsi="Calibri" w:cs="Calibri"/>
                <w:b/>
                <w:bCs/>
                <w:sz w:val="18"/>
                <w:szCs w:val="18"/>
              </w:rPr>
            </w:pPr>
          </w:p>
        </w:tc>
        <w:tc>
          <w:tcPr>
            <w:tcW w:w="61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3F88E9" w14:textId="77777777" w:rsidR="00131E41" w:rsidRPr="00464AC8" w:rsidRDefault="00131E41" w:rsidP="00131E41">
            <w:pPr>
              <w:spacing w:after="120"/>
              <w:jc w:val="center"/>
              <w:rPr>
                <w:rFonts w:ascii="Calibri" w:hAnsi="Calibri" w:cs="Calibri"/>
                <w:b/>
                <w:bCs/>
                <w:color w:val="000000"/>
                <w:sz w:val="18"/>
                <w:szCs w:val="18"/>
              </w:rPr>
            </w:pPr>
            <w:r>
              <w:rPr>
                <w:rFonts w:ascii="Calibri" w:hAnsi="Calibri" w:cs="Calibri"/>
                <w:b/>
                <w:bCs/>
                <w:color w:val="000000"/>
                <w:sz w:val="18"/>
                <w:szCs w:val="18"/>
              </w:rPr>
              <w:t xml:space="preserve">GBR </w:t>
            </w:r>
            <w:r w:rsidRPr="00464AC8">
              <w:rPr>
                <w:rFonts w:ascii="Calibri" w:hAnsi="Calibri" w:cs="Calibri"/>
                <w:b/>
                <w:bCs/>
                <w:color w:val="000000"/>
                <w:sz w:val="18"/>
                <w:szCs w:val="18"/>
              </w:rPr>
              <w:t>(%)</w:t>
            </w:r>
          </w:p>
        </w:tc>
        <w:tc>
          <w:tcPr>
            <w:tcW w:w="567" w:type="dxa"/>
            <w:gridSpan w:val="2"/>
            <w:tcBorders>
              <w:top w:val="nil"/>
              <w:left w:val="nil"/>
              <w:bottom w:val="nil"/>
              <w:right w:val="nil"/>
            </w:tcBorders>
            <w:shd w:val="clear" w:color="000000" w:fill="0070C0"/>
            <w:noWrap/>
            <w:vAlign w:val="center"/>
            <w:hideMark/>
          </w:tcPr>
          <w:p w14:paraId="0C3F88EA"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w:t>
            </w:r>
          </w:p>
        </w:tc>
        <w:tc>
          <w:tcPr>
            <w:tcW w:w="425" w:type="dxa"/>
            <w:gridSpan w:val="2"/>
            <w:tcBorders>
              <w:top w:val="nil"/>
              <w:left w:val="nil"/>
              <w:bottom w:val="nil"/>
              <w:right w:val="nil"/>
            </w:tcBorders>
            <w:shd w:val="clear" w:color="000000" w:fill="00B050"/>
            <w:noWrap/>
            <w:vAlign w:val="center"/>
            <w:hideMark/>
          </w:tcPr>
          <w:p w14:paraId="0C3F88EB"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II</w:t>
            </w:r>
          </w:p>
        </w:tc>
        <w:tc>
          <w:tcPr>
            <w:tcW w:w="425" w:type="dxa"/>
            <w:gridSpan w:val="2"/>
            <w:tcBorders>
              <w:top w:val="nil"/>
              <w:left w:val="nil"/>
              <w:bottom w:val="nil"/>
              <w:right w:val="nil"/>
            </w:tcBorders>
            <w:shd w:val="clear" w:color="000000" w:fill="FF0000"/>
            <w:noWrap/>
            <w:vAlign w:val="center"/>
            <w:hideMark/>
          </w:tcPr>
          <w:p w14:paraId="0C3F88EC"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III</w:t>
            </w:r>
          </w:p>
        </w:tc>
        <w:tc>
          <w:tcPr>
            <w:tcW w:w="567" w:type="dxa"/>
            <w:tcBorders>
              <w:top w:val="nil"/>
              <w:left w:val="nil"/>
              <w:bottom w:val="nil"/>
              <w:right w:val="nil"/>
            </w:tcBorders>
            <w:shd w:val="clear" w:color="000000" w:fill="C00000"/>
            <w:noWrap/>
            <w:vAlign w:val="center"/>
            <w:hideMark/>
          </w:tcPr>
          <w:p w14:paraId="0C3F88ED" w14:textId="77777777" w:rsidR="00131E41" w:rsidRPr="00464AC8" w:rsidRDefault="00131E41" w:rsidP="00131E41">
            <w:pPr>
              <w:spacing w:after="120"/>
              <w:jc w:val="center"/>
              <w:rPr>
                <w:rFonts w:ascii="Calibri" w:hAnsi="Calibri" w:cs="Calibri"/>
                <w:b/>
                <w:bCs/>
                <w:color w:val="FFFFFF"/>
                <w:sz w:val="18"/>
                <w:szCs w:val="18"/>
              </w:rPr>
            </w:pPr>
            <w:r>
              <w:rPr>
                <w:rFonts w:ascii="Calibri" w:hAnsi="Calibri" w:cs="Calibri"/>
                <w:b/>
                <w:bCs/>
                <w:color w:val="FFFFFF"/>
                <w:sz w:val="18"/>
                <w:szCs w:val="18"/>
              </w:rPr>
              <w:t>IV</w:t>
            </w:r>
          </w:p>
        </w:tc>
        <w:tc>
          <w:tcPr>
            <w:tcW w:w="426" w:type="dxa"/>
            <w:gridSpan w:val="2"/>
            <w:vMerge/>
            <w:tcBorders>
              <w:top w:val="single" w:sz="4" w:space="0" w:color="auto"/>
              <w:left w:val="single" w:sz="4" w:space="0" w:color="auto"/>
              <w:bottom w:val="single" w:sz="4" w:space="0" w:color="000000"/>
              <w:right w:val="nil"/>
            </w:tcBorders>
            <w:vAlign w:val="center"/>
            <w:hideMark/>
          </w:tcPr>
          <w:p w14:paraId="0C3F88EE" w14:textId="77777777" w:rsidR="00131E41" w:rsidRPr="00464AC8" w:rsidRDefault="00131E41" w:rsidP="00131E41">
            <w:pPr>
              <w:spacing w:after="120"/>
              <w:rPr>
                <w:rFonts w:ascii="Calibri" w:hAnsi="Calibri" w:cs="Calibri"/>
                <w:b/>
                <w:bCs/>
                <w:sz w:val="18"/>
                <w:szCs w:val="18"/>
              </w:rPr>
            </w:pPr>
          </w:p>
        </w:tc>
        <w:tc>
          <w:tcPr>
            <w:tcW w:w="501" w:type="dxa"/>
            <w:gridSpan w:val="2"/>
            <w:vMerge/>
            <w:tcBorders>
              <w:top w:val="single" w:sz="4" w:space="0" w:color="auto"/>
              <w:left w:val="nil"/>
              <w:bottom w:val="single" w:sz="4" w:space="0" w:color="000000"/>
              <w:right w:val="single" w:sz="4" w:space="0" w:color="auto"/>
            </w:tcBorders>
            <w:vAlign w:val="center"/>
            <w:hideMark/>
          </w:tcPr>
          <w:p w14:paraId="0C3F88EF" w14:textId="77777777" w:rsidR="00131E41" w:rsidRPr="00464AC8" w:rsidRDefault="00131E41" w:rsidP="00131E41">
            <w:pPr>
              <w:spacing w:after="120"/>
              <w:rPr>
                <w:rFonts w:ascii="Calibri" w:hAnsi="Calibri" w:cs="Calibri"/>
                <w:b/>
                <w:bCs/>
                <w:sz w:val="18"/>
                <w:szCs w:val="18"/>
              </w:rPr>
            </w:pPr>
          </w:p>
        </w:tc>
      </w:tr>
      <w:tr w:rsidR="00131E41" w:rsidRPr="00464AC8" w14:paraId="0C3F88FF" w14:textId="77777777" w:rsidTr="00131E41">
        <w:trPr>
          <w:gridAfter w:val="1"/>
          <w:wAfter w:w="76" w:type="dxa"/>
          <w:trHeight w:val="300"/>
        </w:trPr>
        <w:tc>
          <w:tcPr>
            <w:tcW w:w="675" w:type="dxa"/>
            <w:tcBorders>
              <w:top w:val="single" w:sz="4" w:space="0" w:color="auto"/>
              <w:left w:val="single" w:sz="4" w:space="0" w:color="auto"/>
              <w:bottom w:val="nil"/>
              <w:right w:val="single" w:sz="4" w:space="0" w:color="auto"/>
            </w:tcBorders>
            <w:shd w:val="clear" w:color="000000" w:fill="F2F2F2"/>
            <w:noWrap/>
            <w:vAlign w:val="center"/>
            <w:hideMark/>
          </w:tcPr>
          <w:p w14:paraId="0C3F88F1"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2007</w:t>
            </w:r>
          </w:p>
        </w:tc>
        <w:tc>
          <w:tcPr>
            <w:tcW w:w="1007" w:type="dxa"/>
            <w:tcBorders>
              <w:top w:val="single" w:sz="4" w:space="0" w:color="auto"/>
              <w:left w:val="nil"/>
              <w:bottom w:val="nil"/>
              <w:right w:val="nil"/>
            </w:tcBorders>
            <w:shd w:val="clear" w:color="auto" w:fill="auto"/>
            <w:noWrap/>
            <w:vAlign w:val="center"/>
            <w:hideMark/>
          </w:tcPr>
          <w:p w14:paraId="0C3F88F2"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89362</w:t>
            </w:r>
          </w:p>
        </w:tc>
        <w:tc>
          <w:tcPr>
            <w:tcW w:w="694" w:type="dxa"/>
            <w:gridSpan w:val="2"/>
            <w:tcBorders>
              <w:top w:val="single" w:sz="4" w:space="0" w:color="auto"/>
              <w:left w:val="nil"/>
              <w:bottom w:val="nil"/>
              <w:right w:val="nil"/>
            </w:tcBorders>
            <w:shd w:val="clear" w:color="auto" w:fill="auto"/>
            <w:noWrap/>
            <w:vAlign w:val="center"/>
            <w:hideMark/>
          </w:tcPr>
          <w:p w14:paraId="0C3F88F3"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58587</w:t>
            </w:r>
          </w:p>
        </w:tc>
        <w:tc>
          <w:tcPr>
            <w:tcW w:w="709" w:type="dxa"/>
            <w:gridSpan w:val="2"/>
            <w:tcBorders>
              <w:top w:val="single" w:sz="4" w:space="0" w:color="auto"/>
              <w:left w:val="nil"/>
              <w:bottom w:val="nil"/>
              <w:right w:val="nil"/>
            </w:tcBorders>
            <w:shd w:val="clear" w:color="auto" w:fill="auto"/>
            <w:noWrap/>
            <w:vAlign w:val="center"/>
            <w:hideMark/>
          </w:tcPr>
          <w:p w14:paraId="0C3F88F4"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18497</w:t>
            </w:r>
          </w:p>
        </w:tc>
        <w:tc>
          <w:tcPr>
            <w:tcW w:w="709" w:type="dxa"/>
            <w:tcBorders>
              <w:top w:val="single" w:sz="4" w:space="0" w:color="auto"/>
              <w:left w:val="nil"/>
              <w:bottom w:val="nil"/>
              <w:right w:val="nil"/>
            </w:tcBorders>
            <w:shd w:val="clear" w:color="auto" w:fill="auto"/>
            <w:noWrap/>
            <w:vAlign w:val="center"/>
            <w:hideMark/>
          </w:tcPr>
          <w:p w14:paraId="0C3F88F5"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1163</w:t>
            </w:r>
          </w:p>
        </w:tc>
        <w:tc>
          <w:tcPr>
            <w:tcW w:w="850" w:type="dxa"/>
            <w:tcBorders>
              <w:top w:val="single" w:sz="4" w:space="0" w:color="auto"/>
              <w:left w:val="single" w:sz="4" w:space="0" w:color="auto"/>
              <w:bottom w:val="nil"/>
              <w:right w:val="nil"/>
            </w:tcBorders>
            <w:shd w:val="clear" w:color="auto" w:fill="auto"/>
            <w:noWrap/>
            <w:vAlign w:val="center"/>
            <w:hideMark/>
          </w:tcPr>
          <w:p w14:paraId="0C3F88F6"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167609</w:t>
            </w:r>
          </w:p>
        </w:tc>
        <w:tc>
          <w:tcPr>
            <w:tcW w:w="801" w:type="dxa"/>
            <w:tcBorders>
              <w:top w:val="single" w:sz="4" w:space="0" w:color="auto"/>
              <w:left w:val="nil"/>
              <w:bottom w:val="nil"/>
              <w:right w:val="single" w:sz="4" w:space="0" w:color="auto"/>
            </w:tcBorders>
            <w:shd w:val="clear" w:color="auto" w:fill="auto"/>
            <w:noWrap/>
            <w:vAlign w:val="center"/>
            <w:hideMark/>
          </w:tcPr>
          <w:p w14:paraId="0C3F88F7"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181144</w:t>
            </w:r>
          </w:p>
        </w:tc>
        <w:tc>
          <w:tcPr>
            <w:tcW w:w="617" w:type="dxa"/>
            <w:tcBorders>
              <w:top w:val="single" w:sz="4" w:space="0" w:color="auto"/>
              <w:left w:val="single" w:sz="4" w:space="0" w:color="auto"/>
              <w:bottom w:val="nil"/>
              <w:right w:val="single" w:sz="4" w:space="0" w:color="auto"/>
            </w:tcBorders>
            <w:shd w:val="clear" w:color="000000" w:fill="F2F2F2"/>
            <w:noWrap/>
            <w:vAlign w:val="center"/>
            <w:hideMark/>
          </w:tcPr>
          <w:p w14:paraId="0C3F88F8"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2007</w:t>
            </w:r>
          </w:p>
        </w:tc>
        <w:tc>
          <w:tcPr>
            <w:tcW w:w="567" w:type="dxa"/>
            <w:gridSpan w:val="2"/>
            <w:tcBorders>
              <w:top w:val="single" w:sz="4" w:space="0" w:color="auto"/>
              <w:left w:val="nil"/>
              <w:bottom w:val="nil"/>
              <w:right w:val="nil"/>
            </w:tcBorders>
            <w:shd w:val="clear" w:color="auto" w:fill="auto"/>
            <w:noWrap/>
            <w:vAlign w:val="center"/>
            <w:hideMark/>
          </w:tcPr>
          <w:p w14:paraId="0C3F88F9"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26</w:t>
            </w:r>
          </w:p>
        </w:tc>
        <w:tc>
          <w:tcPr>
            <w:tcW w:w="425" w:type="dxa"/>
            <w:gridSpan w:val="2"/>
            <w:tcBorders>
              <w:top w:val="single" w:sz="4" w:space="0" w:color="auto"/>
              <w:left w:val="nil"/>
              <w:bottom w:val="nil"/>
              <w:right w:val="nil"/>
            </w:tcBorders>
            <w:shd w:val="clear" w:color="auto" w:fill="auto"/>
            <w:noWrap/>
            <w:vAlign w:val="center"/>
            <w:hideMark/>
          </w:tcPr>
          <w:p w14:paraId="0C3F88FA"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17</w:t>
            </w:r>
          </w:p>
        </w:tc>
        <w:tc>
          <w:tcPr>
            <w:tcW w:w="425" w:type="dxa"/>
            <w:gridSpan w:val="2"/>
            <w:tcBorders>
              <w:top w:val="single" w:sz="4" w:space="0" w:color="auto"/>
              <w:left w:val="nil"/>
              <w:bottom w:val="nil"/>
              <w:right w:val="nil"/>
            </w:tcBorders>
            <w:shd w:val="clear" w:color="auto" w:fill="auto"/>
            <w:noWrap/>
            <w:vAlign w:val="center"/>
            <w:hideMark/>
          </w:tcPr>
          <w:p w14:paraId="0C3F88FB"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5</w:t>
            </w:r>
          </w:p>
        </w:tc>
        <w:tc>
          <w:tcPr>
            <w:tcW w:w="567" w:type="dxa"/>
            <w:tcBorders>
              <w:top w:val="single" w:sz="4" w:space="0" w:color="auto"/>
              <w:left w:val="nil"/>
              <w:bottom w:val="nil"/>
              <w:right w:val="nil"/>
            </w:tcBorders>
            <w:shd w:val="clear" w:color="auto" w:fill="auto"/>
            <w:noWrap/>
            <w:vAlign w:val="center"/>
            <w:hideMark/>
          </w:tcPr>
          <w:p w14:paraId="0C3F88FC"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0</w:t>
            </w:r>
          </w:p>
        </w:tc>
        <w:tc>
          <w:tcPr>
            <w:tcW w:w="426" w:type="dxa"/>
            <w:gridSpan w:val="2"/>
            <w:tcBorders>
              <w:top w:val="nil"/>
              <w:left w:val="single" w:sz="4" w:space="0" w:color="auto"/>
              <w:bottom w:val="nil"/>
              <w:right w:val="nil"/>
            </w:tcBorders>
            <w:shd w:val="clear" w:color="auto" w:fill="auto"/>
            <w:noWrap/>
            <w:vAlign w:val="center"/>
            <w:hideMark/>
          </w:tcPr>
          <w:p w14:paraId="0C3F88FD"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48</w:t>
            </w:r>
          </w:p>
        </w:tc>
        <w:tc>
          <w:tcPr>
            <w:tcW w:w="501" w:type="dxa"/>
            <w:gridSpan w:val="2"/>
            <w:tcBorders>
              <w:top w:val="nil"/>
              <w:left w:val="nil"/>
              <w:bottom w:val="nil"/>
              <w:right w:val="single" w:sz="4" w:space="0" w:color="auto"/>
            </w:tcBorders>
            <w:shd w:val="clear" w:color="auto" w:fill="auto"/>
            <w:noWrap/>
            <w:vAlign w:val="center"/>
            <w:hideMark/>
          </w:tcPr>
          <w:p w14:paraId="0C3F88FE"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52</w:t>
            </w:r>
          </w:p>
        </w:tc>
      </w:tr>
      <w:tr w:rsidR="00131E41" w:rsidRPr="00464AC8" w14:paraId="0C3F890E" w14:textId="77777777" w:rsidTr="00131E41">
        <w:trPr>
          <w:gridAfter w:val="1"/>
          <w:wAfter w:w="76" w:type="dxa"/>
          <w:trHeight w:val="300"/>
        </w:trPr>
        <w:tc>
          <w:tcPr>
            <w:tcW w:w="675" w:type="dxa"/>
            <w:tcBorders>
              <w:top w:val="nil"/>
              <w:left w:val="single" w:sz="4" w:space="0" w:color="auto"/>
              <w:bottom w:val="nil"/>
              <w:right w:val="single" w:sz="4" w:space="0" w:color="auto"/>
            </w:tcBorders>
            <w:shd w:val="clear" w:color="000000" w:fill="F2F2F2"/>
            <w:noWrap/>
            <w:vAlign w:val="center"/>
            <w:hideMark/>
          </w:tcPr>
          <w:p w14:paraId="0C3F8900"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2008</w:t>
            </w:r>
          </w:p>
        </w:tc>
        <w:tc>
          <w:tcPr>
            <w:tcW w:w="1007" w:type="dxa"/>
            <w:tcBorders>
              <w:top w:val="nil"/>
              <w:left w:val="nil"/>
              <w:bottom w:val="nil"/>
              <w:right w:val="nil"/>
            </w:tcBorders>
            <w:shd w:val="clear" w:color="auto" w:fill="auto"/>
            <w:noWrap/>
            <w:vAlign w:val="center"/>
            <w:hideMark/>
          </w:tcPr>
          <w:p w14:paraId="0C3F8901"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111035</w:t>
            </w:r>
          </w:p>
        </w:tc>
        <w:tc>
          <w:tcPr>
            <w:tcW w:w="694" w:type="dxa"/>
            <w:gridSpan w:val="2"/>
            <w:tcBorders>
              <w:top w:val="nil"/>
              <w:left w:val="nil"/>
              <w:bottom w:val="nil"/>
              <w:right w:val="nil"/>
            </w:tcBorders>
            <w:shd w:val="clear" w:color="auto" w:fill="auto"/>
            <w:noWrap/>
            <w:vAlign w:val="center"/>
            <w:hideMark/>
          </w:tcPr>
          <w:p w14:paraId="0C3F8902"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59513</w:t>
            </w:r>
          </w:p>
        </w:tc>
        <w:tc>
          <w:tcPr>
            <w:tcW w:w="709" w:type="dxa"/>
            <w:gridSpan w:val="2"/>
            <w:tcBorders>
              <w:top w:val="nil"/>
              <w:left w:val="nil"/>
              <w:bottom w:val="nil"/>
              <w:right w:val="nil"/>
            </w:tcBorders>
            <w:shd w:val="clear" w:color="auto" w:fill="auto"/>
            <w:noWrap/>
            <w:vAlign w:val="center"/>
            <w:hideMark/>
          </w:tcPr>
          <w:p w14:paraId="0C3F8903" w14:textId="77777777" w:rsidR="00131E41" w:rsidRPr="00767E7F" w:rsidRDefault="00131E41" w:rsidP="00131E41">
            <w:pPr>
              <w:spacing w:after="120"/>
              <w:jc w:val="center"/>
              <w:rPr>
                <w:rFonts w:ascii="Calibri" w:hAnsi="Calibri" w:cs="Calibri"/>
                <w:b/>
                <w:color w:val="4F81BD" w:themeColor="accent1"/>
                <w:sz w:val="18"/>
                <w:szCs w:val="18"/>
              </w:rPr>
            </w:pPr>
            <w:r w:rsidRPr="00767E7F">
              <w:rPr>
                <w:rFonts w:ascii="Calibri" w:hAnsi="Calibri" w:cs="Calibri"/>
                <w:b/>
                <w:color w:val="4F81BD" w:themeColor="accent1"/>
                <w:sz w:val="18"/>
                <w:szCs w:val="18"/>
              </w:rPr>
              <w:t>16940</w:t>
            </w:r>
          </w:p>
        </w:tc>
        <w:tc>
          <w:tcPr>
            <w:tcW w:w="709" w:type="dxa"/>
            <w:tcBorders>
              <w:top w:val="nil"/>
              <w:left w:val="nil"/>
              <w:bottom w:val="nil"/>
              <w:right w:val="nil"/>
            </w:tcBorders>
            <w:shd w:val="clear" w:color="auto" w:fill="auto"/>
            <w:noWrap/>
            <w:vAlign w:val="center"/>
            <w:hideMark/>
          </w:tcPr>
          <w:p w14:paraId="0C3F8904" w14:textId="77777777" w:rsidR="00131E41" w:rsidRPr="00767E7F" w:rsidRDefault="00131E41" w:rsidP="00131E41">
            <w:pPr>
              <w:spacing w:after="120"/>
              <w:jc w:val="center"/>
              <w:rPr>
                <w:rFonts w:ascii="Calibri" w:hAnsi="Calibri" w:cs="Calibri"/>
                <w:b/>
                <w:color w:val="4F81BD" w:themeColor="accent1"/>
                <w:sz w:val="18"/>
                <w:szCs w:val="18"/>
              </w:rPr>
            </w:pPr>
            <w:r w:rsidRPr="00767E7F">
              <w:rPr>
                <w:rFonts w:ascii="Calibri" w:hAnsi="Calibri" w:cs="Calibri"/>
                <w:b/>
                <w:color w:val="4F81BD" w:themeColor="accent1"/>
                <w:sz w:val="18"/>
                <w:szCs w:val="18"/>
              </w:rPr>
              <w:t>0</w:t>
            </w:r>
          </w:p>
        </w:tc>
        <w:tc>
          <w:tcPr>
            <w:tcW w:w="850" w:type="dxa"/>
            <w:tcBorders>
              <w:top w:val="nil"/>
              <w:left w:val="single" w:sz="4" w:space="0" w:color="auto"/>
              <w:bottom w:val="nil"/>
              <w:right w:val="nil"/>
            </w:tcBorders>
            <w:shd w:val="clear" w:color="auto" w:fill="auto"/>
            <w:noWrap/>
            <w:vAlign w:val="center"/>
            <w:hideMark/>
          </w:tcPr>
          <w:p w14:paraId="0C3F8905"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187488</w:t>
            </w:r>
          </w:p>
        </w:tc>
        <w:tc>
          <w:tcPr>
            <w:tcW w:w="801" w:type="dxa"/>
            <w:tcBorders>
              <w:top w:val="nil"/>
              <w:left w:val="nil"/>
              <w:bottom w:val="nil"/>
              <w:right w:val="single" w:sz="4" w:space="0" w:color="auto"/>
            </w:tcBorders>
            <w:shd w:val="clear" w:color="auto" w:fill="auto"/>
            <w:noWrap/>
            <w:vAlign w:val="center"/>
            <w:hideMark/>
          </w:tcPr>
          <w:p w14:paraId="0C3F8906"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161265</w:t>
            </w:r>
          </w:p>
        </w:tc>
        <w:tc>
          <w:tcPr>
            <w:tcW w:w="617" w:type="dxa"/>
            <w:tcBorders>
              <w:top w:val="nil"/>
              <w:left w:val="single" w:sz="4" w:space="0" w:color="auto"/>
              <w:bottom w:val="nil"/>
              <w:right w:val="single" w:sz="4" w:space="0" w:color="auto"/>
            </w:tcBorders>
            <w:shd w:val="clear" w:color="000000" w:fill="F2F2F2"/>
            <w:noWrap/>
            <w:vAlign w:val="center"/>
            <w:hideMark/>
          </w:tcPr>
          <w:p w14:paraId="0C3F8907"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2008</w:t>
            </w:r>
          </w:p>
        </w:tc>
        <w:tc>
          <w:tcPr>
            <w:tcW w:w="567" w:type="dxa"/>
            <w:gridSpan w:val="2"/>
            <w:tcBorders>
              <w:top w:val="nil"/>
              <w:left w:val="nil"/>
              <w:bottom w:val="nil"/>
              <w:right w:val="nil"/>
            </w:tcBorders>
            <w:shd w:val="clear" w:color="auto" w:fill="auto"/>
            <w:noWrap/>
            <w:vAlign w:val="center"/>
            <w:hideMark/>
          </w:tcPr>
          <w:p w14:paraId="0C3F8908"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32</w:t>
            </w:r>
          </w:p>
        </w:tc>
        <w:tc>
          <w:tcPr>
            <w:tcW w:w="425" w:type="dxa"/>
            <w:gridSpan w:val="2"/>
            <w:tcBorders>
              <w:top w:val="nil"/>
              <w:left w:val="nil"/>
              <w:bottom w:val="nil"/>
              <w:right w:val="nil"/>
            </w:tcBorders>
            <w:shd w:val="clear" w:color="auto" w:fill="auto"/>
            <w:noWrap/>
            <w:vAlign w:val="center"/>
            <w:hideMark/>
          </w:tcPr>
          <w:p w14:paraId="0C3F8909"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17</w:t>
            </w:r>
          </w:p>
        </w:tc>
        <w:tc>
          <w:tcPr>
            <w:tcW w:w="425" w:type="dxa"/>
            <w:gridSpan w:val="2"/>
            <w:tcBorders>
              <w:top w:val="nil"/>
              <w:left w:val="nil"/>
              <w:bottom w:val="nil"/>
              <w:right w:val="nil"/>
            </w:tcBorders>
            <w:shd w:val="clear" w:color="auto" w:fill="auto"/>
            <w:noWrap/>
            <w:vAlign w:val="center"/>
            <w:hideMark/>
          </w:tcPr>
          <w:p w14:paraId="0C3F890A"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w:t>
            </w:r>
          </w:p>
        </w:tc>
        <w:tc>
          <w:tcPr>
            <w:tcW w:w="567" w:type="dxa"/>
            <w:tcBorders>
              <w:top w:val="nil"/>
              <w:left w:val="nil"/>
              <w:bottom w:val="nil"/>
              <w:right w:val="nil"/>
            </w:tcBorders>
            <w:shd w:val="clear" w:color="auto" w:fill="auto"/>
            <w:noWrap/>
            <w:vAlign w:val="center"/>
            <w:hideMark/>
          </w:tcPr>
          <w:p w14:paraId="0C3F890B"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0</w:t>
            </w:r>
          </w:p>
        </w:tc>
        <w:tc>
          <w:tcPr>
            <w:tcW w:w="426" w:type="dxa"/>
            <w:gridSpan w:val="2"/>
            <w:tcBorders>
              <w:top w:val="nil"/>
              <w:left w:val="single" w:sz="4" w:space="0" w:color="auto"/>
              <w:bottom w:val="nil"/>
              <w:right w:val="nil"/>
            </w:tcBorders>
            <w:shd w:val="clear" w:color="auto" w:fill="auto"/>
            <w:noWrap/>
            <w:vAlign w:val="center"/>
            <w:hideMark/>
          </w:tcPr>
          <w:p w14:paraId="0C3F890C"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54</w:t>
            </w:r>
          </w:p>
        </w:tc>
        <w:tc>
          <w:tcPr>
            <w:tcW w:w="501" w:type="dxa"/>
            <w:gridSpan w:val="2"/>
            <w:tcBorders>
              <w:top w:val="nil"/>
              <w:left w:val="nil"/>
              <w:bottom w:val="nil"/>
              <w:right w:val="single" w:sz="4" w:space="0" w:color="auto"/>
            </w:tcBorders>
            <w:shd w:val="clear" w:color="auto" w:fill="auto"/>
            <w:noWrap/>
            <w:vAlign w:val="center"/>
            <w:hideMark/>
          </w:tcPr>
          <w:p w14:paraId="0C3F890D"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46</w:t>
            </w:r>
          </w:p>
        </w:tc>
      </w:tr>
      <w:tr w:rsidR="00131E41" w:rsidRPr="00464AC8" w14:paraId="0C3F891D" w14:textId="77777777" w:rsidTr="00131E41">
        <w:trPr>
          <w:gridAfter w:val="1"/>
          <w:wAfter w:w="76" w:type="dxa"/>
          <w:trHeight w:val="300"/>
        </w:trPr>
        <w:tc>
          <w:tcPr>
            <w:tcW w:w="675" w:type="dxa"/>
            <w:tcBorders>
              <w:top w:val="nil"/>
              <w:left w:val="single" w:sz="4" w:space="0" w:color="auto"/>
              <w:bottom w:val="nil"/>
              <w:right w:val="single" w:sz="4" w:space="0" w:color="auto"/>
            </w:tcBorders>
            <w:shd w:val="clear" w:color="000000" w:fill="F2F2F2"/>
            <w:noWrap/>
            <w:vAlign w:val="center"/>
            <w:hideMark/>
          </w:tcPr>
          <w:p w14:paraId="0C3F890F"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2009</w:t>
            </w:r>
          </w:p>
        </w:tc>
        <w:tc>
          <w:tcPr>
            <w:tcW w:w="1007" w:type="dxa"/>
            <w:tcBorders>
              <w:top w:val="nil"/>
              <w:left w:val="nil"/>
              <w:bottom w:val="nil"/>
              <w:right w:val="nil"/>
            </w:tcBorders>
            <w:shd w:val="clear" w:color="auto" w:fill="auto"/>
            <w:noWrap/>
            <w:vAlign w:val="center"/>
            <w:hideMark/>
          </w:tcPr>
          <w:p w14:paraId="0C3F8910"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135839</w:t>
            </w:r>
          </w:p>
        </w:tc>
        <w:tc>
          <w:tcPr>
            <w:tcW w:w="694" w:type="dxa"/>
            <w:gridSpan w:val="2"/>
            <w:tcBorders>
              <w:top w:val="nil"/>
              <w:left w:val="nil"/>
              <w:bottom w:val="nil"/>
              <w:right w:val="nil"/>
            </w:tcBorders>
            <w:shd w:val="clear" w:color="auto" w:fill="auto"/>
            <w:noWrap/>
            <w:vAlign w:val="center"/>
            <w:hideMark/>
          </w:tcPr>
          <w:p w14:paraId="0C3F8911"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67621</w:t>
            </w:r>
          </w:p>
        </w:tc>
        <w:tc>
          <w:tcPr>
            <w:tcW w:w="709" w:type="dxa"/>
            <w:gridSpan w:val="2"/>
            <w:tcBorders>
              <w:top w:val="nil"/>
              <w:left w:val="nil"/>
              <w:bottom w:val="nil"/>
              <w:right w:val="nil"/>
            </w:tcBorders>
            <w:shd w:val="clear" w:color="auto" w:fill="auto"/>
            <w:noWrap/>
            <w:vAlign w:val="center"/>
            <w:hideMark/>
          </w:tcPr>
          <w:p w14:paraId="0C3F8912"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18660</w:t>
            </w:r>
          </w:p>
        </w:tc>
        <w:tc>
          <w:tcPr>
            <w:tcW w:w="709" w:type="dxa"/>
            <w:tcBorders>
              <w:top w:val="nil"/>
              <w:left w:val="nil"/>
              <w:bottom w:val="nil"/>
              <w:right w:val="nil"/>
            </w:tcBorders>
            <w:shd w:val="clear" w:color="auto" w:fill="auto"/>
            <w:noWrap/>
            <w:vAlign w:val="center"/>
            <w:hideMark/>
          </w:tcPr>
          <w:p w14:paraId="0C3F8913"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1008</w:t>
            </w:r>
          </w:p>
        </w:tc>
        <w:tc>
          <w:tcPr>
            <w:tcW w:w="850" w:type="dxa"/>
            <w:tcBorders>
              <w:top w:val="nil"/>
              <w:left w:val="single" w:sz="4" w:space="0" w:color="auto"/>
              <w:bottom w:val="nil"/>
              <w:right w:val="nil"/>
            </w:tcBorders>
            <w:shd w:val="clear" w:color="auto" w:fill="auto"/>
            <w:noWrap/>
            <w:vAlign w:val="center"/>
            <w:hideMark/>
          </w:tcPr>
          <w:p w14:paraId="0C3F8914"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223128</w:t>
            </w:r>
          </w:p>
        </w:tc>
        <w:tc>
          <w:tcPr>
            <w:tcW w:w="801" w:type="dxa"/>
            <w:tcBorders>
              <w:top w:val="nil"/>
              <w:left w:val="nil"/>
              <w:bottom w:val="nil"/>
              <w:right w:val="single" w:sz="4" w:space="0" w:color="auto"/>
            </w:tcBorders>
            <w:shd w:val="clear" w:color="auto" w:fill="auto"/>
            <w:noWrap/>
            <w:vAlign w:val="center"/>
            <w:hideMark/>
          </w:tcPr>
          <w:p w14:paraId="0C3F8915"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125625</w:t>
            </w:r>
          </w:p>
        </w:tc>
        <w:tc>
          <w:tcPr>
            <w:tcW w:w="617" w:type="dxa"/>
            <w:tcBorders>
              <w:top w:val="nil"/>
              <w:left w:val="single" w:sz="4" w:space="0" w:color="auto"/>
              <w:bottom w:val="nil"/>
              <w:right w:val="single" w:sz="4" w:space="0" w:color="auto"/>
            </w:tcBorders>
            <w:shd w:val="clear" w:color="000000" w:fill="F2F2F2"/>
            <w:noWrap/>
            <w:vAlign w:val="center"/>
            <w:hideMark/>
          </w:tcPr>
          <w:p w14:paraId="0C3F8916"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2009</w:t>
            </w:r>
          </w:p>
        </w:tc>
        <w:tc>
          <w:tcPr>
            <w:tcW w:w="567" w:type="dxa"/>
            <w:gridSpan w:val="2"/>
            <w:tcBorders>
              <w:top w:val="nil"/>
              <w:left w:val="nil"/>
              <w:bottom w:val="nil"/>
              <w:right w:val="nil"/>
            </w:tcBorders>
            <w:shd w:val="clear" w:color="auto" w:fill="auto"/>
            <w:noWrap/>
            <w:vAlign w:val="center"/>
            <w:hideMark/>
          </w:tcPr>
          <w:p w14:paraId="0C3F8917"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39</w:t>
            </w:r>
          </w:p>
        </w:tc>
        <w:tc>
          <w:tcPr>
            <w:tcW w:w="425" w:type="dxa"/>
            <w:gridSpan w:val="2"/>
            <w:tcBorders>
              <w:top w:val="nil"/>
              <w:left w:val="nil"/>
              <w:bottom w:val="nil"/>
              <w:right w:val="nil"/>
            </w:tcBorders>
            <w:shd w:val="clear" w:color="auto" w:fill="auto"/>
            <w:noWrap/>
            <w:vAlign w:val="center"/>
            <w:hideMark/>
          </w:tcPr>
          <w:p w14:paraId="0C3F8918"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19</w:t>
            </w:r>
          </w:p>
        </w:tc>
        <w:tc>
          <w:tcPr>
            <w:tcW w:w="425" w:type="dxa"/>
            <w:gridSpan w:val="2"/>
            <w:tcBorders>
              <w:top w:val="nil"/>
              <w:left w:val="nil"/>
              <w:bottom w:val="nil"/>
              <w:right w:val="nil"/>
            </w:tcBorders>
            <w:shd w:val="clear" w:color="auto" w:fill="auto"/>
            <w:noWrap/>
            <w:vAlign w:val="center"/>
            <w:hideMark/>
          </w:tcPr>
          <w:p w14:paraId="0C3F8919"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w:t>
            </w:r>
          </w:p>
        </w:tc>
        <w:tc>
          <w:tcPr>
            <w:tcW w:w="567" w:type="dxa"/>
            <w:tcBorders>
              <w:top w:val="nil"/>
              <w:left w:val="nil"/>
              <w:bottom w:val="nil"/>
              <w:right w:val="nil"/>
            </w:tcBorders>
            <w:shd w:val="clear" w:color="auto" w:fill="auto"/>
            <w:noWrap/>
            <w:vAlign w:val="center"/>
            <w:hideMark/>
          </w:tcPr>
          <w:p w14:paraId="0C3F891A"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0</w:t>
            </w:r>
          </w:p>
        </w:tc>
        <w:tc>
          <w:tcPr>
            <w:tcW w:w="426" w:type="dxa"/>
            <w:gridSpan w:val="2"/>
            <w:tcBorders>
              <w:top w:val="nil"/>
              <w:left w:val="single" w:sz="4" w:space="0" w:color="auto"/>
              <w:bottom w:val="nil"/>
              <w:right w:val="nil"/>
            </w:tcBorders>
            <w:shd w:val="clear" w:color="auto" w:fill="auto"/>
            <w:noWrap/>
            <w:vAlign w:val="center"/>
            <w:hideMark/>
          </w:tcPr>
          <w:p w14:paraId="0C3F891B"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64</w:t>
            </w:r>
          </w:p>
        </w:tc>
        <w:tc>
          <w:tcPr>
            <w:tcW w:w="501" w:type="dxa"/>
            <w:gridSpan w:val="2"/>
            <w:tcBorders>
              <w:top w:val="nil"/>
              <w:left w:val="nil"/>
              <w:bottom w:val="nil"/>
              <w:right w:val="single" w:sz="4" w:space="0" w:color="auto"/>
            </w:tcBorders>
            <w:shd w:val="clear" w:color="auto" w:fill="auto"/>
            <w:noWrap/>
            <w:vAlign w:val="center"/>
            <w:hideMark/>
          </w:tcPr>
          <w:p w14:paraId="0C3F891C"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36</w:t>
            </w:r>
          </w:p>
        </w:tc>
      </w:tr>
      <w:tr w:rsidR="00131E41" w:rsidRPr="00464AC8" w14:paraId="0C3F892C" w14:textId="77777777" w:rsidTr="00131E41">
        <w:trPr>
          <w:gridAfter w:val="1"/>
          <w:wAfter w:w="76" w:type="dxa"/>
          <w:trHeight w:val="300"/>
        </w:trPr>
        <w:tc>
          <w:tcPr>
            <w:tcW w:w="675" w:type="dxa"/>
            <w:tcBorders>
              <w:top w:val="nil"/>
              <w:left w:val="single" w:sz="4" w:space="0" w:color="auto"/>
              <w:bottom w:val="nil"/>
              <w:right w:val="single" w:sz="4" w:space="0" w:color="auto"/>
            </w:tcBorders>
            <w:shd w:val="clear" w:color="000000" w:fill="F2F2F2"/>
            <w:noWrap/>
            <w:vAlign w:val="center"/>
            <w:hideMark/>
          </w:tcPr>
          <w:p w14:paraId="0C3F891E"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2010</w:t>
            </w:r>
          </w:p>
        </w:tc>
        <w:tc>
          <w:tcPr>
            <w:tcW w:w="1007" w:type="dxa"/>
            <w:tcBorders>
              <w:top w:val="nil"/>
              <w:left w:val="nil"/>
              <w:bottom w:val="nil"/>
              <w:right w:val="nil"/>
            </w:tcBorders>
            <w:shd w:val="clear" w:color="auto" w:fill="auto"/>
            <w:noWrap/>
            <w:vAlign w:val="center"/>
            <w:hideMark/>
          </w:tcPr>
          <w:p w14:paraId="0C3F891F"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117960</w:t>
            </w:r>
          </w:p>
        </w:tc>
        <w:tc>
          <w:tcPr>
            <w:tcW w:w="694" w:type="dxa"/>
            <w:gridSpan w:val="2"/>
            <w:tcBorders>
              <w:top w:val="nil"/>
              <w:left w:val="nil"/>
              <w:bottom w:val="nil"/>
              <w:right w:val="nil"/>
            </w:tcBorders>
            <w:shd w:val="clear" w:color="auto" w:fill="auto"/>
            <w:noWrap/>
            <w:vAlign w:val="center"/>
            <w:hideMark/>
          </w:tcPr>
          <w:p w14:paraId="0C3F8920"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65914</w:t>
            </w:r>
          </w:p>
        </w:tc>
        <w:tc>
          <w:tcPr>
            <w:tcW w:w="709" w:type="dxa"/>
            <w:gridSpan w:val="2"/>
            <w:tcBorders>
              <w:top w:val="nil"/>
              <w:left w:val="nil"/>
              <w:bottom w:val="nil"/>
              <w:right w:val="nil"/>
            </w:tcBorders>
            <w:shd w:val="clear" w:color="auto" w:fill="auto"/>
            <w:noWrap/>
            <w:vAlign w:val="center"/>
            <w:hideMark/>
          </w:tcPr>
          <w:p w14:paraId="0C3F8921"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18239</w:t>
            </w:r>
          </w:p>
        </w:tc>
        <w:tc>
          <w:tcPr>
            <w:tcW w:w="709" w:type="dxa"/>
            <w:tcBorders>
              <w:top w:val="nil"/>
              <w:left w:val="nil"/>
              <w:bottom w:val="nil"/>
              <w:right w:val="nil"/>
            </w:tcBorders>
            <w:shd w:val="clear" w:color="auto" w:fill="auto"/>
            <w:noWrap/>
            <w:vAlign w:val="center"/>
            <w:hideMark/>
          </w:tcPr>
          <w:p w14:paraId="0C3F8922"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1071</w:t>
            </w:r>
          </w:p>
        </w:tc>
        <w:tc>
          <w:tcPr>
            <w:tcW w:w="850" w:type="dxa"/>
            <w:tcBorders>
              <w:top w:val="nil"/>
              <w:left w:val="single" w:sz="4" w:space="0" w:color="auto"/>
              <w:bottom w:val="nil"/>
              <w:right w:val="nil"/>
            </w:tcBorders>
            <w:shd w:val="clear" w:color="auto" w:fill="auto"/>
            <w:noWrap/>
            <w:vAlign w:val="center"/>
            <w:hideMark/>
          </w:tcPr>
          <w:p w14:paraId="0C3F8923"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203185</w:t>
            </w:r>
          </w:p>
        </w:tc>
        <w:tc>
          <w:tcPr>
            <w:tcW w:w="801" w:type="dxa"/>
            <w:tcBorders>
              <w:top w:val="nil"/>
              <w:left w:val="nil"/>
              <w:bottom w:val="nil"/>
              <w:right w:val="single" w:sz="4" w:space="0" w:color="auto"/>
            </w:tcBorders>
            <w:shd w:val="clear" w:color="auto" w:fill="auto"/>
            <w:noWrap/>
            <w:vAlign w:val="center"/>
            <w:hideMark/>
          </w:tcPr>
          <w:p w14:paraId="0C3F8924"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145568</w:t>
            </w:r>
          </w:p>
        </w:tc>
        <w:tc>
          <w:tcPr>
            <w:tcW w:w="617" w:type="dxa"/>
            <w:tcBorders>
              <w:top w:val="nil"/>
              <w:left w:val="single" w:sz="4" w:space="0" w:color="auto"/>
              <w:bottom w:val="nil"/>
              <w:right w:val="single" w:sz="4" w:space="0" w:color="auto"/>
            </w:tcBorders>
            <w:shd w:val="clear" w:color="000000" w:fill="F2F2F2"/>
            <w:noWrap/>
            <w:vAlign w:val="center"/>
            <w:hideMark/>
          </w:tcPr>
          <w:p w14:paraId="0C3F8925"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2010</w:t>
            </w:r>
          </w:p>
        </w:tc>
        <w:tc>
          <w:tcPr>
            <w:tcW w:w="567" w:type="dxa"/>
            <w:gridSpan w:val="2"/>
            <w:tcBorders>
              <w:top w:val="nil"/>
              <w:left w:val="nil"/>
              <w:bottom w:val="nil"/>
              <w:right w:val="nil"/>
            </w:tcBorders>
            <w:shd w:val="clear" w:color="auto" w:fill="auto"/>
            <w:noWrap/>
            <w:vAlign w:val="center"/>
            <w:hideMark/>
          </w:tcPr>
          <w:p w14:paraId="0C3F8926"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34</w:t>
            </w:r>
          </w:p>
        </w:tc>
        <w:tc>
          <w:tcPr>
            <w:tcW w:w="425" w:type="dxa"/>
            <w:gridSpan w:val="2"/>
            <w:tcBorders>
              <w:top w:val="nil"/>
              <w:left w:val="nil"/>
              <w:bottom w:val="nil"/>
              <w:right w:val="nil"/>
            </w:tcBorders>
            <w:shd w:val="clear" w:color="auto" w:fill="auto"/>
            <w:noWrap/>
            <w:vAlign w:val="center"/>
            <w:hideMark/>
          </w:tcPr>
          <w:p w14:paraId="0C3F8927"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19</w:t>
            </w:r>
          </w:p>
        </w:tc>
        <w:tc>
          <w:tcPr>
            <w:tcW w:w="425" w:type="dxa"/>
            <w:gridSpan w:val="2"/>
            <w:tcBorders>
              <w:top w:val="nil"/>
              <w:left w:val="nil"/>
              <w:bottom w:val="nil"/>
              <w:right w:val="nil"/>
            </w:tcBorders>
            <w:shd w:val="clear" w:color="auto" w:fill="auto"/>
            <w:noWrap/>
            <w:vAlign w:val="center"/>
            <w:hideMark/>
          </w:tcPr>
          <w:p w14:paraId="0C3F8928"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w:t>
            </w:r>
          </w:p>
        </w:tc>
        <w:tc>
          <w:tcPr>
            <w:tcW w:w="567" w:type="dxa"/>
            <w:tcBorders>
              <w:top w:val="nil"/>
              <w:left w:val="nil"/>
              <w:bottom w:val="nil"/>
              <w:right w:val="nil"/>
            </w:tcBorders>
            <w:shd w:val="clear" w:color="auto" w:fill="auto"/>
            <w:noWrap/>
            <w:vAlign w:val="center"/>
            <w:hideMark/>
          </w:tcPr>
          <w:p w14:paraId="0C3F8929"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0</w:t>
            </w:r>
          </w:p>
        </w:tc>
        <w:tc>
          <w:tcPr>
            <w:tcW w:w="426" w:type="dxa"/>
            <w:gridSpan w:val="2"/>
            <w:tcBorders>
              <w:top w:val="nil"/>
              <w:left w:val="single" w:sz="4" w:space="0" w:color="auto"/>
              <w:bottom w:val="nil"/>
              <w:right w:val="nil"/>
            </w:tcBorders>
            <w:shd w:val="clear" w:color="auto" w:fill="auto"/>
            <w:noWrap/>
            <w:vAlign w:val="center"/>
            <w:hideMark/>
          </w:tcPr>
          <w:p w14:paraId="0C3F892A"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58</w:t>
            </w:r>
          </w:p>
        </w:tc>
        <w:tc>
          <w:tcPr>
            <w:tcW w:w="501" w:type="dxa"/>
            <w:gridSpan w:val="2"/>
            <w:tcBorders>
              <w:top w:val="nil"/>
              <w:left w:val="nil"/>
              <w:bottom w:val="nil"/>
              <w:right w:val="single" w:sz="4" w:space="0" w:color="auto"/>
            </w:tcBorders>
            <w:shd w:val="clear" w:color="auto" w:fill="auto"/>
            <w:noWrap/>
            <w:vAlign w:val="center"/>
            <w:hideMark/>
          </w:tcPr>
          <w:p w14:paraId="0C3F892B"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42</w:t>
            </w:r>
          </w:p>
        </w:tc>
      </w:tr>
      <w:tr w:rsidR="00131E41" w:rsidRPr="00464AC8" w14:paraId="0C3F893B" w14:textId="77777777" w:rsidTr="00131E41">
        <w:trPr>
          <w:gridAfter w:val="1"/>
          <w:wAfter w:w="76" w:type="dxa"/>
          <w:trHeight w:val="300"/>
        </w:trPr>
        <w:tc>
          <w:tcPr>
            <w:tcW w:w="675" w:type="dxa"/>
            <w:tcBorders>
              <w:top w:val="nil"/>
              <w:left w:val="single" w:sz="4" w:space="0" w:color="auto"/>
              <w:bottom w:val="nil"/>
              <w:right w:val="single" w:sz="4" w:space="0" w:color="auto"/>
            </w:tcBorders>
            <w:shd w:val="clear" w:color="000000" w:fill="F2F2F2"/>
            <w:noWrap/>
            <w:vAlign w:val="center"/>
            <w:hideMark/>
          </w:tcPr>
          <w:p w14:paraId="0C3F892D"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2011</w:t>
            </w:r>
          </w:p>
        </w:tc>
        <w:tc>
          <w:tcPr>
            <w:tcW w:w="1007" w:type="dxa"/>
            <w:tcBorders>
              <w:top w:val="nil"/>
              <w:left w:val="nil"/>
              <w:bottom w:val="nil"/>
              <w:right w:val="nil"/>
            </w:tcBorders>
            <w:shd w:val="clear" w:color="auto" w:fill="auto"/>
            <w:noWrap/>
            <w:vAlign w:val="center"/>
            <w:hideMark/>
          </w:tcPr>
          <w:p w14:paraId="0C3F892E"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85836</w:t>
            </w:r>
          </w:p>
        </w:tc>
        <w:tc>
          <w:tcPr>
            <w:tcW w:w="694" w:type="dxa"/>
            <w:gridSpan w:val="2"/>
            <w:tcBorders>
              <w:top w:val="nil"/>
              <w:left w:val="nil"/>
              <w:bottom w:val="nil"/>
              <w:right w:val="nil"/>
            </w:tcBorders>
            <w:shd w:val="clear" w:color="auto" w:fill="auto"/>
            <w:noWrap/>
            <w:vAlign w:val="center"/>
            <w:hideMark/>
          </w:tcPr>
          <w:p w14:paraId="0C3F892F"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76766</w:t>
            </w:r>
          </w:p>
        </w:tc>
        <w:tc>
          <w:tcPr>
            <w:tcW w:w="709" w:type="dxa"/>
            <w:gridSpan w:val="2"/>
            <w:tcBorders>
              <w:top w:val="nil"/>
              <w:left w:val="nil"/>
              <w:bottom w:val="nil"/>
              <w:right w:val="nil"/>
            </w:tcBorders>
            <w:shd w:val="clear" w:color="auto" w:fill="auto"/>
            <w:noWrap/>
            <w:vAlign w:val="center"/>
            <w:hideMark/>
          </w:tcPr>
          <w:p w14:paraId="0C3F8930" w14:textId="77777777" w:rsidR="00131E41" w:rsidRPr="00795359" w:rsidRDefault="00131E41" w:rsidP="00131E41">
            <w:pPr>
              <w:spacing w:after="120"/>
              <w:jc w:val="center"/>
              <w:rPr>
                <w:rFonts w:ascii="Calibri" w:hAnsi="Calibri" w:cs="Calibri"/>
                <w:b/>
                <w:color w:val="FF0000"/>
                <w:sz w:val="18"/>
                <w:szCs w:val="18"/>
              </w:rPr>
            </w:pPr>
            <w:r w:rsidRPr="00795359">
              <w:rPr>
                <w:rFonts w:ascii="Calibri" w:hAnsi="Calibri" w:cs="Calibri"/>
                <w:b/>
                <w:color w:val="FF0000"/>
                <w:sz w:val="18"/>
                <w:szCs w:val="18"/>
              </w:rPr>
              <w:t>22752</w:t>
            </w:r>
          </w:p>
        </w:tc>
        <w:tc>
          <w:tcPr>
            <w:tcW w:w="709" w:type="dxa"/>
            <w:tcBorders>
              <w:top w:val="nil"/>
              <w:left w:val="nil"/>
              <w:bottom w:val="nil"/>
              <w:right w:val="nil"/>
            </w:tcBorders>
            <w:shd w:val="clear" w:color="auto" w:fill="auto"/>
            <w:noWrap/>
            <w:vAlign w:val="center"/>
            <w:hideMark/>
          </w:tcPr>
          <w:p w14:paraId="0C3F8931" w14:textId="77777777" w:rsidR="00131E41" w:rsidRPr="00795359" w:rsidRDefault="00131E41" w:rsidP="00131E41">
            <w:pPr>
              <w:spacing w:after="120"/>
              <w:jc w:val="center"/>
              <w:rPr>
                <w:rFonts w:ascii="Calibri" w:hAnsi="Calibri" w:cs="Calibri"/>
                <w:b/>
                <w:color w:val="FF0000"/>
                <w:sz w:val="18"/>
                <w:szCs w:val="18"/>
              </w:rPr>
            </w:pPr>
            <w:r w:rsidRPr="00795359">
              <w:rPr>
                <w:rFonts w:ascii="Calibri" w:hAnsi="Calibri" w:cs="Calibri"/>
                <w:b/>
                <w:color w:val="FF0000"/>
                <w:sz w:val="18"/>
                <w:szCs w:val="18"/>
              </w:rPr>
              <w:t>1588</w:t>
            </w:r>
          </w:p>
        </w:tc>
        <w:tc>
          <w:tcPr>
            <w:tcW w:w="850" w:type="dxa"/>
            <w:tcBorders>
              <w:top w:val="nil"/>
              <w:left w:val="single" w:sz="4" w:space="0" w:color="auto"/>
              <w:bottom w:val="nil"/>
              <w:right w:val="nil"/>
            </w:tcBorders>
            <w:shd w:val="clear" w:color="auto" w:fill="auto"/>
            <w:noWrap/>
            <w:vAlign w:val="center"/>
            <w:hideMark/>
          </w:tcPr>
          <w:p w14:paraId="0C3F8932"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186942</w:t>
            </w:r>
          </w:p>
        </w:tc>
        <w:tc>
          <w:tcPr>
            <w:tcW w:w="801" w:type="dxa"/>
            <w:tcBorders>
              <w:top w:val="nil"/>
              <w:left w:val="nil"/>
              <w:bottom w:val="nil"/>
              <w:right w:val="single" w:sz="4" w:space="0" w:color="auto"/>
            </w:tcBorders>
            <w:shd w:val="clear" w:color="auto" w:fill="auto"/>
            <w:noWrap/>
            <w:vAlign w:val="center"/>
            <w:hideMark/>
          </w:tcPr>
          <w:p w14:paraId="0C3F8933"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161811</w:t>
            </w:r>
          </w:p>
        </w:tc>
        <w:tc>
          <w:tcPr>
            <w:tcW w:w="617" w:type="dxa"/>
            <w:tcBorders>
              <w:top w:val="nil"/>
              <w:left w:val="single" w:sz="4" w:space="0" w:color="auto"/>
              <w:bottom w:val="nil"/>
              <w:right w:val="single" w:sz="4" w:space="0" w:color="auto"/>
            </w:tcBorders>
            <w:shd w:val="clear" w:color="000000" w:fill="F2F2F2"/>
            <w:noWrap/>
            <w:vAlign w:val="center"/>
            <w:hideMark/>
          </w:tcPr>
          <w:p w14:paraId="0C3F8934"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2011</w:t>
            </w:r>
          </w:p>
        </w:tc>
        <w:tc>
          <w:tcPr>
            <w:tcW w:w="567" w:type="dxa"/>
            <w:gridSpan w:val="2"/>
            <w:tcBorders>
              <w:top w:val="nil"/>
              <w:left w:val="nil"/>
              <w:bottom w:val="nil"/>
              <w:right w:val="nil"/>
            </w:tcBorders>
            <w:shd w:val="clear" w:color="auto" w:fill="auto"/>
            <w:noWrap/>
            <w:vAlign w:val="center"/>
            <w:hideMark/>
          </w:tcPr>
          <w:p w14:paraId="0C3F8935"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25</w:t>
            </w:r>
          </w:p>
        </w:tc>
        <w:tc>
          <w:tcPr>
            <w:tcW w:w="425" w:type="dxa"/>
            <w:gridSpan w:val="2"/>
            <w:tcBorders>
              <w:top w:val="nil"/>
              <w:left w:val="nil"/>
              <w:bottom w:val="nil"/>
              <w:right w:val="nil"/>
            </w:tcBorders>
            <w:shd w:val="clear" w:color="auto" w:fill="auto"/>
            <w:noWrap/>
            <w:vAlign w:val="center"/>
            <w:hideMark/>
          </w:tcPr>
          <w:p w14:paraId="0C3F8936"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22</w:t>
            </w:r>
          </w:p>
        </w:tc>
        <w:tc>
          <w:tcPr>
            <w:tcW w:w="425" w:type="dxa"/>
            <w:gridSpan w:val="2"/>
            <w:tcBorders>
              <w:top w:val="nil"/>
              <w:left w:val="nil"/>
              <w:bottom w:val="nil"/>
              <w:right w:val="nil"/>
            </w:tcBorders>
            <w:shd w:val="clear" w:color="auto" w:fill="auto"/>
            <w:noWrap/>
            <w:vAlign w:val="center"/>
            <w:hideMark/>
          </w:tcPr>
          <w:p w14:paraId="0C3F8937"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7</w:t>
            </w:r>
          </w:p>
        </w:tc>
        <w:tc>
          <w:tcPr>
            <w:tcW w:w="567" w:type="dxa"/>
            <w:tcBorders>
              <w:top w:val="nil"/>
              <w:left w:val="nil"/>
              <w:bottom w:val="nil"/>
              <w:right w:val="nil"/>
            </w:tcBorders>
            <w:shd w:val="clear" w:color="auto" w:fill="auto"/>
            <w:noWrap/>
            <w:vAlign w:val="center"/>
            <w:hideMark/>
          </w:tcPr>
          <w:p w14:paraId="0C3F8938"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0</w:t>
            </w:r>
          </w:p>
        </w:tc>
        <w:tc>
          <w:tcPr>
            <w:tcW w:w="426" w:type="dxa"/>
            <w:gridSpan w:val="2"/>
            <w:tcBorders>
              <w:top w:val="nil"/>
              <w:left w:val="single" w:sz="4" w:space="0" w:color="auto"/>
              <w:bottom w:val="nil"/>
              <w:right w:val="nil"/>
            </w:tcBorders>
            <w:shd w:val="clear" w:color="auto" w:fill="auto"/>
            <w:noWrap/>
            <w:vAlign w:val="center"/>
            <w:hideMark/>
          </w:tcPr>
          <w:p w14:paraId="0C3F8939"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54</w:t>
            </w:r>
          </w:p>
        </w:tc>
        <w:tc>
          <w:tcPr>
            <w:tcW w:w="501" w:type="dxa"/>
            <w:gridSpan w:val="2"/>
            <w:tcBorders>
              <w:top w:val="nil"/>
              <w:left w:val="nil"/>
              <w:bottom w:val="nil"/>
              <w:right w:val="single" w:sz="4" w:space="0" w:color="auto"/>
            </w:tcBorders>
            <w:shd w:val="clear" w:color="auto" w:fill="auto"/>
            <w:noWrap/>
            <w:vAlign w:val="center"/>
            <w:hideMark/>
          </w:tcPr>
          <w:p w14:paraId="0C3F893A"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46</w:t>
            </w:r>
          </w:p>
        </w:tc>
      </w:tr>
      <w:tr w:rsidR="00131E41" w:rsidRPr="00464AC8" w14:paraId="0C3F894A" w14:textId="77777777" w:rsidTr="00131E41">
        <w:trPr>
          <w:gridAfter w:val="1"/>
          <w:wAfter w:w="76" w:type="dxa"/>
          <w:trHeight w:val="301"/>
        </w:trPr>
        <w:tc>
          <w:tcPr>
            <w:tcW w:w="675" w:type="dxa"/>
            <w:tcBorders>
              <w:top w:val="nil"/>
              <w:left w:val="single" w:sz="4" w:space="0" w:color="auto"/>
              <w:bottom w:val="nil"/>
              <w:right w:val="single" w:sz="4" w:space="0" w:color="auto"/>
            </w:tcBorders>
            <w:shd w:val="clear" w:color="000000" w:fill="F2F2F2"/>
            <w:noWrap/>
            <w:vAlign w:val="center"/>
            <w:hideMark/>
          </w:tcPr>
          <w:p w14:paraId="0C3F893C"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2012</w:t>
            </w:r>
          </w:p>
        </w:tc>
        <w:tc>
          <w:tcPr>
            <w:tcW w:w="1007" w:type="dxa"/>
            <w:tcBorders>
              <w:top w:val="nil"/>
              <w:left w:val="nil"/>
              <w:bottom w:val="nil"/>
              <w:right w:val="nil"/>
            </w:tcBorders>
            <w:shd w:val="clear" w:color="auto" w:fill="auto"/>
            <w:noWrap/>
            <w:vAlign w:val="center"/>
            <w:hideMark/>
          </w:tcPr>
          <w:p w14:paraId="0C3F893D"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122430</w:t>
            </w:r>
          </w:p>
        </w:tc>
        <w:tc>
          <w:tcPr>
            <w:tcW w:w="694" w:type="dxa"/>
            <w:gridSpan w:val="2"/>
            <w:tcBorders>
              <w:top w:val="nil"/>
              <w:left w:val="nil"/>
              <w:bottom w:val="nil"/>
              <w:right w:val="nil"/>
            </w:tcBorders>
            <w:shd w:val="clear" w:color="auto" w:fill="auto"/>
            <w:noWrap/>
            <w:vAlign w:val="center"/>
            <w:hideMark/>
          </w:tcPr>
          <w:p w14:paraId="0C3F893E"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77886</w:t>
            </w:r>
          </w:p>
        </w:tc>
        <w:tc>
          <w:tcPr>
            <w:tcW w:w="709" w:type="dxa"/>
            <w:gridSpan w:val="2"/>
            <w:tcBorders>
              <w:top w:val="nil"/>
              <w:left w:val="nil"/>
              <w:bottom w:val="nil"/>
              <w:right w:val="nil"/>
            </w:tcBorders>
            <w:shd w:val="clear" w:color="auto" w:fill="auto"/>
            <w:noWrap/>
            <w:vAlign w:val="center"/>
            <w:hideMark/>
          </w:tcPr>
          <w:p w14:paraId="0C3F893F"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18222</w:t>
            </w:r>
          </w:p>
        </w:tc>
        <w:tc>
          <w:tcPr>
            <w:tcW w:w="709" w:type="dxa"/>
            <w:tcBorders>
              <w:top w:val="nil"/>
              <w:left w:val="nil"/>
              <w:bottom w:val="nil"/>
              <w:right w:val="nil"/>
            </w:tcBorders>
            <w:shd w:val="clear" w:color="auto" w:fill="auto"/>
            <w:noWrap/>
            <w:vAlign w:val="center"/>
            <w:hideMark/>
          </w:tcPr>
          <w:p w14:paraId="0C3F8940"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1395</w:t>
            </w:r>
          </w:p>
        </w:tc>
        <w:tc>
          <w:tcPr>
            <w:tcW w:w="850" w:type="dxa"/>
            <w:tcBorders>
              <w:top w:val="nil"/>
              <w:left w:val="single" w:sz="4" w:space="0" w:color="auto"/>
              <w:bottom w:val="nil"/>
              <w:right w:val="nil"/>
            </w:tcBorders>
            <w:shd w:val="clear" w:color="auto" w:fill="auto"/>
            <w:noWrap/>
            <w:vAlign w:val="center"/>
            <w:hideMark/>
          </w:tcPr>
          <w:p w14:paraId="0C3F8941"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219933</w:t>
            </w:r>
          </w:p>
        </w:tc>
        <w:tc>
          <w:tcPr>
            <w:tcW w:w="801" w:type="dxa"/>
            <w:tcBorders>
              <w:top w:val="nil"/>
              <w:left w:val="nil"/>
              <w:bottom w:val="nil"/>
              <w:right w:val="single" w:sz="4" w:space="0" w:color="auto"/>
            </w:tcBorders>
            <w:shd w:val="clear" w:color="auto" w:fill="auto"/>
            <w:noWrap/>
            <w:vAlign w:val="center"/>
            <w:hideMark/>
          </w:tcPr>
          <w:p w14:paraId="0C3F8942"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128820</w:t>
            </w:r>
          </w:p>
        </w:tc>
        <w:tc>
          <w:tcPr>
            <w:tcW w:w="617" w:type="dxa"/>
            <w:tcBorders>
              <w:top w:val="nil"/>
              <w:left w:val="single" w:sz="4" w:space="0" w:color="auto"/>
              <w:bottom w:val="nil"/>
              <w:right w:val="single" w:sz="4" w:space="0" w:color="auto"/>
            </w:tcBorders>
            <w:shd w:val="clear" w:color="000000" w:fill="F2F2F2"/>
            <w:noWrap/>
            <w:vAlign w:val="center"/>
            <w:hideMark/>
          </w:tcPr>
          <w:p w14:paraId="0C3F8943"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2012</w:t>
            </w:r>
          </w:p>
        </w:tc>
        <w:tc>
          <w:tcPr>
            <w:tcW w:w="567" w:type="dxa"/>
            <w:gridSpan w:val="2"/>
            <w:tcBorders>
              <w:top w:val="nil"/>
              <w:left w:val="nil"/>
              <w:bottom w:val="nil"/>
              <w:right w:val="nil"/>
            </w:tcBorders>
            <w:shd w:val="clear" w:color="auto" w:fill="auto"/>
            <w:noWrap/>
            <w:vAlign w:val="center"/>
            <w:hideMark/>
          </w:tcPr>
          <w:p w14:paraId="0C3F8944"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35</w:t>
            </w:r>
          </w:p>
        </w:tc>
        <w:tc>
          <w:tcPr>
            <w:tcW w:w="425" w:type="dxa"/>
            <w:gridSpan w:val="2"/>
            <w:tcBorders>
              <w:top w:val="nil"/>
              <w:left w:val="nil"/>
              <w:bottom w:val="nil"/>
              <w:right w:val="nil"/>
            </w:tcBorders>
            <w:shd w:val="clear" w:color="auto" w:fill="auto"/>
            <w:noWrap/>
            <w:vAlign w:val="center"/>
            <w:hideMark/>
          </w:tcPr>
          <w:p w14:paraId="0C3F8945"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22</w:t>
            </w:r>
          </w:p>
        </w:tc>
        <w:tc>
          <w:tcPr>
            <w:tcW w:w="425" w:type="dxa"/>
            <w:gridSpan w:val="2"/>
            <w:tcBorders>
              <w:top w:val="nil"/>
              <w:left w:val="nil"/>
              <w:bottom w:val="nil"/>
              <w:right w:val="nil"/>
            </w:tcBorders>
            <w:shd w:val="clear" w:color="auto" w:fill="auto"/>
            <w:noWrap/>
            <w:vAlign w:val="center"/>
            <w:hideMark/>
          </w:tcPr>
          <w:p w14:paraId="0C3F8946"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w:t>
            </w:r>
          </w:p>
        </w:tc>
        <w:tc>
          <w:tcPr>
            <w:tcW w:w="567" w:type="dxa"/>
            <w:tcBorders>
              <w:top w:val="nil"/>
              <w:left w:val="nil"/>
              <w:bottom w:val="nil"/>
              <w:right w:val="nil"/>
            </w:tcBorders>
            <w:shd w:val="clear" w:color="auto" w:fill="auto"/>
            <w:noWrap/>
            <w:vAlign w:val="center"/>
            <w:hideMark/>
          </w:tcPr>
          <w:p w14:paraId="0C3F8947"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0</w:t>
            </w:r>
          </w:p>
        </w:tc>
        <w:tc>
          <w:tcPr>
            <w:tcW w:w="426" w:type="dxa"/>
            <w:gridSpan w:val="2"/>
            <w:tcBorders>
              <w:top w:val="nil"/>
              <w:left w:val="single" w:sz="4" w:space="0" w:color="auto"/>
              <w:bottom w:val="nil"/>
              <w:right w:val="nil"/>
            </w:tcBorders>
            <w:shd w:val="clear" w:color="auto" w:fill="auto"/>
            <w:noWrap/>
            <w:vAlign w:val="center"/>
            <w:hideMark/>
          </w:tcPr>
          <w:p w14:paraId="0C3F8948"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63</w:t>
            </w:r>
          </w:p>
        </w:tc>
        <w:tc>
          <w:tcPr>
            <w:tcW w:w="501" w:type="dxa"/>
            <w:gridSpan w:val="2"/>
            <w:tcBorders>
              <w:top w:val="nil"/>
              <w:left w:val="nil"/>
              <w:bottom w:val="nil"/>
              <w:right w:val="single" w:sz="4" w:space="0" w:color="auto"/>
            </w:tcBorders>
            <w:shd w:val="clear" w:color="auto" w:fill="auto"/>
            <w:noWrap/>
            <w:vAlign w:val="center"/>
            <w:hideMark/>
          </w:tcPr>
          <w:p w14:paraId="0C3F8949"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37</w:t>
            </w:r>
          </w:p>
        </w:tc>
      </w:tr>
      <w:tr w:rsidR="00131E41" w:rsidRPr="00464AC8" w14:paraId="0C3F8959" w14:textId="77777777" w:rsidTr="00131E41">
        <w:trPr>
          <w:gridAfter w:val="1"/>
          <w:wAfter w:w="76" w:type="dxa"/>
          <w:trHeight w:val="391"/>
        </w:trPr>
        <w:tc>
          <w:tcPr>
            <w:tcW w:w="675" w:type="dxa"/>
            <w:tcBorders>
              <w:top w:val="nil"/>
              <w:left w:val="single" w:sz="4" w:space="0" w:color="auto"/>
              <w:bottom w:val="single" w:sz="4" w:space="0" w:color="auto"/>
              <w:right w:val="single" w:sz="4" w:space="0" w:color="auto"/>
            </w:tcBorders>
            <w:shd w:val="clear" w:color="000000" w:fill="F2F2F2"/>
            <w:noWrap/>
            <w:vAlign w:val="center"/>
            <w:hideMark/>
          </w:tcPr>
          <w:p w14:paraId="0C3F894B"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2013</w:t>
            </w:r>
          </w:p>
        </w:tc>
        <w:tc>
          <w:tcPr>
            <w:tcW w:w="1007" w:type="dxa"/>
            <w:tcBorders>
              <w:top w:val="nil"/>
              <w:left w:val="nil"/>
              <w:bottom w:val="single" w:sz="4" w:space="0" w:color="auto"/>
              <w:right w:val="nil"/>
            </w:tcBorders>
            <w:shd w:val="clear" w:color="auto" w:fill="auto"/>
            <w:noWrap/>
            <w:vAlign w:val="center"/>
            <w:hideMark/>
          </w:tcPr>
          <w:p w14:paraId="0C3F894C"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67194</w:t>
            </w:r>
          </w:p>
        </w:tc>
        <w:tc>
          <w:tcPr>
            <w:tcW w:w="694" w:type="dxa"/>
            <w:gridSpan w:val="2"/>
            <w:tcBorders>
              <w:top w:val="nil"/>
              <w:left w:val="nil"/>
              <w:bottom w:val="single" w:sz="4" w:space="0" w:color="auto"/>
              <w:right w:val="nil"/>
            </w:tcBorders>
            <w:shd w:val="clear" w:color="auto" w:fill="auto"/>
            <w:noWrap/>
            <w:vAlign w:val="center"/>
            <w:hideMark/>
          </w:tcPr>
          <w:p w14:paraId="0C3F894D"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64466</w:t>
            </w:r>
          </w:p>
        </w:tc>
        <w:tc>
          <w:tcPr>
            <w:tcW w:w="709" w:type="dxa"/>
            <w:gridSpan w:val="2"/>
            <w:tcBorders>
              <w:top w:val="nil"/>
              <w:left w:val="nil"/>
              <w:bottom w:val="single" w:sz="4" w:space="0" w:color="auto"/>
              <w:right w:val="nil"/>
            </w:tcBorders>
            <w:shd w:val="clear" w:color="auto" w:fill="auto"/>
            <w:noWrap/>
            <w:vAlign w:val="center"/>
            <w:hideMark/>
          </w:tcPr>
          <w:p w14:paraId="0C3F894E"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20782</w:t>
            </w:r>
          </w:p>
        </w:tc>
        <w:tc>
          <w:tcPr>
            <w:tcW w:w="709" w:type="dxa"/>
            <w:tcBorders>
              <w:top w:val="nil"/>
              <w:left w:val="nil"/>
              <w:bottom w:val="single" w:sz="4" w:space="0" w:color="auto"/>
              <w:right w:val="nil"/>
            </w:tcBorders>
            <w:shd w:val="clear" w:color="auto" w:fill="auto"/>
            <w:noWrap/>
            <w:vAlign w:val="center"/>
            <w:hideMark/>
          </w:tcPr>
          <w:p w14:paraId="0C3F894F"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1168</w:t>
            </w:r>
          </w:p>
        </w:tc>
        <w:tc>
          <w:tcPr>
            <w:tcW w:w="850" w:type="dxa"/>
            <w:tcBorders>
              <w:top w:val="nil"/>
              <w:left w:val="single" w:sz="4" w:space="0" w:color="auto"/>
              <w:bottom w:val="single" w:sz="4" w:space="0" w:color="auto"/>
              <w:right w:val="nil"/>
            </w:tcBorders>
            <w:shd w:val="clear" w:color="auto" w:fill="auto"/>
            <w:noWrap/>
            <w:vAlign w:val="center"/>
            <w:hideMark/>
          </w:tcPr>
          <w:p w14:paraId="0C3F8950"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153610</w:t>
            </w:r>
          </w:p>
        </w:tc>
        <w:tc>
          <w:tcPr>
            <w:tcW w:w="801" w:type="dxa"/>
            <w:tcBorders>
              <w:top w:val="nil"/>
              <w:left w:val="nil"/>
              <w:bottom w:val="single" w:sz="4" w:space="0" w:color="auto"/>
              <w:right w:val="single" w:sz="4" w:space="0" w:color="auto"/>
            </w:tcBorders>
            <w:shd w:val="clear" w:color="auto" w:fill="auto"/>
            <w:noWrap/>
            <w:vAlign w:val="center"/>
            <w:hideMark/>
          </w:tcPr>
          <w:p w14:paraId="0C3F8951"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195143</w:t>
            </w:r>
          </w:p>
        </w:tc>
        <w:tc>
          <w:tcPr>
            <w:tcW w:w="617" w:type="dxa"/>
            <w:tcBorders>
              <w:top w:val="nil"/>
              <w:left w:val="single" w:sz="4" w:space="0" w:color="auto"/>
              <w:bottom w:val="single" w:sz="4" w:space="0" w:color="auto"/>
              <w:right w:val="single" w:sz="4" w:space="0" w:color="auto"/>
            </w:tcBorders>
            <w:shd w:val="clear" w:color="000000" w:fill="F2F2F2"/>
            <w:noWrap/>
            <w:vAlign w:val="center"/>
            <w:hideMark/>
          </w:tcPr>
          <w:p w14:paraId="0C3F8952" w14:textId="77777777" w:rsidR="00131E41" w:rsidRPr="00464AC8" w:rsidRDefault="00131E41" w:rsidP="00131E41">
            <w:pPr>
              <w:spacing w:after="120"/>
              <w:jc w:val="center"/>
              <w:rPr>
                <w:rFonts w:ascii="Calibri" w:hAnsi="Calibri" w:cs="Calibri"/>
                <w:b/>
                <w:bCs/>
                <w:color w:val="000000"/>
                <w:sz w:val="18"/>
                <w:szCs w:val="18"/>
              </w:rPr>
            </w:pPr>
            <w:r w:rsidRPr="00464AC8">
              <w:rPr>
                <w:rFonts w:ascii="Calibri" w:hAnsi="Calibri" w:cs="Calibri"/>
                <w:b/>
                <w:bCs/>
                <w:color w:val="000000"/>
                <w:sz w:val="18"/>
                <w:szCs w:val="18"/>
              </w:rPr>
              <w:t>2013</w:t>
            </w:r>
          </w:p>
        </w:tc>
        <w:tc>
          <w:tcPr>
            <w:tcW w:w="567" w:type="dxa"/>
            <w:gridSpan w:val="2"/>
            <w:tcBorders>
              <w:top w:val="nil"/>
              <w:left w:val="nil"/>
              <w:bottom w:val="single" w:sz="4" w:space="0" w:color="auto"/>
              <w:right w:val="nil"/>
            </w:tcBorders>
            <w:shd w:val="clear" w:color="auto" w:fill="auto"/>
            <w:noWrap/>
            <w:vAlign w:val="center"/>
            <w:hideMark/>
          </w:tcPr>
          <w:p w14:paraId="0C3F8953"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19</w:t>
            </w:r>
          </w:p>
        </w:tc>
        <w:tc>
          <w:tcPr>
            <w:tcW w:w="425" w:type="dxa"/>
            <w:gridSpan w:val="2"/>
            <w:tcBorders>
              <w:top w:val="nil"/>
              <w:left w:val="nil"/>
              <w:bottom w:val="single" w:sz="4" w:space="0" w:color="auto"/>
              <w:right w:val="nil"/>
            </w:tcBorders>
            <w:shd w:val="clear" w:color="auto" w:fill="auto"/>
            <w:noWrap/>
            <w:vAlign w:val="center"/>
            <w:hideMark/>
          </w:tcPr>
          <w:p w14:paraId="0C3F8954"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18</w:t>
            </w:r>
          </w:p>
        </w:tc>
        <w:tc>
          <w:tcPr>
            <w:tcW w:w="425" w:type="dxa"/>
            <w:gridSpan w:val="2"/>
            <w:tcBorders>
              <w:top w:val="nil"/>
              <w:left w:val="nil"/>
              <w:bottom w:val="single" w:sz="4" w:space="0" w:color="auto"/>
              <w:right w:val="nil"/>
            </w:tcBorders>
            <w:shd w:val="clear" w:color="auto" w:fill="auto"/>
            <w:noWrap/>
            <w:vAlign w:val="center"/>
            <w:hideMark/>
          </w:tcPr>
          <w:p w14:paraId="0C3F8955"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6</w:t>
            </w:r>
          </w:p>
        </w:tc>
        <w:tc>
          <w:tcPr>
            <w:tcW w:w="567" w:type="dxa"/>
            <w:tcBorders>
              <w:top w:val="nil"/>
              <w:left w:val="nil"/>
              <w:bottom w:val="single" w:sz="4" w:space="0" w:color="auto"/>
              <w:right w:val="nil"/>
            </w:tcBorders>
            <w:shd w:val="clear" w:color="auto" w:fill="auto"/>
            <w:noWrap/>
            <w:vAlign w:val="center"/>
            <w:hideMark/>
          </w:tcPr>
          <w:p w14:paraId="0C3F8956" w14:textId="77777777" w:rsidR="00131E41" w:rsidRPr="00464AC8" w:rsidRDefault="00131E41" w:rsidP="00131E41">
            <w:pPr>
              <w:spacing w:after="120"/>
              <w:jc w:val="center"/>
              <w:rPr>
                <w:rFonts w:ascii="Calibri" w:hAnsi="Calibri" w:cs="Calibri"/>
                <w:color w:val="000000"/>
                <w:sz w:val="18"/>
                <w:szCs w:val="18"/>
              </w:rPr>
            </w:pPr>
            <w:r w:rsidRPr="00464AC8">
              <w:rPr>
                <w:rFonts w:ascii="Calibri" w:hAnsi="Calibri" w:cs="Calibri"/>
                <w:color w:val="000000"/>
                <w:sz w:val="18"/>
                <w:szCs w:val="18"/>
              </w:rPr>
              <w:t>0</w:t>
            </w:r>
          </w:p>
        </w:tc>
        <w:tc>
          <w:tcPr>
            <w:tcW w:w="426" w:type="dxa"/>
            <w:gridSpan w:val="2"/>
            <w:tcBorders>
              <w:top w:val="nil"/>
              <w:left w:val="single" w:sz="4" w:space="0" w:color="auto"/>
              <w:bottom w:val="single" w:sz="4" w:space="0" w:color="auto"/>
              <w:right w:val="nil"/>
            </w:tcBorders>
            <w:shd w:val="clear" w:color="auto" w:fill="auto"/>
            <w:noWrap/>
            <w:vAlign w:val="center"/>
            <w:hideMark/>
          </w:tcPr>
          <w:p w14:paraId="0C3F8957"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44</w:t>
            </w:r>
          </w:p>
        </w:tc>
        <w:tc>
          <w:tcPr>
            <w:tcW w:w="501" w:type="dxa"/>
            <w:gridSpan w:val="2"/>
            <w:tcBorders>
              <w:top w:val="nil"/>
              <w:left w:val="nil"/>
              <w:bottom w:val="single" w:sz="4" w:space="0" w:color="auto"/>
              <w:right w:val="single" w:sz="4" w:space="0" w:color="auto"/>
            </w:tcBorders>
            <w:shd w:val="clear" w:color="auto" w:fill="auto"/>
            <w:noWrap/>
            <w:vAlign w:val="center"/>
            <w:hideMark/>
          </w:tcPr>
          <w:p w14:paraId="0C3F8958" w14:textId="77777777" w:rsidR="00131E41" w:rsidRPr="00464AC8" w:rsidRDefault="00131E41" w:rsidP="00131E41">
            <w:pPr>
              <w:spacing w:after="120"/>
              <w:jc w:val="center"/>
              <w:rPr>
                <w:rFonts w:ascii="Calibri" w:hAnsi="Calibri" w:cs="Calibri"/>
                <w:color w:val="000000"/>
                <w:sz w:val="18"/>
                <w:szCs w:val="18"/>
              </w:rPr>
            </w:pPr>
            <w:r>
              <w:rPr>
                <w:rFonts w:ascii="Calibri" w:hAnsi="Calibri" w:cs="Calibri"/>
                <w:color w:val="000000"/>
                <w:sz w:val="18"/>
                <w:szCs w:val="18"/>
              </w:rPr>
              <w:t>56</w:t>
            </w:r>
          </w:p>
        </w:tc>
      </w:tr>
    </w:tbl>
    <w:p w14:paraId="0C3F895A" w14:textId="77777777" w:rsidR="00131E41" w:rsidRDefault="00131E41" w:rsidP="00131E41">
      <w:pPr>
        <w:rPr>
          <w:rFonts w:ascii="Calibri" w:eastAsia="Calibri" w:hAnsi="Calibri" w:cs="Times New Roman"/>
          <w:bCs/>
          <w:color w:val="4F81BD"/>
          <w:lang w:eastAsia="en-US"/>
        </w:rPr>
      </w:pPr>
    </w:p>
    <w:p w14:paraId="0C3F895B" w14:textId="77777777" w:rsidR="00131E41" w:rsidRDefault="00131E41" w:rsidP="00131E41">
      <w:pPr>
        <w:rPr>
          <w:rFonts w:ascii="Calibri" w:eastAsia="Calibri" w:hAnsi="Calibri" w:cs="Times New Roman"/>
          <w:bCs/>
          <w:color w:val="4F81BD"/>
          <w:lang w:eastAsia="en-US"/>
        </w:rPr>
      </w:pPr>
    </w:p>
    <w:p w14:paraId="0C3F895C"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noProof/>
        </w:rPr>
        <w:drawing>
          <wp:inline distT="0" distB="0" distL="0" distR="0" wp14:anchorId="0C3F902B" wp14:editId="0C3F902C">
            <wp:extent cx="5731685" cy="2117034"/>
            <wp:effectExtent l="0" t="0" r="2540" b="0"/>
            <wp:docPr id="107" name="Picture 1" descr="relationships between the total GBR areas exposed to to the highest potential risk categories (III and IV, red line) to river plume and the total GBR river discharge (blue line, calculated as the sum of the Normanby, Daintree, Barron, Russell, Mulgrave, North Johnstone, South Johnstone, Tully, Herbert, Burdekin, O'Connell, Pioneer, Proserpine, Plane, Fitzroy, Burnett and Mary-river discharges for the whole hydrological year (i.e., from Oct-1 to Sep-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8" cstate="print"/>
                    <a:srcRect t="10127"/>
                    <a:stretch/>
                  </pic:blipFill>
                  <pic:spPr bwMode="auto">
                    <a:xfrm>
                      <a:off x="0" y="0"/>
                      <a:ext cx="5731510" cy="2116969"/>
                    </a:xfrm>
                    <a:prstGeom prst="rect">
                      <a:avLst/>
                    </a:prstGeom>
                    <a:solidFill>
                      <a:sysClr val="window" lastClr="FFFFFF"/>
                    </a:solidFill>
                    <a:ln>
                      <a:noFill/>
                    </a:ln>
                    <a:extLst>
                      <a:ext uri="{53640926-AAD7-44D8-BBD7-CCE9431645EC}">
                        <a14:shadowObscured xmlns:a14="http://schemas.microsoft.com/office/drawing/2010/main"/>
                      </a:ext>
                    </a:extLst>
                  </pic:spPr>
                </pic:pic>
              </a:graphicData>
            </a:graphic>
          </wp:inline>
        </w:drawing>
      </w:r>
    </w:p>
    <w:p w14:paraId="0C3F895D" w14:textId="77777777" w:rsidR="00131E41" w:rsidRPr="00DF1C49" w:rsidRDefault="00131E41" w:rsidP="00131E41">
      <w:pPr>
        <w:pStyle w:val="Caption"/>
        <w:rPr>
          <w:rFonts w:eastAsia="Calibri"/>
        </w:rPr>
      </w:pPr>
      <w:bookmarkStart w:id="254" w:name="_Ref427752201"/>
      <w:bookmarkStart w:id="255" w:name="_Toc427833299"/>
      <w:bookmarkStart w:id="256" w:name="_Toc434208057"/>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21</w:t>
      </w:r>
      <w:r w:rsidR="00D243CD">
        <w:rPr>
          <w:rFonts w:eastAsia="Calibri"/>
        </w:rPr>
        <w:fldChar w:fldCharType="end"/>
      </w:r>
      <w:bookmarkEnd w:id="254"/>
      <w:r w:rsidRPr="00DF1C49">
        <w:rPr>
          <w:rFonts w:eastAsia="Calibri"/>
        </w:rPr>
        <w:t xml:space="preserve">: relationships between the total GBR areas exposed to </w:t>
      </w:r>
      <w:r w:rsidRPr="00856ED8">
        <w:rPr>
          <w:rFonts w:eastAsia="Calibri"/>
        </w:rPr>
        <w:t>to the highest potential risk categories (III and IV</w:t>
      </w:r>
      <w:r>
        <w:rPr>
          <w:rFonts w:eastAsia="Calibri"/>
        </w:rPr>
        <w:t>, red line</w:t>
      </w:r>
      <w:r w:rsidRPr="00856ED8">
        <w:rPr>
          <w:rFonts w:eastAsia="Calibri"/>
        </w:rPr>
        <w:t xml:space="preserve">) </w:t>
      </w:r>
      <w:r w:rsidRPr="00DF1C49">
        <w:rPr>
          <w:rFonts w:eastAsia="Calibri"/>
        </w:rPr>
        <w:t>to river plume and the total GBR river discharge (</w:t>
      </w:r>
      <w:r>
        <w:rPr>
          <w:rFonts w:eastAsia="Calibri"/>
        </w:rPr>
        <w:t xml:space="preserve">blue line, </w:t>
      </w:r>
      <w:r w:rsidRPr="00DF1C49">
        <w:rPr>
          <w:rFonts w:eastAsia="Calibri"/>
        </w:rPr>
        <w:t>calculated as the sum of the Normanby, Daintree, Barron, Russell, Mulgrave, North Johnstone, South Johnstone, Tully, Herbert, Burdekin, O'Connell, Pioneer, Proserpine, Plane, Fitzroy, Burnett and Mary-river discharges for the whole hydrological year (i.e., from Oct-1 to Sep-30).</w:t>
      </w:r>
      <w:bookmarkEnd w:id="255"/>
      <w:bookmarkEnd w:id="256"/>
      <w:r w:rsidRPr="00DF1C49">
        <w:rPr>
          <w:rFonts w:eastAsia="Calibri"/>
        </w:rPr>
        <w:t xml:space="preserve">   </w:t>
      </w:r>
    </w:p>
    <w:p w14:paraId="0C3F895E" w14:textId="77777777" w:rsidR="00131E41" w:rsidRDefault="00131E41" w:rsidP="00131E41">
      <w:pPr>
        <w:rPr>
          <w:rFonts w:ascii="Calibri" w:eastAsia="Calibri" w:hAnsi="Calibri" w:cs="Times New Roman"/>
          <w:bCs/>
          <w:color w:val="4F81BD"/>
          <w:lang w:eastAsia="en-US"/>
        </w:rPr>
      </w:pPr>
    </w:p>
    <w:p w14:paraId="0C3F895F" w14:textId="77777777" w:rsidR="00131E41" w:rsidRDefault="00131E41" w:rsidP="00131E41">
      <w:pPr>
        <w:rPr>
          <w:rFonts w:ascii="Calibri" w:eastAsia="Calibri" w:hAnsi="Calibri" w:cs="Times New Roman"/>
          <w:lang w:eastAsia="en-US"/>
        </w:rPr>
      </w:pPr>
      <w:r w:rsidRPr="00C236D5">
        <w:rPr>
          <w:rFonts w:ascii="Calibri" w:eastAsia="Calibri" w:hAnsi="Calibri" w:cs="Times New Roman"/>
          <w:u w:val="single"/>
          <w:lang w:eastAsia="en-US"/>
        </w:rPr>
        <w:t>A multiannual potential risk</w:t>
      </w:r>
      <w:r w:rsidRPr="00DF1C49">
        <w:rPr>
          <w:rFonts w:ascii="Calibri" w:eastAsia="Calibri" w:hAnsi="Calibri" w:cs="Times New Roman"/>
          <w:lang w:eastAsia="en-US"/>
        </w:rPr>
        <w:t xml:space="preserve"> </w:t>
      </w:r>
      <w:r>
        <w:rPr>
          <w:rFonts w:ascii="Calibri" w:eastAsia="Calibri" w:hAnsi="Calibri" w:cs="Times New Roman"/>
          <w:lang w:eastAsia="en-US"/>
        </w:rPr>
        <w:t xml:space="preserve">composite </w:t>
      </w:r>
      <w:r w:rsidRPr="00DF1C49">
        <w:rPr>
          <w:rFonts w:ascii="Calibri" w:eastAsia="Calibri" w:hAnsi="Calibri" w:cs="Times New Roman"/>
          <w:lang w:eastAsia="en-US"/>
        </w:rPr>
        <w:t>map w</w:t>
      </w:r>
      <w:r>
        <w:rPr>
          <w:rFonts w:ascii="Calibri" w:eastAsia="Calibri" w:hAnsi="Calibri" w:cs="Times New Roman"/>
          <w:lang w:eastAsia="en-US"/>
        </w:rPr>
        <w:t>as</w:t>
      </w:r>
      <w:r w:rsidRPr="00DF1C49">
        <w:rPr>
          <w:rFonts w:ascii="Calibri" w:eastAsia="Calibri" w:hAnsi="Calibri" w:cs="Times New Roman"/>
          <w:lang w:eastAsia="en-US"/>
        </w:rPr>
        <w:t xml:space="preserve"> calculated </w:t>
      </w:r>
      <w:r>
        <w:rPr>
          <w:rFonts w:ascii="Calibri" w:eastAsia="Calibri" w:hAnsi="Calibri" w:cs="Times New Roman"/>
          <w:lang w:eastAsia="en-US"/>
        </w:rPr>
        <w:t>by averaging the</w:t>
      </w:r>
      <w:r w:rsidRPr="00DF1C49">
        <w:rPr>
          <w:rFonts w:ascii="Calibri" w:eastAsia="Calibri" w:hAnsi="Calibri" w:cs="Times New Roman"/>
          <w:lang w:eastAsia="en-US"/>
        </w:rPr>
        <w:t xml:space="preserve"> inter-annual risk maps </w:t>
      </w:r>
      <w:r>
        <w:rPr>
          <w:rFonts w:ascii="Calibri" w:eastAsia="Calibri" w:hAnsi="Calibri" w:cs="Times New Roman"/>
          <w:lang w:eastAsia="en-US"/>
        </w:rPr>
        <w:t xml:space="preserve">produced </w:t>
      </w:r>
      <w:r w:rsidRPr="00DF1C49">
        <w:rPr>
          <w:rFonts w:ascii="Calibri" w:eastAsia="Calibri" w:hAnsi="Calibri" w:cs="Times New Roman"/>
          <w:lang w:eastAsia="en-US"/>
        </w:rPr>
        <w:t>from the TC methods</w:t>
      </w:r>
      <w:r>
        <w:rPr>
          <w:rFonts w:ascii="Calibri" w:eastAsia="Calibri" w:hAnsi="Calibri" w:cs="Times New Roman"/>
          <w:lang w:eastAsia="en-US"/>
        </w:rPr>
        <w:t xml:space="preserve"> </w:t>
      </w:r>
      <w:r w:rsidRPr="00DF1C49">
        <w:rPr>
          <w:rFonts w:ascii="Calibri" w:eastAsia="Calibri" w:hAnsi="Calibri" w:cs="Times New Roman"/>
          <w:lang w:eastAsia="en-US"/>
        </w:rPr>
        <w:t>(</w:t>
      </w:r>
      <w:r w:rsidRPr="00DF1C49">
        <w:rPr>
          <w:rFonts w:ascii="Calibri" w:eastAsia="Calibri" w:hAnsi="Calibri" w:cs="Times New Roman"/>
          <w:lang w:eastAsia="en-US"/>
        </w:rPr>
        <w:fldChar w:fldCharType="begin"/>
      </w:r>
      <w:r w:rsidRPr="00DF1C49">
        <w:rPr>
          <w:rFonts w:ascii="Calibri" w:eastAsia="Calibri" w:hAnsi="Calibri" w:cs="Times New Roman"/>
          <w:lang w:eastAsia="en-US"/>
        </w:rPr>
        <w:instrText xml:space="preserve"> REF _Ref377388847 \h  \* MERGEFORMAT </w:instrText>
      </w:r>
      <w:r w:rsidRPr="00DF1C49">
        <w:rPr>
          <w:rFonts w:ascii="Calibri" w:eastAsia="Calibri" w:hAnsi="Calibri" w:cs="Times New Roman"/>
          <w:lang w:eastAsia="en-US"/>
        </w:rPr>
      </w:r>
      <w:r w:rsidRPr="00DF1C49">
        <w:rPr>
          <w:rFonts w:ascii="Calibri" w:eastAsia="Calibri" w:hAnsi="Calibri" w:cs="Times New Roman"/>
          <w:lang w:eastAsia="en-US"/>
        </w:rPr>
        <w:fldChar w:fldCharType="separate"/>
      </w:r>
      <w:r w:rsidR="00B62B50">
        <w:rPr>
          <w:rFonts w:ascii="Calibri" w:eastAsia="Calibri" w:hAnsi="Calibri" w:cs="Times New Roman"/>
          <w:b/>
          <w:bCs/>
          <w:lang w:val="en-US" w:eastAsia="en-US"/>
        </w:rPr>
        <w:t>Error! Reference source not found.</w:t>
      </w:r>
      <w:r w:rsidRPr="00DF1C49">
        <w:rPr>
          <w:rFonts w:ascii="Calibri" w:eastAsia="Calibri" w:hAnsi="Calibri" w:cs="Times New Roman"/>
          <w:lang w:eastAsia="en-US"/>
        </w:rPr>
        <w:fldChar w:fldCharType="end"/>
      </w:r>
      <w:r w:rsidRPr="00DF1C49">
        <w:rPr>
          <w:rFonts w:ascii="Calibri" w:eastAsia="Calibri" w:hAnsi="Calibri" w:cs="Times New Roman"/>
          <w:lang w:eastAsia="en-US"/>
        </w:rPr>
        <w:t xml:space="preserve">). Recalculating </w:t>
      </w:r>
      <w:r>
        <w:rPr>
          <w:rFonts w:ascii="Calibri" w:eastAsia="Calibri" w:hAnsi="Calibri" w:cs="Times New Roman"/>
          <w:lang w:eastAsia="en-US"/>
        </w:rPr>
        <w:t xml:space="preserve">individual wet season </w:t>
      </w:r>
      <w:r w:rsidRPr="00DF1C49">
        <w:rPr>
          <w:rFonts w:ascii="Calibri" w:eastAsia="Calibri" w:hAnsi="Calibri" w:cs="Times New Roman"/>
          <w:lang w:eastAsia="en-US"/>
        </w:rPr>
        <w:t xml:space="preserve">risk maps to </w:t>
      </w:r>
      <w:r>
        <w:rPr>
          <w:rFonts w:ascii="Calibri" w:eastAsia="Calibri" w:hAnsi="Calibri" w:cs="Times New Roman"/>
          <w:lang w:eastAsia="en-US"/>
        </w:rPr>
        <w:t xml:space="preserve">a </w:t>
      </w:r>
      <w:r w:rsidRPr="00DF1C49">
        <w:rPr>
          <w:rFonts w:ascii="Calibri" w:eastAsia="Calibri" w:hAnsi="Calibri" w:cs="Times New Roman"/>
          <w:lang w:eastAsia="en-US"/>
        </w:rPr>
        <w:t>long-term (7-year) map is useful to</w:t>
      </w:r>
      <w:r w:rsidRPr="00043AD4">
        <w:rPr>
          <w:rFonts w:ascii="Calibri" w:eastAsia="Calibri" w:hAnsi="Calibri" w:cs="Times New Roman"/>
          <w:lang w:eastAsia="en-US"/>
        </w:rPr>
        <w:t xml:space="preserve"> describe where potential risk condition</w:t>
      </w:r>
      <w:r>
        <w:rPr>
          <w:rFonts w:ascii="Calibri" w:eastAsia="Calibri" w:hAnsi="Calibri" w:cs="Times New Roman"/>
          <w:lang w:eastAsia="en-US"/>
        </w:rPr>
        <w:t>s</w:t>
      </w:r>
      <w:r w:rsidRPr="00043AD4">
        <w:rPr>
          <w:rFonts w:ascii="Calibri" w:eastAsia="Calibri" w:hAnsi="Calibri" w:cs="Times New Roman"/>
          <w:lang w:eastAsia="en-US"/>
        </w:rPr>
        <w:t xml:space="preserve"> from river plume are, on average</w:t>
      </w:r>
      <w:r w:rsidRPr="00DF1C49">
        <w:rPr>
          <w:rFonts w:ascii="Calibri" w:eastAsia="Calibri" w:hAnsi="Calibri" w:cs="Times New Roman"/>
          <w:lang w:eastAsia="en-US"/>
        </w:rPr>
        <w:t>. As observed on the 2013 risk maps, an inshore to offshore spatial pattern is present, with inshore areas within ~ 20 km of the coast experiencing high frequency of Primary waters and thus</w:t>
      </w:r>
      <w:r>
        <w:rPr>
          <w:rFonts w:ascii="Calibri" w:eastAsia="Calibri" w:hAnsi="Calibri" w:cs="Times New Roman"/>
          <w:lang w:eastAsia="en-US"/>
        </w:rPr>
        <w:t xml:space="preserve"> highest potential</w:t>
      </w:r>
      <w:r w:rsidRPr="00DF1C49">
        <w:rPr>
          <w:rFonts w:ascii="Calibri" w:eastAsia="Calibri" w:hAnsi="Calibri" w:cs="Times New Roman"/>
          <w:lang w:eastAsia="en-US"/>
        </w:rPr>
        <w:t xml:space="preserve"> risk from river plume water</w:t>
      </w:r>
      <w:r>
        <w:rPr>
          <w:rFonts w:ascii="Calibri" w:eastAsia="Calibri" w:hAnsi="Calibri" w:cs="Times New Roman"/>
          <w:lang w:eastAsia="en-US"/>
        </w:rPr>
        <w:t xml:space="preserve"> (as Primary waters are the most concentrated in land-sourced pollutants),</w:t>
      </w:r>
      <w:r w:rsidRPr="00DF1C49">
        <w:rPr>
          <w:rFonts w:ascii="Calibri" w:eastAsia="Calibri" w:hAnsi="Calibri" w:cs="Times New Roman"/>
          <w:lang w:eastAsia="en-US"/>
        </w:rPr>
        <w:t xml:space="preserve"> and offshore areas experiencing highest/lowest frequency of Tertiary/Primary plume water types and thus lowest</w:t>
      </w:r>
      <w:r>
        <w:rPr>
          <w:rFonts w:ascii="Calibri" w:eastAsia="Calibri" w:hAnsi="Calibri" w:cs="Times New Roman"/>
          <w:lang w:eastAsia="en-US"/>
        </w:rPr>
        <w:t xml:space="preserve"> potential</w:t>
      </w:r>
      <w:r w:rsidRPr="00DF1C49">
        <w:rPr>
          <w:rFonts w:ascii="Calibri" w:eastAsia="Calibri" w:hAnsi="Calibri" w:cs="Times New Roman"/>
          <w:lang w:eastAsia="en-US"/>
        </w:rPr>
        <w:t xml:space="preserve"> risk from river plume </w:t>
      </w:r>
      <w:r>
        <w:rPr>
          <w:rFonts w:ascii="Calibri" w:eastAsia="Calibri" w:hAnsi="Calibri" w:cs="Times New Roman"/>
          <w:lang w:eastAsia="en-US"/>
        </w:rPr>
        <w:t>exposure (as Tertiary waters are the less concentrated in land-sourced pollutants)</w:t>
      </w:r>
      <w:r w:rsidRPr="00DF1C49">
        <w:rPr>
          <w:rFonts w:ascii="Calibri" w:eastAsia="Calibri" w:hAnsi="Calibri" w:cs="Times New Roman"/>
          <w:lang w:eastAsia="en-US"/>
        </w:rPr>
        <w:t xml:space="preserve">. </w:t>
      </w:r>
      <w:r>
        <w:rPr>
          <w:rFonts w:ascii="Calibri" w:eastAsia="Calibri" w:hAnsi="Calibri" w:cs="Times New Roman"/>
          <w:lang w:eastAsia="en-US"/>
        </w:rPr>
        <w:t>Multi-annual composite maps of the river plume frequency</w:t>
      </w:r>
      <w:r w:rsidRPr="004C1716">
        <w:rPr>
          <w:rFonts w:ascii="Calibri" w:eastAsia="Calibri" w:hAnsi="Calibri" w:cs="Times New Roman"/>
          <w:lang w:eastAsia="en-US"/>
        </w:rPr>
        <w:t xml:space="preserve"> </w:t>
      </w:r>
      <w:r>
        <w:rPr>
          <w:rFonts w:ascii="Calibri" w:eastAsia="Calibri" w:hAnsi="Calibri" w:cs="Times New Roman"/>
          <w:lang w:eastAsia="en-US"/>
        </w:rPr>
        <w:t>and plume water type frequency are also presented in appendix B, Figure B-1 and B-2.</w:t>
      </w:r>
    </w:p>
    <w:p w14:paraId="0C3F8960" w14:textId="77777777" w:rsidR="00131E41" w:rsidRPr="00DF1C49" w:rsidRDefault="00131E41" w:rsidP="00131E41">
      <w:pPr>
        <w:spacing w:after="200" w:line="276" w:lineRule="auto"/>
        <w:rPr>
          <w:rFonts w:ascii="Calibri" w:eastAsia="Calibri" w:hAnsi="Calibri" w:cs="Times New Roman"/>
          <w:lang w:eastAsia="en-US"/>
        </w:rPr>
      </w:pPr>
      <w:r>
        <w:rPr>
          <w:rFonts w:ascii="Calibri" w:eastAsia="Calibri" w:hAnsi="Calibri" w:cs="Times New Roman"/>
          <w:lang w:eastAsia="en-US"/>
        </w:rPr>
        <w:t>T</w:t>
      </w:r>
      <w:r w:rsidRPr="00DF1C49">
        <w:rPr>
          <w:rFonts w:ascii="Calibri" w:eastAsia="Calibri" w:hAnsi="Calibri" w:cs="Times New Roman"/>
          <w:lang w:eastAsia="en-US"/>
        </w:rPr>
        <w:t xml:space="preserve">otal areas </w:t>
      </w:r>
      <w:r>
        <w:rPr>
          <w:rFonts w:ascii="Calibri" w:eastAsia="Calibri" w:hAnsi="Calibri" w:cs="Times New Roman"/>
          <w:lang w:eastAsia="en-US"/>
        </w:rPr>
        <w:t>exposed to river plumes</w:t>
      </w:r>
      <w:r w:rsidRPr="00DF1C49">
        <w:rPr>
          <w:rFonts w:ascii="Calibri" w:eastAsia="Calibri" w:hAnsi="Calibri" w:cs="Times New Roman"/>
          <w:lang w:eastAsia="en-US"/>
        </w:rPr>
        <w:t xml:space="preserve"> extend</w:t>
      </w:r>
      <w:r>
        <w:rPr>
          <w:rFonts w:ascii="Calibri" w:eastAsia="Calibri" w:hAnsi="Calibri" w:cs="Times New Roman"/>
          <w:lang w:eastAsia="en-US"/>
        </w:rPr>
        <w:t>ed</w:t>
      </w:r>
      <w:r w:rsidRPr="00DF1C49">
        <w:rPr>
          <w:rFonts w:ascii="Calibri" w:eastAsia="Calibri" w:hAnsi="Calibri" w:cs="Times New Roman"/>
          <w:lang w:eastAsia="en-US"/>
        </w:rPr>
        <w:t xml:space="preserve"> about 100 km offshore of the Herbert River mouth and 110 km offshore of the Burdekin River mouth (if measured along a NE/SW strait line from both estuary mouths), i.e. further offshore than observed in 2013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_Ref432674621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22</w:t>
      </w:r>
      <w:r>
        <w:rPr>
          <w:rFonts w:ascii="Calibri" w:eastAsia="Calibri" w:hAnsi="Calibri" w:cs="Times New Roman"/>
          <w:lang w:eastAsia="en-US"/>
        </w:rPr>
        <w:fldChar w:fldCharType="end"/>
      </w:r>
      <w:r w:rsidRPr="00DF1C49">
        <w:rPr>
          <w:rFonts w:ascii="Calibri" w:eastAsia="Calibri" w:hAnsi="Calibri" w:cs="Times New Roman"/>
          <w:lang w:eastAsia="en-US"/>
        </w:rPr>
        <w:t xml:space="preserve">). </w:t>
      </w:r>
    </w:p>
    <w:p w14:paraId="0C3F8961" w14:textId="77777777" w:rsidR="00131E41" w:rsidRPr="00DF1C49" w:rsidRDefault="00131E41" w:rsidP="00131E41">
      <w:pPr>
        <w:rPr>
          <w:rFonts w:ascii="Calibri" w:eastAsia="Calibri" w:hAnsi="Calibri" w:cs="Times New Roman"/>
          <w:lang w:eastAsia="en-US"/>
        </w:rPr>
      </w:pPr>
    </w:p>
    <w:p w14:paraId="0C3F8962" w14:textId="77777777" w:rsidR="00131E41" w:rsidRPr="00DF1C49" w:rsidRDefault="00131E41" w:rsidP="00131E41">
      <w:pPr>
        <w:rPr>
          <w:rFonts w:ascii="Calibri" w:eastAsia="Calibri" w:hAnsi="Calibri" w:cs="Times New Roman"/>
          <w:lang w:eastAsia="en-US"/>
        </w:rPr>
      </w:pPr>
      <w:r>
        <w:rPr>
          <w:rFonts w:ascii="Calibri" w:eastAsia="Calibri" w:hAnsi="Calibri" w:cs="Times New Roman"/>
          <w:noProof/>
        </w:rPr>
        <w:drawing>
          <wp:inline distT="0" distB="0" distL="0" distR="0" wp14:anchorId="0C3F902D" wp14:editId="0C3F902E">
            <wp:extent cx="5724000" cy="4079394"/>
            <wp:effectExtent l="0" t="0" r="0" b="0"/>
            <wp:docPr id="25" name="Picture 25" descr="Multi-annual (2007-2013) “potential” river plume risk maps of (left) the GBR; (middle) the Tully Herbert region and (right) the Burdekin region produced by a) the TC method. Maps have been smoothed twice with a 4 pixel majority filter (Arc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24000" cy="4079394"/>
                    </a:xfrm>
                    <a:prstGeom prst="rect">
                      <a:avLst/>
                    </a:prstGeom>
                    <a:noFill/>
                  </pic:spPr>
                </pic:pic>
              </a:graphicData>
            </a:graphic>
          </wp:inline>
        </w:drawing>
      </w:r>
    </w:p>
    <w:p w14:paraId="0C3F8963" w14:textId="77777777" w:rsidR="00131E41" w:rsidRDefault="00131E41" w:rsidP="00131E41">
      <w:pPr>
        <w:pStyle w:val="Caption"/>
        <w:rPr>
          <w:rFonts w:eastAsia="Calibri"/>
        </w:rPr>
      </w:pPr>
      <w:bookmarkStart w:id="257" w:name="_Ref432674621"/>
      <w:bookmarkStart w:id="258" w:name="_Toc427833300"/>
      <w:bookmarkStart w:id="259" w:name="_Toc434208058"/>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22</w:t>
      </w:r>
      <w:r w:rsidR="00D243CD">
        <w:rPr>
          <w:rFonts w:eastAsia="Calibri"/>
        </w:rPr>
        <w:fldChar w:fldCharType="end"/>
      </w:r>
      <w:bookmarkEnd w:id="257"/>
      <w:r w:rsidRPr="00DF1C49">
        <w:rPr>
          <w:rFonts w:eastAsia="Calibri"/>
        </w:rPr>
        <w:t>: Multi-annual (2007-2013) “potential” river plume risk maps of (left) the GBR; (middle) the Tully Herbert region and (right) the Burdekin region produced by a) the TC method. Maps have been smoothed twice with a 4 pixel majority filter (ArcGIS).</w:t>
      </w:r>
      <w:bookmarkEnd w:id="258"/>
      <w:bookmarkEnd w:id="259"/>
    </w:p>
    <w:p w14:paraId="0C3F8964" w14:textId="77777777" w:rsidR="00131E41" w:rsidRDefault="00131E41" w:rsidP="00131E41">
      <w:pPr>
        <w:rPr>
          <w:rFonts w:ascii="Calibri" w:eastAsia="Calibri" w:hAnsi="Calibri" w:cs="Times New Roman"/>
          <w:lang w:eastAsia="en-US"/>
        </w:rPr>
      </w:pPr>
    </w:p>
    <w:p w14:paraId="0C3F8965" w14:textId="77777777" w:rsidR="00131E41" w:rsidRPr="00DF1C49" w:rsidRDefault="00131E41" w:rsidP="00131E41">
      <w:pPr>
        <w:spacing w:after="200" w:line="276" w:lineRule="auto"/>
        <w:rPr>
          <w:rFonts w:ascii="Calibri" w:eastAsia="Calibri" w:hAnsi="Calibri" w:cs="Times New Roman"/>
          <w:lang w:eastAsia="en-US"/>
        </w:rPr>
      </w:pPr>
      <w:r>
        <w:rPr>
          <w:rFonts w:ascii="Calibri" w:eastAsia="Calibri" w:hAnsi="Calibri" w:cs="Times New Roman"/>
          <w:lang w:eastAsia="en-US"/>
        </w:rPr>
        <w:t>U</w:t>
      </w:r>
      <w:r w:rsidRPr="00DF1C49">
        <w:rPr>
          <w:rFonts w:ascii="Calibri" w:eastAsia="Calibri" w:hAnsi="Calibri" w:cs="Times New Roman"/>
          <w:lang w:eastAsia="en-US"/>
        </w:rPr>
        <w:t>sing the mean multi-annual (2007-2013)</w:t>
      </w:r>
      <w:r>
        <w:rPr>
          <w:rFonts w:ascii="Calibri" w:eastAsia="Calibri" w:hAnsi="Calibri" w:cs="Times New Roman"/>
          <w:lang w:eastAsia="en-US"/>
        </w:rPr>
        <w:t xml:space="preserve"> surface</w:t>
      </w:r>
      <w:r w:rsidRPr="00DF1C49">
        <w:rPr>
          <w:rFonts w:ascii="Calibri" w:eastAsia="Calibri" w:hAnsi="Calibri" w:cs="Times New Roman"/>
          <w:lang w:eastAsia="en-US"/>
        </w:rPr>
        <w:t xml:space="preserve"> areas (in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of coral and seagrass beds </w:t>
      </w:r>
      <w:r>
        <w:rPr>
          <w:rFonts w:ascii="Calibri" w:eastAsia="Calibri" w:hAnsi="Calibri" w:cs="Times New Roman"/>
          <w:lang w:eastAsia="en-US"/>
        </w:rPr>
        <w:t>under</w:t>
      </w:r>
      <w:r w:rsidRPr="00DF1C49">
        <w:rPr>
          <w:rFonts w:ascii="Calibri" w:eastAsia="Calibri" w:hAnsi="Calibri" w:cs="Times New Roman"/>
          <w:lang w:eastAsia="en-US"/>
        </w:rPr>
        <w:t xml:space="preserve"> </w:t>
      </w:r>
      <w:r>
        <w:rPr>
          <w:rFonts w:ascii="Calibri" w:eastAsia="Calibri" w:hAnsi="Calibri" w:cs="Times New Roman"/>
          <w:lang w:eastAsia="en-US"/>
        </w:rPr>
        <w:t>the highest</w:t>
      </w:r>
      <w:r w:rsidRPr="00DF1C49">
        <w:rPr>
          <w:rFonts w:ascii="Calibri" w:eastAsia="Calibri" w:hAnsi="Calibri" w:cs="Times New Roman"/>
          <w:lang w:eastAsia="en-US"/>
        </w:rPr>
        <w:t xml:space="preserve"> </w:t>
      </w:r>
      <w:r>
        <w:rPr>
          <w:rFonts w:ascii="Calibri" w:eastAsia="Calibri" w:hAnsi="Calibri" w:cs="Times New Roman"/>
          <w:lang w:eastAsia="en-US"/>
        </w:rPr>
        <w:t xml:space="preserve">potential </w:t>
      </w:r>
      <w:r w:rsidRPr="00DF1C49">
        <w:rPr>
          <w:rFonts w:ascii="Calibri" w:eastAsia="Calibri" w:hAnsi="Calibri" w:cs="Times New Roman"/>
          <w:lang w:eastAsia="en-US"/>
        </w:rPr>
        <w:t>risk</w:t>
      </w:r>
      <w:r>
        <w:rPr>
          <w:rFonts w:ascii="Calibri" w:eastAsia="Calibri" w:hAnsi="Calibri" w:cs="Times New Roman"/>
          <w:lang w:eastAsia="en-US"/>
        </w:rPr>
        <w:t xml:space="preserve"> categories (III and IV) from plume exposure</w:t>
      </w:r>
      <w:r w:rsidRPr="00DF1C49">
        <w:rPr>
          <w:rFonts w:ascii="Calibri" w:eastAsia="Calibri" w:hAnsi="Calibri" w:cs="Times New Roman"/>
          <w:lang w:eastAsia="en-US"/>
        </w:rPr>
        <w:t xml:space="preserve"> </w:t>
      </w:r>
      <w:r>
        <w:rPr>
          <w:rFonts w:ascii="Calibri" w:eastAsia="Calibri" w:hAnsi="Calibri" w:cs="Times New Roman"/>
          <w:lang w:eastAsia="en-US"/>
        </w:rPr>
        <w:t>(</w:t>
      </w:r>
      <w:r w:rsidRPr="00DF1C49">
        <w:rPr>
          <w:rFonts w:ascii="Calibri" w:eastAsia="Calibri" w:hAnsi="Calibri" w:cs="Times New Roman"/>
          <w:lang w:eastAsia="en-US"/>
        </w:rPr>
        <w:t>and without considering Cape York</w:t>
      </w:r>
      <w:r>
        <w:rPr>
          <w:rFonts w:ascii="Calibri" w:eastAsia="Calibri" w:hAnsi="Calibri" w:cs="Times New Roman"/>
          <w:lang w:eastAsia="en-US"/>
        </w:rPr>
        <w:t>) were calculated</w:t>
      </w:r>
      <w:r w:rsidRPr="00DF1C49">
        <w:rPr>
          <w:rFonts w:ascii="Calibri" w:eastAsia="Calibri" w:hAnsi="Calibri" w:cs="Times New Roman"/>
          <w:lang w:eastAsia="en-US"/>
        </w:rPr>
        <w:t xml:space="preserv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_Ref427833072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23</w:t>
      </w:r>
      <w:r>
        <w:rPr>
          <w:rFonts w:ascii="Calibri" w:eastAsia="Calibri" w:hAnsi="Calibri" w:cs="Times New Roman"/>
          <w:lang w:eastAsia="en-US"/>
        </w:rPr>
        <w:fldChar w:fldCharType="end"/>
      </w:r>
      <w:r w:rsidRPr="00DF1C49">
        <w:rPr>
          <w:rFonts w:ascii="Calibri" w:eastAsia="Calibri" w:hAnsi="Calibri" w:cs="Times New Roman"/>
          <w:lang w:eastAsia="en-US"/>
        </w:rPr>
        <w:t>):</w:t>
      </w:r>
    </w:p>
    <w:p w14:paraId="0C3F8966" w14:textId="77777777" w:rsidR="00131E41" w:rsidRPr="00DF1C49" w:rsidRDefault="00131E41" w:rsidP="00C05A63">
      <w:pPr>
        <w:numPr>
          <w:ilvl w:val="0"/>
          <w:numId w:val="23"/>
        </w:numPr>
        <w:spacing w:before="0" w:after="200" w:line="276" w:lineRule="auto"/>
        <w:contextualSpacing/>
        <w:jc w:val="left"/>
        <w:rPr>
          <w:rFonts w:ascii="Calibri" w:eastAsia="Calibri" w:hAnsi="Calibri" w:cs="Times New Roman"/>
          <w:lang w:eastAsia="en-US"/>
        </w:rPr>
      </w:pPr>
      <w:r w:rsidRPr="00DF1C49">
        <w:rPr>
          <w:rFonts w:ascii="Calibri" w:eastAsia="Calibri" w:hAnsi="Calibri" w:cs="Times New Roman"/>
          <w:lang w:eastAsia="en-US"/>
        </w:rPr>
        <w:t xml:space="preserve">Coral reef areas </w:t>
      </w:r>
      <w:r>
        <w:rPr>
          <w:rFonts w:ascii="Calibri" w:eastAsia="Calibri" w:hAnsi="Calibri" w:cs="Times New Roman"/>
          <w:lang w:eastAsia="en-US"/>
        </w:rPr>
        <w:t xml:space="preserve">under potential </w:t>
      </w:r>
      <w:r w:rsidRPr="00DF1C49">
        <w:rPr>
          <w:rFonts w:ascii="Calibri" w:eastAsia="Calibri" w:hAnsi="Calibri" w:cs="Times New Roman"/>
          <w:lang w:eastAsia="en-US"/>
        </w:rPr>
        <w:t>risk</w:t>
      </w:r>
      <w:r>
        <w:rPr>
          <w:rFonts w:ascii="Calibri" w:eastAsia="Calibri" w:hAnsi="Calibri" w:cs="Times New Roman"/>
          <w:lang w:eastAsia="en-US"/>
        </w:rPr>
        <w:t xml:space="preserve"> categories III and IV</w:t>
      </w:r>
      <w:r w:rsidRPr="00DF1C49">
        <w:rPr>
          <w:rFonts w:ascii="Calibri" w:eastAsia="Calibri" w:hAnsi="Calibri" w:cs="Times New Roman"/>
          <w:lang w:eastAsia="en-US"/>
        </w:rPr>
        <w:t xml:space="preserve"> were greater in Mackay-Whitsunday &gt; Fitzroy &gt; Wet Tropics &gt; Burdekin &gt; Burnett-Mary NRM</w:t>
      </w:r>
      <w:r>
        <w:rPr>
          <w:rFonts w:ascii="Calibri" w:eastAsia="Calibri" w:hAnsi="Calibri" w:cs="Times New Roman"/>
          <w:lang w:eastAsia="en-US"/>
        </w:rPr>
        <w:t xml:space="preserve"> region</w:t>
      </w:r>
      <w:r w:rsidRPr="00DF1C49">
        <w:rPr>
          <w:rFonts w:ascii="Calibri" w:eastAsia="Calibri" w:hAnsi="Calibri" w:cs="Times New Roman"/>
          <w:lang w:eastAsia="en-US"/>
        </w:rPr>
        <w:t xml:space="preserve">s. </w:t>
      </w:r>
    </w:p>
    <w:p w14:paraId="0C3F8967" w14:textId="77777777" w:rsidR="00131E41" w:rsidRPr="00DF1C49" w:rsidRDefault="00131E41" w:rsidP="00C05A63">
      <w:pPr>
        <w:numPr>
          <w:ilvl w:val="0"/>
          <w:numId w:val="23"/>
        </w:numPr>
        <w:spacing w:before="0" w:after="200" w:line="276" w:lineRule="auto"/>
        <w:contextualSpacing/>
        <w:jc w:val="left"/>
        <w:rPr>
          <w:rFonts w:ascii="Calibri" w:eastAsia="Calibri" w:hAnsi="Calibri" w:cs="Times New Roman"/>
          <w:lang w:eastAsia="en-US"/>
        </w:rPr>
      </w:pPr>
      <w:r w:rsidRPr="00DF1C49">
        <w:rPr>
          <w:rFonts w:ascii="Calibri" w:eastAsia="Calibri" w:hAnsi="Calibri" w:cs="Times New Roman"/>
          <w:lang w:eastAsia="en-US"/>
        </w:rPr>
        <w:t xml:space="preserve">Total seagrass areas </w:t>
      </w:r>
      <w:r w:rsidRPr="00FA7916">
        <w:rPr>
          <w:rFonts w:ascii="Calibri" w:eastAsia="Calibri" w:hAnsi="Calibri" w:cs="Times New Roman"/>
          <w:lang w:eastAsia="en-US"/>
        </w:rPr>
        <w:t xml:space="preserve">under potential risk categories III and IV </w:t>
      </w:r>
      <w:r w:rsidRPr="00DF1C49">
        <w:rPr>
          <w:rFonts w:ascii="Calibri" w:eastAsia="Calibri" w:hAnsi="Calibri" w:cs="Times New Roman"/>
          <w:lang w:eastAsia="en-US"/>
        </w:rPr>
        <w:t>greater in Fitzroy &gt; Burdekin &gt; Mackay-Whitsunday &gt; Wet Tropics &gt; Burnett-Mary NRM</w:t>
      </w:r>
      <w:r>
        <w:rPr>
          <w:rFonts w:ascii="Calibri" w:eastAsia="Calibri" w:hAnsi="Calibri" w:cs="Times New Roman"/>
          <w:lang w:eastAsia="en-US"/>
        </w:rPr>
        <w:t xml:space="preserve"> region</w:t>
      </w:r>
      <w:r w:rsidRPr="00DF1C49">
        <w:rPr>
          <w:rFonts w:ascii="Calibri" w:eastAsia="Calibri" w:hAnsi="Calibri" w:cs="Times New Roman"/>
          <w:lang w:eastAsia="en-US"/>
        </w:rPr>
        <w:t>s.</w:t>
      </w:r>
    </w:p>
    <w:p w14:paraId="0C3F8968" w14:textId="77777777" w:rsidR="00131E41" w:rsidRPr="00DF1C49" w:rsidRDefault="00131E41" w:rsidP="00131E41">
      <w:pPr>
        <w:spacing w:after="200" w:line="276" w:lineRule="auto"/>
        <w:rPr>
          <w:rFonts w:ascii="Calibri" w:eastAsia="Calibri" w:hAnsi="Calibri" w:cs="Times New Roman"/>
          <w:lang w:eastAsia="en-US"/>
        </w:rPr>
      </w:pPr>
      <w:r w:rsidRPr="00DF1C49">
        <w:rPr>
          <w:rFonts w:ascii="Calibri" w:eastAsia="Calibri" w:hAnsi="Calibri" w:cs="Times New Roman"/>
          <w:lang w:eastAsia="en-US"/>
        </w:rPr>
        <w:t>In the Mackay Whitsunday Region, 60% of the tot</w:t>
      </w:r>
      <w:r>
        <w:rPr>
          <w:rFonts w:ascii="Calibri" w:eastAsia="Calibri" w:hAnsi="Calibri" w:cs="Times New Roman"/>
          <w:lang w:eastAsia="en-US"/>
        </w:rPr>
        <w:t>al</w:t>
      </w:r>
      <w:r w:rsidRPr="00DF1C49">
        <w:rPr>
          <w:rFonts w:ascii="Calibri" w:eastAsia="Calibri" w:hAnsi="Calibri" w:cs="Times New Roman"/>
          <w:lang w:eastAsia="en-US"/>
        </w:rPr>
        <w:t xml:space="preserve"> seagrass areas were in the highest relative </w:t>
      </w:r>
      <w:r>
        <w:rPr>
          <w:rFonts w:ascii="Calibri" w:eastAsia="Calibri" w:hAnsi="Calibri" w:cs="Times New Roman"/>
          <w:lang w:eastAsia="en-US"/>
        </w:rPr>
        <w:t xml:space="preserve">potential </w:t>
      </w:r>
      <w:r w:rsidRPr="00DF1C49">
        <w:rPr>
          <w:rFonts w:ascii="Calibri" w:eastAsia="Calibri" w:hAnsi="Calibri" w:cs="Times New Roman"/>
          <w:lang w:eastAsia="en-US"/>
        </w:rPr>
        <w:t>risk c</w:t>
      </w:r>
      <w:r>
        <w:rPr>
          <w:rFonts w:ascii="Calibri" w:eastAsia="Calibri" w:hAnsi="Calibri" w:cs="Times New Roman"/>
          <w:lang w:eastAsia="en-US"/>
        </w:rPr>
        <w:t>ategories</w:t>
      </w:r>
      <w:r w:rsidRPr="00DF1C49">
        <w:rPr>
          <w:rFonts w:ascii="Calibri" w:eastAsia="Calibri" w:hAnsi="Calibri" w:cs="Times New Roman"/>
          <w:lang w:eastAsia="en-US"/>
        </w:rPr>
        <w:t xml:space="preserve"> compared to less than 10% for all other regions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_Ref427833072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23</w:t>
      </w:r>
      <w:r>
        <w:rPr>
          <w:rFonts w:ascii="Calibri" w:eastAsia="Calibri" w:hAnsi="Calibri" w:cs="Times New Roman"/>
          <w:lang w:eastAsia="en-US"/>
        </w:rPr>
        <w:fldChar w:fldCharType="end"/>
      </w:r>
      <w:r w:rsidRPr="00DF1C49">
        <w:rPr>
          <w:rFonts w:ascii="Calibri" w:eastAsia="Calibri" w:hAnsi="Calibri" w:cs="Times New Roman"/>
          <w:lang w:eastAsia="en-US"/>
        </w:rPr>
        <w:t>). Note that seagrass meadows in Hervey Bay (outside of the GBR southern boundary) were not included in the risk analysis.</w:t>
      </w:r>
    </w:p>
    <w:p w14:paraId="0C3F8969" w14:textId="77777777" w:rsidR="00131E41" w:rsidRDefault="00131E41" w:rsidP="00131E41">
      <w:pPr>
        <w:rPr>
          <w:rFonts w:ascii="Calibri" w:eastAsia="Calibri" w:hAnsi="Calibri" w:cs="Times New Roman"/>
          <w:bCs/>
          <w:color w:val="4F81BD"/>
          <w:lang w:eastAsia="en-US"/>
        </w:rPr>
      </w:pPr>
    </w:p>
    <w:p w14:paraId="0C3F896A" w14:textId="77777777" w:rsidR="00131E41" w:rsidRPr="00DF1C49" w:rsidRDefault="00131E41" w:rsidP="00131E41">
      <w:pPr>
        <w:rPr>
          <w:rFonts w:ascii="Calibri" w:eastAsia="Calibri" w:hAnsi="Calibri" w:cs="Times New Roman"/>
          <w:noProof/>
        </w:rPr>
      </w:pPr>
      <w:r w:rsidRPr="00DF1C49">
        <w:rPr>
          <w:rFonts w:ascii="Calibri" w:eastAsia="Calibri" w:hAnsi="Calibri" w:cs="Times New Roman"/>
          <w:noProof/>
        </w:rPr>
        <w:drawing>
          <wp:inline distT="0" distB="0" distL="0" distR="0" wp14:anchorId="0C3F902F" wp14:editId="0C3F9030">
            <wp:extent cx="5724000" cy="4068742"/>
            <wp:effectExtent l="0" t="0" r="0" b="8255"/>
            <wp:docPr id="109" name="Picture 109" descr="mean multiannual (2007-2013) percentage (%, in grey) and areas (km2, in black) of a) coral reefs and b) total seagrass exposed to potential risk categori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24000" cy="4068742"/>
                    </a:xfrm>
                    <a:prstGeom prst="rect">
                      <a:avLst/>
                    </a:prstGeom>
                    <a:solidFill>
                      <a:sysClr val="window" lastClr="FFFFFF"/>
                    </a:solidFill>
                  </pic:spPr>
                </pic:pic>
              </a:graphicData>
            </a:graphic>
          </wp:inline>
        </w:drawing>
      </w:r>
    </w:p>
    <w:p w14:paraId="0C3F896B" w14:textId="77777777" w:rsidR="00131E41" w:rsidRPr="00DF1C49" w:rsidRDefault="00131E41" w:rsidP="00131E41">
      <w:pPr>
        <w:pStyle w:val="Caption"/>
        <w:rPr>
          <w:rFonts w:eastAsia="Calibri"/>
          <w:sz w:val="18"/>
          <w:szCs w:val="18"/>
        </w:rPr>
      </w:pPr>
      <w:bookmarkStart w:id="260" w:name="_Ref427833072"/>
      <w:bookmarkStart w:id="261" w:name="_Toc427833301"/>
      <w:bookmarkStart w:id="262" w:name="_Toc434208059"/>
      <w:r w:rsidRPr="00DF1C49">
        <w:rPr>
          <w:rFonts w:eastAsia="Calibri"/>
        </w:rPr>
        <w:t xml:space="preserve">Figure </w:t>
      </w:r>
      <w:r w:rsidR="00D243CD">
        <w:rPr>
          <w:rFonts w:eastAsia="Calibri"/>
        </w:rPr>
        <w:fldChar w:fldCharType="begin"/>
      </w:r>
      <w:r w:rsidR="00D243CD">
        <w:rPr>
          <w:rFonts w:eastAsia="Calibri"/>
        </w:rPr>
        <w:instrText xml:space="preserve"> STYLEREF 1 \s </w:instrText>
      </w:r>
      <w:r w:rsidR="00D243CD">
        <w:rPr>
          <w:rFonts w:eastAsia="Calibri"/>
        </w:rPr>
        <w:fldChar w:fldCharType="separate"/>
      </w:r>
      <w:r w:rsidR="00B62B50">
        <w:rPr>
          <w:rFonts w:eastAsia="Calibri"/>
          <w:noProof/>
        </w:rPr>
        <w:t>5</w:t>
      </w:r>
      <w:r w:rsidR="00D243CD">
        <w:rPr>
          <w:rFonts w:eastAsia="Calibri"/>
        </w:rPr>
        <w:fldChar w:fldCharType="end"/>
      </w:r>
      <w:r w:rsidR="00D243CD">
        <w:rPr>
          <w:rFonts w:eastAsia="Calibri"/>
        </w:rPr>
        <w:noBreakHyphen/>
      </w:r>
      <w:r w:rsidR="00D243CD">
        <w:rPr>
          <w:rFonts w:eastAsia="Calibri"/>
        </w:rPr>
        <w:fldChar w:fldCharType="begin"/>
      </w:r>
      <w:r w:rsidR="00D243CD">
        <w:rPr>
          <w:rFonts w:eastAsia="Calibri"/>
        </w:rPr>
        <w:instrText xml:space="preserve"> SEQ Figure \* ARABIC \s 1 </w:instrText>
      </w:r>
      <w:r w:rsidR="00D243CD">
        <w:rPr>
          <w:rFonts w:eastAsia="Calibri"/>
        </w:rPr>
        <w:fldChar w:fldCharType="separate"/>
      </w:r>
      <w:r w:rsidR="00B62B50">
        <w:rPr>
          <w:rFonts w:eastAsia="Calibri"/>
          <w:noProof/>
        </w:rPr>
        <w:t>23</w:t>
      </w:r>
      <w:r w:rsidR="00D243CD">
        <w:rPr>
          <w:rFonts w:eastAsia="Calibri"/>
        </w:rPr>
        <w:fldChar w:fldCharType="end"/>
      </w:r>
      <w:bookmarkEnd w:id="260"/>
      <w:r w:rsidRPr="00DF1C49">
        <w:rPr>
          <w:rFonts w:eastAsia="Calibri"/>
        </w:rPr>
        <w:t>: mean multiannual (2007-2013) percentage (%, in grey) and areas (km</w:t>
      </w:r>
      <w:r w:rsidRPr="00DF1C49">
        <w:rPr>
          <w:rFonts w:eastAsia="Calibri"/>
          <w:vertAlign w:val="superscript"/>
        </w:rPr>
        <w:t>2</w:t>
      </w:r>
      <w:r w:rsidRPr="00DF1C49">
        <w:rPr>
          <w:rFonts w:eastAsia="Calibri"/>
        </w:rPr>
        <w:t xml:space="preserve">, in black) of a) coral reefs and b) total seagrass exposed to </w:t>
      </w:r>
      <w:r>
        <w:rPr>
          <w:rFonts w:eastAsia="Calibri"/>
        </w:rPr>
        <w:t>potential risk</w:t>
      </w:r>
      <w:r w:rsidRPr="00DF1C49">
        <w:rPr>
          <w:rFonts w:eastAsia="Calibri"/>
        </w:rPr>
        <w:t xml:space="preserve"> categories </w:t>
      </w:r>
      <w:bookmarkEnd w:id="261"/>
      <w:r>
        <w:rPr>
          <w:rFonts w:eastAsia="Calibri"/>
        </w:rPr>
        <w:t>I</w:t>
      </w:r>
      <w:bookmarkEnd w:id="262"/>
    </w:p>
    <w:p w14:paraId="0C3F896C" w14:textId="77777777" w:rsidR="00131E41" w:rsidRDefault="00131E41" w:rsidP="00131E41">
      <w:pPr>
        <w:rPr>
          <w:lang w:eastAsia="en-US"/>
        </w:rPr>
      </w:pPr>
      <w:bookmarkStart w:id="263" w:name="_Toc427251556"/>
    </w:p>
    <w:p w14:paraId="0C3F896D" w14:textId="77777777" w:rsidR="00131E41" w:rsidRDefault="00131E41" w:rsidP="00131E41">
      <w:pPr>
        <w:pStyle w:val="Heading1"/>
        <w:numPr>
          <w:ilvl w:val="0"/>
          <w:numId w:val="3"/>
        </w:numPr>
      </w:pPr>
      <w:bookmarkStart w:id="264" w:name="_Toc427831227"/>
      <w:bookmarkStart w:id="265" w:name="_Toc428793358"/>
      <w:bookmarkStart w:id="266" w:name="_Toc428851363"/>
      <w:bookmarkStart w:id="267" w:name="_Toc434208017"/>
      <w:r w:rsidRPr="00BE31E1">
        <w:t>Discussion and conclusions</w:t>
      </w:r>
      <w:bookmarkEnd w:id="263"/>
      <w:bookmarkEnd w:id="264"/>
      <w:bookmarkEnd w:id="265"/>
      <w:bookmarkEnd w:id="266"/>
      <w:bookmarkEnd w:id="267"/>
    </w:p>
    <w:p w14:paraId="0C3F896E" w14:textId="77777777" w:rsidR="00131E41" w:rsidRPr="00C12BFC" w:rsidRDefault="00131E41" w:rsidP="00131E41">
      <w:pPr>
        <w:pStyle w:val="ListParagraph"/>
        <w:numPr>
          <w:ilvl w:val="1"/>
          <w:numId w:val="3"/>
        </w:numPr>
        <w:rPr>
          <w:rStyle w:val="Heading20"/>
        </w:rPr>
      </w:pPr>
      <w:bookmarkStart w:id="268" w:name="_Toc427251559"/>
      <w:bookmarkStart w:id="269" w:name="_Toc427831231"/>
      <w:bookmarkStart w:id="270" w:name="_Toc428793362"/>
      <w:bookmarkStart w:id="271" w:name="_Toc428851367"/>
      <w:r w:rsidRPr="00C12BFC">
        <w:rPr>
          <w:rStyle w:val="Heading20"/>
        </w:rPr>
        <w:t>The 2012-13 wet season</w:t>
      </w:r>
      <w:bookmarkEnd w:id="268"/>
      <w:bookmarkEnd w:id="269"/>
      <w:bookmarkEnd w:id="270"/>
      <w:bookmarkEnd w:id="271"/>
    </w:p>
    <w:p w14:paraId="0C3F896F" w14:textId="77777777" w:rsidR="00131E41" w:rsidRDefault="00131E41" w:rsidP="00131E41">
      <w:pPr>
        <w:rPr>
          <w:rFonts w:ascii="Calibri" w:eastAsia="Calibri" w:hAnsi="Calibri" w:cs="Times New Roman"/>
          <w:lang w:eastAsia="en-US"/>
        </w:rPr>
      </w:pPr>
      <w:r w:rsidRPr="00DF1C49">
        <w:rPr>
          <w:rFonts w:ascii="Calibri" w:eastAsia="Calibri" w:hAnsi="Calibri" w:cs="Times New Roman"/>
          <w:lang w:eastAsia="en-US"/>
        </w:rPr>
        <w:t>The wet season 2013 was characterised by neutral (neither El Niño nor La Niña) to borderline El Niño climatic conditions and tropical cyclone activity for the 2012-12 wet season was slightly below the typical cyclone season activity of Queensland. Two main flood periods were recorded in the river hydrographs: (i) around the 25</w:t>
      </w:r>
      <w:r w:rsidRPr="00DF1C49">
        <w:rPr>
          <w:rFonts w:ascii="Calibri" w:eastAsia="Calibri" w:hAnsi="Calibri" w:cs="Times New Roman"/>
          <w:vertAlign w:val="superscript"/>
          <w:lang w:eastAsia="en-US"/>
        </w:rPr>
        <w:t>th</w:t>
      </w:r>
      <w:r w:rsidRPr="00DF1C49">
        <w:rPr>
          <w:rFonts w:ascii="Calibri" w:eastAsia="Calibri" w:hAnsi="Calibri" w:cs="Times New Roman"/>
          <w:lang w:eastAsia="en-US"/>
        </w:rPr>
        <w:t xml:space="preserve"> of January and the 11</w:t>
      </w:r>
      <w:r w:rsidRPr="00DF1C49">
        <w:rPr>
          <w:rFonts w:ascii="Calibri" w:eastAsia="Calibri" w:hAnsi="Calibri" w:cs="Times New Roman"/>
          <w:vertAlign w:val="superscript"/>
          <w:lang w:eastAsia="en-US"/>
        </w:rPr>
        <w:t>th</w:t>
      </w:r>
      <w:r w:rsidRPr="00DF1C49">
        <w:rPr>
          <w:rFonts w:ascii="Calibri" w:eastAsia="Calibri" w:hAnsi="Calibri" w:cs="Times New Roman"/>
          <w:lang w:eastAsia="en-US"/>
        </w:rPr>
        <w:t xml:space="preserve"> of February under the influence of Tropical Cyclone Oswald and (ii) around the 24th of February and 18</w:t>
      </w:r>
      <w:r w:rsidRPr="00DF1C49">
        <w:rPr>
          <w:rFonts w:ascii="Calibri" w:eastAsia="Calibri" w:hAnsi="Calibri" w:cs="Times New Roman"/>
          <w:vertAlign w:val="superscript"/>
          <w:lang w:eastAsia="en-US"/>
        </w:rPr>
        <w:t>th</w:t>
      </w:r>
      <w:r w:rsidRPr="00DF1C49">
        <w:rPr>
          <w:rFonts w:ascii="Calibri" w:eastAsia="Calibri" w:hAnsi="Calibri" w:cs="Times New Roman"/>
          <w:lang w:eastAsia="en-US"/>
        </w:rPr>
        <w:t xml:space="preserve"> of March. Maximum aerial extents</w:t>
      </w:r>
      <w:r>
        <w:rPr>
          <w:rFonts w:ascii="Calibri" w:eastAsia="Calibri" w:hAnsi="Calibri" w:cs="Times New Roman"/>
          <w:lang w:eastAsia="en-US"/>
        </w:rPr>
        <w:t xml:space="preserve"> of the GBR River plumes</w:t>
      </w:r>
      <w:r w:rsidRPr="00DF1C49">
        <w:rPr>
          <w:rFonts w:ascii="Calibri" w:eastAsia="Calibri" w:hAnsi="Calibri" w:cs="Times New Roman"/>
          <w:lang w:eastAsia="en-US"/>
        </w:rPr>
        <w:t xml:space="preserve"> </w:t>
      </w:r>
      <w:r w:rsidR="00E67427">
        <w:rPr>
          <w:rFonts w:ascii="Calibri" w:eastAsia="Calibri" w:hAnsi="Calibri" w:cs="Times New Roman"/>
          <w:lang w:eastAsia="en-US"/>
        </w:rPr>
        <w:t>are</w:t>
      </w:r>
      <w:r w:rsidRPr="00DF1C49">
        <w:rPr>
          <w:rFonts w:ascii="Calibri" w:eastAsia="Calibri" w:hAnsi="Calibri" w:cs="Times New Roman"/>
          <w:lang w:eastAsia="en-US"/>
        </w:rPr>
        <w:t xml:space="preserve"> recorded between these dates (</w:t>
      </w:r>
      <w:r w:rsidRPr="00006513">
        <w:rPr>
          <w:rFonts w:eastAsia="Calibri"/>
          <w:lang w:eastAsia="en-US"/>
        </w:rPr>
        <w:t xml:space="preserve">Appendix A. </w:t>
      </w:r>
      <w:r w:rsidRPr="00006513">
        <w:rPr>
          <w:rFonts w:eastAsia="Calibri"/>
          <w:lang w:eastAsia="en-US"/>
        </w:rPr>
        <w:fldChar w:fldCharType="begin"/>
      </w:r>
      <w:r w:rsidRPr="00006513">
        <w:rPr>
          <w:rFonts w:eastAsia="Calibri"/>
          <w:lang w:eastAsia="en-US"/>
        </w:rPr>
        <w:instrText xml:space="preserve"> REF _Ref428871352 \h </w:instrText>
      </w:r>
      <w:r>
        <w:rPr>
          <w:rFonts w:eastAsia="Calibri"/>
          <w:lang w:eastAsia="en-US"/>
        </w:rPr>
        <w:instrText xml:space="preserve"> \* MERGEFORMAT </w:instrText>
      </w:r>
      <w:r w:rsidRPr="00006513">
        <w:rPr>
          <w:rFonts w:eastAsia="Calibri"/>
          <w:lang w:eastAsia="en-US"/>
        </w:rPr>
      </w:r>
      <w:r w:rsidRPr="00006513">
        <w:rPr>
          <w:rFonts w:eastAsia="Calibri"/>
          <w:lang w:eastAsia="en-US"/>
        </w:rPr>
        <w:fldChar w:fldCharType="separate"/>
      </w:r>
      <w:r w:rsidR="00B62B50">
        <w:t xml:space="preserve">Figure </w:t>
      </w:r>
      <w:r w:rsidR="00B62B50">
        <w:rPr>
          <w:noProof/>
        </w:rPr>
        <w:t>3</w:t>
      </w:r>
      <w:r w:rsidR="00B62B50">
        <w:rPr>
          <w:noProof/>
        </w:rPr>
        <w:noBreakHyphen/>
        <w:t>2</w:t>
      </w:r>
      <w:r w:rsidRPr="00006513">
        <w:rPr>
          <w:rFonts w:eastAsia="Calibri"/>
          <w:lang w:eastAsia="en-US"/>
        </w:rPr>
        <w:fldChar w:fldCharType="end"/>
      </w:r>
      <w:r w:rsidR="00C05222">
        <w:rPr>
          <w:rFonts w:eastAsia="Calibri"/>
          <w:lang w:eastAsia="en-US"/>
        </w:rPr>
        <w:t xml:space="preserve"> </w:t>
      </w:r>
      <w:r w:rsidRPr="00006513">
        <w:rPr>
          <w:rFonts w:eastAsia="Calibri"/>
          <w:lang w:eastAsia="en-US"/>
        </w:rPr>
        <w:t xml:space="preserve">to </w:t>
      </w:r>
      <w:r w:rsidRPr="00C05222">
        <w:rPr>
          <w:rFonts w:eastAsia="Calibri"/>
          <w:lang w:eastAsia="en-US"/>
        </w:rPr>
        <w:fldChar w:fldCharType="begin"/>
      </w:r>
      <w:r w:rsidRPr="00C05222">
        <w:rPr>
          <w:rFonts w:eastAsia="Calibri"/>
          <w:lang w:eastAsia="en-US"/>
        </w:rPr>
        <w:instrText xml:space="preserve"> REF _Ref428852947 \h  \* MERGEFORMAT </w:instrText>
      </w:r>
      <w:r w:rsidRPr="00C05222">
        <w:rPr>
          <w:rFonts w:eastAsia="Calibri"/>
          <w:lang w:eastAsia="en-US"/>
        </w:rPr>
      </w:r>
      <w:r w:rsidRPr="00C05222">
        <w:rPr>
          <w:rFonts w:eastAsia="Calibri"/>
          <w:lang w:eastAsia="en-US"/>
        </w:rPr>
        <w:fldChar w:fldCharType="separate"/>
      </w:r>
      <w:r w:rsidR="00B62B50" w:rsidRPr="00482CB4">
        <w:rPr>
          <w:rFonts w:eastAsia="Calibri"/>
        </w:rPr>
        <w:t xml:space="preserve">Figure </w:t>
      </w:r>
      <w:r w:rsidR="00B62B50">
        <w:rPr>
          <w:rFonts w:eastAsia="Calibri"/>
          <w:noProof/>
        </w:rPr>
        <w:t>3</w:t>
      </w:r>
      <w:r w:rsidR="00B62B50">
        <w:rPr>
          <w:rFonts w:eastAsia="Calibri"/>
          <w:noProof/>
        </w:rPr>
        <w:noBreakHyphen/>
        <w:t>7</w:t>
      </w:r>
      <w:r w:rsidRPr="00C05222">
        <w:rPr>
          <w:rFonts w:eastAsia="Calibri"/>
          <w:lang w:eastAsia="en-US"/>
        </w:rPr>
        <w:fldChar w:fldCharType="end"/>
      </w:r>
      <w:r w:rsidRPr="00C05222">
        <w:rPr>
          <w:rFonts w:eastAsia="Calibri"/>
          <w:lang w:eastAsia="en-US"/>
        </w:rPr>
        <w:t xml:space="preserve"> </w:t>
      </w:r>
      <w:r w:rsidRPr="00C05222">
        <w:rPr>
          <w:rFonts w:eastAsia="Calibri"/>
          <w:lang w:eastAsia="en-US"/>
        </w:rPr>
        <w:fldChar w:fldCharType="begin"/>
      </w:r>
      <w:r w:rsidRPr="00C05222">
        <w:rPr>
          <w:rFonts w:eastAsia="Calibri"/>
          <w:lang w:eastAsia="en-US"/>
        </w:rPr>
        <w:instrText xml:space="preserve"> REF _Ref371609622 \h  \* MERGEFORMAT </w:instrText>
      </w:r>
      <w:r w:rsidRPr="00C05222">
        <w:rPr>
          <w:rFonts w:eastAsia="Calibri"/>
          <w:lang w:eastAsia="en-US"/>
        </w:rPr>
      </w:r>
      <w:r w:rsidRPr="00C05222">
        <w:rPr>
          <w:rFonts w:eastAsia="Calibri"/>
          <w:lang w:eastAsia="en-US"/>
        </w:rPr>
        <w:fldChar w:fldCharType="separate"/>
      </w:r>
      <w:r w:rsidR="00B62B50">
        <w:rPr>
          <w:rFonts w:eastAsia="Calibri"/>
          <w:b/>
          <w:bCs/>
          <w:lang w:val="en-US" w:eastAsia="en-US"/>
        </w:rPr>
        <w:t>Error! Reference source not found.</w:t>
      </w:r>
      <w:r w:rsidRPr="00C05222">
        <w:rPr>
          <w:rFonts w:eastAsia="Calibri"/>
          <w:lang w:eastAsia="en-US"/>
        </w:rPr>
        <w:fldChar w:fldCharType="end"/>
      </w:r>
      <w:r w:rsidRPr="00C05222">
        <w:rPr>
          <w:rFonts w:ascii="Calibri" w:eastAsia="Calibri" w:hAnsi="Calibri" w:cs="Times New Roman"/>
          <w:lang w:eastAsia="en-US"/>
        </w:rPr>
        <w:t>).</w:t>
      </w:r>
      <w:r w:rsidRPr="00DF1C49">
        <w:rPr>
          <w:rFonts w:ascii="Calibri" w:eastAsia="Calibri" w:hAnsi="Calibri" w:cs="Times New Roman"/>
          <w:lang w:eastAsia="en-US"/>
        </w:rPr>
        <w:t xml:space="preserve"> </w:t>
      </w:r>
    </w:p>
    <w:p w14:paraId="0C3F8970" w14:textId="77777777" w:rsidR="00C05222" w:rsidRDefault="00C05222" w:rsidP="00C05222">
      <w:r>
        <w:t xml:space="preserve">Analysis of spatial variation across all WQ parameters, considering the factors of salinity, distance and </w:t>
      </w:r>
      <w:r w:rsidR="00E67427">
        <w:t>5-day</w:t>
      </w:r>
      <w:r>
        <w:t xml:space="preserve"> average flow was performed on </w:t>
      </w:r>
      <w:r w:rsidRPr="0064679C">
        <w:t xml:space="preserve">Tully and Herbert </w:t>
      </w:r>
      <w:r w:rsidR="00E67427">
        <w:t xml:space="preserve">data </w:t>
      </w:r>
      <w:r w:rsidRPr="0064679C">
        <w:t xml:space="preserve">in the Wet Tropics; </w:t>
      </w:r>
      <w:r>
        <w:t xml:space="preserve">and the </w:t>
      </w:r>
      <w:r w:rsidRPr="0064679C">
        <w:t>Burdekin region</w:t>
      </w:r>
      <w:r>
        <w:t>.</w:t>
      </w:r>
      <w:r w:rsidRPr="0064679C">
        <w:t xml:space="preserve"> Salinity in the Tully and</w:t>
      </w:r>
      <w:r>
        <w:t xml:space="preserve"> Herbert is correlated with most of the forms of nitrogen and phosphorous, excluding the dissolved forms. River discharge correlates with DIN and Si for the Tully River samples and with TP for the Herbert. Distance </w:t>
      </w:r>
      <w:r w:rsidR="00E67427">
        <w:t xml:space="preserve">showed that OAC’s and Kd (PAR) generally decreased across distance from a river mouth, however these patterns were not always seen in the nutrient concentrations, which suggests strongly that discharge, tides, and prevailing winds also influence the concentrations across that distance gradients. </w:t>
      </w:r>
      <w:r>
        <w:t xml:space="preserve">Dissolved nutrients </w:t>
      </w:r>
      <w:r w:rsidR="00E67427">
        <w:t>were responsive to coastal</w:t>
      </w:r>
      <w:r>
        <w:t xml:space="preserve"> hydrodynamic, biological processes and </w:t>
      </w:r>
      <w:r w:rsidR="00E67427">
        <w:t>dilution</w:t>
      </w:r>
      <w:r>
        <w:t xml:space="preserve"> </w:t>
      </w:r>
      <w:r w:rsidR="00E67427">
        <w:t>across distance and discharge.</w:t>
      </w:r>
      <w:r>
        <w:t xml:space="preserve"> Note that these processes are examined over the whole of the wet season and </w:t>
      </w:r>
      <w:r w:rsidR="00E67427">
        <w:t xml:space="preserve">the </w:t>
      </w:r>
      <w:r>
        <w:t>individual events over single dates show a greater correlation with distance and salinity.</w:t>
      </w:r>
      <w:r w:rsidR="00E67427">
        <w:t xml:space="preserve"> The Burdekin showed clearer reductions over salinity and distance in response to defined flow events, however the scatter around the TSS values, DIN and DIP values are due to the flow conditions characterised by sampling in the flux (decline) of the second major flow event</w:t>
      </w:r>
      <w:r w:rsidR="008E03E9">
        <w:t xml:space="preserve"> (07-03-2013, 173,312 ML, </w:t>
      </w:r>
      <w:r w:rsidR="008E03E9">
        <w:fldChar w:fldCharType="begin"/>
      </w:r>
      <w:r w:rsidR="008E03E9">
        <w:instrText xml:space="preserve"> REF _Ref428873545 \h </w:instrText>
      </w:r>
      <w:r w:rsidR="008E03E9">
        <w:fldChar w:fldCharType="separate"/>
      </w:r>
      <w:r w:rsidR="00B62B50">
        <w:t xml:space="preserve">Figure </w:t>
      </w:r>
      <w:r w:rsidR="00B62B50">
        <w:rPr>
          <w:noProof/>
        </w:rPr>
        <w:t>4</w:t>
      </w:r>
      <w:r w:rsidR="00B62B50">
        <w:noBreakHyphen/>
      </w:r>
      <w:r w:rsidR="00B62B50">
        <w:rPr>
          <w:noProof/>
        </w:rPr>
        <w:t>2</w:t>
      </w:r>
      <w:r w:rsidR="008E03E9">
        <w:fldChar w:fldCharType="end"/>
      </w:r>
      <w:r w:rsidR="008E03E9">
        <w:t xml:space="preserve"> 4-2).</w:t>
      </w:r>
      <w:r w:rsidR="00E67427">
        <w:t xml:space="preserve"> The highest peak flow</w:t>
      </w:r>
      <w:r w:rsidR="005F304A">
        <w:t xml:space="preserve"> event</w:t>
      </w:r>
      <w:r w:rsidR="00E67427">
        <w:t xml:space="preserve"> was not captured in the Burdekin data</w:t>
      </w:r>
      <w:r w:rsidR="008E03E9">
        <w:t xml:space="preserve"> (Figure 4-2).</w:t>
      </w:r>
      <w:r w:rsidR="00E67427">
        <w:t xml:space="preserve"> </w:t>
      </w:r>
    </w:p>
    <w:p w14:paraId="0C3F8971" w14:textId="77777777" w:rsidR="009259F9" w:rsidRDefault="009259F9" w:rsidP="009259F9">
      <w:r>
        <w:t xml:space="preserve">Outcomes of the temporal analysis shows the Tully has several WQ parameters correlating significantly with river discharge, including TSS, TP, DIN, DIP and PP. For Franklins, TN, DIN and PN were significantly correlated with discharge. The dissolved nutrients were not significant for the Burdekin, but TN, TP, PN and PP all correlated strongly. The Fitzroy river discharge correlates with all the nitrogen species, including TN, DIN and PN. For most of the WQ parameters analysed, the best temporal model was obtained by using all variables, i.e., salinity, flow, distance, River and water type as random effects. For light extinction, the best model was obtained using salinity, distance and water type only, and for </w:t>
      </w:r>
      <w:r w:rsidR="005F304A">
        <w:t>chl</w:t>
      </w:r>
      <w:r>
        <w:t xml:space="preserve">-a, distance was used as a single random effect to produce the best model. The low r-squared indicates that in general the models do not explain much of the data variability, although they capture the general temporal trend of the data (all-significant at p &lt; 0.05). For </w:t>
      </w:r>
      <w:r w:rsidR="005F304A">
        <w:t>chl</w:t>
      </w:r>
      <w:r>
        <w:t>-a, DIN and DIP, one can see a clear reduction in values after a 2012, which was precede by an increasing in concentrations in 2010-11 wet season, corresponding to the Ex-Tropical Cyclone Yasi passage in January-February, 2011. Interesting to note that the same trend was observed for light attenuation, suggesting clear waters in 2010-11 wet season. As a general trend the majority of the parameters show reducing values towards the end of the analysed period, except for CDOM and DIP, which all show increasing values from 2013-13 wet season onwards.</w:t>
      </w:r>
    </w:p>
    <w:p w14:paraId="0C3F8972" w14:textId="77777777" w:rsidR="00131E41" w:rsidRPr="00DF1C49" w:rsidRDefault="00131E41" w:rsidP="00131E41">
      <w:pPr>
        <w:rPr>
          <w:rFonts w:ascii="Calibri" w:eastAsia="Calibri" w:hAnsi="Calibri" w:cs="Times New Roman"/>
          <w:lang w:eastAsia="en-US"/>
        </w:rPr>
      </w:pPr>
      <w:r>
        <w:rPr>
          <w:rFonts w:ascii="Calibri" w:eastAsia="Calibri" w:hAnsi="Calibri" w:cs="Times New Roman"/>
          <w:lang w:eastAsia="en-US"/>
        </w:rPr>
        <w:t>The river plume snapshots, as well as the river plume and plume water type frequency maps</w:t>
      </w:r>
      <w:r w:rsidRPr="00DF1C49">
        <w:rPr>
          <w:rFonts w:ascii="Calibri" w:eastAsia="Calibri" w:hAnsi="Calibri" w:cs="Times New Roman"/>
          <w:lang w:eastAsia="en-US"/>
        </w:rPr>
        <w:t xml:space="preserve"> illustrate GBR marine areas affected by river plume waters and inform on the type/composition of river plume through the Primary, Secondary, and Tertiary water type classification</w:t>
      </w:r>
      <w:r>
        <w:rPr>
          <w:rFonts w:ascii="Calibri" w:eastAsia="Calibri" w:hAnsi="Calibri" w:cs="Times New Roman"/>
          <w:lang w:eastAsia="en-US"/>
        </w:rPr>
        <w:t xml:space="preserve">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_Ref427659567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7</w:t>
      </w:r>
      <w:r>
        <w:rPr>
          <w:rFonts w:ascii="Calibri" w:eastAsia="Calibri" w:hAnsi="Calibri" w:cs="Times New Roman"/>
          <w:color w:val="000000" w:themeColor="text1"/>
          <w:lang w:eastAsia="en-US"/>
        </w:rPr>
        <w:fldChar w:fldCharType="end"/>
      </w:r>
      <w:r>
        <w:rPr>
          <w:rFonts w:ascii="Calibri" w:eastAsia="Calibri" w:hAnsi="Calibri" w:cs="Times New Roman"/>
          <w:color w:val="000000" w:themeColor="text1"/>
          <w:lang w:eastAsia="en-US"/>
        </w:rPr>
        <w:t xml:space="preserve"> to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_Ref432671675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14</w:t>
      </w:r>
      <w:r>
        <w:rPr>
          <w:rFonts w:ascii="Calibri" w:eastAsia="Calibri" w:hAnsi="Calibri" w:cs="Times New Roman"/>
          <w:color w:val="000000" w:themeColor="text1"/>
          <w:lang w:eastAsia="en-US"/>
        </w:rPr>
        <w:fldChar w:fldCharType="end"/>
      </w:r>
      <w:r>
        <w:rPr>
          <w:rFonts w:ascii="Calibri" w:eastAsia="Calibri" w:hAnsi="Calibri" w:cs="Times New Roman"/>
          <w:lang w:eastAsia="en-US"/>
        </w:rPr>
        <w:t>). They also inform</w:t>
      </w:r>
      <w:r w:rsidRPr="00DF1C49">
        <w:rPr>
          <w:rFonts w:ascii="Calibri" w:eastAsia="Calibri" w:hAnsi="Calibri" w:cs="Times New Roman"/>
          <w:lang w:eastAsia="en-US"/>
        </w:rPr>
        <w:t xml:space="preserve"> on the frequency of occurrence of these plume water types during the wet season 2012-13. These maps are in agreement with theoretical models (Geyer et al., 2004; Wiseman Jr and Garvine, 1995), previous physical oceanographic studies (Wolanski and Jones 1981; Wolanski and van Senden 1983), modelling studies (King et al., 1997) and previous MMP reports (e.g., Devlin et al., 2013a) of river plumes in the GBR, and suggest that river plumes are constrained close to the coast by </w:t>
      </w:r>
      <w:r>
        <w:rPr>
          <w:rFonts w:ascii="Calibri" w:eastAsia="Calibri" w:hAnsi="Calibri" w:cs="Times New Roman"/>
          <w:lang w:eastAsia="en-US"/>
        </w:rPr>
        <w:t xml:space="preserve">the </w:t>
      </w:r>
      <w:r w:rsidRPr="00DF1C49">
        <w:rPr>
          <w:rFonts w:ascii="Calibri" w:eastAsia="Calibri" w:hAnsi="Calibri" w:cs="Times New Roman"/>
          <w:lang w:eastAsia="en-US"/>
        </w:rPr>
        <w:t xml:space="preserve">Coriolis </w:t>
      </w:r>
      <w:r>
        <w:rPr>
          <w:rFonts w:ascii="Calibri" w:eastAsia="Calibri" w:hAnsi="Calibri" w:cs="Times New Roman"/>
          <w:lang w:eastAsia="en-US"/>
        </w:rPr>
        <w:t>effect</w:t>
      </w:r>
      <w:r w:rsidRPr="00DF1C49">
        <w:rPr>
          <w:rFonts w:ascii="Calibri" w:eastAsia="Calibri" w:hAnsi="Calibri" w:cs="Times New Roman"/>
          <w:lang w:eastAsia="en-US"/>
        </w:rPr>
        <w:t xml:space="preserve"> and the prevailing wind regime, limiting impacts on the more offshore ecosystems like coral reefs, while onshore ecosystems like seagrass beds are under a greatest risk from river plumes and associated pollutants. However under offshore wind conditions, river plumes can be deflected seaward (e.g., </w:t>
      </w:r>
      <w:r w:rsidRPr="00DF1C49">
        <w:rPr>
          <w:rFonts w:ascii="Calibri" w:eastAsia="Calibri" w:hAnsi="Calibri" w:cs="Times New Roman"/>
          <w:lang w:eastAsia="en-US"/>
        </w:rPr>
        <w:fldChar w:fldCharType="begin"/>
      </w:r>
      <w:r w:rsidRPr="00DF1C49">
        <w:rPr>
          <w:rFonts w:ascii="Calibri" w:eastAsia="Calibri" w:hAnsi="Calibri" w:cs="Times New Roman"/>
          <w:lang w:eastAsia="en-US"/>
        </w:rPr>
        <w:instrText xml:space="preserve"> REF _Ref372732581 \h  \* MERGEFORMAT </w:instrText>
      </w:r>
      <w:r w:rsidRPr="00DF1C49">
        <w:rPr>
          <w:rFonts w:ascii="Calibri" w:eastAsia="Calibri" w:hAnsi="Calibri" w:cs="Times New Roman"/>
          <w:lang w:eastAsia="en-US"/>
        </w:rPr>
      </w:r>
      <w:r w:rsidRPr="00DF1C49">
        <w:rPr>
          <w:rFonts w:ascii="Calibri" w:eastAsia="Calibri" w:hAnsi="Calibri" w:cs="Times New Roman"/>
          <w:lang w:eastAsia="en-US"/>
        </w:rPr>
        <w:fldChar w:fldCharType="separate"/>
      </w:r>
      <w:r w:rsidR="00B62B50">
        <w:rPr>
          <w:rFonts w:ascii="Calibri" w:eastAsia="Calibri" w:hAnsi="Calibri" w:cs="Times New Roman"/>
          <w:b/>
          <w:bCs/>
          <w:lang w:val="en-US" w:eastAsia="en-US"/>
        </w:rPr>
        <w:t>Error! Reference source not found.</w:t>
      </w:r>
      <w:r w:rsidRPr="00DF1C49">
        <w:rPr>
          <w:rFonts w:ascii="Calibri" w:eastAsia="Calibri" w:hAnsi="Calibri" w:cs="Times New Roman"/>
          <w:lang w:eastAsia="en-US"/>
        </w:rPr>
        <w:fldChar w:fldCharType="end"/>
      </w:r>
      <w:r w:rsidRPr="00DF1C49">
        <w:rPr>
          <w:rFonts w:ascii="Calibri" w:eastAsia="Calibri" w:hAnsi="Calibri" w:cs="Times New Roman"/>
          <w:lang w:eastAsia="en-US"/>
        </w:rPr>
        <w:t xml:space="preserve">) and occasionally to rarely (at the wet season scale) reach the mid and outer-shelf of the GBR reef. Mid and outer-shelf of the GBR reef are nevertheless more likely to be affected by the Tertiary water type (i.e., </w:t>
      </w:r>
      <w:r>
        <w:rPr>
          <w:rFonts w:ascii="Calibri" w:eastAsia="Calibri" w:hAnsi="Calibri" w:cs="Times New Roman"/>
          <w:lang w:eastAsia="en-US"/>
        </w:rPr>
        <w:t>less concentrated in land-sourced pollutants</w:t>
      </w:r>
      <w:r w:rsidRPr="00DF1C49">
        <w:rPr>
          <w:rFonts w:ascii="Calibri" w:eastAsia="Calibri" w:hAnsi="Calibri" w:cs="Times New Roman"/>
          <w:lang w:eastAsia="en-US"/>
        </w:rPr>
        <w:t xml:space="preserve">) than the Primary turbid core (i.e., </w:t>
      </w:r>
      <w:r>
        <w:rPr>
          <w:rFonts w:ascii="Calibri" w:eastAsia="Calibri" w:hAnsi="Calibri" w:cs="Times New Roman"/>
          <w:lang w:eastAsia="en-US"/>
        </w:rPr>
        <w:t>more</w:t>
      </w:r>
      <w:r w:rsidRPr="00C810EC">
        <w:rPr>
          <w:rFonts w:ascii="Calibri" w:eastAsia="Calibri" w:hAnsi="Calibri" w:cs="Times New Roman"/>
          <w:lang w:eastAsia="en-US"/>
        </w:rPr>
        <w:t xml:space="preserve"> concentrated in land-sourced pollutants</w:t>
      </w:r>
      <w:r w:rsidRPr="00DF1C49">
        <w:rPr>
          <w:rFonts w:ascii="Calibri" w:eastAsia="Calibri" w:hAnsi="Calibri" w:cs="Times New Roman"/>
          <w:lang w:eastAsia="en-US"/>
        </w:rPr>
        <w:t xml:space="preserve">) of the river plumes. As a result, a general inshore to offshore spatial pattern is present in </w:t>
      </w:r>
      <w:r>
        <w:rPr>
          <w:rFonts w:ascii="Calibri" w:eastAsia="Calibri" w:hAnsi="Calibri" w:cs="Times New Roman"/>
          <w:lang w:eastAsia="en-US"/>
        </w:rPr>
        <w:t xml:space="preserve">the potential </w:t>
      </w:r>
      <w:r w:rsidRPr="00DF1C49">
        <w:rPr>
          <w:rFonts w:ascii="Calibri" w:eastAsia="Calibri" w:hAnsi="Calibri" w:cs="Times New Roman"/>
          <w:lang w:eastAsia="en-US"/>
        </w:rPr>
        <w:t xml:space="preserve">risk maps </w:t>
      </w:r>
      <w:r>
        <w:rPr>
          <w:rFonts w:ascii="Calibri" w:eastAsia="Calibri" w:hAnsi="Calibri" w:cs="Times New Roman"/>
          <w:lang w:eastAsia="en-US"/>
        </w:rPr>
        <w:t xml:space="preserve">from plume exposure </w:t>
      </w:r>
      <w:r w:rsidRPr="00DF1C49">
        <w:rPr>
          <w:rFonts w:ascii="Calibri" w:eastAsia="Calibri" w:hAnsi="Calibri" w:cs="Times New Roman"/>
          <w:lang w:eastAsia="en-US"/>
        </w:rPr>
        <w:t xml:space="preserve">of </w:t>
      </w:r>
      <w:r>
        <w:rPr>
          <w:rFonts w:ascii="Calibri" w:eastAsia="Calibri" w:hAnsi="Calibri" w:cs="Times New Roman"/>
          <w:lang w:eastAsia="en-US"/>
        </w:rPr>
        <w:t xml:space="preserve">the </w:t>
      </w:r>
      <w:r w:rsidRPr="00DF1C49">
        <w:rPr>
          <w:rFonts w:ascii="Calibri" w:eastAsia="Calibri" w:hAnsi="Calibri" w:cs="Times New Roman"/>
          <w:lang w:eastAsia="en-US"/>
        </w:rPr>
        <w:t>201</w:t>
      </w:r>
      <w:r>
        <w:rPr>
          <w:rFonts w:ascii="Calibri" w:eastAsia="Calibri" w:hAnsi="Calibri" w:cs="Times New Roman"/>
          <w:lang w:eastAsia="en-US"/>
        </w:rPr>
        <w:t>2-1</w:t>
      </w:r>
      <w:r w:rsidRPr="00DF1C49">
        <w:rPr>
          <w:rFonts w:ascii="Calibri" w:eastAsia="Calibri" w:hAnsi="Calibri" w:cs="Times New Roman"/>
          <w:lang w:eastAsia="en-US"/>
        </w:rPr>
        <w:t>3</w:t>
      </w:r>
      <w:r>
        <w:rPr>
          <w:rFonts w:ascii="Calibri" w:eastAsia="Calibri" w:hAnsi="Calibri" w:cs="Times New Roman"/>
          <w:lang w:eastAsia="en-US"/>
        </w:rPr>
        <w:t xml:space="preserve"> wet season</w:t>
      </w:r>
      <w:r w:rsidRPr="00DF1C49">
        <w:rPr>
          <w:rFonts w:ascii="Calibri" w:eastAsia="Calibri" w:hAnsi="Calibri" w:cs="Times New Roman"/>
          <w:lang w:eastAsia="en-US"/>
        </w:rPr>
        <w:t>, with inshore areas and ecosystems within 10 to 30 km of the coast</w:t>
      </w:r>
      <w:r>
        <w:rPr>
          <w:rFonts w:ascii="Calibri" w:eastAsia="Calibri" w:hAnsi="Calibri" w:cs="Times New Roman"/>
          <w:lang w:eastAsia="en-US"/>
        </w:rPr>
        <w:t>, including the coastal (surveyed seagrass)</w:t>
      </w:r>
      <w:r w:rsidRPr="00DF1C49">
        <w:rPr>
          <w:rFonts w:ascii="Calibri" w:eastAsia="Calibri" w:hAnsi="Calibri" w:cs="Times New Roman"/>
          <w:lang w:eastAsia="en-US"/>
        </w:rPr>
        <w:t xml:space="preserve"> </w:t>
      </w:r>
      <w:r>
        <w:rPr>
          <w:rFonts w:ascii="Calibri" w:eastAsia="Calibri" w:hAnsi="Calibri" w:cs="Times New Roman"/>
          <w:lang w:eastAsia="en-US"/>
        </w:rPr>
        <w:t>estimated at</w:t>
      </w:r>
      <w:r w:rsidRPr="00DF1C49">
        <w:rPr>
          <w:rFonts w:ascii="Calibri" w:eastAsia="Calibri" w:hAnsi="Calibri" w:cs="Times New Roman"/>
          <w:lang w:eastAsia="en-US"/>
        </w:rPr>
        <w:t xml:space="preserve"> </w:t>
      </w:r>
      <w:r>
        <w:rPr>
          <w:rFonts w:ascii="Calibri" w:eastAsia="Calibri" w:hAnsi="Calibri" w:cs="Times New Roman"/>
          <w:lang w:eastAsia="en-US"/>
        </w:rPr>
        <w:t>the highest potential</w:t>
      </w:r>
      <w:r w:rsidRPr="00DF1C49">
        <w:rPr>
          <w:rFonts w:ascii="Calibri" w:eastAsia="Calibri" w:hAnsi="Calibri" w:cs="Times New Roman"/>
          <w:lang w:eastAsia="en-US"/>
        </w:rPr>
        <w:t xml:space="preserve"> risk</w:t>
      </w:r>
      <w:r>
        <w:rPr>
          <w:rFonts w:ascii="Calibri" w:eastAsia="Calibri" w:hAnsi="Calibri" w:cs="Times New Roman"/>
          <w:lang w:eastAsia="en-US"/>
        </w:rPr>
        <w:t xml:space="preserve"> (categories III and IV) from river plume exposure,</w:t>
      </w:r>
      <w:r w:rsidRPr="00DF1C49">
        <w:rPr>
          <w:rFonts w:ascii="Calibri" w:eastAsia="Calibri" w:hAnsi="Calibri" w:cs="Times New Roman"/>
          <w:lang w:eastAsia="en-US"/>
        </w:rPr>
        <w:t xml:space="preserve"> and offshore areas</w:t>
      </w:r>
      <w:r>
        <w:rPr>
          <w:rFonts w:ascii="Calibri" w:eastAsia="Calibri" w:hAnsi="Calibri" w:cs="Times New Roman"/>
          <w:lang w:eastAsia="en-US"/>
        </w:rPr>
        <w:t xml:space="preserve"> and ecosystems, including the offshore seagrass and coral reef,</w:t>
      </w:r>
      <w:r w:rsidRPr="00DF1C49">
        <w:rPr>
          <w:rFonts w:ascii="Calibri" w:eastAsia="Calibri" w:hAnsi="Calibri" w:cs="Times New Roman"/>
          <w:lang w:eastAsia="en-US"/>
        </w:rPr>
        <w:t xml:space="preserve"> </w:t>
      </w:r>
      <w:r>
        <w:rPr>
          <w:rFonts w:ascii="Calibri" w:eastAsia="Calibri" w:hAnsi="Calibri" w:cs="Times New Roman"/>
          <w:lang w:eastAsia="en-US"/>
        </w:rPr>
        <w:t>estimated at</w:t>
      </w:r>
      <w:r w:rsidRPr="00DF1C49">
        <w:rPr>
          <w:rFonts w:ascii="Calibri" w:eastAsia="Calibri" w:hAnsi="Calibri" w:cs="Times New Roman"/>
          <w:lang w:eastAsia="en-US"/>
        </w:rPr>
        <w:t xml:space="preserve"> low</w:t>
      </w:r>
      <w:r>
        <w:rPr>
          <w:rFonts w:ascii="Calibri" w:eastAsia="Calibri" w:hAnsi="Calibri" w:cs="Times New Roman"/>
          <w:lang w:eastAsia="en-US"/>
        </w:rPr>
        <w:t>er</w:t>
      </w:r>
      <w:r w:rsidRPr="00DF1C49">
        <w:rPr>
          <w:rFonts w:ascii="Calibri" w:eastAsia="Calibri" w:hAnsi="Calibri" w:cs="Times New Roman"/>
          <w:lang w:eastAsia="en-US"/>
        </w:rPr>
        <w:t xml:space="preserve"> risk from river plume water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_Ref427754111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17</w:t>
      </w:r>
      <w:r>
        <w:rPr>
          <w:rFonts w:ascii="Calibri" w:eastAsia="Calibri" w:hAnsi="Calibri" w:cs="Times New Roman"/>
          <w:lang w:eastAsia="en-US"/>
        </w:rPr>
        <w:fldChar w:fldCharType="end"/>
      </w:r>
      <w:r w:rsidRPr="00DF1C49">
        <w:rPr>
          <w:rFonts w:ascii="Calibri" w:eastAsia="Calibri" w:hAnsi="Calibri" w:cs="Times New Roman"/>
          <w:lang w:eastAsia="en-US"/>
        </w:rPr>
        <w:t>).</w:t>
      </w:r>
    </w:p>
    <w:p w14:paraId="0C3F8973" w14:textId="77777777" w:rsidR="00131E41" w:rsidRPr="00DF1C49" w:rsidRDefault="00131E41" w:rsidP="00131E41">
      <w:pPr>
        <w:rPr>
          <w:rFonts w:ascii="Calibri" w:eastAsia="Calibri" w:hAnsi="Calibri" w:cs="Times New Roman"/>
          <w:highlight w:val="cyan"/>
          <w:lang w:eastAsia="en-US"/>
        </w:rPr>
      </w:pPr>
      <w:r w:rsidRPr="00DF1C49">
        <w:rPr>
          <w:rFonts w:ascii="Calibri" w:eastAsia="Calibri" w:hAnsi="Calibri" w:cs="Times New Roman"/>
          <w:lang w:eastAsia="en-US"/>
        </w:rPr>
        <w:t xml:space="preserve">Differences </w:t>
      </w:r>
      <w:r>
        <w:rPr>
          <w:rFonts w:ascii="Calibri" w:eastAsia="Calibri" w:hAnsi="Calibri" w:cs="Times New Roman"/>
          <w:lang w:eastAsia="en-US"/>
        </w:rPr>
        <w:t xml:space="preserve">also </w:t>
      </w:r>
      <w:r w:rsidRPr="00DF1C49">
        <w:rPr>
          <w:rFonts w:ascii="Calibri" w:eastAsia="Calibri" w:hAnsi="Calibri" w:cs="Times New Roman"/>
          <w:lang w:eastAsia="en-US"/>
        </w:rPr>
        <w:t xml:space="preserve">exist between NRMs and, for example, coastal waters of the Burdekin NRM are more often exposed to Primary waters (i.e., sediment dominated water type, </w:t>
      </w:r>
      <w:r w:rsidRPr="00DF1C49">
        <w:rPr>
          <w:rFonts w:ascii="Calibri" w:eastAsia="Calibri" w:hAnsi="Calibri" w:cs="Times New Roman"/>
          <w:lang w:eastAsia="en-US"/>
        </w:rPr>
        <w:fldChar w:fldCharType="begin"/>
      </w:r>
      <w:r w:rsidRPr="00DF1C49">
        <w:rPr>
          <w:rFonts w:ascii="Calibri" w:eastAsia="Calibri" w:hAnsi="Calibri" w:cs="Times New Roman"/>
          <w:lang w:eastAsia="en-US"/>
        </w:rPr>
        <w:instrText xml:space="preserve"> REF _Ref372729282 \h  \* MERGEFORMAT </w:instrText>
      </w:r>
      <w:r w:rsidRPr="00DF1C49">
        <w:rPr>
          <w:rFonts w:ascii="Calibri" w:eastAsia="Calibri" w:hAnsi="Calibri" w:cs="Times New Roman"/>
          <w:lang w:eastAsia="en-US"/>
        </w:rPr>
      </w:r>
      <w:r w:rsidRPr="00DF1C49">
        <w:rPr>
          <w:rFonts w:ascii="Calibri" w:eastAsia="Calibri" w:hAnsi="Calibri" w:cs="Times New Roman"/>
          <w:lang w:eastAsia="en-US"/>
        </w:rPr>
        <w:fldChar w:fldCharType="separate"/>
      </w:r>
      <w:r w:rsidR="00B62B50">
        <w:rPr>
          <w:rFonts w:ascii="Calibri" w:eastAsia="Calibri" w:hAnsi="Calibri" w:cs="Times New Roman"/>
          <w:b/>
          <w:bCs/>
          <w:lang w:val="en-US" w:eastAsia="en-US"/>
        </w:rPr>
        <w:t>Error! Reference source not found.</w:t>
      </w:r>
      <w:r w:rsidRPr="00DF1C49">
        <w:rPr>
          <w:rFonts w:ascii="Calibri" w:eastAsia="Calibri" w:hAnsi="Calibri" w:cs="Times New Roman"/>
          <w:lang w:eastAsia="en-US"/>
        </w:rPr>
        <w:fldChar w:fldCharType="end"/>
      </w:r>
      <w:r w:rsidRPr="00DF1C49">
        <w:rPr>
          <w:rFonts w:ascii="Calibri" w:eastAsia="Calibri" w:hAnsi="Calibri" w:cs="Times New Roman"/>
          <w:lang w:eastAsia="en-US"/>
        </w:rPr>
        <w:t xml:space="preserve">) than coastal waters of the Wet Tropic NRM. </w:t>
      </w:r>
      <w:r>
        <w:rPr>
          <w:rFonts w:ascii="Calibri" w:eastAsia="Calibri" w:hAnsi="Calibri" w:cs="Times New Roman"/>
          <w:lang w:eastAsia="en-US"/>
        </w:rPr>
        <w:t>Conversely,</w:t>
      </w:r>
      <w:r w:rsidRPr="00DF1C49">
        <w:rPr>
          <w:rFonts w:ascii="Calibri" w:eastAsia="Calibri" w:hAnsi="Calibri" w:cs="Times New Roman"/>
          <w:lang w:eastAsia="en-US"/>
        </w:rPr>
        <w:t xml:space="preserve"> marine areas occasionally to frequently exposed to Secondary and Tertiary water types are more extended in the Wet Tropic NRM than in the Burdekin NRM</w:t>
      </w:r>
      <w:r>
        <w:rPr>
          <w:rFonts w:ascii="Calibri" w:eastAsia="Calibri" w:hAnsi="Calibri" w:cs="Times New Roman"/>
          <w:lang w:eastAsia="en-US"/>
        </w:rPr>
        <w:t xml:space="preserve"> (</w:t>
      </w:r>
      <w:r>
        <w:rPr>
          <w:rFonts w:ascii="Calibri" w:eastAsia="Calibri" w:hAnsi="Calibri" w:cs="Times New Roman"/>
          <w:color w:val="000000" w:themeColor="text1"/>
          <w:lang w:eastAsia="en-US"/>
        </w:rPr>
        <w:fldChar w:fldCharType="begin"/>
      </w:r>
      <w:r>
        <w:rPr>
          <w:rFonts w:ascii="Calibri" w:eastAsia="Calibri" w:hAnsi="Calibri" w:cs="Times New Roman"/>
          <w:lang w:eastAsia="en-US"/>
        </w:rPr>
        <w:instrText xml:space="preserve"> REF _Ref432671776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9</w:t>
      </w:r>
      <w:r>
        <w:rPr>
          <w:rFonts w:ascii="Calibri" w:eastAsia="Calibri" w:hAnsi="Calibri" w:cs="Times New Roman"/>
          <w:color w:val="000000" w:themeColor="text1"/>
          <w:lang w:eastAsia="en-US"/>
        </w:rPr>
        <w:fldChar w:fldCharType="end"/>
      </w:r>
      <w:r>
        <w:rPr>
          <w:rFonts w:ascii="Calibri" w:eastAsia="Calibri" w:hAnsi="Calibri" w:cs="Times New Roman"/>
          <w:color w:val="000000" w:themeColor="text1"/>
          <w:lang w:eastAsia="en-US"/>
        </w:rPr>
        <w:t xml:space="preserve"> to </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_Ref432671675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14</w:t>
      </w:r>
      <w:r>
        <w:rPr>
          <w:rFonts w:ascii="Calibri" w:eastAsia="Calibri" w:hAnsi="Calibri" w:cs="Times New Roman"/>
          <w:color w:val="000000" w:themeColor="text1"/>
          <w:lang w:eastAsia="en-US"/>
        </w:rPr>
        <w:fldChar w:fldCharType="end"/>
      </w:r>
      <w:r>
        <w:rPr>
          <w:rFonts w:ascii="Calibri" w:eastAsia="Calibri" w:hAnsi="Calibri" w:cs="Times New Roman"/>
          <w:lang w:eastAsia="en-US"/>
        </w:rPr>
        <w:t>)</w:t>
      </w:r>
      <w:r w:rsidRPr="00DF1C49">
        <w:rPr>
          <w:rFonts w:ascii="Calibri" w:eastAsia="Calibri" w:hAnsi="Calibri" w:cs="Times New Roman"/>
          <w:lang w:eastAsia="en-US"/>
        </w:rPr>
        <w:t xml:space="preserve">. These results are in agreement with current knowledge as high TSS concentrations have been mainly linked to grazing activities in the Dry Tropics and particularly the Burdekin NRM; while occurrence of coastal waters with elevated concentrations of dissolved inorganic nitrogen (DIN) has been linked to fertilised agriculture (predominantly sugarcane) in the Wet Tropics region (e.g., Brodie et al., 2008a, 2008b, 2012; Brodie and Waterhouse, 2009). </w:t>
      </w:r>
      <w:r>
        <w:rPr>
          <w:rFonts w:ascii="Calibri" w:eastAsia="Calibri" w:hAnsi="Calibri" w:cs="Times New Roman"/>
          <w:lang w:eastAsia="en-US"/>
        </w:rPr>
        <w:t>The</w:t>
      </w:r>
      <w:r w:rsidRPr="00DF1C49">
        <w:rPr>
          <w:rFonts w:ascii="Calibri" w:eastAsia="Calibri" w:hAnsi="Calibri" w:cs="Times New Roman"/>
          <w:lang w:eastAsia="en-US"/>
        </w:rPr>
        <w:t xml:space="preserve"> </w:t>
      </w:r>
      <w:r>
        <w:rPr>
          <w:rFonts w:ascii="Calibri" w:eastAsia="Calibri" w:hAnsi="Calibri" w:cs="Times New Roman"/>
          <w:lang w:eastAsia="en-US"/>
        </w:rPr>
        <w:t xml:space="preserve">GBR </w:t>
      </w:r>
      <w:r w:rsidRPr="00DF1C49">
        <w:rPr>
          <w:rFonts w:ascii="Calibri" w:eastAsia="Calibri" w:hAnsi="Calibri" w:cs="Times New Roman"/>
          <w:lang w:eastAsia="en-US"/>
        </w:rPr>
        <w:t xml:space="preserve">areas </w:t>
      </w:r>
      <w:r>
        <w:rPr>
          <w:rFonts w:ascii="Calibri" w:eastAsia="Calibri" w:hAnsi="Calibri" w:cs="Times New Roman"/>
          <w:lang w:eastAsia="en-US"/>
        </w:rPr>
        <w:t xml:space="preserve">estimated </w:t>
      </w:r>
      <w:r w:rsidRPr="00DF1C49">
        <w:rPr>
          <w:rFonts w:ascii="Calibri" w:eastAsia="Calibri" w:hAnsi="Calibri" w:cs="Times New Roman"/>
          <w:lang w:eastAsia="en-US"/>
        </w:rPr>
        <w:t xml:space="preserve">under </w:t>
      </w:r>
      <w:r>
        <w:rPr>
          <w:rFonts w:ascii="Calibri" w:eastAsia="Calibri" w:hAnsi="Calibri" w:cs="Times New Roman"/>
          <w:lang w:eastAsia="en-US"/>
        </w:rPr>
        <w:t xml:space="preserve">a potential </w:t>
      </w:r>
      <w:r w:rsidRPr="00DF1C49">
        <w:rPr>
          <w:rFonts w:ascii="Calibri" w:eastAsia="Calibri" w:hAnsi="Calibri" w:cs="Times New Roman"/>
          <w:lang w:eastAsia="en-US"/>
        </w:rPr>
        <w:t>risk from river plume</w:t>
      </w:r>
      <w:r>
        <w:rPr>
          <w:rFonts w:ascii="Calibri" w:eastAsia="Calibri" w:hAnsi="Calibri" w:cs="Times New Roman"/>
          <w:lang w:eastAsia="en-US"/>
        </w:rPr>
        <w:t xml:space="preserve"> exposure</w:t>
      </w:r>
      <w:r w:rsidRPr="00DF1C49">
        <w:rPr>
          <w:rFonts w:ascii="Calibri" w:eastAsia="Calibri" w:hAnsi="Calibri" w:cs="Times New Roman"/>
          <w:lang w:eastAsia="en-US"/>
        </w:rPr>
        <w:t xml:space="preserve"> extended 85 km offshore of the Herbert River mouth and 60 km offshore of the Burdekin River mouth (if measured along a NE/SW strait line from both estuary mouths</w:t>
      </w:r>
      <w:r>
        <w:rPr>
          <w:rFonts w:ascii="Calibri" w:eastAsia="Calibri" w:hAnsi="Calibri" w:cs="Times New Roman"/>
          <w:lang w:eastAsia="en-US"/>
        </w:rPr>
        <w:t xml:space="preserv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_Ref427754111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17</w:t>
      </w:r>
      <w:r>
        <w:rPr>
          <w:rFonts w:ascii="Calibri" w:eastAsia="Calibri" w:hAnsi="Calibri" w:cs="Times New Roman"/>
          <w:lang w:eastAsia="en-US"/>
        </w:rPr>
        <w:fldChar w:fldCharType="end"/>
      </w:r>
      <w:r w:rsidRPr="00DF1C49">
        <w:rPr>
          <w:rFonts w:ascii="Calibri" w:eastAsia="Calibri" w:hAnsi="Calibri" w:cs="Times New Roman"/>
          <w:lang w:eastAsia="en-US"/>
        </w:rPr>
        <w:t>.</w:t>
      </w:r>
    </w:p>
    <w:p w14:paraId="0C3F8974" w14:textId="77777777" w:rsidR="00131E41" w:rsidRDefault="00131E41" w:rsidP="00131E41">
      <w:pPr>
        <w:spacing w:after="200" w:line="276" w:lineRule="auto"/>
        <w:rPr>
          <w:rFonts w:ascii="Calibri" w:eastAsia="Calibri" w:hAnsi="Calibri" w:cs="Times New Roman"/>
          <w:lang w:eastAsia="en-US"/>
        </w:rPr>
      </w:pPr>
      <w:r>
        <w:rPr>
          <w:rFonts w:ascii="Calibri" w:eastAsia="Calibri" w:hAnsi="Calibri" w:cs="Times New Roman"/>
          <w:lang w:eastAsia="en-US"/>
        </w:rPr>
        <w:t>From the 2012-13 plume frequency maps and potential risk map, it was estimated that:</w:t>
      </w:r>
    </w:p>
    <w:p w14:paraId="0C3F8975" w14:textId="77777777" w:rsidR="00131E41" w:rsidRDefault="00131E41" w:rsidP="00C05A63">
      <w:pPr>
        <w:pStyle w:val="ListParagraph"/>
        <w:numPr>
          <w:ilvl w:val="0"/>
          <w:numId w:val="24"/>
        </w:numPr>
        <w:spacing w:before="0" w:after="200" w:line="276" w:lineRule="auto"/>
        <w:rPr>
          <w:rFonts w:ascii="Calibri" w:eastAsia="Calibri" w:hAnsi="Calibri" w:cs="Times New Roman"/>
          <w:lang w:eastAsia="en-US"/>
        </w:rPr>
      </w:pPr>
      <w:r w:rsidRPr="00DF1C49">
        <w:rPr>
          <w:rFonts w:ascii="Calibri" w:eastAsia="Calibri" w:hAnsi="Calibri" w:cs="Times New Roman"/>
          <w:lang w:eastAsia="en-US"/>
        </w:rPr>
        <w:t xml:space="preserve">The </w:t>
      </w:r>
      <w:r>
        <w:rPr>
          <w:rFonts w:ascii="Calibri" w:eastAsia="Calibri" w:hAnsi="Calibri" w:cs="Times New Roman"/>
          <w:lang w:eastAsia="en-US"/>
        </w:rPr>
        <w:t>total GBR</w:t>
      </w:r>
      <w:r w:rsidRPr="00DF1C49">
        <w:rPr>
          <w:rFonts w:ascii="Calibri" w:eastAsia="Calibri" w:hAnsi="Calibri" w:cs="Times New Roman"/>
          <w:lang w:eastAsia="en-US"/>
        </w:rPr>
        <w:t xml:space="preserve"> area</w:t>
      </w:r>
      <w:r>
        <w:rPr>
          <w:rFonts w:ascii="Calibri" w:eastAsia="Calibri" w:hAnsi="Calibri" w:cs="Times New Roman"/>
          <w:lang w:eastAsia="en-US"/>
        </w:rPr>
        <w:t xml:space="preserve"> exposed to</w:t>
      </w:r>
      <w:r w:rsidRPr="00DF1C49">
        <w:rPr>
          <w:rFonts w:ascii="Calibri" w:eastAsia="Calibri" w:hAnsi="Calibri" w:cs="Times New Roman"/>
          <w:lang w:eastAsia="en-US"/>
        </w:rPr>
        <w:t xml:space="preserve"> </w:t>
      </w:r>
      <w:r>
        <w:rPr>
          <w:rFonts w:ascii="Calibri" w:eastAsia="Calibri" w:hAnsi="Calibri" w:cs="Times New Roman"/>
          <w:lang w:eastAsia="en-US"/>
        </w:rPr>
        <w:t xml:space="preserve">river </w:t>
      </w:r>
      <w:r w:rsidRPr="00DF1C49">
        <w:rPr>
          <w:rFonts w:ascii="Calibri" w:eastAsia="Calibri" w:hAnsi="Calibri" w:cs="Times New Roman"/>
          <w:lang w:eastAsia="en-US"/>
        </w:rPr>
        <w:t>plume waters</w:t>
      </w:r>
      <w:r>
        <w:rPr>
          <w:rFonts w:ascii="Calibri" w:eastAsia="Calibri" w:hAnsi="Calibri" w:cs="Times New Roman"/>
          <w:lang w:eastAsia="en-US"/>
        </w:rPr>
        <w:t xml:space="preserve"> was </w:t>
      </w:r>
      <w:r w:rsidRPr="00DF1C49">
        <w:rPr>
          <w:rFonts w:ascii="Calibri" w:eastAsia="Calibri" w:hAnsi="Calibri" w:cs="Times New Roman"/>
          <w:lang w:eastAsia="en-US"/>
        </w:rPr>
        <w:t>153852 km</w:t>
      </w:r>
      <w:r w:rsidRPr="00DF1C49">
        <w:rPr>
          <w:rFonts w:ascii="Calibri" w:eastAsia="Calibri" w:hAnsi="Calibri" w:cs="Times New Roman"/>
          <w:vertAlign w:val="superscript"/>
          <w:lang w:eastAsia="en-US"/>
        </w:rPr>
        <w:t>2</w:t>
      </w:r>
      <w:r w:rsidRPr="00DF1C49">
        <w:rPr>
          <w:rFonts w:ascii="Calibri" w:eastAsia="Calibri" w:hAnsi="Calibri" w:cs="Times New Roman"/>
          <w:lang w:eastAsia="en-US"/>
        </w:rPr>
        <w:t xml:space="preserve"> i.e., 44% of the GBR</w:t>
      </w:r>
      <w:r>
        <w:rPr>
          <w:rFonts w:ascii="Calibri" w:eastAsia="Calibri" w:hAnsi="Calibri" w:cs="Times New Roman"/>
          <w:lang w:eastAsia="en-US"/>
        </w:rPr>
        <w:t xml:space="preserve">, with </w:t>
      </w:r>
      <w:r w:rsidRPr="00465C8C">
        <w:rPr>
          <w:rFonts w:ascii="Calibri" w:eastAsia="Calibri" w:hAnsi="Calibri" w:cs="Times New Roman"/>
          <w:lang w:eastAsia="en-US"/>
        </w:rPr>
        <w:t>63027 km</w:t>
      </w:r>
      <w:r w:rsidRPr="00465C8C">
        <w:rPr>
          <w:rFonts w:ascii="Calibri" w:eastAsia="Calibri" w:hAnsi="Calibri" w:cs="Times New Roman"/>
          <w:vertAlign w:val="superscript"/>
          <w:lang w:eastAsia="en-US"/>
        </w:rPr>
        <w:t>2</w:t>
      </w:r>
      <w:r w:rsidRPr="00465C8C">
        <w:rPr>
          <w:rFonts w:ascii="Calibri" w:eastAsia="Calibri" w:hAnsi="Calibri" w:cs="Times New Roman"/>
          <w:lang w:eastAsia="en-US"/>
        </w:rPr>
        <w:t xml:space="preserve"> </w:t>
      </w:r>
      <w:r>
        <w:rPr>
          <w:rFonts w:ascii="Calibri" w:eastAsia="Calibri" w:hAnsi="Calibri" w:cs="Times New Roman"/>
          <w:lang w:eastAsia="en-US"/>
        </w:rPr>
        <w:t>(</w:t>
      </w:r>
      <w:r w:rsidRPr="00465C8C">
        <w:rPr>
          <w:rFonts w:ascii="Calibri" w:eastAsia="Calibri" w:hAnsi="Calibri" w:cs="Times New Roman"/>
          <w:lang w:eastAsia="en-US"/>
        </w:rPr>
        <w:t>18% of the GBR</w:t>
      </w:r>
      <w:r>
        <w:rPr>
          <w:rFonts w:ascii="Calibri" w:eastAsia="Calibri" w:hAnsi="Calibri" w:cs="Times New Roman"/>
          <w:lang w:eastAsia="en-US"/>
        </w:rPr>
        <w:t xml:space="preserve">) </w:t>
      </w:r>
      <w:r w:rsidRPr="00465C8C">
        <w:rPr>
          <w:rFonts w:ascii="Calibri" w:eastAsia="Calibri" w:hAnsi="Calibri" w:cs="Times New Roman"/>
          <w:lang w:eastAsia="en-US"/>
        </w:rPr>
        <w:t>very frequently to frequently exposed to river plume</w:t>
      </w:r>
      <w:r>
        <w:rPr>
          <w:rFonts w:ascii="Calibri" w:eastAsia="Calibri" w:hAnsi="Calibri" w:cs="Times New Roman"/>
          <w:lang w:eastAsia="en-US"/>
        </w:rPr>
        <w:t xml:space="preserve">. i.e., more than 15 weeks out of the 22 (68 %) of the wet season. </w:t>
      </w:r>
    </w:p>
    <w:p w14:paraId="0C3F8976" w14:textId="77777777" w:rsidR="00131E41" w:rsidRPr="0028650F" w:rsidRDefault="00131E41" w:rsidP="00C05A63">
      <w:pPr>
        <w:pStyle w:val="ListParagraph"/>
        <w:numPr>
          <w:ilvl w:val="0"/>
          <w:numId w:val="24"/>
        </w:numPr>
        <w:spacing w:before="0" w:after="200" w:line="276" w:lineRule="auto"/>
        <w:rPr>
          <w:rFonts w:ascii="Calibri" w:eastAsia="Calibri" w:hAnsi="Calibri" w:cs="Times New Roman"/>
          <w:lang w:eastAsia="en-US"/>
        </w:rPr>
      </w:pPr>
      <w:r w:rsidRPr="0028650F">
        <w:rPr>
          <w:rFonts w:ascii="Calibri" w:eastAsia="Calibri" w:hAnsi="Calibri" w:cs="Times New Roman"/>
          <w:lang w:eastAsia="en-US"/>
        </w:rPr>
        <w:t xml:space="preserve">NRM areas </w:t>
      </w:r>
      <w:r w:rsidRPr="007228D6">
        <w:rPr>
          <w:rFonts w:ascii="Calibri" w:eastAsia="Calibri" w:hAnsi="Calibri" w:cs="Times New Roman"/>
          <w:lang w:eastAsia="en-US"/>
        </w:rPr>
        <w:t>very frequently to frequently exposed</w:t>
      </w:r>
      <w:r w:rsidRPr="0028650F">
        <w:rPr>
          <w:rFonts w:ascii="Calibri" w:eastAsia="Calibri" w:hAnsi="Calibri" w:cs="Times New Roman"/>
          <w:lang w:eastAsia="en-US"/>
        </w:rPr>
        <w:t xml:space="preserve"> ranged from 2050 km</w:t>
      </w:r>
      <w:r w:rsidRPr="0028650F">
        <w:rPr>
          <w:rFonts w:ascii="Calibri" w:eastAsia="Calibri" w:hAnsi="Calibri" w:cs="Times New Roman"/>
          <w:vertAlign w:val="superscript"/>
          <w:lang w:eastAsia="en-US"/>
        </w:rPr>
        <w:t>2</w:t>
      </w:r>
      <w:r w:rsidRPr="0028650F">
        <w:rPr>
          <w:rFonts w:ascii="Calibri" w:eastAsia="Calibri" w:hAnsi="Calibri" w:cs="Times New Roman"/>
          <w:lang w:eastAsia="en-US"/>
        </w:rPr>
        <w:t xml:space="preserve"> in Burnett-Mary (i.e., 5% of the Burnett-Mary NRM) to 18522 km</w:t>
      </w:r>
      <w:r w:rsidRPr="0028650F">
        <w:rPr>
          <w:rFonts w:ascii="Calibri" w:eastAsia="Calibri" w:hAnsi="Calibri" w:cs="Times New Roman"/>
          <w:vertAlign w:val="superscript"/>
          <w:lang w:eastAsia="en-US"/>
        </w:rPr>
        <w:t>2</w:t>
      </w:r>
      <w:r w:rsidRPr="0028650F">
        <w:rPr>
          <w:rFonts w:ascii="Calibri" w:eastAsia="Calibri" w:hAnsi="Calibri" w:cs="Times New Roman"/>
          <w:lang w:eastAsia="en-US"/>
        </w:rPr>
        <w:t xml:space="preserve"> (21%) in the Fitzroy NRM. </w:t>
      </w:r>
    </w:p>
    <w:p w14:paraId="0C3F8977" w14:textId="77777777" w:rsidR="00131E41" w:rsidRDefault="00131E41" w:rsidP="00C05A63">
      <w:pPr>
        <w:pStyle w:val="ListParagraph"/>
        <w:numPr>
          <w:ilvl w:val="0"/>
          <w:numId w:val="24"/>
        </w:numPr>
        <w:spacing w:before="0" w:after="200" w:line="276" w:lineRule="auto"/>
        <w:rPr>
          <w:rFonts w:ascii="Calibri" w:eastAsia="Calibri" w:hAnsi="Calibri" w:cs="Times New Roman"/>
          <w:lang w:eastAsia="en-US"/>
        </w:rPr>
      </w:pPr>
      <w:r>
        <w:rPr>
          <w:rFonts w:ascii="Calibri" w:eastAsia="Calibri" w:hAnsi="Calibri" w:cs="Times New Roman"/>
          <w:lang w:eastAsia="en-US"/>
        </w:rPr>
        <w:t>Twelve</w:t>
      </w:r>
      <w:r w:rsidRPr="00485511">
        <w:rPr>
          <w:rFonts w:ascii="Calibri" w:eastAsia="Calibri" w:hAnsi="Calibri" w:cs="Times New Roman"/>
          <w:lang w:eastAsia="en-US"/>
        </w:rPr>
        <w:t xml:space="preserve"> </w:t>
      </w:r>
      <w:r>
        <w:rPr>
          <w:rFonts w:ascii="Calibri" w:eastAsia="Calibri" w:hAnsi="Calibri" w:cs="Times New Roman"/>
          <w:lang w:eastAsia="en-US"/>
        </w:rPr>
        <w:t>percent</w:t>
      </w:r>
      <w:r w:rsidRPr="00DF1C49">
        <w:rPr>
          <w:rFonts w:ascii="Calibri" w:eastAsia="Calibri" w:hAnsi="Calibri" w:cs="Times New Roman"/>
          <w:lang w:eastAsia="en-US"/>
        </w:rPr>
        <w:t xml:space="preserve"> (</w:t>
      </w:r>
      <w:r w:rsidRPr="009D15DC">
        <w:rPr>
          <w:rFonts w:ascii="Calibri" w:eastAsia="Calibri" w:hAnsi="Calibri" w:cs="Times New Roman"/>
          <w:lang w:eastAsia="en-US"/>
        </w:rPr>
        <w:t>Mackay-Whitsundays</w:t>
      </w:r>
      <w:r w:rsidRPr="009D15DC" w:rsidDel="009D15DC">
        <w:rPr>
          <w:rFonts w:ascii="Calibri" w:eastAsia="Calibri" w:hAnsi="Calibri" w:cs="Times New Roman"/>
          <w:lang w:eastAsia="en-US"/>
        </w:rPr>
        <w:t xml:space="preserve"> </w:t>
      </w:r>
      <w:r w:rsidRPr="00DF1C49">
        <w:rPr>
          <w:rFonts w:ascii="Calibri" w:eastAsia="Calibri" w:hAnsi="Calibri" w:cs="Times New Roman"/>
          <w:lang w:eastAsia="en-US"/>
        </w:rPr>
        <w:t>NRM) to 100% (Burnett-Mary NRM</w:t>
      </w:r>
      <w:r>
        <w:rPr>
          <w:rFonts w:ascii="Calibri" w:eastAsia="Calibri" w:hAnsi="Calibri" w:cs="Times New Roman"/>
          <w:lang w:eastAsia="en-US"/>
        </w:rPr>
        <w:t xml:space="preserve"> region</w:t>
      </w:r>
      <w:r w:rsidRPr="00DF1C49">
        <w:rPr>
          <w:rFonts w:ascii="Calibri" w:eastAsia="Calibri" w:hAnsi="Calibri" w:cs="Times New Roman"/>
          <w:lang w:eastAsia="en-US"/>
        </w:rPr>
        <w:t xml:space="preserve">s) of the </w:t>
      </w:r>
      <w:r>
        <w:rPr>
          <w:rFonts w:ascii="Calibri" w:eastAsia="Calibri" w:hAnsi="Calibri" w:cs="Times New Roman"/>
          <w:lang w:eastAsia="en-US"/>
        </w:rPr>
        <w:t>coral reefs</w:t>
      </w:r>
      <w:r w:rsidRPr="00DF1C49">
        <w:rPr>
          <w:rFonts w:ascii="Calibri" w:eastAsia="Calibri" w:hAnsi="Calibri" w:cs="Times New Roman"/>
          <w:lang w:eastAsia="en-US"/>
        </w:rPr>
        <w:t xml:space="preserve"> were exposed to </w:t>
      </w:r>
      <w:r>
        <w:rPr>
          <w:rFonts w:ascii="Calibri" w:eastAsia="Calibri" w:hAnsi="Calibri" w:cs="Times New Roman"/>
          <w:lang w:eastAsia="en-US"/>
        </w:rPr>
        <w:t xml:space="preserve">river plumes. </w:t>
      </w:r>
      <w:r w:rsidRPr="00465C8C">
        <w:rPr>
          <w:rFonts w:ascii="Calibri" w:eastAsia="Calibri" w:hAnsi="Calibri" w:cs="Times New Roman"/>
          <w:lang w:eastAsia="en-US"/>
        </w:rPr>
        <w:t xml:space="preserve">Coral reef areas </w:t>
      </w:r>
      <w:r>
        <w:rPr>
          <w:rFonts w:ascii="Calibri" w:eastAsia="Calibri" w:hAnsi="Calibri" w:cs="Times New Roman"/>
          <w:lang w:eastAsia="en-US"/>
        </w:rPr>
        <w:t>under the highest potential risk (III and IV)</w:t>
      </w:r>
      <w:r w:rsidRPr="00465C8C">
        <w:rPr>
          <w:rFonts w:ascii="Calibri" w:eastAsia="Calibri" w:hAnsi="Calibri" w:cs="Times New Roman"/>
          <w:lang w:eastAsia="en-US"/>
        </w:rPr>
        <w:t xml:space="preserve"> were greater in Fitzroy (153 km</w:t>
      </w:r>
      <w:r w:rsidRPr="00465C8C">
        <w:rPr>
          <w:rFonts w:ascii="Calibri" w:eastAsia="Calibri" w:hAnsi="Calibri" w:cs="Times New Roman"/>
          <w:vertAlign w:val="superscript"/>
          <w:lang w:eastAsia="en-US"/>
        </w:rPr>
        <w:t>2</w:t>
      </w:r>
      <w:r w:rsidRPr="00465C8C">
        <w:rPr>
          <w:rFonts w:ascii="Calibri" w:eastAsia="Calibri" w:hAnsi="Calibri" w:cs="Times New Roman"/>
          <w:lang w:eastAsia="en-US"/>
        </w:rPr>
        <w:t xml:space="preserve"> or 3% of Fitzroy reefs) &gt; Mackay-Whitsundays (104 km</w:t>
      </w:r>
      <w:r w:rsidRPr="00465C8C">
        <w:rPr>
          <w:rFonts w:ascii="Calibri" w:eastAsia="Calibri" w:hAnsi="Calibri" w:cs="Times New Roman"/>
          <w:vertAlign w:val="superscript"/>
          <w:lang w:eastAsia="en-US"/>
        </w:rPr>
        <w:t>2</w:t>
      </w:r>
      <w:r w:rsidRPr="00465C8C">
        <w:rPr>
          <w:rFonts w:ascii="Calibri" w:eastAsia="Calibri" w:hAnsi="Calibri" w:cs="Times New Roman"/>
          <w:lang w:eastAsia="en-US"/>
        </w:rPr>
        <w:t xml:space="preserve"> or 3%) &gt; Cape York (76 km</w:t>
      </w:r>
      <w:r w:rsidRPr="00465C8C">
        <w:rPr>
          <w:rFonts w:ascii="Calibri" w:eastAsia="Calibri" w:hAnsi="Calibri" w:cs="Times New Roman"/>
          <w:vertAlign w:val="superscript"/>
          <w:lang w:eastAsia="en-US"/>
        </w:rPr>
        <w:t>2</w:t>
      </w:r>
      <w:r w:rsidRPr="00465C8C">
        <w:rPr>
          <w:rFonts w:ascii="Calibri" w:eastAsia="Calibri" w:hAnsi="Calibri" w:cs="Times New Roman"/>
          <w:lang w:eastAsia="en-US"/>
        </w:rPr>
        <w:t xml:space="preserve"> or 1%)</w:t>
      </w:r>
      <w:r>
        <w:rPr>
          <w:rFonts w:ascii="Calibri" w:eastAsia="Calibri" w:hAnsi="Calibri" w:cs="Times New Roman"/>
          <w:lang w:eastAsia="en-US"/>
        </w:rPr>
        <w:t>;</w:t>
      </w:r>
    </w:p>
    <w:p w14:paraId="0C3F8978" w14:textId="77777777" w:rsidR="00131E41" w:rsidRDefault="00131E41" w:rsidP="00C05A63">
      <w:pPr>
        <w:pStyle w:val="ListParagraph"/>
        <w:numPr>
          <w:ilvl w:val="0"/>
          <w:numId w:val="24"/>
        </w:numPr>
        <w:spacing w:before="0" w:after="200" w:line="276" w:lineRule="auto"/>
        <w:rPr>
          <w:rFonts w:ascii="Calibri" w:eastAsia="Calibri" w:hAnsi="Calibri" w:cs="Times New Roman"/>
          <w:lang w:eastAsia="en-US"/>
        </w:rPr>
      </w:pPr>
      <w:r w:rsidRPr="00465C8C">
        <w:rPr>
          <w:rFonts w:ascii="Calibri" w:eastAsia="Calibri" w:hAnsi="Calibri" w:cs="Times New Roman"/>
          <w:lang w:eastAsia="en-US"/>
        </w:rPr>
        <w:t>Ninety four percent (Cape York NRM) to 100% (Burdekin, Fitzroy and Burnett-Mary NRM</w:t>
      </w:r>
      <w:r>
        <w:rPr>
          <w:rFonts w:ascii="Calibri" w:eastAsia="Calibri" w:hAnsi="Calibri" w:cs="Times New Roman"/>
          <w:lang w:eastAsia="en-US"/>
        </w:rPr>
        <w:t xml:space="preserve"> region</w:t>
      </w:r>
      <w:r w:rsidRPr="00465C8C">
        <w:rPr>
          <w:rFonts w:ascii="Calibri" w:eastAsia="Calibri" w:hAnsi="Calibri" w:cs="Times New Roman"/>
          <w:lang w:eastAsia="en-US"/>
        </w:rPr>
        <w:t>s) of the monitored seagrass beds were exposed to river plumes</w:t>
      </w:r>
      <w:r>
        <w:rPr>
          <w:rFonts w:ascii="Calibri" w:eastAsia="Calibri" w:hAnsi="Calibri" w:cs="Times New Roman"/>
          <w:lang w:eastAsia="en-US"/>
        </w:rPr>
        <w:t>.</w:t>
      </w:r>
      <w:r w:rsidRPr="00465C8C">
        <w:rPr>
          <w:rFonts w:ascii="Calibri" w:eastAsia="Calibri" w:hAnsi="Calibri" w:cs="Times New Roman"/>
          <w:lang w:eastAsia="en-US"/>
        </w:rPr>
        <w:t xml:space="preserve"> Seagrass beds </w:t>
      </w:r>
      <w:r w:rsidRPr="007228D6">
        <w:rPr>
          <w:rFonts w:ascii="Calibri" w:eastAsia="Calibri" w:hAnsi="Calibri" w:cs="Times New Roman"/>
          <w:lang w:eastAsia="en-US"/>
        </w:rPr>
        <w:t xml:space="preserve">under the highest potential risk (III and IV) </w:t>
      </w:r>
      <w:r>
        <w:rPr>
          <w:rFonts w:ascii="Calibri" w:eastAsia="Calibri" w:hAnsi="Calibri" w:cs="Times New Roman"/>
          <w:lang w:eastAsia="en-US"/>
        </w:rPr>
        <w:t>were greater in</w:t>
      </w:r>
      <w:r w:rsidRPr="00465C8C">
        <w:rPr>
          <w:rFonts w:ascii="Calibri" w:eastAsia="Calibri" w:hAnsi="Calibri" w:cs="Times New Roman"/>
          <w:lang w:eastAsia="en-US"/>
        </w:rPr>
        <w:t xml:space="preserve"> the Cape York</w:t>
      </w:r>
      <w:r>
        <w:rPr>
          <w:rFonts w:ascii="Calibri" w:eastAsia="Calibri" w:hAnsi="Calibri" w:cs="Times New Roman"/>
          <w:lang w:eastAsia="en-US"/>
        </w:rPr>
        <w:t xml:space="preserve"> (</w:t>
      </w:r>
      <w:r w:rsidRPr="00465C8C">
        <w:rPr>
          <w:rFonts w:ascii="Calibri" w:eastAsia="Calibri" w:hAnsi="Calibri" w:cs="Times New Roman"/>
          <w:lang w:eastAsia="en-US"/>
        </w:rPr>
        <w:t>1186 km</w:t>
      </w:r>
      <w:r w:rsidRPr="00465C8C">
        <w:rPr>
          <w:rFonts w:ascii="Calibri" w:eastAsia="Calibri" w:hAnsi="Calibri" w:cs="Times New Roman"/>
          <w:vertAlign w:val="superscript"/>
          <w:lang w:eastAsia="en-US"/>
        </w:rPr>
        <w:t>2</w:t>
      </w:r>
      <w:r w:rsidRPr="00465C8C">
        <w:rPr>
          <w:rFonts w:ascii="Calibri" w:eastAsia="Calibri" w:hAnsi="Calibri" w:cs="Times New Roman"/>
          <w:lang w:eastAsia="en-US"/>
        </w:rPr>
        <w:t xml:space="preserve"> or 49%) and Burdekin </w:t>
      </w:r>
      <w:r>
        <w:rPr>
          <w:rFonts w:ascii="Calibri" w:eastAsia="Calibri" w:hAnsi="Calibri" w:cs="Times New Roman"/>
          <w:lang w:eastAsia="en-US"/>
        </w:rPr>
        <w:t>(</w:t>
      </w:r>
      <w:r w:rsidRPr="00465C8C">
        <w:rPr>
          <w:rFonts w:ascii="Calibri" w:eastAsia="Calibri" w:hAnsi="Calibri" w:cs="Times New Roman"/>
          <w:lang w:eastAsia="en-US"/>
        </w:rPr>
        <w:t>501 km</w:t>
      </w:r>
      <w:r w:rsidRPr="00465C8C">
        <w:rPr>
          <w:rFonts w:ascii="Calibri" w:eastAsia="Calibri" w:hAnsi="Calibri" w:cs="Times New Roman"/>
          <w:vertAlign w:val="superscript"/>
          <w:lang w:eastAsia="en-US"/>
        </w:rPr>
        <w:t>2</w:t>
      </w:r>
      <w:r>
        <w:rPr>
          <w:rFonts w:ascii="Calibri" w:eastAsia="Calibri" w:hAnsi="Calibri" w:cs="Times New Roman"/>
          <w:lang w:eastAsia="en-US"/>
        </w:rPr>
        <w:t xml:space="preserve"> </w:t>
      </w:r>
      <w:r w:rsidRPr="00465C8C">
        <w:rPr>
          <w:rFonts w:ascii="Calibri" w:eastAsia="Calibri" w:hAnsi="Calibri" w:cs="Times New Roman"/>
          <w:lang w:eastAsia="en-US"/>
        </w:rPr>
        <w:t>or 80%)</w:t>
      </w:r>
      <w:r>
        <w:rPr>
          <w:rFonts w:ascii="Calibri" w:eastAsia="Calibri" w:hAnsi="Calibri" w:cs="Times New Roman"/>
          <w:lang w:eastAsia="en-US"/>
        </w:rPr>
        <w:t>.</w:t>
      </w:r>
    </w:p>
    <w:p w14:paraId="0C3F8979" w14:textId="77777777" w:rsidR="00131E41" w:rsidRDefault="00131E41" w:rsidP="00C05A63">
      <w:pPr>
        <w:pStyle w:val="ListParagraph"/>
        <w:numPr>
          <w:ilvl w:val="0"/>
          <w:numId w:val="24"/>
        </w:numPr>
        <w:spacing w:before="0" w:after="200" w:line="276" w:lineRule="auto"/>
        <w:rPr>
          <w:rFonts w:ascii="Calibri" w:eastAsia="Calibri" w:hAnsi="Calibri" w:cs="Times New Roman"/>
          <w:lang w:eastAsia="en-US"/>
        </w:rPr>
      </w:pPr>
      <w:r w:rsidRPr="00465C8C">
        <w:rPr>
          <w:rFonts w:ascii="Calibri" w:eastAsia="Calibri" w:hAnsi="Calibri" w:cs="Times New Roman"/>
          <w:lang w:eastAsia="en-US"/>
        </w:rPr>
        <w:t xml:space="preserve">Sixty four percent (Burdekin NRM) to 100% (Wet Tropics, Mackay-Whitsundays and Fitzroy </w:t>
      </w:r>
      <w:r>
        <w:rPr>
          <w:rFonts w:ascii="Calibri" w:eastAsia="Calibri" w:hAnsi="Calibri" w:cs="Times New Roman"/>
          <w:lang w:eastAsia="en-US"/>
        </w:rPr>
        <w:t>NRM regions</w:t>
      </w:r>
      <w:r w:rsidRPr="00465C8C">
        <w:rPr>
          <w:rFonts w:ascii="Calibri" w:eastAsia="Calibri" w:hAnsi="Calibri" w:cs="Times New Roman"/>
          <w:lang w:eastAsia="en-US"/>
        </w:rPr>
        <w:t>) of the modelled deep seagrass beds were exposed to river plumes</w:t>
      </w:r>
      <w:r>
        <w:rPr>
          <w:rFonts w:ascii="Calibri" w:eastAsia="Calibri" w:hAnsi="Calibri" w:cs="Times New Roman"/>
          <w:lang w:eastAsia="en-US"/>
        </w:rPr>
        <w:t>.</w:t>
      </w:r>
      <w:r w:rsidRPr="00465C8C">
        <w:rPr>
          <w:rFonts w:ascii="Calibri" w:eastAsia="Calibri" w:hAnsi="Calibri" w:cs="Times New Roman"/>
          <w:lang w:eastAsia="en-US"/>
        </w:rPr>
        <w:t xml:space="preserve"> Deep seagrass</w:t>
      </w:r>
      <w:r>
        <w:rPr>
          <w:rFonts w:ascii="Calibri" w:eastAsia="Calibri" w:hAnsi="Calibri" w:cs="Times New Roman"/>
          <w:lang w:eastAsia="en-US"/>
        </w:rPr>
        <w:t xml:space="preserve"> beds</w:t>
      </w:r>
      <w:r w:rsidRPr="00465C8C">
        <w:rPr>
          <w:rFonts w:ascii="Calibri" w:eastAsia="Calibri" w:hAnsi="Calibri" w:cs="Times New Roman"/>
          <w:lang w:eastAsia="en-US"/>
        </w:rPr>
        <w:t xml:space="preserve"> </w:t>
      </w:r>
      <w:r>
        <w:rPr>
          <w:rFonts w:ascii="Calibri" w:eastAsia="Calibri" w:hAnsi="Calibri" w:cs="Times New Roman"/>
          <w:lang w:eastAsia="en-US"/>
        </w:rPr>
        <w:t xml:space="preserve">exposed to </w:t>
      </w:r>
      <w:r w:rsidRPr="00465C8C">
        <w:rPr>
          <w:rFonts w:ascii="Calibri" w:eastAsia="Calibri" w:hAnsi="Calibri" w:cs="Times New Roman"/>
          <w:lang w:eastAsia="en-US"/>
        </w:rPr>
        <w:t>potential risk</w:t>
      </w:r>
      <w:r>
        <w:rPr>
          <w:rFonts w:ascii="Calibri" w:eastAsia="Calibri" w:hAnsi="Calibri" w:cs="Times New Roman"/>
          <w:lang w:eastAsia="en-US"/>
        </w:rPr>
        <w:t xml:space="preserve"> categories II and III were greater in</w:t>
      </w:r>
      <w:r w:rsidRPr="00465C8C">
        <w:rPr>
          <w:rFonts w:ascii="Calibri" w:eastAsia="Calibri" w:hAnsi="Calibri" w:cs="Times New Roman"/>
          <w:lang w:eastAsia="en-US"/>
        </w:rPr>
        <w:t xml:space="preserve"> the Cape York</w:t>
      </w:r>
      <w:r>
        <w:rPr>
          <w:rFonts w:ascii="Calibri" w:eastAsia="Calibri" w:hAnsi="Calibri" w:cs="Times New Roman"/>
          <w:lang w:eastAsia="en-US"/>
        </w:rPr>
        <w:t xml:space="preserve"> (6634 km</w:t>
      </w:r>
      <w:r w:rsidRPr="00D1383C">
        <w:rPr>
          <w:rFonts w:ascii="Calibri" w:eastAsia="Calibri" w:hAnsi="Calibri" w:cs="Times New Roman"/>
          <w:vertAlign w:val="superscript"/>
          <w:lang w:eastAsia="en-US"/>
        </w:rPr>
        <w:t>2</w:t>
      </w:r>
      <w:r>
        <w:rPr>
          <w:rFonts w:ascii="Calibri" w:eastAsia="Calibri" w:hAnsi="Calibri" w:cs="Times New Roman"/>
          <w:lang w:eastAsia="en-US"/>
        </w:rPr>
        <w:t xml:space="preserve"> </w:t>
      </w:r>
      <w:r w:rsidRPr="00465C8C">
        <w:rPr>
          <w:rFonts w:ascii="Calibri" w:eastAsia="Calibri" w:hAnsi="Calibri" w:cs="Times New Roman"/>
          <w:lang w:eastAsia="en-US"/>
        </w:rPr>
        <w:t>or 70%</w:t>
      </w:r>
      <w:r>
        <w:rPr>
          <w:rFonts w:ascii="Calibri" w:eastAsia="Calibri" w:hAnsi="Calibri" w:cs="Times New Roman"/>
          <w:lang w:eastAsia="en-US"/>
        </w:rPr>
        <w:t>) &gt;</w:t>
      </w:r>
      <w:r w:rsidRPr="00465C8C">
        <w:rPr>
          <w:rFonts w:ascii="Calibri" w:eastAsia="Calibri" w:hAnsi="Calibri" w:cs="Times New Roman"/>
          <w:lang w:eastAsia="en-US"/>
        </w:rPr>
        <w:t xml:space="preserve"> Burnett-Mary </w:t>
      </w:r>
      <w:r>
        <w:rPr>
          <w:rFonts w:ascii="Calibri" w:eastAsia="Calibri" w:hAnsi="Calibri" w:cs="Times New Roman"/>
          <w:lang w:eastAsia="en-US"/>
        </w:rPr>
        <w:t>(2829 km</w:t>
      </w:r>
      <w:r w:rsidRPr="00D1383C">
        <w:rPr>
          <w:rFonts w:ascii="Calibri" w:eastAsia="Calibri" w:hAnsi="Calibri" w:cs="Times New Roman"/>
          <w:vertAlign w:val="superscript"/>
          <w:lang w:eastAsia="en-US"/>
        </w:rPr>
        <w:t>2</w:t>
      </w:r>
      <w:r>
        <w:rPr>
          <w:rFonts w:ascii="Calibri" w:eastAsia="Calibri" w:hAnsi="Calibri" w:cs="Times New Roman"/>
          <w:lang w:eastAsia="en-US"/>
        </w:rPr>
        <w:t xml:space="preserve"> </w:t>
      </w:r>
      <w:r w:rsidRPr="00465C8C">
        <w:rPr>
          <w:rFonts w:ascii="Calibri" w:eastAsia="Calibri" w:hAnsi="Calibri" w:cs="Times New Roman"/>
          <w:lang w:eastAsia="en-US"/>
        </w:rPr>
        <w:t xml:space="preserve">or 45%) </w:t>
      </w:r>
      <w:r>
        <w:rPr>
          <w:rFonts w:ascii="Calibri" w:eastAsia="Calibri" w:hAnsi="Calibri" w:cs="Times New Roman"/>
          <w:lang w:eastAsia="en-US"/>
        </w:rPr>
        <w:t>&gt;</w:t>
      </w:r>
      <w:r w:rsidRPr="00465C8C">
        <w:rPr>
          <w:rFonts w:ascii="Calibri" w:eastAsia="Calibri" w:hAnsi="Calibri" w:cs="Times New Roman"/>
          <w:lang w:eastAsia="en-US"/>
        </w:rPr>
        <w:t xml:space="preserve"> Fitzroy </w:t>
      </w:r>
      <w:r>
        <w:rPr>
          <w:rFonts w:ascii="Calibri" w:eastAsia="Calibri" w:hAnsi="Calibri" w:cs="Times New Roman"/>
          <w:lang w:eastAsia="en-US"/>
        </w:rPr>
        <w:t>(</w:t>
      </w:r>
      <w:r w:rsidRPr="00465C8C">
        <w:rPr>
          <w:rFonts w:ascii="Calibri" w:eastAsia="Calibri" w:hAnsi="Calibri" w:cs="Times New Roman"/>
          <w:lang w:eastAsia="en-US"/>
        </w:rPr>
        <w:t>2181 km</w:t>
      </w:r>
      <w:r w:rsidRPr="00D1383C">
        <w:rPr>
          <w:rFonts w:ascii="Calibri" w:eastAsia="Calibri" w:hAnsi="Calibri" w:cs="Times New Roman"/>
          <w:vertAlign w:val="superscript"/>
          <w:lang w:eastAsia="en-US"/>
        </w:rPr>
        <w:t>2</w:t>
      </w:r>
      <w:r w:rsidRPr="00465C8C">
        <w:rPr>
          <w:rFonts w:ascii="Calibri" w:eastAsia="Calibri" w:hAnsi="Calibri" w:cs="Times New Roman"/>
          <w:lang w:eastAsia="en-US"/>
        </w:rPr>
        <w:t xml:space="preserve"> or 39%)</w:t>
      </w:r>
      <w:r>
        <w:rPr>
          <w:rFonts w:ascii="Calibri" w:eastAsia="Calibri" w:hAnsi="Calibri" w:cs="Times New Roman"/>
          <w:lang w:eastAsia="en-US"/>
        </w:rPr>
        <w:t>.</w:t>
      </w:r>
    </w:p>
    <w:p w14:paraId="0C3F897A" w14:textId="77777777" w:rsidR="00131E41" w:rsidRDefault="00131E41" w:rsidP="00C05A63">
      <w:pPr>
        <w:pStyle w:val="ListParagraph"/>
        <w:numPr>
          <w:ilvl w:val="0"/>
          <w:numId w:val="24"/>
        </w:numPr>
        <w:spacing w:before="0" w:after="200" w:line="276" w:lineRule="auto"/>
        <w:rPr>
          <w:rFonts w:ascii="Calibri" w:eastAsia="Calibri" w:hAnsi="Calibri" w:cs="Times New Roman"/>
          <w:lang w:eastAsia="en-US"/>
        </w:rPr>
      </w:pPr>
      <w:r w:rsidRPr="00D1383C">
        <w:rPr>
          <w:rFonts w:ascii="Calibri" w:eastAsia="Calibri" w:hAnsi="Calibri" w:cs="Times New Roman"/>
          <w:lang w:eastAsia="en-US"/>
        </w:rPr>
        <w:t>Finally, when the modelled and deep seagrass beds were combined, total seagrass beds the most at risk</w:t>
      </w:r>
      <w:r>
        <w:rPr>
          <w:rFonts w:ascii="Calibri" w:eastAsia="Calibri" w:hAnsi="Calibri" w:cs="Times New Roman"/>
          <w:lang w:eastAsia="en-US"/>
        </w:rPr>
        <w:t xml:space="preserve"> (III and IV)</w:t>
      </w:r>
      <w:r w:rsidRPr="00D1383C">
        <w:rPr>
          <w:rFonts w:ascii="Calibri" w:eastAsia="Calibri" w:hAnsi="Calibri" w:cs="Times New Roman"/>
          <w:lang w:eastAsia="en-US"/>
        </w:rPr>
        <w:t xml:space="preserve"> were located in the Cape York</w:t>
      </w:r>
      <w:r>
        <w:rPr>
          <w:rFonts w:ascii="Calibri" w:eastAsia="Calibri" w:hAnsi="Calibri" w:cs="Times New Roman"/>
          <w:lang w:eastAsia="en-US"/>
        </w:rPr>
        <w:t xml:space="preserve"> (</w:t>
      </w:r>
      <w:r w:rsidRPr="00D1383C">
        <w:rPr>
          <w:rFonts w:ascii="Calibri" w:eastAsia="Calibri" w:hAnsi="Calibri" w:cs="Times New Roman"/>
          <w:lang w:eastAsia="en-US"/>
        </w:rPr>
        <w:t>1362 km</w:t>
      </w:r>
      <w:r w:rsidRPr="00C5125B">
        <w:rPr>
          <w:rFonts w:ascii="Calibri" w:eastAsia="Calibri" w:hAnsi="Calibri" w:cs="Times New Roman"/>
          <w:vertAlign w:val="superscript"/>
          <w:lang w:eastAsia="en-US"/>
        </w:rPr>
        <w:t>2</w:t>
      </w:r>
      <w:r w:rsidRPr="00D1383C">
        <w:rPr>
          <w:rFonts w:ascii="Calibri" w:eastAsia="Calibri" w:hAnsi="Calibri" w:cs="Times New Roman"/>
          <w:lang w:eastAsia="en-US"/>
        </w:rPr>
        <w:t xml:space="preserve"> or 11%) </w:t>
      </w:r>
      <w:r>
        <w:rPr>
          <w:rFonts w:ascii="Calibri" w:eastAsia="Calibri" w:hAnsi="Calibri" w:cs="Times New Roman"/>
          <w:lang w:eastAsia="en-US"/>
        </w:rPr>
        <w:t xml:space="preserve">&gt; </w:t>
      </w:r>
      <w:r w:rsidRPr="00D1383C">
        <w:rPr>
          <w:rFonts w:ascii="Calibri" w:eastAsia="Calibri" w:hAnsi="Calibri" w:cs="Times New Roman"/>
          <w:lang w:eastAsia="en-US"/>
        </w:rPr>
        <w:t>Burdekin</w:t>
      </w:r>
      <w:r>
        <w:rPr>
          <w:rFonts w:ascii="Calibri" w:eastAsia="Calibri" w:hAnsi="Calibri" w:cs="Times New Roman"/>
          <w:lang w:eastAsia="en-US"/>
        </w:rPr>
        <w:t xml:space="preserve"> (501 km</w:t>
      </w:r>
      <w:r w:rsidRPr="007228D6">
        <w:rPr>
          <w:rFonts w:ascii="Calibri" w:eastAsia="Calibri" w:hAnsi="Calibri" w:cs="Times New Roman"/>
          <w:vertAlign w:val="superscript"/>
          <w:lang w:eastAsia="en-US"/>
        </w:rPr>
        <w:t>2</w:t>
      </w:r>
      <w:r>
        <w:rPr>
          <w:rFonts w:ascii="Calibri" w:eastAsia="Calibri" w:hAnsi="Calibri" w:cs="Times New Roman"/>
          <w:lang w:eastAsia="en-US"/>
        </w:rPr>
        <w:t xml:space="preserve"> </w:t>
      </w:r>
      <w:r w:rsidRPr="00D1383C">
        <w:rPr>
          <w:rFonts w:ascii="Calibri" w:eastAsia="Calibri" w:hAnsi="Calibri" w:cs="Times New Roman"/>
          <w:lang w:eastAsia="en-US"/>
        </w:rPr>
        <w:t xml:space="preserve">or 8%)  </w:t>
      </w:r>
      <w:r>
        <w:rPr>
          <w:rFonts w:ascii="Calibri" w:eastAsia="Calibri" w:hAnsi="Calibri" w:cs="Times New Roman"/>
          <w:lang w:eastAsia="en-US"/>
        </w:rPr>
        <w:t>&gt;</w:t>
      </w:r>
      <w:r w:rsidRPr="00D1383C">
        <w:rPr>
          <w:rFonts w:ascii="Calibri" w:eastAsia="Calibri" w:hAnsi="Calibri" w:cs="Times New Roman"/>
          <w:lang w:eastAsia="en-US"/>
        </w:rPr>
        <w:t xml:space="preserve"> Fitzroy </w:t>
      </w:r>
      <w:r>
        <w:rPr>
          <w:rFonts w:ascii="Calibri" w:eastAsia="Calibri" w:hAnsi="Calibri" w:cs="Times New Roman"/>
          <w:lang w:eastAsia="en-US"/>
        </w:rPr>
        <w:t>NRM regions</w:t>
      </w:r>
      <w:r w:rsidRPr="00D1383C">
        <w:rPr>
          <w:rFonts w:ascii="Calibri" w:eastAsia="Calibri" w:hAnsi="Calibri" w:cs="Times New Roman"/>
          <w:lang w:eastAsia="en-US"/>
        </w:rPr>
        <w:t xml:space="preserve"> </w:t>
      </w:r>
      <w:r>
        <w:rPr>
          <w:rFonts w:ascii="Calibri" w:eastAsia="Calibri" w:hAnsi="Calibri" w:cs="Times New Roman"/>
          <w:lang w:eastAsia="en-US"/>
        </w:rPr>
        <w:t>(</w:t>
      </w:r>
      <w:r w:rsidRPr="00D1383C">
        <w:rPr>
          <w:rFonts w:ascii="Calibri" w:eastAsia="Calibri" w:hAnsi="Calibri" w:cs="Times New Roman"/>
          <w:lang w:eastAsia="en-US"/>
        </w:rPr>
        <w:t>500 km</w:t>
      </w:r>
      <w:r w:rsidRPr="00C5125B">
        <w:rPr>
          <w:rFonts w:ascii="Calibri" w:eastAsia="Calibri" w:hAnsi="Calibri" w:cs="Times New Roman"/>
          <w:vertAlign w:val="superscript"/>
          <w:lang w:eastAsia="en-US"/>
        </w:rPr>
        <w:t>2</w:t>
      </w:r>
      <w:r w:rsidRPr="00D1383C">
        <w:rPr>
          <w:rFonts w:ascii="Calibri" w:eastAsia="Calibri" w:hAnsi="Calibri" w:cs="Times New Roman"/>
          <w:lang w:eastAsia="en-US"/>
        </w:rPr>
        <w:t xml:space="preserve"> or 9%)</w:t>
      </w:r>
      <w:r>
        <w:rPr>
          <w:rFonts w:ascii="Calibri" w:eastAsia="Calibri" w:hAnsi="Calibri" w:cs="Times New Roman"/>
          <w:lang w:eastAsia="en-US"/>
        </w:rPr>
        <w:t>.</w:t>
      </w:r>
    </w:p>
    <w:p w14:paraId="0C3F897B" w14:textId="77777777" w:rsidR="00131E41" w:rsidRDefault="00131E41" w:rsidP="00131E41">
      <w:pPr>
        <w:rPr>
          <w:rFonts w:ascii="Calibri" w:eastAsia="Calibri" w:hAnsi="Calibri" w:cs="Calibri"/>
          <w:lang w:eastAsia="en-US"/>
        </w:rPr>
      </w:pPr>
      <w:r w:rsidRPr="00DF1C49">
        <w:rPr>
          <w:rFonts w:ascii="Calibri" w:eastAsia="Calibri" w:hAnsi="Calibri" w:cs="Calibri"/>
          <w:lang w:eastAsia="en-US"/>
        </w:rPr>
        <w:t>River plume models</w:t>
      </w:r>
      <w:r>
        <w:rPr>
          <w:rFonts w:ascii="Calibri" w:eastAsia="Calibri" w:hAnsi="Calibri" w:cs="Calibri"/>
          <w:lang w:eastAsia="en-US"/>
        </w:rPr>
        <w:t xml:space="preserve"> help</w:t>
      </w:r>
      <w:r w:rsidRPr="00DF1C49">
        <w:rPr>
          <w:rFonts w:ascii="Calibri" w:eastAsia="Calibri" w:hAnsi="Calibri" w:cs="Calibri"/>
          <w:lang w:eastAsia="en-US"/>
        </w:rPr>
        <w:t xml:space="preserve"> </w:t>
      </w:r>
      <w:r>
        <w:rPr>
          <w:rFonts w:ascii="Calibri" w:eastAsia="Calibri" w:hAnsi="Calibri" w:cs="Calibri"/>
          <w:lang w:eastAsia="en-US"/>
        </w:rPr>
        <w:t xml:space="preserve">mapping </w:t>
      </w:r>
      <w:r w:rsidRPr="00DF1C49">
        <w:rPr>
          <w:rFonts w:ascii="Calibri" w:eastAsia="Calibri" w:hAnsi="Calibri" w:cs="Calibri"/>
          <w:lang w:eastAsia="en-US"/>
        </w:rPr>
        <w:t>areas which may experience acute or chronic high exposure to river plumes and associated land-</w:t>
      </w:r>
      <w:r>
        <w:rPr>
          <w:rFonts w:ascii="Calibri" w:eastAsia="Calibri" w:hAnsi="Calibri" w:cs="Calibri"/>
          <w:lang w:eastAsia="en-US"/>
        </w:rPr>
        <w:t>sourced</w:t>
      </w:r>
      <w:r w:rsidRPr="00DF1C49">
        <w:rPr>
          <w:rFonts w:ascii="Calibri" w:eastAsia="Calibri" w:hAnsi="Calibri" w:cs="Calibri"/>
          <w:lang w:eastAsia="en-US"/>
        </w:rPr>
        <w:t xml:space="preserve"> pollutants</w:t>
      </w:r>
      <w:r>
        <w:rPr>
          <w:rFonts w:ascii="Calibri" w:eastAsia="Calibri" w:hAnsi="Calibri" w:cs="Calibri"/>
          <w:lang w:eastAsia="en-US"/>
        </w:rPr>
        <w:t xml:space="preserve">, including </w:t>
      </w:r>
      <w:r>
        <w:t>sediments, nutrients and pesticides.</w:t>
      </w:r>
      <w:r>
        <w:rPr>
          <w:rStyle w:val="CommentReference"/>
        </w:rPr>
        <w:t xml:space="preserve"> </w:t>
      </w:r>
      <w:r w:rsidRPr="00DF1C49">
        <w:rPr>
          <w:rFonts w:ascii="Calibri" w:eastAsia="Calibri" w:hAnsi="Calibri" w:cs="Calibri"/>
          <w:lang w:eastAsia="en-US"/>
        </w:rPr>
        <w:t xml:space="preserve"> Knowledge of the areas and the type of ecosystem that is the most likely to be impacted by </w:t>
      </w:r>
      <w:r>
        <w:rPr>
          <w:rFonts w:ascii="Calibri" w:eastAsia="Calibri" w:hAnsi="Calibri" w:cs="Calibri"/>
          <w:lang w:eastAsia="en-US"/>
        </w:rPr>
        <w:t>degraded</w:t>
      </w:r>
      <w:r w:rsidRPr="00DF1C49">
        <w:rPr>
          <w:rFonts w:ascii="Calibri" w:eastAsia="Calibri" w:hAnsi="Calibri" w:cs="Calibri"/>
          <w:lang w:eastAsia="en-US"/>
        </w:rPr>
        <w:t xml:space="preserve"> WQ</w:t>
      </w:r>
      <w:r>
        <w:rPr>
          <w:rFonts w:ascii="Calibri" w:eastAsia="Calibri" w:hAnsi="Calibri" w:cs="Calibri"/>
          <w:lang w:eastAsia="en-US"/>
        </w:rPr>
        <w:t xml:space="preserve"> through river plume exposure</w:t>
      </w:r>
      <w:r w:rsidRPr="00DF1C49">
        <w:rPr>
          <w:rFonts w:ascii="Calibri" w:eastAsia="Calibri" w:hAnsi="Calibri" w:cs="Calibri"/>
          <w:lang w:eastAsia="en-US"/>
        </w:rPr>
        <w:t xml:space="preserve"> help focus our understanding on what type of ecological impacts are occurring to those ecosystems and help marine, coastal and catchment management. </w:t>
      </w:r>
    </w:p>
    <w:p w14:paraId="0C3F897C" w14:textId="77777777" w:rsidR="00131E41" w:rsidRDefault="00131E41" w:rsidP="00131E41">
      <w:pPr>
        <w:rPr>
          <w:rFonts w:ascii="Calibri" w:eastAsia="Calibri" w:hAnsi="Calibri" w:cs="Calibri"/>
          <w:lang w:eastAsia="en-US"/>
        </w:rPr>
      </w:pPr>
      <w:r w:rsidRPr="00DF1C49">
        <w:rPr>
          <w:rFonts w:ascii="Calibri" w:eastAsia="Calibri" w:hAnsi="Calibri" w:cs="Calibri"/>
          <w:lang w:eastAsia="en-US"/>
        </w:rPr>
        <w:t xml:space="preserve">As part of our efforts for the MMP in 2012-13, we have undertaken a number of important steps to improve our capacity to identify and monitor the </w:t>
      </w:r>
      <w:r>
        <w:rPr>
          <w:rFonts w:ascii="Calibri" w:eastAsia="Calibri" w:hAnsi="Calibri" w:cs="Calibri"/>
          <w:lang w:eastAsia="en-US"/>
        </w:rPr>
        <w:t>l</w:t>
      </w:r>
      <w:r w:rsidRPr="000352C4">
        <w:rPr>
          <w:rFonts w:ascii="Calibri" w:eastAsia="Calibri" w:hAnsi="Calibri" w:cs="Calibri"/>
          <w:lang w:eastAsia="en-US"/>
        </w:rPr>
        <w:t xml:space="preserve">evel of exposure of </w:t>
      </w:r>
      <w:r>
        <w:rPr>
          <w:rFonts w:ascii="Calibri" w:eastAsia="Calibri" w:hAnsi="Calibri" w:cs="Calibri"/>
          <w:lang w:eastAsia="en-US"/>
        </w:rPr>
        <w:t>GBR</w:t>
      </w:r>
      <w:r w:rsidRPr="000352C4">
        <w:rPr>
          <w:rFonts w:ascii="Calibri" w:eastAsia="Calibri" w:hAnsi="Calibri" w:cs="Calibri"/>
          <w:lang w:eastAsia="en-US"/>
        </w:rPr>
        <w:t xml:space="preserve"> coral reefs and seagrass meadows to river plumes and land-sourced contaminants</w:t>
      </w:r>
      <w:r>
        <w:rPr>
          <w:rFonts w:ascii="Calibri" w:eastAsia="Calibri" w:hAnsi="Calibri" w:cs="Calibri"/>
          <w:lang w:eastAsia="en-US"/>
        </w:rPr>
        <w:t xml:space="preserve"> during the wet season</w:t>
      </w:r>
      <w:r w:rsidRPr="00DF1C49">
        <w:rPr>
          <w:rFonts w:ascii="Calibri" w:eastAsia="Calibri" w:hAnsi="Calibri" w:cs="Calibri"/>
          <w:lang w:eastAsia="en-US"/>
        </w:rPr>
        <w:t xml:space="preserve">. These steps include the validation and development of innovative RS methods, the production of synoptic maps describing the spatial and temporal movements of GBR river plumes, and </w:t>
      </w:r>
      <w:r>
        <w:rPr>
          <w:rFonts w:ascii="Calibri" w:eastAsia="Calibri" w:hAnsi="Calibri" w:cs="Calibri"/>
          <w:lang w:eastAsia="en-US"/>
        </w:rPr>
        <w:t>a preliminary assessment of the potential of using MODIS-derived products to assess the</w:t>
      </w:r>
      <w:r w:rsidRPr="00DF1C49">
        <w:rPr>
          <w:rFonts w:ascii="Calibri" w:eastAsia="Calibri" w:hAnsi="Calibri" w:cs="Calibri"/>
          <w:lang w:eastAsia="en-US"/>
        </w:rPr>
        <w:t xml:space="preserve"> </w:t>
      </w:r>
      <w:r>
        <w:rPr>
          <w:rFonts w:ascii="Calibri" w:eastAsia="Calibri" w:hAnsi="Calibri" w:cs="Calibri"/>
          <w:lang w:eastAsia="en-US"/>
        </w:rPr>
        <w:t>potential risk</w:t>
      </w:r>
      <w:r w:rsidRPr="00DF1C49">
        <w:rPr>
          <w:rFonts w:ascii="Calibri" w:eastAsia="Calibri" w:hAnsi="Calibri" w:cs="Calibri"/>
          <w:lang w:eastAsia="en-US"/>
        </w:rPr>
        <w:t xml:space="preserve"> of GBR ecosystems </w:t>
      </w:r>
      <w:r>
        <w:rPr>
          <w:rFonts w:ascii="Calibri" w:eastAsia="Calibri" w:hAnsi="Calibri" w:cs="Calibri"/>
          <w:lang w:eastAsia="en-US"/>
        </w:rPr>
        <w:t xml:space="preserve">due </w:t>
      </w:r>
      <w:r w:rsidRPr="00DF1C49">
        <w:rPr>
          <w:rFonts w:ascii="Calibri" w:eastAsia="Calibri" w:hAnsi="Calibri" w:cs="Calibri"/>
          <w:lang w:eastAsia="en-US"/>
        </w:rPr>
        <w:t xml:space="preserve">to the river plume </w:t>
      </w:r>
      <w:r>
        <w:rPr>
          <w:rFonts w:ascii="Calibri" w:eastAsia="Calibri" w:hAnsi="Calibri" w:cs="Calibri"/>
          <w:lang w:eastAsia="en-US"/>
        </w:rPr>
        <w:t>exposure</w:t>
      </w:r>
      <w:r w:rsidRPr="00DF1C49">
        <w:rPr>
          <w:rFonts w:ascii="Calibri" w:eastAsia="Calibri" w:hAnsi="Calibri" w:cs="Calibri"/>
          <w:lang w:eastAsia="en-US"/>
        </w:rPr>
        <w:t xml:space="preserve"> during the 2012-13 wet season and </w:t>
      </w:r>
      <w:r>
        <w:rPr>
          <w:rFonts w:ascii="Calibri" w:eastAsia="Calibri" w:hAnsi="Calibri" w:cs="Calibri"/>
          <w:lang w:eastAsia="en-US"/>
        </w:rPr>
        <w:t xml:space="preserve">over multiple </w:t>
      </w:r>
      <w:r w:rsidRPr="00DF1C49">
        <w:rPr>
          <w:rFonts w:ascii="Calibri" w:eastAsia="Calibri" w:hAnsi="Calibri" w:cs="Calibri"/>
          <w:lang w:eastAsia="en-US"/>
        </w:rPr>
        <w:t xml:space="preserve">wet seasons </w:t>
      </w:r>
      <w:r>
        <w:rPr>
          <w:rFonts w:ascii="Calibri" w:eastAsia="Calibri" w:hAnsi="Calibri" w:cs="Calibri"/>
          <w:lang w:eastAsia="en-US"/>
        </w:rPr>
        <w:t>(</w:t>
      </w:r>
      <w:r w:rsidRPr="00DF1C49">
        <w:rPr>
          <w:rFonts w:ascii="Calibri" w:eastAsia="Calibri" w:hAnsi="Calibri" w:cs="Calibri"/>
          <w:lang w:eastAsia="en-US"/>
        </w:rPr>
        <w:t xml:space="preserve">2006-07 </w:t>
      </w:r>
      <w:r>
        <w:rPr>
          <w:rFonts w:ascii="Calibri" w:eastAsia="Calibri" w:hAnsi="Calibri" w:cs="Calibri"/>
          <w:lang w:eastAsia="en-US"/>
        </w:rPr>
        <w:t>to</w:t>
      </w:r>
      <w:r w:rsidRPr="00DF1C49">
        <w:rPr>
          <w:rFonts w:ascii="Calibri" w:eastAsia="Calibri" w:hAnsi="Calibri" w:cs="Calibri"/>
          <w:lang w:eastAsia="en-US"/>
        </w:rPr>
        <w:t xml:space="preserve"> 2012-13</w:t>
      </w:r>
      <w:r>
        <w:rPr>
          <w:rFonts w:ascii="Calibri" w:eastAsia="Calibri" w:hAnsi="Calibri" w:cs="Calibri"/>
          <w:lang w:eastAsia="en-US"/>
        </w:rPr>
        <w:t>)</w:t>
      </w:r>
      <w:r w:rsidRPr="00DF1C49">
        <w:rPr>
          <w:rFonts w:ascii="Calibri" w:eastAsia="Calibri" w:hAnsi="Calibri" w:cs="Calibri"/>
          <w:lang w:eastAsia="en-US"/>
        </w:rPr>
        <w:t>.</w:t>
      </w:r>
    </w:p>
    <w:p w14:paraId="0C3F897D" w14:textId="77777777" w:rsidR="00131E41" w:rsidRPr="00BE31E1" w:rsidRDefault="00131E41" w:rsidP="00131E41">
      <w:pPr>
        <w:pStyle w:val="ListParagraph"/>
        <w:numPr>
          <w:ilvl w:val="1"/>
          <w:numId w:val="3"/>
        </w:numPr>
        <w:rPr>
          <w:rStyle w:val="Heading20"/>
        </w:rPr>
      </w:pPr>
      <w:bookmarkStart w:id="272" w:name="_Toc427831229"/>
      <w:bookmarkStart w:id="273" w:name="_Toc428793360"/>
      <w:bookmarkStart w:id="274" w:name="_Toc428851365"/>
      <w:r w:rsidRPr="00BE31E1">
        <w:rPr>
          <w:rStyle w:val="Heading20"/>
        </w:rPr>
        <w:t>True colour vs. Level 2 methods</w:t>
      </w:r>
      <w:bookmarkEnd w:id="272"/>
      <w:bookmarkEnd w:id="273"/>
      <w:bookmarkEnd w:id="274"/>
    </w:p>
    <w:p w14:paraId="0C3F897E" w14:textId="77777777" w:rsidR="00131E41" w:rsidRDefault="00131E41" w:rsidP="00131E41">
      <w:pPr>
        <w:rPr>
          <w:rFonts w:ascii="Calibri" w:eastAsia="Calibri" w:hAnsi="Calibri" w:cs="Calibri"/>
          <w:lang w:eastAsia="en-US"/>
        </w:rPr>
      </w:pPr>
      <w:r>
        <w:rPr>
          <w:rFonts w:ascii="Calibri" w:eastAsia="Calibri" w:hAnsi="Calibri" w:cs="Calibri"/>
          <w:lang w:eastAsia="en-US"/>
        </w:rPr>
        <w:t>Three</w:t>
      </w:r>
      <w:r w:rsidRPr="000352C4">
        <w:rPr>
          <w:rFonts w:ascii="Calibri" w:eastAsia="Calibri" w:hAnsi="Calibri" w:cs="Calibri"/>
          <w:lang w:eastAsia="en-US"/>
        </w:rPr>
        <w:t xml:space="preserve"> different water types</w:t>
      </w:r>
      <w:r>
        <w:rPr>
          <w:rFonts w:ascii="Calibri" w:eastAsia="Calibri" w:hAnsi="Calibri" w:cs="Calibri"/>
          <w:lang w:eastAsia="en-US"/>
        </w:rPr>
        <w:t xml:space="preserve"> (Primary, Secondary, tertiary)</w:t>
      </w:r>
      <w:r w:rsidRPr="000352C4">
        <w:rPr>
          <w:rFonts w:ascii="Calibri" w:eastAsia="Calibri" w:hAnsi="Calibri" w:cs="Calibri"/>
          <w:lang w:eastAsia="en-US"/>
        </w:rPr>
        <w:t xml:space="preserve"> are characteristic of the </w:t>
      </w:r>
      <w:r>
        <w:rPr>
          <w:rFonts w:ascii="Calibri" w:eastAsia="Calibri" w:hAnsi="Calibri" w:cs="Calibri"/>
          <w:lang w:eastAsia="en-US"/>
        </w:rPr>
        <w:t xml:space="preserve">WQ </w:t>
      </w:r>
      <w:r w:rsidRPr="000352C4">
        <w:rPr>
          <w:rFonts w:ascii="Calibri" w:eastAsia="Calibri" w:hAnsi="Calibri" w:cs="Calibri"/>
          <w:lang w:eastAsia="en-US"/>
        </w:rPr>
        <w:t>gradient across the GBR river plumes and have been described from the inshore to the offshore boundaries of river plumes</w:t>
      </w:r>
      <w:r>
        <w:rPr>
          <w:rFonts w:ascii="Calibri" w:eastAsia="Calibri" w:hAnsi="Calibri" w:cs="Calibri"/>
          <w:lang w:eastAsia="en-US"/>
        </w:rPr>
        <w:t xml:space="preserve">. </w:t>
      </w:r>
      <w:r w:rsidRPr="00DF1C49">
        <w:rPr>
          <w:rFonts w:ascii="Calibri" w:eastAsia="Calibri" w:hAnsi="Calibri" w:cs="Times New Roman"/>
          <w:lang w:eastAsia="en-US"/>
        </w:rPr>
        <w:t xml:space="preserve">Two families of supervised classification methods based on MODIS data have been investigated </w:t>
      </w:r>
      <w:r>
        <w:rPr>
          <w:rFonts w:ascii="Calibri" w:eastAsia="Calibri" w:hAnsi="Calibri" w:cs="Times New Roman"/>
          <w:lang w:eastAsia="en-US"/>
        </w:rPr>
        <w:t xml:space="preserve">in this report </w:t>
      </w:r>
      <w:r w:rsidRPr="00DF1C49">
        <w:rPr>
          <w:rFonts w:ascii="Calibri" w:eastAsia="Calibri" w:hAnsi="Calibri" w:cs="Times New Roman"/>
          <w:lang w:eastAsia="en-US"/>
        </w:rPr>
        <w:t xml:space="preserve">to map </w:t>
      </w:r>
      <w:r w:rsidRPr="003A50F8">
        <w:rPr>
          <w:rFonts w:ascii="Calibri" w:eastAsia="Calibri" w:hAnsi="Calibri" w:cs="Calibri"/>
          <w:lang w:eastAsia="en-US"/>
        </w:rPr>
        <w:t>GBR river plumes and plume water type surface areas</w:t>
      </w:r>
      <w:r w:rsidRPr="00DF1C49">
        <w:rPr>
          <w:rFonts w:ascii="Calibri" w:eastAsia="Calibri" w:hAnsi="Calibri" w:cs="Times New Roman"/>
          <w:lang w:eastAsia="en-US"/>
        </w:rPr>
        <w:t xml:space="preserve">: one based on </w:t>
      </w:r>
      <w:r w:rsidRPr="003B7032">
        <w:rPr>
          <w:rFonts w:ascii="Calibri" w:eastAsia="Calibri" w:hAnsi="Calibri" w:cs="Times New Roman"/>
          <w:lang w:eastAsia="en-US"/>
        </w:rPr>
        <w:t>MODIS true colour images, and one using MODIS images calibrated into WQ proxies.</w:t>
      </w:r>
      <w:r>
        <w:rPr>
          <w:rFonts w:ascii="Calibri" w:eastAsia="Calibri" w:hAnsi="Calibri" w:cs="Times New Roman"/>
          <w:lang w:eastAsia="en-US"/>
        </w:rPr>
        <w:t xml:space="preserve"> </w:t>
      </w:r>
      <w:r w:rsidRPr="0058358A">
        <w:rPr>
          <w:rFonts w:ascii="Calibri" w:eastAsia="Calibri" w:hAnsi="Calibri" w:cs="Calibri"/>
          <w:lang w:eastAsia="en-US"/>
        </w:rPr>
        <w:t>Both methods present advantages and disadvantages</w:t>
      </w:r>
      <w:r>
        <w:rPr>
          <w:rFonts w:ascii="Calibri" w:eastAsia="Calibri" w:hAnsi="Calibri" w:cs="Calibri"/>
          <w:lang w:eastAsia="en-US"/>
        </w:rPr>
        <w:t xml:space="preserve">, described in the section </w:t>
      </w:r>
      <w:r w:rsidRPr="003B7032">
        <w:rPr>
          <w:rFonts w:ascii="Calibri" w:eastAsia="Calibri" w:hAnsi="Calibri" w:cs="Calibri"/>
          <w:i/>
          <w:lang w:eastAsia="en-US"/>
        </w:rPr>
        <w:t xml:space="preserve">“Comparison between RS outputs derived from the TC and L2 </w:t>
      </w:r>
      <w:r w:rsidRPr="003B7032">
        <w:rPr>
          <w:rFonts w:ascii="Calibri" w:eastAsia="Calibri" w:hAnsi="Calibri" w:cs="Calibri"/>
          <w:lang w:eastAsia="en-US"/>
        </w:rPr>
        <w:t>methods”</w:t>
      </w:r>
      <w:r w:rsidRPr="00714C13">
        <w:rPr>
          <w:rFonts w:ascii="Calibri" w:eastAsia="Calibri" w:hAnsi="Calibri" w:cs="Calibri"/>
          <w:lang w:eastAsia="en-US"/>
        </w:rPr>
        <w:t>.</w:t>
      </w:r>
      <w:r w:rsidRPr="003B7032">
        <w:rPr>
          <w:rFonts w:ascii="Calibri" w:eastAsia="Calibri" w:hAnsi="Calibri" w:cs="Calibri"/>
          <w:lang w:eastAsia="en-US"/>
        </w:rPr>
        <w:t xml:space="preserve"> Quickly, the TC method offers a simple and objective method by clustering the information contained in MODIS true-colour composites (Red–Green–Blue bands), but relies on non-atmospherically corrected data</w:t>
      </w:r>
      <w:r>
        <w:rPr>
          <w:rFonts w:ascii="Calibri" w:eastAsia="Calibri" w:hAnsi="Calibri" w:cs="Calibri"/>
          <w:lang w:eastAsia="en-US"/>
        </w:rPr>
        <w:t xml:space="preserve">. </w:t>
      </w:r>
      <w:r w:rsidRPr="003B7032">
        <w:rPr>
          <w:rFonts w:ascii="Calibri" w:eastAsia="Calibri" w:hAnsi="Calibri" w:cs="Calibri"/>
          <w:lang w:eastAsia="en-US"/>
        </w:rPr>
        <w:t>The L2 threshold method</w:t>
      </w:r>
      <w:r>
        <w:rPr>
          <w:rFonts w:ascii="Calibri" w:eastAsia="Calibri" w:hAnsi="Calibri" w:cs="Calibri"/>
          <w:lang w:eastAsia="en-US"/>
        </w:rPr>
        <w:t xml:space="preserve"> provide </w:t>
      </w:r>
      <w:r w:rsidRPr="009077F2">
        <w:rPr>
          <w:rFonts w:ascii="Calibri" w:eastAsia="Calibri" w:hAnsi="Calibri" w:cs="Calibri"/>
          <w:lang w:eastAsia="en-US"/>
        </w:rPr>
        <w:t xml:space="preserve">valuable quantitative information, such as the concentration of CDOM, TSS, chl-a, or Kd(PAR) values that are not directly available through the </w:t>
      </w:r>
      <w:r>
        <w:rPr>
          <w:rFonts w:ascii="Calibri" w:eastAsia="Calibri" w:hAnsi="Calibri" w:cs="Calibri"/>
          <w:lang w:eastAsia="en-US"/>
        </w:rPr>
        <w:t xml:space="preserve">TC method, but rely on bio-optical algorithms that are not fully validated in the optically complex waters, such as the GBR coastal waters. </w:t>
      </w:r>
      <w:r w:rsidRPr="003B7032">
        <w:rPr>
          <w:rFonts w:ascii="Calibri" w:eastAsia="Calibri" w:hAnsi="Calibri" w:cs="Calibri"/>
          <w:lang w:eastAsia="en-US"/>
        </w:rPr>
        <w:t xml:space="preserve">It was thus decided, for the rest of this report and for the following monitoring years, to work with river plume products derived from MODIS true </w:t>
      </w:r>
      <w:r w:rsidR="008E03E9" w:rsidRPr="003B7032">
        <w:rPr>
          <w:rFonts w:ascii="Calibri" w:eastAsia="Calibri" w:hAnsi="Calibri" w:cs="Calibri"/>
          <w:lang w:eastAsia="en-US"/>
        </w:rPr>
        <w:t>colour</w:t>
      </w:r>
      <w:r w:rsidRPr="003B7032">
        <w:rPr>
          <w:rFonts w:ascii="Calibri" w:eastAsia="Calibri" w:hAnsi="Calibri" w:cs="Calibri"/>
          <w:lang w:eastAsia="en-US"/>
        </w:rPr>
        <w:t xml:space="preserve"> satellite data to assess the exposure of GBR key ecosystems to the river plume and describe the potential risk experienced by these ecosystems from the river plume exposure</w:t>
      </w:r>
      <w:r>
        <w:rPr>
          <w:rFonts w:ascii="Calibri" w:eastAsia="Calibri" w:hAnsi="Calibri" w:cs="Calibri"/>
          <w:lang w:eastAsia="en-US"/>
        </w:rPr>
        <w:t xml:space="preserve">. </w:t>
      </w:r>
      <w:r w:rsidRPr="00A15E5A">
        <w:rPr>
          <w:rFonts w:ascii="Calibri" w:eastAsia="Calibri" w:hAnsi="Calibri" w:cs="Calibri"/>
          <w:lang w:eastAsia="en-US"/>
        </w:rPr>
        <w:t xml:space="preserve">Methods could be updated in future toward the use of L2 derived RS product if more accurate L2 algorithms become available.   </w:t>
      </w:r>
    </w:p>
    <w:p w14:paraId="0C3F897F" w14:textId="77777777" w:rsidR="00131E41" w:rsidRPr="00BE31E1" w:rsidRDefault="00131E41" w:rsidP="00131E41">
      <w:pPr>
        <w:pStyle w:val="ListParagraph"/>
        <w:numPr>
          <w:ilvl w:val="1"/>
          <w:numId w:val="3"/>
        </w:numPr>
        <w:rPr>
          <w:rStyle w:val="Heading20"/>
        </w:rPr>
      </w:pPr>
      <w:bookmarkStart w:id="275" w:name="_Toc427831230"/>
      <w:bookmarkStart w:id="276" w:name="_Toc428793361"/>
      <w:bookmarkStart w:id="277" w:name="_Toc428851366"/>
      <w:r w:rsidRPr="00BE31E1">
        <w:rPr>
          <w:rStyle w:val="Heading20"/>
        </w:rPr>
        <w:t>Toward the production of river plume risk maps for the GBR ecosystems</w:t>
      </w:r>
      <w:bookmarkEnd w:id="275"/>
      <w:bookmarkEnd w:id="276"/>
      <w:bookmarkEnd w:id="277"/>
    </w:p>
    <w:p w14:paraId="0C3F8980" w14:textId="77777777" w:rsidR="00131E41" w:rsidRDefault="00131E41" w:rsidP="00131E41">
      <w:pPr>
        <w:rPr>
          <w:rFonts w:ascii="Calibri" w:eastAsia="Calibri" w:hAnsi="Calibri" w:cs="Calibri"/>
          <w:lang w:eastAsia="en-US"/>
        </w:rPr>
      </w:pPr>
      <w:r w:rsidRPr="007A37BA">
        <w:rPr>
          <w:rFonts w:ascii="Calibri" w:eastAsia="Calibri" w:hAnsi="Calibri" w:cs="Calibri"/>
          <w:lang w:eastAsia="en-US"/>
        </w:rPr>
        <w:t>Each plume water type is associated with different optical properties, colours, as well as different concentrations and proportions of nutrient, sediment and pesticides and different light levels. Concentrations of TSS, CDOM and light levels in flood plumes generally decrease across plume water types i.e., from Primary to Tertiary water types. Linear decrease of DIN and PSII herbicides concentrations across river plumes (from the coast to offshore i.e., from Primary to Tertiary water types) have also been reported in the literature (Álvarez-Romero et al., 2013, Kennedy et al., 2012, Lewis et al. 2009). As an approximation, it can be assumed that the magnitude of risk for the GBR seagrass beds and coral reefs from river plume exposure (i.e., from land-sourced pollutants in river plumes) will increase from the Tertiary waters to the Primary core of river plumes.</w:t>
      </w:r>
    </w:p>
    <w:p w14:paraId="0C3F8981" w14:textId="77777777" w:rsidR="00131E41" w:rsidRPr="00DF1C49" w:rsidRDefault="00131E41" w:rsidP="00131E41">
      <w:pPr>
        <w:rPr>
          <w:rFonts w:ascii="Calibri" w:eastAsia="Calibri" w:hAnsi="Calibri" w:cs="Calibri"/>
          <w:lang w:eastAsia="en-US"/>
        </w:rPr>
      </w:pPr>
      <w:r>
        <w:rPr>
          <w:rFonts w:ascii="Calibri" w:eastAsia="Calibri" w:hAnsi="Calibri" w:cs="Times New Roman"/>
          <w:lang w:eastAsia="en-US"/>
        </w:rPr>
        <w:t>R</w:t>
      </w:r>
      <w:r w:rsidRPr="00100395">
        <w:rPr>
          <w:rFonts w:ascii="Calibri" w:eastAsia="Calibri" w:hAnsi="Calibri" w:cs="Times New Roman"/>
          <w:lang w:eastAsia="en-US"/>
        </w:rPr>
        <w:t>iver plume maps produced have been used as an interpretative tool for understanding changes in seagrass meadow health in the GBR, and decline in seagrass meadow area and biomass has been positively linked to high occurrence of turbid water masses mapped through MODIS imagery (Petus et al., 2014</w:t>
      </w:r>
      <w:r>
        <w:rPr>
          <w:rFonts w:ascii="Calibri" w:eastAsia="Calibri" w:hAnsi="Calibri" w:cs="Times New Roman"/>
          <w:lang w:eastAsia="en-US"/>
        </w:rPr>
        <w:t>c</w:t>
      </w:r>
      <w:r w:rsidRPr="00100395">
        <w:rPr>
          <w:rFonts w:ascii="Calibri" w:eastAsia="Calibri" w:hAnsi="Calibri" w:cs="Times New Roman"/>
          <w:lang w:eastAsia="en-US"/>
        </w:rPr>
        <w:t>).</w:t>
      </w:r>
      <w:r>
        <w:rPr>
          <w:rFonts w:ascii="Calibri" w:eastAsia="Calibri" w:hAnsi="Calibri" w:cs="Times New Roman"/>
          <w:lang w:eastAsia="en-US"/>
        </w:rPr>
        <w:t xml:space="preserve"> </w:t>
      </w:r>
      <w:r w:rsidRPr="005834B5">
        <w:rPr>
          <w:rFonts w:ascii="Calibri" w:eastAsia="Calibri" w:hAnsi="Calibri" w:cs="Times New Roman"/>
          <w:lang w:eastAsia="en-US"/>
        </w:rPr>
        <w:t>Petus et al. (2014</w:t>
      </w:r>
      <w:r>
        <w:rPr>
          <w:rFonts w:ascii="Calibri" w:eastAsia="Calibri" w:hAnsi="Calibri" w:cs="Times New Roman"/>
          <w:lang w:eastAsia="en-US"/>
        </w:rPr>
        <w:t>b</w:t>
      </w:r>
      <w:r w:rsidRPr="005834B5">
        <w:rPr>
          <w:rFonts w:ascii="Calibri" w:eastAsia="Calibri" w:hAnsi="Calibri" w:cs="Times New Roman"/>
          <w:lang w:eastAsia="en-US"/>
        </w:rPr>
        <w:t>) proposed that time series of MODIS plume water type maps could help progress river plume risk maps for the GBR by clustering water masses with different concentrations and proportions of land-sourced contaminants and</w:t>
      </w:r>
      <w:r>
        <w:rPr>
          <w:rFonts w:ascii="Calibri" w:eastAsia="Calibri" w:hAnsi="Calibri" w:cs="Times New Roman"/>
          <w:lang w:eastAsia="en-US"/>
        </w:rPr>
        <w:t>,</w:t>
      </w:r>
      <w:r w:rsidRPr="005834B5">
        <w:rPr>
          <w:rFonts w:ascii="Calibri" w:eastAsia="Calibri" w:hAnsi="Calibri" w:cs="Times New Roman"/>
          <w:lang w:eastAsia="en-US"/>
        </w:rPr>
        <w:t xml:space="preserve"> thus</w:t>
      </w:r>
      <w:r>
        <w:rPr>
          <w:rFonts w:ascii="Calibri" w:eastAsia="Calibri" w:hAnsi="Calibri" w:cs="Times New Roman"/>
          <w:lang w:eastAsia="en-US"/>
        </w:rPr>
        <w:t>,</w:t>
      </w:r>
      <w:r w:rsidRPr="005834B5">
        <w:rPr>
          <w:rFonts w:ascii="Calibri" w:eastAsia="Calibri" w:hAnsi="Calibri" w:cs="Times New Roman"/>
          <w:lang w:eastAsia="en-US"/>
        </w:rPr>
        <w:t xml:space="preserve"> by mapping ‘potential’ risk areas in the marine environment</w:t>
      </w:r>
      <w:r>
        <w:rPr>
          <w:rFonts w:ascii="Calibri" w:eastAsia="Calibri" w:hAnsi="Calibri" w:cs="Times New Roman"/>
          <w:lang w:eastAsia="en-US"/>
        </w:rPr>
        <w:t xml:space="preserve"> from river plume exposure</w:t>
      </w:r>
      <w:r w:rsidRPr="005834B5">
        <w:rPr>
          <w:rFonts w:ascii="Calibri" w:eastAsia="Calibri" w:hAnsi="Calibri" w:cs="Times New Roman"/>
          <w:lang w:eastAsia="en-US"/>
        </w:rPr>
        <w:t xml:space="preserve">. They proposed a </w:t>
      </w:r>
      <w:r>
        <w:rPr>
          <w:rFonts w:ascii="Calibri" w:eastAsia="Calibri" w:hAnsi="Calibri" w:cs="Times New Roman"/>
          <w:lang w:eastAsia="en-US"/>
        </w:rPr>
        <w:t xml:space="preserve">simplified </w:t>
      </w:r>
      <w:r w:rsidRPr="005834B5">
        <w:rPr>
          <w:rFonts w:ascii="Calibri" w:eastAsia="Calibri" w:hAnsi="Calibri" w:cs="Times New Roman"/>
          <w:lang w:eastAsia="en-US"/>
        </w:rPr>
        <w:t>framework to produce river plume risk maps for seagrass and coral ecosystems based on a simplified risk matrix assuming that ecological responses</w:t>
      </w:r>
      <w:r>
        <w:rPr>
          <w:rFonts w:ascii="Calibri" w:eastAsia="Calibri" w:hAnsi="Calibri" w:cs="Times New Roman"/>
          <w:lang w:eastAsia="en-US"/>
        </w:rPr>
        <w:t xml:space="preserve"> and, thus, ecological risk from the river plume exposure,</w:t>
      </w:r>
      <w:r w:rsidRPr="005834B5">
        <w:rPr>
          <w:rFonts w:ascii="Calibri" w:eastAsia="Calibri" w:hAnsi="Calibri" w:cs="Times New Roman"/>
          <w:lang w:eastAsia="en-US"/>
        </w:rPr>
        <w:t xml:space="preserve"> will increase linearly with the pollutant concentrations and frequency </w:t>
      </w:r>
      <w:r>
        <w:rPr>
          <w:rFonts w:ascii="Calibri" w:eastAsia="Calibri" w:hAnsi="Calibri" w:cs="Times New Roman"/>
          <w:lang w:eastAsia="en-US"/>
        </w:rPr>
        <w:t xml:space="preserve">or ‘likelihood’ </w:t>
      </w:r>
      <w:r w:rsidRPr="005834B5">
        <w:rPr>
          <w:rFonts w:ascii="Calibri" w:eastAsia="Calibri" w:hAnsi="Calibri" w:cs="Times New Roman"/>
          <w:lang w:eastAsia="en-US"/>
        </w:rPr>
        <w:t xml:space="preserve">of river plume occurrence. </w:t>
      </w:r>
      <w:r w:rsidRPr="00DF1C49">
        <w:rPr>
          <w:rFonts w:ascii="Calibri" w:eastAsia="Calibri" w:hAnsi="Calibri" w:cs="Calibri"/>
          <w:lang w:eastAsia="en-US"/>
        </w:rPr>
        <w:t>Annual river plume risk maps were produced</w:t>
      </w:r>
      <w:r>
        <w:rPr>
          <w:rFonts w:ascii="Calibri" w:eastAsia="Calibri" w:hAnsi="Calibri" w:cs="Calibri"/>
          <w:lang w:eastAsia="en-US"/>
        </w:rPr>
        <w:t xml:space="preserve"> in this report</w:t>
      </w:r>
      <w:r w:rsidRPr="00DF1C49">
        <w:rPr>
          <w:rFonts w:ascii="Calibri" w:eastAsia="Calibri" w:hAnsi="Calibri" w:cs="Calibri"/>
          <w:lang w:eastAsia="en-US"/>
        </w:rPr>
        <w:t xml:space="preserve"> for </w:t>
      </w:r>
      <w:r>
        <w:rPr>
          <w:rFonts w:ascii="Calibri" w:eastAsia="Calibri" w:hAnsi="Calibri" w:cs="Calibri"/>
          <w:lang w:eastAsia="en-US"/>
        </w:rPr>
        <w:t xml:space="preserve">the wet seasons 2006-07 to </w:t>
      </w:r>
      <w:r w:rsidRPr="00DF1C49">
        <w:rPr>
          <w:rFonts w:ascii="Calibri" w:eastAsia="Calibri" w:hAnsi="Calibri" w:cs="Calibri"/>
          <w:lang w:eastAsia="en-US"/>
        </w:rPr>
        <w:t>201</w:t>
      </w:r>
      <w:r>
        <w:rPr>
          <w:rFonts w:ascii="Calibri" w:eastAsia="Calibri" w:hAnsi="Calibri" w:cs="Calibri"/>
          <w:lang w:eastAsia="en-US"/>
        </w:rPr>
        <w:t>2-1</w:t>
      </w:r>
      <w:r w:rsidRPr="00DF1C49">
        <w:rPr>
          <w:rFonts w:ascii="Calibri" w:eastAsia="Calibri" w:hAnsi="Calibri" w:cs="Calibri"/>
          <w:lang w:eastAsia="en-US"/>
        </w:rPr>
        <w:t>3</w:t>
      </w:r>
      <w:r>
        <w:rPr>
          <w:rFonts w:ascii="Calibri" w:eastAsia="Calibri" w:hAnsi="Calibri" w:cs="Calibri"/>
          <w:lang w:eastAsia="en-US"/>
        </w:rPr>
        <w:t xml:space="preserve">. </w:t>
      </w:r>
    </w:p>
    <w:p w14:paraId="0C3F8982" w14:textId="77777777" w:rsidR="00131E41" w:rsidRPr="00DF1C49" w:rsidRDefault="00131E41" w:rsidP="00131E41">
      <w:pPr>
        <w:rPr>
          <w:rFonts w:ascii="Calibri" w:eastAsia="Calibri" w:hAnsi="Calibri" w:cs="Calibri"/>
          <w:lang w:eastAsia="en-US"/>
        </w:rPr>
      </w:pPr>
      <w:r w:rsidRPr="00DF1C49">
        <w:rPr>
          <w:rFonts w:ascii="Calibri" w:eastAsia="Calibri" w:hAnsi="Calibri" w:cs="Calibri"/>
          <w:lang w:eastAsia="en-US"/>
        </w:rPr>
        <w:t xml:space="preserve">It should nevertheless be emphasized the mapping of exposure and water types; and thus of the final river plume risk; is depend on the availability of MODIS images. Number of MODIS cloud free images available for a specific study area is, in general, inversely proportional to the local river discharge conditions (Petus et al., 2014). Strong river discharge rates are associated with stormy/cyclonic conditions and characterised by high rainfall rates and high cloud coverage. This cloud contamination prevents ocean colour observations (TC method allow to map river plumes and plume water types only under light cloud cover) and to map GBR River plumes through MODIS images. Inversely, a greater availability of satellite information due to a less frequent cloud cover </w:t>
      </w:r>
      <w:r>
        <w:rPr>
          <w:rFonts w:ascii="Calibri" w:eastAsia="Calibri" w:hAnsi="Calibri" w:cs="Calibri"/>
          <w:lang w:eastAsia="en-US"/>
        </w:rPr>
        <w:t xml:space="preserve">can results in mapping relatively higher frequency of occurrence of river plume. </w:t>
      </w:r>
      <w:r w:rsidRPr="00DF1C49">
        <w:rPr>
          <w:rFonts w:ascii="Calibri" w:eastAsia="Calibri" w:hAnsi="Calibri" w:cs="Calibri"/>
          <w:lang w:eastAsia="en-US"/>
        </w:rPr>
        <w:t xml:space="preserve">Finally, </w:t>
      </w:r>
      <w:r>
        <w:rPr>
          <w:rFonts w:ascii="Calibri" w:eastAsia="Calibri" w:hAnsi="Calibri" w:cs="Calibri"/>
          <w:lang w:eastAsia="en-US"/>
        </w:rPr>
        <w:t>it is worth noting any</w:t>
      </w:r>
      <w:r w:rsidRPr="00DF1C49">
        <w:rPr>
          <w:rFonts w:ascii="Calibri" w:eastAsia="Calibri" w:hAnsi="Calibri" w:cs="Calibri"/>
          <w:lang w:eastAsia="en-US"/>
        </w:rPr>
        <w:t xml:space="preserve"> results obtained in the Cape York NRM should be considered with care. Cape York is a shallow and optically complex environment where the TC method hasn’t been fully validated. </w:t>
      </w:r>
    </w:p>
    <w:p w14:paraId="0C3F8983" w14:textId="77777777" w:rsidR="00131E41" w:rsidRPr="00BE31E1" w:rsidRDefault="00131E41" w:rsidP="00131E41">
      <w:pPr>
        <w:pStyle w:val="ListParagraph"/>
        <w:numPr>
          <w:ilvl w:val="1"/>
          <w:numId w:val="3"/>
        </w:numPr>
        <w:rPr>
          <w:rStyle w:val="Heading20"/>
        </w:rPr>
      </w:pPr>
      <w:bookmarkStart w:id="278" w:name="_Toc427251560"/>
      <w:bookmarkStart w:id="279" w:name="_Toc427831232"/>
      <w:bookmarkStart w:id="280" w:name="_Toc428793363"/>
      <w:bookmarkStart w:id="281" w:name="_Toc428851368"/>
      <w:r w:rsidRPr="00BE31E1">
        <w:rPr>
          <w:rStyle w:val="Heading20"/>
        </w:rPr>
        <w:t>Inter-annual and averaged (7-year) trends in the GBR</w:t>
      </w:r>
      <w:bookmarkEnd w:id="278"/>
      <w:bookmarkEnd w:id="279"/>
      <w:bookmarkEnd w:id="280"/>
      <w:bookmarkEnd w:id="281"/>
    </w:p>
    <w:p w14:paraId="0C3F8984" w14:textId="77777777" w:rsidR="00131E41" w:rsidRPr="00DF1C49" w:rsidRDefault="00131E41" w:rsidP="00131E41">
      <w:pPr>
        <w:rPr>
          <w:rFonts w:ascii="Calibri" w:eastAsia="Calibri" w:hAnsi="Calibri" w:cs="Times New Roman"/>
          <w:lang w:eastAsia="en-US"/>
        </w:rPr>
      </w:pPr>
      <w:r>
        <w:rPr>
          <w:rFonts w:ascii="Calibri" w:eastAsia="Calibri" w:hAnsi="Calibri" w:cs="Times New Roman"/>
          <w:lang w:eastAsia="en-US"/>
        </w:rPr>
        <w:t>A</w:t>
      </w:r>
      <w:r w:rsidRPr="00DF1C49">
        <w:rPr>
          <w:rFonts w:ascii="Calibri" w:eastAsia="Calibri" w:hAnsi="Calibri" w:cs="Times New Roman"/>
          <w:lang w:eastAsia="en-US"/>
        </w:rPr>
        <w:t xml:space="preserve">nnual river plume risk maps were produced </w:t>
      </w:r>
      <w:r>
        <w:rPr>
          <w:rFonts w:ascii="Calibri" w:eastAsia="Calibri" w:hAnsi="Calibri" w:cs="Times New Roman"/>
          <w:lang w:eastAsia="en-US"/>
        </w:rPr>
        <w:t>for the wet seasons</w:t>
      </w:r>
      <w:r w:rsidRPr="00DF1C49">
        <w:rPr>
          <w:rFonts w:ascii="Calibri" w:eastAsia="Calibri" w:hAnsi="Calibri" w:cs="Times New Roman"/>
          <w:lang w:eastAsia="en-US"/>
        </w:rPr>
        <w:t xml:space="preserve"> </w:t>
      </w:r>
      <w:r>
        <w:rPr>
          <w:rFonts w:ascii="Calibri" w:eastAsia="Calibri" w:hAnsi="Calibri" w:cs="Times New Roman"/>
          <w:lang w:eastAsia="en-US"/>
        </w:rPr>
        <w:t>2006-</w:t>
      </w:r>
      <w:r w:rsidRPr="00DF1C49">
        <w:rPr>
          <w:rFonts w:ascii="Calibri" w:eastAsia="Calibri" w:hAnsi="Calibri" w:cs="Times New Roman"/>
          <w:lang w:eastAsia="en-US"/>
        </w:rPr>
        <w:t>07 to 20</w:t>
      </w:r>
      <w:r>
        <w:rPr>
          <w:rFonts w:ascii="Calibri" w:eastAsia="Calibri" w:hAnsi="Calibri" w:cs="Times New Roman"/>
          <w:lang w:eastAsia="en-US"/>
        </w:rPr>
        <w:t>11-</w:t>
      </w:r>
      <w:r w:rsidRPr="00DF1C49">
        <w:rPr>
          <w:rFonts w:ascii="Calibri" w:eastAsia="Calibri" w:hAnsi="Calibri" w:cs="Times New Roman"/>
          <w:lang w:eastAsia="en-US"/>
        </w:rPr>
        <w:t>12</w:t>
      </w:r>
      <w:r>
        <w:rPr>
          <w:rFonts w:ascii="Calibri" w:eastAsia="Calibri" w:hAnsi="Calibri" w:cs="Times New Roman"/>
          <w:lang w:eastAsia="en-US"/>
        </w:rPr>
        <w:t xml:space="preserve">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_Ref432673962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19</w:t>
      </w:r>
      <w:r>
        <w:rPr>
          <w:rFonts w:ascii="Calibri" w:eastAsia="Calibri" w:hAnsi="Calibri" w:cs="Times New Roman"/>
          <w:lang w:eastAsia="en-US"/>
        </w:rPr>
        <w:fldChar w:fldCharType="end"/>
      </w:r>
      <w:r>
        <w:rPr>
          <w:rFonts w:ascii="Calibri" w:eastAsia="Calibri" w:hAnsi="Calibri" w:cs="Times New Roman"/>
          <w:lang w:eastAsia="en-US"/>
        </w:rPr>
        <w:t xml:space="preserve"> and </w:t>
      </w:r>
      <w:r>
        <w:rPr>
          <w:rFonts w:ascii="Calibri" w:eastAsia="Calibri" w:hAnsi="Calibri" w:cs="Times New Roman"/>
          <w:lang w:eastAsia="en-US"/>
        </w:rPr>
        <w:fldChar w:fldCharType="begin"/>
      </w:r>
      <w:r>
        <w:rPr>
          <w:rFonts w:ascii="Calibri" w:eastAsia="Calibri" w:hAnsi="Calibri" w:cs="Times New Roman"/>
          <w:lang w:eastAsia="en-US"/>
        </w:rPr>
        <w:instrText xml:space="preserve"> REF _Ref432673964 \h </w:instrText>
      </w:r>
      <w:r>
        <w:rPr>
          <w:rFonts w:ascii="Calibri" w:eastAsia="Calibri" w:hAnsi="Calibri" w:cs="Times New Roman"/>
          <w:lang w:eastAsia="en-US"/>
        </w:rPr>
      </w:r>
      <w:r>
        <w:rPr>
          <w:rFonts w:ascii="Calibri" w:eastAsia="Calibri" w:hAnsi="Calibri" w:cs="Times New Roman"/>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20</w:t>
      </w:r>
      <w:r>
        <w:rPr>
          <w:rFonts w:ascii="Calibri" w:eastAsia="Calibri" w:hAnsi="Calibri" w:cs="Times New Roman"/>
          <w:lang w:eastAsia="en-US"/>
        </w:rPr>
        <w:fldChar w:fldCharType="end"/>
      </w:r>
      <w:r>
        <w:rPr>
          <w:rFonts w:ascii="Calibri" w:eastAsia="Calibri" w:hAnsi="Calibri" w:cs="Times New Roman"/>
          <w:lang w:eastAsia="en-US"/>
        </w:rPr>
        <w:t>)</w:t>
      </w:r>
      <w:r w:rsidRPr="00DF1C49">
        <w:rPr>
          <w:rFonts w:ascii="Calibri" w:eastAsia="Calibri" w:hAnsi="Calibri" w:cs="Times New Roman"/>
          <w:lang w:eastAsia="en-US"/>
        </w:rPr>
        <w:t>. This m</w:t>
      </w:r>
      <w:r w:rsidRPr="00DF1C49">
        <w:rPr>
          <w:rFonts w:ascii="Calibri" w:eastAsia="Calibri" w:hAnsi="Calibri" w:cs="Calibri"/>
          <w:lang w:eastAsia="en-US"/>
        </w:rPr>
        <w:t xml:space="preserve">ulti-annual satellite dataset </w:t>
      </w:r>
      <w:r w:rsidRPr="00DF1C49">
        <w:rPr>
          <w:rFonts w:ascii="Calibri" w:eastAsia="Calibri" w:hAnsi="Calibri" w:cs="Times New Roman"/>
          <w:lang w:eastAsia="en-US"/>
        </w:rPr>
        <w:t>illustrates the complex spatial and a temporal dynamic that affect GBR lagoon areas exposed to river plume risk and constitutes</w:t>
      </w:r>
      <w:r w:rsidRPr="00DF1C49">
        <w:rPr>
          <w:rFonts w:ascii="Calibri" w:eastAsia="Calibri" w:hAnsi="Calibri" w:cs="Calibri"/>
          <w:lang w:eastAsia="en-US"/>
        </w:rPr>
        <w:t xml:space="preserve"> a </w:t>
      </w:r>
      <w:r>
        <w:rPr>
          <w:rFonts w:ascii="Calibri" w:eastAsia="Calibri" w:hAnsi="Calibri" w:cs="Calibri"/>
          <w:lang w:eastAsia="en-US"/>
        </w:rPr>
        <w:t>preliminary</w:t>
      </w:r>
      <w:r w:rsidRPr="00DF1C49">
        <w:rPr>
          <w:rFonts w:ascii="Calibri" w:eastAsia="Calibri" w:hAnsi="Calibri" w:cs="Calibri"/>
          <w:lang w:eastAsia="en-US"/>
        </w:rPr>
        <w:t xml:space="preserve"> baseline against which to assess future changes in ecosystems</w:t>
      </w:r>
      <w:r>
        <w:rPr>
          <w:rFonts w:ascii="Calibri" w:eastAsia="Calibri" w:hAnsi="Calibri" w:cs="Calibri"/>
          <w:lang w:eastAsia="en-US"/>
        </w:rPr>
        <w:t xml:space="preserve"> health against</w:t>
      </w:r>
      <w:r w:rsidRPr="00DF1C49">
        <w:rPr>
          <w:rFonts w:ascii="Calibri" w:eastAsia="Calibri" w:hAnsi="Calibri" w:cs="Calibri"/>
          <w:lang w:eastAsia="en-US"/>
        </w:rPr>
        <w:t xml:space="preserve"> exposure to river plume </w:t>
      </w:r>
      <w:r>
        <w:rPr>
          <w:rFonts w:ascii="Calibri" w:eastAsia="Calibri" w:hAnsi="Calibri" w:cs="Calibri"/>
          <w:lang w:eastAsia="en-US"/>
        </w:rPr>
        <w:t>and potential risk from this exposure</w:t>
      </w:r>
      <w:r w:rsidRPr="00DF1C49">
        <w:rPr>
          <w:rFonts w:ascii="Calibri" w:eastAsia="Calibri" w:hAnsi="Calibri" w:cs="Calibri"/>
          <w:lang w:eastAsia="en-US"/>
        </w:rPr>
        <w:t>.</w:t>
      </w:r>
    </w:p>
    <w:p w14:paraId="0C3F8985" w14:textId="77777777" w:rsidR="00131E41" w:rsidRDefault="00131E41" w:rsidP="00131E41">
      <w:pPr>
        <w:rPr>
          <w:rFonts w:ascii="Calibri" w:eastAsia="Calibri" w:hAnsi="Calibri" w:cs="Times New Roman"/>
          <w:lang w:eastAsia="en-US"/>
        </w:rPr>
      </w:pPr>
      <w:r w:rsidRPr="00DF1C49">
        <w:rPr>
          <w:rFonts w:ascii="Calibri" w:eastAsia="Calibri" w:hAnsi="Calibri" w:cs="Times New Roman"/>
          <w:lang w:eastAsia="en-US"/>
        </w:rPr>
        <w:t xml:space="preserve">Spatial extent and orientations of river plumes are shaped by the Coriolis </w:t>
      </w:r>
      <w:r>
        <w:rPr>
          <w:rFonts w:ascii="Calibri" w:eastAsia="Calibri" w:hAnsi="Calibri" w:cs="Times New Roman"/>
          <w:lang w:eastAsia="en-US"/>
        </w:rPr>
        <w:t>effect</w:t>
      </w:r>
      <w:r w:rsidRPr="00DF1C49">
        <w:rPr>
          <w:rFonts w:ascii="Calibri" w:eastAsia="Calibri" w:hAnsi="Calibri" w:cs="Times New Roman"/>
          <w:lang w:eastAsia="en-US"/>
        </w:rPr>
        <w:t xml:space="preserve"> and a combination of hydro-climatic forces</w:t>
      </w:r>
      <w:r>
        <w:rPr>
          <w:rFonts w:ascii="Calibri" w:eastAsia="Calibri" w:hAnsi="Calibri" w:cs="Times New Roman"/>
          <w:lang w:eastAsia="en-US"/>
        </w:rPr>
        <w:t>,</w:t>
      </w:r>
      <w:r w:rsidRPr="00DF1C49">
        <w:rPr>
          <w:rFonts w:ascii="Calibri" w:eastAsia="Calibri" w:hAnsi="Calibri" w:cs="Times New Roman"/>
          <w:lang w:eastAsia="en-US"/>
        </w:rPr>
        <w:t xml:space="preserve"> including (i) the river discharge rates, (ii) the wind strength and orientation and (iii) the local currents. Primary (highly turbid) coastal water surface areas are mainly modulated by the river discharge rates</w:t>
      </w:r>
      <w:r>
        <w:rPr>
          <w:rFonts w:ascii="Calibri" w:eastAsia="Calibri" w:hAnsi="Calibri" w:cs="Times New Roman"/>
          <w:lang w:eastAsia="en-US"/>
        </w:rPr>
        <w:t>.</w:t>
      </w:r>
      <w:r w:rsidRPr="00DF1C49">
        <w:rPr>
          <w:rFonts w:ascii="Calibri" w:eastAsia="Calibri" w:hAnsi="Calibri" w:cs="Times New Roman"/>
          <w:lang w:eastAsia="en-US"/>
        </w:rPr>
        <w:t xml:space="preserve"> More offshore, Secondary and Tertiary river plumes water areas are also correlated to the river discharge</w:t>
      </w:r>
      <w:r>
        <w:rPr>
          <w:rFonts w:ascii="Calibri" w:eastAsia="Calibri" w:hAnsi="Calibri" w:cs="Times New Roman"/>
          <w:lang w:eastAsia="en-US"/>
        </w:rPr>
        <w:t>,</w:t>
      </w:r>
      <w:r w:rsidRPr="00DF1C49">
        <w:rPr>
          <w:rFonts w:ascii="Calibri" w:eastAsia="Calibri" w:hAnsi="Calibri" w:cs="Times New Roman"/>
          <w:lang w:eastAsia="en-US"/>
        </w:rPr>
        <w:t xml:space="preserve"> but their shapes and orientations are strongly modulated by the wind, the local currents  and Secondary and Tertiary plume </w:t>
      </w:r>
      <w:r w:rsidRPr="00593CC8">
        <w:rPr>
          <w:rFonts w:ascii="Calibri" w:eastAsia="Calibri" w:hAnsi="Calibri" w:cs="Times New Roman"/>
          <w:color w:val="000000" w:themeColor="text1"/>
          <w:lang w:eastAsia="en-US"/>
        </w:rPr>
        <w:t>waters from different river plumes are often merged all together. This might explain why, at the multi-annual scale, total river discharge per NRM was well correlated with areas under very high to river plume risk</w:t>
      </w:r>
      <w:r>
        <w:rPr>
          <w:rFonts w:ascii="Calibri" w:eastAsia="Calibri" w:hAnsi="Calibri" w:cs="Times New Roman"/>
          <w:color w:val="000000" w:themeColor="text1"/>
          <w:lang w:eastAsia="en-US"/>
        </w:rPr>
        <w:t>,</w:t>
      </w:r>
      <w:r w:rsidRPr="00593CC8">
        <w:rPr>
          <w:rFonts w:ascii="Calibri" w:eastAsia="Calibri" w:hAnsi="Calibri" w:cs="Times New Roman"/>
          <w:color w:val="000000" w:themeColor="text1"/>
          <w:lang w:eastAsia="en-US"/>
        </w:rPr>
        <w:t xml:space="preserve"> identified</w:t>
      </w:r>
      <w:r>
        <w:rPr>
          <w:rFonts w:ascii="Calibri" w:eastAsia="Calibri" w:hAnsi="Calibri" w:cs="Times New Roman"/>
          <w:color w:val="000000" w:themeColor="text1"/>
          <w:lang w:eastAsia="en-US"/>
        </w:rPr>
        <w:t xml:space="preserve"> primarily</w:t>
      </w:r>
      <w:r w:rsidRPr="00593CC8">
        <w:rPr>
          <w:rFonts w:ascii="Calibri" w:eastAsia="Calibri" w:hAnsi="Calibri" w:cs="Times New Roman"/>
          <w:color w:val="000000" w:themeColor="text1"/>
          <w:lang w:eastAsia="en-US"/>
        </w:rPr>
        <w:t xml:space="preserve"> as areas occasionally to very frequently inundated by Primary plume water </w:t>
      </w:r>
      <w:r>
        <w:rPr>
          <w:rFonts w:ascii="Calibri" w:eastAsia="Calibri" w:hAnsi="Calibri" w:cs="Times New Roman"/>
          <w:color w:val="000000" w:themeColor="text1"/>
          <w:lang w:eastAsia="en-US"/>
        </w:rPr>
        <w:t>(</w:t>
      </w:r>
      <w:r>
        <w:rPr>
          <w:rFonts w:ascii="Calibri" w:eastAsia="Calibri" w:hAnsi="Calibri" w:cs="Times New Roman"/>
          <w:color w:val="000000" w:themeColor="text1"/>
          <w:lang w:eastAsia="en-US"/>
        </w:rPr>
        <w:fldChar w:fldCharType="begin"/>
      </w:r>
      <w:r>
        <w:rPr>
          <w:rFonts w:ascii="Calibri" w:eastAsia="Calibri" w:hAnsi="Calibri" w:cs="Times New Roman"/>
          <w:color w:val="000000" w:themeColor="text1"/>
          <w:lang w:eastAsia="en-US"/>
        </w:rPr>
        <w:instrText xml:space="preserve"> REF _Ref427752201 \h </w:instrText>
      </w:r>
      <w:r>
        <w:rPr>
          <w:rFonts w:ascii="Calibri" w:eastAsia="Calibri" w:hAnsi="Calibri" w:cs="Times New Roman"/>
          <w:color w:val="000000" w:themeColor="text1"/>
          <w:lang w:eastAsia="en-US"/>
        </w:rPr>
      </w:r>
      <w:r>
        <w:rPr>
          <w:rFonts w:ascii="Calibri" w:eastAsia="Calibri" w:hAnsi="Calibri" w:cs="Times New Roman"/>
          <w:color w:val="000000" w:themeColor="text1"/>
          <w:lang w:eastAsia="en-US"/>
        </w:rPr>
        <w:fldChar w:fldCharType="separate"/>
      </w:r>
      <w:r w:rsidR="00B62B50" w:rsidRPr="00DF1C49">
        <w:rPr>
          <w:rFonts w:eastAsia="Calibri"/>
        </w:rPr>
        <w:t xml:space="preserve">Figure </w:t>
      </w:r>
      <w:r w:rsidR="00B62B50">
        <w:rPr>
          <w:rFonts w:eastAsia="Calibri"/>
          <w:noProof/>
        </w:rPr>
        <w:t>5</w:t>
      </w:r>
      <w:r w:rsidR="00B62B50">
        <w:rPr>
          <w:rFonts w:eastAsia="Calibri"/>
        </w:rPr>
        <w:noBreakHyphen/>
      </w:r>
      <w:r w:rsidR="00B62B50">
        <w:rPr>
          <w:rFonts w:eastAsia="Calibri"/>
          <w:noProof/>
        </w:rPr>
        <w:t>21</w:t>
      </w:r>
      <w:r>
        <w:rPr>
          <w:rFonts w:ascii="Calibri" w:eastAsia="Calibri" w:hAnsi="Calibri" w:cs="Times New Roman"/>
          <w:color w:val="000000" w:themeColor="text1"/>
          <w:lang w:eastAsia="en-US"/>
        </w:rPr>
        <w:fldChar w:fldCharType="end"/>
      </w:r>
      <w:r w:rsidRPr="00593CC8">
        <w:rPr>
          <w:rFonts w:ascii="Calibri" w:eastAsia="Calibri" w:hAnsi="Calibri" w:cs="Times New Roman"/>
          <w:color w:val="000000" w:themeColor="text1"/>
          <w:lang w:eastAsia="en-US"/>
        </w:rPr>
        <w:t xml:space="preserve">), while no relationships could be found with the total areas exposed to river plume (all water types). </w:t>
      </w:r>
    </w:p>
    <w:p w14:paraId="0C3F8986" w14:textId="77777777" w:rsidR="00131E41" w:rsidRPr="00BE31E1" w:rsidRDefault="00131E41" w:rsidP="00131E41">
      <w:pPr>
        <w:rPr>
          <w:rFonts w:ascii="Calibri" w:eastAsia="Calibri" w:hAnsi="Calibri" w:cs="Times New Roman"/>
          <w:lang w:eastAsia="en-US"/>
        </w:rPr>
      </w:pPr>
      <w:r>
        <w:rPr>
          <w:rFonts w:ascii="Calibri" w:eastAsia="Calibri" w:hAnsi="Calibri" w:cs="Times New Roman"/>
          <w:lang w:eastAsia="en-US"/>
        </w:rPr>
        <w:t>A m</w:t>
      </w:r>
      <w:r w:rsidRPr="00DF1C49">
        <w:rPr>
          <w:rFonts w:ascii="Calibri" w:eastAsia="Calibri" w:hAnsi="Calibri" w:cs="Times New Roman"/>
          <w:lang w:eastAsia="en-US"/>
        </w:rPr>
        <w:t xml:space="preserve">ultiannual </w:t>
      </w:r>
      <w:r>
        <w:rPr>
          <w:rFonts w:ascii="Calibri" w:eastAsia="Calibri" w:hAnsi="Calibri" w:cs="Times New Roman"/>
          <w:lang w:eastAsia="en-US"/>
        </w:rPr>
        <w:t>potential</w:t>
      </w:r>
      <w:r w:rsidRPr="00DF1C49">
        <w:rPr>
          <w:rFonts w:ascii="Calibri" w:eastAsia="Calibri" w:hAnsi="Calibri" w:cs="Times New Roman"/>
          <w:lang w:eastAsia="en-US"/>
        </w:rPr>
        <w:t xml:space="preserve"> risk map w</w:t>
      </w:r>
      <w:r>
        <w:rPr>
          <w:rFonts w:ascii="Calibri" w:eastAsia="Calibri" w:hAnsi="Calibri" w:cs="Times New Roman"/>
          <w:lang w:eastAsia="en-US"/>
        </w:rPr>
        <w:t>as</w:t>
      </w:r>
      <w:r w:rsidRPr="00DF1C49">
        <w:rPr>
          <w:rFonts w:ascii="Calibri" w:eastAsia="Calibri" w:hAnsi="Calibri" w:cs="Times New Roman"/>
          <w:lang w:eastAsia="en-US"/>
        </w:rPr>
        <w:t xml:space="preserve"> calculated </w:t>
      </w:r>
      <w:r>
        <w:rPr>
          <w:rFonts w:ascii="Calibri" w:eastAsia="Calibri" w:hAnsi="Calibri" w:cs="Times New Roman"/>
          <w:lang w:eastAsia="en-US"/>
        </w:rPr>
        <w:t>by averaging the</w:t>
      </w:r>
      <w:r w:rsidRPr="00DF1C49">
        <w:rPr>
          <w:rFonts w:ascii="Calibri" w:eastAsia="Calibri" w:hAnsi="Calibri" w:cs="Times New Roman"/>
          <w:lang w:eastAsia="en-US"/>
        </w:rPr>
        <w:t xml:space="preserve"> inter-annual risk maps </w:t>
      </w:r>
      <w:r>
        <w:rPr>
          <w:rFonts w:ascii="Calibri" w:eastAsia="Calibri" w:hAnsi="Calibri" w:cs="Times New Roman"/>
          <w:lang w:eastAsia="en-US"/>
        </w:rPr>
        <w:t>produced</w:t>
      </w:r>
      <w:r w:rsidRPr="00DF1C49">
        <w:rPr>
          <w:rFonts w:ascii="Calibri" w:eastAsia="Calibri" w:hAnsi="Calibri" w:cs="Times New Roman"/>
          <w:lang w:eastAsia="en-US"/>
        </w:rPr>
        <w:t xml:space="preserve">. Recalculating </w:t>
      </w:r>
      <w:r>
        <w:rPr>
          <w:rFonts w:ascii="Calibri" w:eastAsia="Calibri" w:hAnsi="Calibri" w:cs="Times New Roman"/>
          <w:lang w:eastAsia="en-US"/>
        </w:rPr>
        <w:t xml:space="preserve">individual wet season </w:t>
      </w:r>
      <w:r w:rsidRPr="00DF1C49">
        <w:rPr>
          <w:rFonts w:ascii="Calibri" w:eastAsia="Calibri" w:hAnsi="Calibri" w:cs="Times New Roman"/>
          <w:lang w:eastAsia="en-US"/>
        </w:rPr>
        <w:t xml:space="preserve">risk maps to </w:t>
      </w:r>
      <w:r>
        <w:rPr>
          <w:rFonts w:ascii="Calibri" w:eastAsia="Calibri" w:hAnsi="Calibri" w:cs="Times New Roman"/>
          <w:lang w:eastAsia="en-US"/>
        </w:rPr>
        <w:t xml:space="preserve">a </w:t>
      </w:r>
      <w:r w:rsidRPr="00DF1C49">
        <w:rPr>
          <w:rFonts w:ascii="Calibri" w:eastAsia="Calibri" w:hAnsi="Calibri" w:cs="Times New Roman"/>
          <w:lang w:eastAsia="en-US"/>
        </w:rPr>
        <w:t>long-term (7-year) map is useful to</w:t>
      </w:r>
      <w:r w:rsidRPr="00043AD4">
        <w:rPr>
          <w:rFonts w:ascii="Calibri" w:eastAsia="Calibri" w:hAnsi="Calibri" w:cs="Times New Roman"/>
          <w:lang w:eastAsia="en-US"/>
        </w:rPr>
        <w:t xml:space="preserve"> describe where potential risk condition</w:t>
      </w:r>
      <w:r>
        <w:rPr>
          <w:rFonts w:ascii="Calibri" w:eastAsia="Calibri" w:hAnsi="Calibri" w:cs="Times New Roman"/>
          <w:lang w:eastAsia="en-US"/>
        </w:rPr>
        <w:t>s</w:t>
      </w:r>
      <w:r w:rsidRPr="00043AD4">
        <w:rPr>
          <w:rFonts w:ascii="Calibri" w:eastAsia="Calibri" w:hAnsi="Calibri" w:cs="Times New Roman"/>
          <w:lang w:eastAsia="en-US"/>
        </w:rPr>
        <w:t xml:space="preserve"> from river plume are, on average</w:t>
      </w:r>
      <w:r w:rsidRPr="00DF1C49">
        <w:rPr>
          <w:rFonts w:ascii="Calibri" w:eastAsia="Calibri" w:hAnsi="Calibri" w:cs="Times New Roman"/>
          <w:lang w:eastAsia="en-US"/>
        </w:rPr>
        <w:t>.</w:t>
      </w:r>
      <w:r>
        <w:rPr>
          <w:rFonts w:ascii="Calibri" w:eastAsia="Calibri" w:hAnsi="Calibri" w:cs="Times New Roman"/>
          <w:lang w:eastAsia="en-US"/>
        </w:rPr>
        <w:t xml:space="preserve"> </w:t>
      </w:r>
      <w:r w:rsidRPr="00765AC0">
        <w:rPr>
          <w:rFonts w:ascii="Calibri" w:eastAsia="Calibri" w:hAnsi="Calibri" w:cs="Times New Roman"/>
          <w:lang w:eastAsia="en-US"/>
        </w:rPr>
        <w:t>From th</w:t>
      </w:r>
      <w:r>
        <w:rPr>
          <w:rFonts w:ascii="Calibri" w:eastAsia="Calibri" w:hAnsi="Calibri" w:cs="Times New Roman"/>
          <w:lang w:eastAsia="en-US"/>
        </w:rPr>
        <w:t>is multi-annual composite map</w:t>
      </w:r>
      <w:r w:rsidRPr="00765AC0">
        <w:rPr>
          <w:rFonts w:ascii="Calibri" w:eastAsia="Calibri" w:hAnsi="Calibri" w:cs="Times New Roman"/>
          <w:lang w:eastAsia="en-US"/>
        </w:rPr>
        <w:t>, it was estimated that</w:t>
      </w:r>
      <w:r>
        <w:rPr>
          <w:rFonts w:ascii="Calibri" w:eastAsia="Calibri" w:hAnsi="Calibri" w:cs="Times New Roman"/>
          <w:lang w:eastAsia="en-US"/>
        </w:rPr>
        <w:t>:</w:t>
      </w:r>
    </w:p>
    <w:p w14:paraId="0C3F8987" w14:textId="77777777" w:rsidR="00131E41" w:rsidRPr="00E635A2" w:rsidRDefault="00131E41" w:rsidP="00C05A63">
      <w:pPr>
        <w:pStyle w:val="ListParagraph"/>
        <w:numPr>
          <w:ilvl w:val="0"/>
          <w:numId w:val="19"/>
        </w:numPr>
        <w:rPr>
          <w:rFonts w:ascii="Calibri" w:eastAsia="Calibri" w:hAnsi="Calibri" w:cs="Times New Roman"/>
          <w:lang w:eastAsia="en-US"/>
        </w:rPr>
      </w:pPr>
      <w:r w:rsidRPr="00E635A2">
        <w:rPr>
          <w:rFonts w:ascii="Calibri" w:eastAsia="Calibri" w:hAnsi="Calibri" w:cs="Times New Roman"/>
          <w:lang w:eastAsia="en-US"/>
        </w:rPr>
        <w:t xml:space="preserve">Coral reef areas exposed to </w:t>
      </w:r>
      <w:r w:rsidRPr="007228D6">
        <w:rPr>
          <w:rFonts w:ascii="Calibri" w:eastAsia="Calibri" w:hAnsi="Calibri" w:cs="Times New Roman"/>
          <w:lang w:eastAsia="en-US"/>
        </w:rPr>
        <w:t xml:space="preserve">potential risk categories III and IV </w:t>
      </w:r>
      <w:r w:rsidRPr="00E635A2">
        <w:rPr>
          <w:rFonts w:ascii="Calibri" w:eastAsia="Calibri" w:hAnsi="Calibri" w:cs="Times New Roman"/>
          <w:lang w:eastAsia="en-US"/>
        </w:rPr>
        <w:t xml:space="preserve">were greater in Mackay-Whitsunday &gt; Fitzroy &gt; Wet Tropics &gt; Burdekin &gt; Burnett-Mary NRMs. </w:t>
      </w:r>
    </w:p>
    <w:p w14:paraId="0C3F8988" w14:textId="77777777" w:rsidR="00131E41" w:rsidRPr="00E635A2" w:rsidRDefault="00131E41" w:rsidP="00C05A63">
      <w:pPr>
        <w:pStyle w:val="ListParagraph"/>
        <w:numPr>
          <w:ilvl w:val="0"/>
          <w:numId w:val="19"/>
        </w:numPr>
        <w:rPr>
          <w:rFonts w:ascii="Calibri" w:eastAsia="Calibri" w:hAnsi="Calibri" w:cs="Times New Roman"/>
          <w:lang w:eastAsia="en-US"/>
        </w:rPr>
      </w:pPr>
      <w:r w:rsidRPr="00E635A2">
        <w:rPr>
          <w:rFonts w:ascii="Calibri" w:eastAsia="Calibri" w:hAnsi="Calibri" w:cs="Times New Roman"/>
          <w:lang w:eastAsia="en-US"/>
        </w:rPr>
        <w:t xml:space="preserve">Total seagrass areas exposed to </w:t>
      </w:r>
      <w:r w:rsidRPr="007228D6">
        <w:rPr>
          <w:rFonts w:ascii="Calibri" w:eastAsia="Calibri" w:hAnsi="Calibri" w:cs="Times New Roman"/>
          <w:lang w:eastAsia="en-US"/>
        </w:rPr>
        <w:t xml:space="preserve">potential risk categories III and IV </w:t>
      </w:r>
      <w:r w:rsidRPr="00E635A2">
        <w:rPr>
          <w:rFonts w:ascii="Calibri" w:eastAsia="Calibri" w:hAnsi="Calibri" w:cs="Times New Roman"/>
          <w:lang w:eastAsia="en-US"/>
        </w:rPr>
        <w:t>greater in Fitzroy &gt; Burdekin &gt; Mackay-Whitsunday &gt; Wet Tropics &gt; Burnett-Mary NRMs.</w:t>
      </w:r>
    </w:p>
    <w:p w14:paraId="0C3F8989"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lang w:eastAsia="en-US"/>
        </w:rPr>
        <w:t xml:space="preserve">In the Mackay Whitsunday Region, 60% of the total seagrass areas were in the highest relative risk </w:t>
      </w:r>
      <w:r>
        <w:rPr>
          <w:rFonts w:ascii="Calibri" w:eastAsia="Calibri" w:hAnsi="Calibri" w:cs="Times New Roman"/>
          <w:lang w:eastAsia="en-US"/>
        </w:rPr>
        <w:t>categories</w:t>
      </w:r>
      <w:r w:rsidRPr="00DF1C49">
        <w:rPr>
          <w:rFonts w:ascii="Calibri" w:eastAsia="Calibri" w:hAnsi="Calibri" w:cs="Times New Roman"/>
          <w:lang w:eastAsia="en-US"/>
        </w:rPr>
        <w:t xml:space="preserve"> compared to less than 10% for all other regions. This result is similar to the result obtained by Brodie et al., 2013 who assessed the risk of pollutants to GBR ecosystems using a comprehensive combination of qualitative and semi-quantitative WQ information about the influence of individual catchments in the 6 natural resource management (NRM) regions on coral reefs and seagrass ecosystems. They described 40% of the seagrass areas in the Mackay Whitsunday Region in the highest relative risk class of degraded WQ compared to less than 10% for all other regions. They also ranked the regional risk to coral reefs from degraded WQ as (without considering Cape York) highest in the Wet Tropics, Fitzroy and Mackay Whitsunday NRMs (though ranking was Wet Tropics&gt; Fitzroy &gt; Mackay Whitsunday), medium in Burdekin and the lowest in the Burnett-Mary NRM. This </w:t>
      </w:r>
      <w:r>
        <w:rPr>
          <w:rFonts w:ascii="Calibri" w:eastAsia="Calibri" w:hAnsi="Calibri" w:cs="Times New Roman"/>
          <w:lang w:eastAsia="en-US"/>
        </w:rPr>
        <w:t>illustrates</w:t>
      </w:r>
      <w:r w:rsidRPr="00DF1C49">
        <w:rPr>
          <w:rFonts w:ascii="Calibri" w:eastAsia="Calibri" w:hAnsi="Calibri" w:cs="Times New Roman"/>
          <w:lang w:eastAsia="en-US"/>
        </w:rPr>
        <w:t xml:space="preserve"> the potential of using the Primary, Secondary, Tertiary plume water type classification scheme to simply estimate combined WQ stressors in plume waters and thus simply model the risk of cumulative effects of pollutants in river plumes at different spatial and temporal scales.</w:t>
      </w:r>
    </w:p>
    <w:p w14:paraId="0C3F898A" w14:textId="77777777" w:rsidR="008E03E9" w:rsidRPr="008E03E9" w:rsidRDefault="00131E41" w:rsidP="008E03E9">
      <w:pPr>
        <w:pStyle w:val="Heading1"/>
        <w:numPr>
          <w:ilvl w:val="0"/>
          <w:numId w:val="3"/>
        </w:numPr>
        <w:autoSpaceDE w:val="0"/>
        <w:autoSpaceDN w:val="0"/>
        <w:adjustRightInd w:val="0"/>
        <w:spacing w:before="0" w:after="0"/>
        <w:jc w:val="left"/>
        <w:rPr>
          <w:rFonts w:ascii="Myriad Pro" w:hAnsi="Myriad Pro" w:cs="Myriad Pro"/>
          <w:color w:val="000000"/>
          <w:sz w:val="24"/>
          <w:szCs w:val="24"/>
          <w:lang w:val="en-US"/>
        </w:rPr>
      </w:pPr>
      <w:bookmarkStart w:id="282" w:name="_Toc427251561"/>
      <w:bookmarkStart w:id="283" w:name="_Toc427831235"/>
      <w:bookmarkStart w:id="284" w:name="_Toc428793366"/>
      <w:bookmarkStart w:id="285" w:name="_Toc428851371"/>
      <w:bookmarkStart w:id="286" w:name="_Toc434208018"/>
      <w:r w:rsidRPr="008E03E9">
        <w:rPr>
          <w:rStyle w:val="Heading20"/>
          <w:rFonts w:asciiTheme="minorHAnsi" w:hAnsiTheme="minorHAnsi"/>
          <w:b/>
          <w:bCs/>
          <w:iCs w:val="0"/>
          <w:sz w:val="32"/>
        </w:rPr>
        <w:t>Future developments</w:t>
      </w:r>
      <w:bookmarkEnd w:id="282"/>
      <w:bookmarkEnd w:id="283"/>
      <w:bookmarkEnd w:id="284"/>
      <w:bookmarkEnd w:id="285"/>
      <w:bookmarkEnd w:id="286"/>
    </w:p>
    <w:p w14:paraId="0C3F898B" w14:textId="77777777" w:rsidR="008E03E9" w:rsidRPr="008E03E9" w:rsidRDefault="008E03E9" w:rsidP="008E03E9">
      <w:pPr>
        <w:rPr>
          <w:rFonts w:ascii="Calibri" w:eastAsia="Calibri" w:hAnsi="Calibri" w:cs="Times New Roman"/>
          <w:lang w:eastAsia="en-US"/>
        </w:rPr>
      </w:pPr>
      <w:r w:rsidRPr="008E03E9">
        <w:rPr>
          <w:rFonts w:ascii="Calibri" w:eastAsia="Calibri" w:hAnsi="Calibri" w:cs="Times New Roman"/>
          <w:lang w:eastAsia="en-US"/>
        </w:rPr>
        <w:t xml:space="preserve"> The MMP was established in 2005 to help assess the long-term status and health of GBR ecosystems and is a critical component assessing regional water quality changes as land management practices </w:t>
      </w:r>
      <w:r>
        <w:rPr>
          <w:rFonts w:ascii="Calibri" w:eastAsia="Calibri" w:hAnsi="Calibri" w:cs="Times New Roman"/>
          <w:lang w:eastAsia="en-US"/>
        </w:rPr>
        <w:t xml:space="preserve">improve </w:t>
      </w:r>
      <w:r w:rsidRPr="008E03E9">
        <w:rPr>
          <w:rFonts w:ascii="Calibri" w:eastAsia="Calibri" w:hAnsi="Calibri" w:cs="Times New Roman"/>
          <w:lang w:eastAsia="en-US"/>
        </w:rPr>
        <w:t>across GBR catchments. The program forms an integral part of the Reef Plan Paddock to Reef Integrated Monitoring, Modelling and Reporting Program</w:t>
      </w:r>
      <w:r>
        <w:rPr>
          <w:rFonts w:ascii="Calibri" w:eastAsia="Calibri" w:hAnsi="Calibri" w:cs="Times New Roman"/>
          <w:lang w:eastAsia="en-US"/>
        </w:rPr>
        <w:t>.</w:t>
      </w:r>
    </w:p>
    <w:p w14:paraId="0C3F898C" w14:textId="77777777" w:rsidR="008E03E9" w:rsidRPr="008E03E9" w:rsidRDefault="00131E41" w:rsidP="00C05A63">
      <w:pPr>
        <w:pStyle w:val="ListParagraph"/>
        <w:numPr>
          <w:ilvl w:val="0"/>
          <w:numId w:val="25"/>
        </w:numPr>
        <w:rPr>
          <w:rFonts w:ascii="Calibri" w:eastAsia="Calibri" w:hAnsi="Calibri" w:cs="Calibri"/>
          <w:lang w:eastAsia="en-US"/>
        </w:rPr>
      </w:pPr>
      <w:r w:rsidRPr="008E03E9">
        <w:rPr>
          <w:rFonts w:ascii="Calibri" w:eastAsia="Calibri" w:hAnsi="Calibri" w:cs="Calibri"/>
          <w:lang w:eastAsia="en-US"/>
        </w:rPr>
        <w:t xml:space="preserve">The water quality </w:t>
      </w:r>
      <w:r w:rsidR="008E03E9">
        <w:rPr>
          <w:rFonts w:ascii="Calibri" w:eastAsia="Calibri" w:hAnsi="Calibri" w:cs="Calibri"/>
          <w:lang w:eastAsia="en-US"/>
        </w:rPr>
        <w:t>program will integrate</w:t>
      </w:r>
      <w:r w:rsidRPr="008E03E9">
        <w:rPr>
          <w:rFonts w:ascii="Calibri" w:eastAsia="Calibri" w:hAnsi="Calibri" w:cs="Calibri"/>
          <w:lang w:eastAsia="en-US"/>
        </w:rPr>
        <w:t xml:space="preserve"> into </w:t>
      </w:r>
      <w:r w:rsidR="008E03E9">
        <w:rPr>
          <w:rFonts w:ascii="Calibri" w:eastAsia="Calibri" w:hAnsi="Calibri" w:cs="Calibri"/>
          <w:lang w:eastAsia="en-US"/>
        </w:rPr>
        <w:t>one</w:t>
      </w:r>
      <w:r w:rsidRPr="008E03E9">
        <w:rPr>
          <w:rFonts w:ascii="Calibri" w:eastAsia="Calibri" w:hAnsi="Calibri" w:cs="Calibri"/>
          <w:lang w:eastAsia="en-US"/>
        </w:rPr>
        <w:t xml:space="preserve"> combined program </w:t>
      </w:r>
      <w:r w:rsidR="008E03E9">
        <w:rPr>
          <w:rFonts w:ascii="Calibri" w:eastAsia="Calibri" w:hAnsi="Calibri" w:cs="Calibri"/>
          <w:lang w:eastAsia="en-US"/>
        </w:rPr>
        <w:t xml:space="preserve">with wet season sampling, ambient and pesticide monitoring programs. </w:t>
      </w:r>
      <w:r w:rsidR="008E03E9" w:rsidRPr="008E03E9">
        <w:rPr>
          <w:rFonts w:ascii="Calibri" w:eastAsia="Calibri" w:hAnsi="Calibri" w:cs="Calibri"/>
          <w:lang w:eastAsia="en-US"/>
        </w:rPr>
        <w:t xml:space="preserve">The </w:t>
      </w:r>
      <w:r w:rsidR="008E03E9">
        <w:rPr>
          <w:rFonts w:ascii="Calibri" w:eastAsia="Calibri" w:hAnsi="Calibri" w:cs="Calibri"/>
          <w:lang w:eastAsia="en-US"/>
        </w:rPr>
        <w:t>new water quality program will include</w:t>
      </w:r>
      <w:r w:rsidR="008E03E9" w:rsidRPr="008E03E9">
        <w:rPr>
          <w:rFonts w:ascii="Calibri" w:eastAsia="Calibri" w:hAnsi="Calibri" w:cs="Calibri"/>
          <w:lang w:eastAsia="en-US"/>
        </w:rPr>
        <w:t xml:space="preserve"> ambient and wet season monitoring provided by researchers from James Cook University (JCU), Australian Institute of Marine Science (AIMS) and University of Queensland (UQ). These monitoring programs </w:t>
      </w:r>
      <w:r w:rsidR="008E03E9">
        <w:rPr>
          <w:rFonts w:ascii="Calibri" w:eastAsia="Calibri" w:hAnsi="Calibri" w:cs="Calibri"/>
          <w:lang w:eastAsia="en-US"/>
        </w:rPr>
        <w:t>will provide</w:t>
      </w:r>
      <w:r w:rsidR="008E03E9" w:rsidRPr="008E03E9">
        <w:rPr>
          <w:rFonts w:ascii="Calibri" w:eastAsia="Calibri" w:hAnsi="Calibri" w:cs="Calibri"/>
          <w:lang w:eastAsia="en-US"/>
        </w:rPr>
        <w:t xml:space="preserve"> a comprehensive data set that </w:t>
      </w:r>
      <w:r w:rsidR="008E03E9">
        <w:rPr>
          <w:rFonts w:ascii="Calibri" w:eastAsia="Calibri" w:hAnsi="Calibri" w:cs="Calibri"/>
          <w:lang w:eastAsia="en-US"/>
        </w:rPr>
        <w:t>will further</w:t>
      </w:r>
      <w:r w:rsidR="008E03E9" w:rsidRPr="008E03E9">
        <w:rPr>
          <w:rFonts w:ascii="Calibri" w:eastAsia="Calibri" w:hAnsi="Calibri" w:cs="Calibri"/>
          <w:lang w:eastAsia="en-US"/>
        </w:rPr>
        <w:t xml:space="preserve"> characterise the temporal and spatial variability of coastal water quality in the GBR.</w:t>
      </w:r>
    </w:p>
    <w:p w14:paraId="0C3F898D" w14:textId="77777777" w:rsidR="008E03E9" w:rsidRPr="008E03E9" w:rsidRDefault="00131E41" w:rsidP="00C05A63">
      <w:pPr>
        <w:pStyle w:val="ListParagraph"/>
        <w:numPr>
          <w:ilvl w:val="0"/>
          <w:numId w:val="25"/>
        </w:numPr>
        <w:rPr>
          <w:rFonts w:ascii="Calibri" w:eastAsia="Calibri" w:hAnsi="Calibri" w:cs="Calibri"/>
          <w:lang w:eastAsia="en-US"/>
        </w:rPr>
      </w:pPr>
      <w:r w:rsidRPr="008E03E9">
        <w:rPr>
          <w:rFonts w:ascii="Calibri" w:eastAsia="Calibri" w:hAnsi="Calibri" w:cs="Calibri"/>
          <w:lang w:eastAsia="en-US"/>
        </w:rPr>
        <w:t xml:space="preserve"> Four focus areas, including Tully, Russell-Mulgrave, Mackay-Whitsundays and </w:t>
      </w:r>
      <w:r w:rsidR="008E03E9" w:rsidRPr="008E03E9">
        <w:rPr>
          <w:rFonts w:ascii="Calibri" w:eastAsia="Calibri" w:hAnsi="Calibri" w:cs="Calibri"/>
          <w:lang w:eastAsia="en-US"/>
        </w:rPr>
        <w:t xml:space="preserve">Burdekin will </w:t>
      </w:r>
      <w:r w:rsidR="008E03E9">
        <w:rPr>
          <w:rFonts w:ascii="Calibri" w:eastAsia="Calibri" w:hAnsi="Calibri" w:cs="Calibri"/>
          <w:lang w:eastAsia="en-US"/>
        </w:rPr>
        <w:t>be</w:t>
      </w:r>
      <w:r w:rsidR="008E03E9" w:rsidRPr="008E03E9">
        <w:rPr>
          <w:rFonts w:ascii="Calibri" w:eastAsia="Calibri" w:hAnsi="Calibri" w:cs="Calibri"/>
          <w:lang w:eastAsia="en-US"/>
        </w:rPr>
        <w:t xml:space="preserve"> sampled </w:t>
      </w:r>
      <w:r w:rsidR="008E03E9">
        <w:rPr>
          <w:rFonts w:ascii="Calibri" w:eastAsia="Calibri" w:hAnsi="Calibri" w:cs="Calibri"/>
          <w:lang w:eastAsia="en-US"/>
        </w:rPr>
        <w:t xml:space="preserve">over pre-determined sites </w:t>
      </w:r>
      <w:r w:rsidR="008E03E9" w:rsidRPr="008E03E9">
        <w:rPr>
          <w:rFonts w:ascii="Calibri" w:eastAsia="Calibri" w:hAnsi="Calibri" w:cs="Calibri"/>
          <w:lang w:eastAsia="en-US"/>
        </w:rPr>
        <w:t>through the wet and dry seasons.</w:t>
      </w:r>
    </w:p>
    <w:p w14:paraId="0C3F898E"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lang w:eastAsia="en-US"/>
        </w:rPr>
        <w:t>Further developments include improvements of our RS methods to map river plumes, plume water types and the river plume risk:</w:t>
      </w:r>
    </w:p>
    <w:p w14:paraId="0C3F898F" w14:textId="77777777" w:rsidR="00131E41" w:rsidRPr="00652C07" w:rsidRDefault="00131E41" w:rsidP="00C05A63">
      <w:pPr>
        <w:pStyle w:val="ListParagraph"/>
        <w:numPr>
          <w:ilvl w:val="0"/>
          <w:numId w:val="25"/>
        </w:numPr>
        <w:rPr>
          <w:rFonts w:ascii="Calibri" w:eastAsia="Calibri" w:hAnsi="Calibri" w:cs="Calibri"/>
          <w:lang w:eastAsia="en-US"/>
        </w:rPr>
      </w:pPr>
      <w:r w:rsidRPr="00652C07">
        <w:rPr>
          <w:rFonts w:ascii="Calibri" w:eastAsia="Calibri" w:hAnsi="Calibri" w:cs="Calibri"/>
          <w:lang w:eastAsia="en-US"/>
        </w:rPr>
        <w:t xml:space="preserve">Recent progresses have been made to develop accurate regional algorithms for the GBR region (Brando et al., 2012; Schroeder et al., 2012), that provide better retrieval in optically complex coastal waters. Using these algorithms to map chl-a concentrations in near future will be instrumental in more accurate mapping of river plume waters using the Level-2 method and more particularly of the productive Secondary waters. </w:t>
      </w:r>
      <w:r w:rsidRPr="00652C07">
        <w:rPr>
          <w:rFonts w:ascii="Calibri" w:eastAsia="Calibri" w:hAnsi="Calibri" w:cs="Times New Roman"/>
          <w:lang w:eastAsia="en-US"/>
        </w:rPr>
        <w:t xml:space="preserve">MODIS images calibrated into relevant water quality metrics (e.g. TSM, </w:t>
      </w:r>
      <w:r w:rsidR="005F304A">
        <w:rPr>
          <w:rFonts w:ascii="Calibri" w:eastAsia="Calibri" w:hAnsi="Calibri" w:cs="Times New Roman"/>
          <w:lang w:eastAsia="en-US"/>
        </w:rPr>
        <w:t>chl</w:t>
      </w:r>
      <w:r w:rsidRPr="00652C07">
        <w:rPr>
          <w:rFonts w:ascii="Calibri" w:eastAsia="Calibri" w:hAnsi="Calibri" w:cs="Times New Roman"/>
          <w:lang w:eastAsia="en-US"/>
        </w:rPr>
        <w:t>-a, Dissolved Organic Matters concentrations, light attenuation) using accurate algorithms would allow producing produce compliance maps to ecological threshold and describing thresholds of acceptable WQ changes as well as their respective extent, frequency and duration for ecological management purposes.</w:t>
      </w:r>
    </w:p>
    <w:p w14:paraId="0C3F8990" w14:textId="77777777" w:rsidR="00131E41" w:rsidRPr="00652C07" w:rsidRDefault="00131E41" w:rsidP="00C05A63">
      <w:pPr>
        <w:pStyle w:val="ListParagraph"/>
        <w:numPr>
          <w:ilvl w:val="0"/>
          <w:numId w:val="25"/>
        </w:numPr>
        <w:rPr>
          <w:rFonts w:ascii="Calibri" w:eastAsia="Calibri" w:hAnsi="Calibri" w:cs="Times New Roman"/>
          <w:lang w:eastAsia="en-US"/>
        </w:rPr>
      </w:pPr>
      <w:r w:rsidRPr="00652C07">
        <w:rPr>
          <w:rFonts w:ascii="Calibri" w:eastAsia="Calibri" w:hAnsi="Calibri" w:cs="Times New Roman"/>
          <w:lang w:eastAsia="en-US"/>
        </w:rPr>
        <w:t xml:space="preserve">Further comparisons between RS-derived products and </w:t>
      </w:r>
      <w:r w:rsidRPr="00652C07">
        <w:rPr>
          <w:rFonts w:ascii="Calibri" w:eastAsia="Calibri" w:hAnsi="Calibri" w:cs="Times New Roman"/>
          <w:i/>
          <w:lang w:eastAsia="en-US"/>
        </w:rPr>
        <w:t>in situ</w:t>
      </w:r>
      <w:r w:rsidRPr="00652C07">
        <w:rPr>
          <w:rFonts w:ascii="Calibri" w:eastAsia="Calibri" w:hAnsi="Calibri" w:cs="Times New Roman"/>
          <w:lang w:eastAsia="en-US"/>
        </w:rPr>
        <w:t xml:space="preserve"> WQ data acquired over the next MMP monitoring years will be undertaken. </w:t>
      </w:r>
    </w:p>
    <w:p w14:paraId="0C3F8991" w14:textId="77777777" w:rsidR="00131E41" w:rsidRPr="00652C07" w:rsidRDefault="00131E41" w:rsidP="00C05A63">
      <w:pPr>
        <w:pStyle w:val="ListParagraph"/>
        <w:numPr>
          <w:ilvl w:val="0"/>
          <w:numId w:val="25"/>
        </w:numPr>
        <w:rPr>
          <w:rFonts w:ascii="Calibri" w:eastAsia="Calibri" w:hAnsi="Calibri" w:cs="Times New Roman"/>
          <w:lang w:eastAsia="en-US"/>
        </w:rPr>
      </w:pPr>
      <w:r w:rsidRPr="00652C07">
        <w:rPr>
          <w:rFonts w:ascii="Calibri" w:eastAsia="Calibri" w:hAnsi="Calibri" w:cs="Times New Roman"/>
          <w:lang w:eastAsia="en-US"/>
        </w:rPr>
        <w:t>Finally, analysis of the magnitude and likelihood of the risk from the RS data must be accompanied by sound knowledge of the regional ecosystems and of the water quality concentrations across plume water types relative to natural levels and to ecologically-relevant thresholds, to produce river plume risk assessment of reef and seagrass ecosystems. Ecological consequences of the risk will primarily be a function of the presence/absence of GBR ecosystems subjected to different occurrence and magnitude of risk. However, community characteristics such as the sensitivity and resilience of particular seagrass or coral communities (e.g., associated with their natural levels of exposure to pollutants) are additional parameters that must be considered when defining the ecological consequences of the risk. Indeed, different species assemblages will respond differently to the same exposure (i.e., same likelihood × magnitude of risk) to river plumes. The consequence of the exposure of species to a range of WQ conditions is complicated by the influence of multiple stressors and additional external influences including weather and climate conditions. All this information should be used in future to develop ecosystem-specific risk matrix combining the magnitude (mapped through the Primary, Secondary, Tertiary water type classes), likelihood (mapped through the frequency of occurrence) of the river plume risk and the sensitivity of the studied ecosystem.</w:t>
      </w:r>
    </w:p>
    <w:p w14:paraId="0C3F8992" w14:textId="77777777" w:rsidR="00131E41" w:rsidRPr="00822090" w:rsidRDefault="00131E41" w:rsidP="00C05A63">
      <w:pPr>
        <w:pStyle w:val="ListParagraph"/>
        <w:numPr>
          <w:ilvl w:val="0"/>
          <w:numId w:val="25"/>
        </w:numPr>
        <w:rPr>
          <w:rFonts w:cs="Times New Roman"/>
          <w:lang w:val="en-US"/>
        </w:rPr>
      </w:pPr>
      <w:r w:rsidRPr="00D75847">
        <w:rPr>
          <w:rFonts w:ascii="Calibri" w:eastAsia="Calibri" w:hAnsi="Calibri" w:cs="Times New Roman"/>
          <w:lang w:eastAsia="en-US"/>
        </w:rPr>
        <w:t xml:space="preserve">Finally, the </w:t>
      </w:r>
      <w:r w:rsidRPr="00D75847">
        <w:rPr>
          <w:rFonts w:cs="Times New Roman"/>
          <w:lang w:val="en-US"/>
        </w:rPr>
        <w:t xml:space="preserve">GBR areas classified following the risk framework of Petus et al. (2014b) should be </w:t>
      </w:r>
      <w:r w:rsidRPr="00822090">
        <w:rPr>
          <w:rFonts w:cs="Times New Roman"/>
          <w:lang w:val="en-US"/>
        </w:rPr>
        <w:t>compared to ecosystem health data</w:t>
      </w:r>
      <w:r w:rsidRPr="00A12D05">
        <w:t xml:space="preserve"> </w:t>
      </w:r>
      <w:r w:rsidRPr="00D75847">
        <w:rPr>
          <w:rFonts w:cs="Times New Roman"/>
          <w:lang w:val="en-US"/>
        </w:rPr>
        <w:t>and the validity of the risk framework assessed by examining spatial patterns, including the distribution of monitored cases of ecosystem health decline per designated risk area.</w:t>
      </w:r>
      <w:r w:rsidRPr="00822090">
        <w:rPr>
          <w:rFonts w:cs="Times New Roman"/>
          <w:lang w:val="en-US"/>
        </w:rPr>
        <w:t xml:space="preserve">  </w:t>
      </w:r>
    </w:p>
    <w:p w14:paraId="0C3F8993"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lang w:eastAsia="en-US"/>
        </w:rPr>
        <w:t>Further developments of our RS methods to map loads of pollutants (TSS, DIN and pesticides) include:</w:t>
      </w:r>
    </w:p>
    <w:p w14:paraId="0C3F8994" w14:textId="77777777" w:rsidR="00131E41" w:rsidRPr="00E635A2" w:rsidRDefault="00131E41" w:rsidP="00C05A63">
      <w:pPr>
        <w:pStyle w:val="ListParagraph"/>
        <w:numPr>
          <w:ilvl w:val="0"/>
          <w:numId w:val="20"/>
        </w:numPr>
        <w:rPr>
          <w:rFonts w:ascii="Calibri" w:eastAsia="Calibri" w:hAnsi="Calibri" w:cs="Times New Roman"/>
          <w:lang w:eastAsia="en-US"/>
        </w:rPr>
      </w:pPr>
      <w:r w:rsidRPr="00E635A2">
        <w:rPr>
          <w:rFonts w:ascii="Calibri" w:eastAsia="Calibri" w:hAnsi="Calibri" w:cs="Times New Roman"/>
          <w:lang w:eastAsia="en-US"/>
        </w:rPr>
        <w:t xml:space="preserve">The Increase of the spatial resolution of WQ data used to calculate the spatially distributed DIN and TSS maps. In this present form, the true colour method uses annual loads of TSS and DIN from seven major rivers draining into four selected NRMs to calculate their proportional contribution to the total pollutant load. Increasing the spatial resolution of these data would improve the precision of the mapping. Work is also currently undertaken to re-run the model with the annual loads from the Source Catchments modelling for all of the 35 GBR catchments. This requires establishment of dispersal relationships for the additional rivers and require non-negligible processing time and effort to automate processing steps as much as possible. </w:t>
      </w:r>
    </w:p>
    <w:p w14:paraId="0C3F8995" w14:textId="77777777" w:rsidR="00131E41" w:rsidRPr="00E635A2" w:rsidRDefault="00131E41" w:rsidP="00C05A63">
      <w:pPr>
        <w:pStyle w:val="ListParagraph"/>
        <w:numPr>
          <w:ilvl w:val="0"/>
          <w:numId w:val="20"/>
        </w:numPr>
        <w:rPr>
          <w:rFonts w:ascii="Calibri" w:eastAsia="Calibri" w:hAnsi="Calibri" w:cs="Times New Roman"/>
          <w:lang w:eastAsia="en-US"/>
        </w:rPr>
      </w:pPr>
      <w:r w:rsidRPr="00E635A2">
        <w:rPr>
          <w:rFonts w:ascii="Calibri" w:eastAsia="Calibri" w:hAnsi="Calibri" w:cs="Times New Roman"/>
          <w:lang w:eastAsia="en-US"/>
        </w:rPr>
        <w:t>The production annual load maps of Photosystem II inhibiting herbicides (PSII herbicides). The approach for modelling exposure to DIN (i.e., assuming conservative mixing) will be used for PSII. However, further investigation will be necessary to adjust the dispersal relationships i.e., relationship between PSII concentrations and color classes (see Figure 3 of Álvarez-Romero et al., 2013) to calculate the annual cost surface for PSII.</w:t>
      </w:r>
    </w:p>
    <w:p w14:paraId="0C3F8996" w14:textId="77777777" w:rsidR="00131E41" w:rsidRPr="00E635A2" w:rsidRDefault="00131E41" w:rsidP="00C05A63">
      <w:pPr>
        <w:pStyle w:val="ListParagraph"/>
        <w:numPr>
          <w:ilvl w:val="0"/>
          <w:numId w:val="20"/>
        </w:numPr>
        <w:rPr>
          <w:rFonts w:ascii="Calibri" w:eastAsia="Calibri" w:hAnsi="Calibri" w:cs="Times New Roman"/>
          <w:lang w:eastAsia="en-US"/>
        </w:rPr>
      </w:pPr>
      <w:r w:rsidRPr="00E635A2">
        <w:rPr>
          <w:rFonts w:ascii="Calibri" w:eastAsia="Calibri" w:hAnsi="Calibri" w:cs="Times New Roman"/>
          <w:lang w:eastAsia="en-US"/>
        </w:rPr>
        <w:t>Updates on the loading maps will be made available as the load data is update from all rivers in the GBR.</w:t>
      </w:r>
    </w:p>
    <w:p w14:paraId="0C3F8997" w14:textId="77777777" w:rsidR="00131E41" w:rsidRDefault="00131E41" w:rsidP="00131E41">
      <w:pPr>
        <w:rPr>
          <w:rFonts w:ascii="Cambria" w:hAnsi="Cambria" w:cs="Times New Roman"/>
          <w:bCs/>
          <w:color w:val="365F91"/>
          <w:sz w:val="36"/>
          <w:szCs w:val="36"/>
          <w:lang w:eastAsia="en-US"/>
        </w:rPr>
      </w:pPr>
    </w:p>
    <w:p w14:paraId="0C3F8998" w14:textId="77777777" w:rsidR="00076F4C" w:rsidRDefault="00076F4C" w:rsidP="0098332C">
      <w:pPr>
        <w:pStyle w:val="Heading1"/>
        <w:numPr>
          <w:ilvl w:val="0"/>
          <w:numId w:val="7"/>
        </w:numPr>
      </w:pPr>
      <w:bookmarkStart w:id="287" w:name="_Toc434208019"/>
      <w:bookmarkEnd w:id="145"/>
      <w:r w:rsidRPr="0036394D">
        <w:t>References</w:t>
      </w:r>
      <w:bookmarkEnd w:id="142"/>
      <w:bookmarkEnd w:id="287"/>
      <w:r w:rsidRPr="0036394D">
        <w:t xml:space="preserve"> </w:t>
      </w:r>
    </w:p>
    <w:p w14:paraId="0C3F8999" w14:textId="77777777" w:rsidR="00330E11" w:rsidRDefault="00330E11" w:rsidP="00330E11">
      <w:r>
        <w:t>Álvarez-Romero, J.G., Devlin, M., Teixeira da Silva, E., Petus, C., Ban, N.C., Pressey, R.L., Kool, J., Roberts, J.J., Cerdeira-Estrada, S., Wenger, A.S., Brodie, J., 2013. A novel approach to model exposure of coastal-marine ecosystems to riverine flood plumes based on remote sensing techniques. Journal of environmental management 119, 194-207.</w:t>
      </w:r>
    </w:p>
    <w:p w14:paraId="0C3F899A" w14:textId="77777777" w:rsidR="00330E11" w:rsidRDefault="00330E11" w:rsidP="00330E11">
      <w:r>
        <w:t>Anon, 2013. Reef rescue marine monitoring program quality assurance and quality control manual. 2010/11, in: Authority, G.B.R.M.P. (Ed.), GBRMPA, Townsville.</w:t>
      </w:r>
    </w:p>
    <w:p w14:paraId="0C3F899B" w14:textId="77777777" w:rsidR="00330E11" w:rsidRDefault="00330E11" w:rsidP="00330E11">
      <w:r>
        <w:t>Anon, 2014. Reef rescue marine monitoring program quality assurance and quality control manual. 2013/14, in: Authority, G.B.R.M.P. (Ed.), GBRMPA, Townsville.</w:t>
      </w:r>
    </w:p>
    <w:p w14:paraId="0C3F899C" w14:textId="77777777" w:rsidR="00330E11" w:rsidRDefault="00330E11" w:rsidP="00330E11">
      <w:r>
        <w:t>Bentley, C., Devlin, M., Paxman, C., Chue, K.L., Mueller, J.F., 2012. Pesticide monitoring in inshore waters of the Great Barrier Reef using both time-integrated and event monitoring techniques (2011 - 2012). University of Queensland, Marine Monitoring Program - Pesticides.</w:t>
      </w:r>
    </w:p>
    <w:p w14:paraId="0C3F899D" w14:textId="77777777" w:rsidR="00330E11" w:rsidRDefault="00330E11" w:rsidP="00330E11">
      <w:r>
        <w:t>Brando, V., Schroeder, T., Dekker, A., Park, Y., 2008. Reef rescue marine monitoring program: using remote sensing for GBR wide water quality. Final Report for.</w:t>
      </w:r>
    </w:p>
    <w:p w14:paraId="0C3F899E" w14:textId="77777777" w:rsidR="00330E11" w:rsidRDefault="00330E11" w:rsidP="00330E11">
      <w:r>
        <w:t>Brando, V., Schroeder, T., Dekker, A., Park, Y., 2010a. Reef Rescue Marine Monitoring Program: Using Remote Sensing for GBR Wide Water Quality: Final Report for 2009/10 Activities. CSIRO Land &amp; Water.</w:t>
      </w:r>
    </w:p>
    <w:p w14:paraId="0C3F899F" w14:textId="77777777" w:rsidR="00330E11" w:rsidRDefault="00330E11" w:rsidP="00330E11">
      <w:r>
        <w:t>Brando, V., Steven, A., Schroeder, T., Dekker, A., Park, Y., Daniel, P., Ford, P., 2010b. Remote-sensing of GBR Waters to assist performance monitoring of Water Quality Improvement Plans in Far North Queensland. Final report for Department of the Environment and Water Heritage and the Arts. Canberra, ACT. CSIRO Land &amp; Water, Canberra, ACT, p. 88.</w:t>
      </w:r>
    </w:p>
    <w:p w14:paraId="0C3F89A0" w14:textId="77777777" w:rsidR="00330E11" w:rsidRDefault="00330E11" w:rsidP="00330E11">
      <w:r w:rsidRPr="007E5BBF">
        <w:rPr>
          <w:lang w:val="de-DE"/>
        </w:rPr>
        <w:t xml:space="preserve">Brando, V.E., Anstee, J.M., Wettle, M., Dekker, A.G., Phinn, S.R., Roelfsema, C., 2009. </w:t>
      </w:r>
      <w:r>
        <w:t>A physics based retrieval and quality assessment of bathymetry from suboptimal hyperspectral data. Remote Sensing of Environment 113, 755-770.</w:t>
      </w:r>
    </w:p>
    <w:p w14:paraId="0C3F89A1" w14:textId="77777777" w:rsidR="00330E11" w:rsidRDefault="00330E11" w:rsidP="00330E11">
      <w:r>
        <w:t>Brodie, J., Binney, J., Fabricius, K., Gordon, I., Hoegh-Guldberg, O., Hunter, H., O’Reagain, P., Pearson, R., Quirk, M., Thorburn, P., 2008. Synthesis of evidence to support the scientific consensus statement on water quality in the Great Barrier Reef. The State of Queensland (Department of Premier and Cabinet), Brisbane.</w:t>
      </w:r>
    </w:p>
    <w:p w14:paraId="0C3F89A2" w14:textId="77777777" w:rsidR="00330E11" w:rsidRDefault="00330E11" w:rsidP="00330E11">
      <w:r w:rsidRPr="007E5BBF">
        <w:rPr>
          <w:lang w:val="de-DE"/>
        </w:rPr>
        <w:t xml:space="preserve">Brodie, J., Burford, M., Davis, A., da Silva, E., Devlin, M., Furnas, M., Kroon, F., Lewis, S., Lønborg, C., O’Brien, D., Schaffelke, B., 2014. </w:t>
      </w:r>
      <w:r>
        <w:t>The relative risks to water quality from particulate nitrogen discharged from rivers to the Great Barrier Reef in comparison to other forms of nitrogen. .  TropWATER Report 14/31. October 2014, 81.</w:t>
      </w:r>
    </w:p>
    <w:p w14:paraId="0C3F89A3" w14:textId="77777777" w:rsidR="00330E11" w:rsidRDefault="00330E11" w:rsidP="00330E11">
      <w:r>
        <w:t>Brodie, J., Kroon, F., Schaffelke, B., Wolanski, E., Lewis, S., Devlin, M., Bohnet, I., Bainbridge, Z., Waterhouse, J., Davis, A., 2012. Terrestrial pollutant runoff to the Great Barrier Reef: an update of issues, priorities and management responses. Marine pollution bulletin 65, 81-100.</w:t>
      </w:r>
    </w:p>
    <w:p w14:paraId="0C3F89A4" w14:textId="77777777" w:rsidR="00330E11" w:rsidRDefault="00330E11" w:rsidP="00330E11">
      <w:r>
        <w:t>Brodie, J., Lewis, S., Bainbridge, Z., Mitchell, A., Waterhouse, J., Kroon, F., 2009. Target setting for pollutant discharge management of rivers in the Great Barrier Reef catchment area. Marine and Freshwater Research 60, 1141-1149.</w:t>
      </w:r>
    </w:p>
    <w:p w14:paraId="0C3F89A5" w14:textId="77777777" w:rsidR="00330E11" w:rsidRDefault="00330E11" w:rsidP="00330E11">
      <w:r>
        <w:t>Brodie, J., Waterhouse, J., 2012. A critical review of environmental management of the ‘not so Great’Barrier Reef. Estuarine, Coastal and Shelf Science 104, 1-22.</w:t>
      </w:r>
    </w:p>
    <w:p w14:paraId="0C3F89A6" w14:textId="77777777" w:rsidR="00330E11" w:rsidRDefault="00330E11" w:rsidP="00330E11">
      <w:r>
        <w:t xml:space="preserve">Crawley, M. J. (2012). </w:t>
      </w:r>
      <w:r>
        <w:rPr>
          <w:i/>
          <w:iCs/>
        </w:rPr>
        <w:t>The R book</w:t>
      </w:r>
      <w:r>
        <w:t>. John Wiley &amp; Sons.</w:t>
      </w:r>
    </w:p>
    <w:p w14:paraId="0C3F89A7" w14:textId="77777777" w:rsidR="00330E11" w:rsidRDefault="00330E11" w:rsidP="00330E11">
      <w:r>
        <w:t>Da Silva, E., Devlin, M., Wenger, A., Petus, C., 2013. Burnett-‐Mary Wet Season 2012-‐2013: Water Quality Data Sampling, Analysis and Comparison against Wet Season 2010-‐2011 data, Centre for Tropical Water &amp; Aquatic Ecosystems Research (TropWater) Publications. JCU, James Cook University, Townsville, p. 31.</w:t>
      </w:r>
    </w:p>
    <w:p w14:paraId="0C3F89A8" w14:textId="77777777" w:rsidR="00330E11" w:rsidRDefault="00330E11" w:rsidP="00330E11">
      <w:r>
        <w:t>Devlin, M., Schaffelke, B., 2009. Spatial extent of riverine flood plumes and exposure of marine ecosystems in the Tully coastal region, Great Barrier Reef. Marine and Freshwater Research 60, 1109-1122.</w:t>
      </w:r>
    </w:p>
    <w:p w14:paraId="0C3F89A9" w14:textId="77777777" w:rsidR="00330E11" w:rsidRDefault="00330E11" w:rsidP="00330E11">
      <w:r w:rsidRPr="007E5BBF">
        <w:rPr>
          <w:lang w:val="de-DE"/>
        </w:rPr>
        <w:t xml:space="preserve">Devlin, M., Schroeder, T., McKinna, L., Brodie, J., Brando, V., Dekker, A., 2011. </w:t>
      </w:r>
      <w:r>
        <w:t>Monitoring and mapping of flood plumes in the Great Barrier Reef based on in-situ and remote sensing observations. Advances in Environmental Remote Sensing to Monitor Global Changes, CRC Press, Boca Raton.</w:t>
      </w:r>
    </w:p>
    <w:p w14:paraId="0C3F89AA" w14:textId="77777777" w:rsidR="00330E11" w:rsidRDefault="00330E11" w:rsidP="00330E11">
      <w:r>
        <w:t>Devlin, M., Waterhouse, J., Taylor, J., Brodie, J., 2001. Flood plumes in the Great Barrier Reef: spatial and temporal patterns in composition and distribution. Great Barrier Reef Marine Park Authority.</w:t>
      </w:r>
    </w:p>
    <w:p w14:paraId="0C3F89AB" w14:textId="77777777" w:rsidR="00330E11" w:rsidRDefault="00330E11" w:rsidP="00330E11">
      <w:r>
        <w:t>Devlin, M., Wenger, A., Da Silva, E., Alvarez Romero, J.G., Waterhouse, J., McKenzie, L., 2012. Extreme weather conditions in the Great Barrier Reef: Drivers of change?</w:t>
      </w:r>
    </w:p>
    <w:p w14:paraId="0C3F89AC" w14:textId="77777777" w:rsidR="00330E11" w:rsidRDefault="00330E11" w:rsidP="00330E11">
      <w:r>
        <w:t>Devlin, M.J., Álvarez-Romero, J., da Silva, E.T., DeBose, J., Petus, C., Wenger, A., 2013. Reef Rescue Marine Monitoring Program. Final report of JCU activities 2011/12 – Flood plumes and extreme weather monitoring for the Great Barrier Reef Marine Park Authority. James Cook University, Townsville.</w:t>
      </w:r>
    </w:p>
    <w:p w14:paraId="0C3F89AD" w14:textId="77777777" w:rsidR="00330E11" w:rsidRDefault="00330E11" w:rsidP="00330E11">
      <w:r>
        <w:t>Devlin, M.J., Brodie, J., 2005. Terrestrial discharge into the Great Barrier Reef Lagoon: nutrient behavior in coastal waters. Marine pollution bulletin 51, 9-22.</w:t>
      </w:r>
    </w:p>
    <w:p w14:paraId="0C3F89AE" w14:textId="77777777" w:rsidR="005F5C7F" w:rsidRPr="005F5C7F" w:rsidRDefault="005F5C7F" w:rsidP="005F5C7F">
      <w:r w:rsidRPr="005F5C7F">
        <w:t>Gallen, C., Devlin, M., Paxman, C., Banks, A., Mueller, J. (2013) Pesticide monitoring in inshore waters of the Great Barrier Reef using both time-integrated and event monitoring techniques (2012 - 2013). The University of Queensland, The National Research Centre for Environmental Toxicology (Entox).</w:t>
      </w:r>
    </w:p>
    <w:p w14:paraId="0C3F89AF" w14:textId="77777777" w:rsidR="00330E11" w:rsidRDefault="00330E11" w:rsidP="00330E11">
      <w:r>
        <w:t>Geyer, W., Hill, P., Kineke, G., 2004. The transport, transformation and dispersal of sediment by buoyant coastal flows. Continental Shelf Research 24, 927-949.</w:t>
      </w:r>
    </w:p>
    <w:p w14:paraId="0C3F89B0" w14:textId="77777777" w:rsidR="007E5614" w:rsidRPr="007E5614" w:rsidRDefault="007E5614" w:rsidP="007E5614">
      <w:r w:rsidRPr="00362A9F">
        <w:t>Howley, C., Devlin, M.J. Petus, C., da Silva, E., Tracey, D. 2015. Water Quality in Princess Charoltte Bay Flood plumes: 2012- 2014. Report to the Great Barrier Reef Marine Park Authority Marine Monitoring Programme. TropWater Report.</w:t>
      </w:r>
      <w:r>
        <w:t xml:space="preserve"> </w:t>
      </w:r>
    </w:p>
    <w:p w14:paraId="0C3F89B1" w14:textId="77777777" w:rsidR="00330E11" w:rsidRDefault="00330E11" w:rsidP="00330E11">
      <w:r>
        <w:t>Johnson, J., Brando, V., Devlin, M., McKenzie, L., Morris, S., Schaffelke, B., Thompson, A., Waterhouse, J., Waycott, M., 2011. Reef rescue marine monitoring program: 2009/2010 synthesis report. Reef and Rainforest Research Centre.</w:t>
      </w:r>
    </w:p>
    <w:p w14:paraId="0C3F89B2" w14:textId="77777777" w:rsidR="00330E11" w:rsidRDefault="00330E11" w:rsidP="00330E11">
      <w:r>
        <w:t>Joo, M., Raymond, M.A., McNeil, V.H., Huggins, R., Turner, R.D., Choy, S., 2012. Estimates of sediment and nutrient loads in 10 major catchments draining to the Great Barrier Reef during 2006–2009. Marine pollution bulletin 65, 150-166.</w:t>
      </w:r>
    </w:p>
    <w:p w14:paraId="0C3F89B3" w14:textId="77777777" w:rsidR="00330E11" w:rsidRDefault="00330E11" w:rsidP="00330E11">
      <w:r>
        <w:t>Kennedy, K., Devlin, M., Bentley, C., Lee-Chue, K., Paxman, C., Carter, S., Lewis, S.E., Brodie, J., Guy, E., Vardy, S., 2012. The influence of a season of extreme wet weather events on exposure of the World Heritage Area Great Barrier Reef to pesticides. Marine pollution bulletin 64, 1495-1507.</w:t>
      </w:r>
    </w:p>
    <w:p w14:paraId="0C3F89B4" w14:textId="77777777" w:rsidR="00330E11" w:rsidRDefault="00330E11" w:rsidP="00330E11">
      <w:r>
        <w:t>Kroon, F.J., 2012. Towards ecologically relevant targets for river pollutant loads to the Great Barrier Reef. Marine pollution bulletin 65, 261-266.</w:t>
      </w:r>
    </w:p>
    <w:p w14:paraId="0C3F89B5" w14:textId="77777777" w:rsidR="00330E11" w:rsidRDefault="00330E11" w:rsidP="00330E11">
      <w:r>
        <w:t>Martin, K., McKenzie, L.J., Thompson, A., Muller, J., Bentley, C., Paxman, C., Collier, C., Waycott, M., Brando, V., Devlin, M., Schaffelke, B., 2014. Reef Rescue Marine Monitoring Program synthesis report. 2010-2011, A report to the Great Barrier Reef Marine Park Authority., GBRMPA, Townsville.</w:t>
      </w:r>
    </w:p>
    <w:p w14:paraId="0C3F89B6" w14:textId="77777777" w:rsidR="00330E11" w:rsidRDefault="00330E11" w:rsidP="00330E11">
      <w:r>
        <w:t>Maughan, M., Brodie, J., 2009. Reef exposure to river-borne contaminants: a spatial model. Marine and Freshwater Research 60, 1132-1140.</w:t>
      </w:r>
    </w:p>
    <w:p w14:paraId="0C3F89B7" w14:textId="77777777" w:rsidR="00330E11" w:rsidRDefault="00330E11" w:rsidP="00330E11">
      <w:r>
        <w:t>McKenzie, L., Collier, C., Waycott, M., 2014. Reef Rescue Marine Monitoring Program: Inshore Seagrass, Annual Report for the sampling period 1st July 2011–31st May 2012.</w:t>
      </w:r>
    </w:p>
    <w:p w14:paraId="0C3F89B8" w14:textId="77777777" w:rsidR="00330E11" w:rsidRDefault="00330E11" w:rsidP="00330E11">
      <w:r>
        <w:t>McKenzie, L., Collier, C., Waycott, M., Unsworth, R., Yoshida, R., Smith, N., 2012. Monitoring inshore seagrasses of the GBR and responses to water quality.</w:t>
      </w:r>
    </w:p>
    <w:p w14:paraId="0C3F89B9" w14:textId="77777777" w:rsidR="00330E11" w:rsidRDefault="00330E11" w:rsidP="00330E11">
      <w:r>
        <w:t>Petus, C., Collier, C., Devlin, M., Rasheed, M., McKenna, S., 2014. Using MODIS data for understanding changes in seagrass meadow health: A case study in the Great Barrier Reef (Australia). Marine environmental research 98, 68-85.</w:t>
      </w:r>
    </w:p>
    <w:p w14:paraId="0C3F89BA" w14:textId="77777777" w:rsidR="00DE3562" w:rsidRDefault="00DE3562" w:rsidP="00330E11">
      <w:r>
        <w:t xml:space="preserve">Petus C., Devlin, M., Thompson, A., McKenzie, L., Teixeira da Silva, E., collier, C., Tracey, D., Martin, K., (in review). </w:t>
      </w:r>
      <w:r w:rsidRPr="0034506A">
        <w:t>Estimating the exposure of coral reefs and seagrass meadows to land-sourced contaminants in river flood plumes of the Great Barrier Reef: validating a simple satellite risk framework with Environmental Data</w:t>
      </w:r>
      <w:r>
        <w:t>. Remote Sensing</w:t>
      </w:r>
    </w:p>
    <w:p w14:paraId="0C3F89BB" w14:textId="77777777" w:rsidR="00DE3562" w:rsidRDefault="00DE3562" w:rsidP="00330E11">
      <w:r w:rsidRPr="00362A9F">
        <w:t>Petus, C., Teixeira da Silva,E., Devlin, M., Wenger, A.,Álvarez-Romero, J. G. 2014b. Using MODIS data for mapping of water types within river plumes in the Great Barrier Reef, Australia: towards the production of river plume risk maps for reef and seagrass ecosystems. Journal of Environmental Management 137: 163-177.</w:t>
      </w:r>
    </w:p>
    <w:p w14:paraId="0C3F89BC" w14:textId="77777777" w:rsidR="00330E11" w:rsidRDefault="00330E11" w:rsidP="00330E11">
      <w:r>
        <w:t>R Development Core Team. 2014</w:t>
      </w:r>
      <w:r w:rsidRPr="00330E11">
        <w:t>. R: A Language and Environment for Statistical Computing (Version 3.12) [Software]. Vienna, Austria: R Foundation for S</w:t>
      </w:r>
      <w:r>
        <w:t xml:space="preserve">tatistical Computing. Retrieved </w:t>
      </w:r>
      <w:r w:rsidRPr="00330E11">
        <w:t>from http://www.Rproject.org.</w:t>
      </w:r>
    </w:p>
    <w:p w14:paraId="0C3F89BD" w14:textId="77777777" w:rsidR="00330E11" w:rsidRDefault="00330E11" w:rsidP="00330E11">
      <w:r w:rsidRPr="007E5BBF">
        <w:rPr>
          <w:lang w:val="de-DE"/>
        </w:rPr>
        <w:t xml:space="preserve">Schaffelke, B., Carleton, J., Skuza, M., Zagorskis, I., Furnas, M.J., 2012. </w:t>
      </w:r>
      <w:r>
        <w:t>Water quality in the inshore Great Barrier Reef lagoon: Implications for long-term monitoring and management. Marine pollution bulletin 65, 249-260.</w:t>
      </w:r>
    </w:p>
    <w:p w14:paraId="0C3F89BE" w14:textId="77777777" w:rsidR="00330E11" w:rsidRDefault="00330E11" w:rsidP="00330E11">
      <w:r w:rsidRPr="007E5BBF">
        <w:rPr>
          <w:lang w:val="de-DE"/>
        </w:rPr>
        <w:t xml:space="preserve">Schroeder, T., Behnert, I., Schaale, M., Fischer, J., Doerffer, R., 2007. </w:t>
      </w:r>
      <w:r>
        <w:t xml:space="preserve">Atmospheric correction algorithm for MERIS above case‐2 waters. International Journal of Remote Sensing 28, 1469-1486. </w:t>
      </w:r>
    </w:p>
    <w:p w14:paraId="0C3F89BF" w14:textId="77777777" w:rsidR="00330E11" w:rsidRDefault="00330E11" w:rsidP="00330E11">
      <w:r>
        <w:t>Thompson, A., Schaffelke, B., Logan, M., Costello, P., Davidson, J., Doyle, J., Furnas, M., Gunn, K., Liddy, M., Skuza, M., 2013. Reef Rescue Marine Monitoring Program: Annual Report of AIMS Activities 2012 to 2013, Inshore water quality and coral reef monitoring.</w:t>
      </w:r>
    </w:p>
    <w:p w14:paraId="0C3F89C0" w14:textId="77777777" w:rsidR="00330E11" w:rsidRDefault="00330E11" w:rsidP="00330E11">
      <w:r>
        <w:t>Waterhouse, J., Brodie, J., Lewis, S., Mitchell, A., 2012. Quantifying the sources of pollutants in the Great Barrier Reef catchments and the relative risk to reef ecosystems. Marine pollution bulletin 65, 394-406.</w:t>
      </w:r>
    </w:p>
    <w:p w14:paraId="0C3F89C1" w14:textId="77777777" w:rsidR="00330E11" w:rsidRDefault="00330E11" w:rsidP="00330E11">
      <w:r>
        <w:t>Wolanski, E., Jones, M., 1981. Physical properties of Great Barrier Reef lagoon waters near Townsville. I. Effects of Burdekin River floods. Marine and Freshwater Research 32, 305-319.</w:t>
      </w:r>
    </w:p>
    <w:p w14:paraId="0C3F89C2" w14:textId="77777777" w:rsidR="00330E11" w:rsidRDefault="00330E11" w:rsidP="00330E11">
      <w:r w:rsidRPr="007E5BBF">
        <w:rPr>
          <w:lang w:val="de-DE"/>
        </w:rPr>
        <w:t xml:space="preserve">Wolanski, E., Van Senden, D., 1983. </w:t>
      </w:r>
      <w:r>
        <w:t>Mixing of Burdekin river flood waters in the Great Barrier Reef. Marine and Freshwater Research 34, 49-63.</w:t>
      </w:r>
    </w:p>
    <w:p w14:paraId="0C3F89C3" w14:textId="77777777" w:rsidR="00330E11" w:rsidRDefault="00630695" w:rsidP="00330E11">
      <w:r>
        <w:t xml:space="preserve">Wood, S. N. (2006). Low‐Rank Scale‐Invariant Tensor Product Smooths for Generalized Additive Mixed Models. </w:t>
      </w:r>
      <w:r>
        <w:rPr>
          <w:i/>
          <w:iCs/>
        </w:rPr>
        <w:t>Biometrics</w:t>
      </w:r>
      <w:r>
        <w:t xml:space="preserve">, </w:t>
      </w:r>
      <w:r>
        <w:rPr>
          <w:i/>
          <w:iCs/>
        </w:rPr>
        <w:t>62</w:t>
      </w:r>
      <w:r>
        <w:t>(4), 1025-1036.</w:t>
      </w:r>
    </w:p>
    <w:p w14:paraId="0C3F89C4" w14:textId="77777777" w:rsidR="00B6457B" w:rsidRDefault="00B6457B">
      <w:pPr>
        <w:spacing w:before="0" w:after="0"/>
        <w:jc w:val="left"/>
        <w:rPr>
          <w:sz w:val="18"/>
        </w:rPr>
      </w:pPr>
      <w:r>
        <w:rPr>
          <w:sz w:val="18"/>
        </w:rPr>
        <w:br w:type="page"/>
      </w:r>
    </w:p>
    <w:p w14:paraId="0C3F89C5" w14:textId="77777777" w:rsidR="00B6457B" w:rsidRPr="005A0C55" w:rsidRDefault="00B6457B" w:rsidP="00B6457B">
      <w:pPr>
        <w:pStyle w:val="Heading1"/>
      </w:pPr>
      <w:bookmarkStart w:id="288" w:name="_Toc428350524"/>
      <w:r>
        <w:t>Appendix A: snapshots of River plumes during the 2012-13 wet season</w:t>
      </w:r>
      <w:bookmarkEnd w:id="288"/>
      <w:r w:rsidRPr="005A0C55">
        <w:t xml:space="preserve">  </w:t>
      </w:r>
    </w:p>
    <w:p w14:paraId="0C3F89C6" w14:textId="77777777" w:rsidR="00B6457B" w:rsidRDefault="00B6457B" w:rsidP="00B6457B">
      <w:pPr>
        <w:keepNext/>
        <w:spacing w:after="120"/>
        <w:jc w:val="center"/>
      </w:pPr>
      <w:r>
        <w:rPr>
          <w:noProof/>
        </w:rPr>
        <w:drawing>
          <wp:inline distT="0" distB="0" distL="0" distR="0" wp14:anchorId="0C3F9031" wp14:editId="0C3F9032">
            <wp:extent cx="4140000" cy="7223608"/>
            <wp:effectExtent l="0" t="0" r="0" b="0"/>
            <wp:docPr id="53" name="Picture 53" descr="MODIS-Aqua true colour composite (7 – 2 – 1) of the Burdekin NRM (b) and corresponding river discharge rat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1" cstate="screen">
                      <a:extLst>
                        <a:ext uri="{28A0092B-C50C-407E-A947-70E740481C1C}">
                          <a14:useLocalDpi xmlns:a14="http://schemas.microsoft.com/office/drawing/2010/main"/>
                        </a:ext>
                      </a:extLst>
                    </a:blip>
                    <a:srcRect/>
                    <a:stretch/>
                  </pic:blipFill>
                  <pic:spPr bwMode="auto">
                    <a:xfrm>
                      <a:off x="0" y="0"/>
                      <a:ext cx="4140000" cy="7223608"/>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C7" w14:textId="77777777" w:rsidR="00B6457B" w:rsidRPr="00805B4E" w:rsidRDefault="00B6457B" w:rsidP="00B6457B">
      <w:pPr>
        <w:pStyle w:val="Caption"/>
        <w:keepNext/>
        <w:jc w:val="both"/>
        <w:rPr>
          <w:rFonts w:cstheme="minorHAnsi"/>
          <w:b/>
          <w:bCs/>
          <w:color w:val="auto"/>
          <w:szCs w:val="22"/>
          <w:lang w:eastAsia="en-AU"/>
        </w:rPr>
      </w:pPr>
      <w:r w:rsidRPr="00EA39D4">
        <w:rPr>
          <w:rFonts w:cstheme="minorHAnsi"/>
          <w:color w:val="auto"/>
          <w:szCs w:val="22"/>
          <w:lang w:eastAsia="en-AU"/>
        </w:rPr>
        <w:t xml:space="preserve">Figure A-1: MODIS-Aqua true </w:t>
      </w:r>
      <w:r w:rsidR="00EA39D4" w:rsidRPr="00EA39D4">
        <w:rPr>
          <w:rFonts w:cstheme="minorHAnsi"/>
          <w:color w:val="auto"/>
          <w:szCs w:val="22"/>
          <w:lang w:eastAsia="en-AU"/>
        </w:rPr>
        <w:t>colour</w:t>
      </w:r>
      <w:r w:rsidRPr="00EA39D4">
        <w:rPr>
          <w:rFonts w:cstheme="minorHAnsi"/>
          <w:color w:val="auto"/>
          <w:szCs w:val="22"/>
          <w:lang w:eastAsia="en-AU"/>
        </w:rPr>
        <w:t xml:space="preserve"> composite (7 – 2 – 1) of the Burdekin NRM (b) and corresponding river discharge rates (a)</w:t>
      </w:r>
    </w:p>
    <w:p w14:paraId="0C3F89C8" w14:textId="77777777" w:rsidR="00B6457B" w:rsidRDefault="00B6457B" w:rsidP="00B6457B">
      <w:pPr>
        <w:spacing w:after="120"/>
      </w:pPr>
    </w:p>
    <w:p w14:paraId="0C3F89C9" w14:textId="77777777" w:rsidR="00B6457B" w:rsidRDefault="00B6457B" w:rsidP="00B6457B">
      <w:pPr>
        <w:spacing w:after="120"/>
        <w:sectPr w:rsidR="00B6457B" w:rsidSect="00393ABA">
          <w:footerReference w:type="default" r:id="rId102"/>
          <w:pgSz w:w="11906" w:h="16838"/>
          <w:pgMar w:top="1440" w:right="1440" w:bottom="1440" w:left="1440" w:header="708" w:footer="708" w:gutter="0"/>
          <w:cols w:space="708"/>
          <w:docGrid w:linePitch="360"/>
        </w:sectPr>
      </w:pPr>
    </w:p>
    <w:p w14:paraId="0C3F89CA" w14:textId="77777777" w:rsidR="00B6457B" w:rsidRDefault="00B6457B" w:rsidP="00B6457B">
      <w:pPr>
        <w:keepNext/>
        <w:spacing w:after="120"/>
        <w:jc w:val="center"/>
        <w:rPr>
          <w:rFonts w:ascii="Calibri" w:hAnsi="Calibri" w:cs="Calibri"/>
          <w:b/>
          <w:sz w:val="20"/>
          <w:szCs w:val="20"/>
        </w:rPr>
      </w:pPr>
      <w:r>
        <w:rPr>
          <w:rFonts w:ascii="Calibri" w:hAnsi="Calibri" w:cs="Calibri"/>
          <w:b/>
          <w:noProof/>
          <w:sz w:val="20"/>
          <w:szCs w:val="20"/>
        </w:rPr>
        <w:drawing>
          <wp:inline distT="0" distB="0" distL="0" distR="0" wp14:anchorId="0C3F9033" wp14:editId="0C3F9034">
            <wp:extent cx="6810375" cy="4887139"/>
            <wp:effectExtent l="0" t="0" r="0" b="8890"/>
            <wp:docPr id="5" name="Picture 5" descr="MODIS true color images (b) selected over a flood period of the Normanby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1.tif"/>
                    <pic:cNvPicPr/>
                  </pic:nvPicPr>
                  <pic:blipFill>
                    <a:blip r:embed="rId103" cstate="screen">
                      <a:extLst>
                        <a:ext uri="{28A0092B-C50C-407E-A947-70E740481C1C}">
                          <a14:useLocalDpi xmlns:a14="http://schemas.microsoft.com/office/drawing/2010/main"/>
                        </a:ext>
                      </a:extLst>
                    </a:blip>
                    <a:stretch>
                      <a:fillRect/>
                    </a:stretch>
                  </pic:blipFill>
                  <pic:spPr>
                    <a:xfrm>
                      <a:off x="0" y="0"/>
                      <a:ext cx="6812597" cy="4888733"/>
                    </a:xfrm>
                    <a:prstGeom prst="rect">
                      <a:avLst/>
                    </a:prstGeom>
                    <a:solidFill>
                      <a:schemeClr val="bg1"/>
                    </a:solidFill>
                  </pic:spPr>
                </pic:pic>
              </a:graphicData>
            </a:graphic>
          </wp:inline>
        </w:drawing>
      </w:r>
    </w:p>
    <w:p w14:paraId="0C3F89CB" w14:textId="77777777" w:rsidR="00B6457B" w:rsidRPr="00805B4E" w:rsidRDefault="00B6457B" w:rsidP="00B6457B">
      <w:pPr>
        <w:pStyle w:val="Caption"/>
        <w:keepNext/>
        <w:jc w:val="both"/>
        <w:rPr>
          <w:rFonts w:cstheme="minorHAnsi"/>
          <w:b/>
          <w:bCs/>
          <w:color w:val="auto"/>
          <w:szCs w:val="22"/>
          <w:lang w:eastAsia="en-AU"/>
        </w:rPr>
      </w:pPr>
      <w:r w:rsidRPr="00805B4E">
        <w:rPr>
          <w:rFonts w:cstheme="minorHAnsi"/>
          <w:color w:val="auto"/>
          <w:szCs w:val="22"/>
          <w:lang w:eastAsia="en-AU"/>
        </w:rPr>
        <w:t>Figure A-</w:t>
      </w:r>
      <w:r>
        <w:rPr>
          <w:rFonts w:cstheme="minorHAnsi"/>
          <w:color w:val="auto"/>
          <w:szCs w:val="22"/>
          <w:lang w:eastAsia="en-AU"/>
        </w:rPr>
        <w:t>2</w:t>
      </w:r>
      <w:r w:rsidRPr="00805B4E">
        <w:rPr>
          <w:rFonts w:cstheme="minorHAnsi"/>
          <w:color w:val="auto"/>
          <w:szCs w:val="22"/>
          <w:lang w:eastAsia="en-AU"/>
        </w:rPr>
        <w:t xml:space="preserve">: MODIS true color images (b) selected over a flood period of the Normanby River (a). Dates when the true color images were acquired are identified by red diamonds on discharge plot. </w:t>
      </w:r>
    </w:p>
    <w:p w14:paraId="0C3F89CC" w14:textId="77777777" w:rsidR="00B6457B" w:rsidRPr="00D953FD" w:rsidRDefault="00B6457B" w:rsidP="00B6457B">
      <w:pPr>
        <w:keepNext/>
        <w:spacing w:after="120"/>
        <w:jc w:val="center"/>
        <w:rPr>
          <w:color w:val="4F81BD" w:themeColor="accent1"/>
        </w:rPr>
      </w:pPr>
      <w:r w:rsidRPr="00D953FD">
        <w:rPr>
          <w:noProof/>
          <w:color w:val="4F81BD" w:themeColor="accent1"/>
        </w:rPr>
        <w:drawing>
          <wp:inline distT="0" distB="0" distL="0" distR="0" wp14:anchorId="0C3F9035" wp14:editId="0C3F9036">
            <wp:extent cx="6867525" cy="4932072"/>
            <wp:effectExtent l="0" t="0" r="0" b="1905"/>
            <wp:docPr id="46" name="Picture 46" descr="MODIS true color images (b) selected over a flood period of the Normanby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2.tif"/>
                    <pic:cNvPicPr/>
                  </pic:nvPicPr>
                  <pic:blipFill>
                    <a:blip r:embed="rId104" cstate="screen">
                      <a:extLst>
                        <a:ext uri="{28A0092B-C50C-407E-A947-70E740481C1C}">
                          <a14:useLocalDpi xmlns:a14="http://schemas.microsoft.com/office/drawing/2010/main"/>
                        </a:ext>
                      </a:extLst>
                    </a:blip>
                    <a:stretch>
                      <a:fillRect/>
                    </a:stretch>
                  </pic:blipFill>
                  <pic:spPr>
                    <a:xfrm>
                      <a:off x="0" y="0"/>
                      <a:ext cx="6871706" cy="4935075"/>
                    </a:xfrm>
                    <a:prstGeom prst="rect">
                      <a:avLst/>
                    </a:prstGeom>
                    <a:solidFill>
                      <a:schemeClr val="bg1"/>
                    </a:solidFill>
                  </pic:spPr>
                </pic:pic>
              </a:graphicData>
            </a:graphic>
          </wp:inline>
        </w:drawing>
      </w:r>
    </w:p>
    <w:p w14:paraId="0C3F89CD" w14:textId="77777777" w:rsidR="00B6457B" w:rsidRPr="00805B4E" w:rsidRDefault="00B6457B" w:rsidP="00B6457B">
      <w:pPr>
        <w:pStyle w:val="Caption"/>
        <w:keepNext/>
        <w:jc w:val="both"/>
        <w:rPr>
          <w:rFonts w:cstheme="minorHAnsi"/>
          <w:b/>
          <w:bCs/>
          <w:color w:val="auto"/>
          <w:szCs w:val="22"/>
          <w:lang w:eastAsia="en-AU"/>
        </w:rPr>
      </w:pPr>
      <w:r w:rsidRPr="00805B4E">
        <w:rPr>
          <w:rFonts w:cstheme="minorHAnsi"/>
          <w:color w:val="auto"/>
          <w:szCs w:val="22"/>
          <w:lang w:eastAsia="en-AU"/>
        </w:rPr>
        <w:t>Figure A-</w:t>
      </w:r>
      <w:r>
        <w:rPr>
          <w:rFonts w:cstheme="minorHAnsi"/>
          <w:color w:val="auto"/>
          <w:szCs w:val="22"/>
          <w:lang w:eastAsia="en-AU"/>
        </w:rPr>
        <w:t>3</w:t>
      </w:r>
      <w:r w:rsidRPr="00805B4E">
        <w:rPr>
          <w:rFonts w:cstheme="minorHAnsi"/>
          <w:color w:val="auto"/>
          <w:szCs w:val="22"/>
          <w:lang w:eastAsia="en-AU"/>
        </w:rPr>
        <w:t xml:space="preserve">: MODIS true color images (b) selected over a flood period of the Normanby River (a). Dates when the true color images were acquired are identified by red diamonds on discharge plot. </w:t>
      </w:r>
    </w:p>
    <w:p w14:paraId="0C3F89CE" w14:textId="77777777" w:rsidR="00B6457B" w:rsidRPr="00D953FD" w:rsidRDefault="00B6457B" w:rsidP="00B6457B">
      <w:pPr>
        <w:keepNext/>
        <w:spacing w:after="120"/>
        <w:jc w:val="center"/>
        <w:rPr>
          <w:color w:val="4F81BD" w:themeColor="accent1"/>
        </w:rPr>
      </w:pPr>
      <w:r>
        <w:rPr>
          <w:noProof/>
          <w:color w:val="4F81BD" w:themeColor="accent1"/>
        </w:rPr>
        <w:drawing>
          <wp:inline distT="0" distB="0" distL="0" distR="0" wp14:anchorId="0C3F9037" wp14:editId="0C3F9038">
            <wp:extent cx="6610350" cy="4762154"/>
            <wp:effectExtent l="0" t="0" r="0" b="635"/>
            <wp:docPr id="73" name="Picture 73" descr="MODIS true color images (b) selected over a flood period of the Barron and Johnstone Rivers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1.tif"/>
                    <pic:cNvPicPr/>
                  </pic:nvPicPr>
                  <pic:blipFill>
                    <a:blip r:embed="rId105" cstate="screen">
                      <a:extLst>
                        <a:ext uri="{28A0092B-C50C-407E-A947-70E740481C1C}">
                          <a14:useLocalDpi xmlns:a14="http://schemas.microsoft.com/office/drawing/2010/main"/>
                        </a:ext>
                      </a:extLst>
                    </a:blip>
                    <a:stretch>
                      <a:fillRect/>
                    </a:stretch>
                  </pic:blipFill>
                  <pic:spPr>
                    <a:xfrm>
                      <a:off x="0" y="0"/>
                      <a:ext cx="6613778" cy="4764624"/>
                    </a:xfrm>
                    <a:prstGeom prst="rect">
                      <a:avLst/>
                    </a:prstGeom>
                    <a:solidFill>
                      <a:schemeClr val="bg1"/>
                    </a:solidFill>
                  </pic:spPr>
                </pic:pic>
              </a:graphicData>
            </a:graphic>
          </wp:inline>
        </w:drawing>
      </w:r>
    </w:p>
    <w:p w14:paraId="0C3F89CF" w14:textId="77777777" w:rsidR="00B6457B" w:rsidRPr="005A0C55" w:rsidRDefault="00B6457B" w:rsidP="00B6457B">
      <w:pPr>
        <w:pStyle w:val="Caption"/>
        <w:jc w:val="both"/>
        <w:rPr>
          <w:rFonts w:cs="Calibri"/>
          <w:b/>
          <w:szCs w:val="22"/>
        </w:rPr>
      </w:pPr>
      <w:r w:rsidRPr="00EA39D4">
        <w:rPr>
          <w:rFonts w:cstheme="minorHAnsi"/>
          <w:color w:val="auto"/>
          <w:szCs w:val="22"/>
          <w:lang w:eastAsia="en-AU"/>
        </w:rPr>
        <w:t>Figure A-4: MODIS true color images (b) selected over a flood period of the Barron and Johnstone Rivers (a). Dates when the true color images were acquired are identified by red diamonds on discharge plot.</w:t>
      </w:r>
      <w:r w:rsidRPr="005A0C55">
        <w:rPr>
          <w:szCs w:val="22"/>
        </w:rPr>
        <w:t xml:space="preserve"> </w:t>
      </w:r>
    </w:p>
    <w:p w14:paraId="0C3F89D0" w14:textId="77777777" w:rsidR="00B6457B" w:rsidRPr="00D953FD" w:rsidRDefault="00B6457B" w:rsidP="00B6457B">
      <w:pPr>
        <w:pStyle w:val="Caption"/>
        <w:keepNext/>
        <w:jc w:val="center"/>
      </w:pPr>
      <w:r>
        <w:rPr>
          <w:noProof/>
          <w:lang w:val="en-AU" w:eastAsia="en-AU"/>
        </w:rPr>
        <w:drawing>
          <wp:inline distT="0" distB="0" distL="0" distR="0" wp14:anchorId="0C3F9039" wp14:editId="0C3F903A">
            <wp:extent cx="6648450" cy="4793426"/>
            <wp:effectExtent l="0" t="0" r="0" b="7620"/>
            <wp:docPr id="48" name="Picture 48" descr="MODIS true color images (b) selected over a flood period of the Barron and Johnstone Rivers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3.tif"/>
                    <pic:cNvPicPr/>
                  </pic:nvPicPr>
                  <pic:blipFill>
                    <a:blip r:embed="rId106" cstate="screen">
                      <a:extLst>
                        <a:ext uri="{28A0092B-C50C-407E-A947-70E740481C1C}">
                          <a14:useLocalDpi xmlns:a14="http://schemas.microsoft.com/office/drawing/2010/main"/>
                        </a:ext>
                      </a:extLst>
                    </a:blip>
                    <a:stretch>
                      <a:fillRect/>
                    </a:stretch>
                  </pic:blipFill>
                  <pic:spPr>
                    <a:xfrm>
                      <a:off x="0" y="0"/>
                      <a:ext cx="6653839" cy="4797311"/>
                    </a:xfrm>
                    <a:prstGeom prst="rect">
                      <a:avLst/>
                    </a:prstGeom>
                    <a:solidFill>
                      <a:schemeClr val="bg1"/>
                    </a:solidFill>
                  </pic:spPr>
                </pic:pic>
              </a:graphicData>
            </a:graphic>
          </wp:inline>
        </w:drawing>
      </w:r>
    </w:p>
    <w:p w14:paraId="0C3F89D1" w14:textId="77777777" w:rsidR="00B6457B" w:rsidRPr="005A0C55" w:rsidRDefault="00B6457B" w:rsidP="00B6457B">
      <w:pPr>
        <w:pStyle w:val="Caption"/>
        <w:jc w:val="both"/>
        <w:rPr>
          <w:rFonts w:cs="Calibri"/>
          <w:b/>
          <w:szCs w:val="22"/>
        </w:rPr>
      </w:pPr>
      <w:r w:rsidRPr="00805B4E">
        <w:rPr>
          <w:rFonts w:cstheme="minorHAnsi"/>
          <w:color w:val="auto"/>
          <w:szCs w:val="22"/>
          <w:lang w:eastAsia="en-AU"/>
        </w:rPr>
        <w:t>Figure A-</w:t>
      </w:r>
      <w:r>
        <w:rPr>
          <w:rFonts w:cstheme="minorHAnsi"/>
          <w:color w:val="auto"/>
          <w:szCs w:val="22"/>
          <w:lang w:eastAsia="en-AU"/>
        </w:rPr>
        <w:t xml:space="preserve">5: </w:t>
      </w:r>
      <w:r w:rsidRPr="00805B4E">
        <w:rPr>
          <w:rFonts w:cstheme="minorHAnsi"/>
          <w:color w:val="auto"/>
          <w:szCs w:val="22"/>
          <w:lang w:eastAsia="en-AU"/>
        </w:rPr>
        <w:t>MODIS true color images (b) selected over a flood period of the Barron and Johnstone Rivers (a). Dates when the true color images were acquired are identified by red diamonds on discharge plot.</w:t>
      </w:r>
      <w:r w:rsidRPr="005A0C55">
        <w:rPr>
          <w:szCs w:val="22"/>
        </w:rPr>
        <w:t xml:space="preserve"> </w:t>
      </w:r>
    </w:p>
    <w:p w14:paraId="0C3F89D2" w14:textId="77777777" w:rsidR="00B6457B" w:rsidRPr="00805B4E" w:rsidRDefault="00B6457B" w:rsidP="00B6457B">
      <w:pPr>
        <w:pStyle w:val="Caption"/>
        <w:keepNext/>
        <w:jc w:val="center"/>
        <w:rPr>
          <w:rFonts w:cstheme="minorHAnsi"/>
          <w:b/>
          <w:bCs/>
          <w:color w:val="auto"/>
          <w:szCs w:val="22"/>
          <w:lang w:eastAsia="en-AU"/>
        </w:rPr>
      </w:pPr>
      <w:r w:rsidRPr="00805B4E">
        <w:rPr>
          <w:rFonts w:cstheme="minorHAnsi"/>
          <w:b/>
          <w:bCs/>
          <w:noProof/>
          <w:color w:val="auto"/>
          <w:szCs w:val="22"/>
          <w:lang w:val="en-AU" w:eastAsia="en-AU"/>
        </w:rPr>
        <w:drawing>
          <wp:inline distT="0" distB="0" distL="0" distR="0" wp14:anchorId="0C3F903B" wp14:editId="0C3F903C">
            <wp:extent cx="6773278" cy="4943475"/>
            <wp:effectExtent l="0" t="0" r="8890" b="0"/>
            <wp:docPr id="49" name="Picture 49" descr="MODIS true color images (b) selected over a flood period of the Tully and Herbert Rivers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cstate="screen">
                      <a:extLst>
                        <a:ext uri="{28A0092B-C50C-407E-A947-70E740481C1C}">
                          <a14:useLocalDpi xmlns:a14="http://schemas.microsoft.com/office/drawing/2010/main"/>
                        </a:ext>
                      </a:extLst>
                    </a:blip>
                    <a:stretch>
                      <a:fillRect/>
                    </a:stretch>
                  </pic:blipFill>
                  <pic:spPr bwMode="auto">
                    <a:xfrm>
                      <a:off x="0" y="0"/>
                      <a:ext cx="6776647" cy="4945934"/>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D3" w14:textId="77777777" w:rsidR="00B6457B" w:rsidRPr="00805B4E" w:rsidRDefault="00B6457B" w:rsidP="00B6457B">
      <w:pPr>
        <w:pStyle w:val="Caption"/>
        <w:jc w:val="both"/>
        <w:rPr>
          <w:rFonts w:cstheme="minorHAnsi"/>
          <w:b/>
          <w:bCs/>
          <w:color w:val="auto"/>
          <w:szCs w:val="22"/>
          <w:lang w:eastAsia="en-AU"/>
        </w:rPr>
      </w:pPr>
      <w:r w:rsidRPr="00EA39D4">
        <w:rPr>
          <w:rFonts w:cstheme="minorHAnsi"/>
          <w:color w:val="auto"/>
          <w:szCs w:val="22"/>
          <w:lang w:eastAsia="en-AU"/>
        </w:rPr>
        <w:t>Figure A-6: MODIS true color images (b) selected over a flood period of the Tully and Herbert Rivers (a). Dates when the true color images were acquired are identified by red diamonds on discharge plot.</w:t>
      </w:r>
      <w:r w:rsidRPr="00805B4E">
        <w:rPr>
          <w:rFonts w:cstheme="minorHAnsi"/>
          <w:color w:val="auto"/>
          <w:szCs w:val="22"/>
          <w:lang w:eastAsia="en-AU"/>
        </w:rPr>
        <w:t xml:space="preserve"> </w:t>
      </w:r>
    </w:p>
    <w:p w14:paraId="0C3F89D4" w14:textId="77777777" w:rsidR="00B6457B" w:rsidRPr="00D953FD" w:rsidRDefault="00B6457B" w:rsidP="00B6457B">
      <w:pPr>
        <w:spacing w:after="120"/>
        <w:rPr>
          <w:color w:val="4F81BD" w:themeColor="accent1"/>
        </w:rPr>
        <w:sectPr w:rsidR="00B6457B" w:rsidRPr="00D953FD" w:rsidSect="00393ABA">
          <w:pgSz w:w="16838" w:h="11906" w:orient="landscape"/>
          <w:pgMar w:top="1440" w:right="1440" w:bottom="1440" w:left="1440" w:header="709" w:footer="709" w:gutter="0"/>
          <w:cols w:space="708"/>
          <w:docGrid w:linePitch="360"/>
        </w:sectPr>
      </w:pPr>
    </w:p>
    <w:p w14:paraId="0C3F89D5" w14:textId="77777777" w:rsidR="00B6457B" w:rsidRPr="00D953FD" w:rsidRDefault="00B6457B" w:rsidP="00B6457B">
      <w:pPr>
        <w:keepNext/>
        <w:spacing w:after="120"/>
        <w:jc w:val="center"/>
        <w:rPr>
          <w:color w:val="4F81BD" w:themeColor="accent1"/>
        </w:rPr>
      </w:pPr>
      <w:r>
        <w:rPr>
          <w:noProof/>
          <w:color w:val="4F81BD" w:themeColor="accent1"/>
        </w:rPr>
        <w:drawing>
          <wp:inline distT="0" distB="0" distL="0" distR="0" wp14:anchorId="0C3F903D" wp14:editId="0C3F903E">
            <wp:extent cx="6611632" cy="4829175"/>
            <wp:effectExtent l="0" t="0" r="0" b="0"/>
            <wp:docPr id="50" name="Picture 50" descr="MODIS true color images (b) selected over a flood period of the Tully and Herbert Rivers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2.tif"/>
                    <pic:cNvPicPr/>
                  </pic:nvPicPr>
                  <pic:blipFill>
                    <a:blip r:embed="rId108" cstate="screen">
                      <a:extLst>
                        <a:ext uri="{28A0092B-C50C-407E-A947-70E740481C1C}">
                          <a14:useLocalDpi xmlns:a14="http://schemas.microsoft.com/office/drawing/2010/main"/>
                        </a:ext>
                      </a:extLst>
                    </a:blip>
                    <a:stretch>
                      <a:fillRect/>
                    </a:stretch>
                  </pic:blipFill>
                  <pic:spPr>
                    <a:xfrm>
                      <a:off x="0" y="0"/>
                      <a:ext cx="6614694" cy="4831412"/>
                    </a:xfrm>
                    <a:prstGeom prst="rect">
                      <a:avLst/>
                    </a:prstGeom>
                    <a:solidFill>
                      <a:schemeClr val="bg1"/>
                    </a:solidFill>
                  </pic:spPr>
                </pic:pic>
              </a:graphicData>
            </a:graphic>
          </wp:inline>
        </w:drawing>
      </w:r>
    </w:p>
    <w:p w14:paraId="0C3F89D6" w14:textId="77777777" w:rsidR="00B6457B" w:rsidRPr="005A0C55" w:rsidRDefault="00B6457B" w:rsidP="00B6457B">
      <w:pPr>
        <w:pStyle w:val="Caption"/>
        <w:rPr>
          <w:rFonts w:cs="Calibri"/>
          <w:b/>
          <w:szCs w:val="22"/>
        </w:rPr>
      </w:pPr>
      <w:r w:rsidRPr="00805B4E">
        <w:rPr>
          <w:rFonts w:cstheme="minorHAnsi"/>
          <w:color w:val="auto"/>
          <w:szCs w:val="22"/>
          <w:lang w:eastAsia="en-AU"/>
        </w:rPr>
        <w:t>Figure A-</w:t>
      </w:r>
      <w:r>
        <w:rPr>
          <w:rFonts w:cstheme="minorHAnsi"/>
          <w:color w:val="auto"/>
          <w:szCs w:val="22"/>
          <w:lang w:eastAsia="en-AU"/>
        </w:rPr>
        <w:t>7</w:t>
      </w:r>
      <w:r w:rsidRPr="00805B4E">
        <w:rPr>
          <w:rFonts w:cstheme="minorHAnsi"/>
          <w:color w:val="auto"/>
          <w:szCs w:val="22"/>
          <w:lang w:eastAsia="en-AU"/>
        </w:rPr>
        <w:t>: MODIS true color images (b) selected over a flood period of the Tully and Herbert Rivers (a). Dates when the true color images were acquired are identified by red diamonds on discharge plot.</w:t>
      </w:r>
      <w:r w:rsidRPr="005A0C55">
        <w:rPr>
          <w:szCs w:val="22"/>
        </w:rPr>
        <w:t xml:space="preserve"> </w:t>
      </w:r>
    </w:p>
    <w:p w14:paraId="0C3F89D7" w14:textId="77777777" w:rsidR="00B6457B" w:rsidRPr="00D953FD" w:rsidRDefault="00B6457B" w:rsidP="00B6457B">
      <w:pPr>
        <w:keepNext/>
        <w:spacing w:after="120"/>
        <w:jc w:val="center"/>
        <w:rPr>
          <w:color w:val="4F81BD" w:themeColor="accent1"/>
        </w:rPr>
      </w:pPr>
      <w:r w:rsidRPr="00D953FD">
        <w:rPr>
          <w:noProof/>
          <w:color w:val="4F81BD" w:themeColor="accent1"/>
        </w:rPr>
        <w:drawing>
          <wp:inline distT="0" distB="0" distL="0" distR="0" wp14:anchorId="0C3F903F" wp14:editId="0C3F9040">
            <wp:extent cx="5762625" cy="4919621"/>
            <wp:effectExtent l="0" t="0" r="0" b="0"/>
            <wp:docPr id="51" name="Picture 51" descr="MODIS true color images (b) selected over a flood period of the Burdekin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9" cstate="screen">
                      <a:extLst>
                        <a:ext uri="{28A0092B-C50C-407E-A947-70E740481C1C}">
                          <a14:useLocalDpi xmlns:a14="http://schemas.microsoft.com/office/drawing/2010/main"/>
                        </a:ext>
                      </a:extLst>
                    </a:blip>
                    <a:stretch>
                      <a:fillRect/>
                    </a:stretch>
                  </pic:blipFill>
                  <pic:spPr bwMode="auto">
                    <a:xfrm>
                      <a:off x="0" y="0"/>
                      <a:ext cx="5768163" cy="4924349"/>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D8" w14:textId="77777777" w:rsidR="00B6457B" w:rsidRPr="00805B4E" w:rsidRDefault="00B6457B" w:rsidP="00B6457B">
      <w:pPr>
        <w:pStyle w:val="Caption"/>
        <w:jc w:val="both"/>
        <w:rPr>
          <w:rFonts w:cstheme="minorHAnsi"/>
          <w:b/>
          <w:bCs/>
          <w:color w:val="auto"/>
          <w:szCs w:val="22"/>
          <w:lang w:eastAsia="en-AU"/>
        </w:rPr>
      </w:pPr>
      <w:r w:rsidRPr="00B6457B">
        <w:rPr>
          <w:rFonts w:cstheme="minorHAnsi"/>
          <w:color w:val="auto"/>
          <w:szCs w:val="22"/>
          <w:lang w:eastAsia="en-AU"/>
        </w:rPr>
        <w:t>Figure A-8: MODIS true color images (b) selected over a flood period of the Burdekin River (a). Dates when the true color images were acquired are identified by red diamonds on discharge plot.</w:t>
      </w:r>
      <w:r w:rsidRPr="00805B4E">
        <w:rPr>
          <w:rFonts w:cstheme="minorHAnsi"/>
          <w:color w:val="auto"/>
          <w:szCs w:val="22"/>
          <w:lang w:eastAsia="en-AU"/>
        </w:rPr>
        <w:t xml:space="preserve"> </w:t>
      </w:r>
    </w:p>
    <w:p w14:paraId="0C3F89D9" w14:textId="77777777" w:rsidR="00B6457B" w:rsidRPr="00D953FD" w:rsidRDefault="00B6457B" w:rsidP="00B6457B">
      <w:pPr>
        <w:keepNext/>
        <w:spacing w:after="120"/>
        <w:jc w:val="center"/>
        <w:rPr>
          <w:color w:val="4F81BD" w:themeColor="accent1"/>
        </w:rPr>
      </w:pPr>
      <w:r>
        <w:rPr>
          <w:noProof/>
          <w:color w:val="4F81BD" w:themeColor="accent1"/>
        </w:rPr>
        <w:drawing>
          <wp:inline distT="0" distB="0" distL="0" distR="0" wp14:anchorId="0C3F9041" wp14:editId="0C3F9042">
            <wp:extent cx="6815446" cy="5019675"/>
            <wp:effectExtent l="0" t="0" r="5080" b="0"/>
            <wp:docPr id="52" name="Picture 52" descr="MODIS true color images (b) selected over a flood period of the Burdekin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2.tif"/>
                    <pic:cNvPicPr/>
                  </pic:nvPicPr>
                  <pic:blipFill>
                    <a:blip r:embed="rId110" cstate="screen">
                      <a:extLst>
                        <a:ext uri="{28A0092B-C50C-407E-A947-70E740481C1C}">
                          <a14:useLocalDpi xmlns:a14="http://schemas.microsoft.com/office/drawing/2010/main"/>
                        </a:ext>
                      </a:extLst>
                    </a:blip>
                    <a:stretch>
                      <a:fillRect/>
                    </a:stretch>
                  </pic:blipFill>
                  <pic:spPr>
                    <a:xfrm>
                      <a:off x="0" y="0"/>
                      <a:ext cx="6825913" cy="5027384"/>
                    </a:xfrm>
                    <a:prstGeom prst="rect">
                      <a:avLst/>
                    </a:prstGeom>
                    <a:solidFill>
                      <a:schemeClr val="bg1"/>
                    </a:solidFill>
                  </pic:spPr>
                </pic:pic>
              </a:graphicData>
            </a:graphic>
          </wp:inline>
        </w:drawing>
      </w:r>
    </w:p>
    <w:p w14:paraId="0C3F89DA" w14:textId="77777777" w:rsidR="00B6457B" w:rsidRPr="00805B4E" w:rsidRDefault="00B6457B" w:rsidP="00B6457B">
      <w:pPr>
        <w:pStyle w:val="Caption"/>
        <w:rPr>
          <w:rFonts w:cstheme="minorHAnsi"/>
          <w:b/>
          <w:bCs/>
          <w:color w:val="auto"/>
          <w:szCs w:val="22"/>
          <w:lang w:eastAsia="en-AU"/>
        </w:rPr>
      </w:pPr>
      <w:r w:rsidRPr="00B6457B">
        <w:rPr>
          <w:rFonts w:cstheme="minorHAnsi"/>
          <w:color w:val="auto"/>
          <w:szCs w:val="22"/>
          <w:lang w:eastAsia="en-AU"/>
        </w:rPr>
        <w:t>Figure A-9: MODIS true color images (b) selected over a flood period of the Burdekin River (a). Dates when the true color images were acquired are identified by red diamonds on discharge plot.</w:t>
      </w:r>
      <w:r w:rsidRPr="00805B4E">
        <w:rPr>
          <w:rFonts w:cstheme="minorHAnsi"/>
          <w:color w:val="auto"/>
          <w:szCs w:val="22"/>
          <w:lang w:eastAsia="en-AU"/>
        </w:rPr>
        <w:t xml:space="preserve"> </w:t>
      </w:r>
    </w:p>
    <w:p w14:paraId="0C3F89DB" w14:textId="77777777" w:rsidR="00B6457B" w:rsidRPr="00D953FD" w:rsidRDefault="00B6457B" w:rsidP="00B6457B">
      <w:pPr>
        <w:pStyle w:val="Caption"/>
        <w:keepNext/>
        <w:jc w:val="center"/>
      </w:pPr>
      <w:r>
        <w:rPr>
          <w:rFonts w:cs="Calibri"/>
          <w:b/>
          <w:noProof/>
          <w:sz w:val="20"/>
          <w:lang w:val="en-AU" w:eastAsia="en-AU"/>
        </w:rPr>
        <w:drawing>
          <wp:inline distT="0" distB="0" distL="0" distR="0" wp14:anchorId="0C3F9043" wp14:editId="0C3F9044">
            <wp:extent cx="6781800" cy="4994894"/>
            <wp:effectExtent l="0" t="0" r="0" b="0"/>
            <wp:docPr id="54" name="Picture 54" descr="MODIS true color images (b) selected over a flood period of the Burdekin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3.tif"/>
                    <pic:cNvPicPr/>
                  </pic:nvPicPr>
                  <pic:blipFill>
                    <a:blip r:embed="rId111" cstate="screen">
                      <a:extLst>
                        <a:ext uri="{28A0092B-C50C-407E-A947-70E740481C1C}">
                          <a14:useLocalDpi xmlns:a14="http://schemas.microsoft.com/office/drawing/2010/main"/>
                        </a:ext>
                      </a:extLst>
                    </a:blip>
                    <a:stretch>
                      <a:fillRect/>
                    </a:stretch>
                  </pic:blipFill>
                  <pic:spPr>
                    <a:xfrm>
                      <a:off x="0" y="0"/>
                      <a:ext cx="6791318" cy="5001904"/>
                    </a:xfrm>
                    <a:prstGeom prst="rect">
                      <a:avLst/>
                    </a:prstGeom>
                    <a:solidFill>
                      <a:schemeClr val="bg1"/>
                    </a:solidFill>
                  </pic:spPr>
                </pic:pic>
              </a:graphicData>
            </a:graphic>
          </wp:inline>
        </w:drawing>
      </w:r>
    </w:p>
    <w:p w14:paraId="0C3F89DC" w14:textId="77777777" w:rsidR="00B6457B" w:rsidRPr="00805B4E" w:rsidRDefault="00B6457B" w:rsidP="00B6457B">
      <w:pPr>
        <w:pStyle w:val="Caption"/>
        <w:jc w:val="both"/>
        <w:rPr>
          <w:rFonts w:cstheme="minorHAnsi"/>
          <w:b/>
          <w:bCs/>
          <w:color w:val="auto"/>
          <w:szCs w:val="22"/>
          <w:lang w:eastAsia="en-AU"/>
        </w:rPr>
      </w:pPr>
      <w:r w:rsidRPr="00805B4E">
        <w:rPr>
          <w:rFonts w:cstheme="minorHAnsi"/>
          <w:color w:val="auto"/>
          <w:szCs w:val="22"/>
          <w:lang w:eastAsia="en-AU"/>
        </w:rPr>
        <w:t>Figure A-</w:t>
      </w:r>
      <w:r>
        <w:rPr>
          <w:rFonts w:cstheme="minorHAnsi"/>
          <w:color w:val="auto"/>
          <w:szCs w:val="22"/>
          <w:lang w:eastAsia="en-AU"/>
        </w:rPr>
        <w:t>10</w:t>
      </w:r>
      <w:r w:rsidRPr="00805B4E">
        <w:rPr>
          <w:rFonts w:cstheme="minorHAnsi"/>
          <w:color w:val="auto"/>
          <w:szCs w:val="22"/>
          <w:lang w:eastAsia="en-AU"/>
        </w:rPr>
        <w:t xml:space="preserve">: MODIS true color images (b) selected over a flood period of the Burdekin River (a). Dates when the true color images were acquired are identified by red diamonds on discharge plot. </w:t>
      </w:r>
    </w:p>
    <w:p w14:paraId="0C3F89DD" w14:textId="77777777" w:rsidR="00B6457B" w:rsidRPr="00D953FD" w:rsidRDefault="00B6457B" w:rsidP="00B6457B">
      <w:pPr>
        <w:keepNext/>
        <w:spacing w:after="120"/>
        <w:jc w:val="center"/>
        <w:rPr>
          <w:color w:val="4F81BD" w:themeColor="accent1"/>
        </w:rPr>
      </w:pPr>
      <w:r>
        <w:rPr>
          <w:noProof/>
          <w:color w:val="4F81BD" w:themeColor="accent1"/>
        </w:rPr>
        <w:drawing>
          <wp:inline distT="0" distB="0" distL="0" distR="0" wp14:anchorId="0C3F9045" wp14:editId="0C3F9046">
            <wp:extent cx="6838950" cy="5052231"/>
            <wp:effectExtent l="0" t="0" r="0" b="0"/>
            <wp:docPr id="55" name="Picture 55" descr="MODIS true color images (b) selected over a flood period of the Pioneer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1.tif"/>
                    <pic:cNvPicPr/>
                  </pic:nvPicPr>
                  <pic:blipFill>
                    <a:blip r:embed="rId112" cstate="screen">
                      <a:extLst>
                        <a:ext uri="{28A0092B-C50C-407E-A947-70E740481C1C}">
                          <a14:useLocalDpi xmlns:a14="http://schemas.microsoft.com/office/drawing/2010/main"/>
                        </a:ext>
                      </a:extLst>
                    </a:blip>
                    <a:stretch>
                      <a:fillRect/>
                    </a:stretch>
                  </pic:blipFill>
                  <pic:spPr>
                    <a:xfrm>
                      <a:off x="0" y="0"/>
                      <a:ext cx="6842100" cy="5054558"/>
                    </a:xfrm>
                    <a:prstGeom prst="rect">
                      <a:avLst/>
                    </a:prstGeom>
                    <a:solidFill>
                      <a:schemeClr val="bg1"/>
                    </a:solidFill>
                  </pic:spPr>
                </pic:pic>
              </a:graphicData>
            </a:graphic>
          </wp:inline>
        </w:drawing>
      </w:r>
    </w:p>
    <w:p w14:paraId="0C3F89DE" w14:textId="77777777" w:rsidR="00B6457B" w:rsidRPr="005A0C55" w:rsidRDefault="00B6457B" w:rsidP="00B6457B">
      <w:pPr>
        <w:pStyle w:val="Caption"/>
        <w:jc w:val="both"/>
        <w:rPr>
          <w:rFonts w:cs="Calibri"/>
          <w:b/>
          <w:szCs w:val="22"/>
        </w:rPr>
      </w:pPr>
      <w:r w:rsidRPr="00805B4E">
        <w:rPr>
          <w:rFonts w:cstheme="minorHAnsi"/>
          <w:color w:val="auto"/>
          <w:szCs w:val="22"/>
          <w:lang w:eastAsia="en-AU"/>
        </w:rPr>
        <w:t>Figure A-</w:t>
      </w:r>
      <w:r>
        <w:rPr>
          <w:rFonts w:cstheme="minorHAnsi"/>
          <w:color w:val="auto"/>
          <w:szCs w:val="22"/>
          <w:lang w:eastAsia="en-AU"/>
        </w:rPr>
        <w:t>11</w:t>
      </w:r>
      <w:r w:rsidRPr="00805B4E">
        <w:rPr>
          <w:rFonts w:cstheme="minorHAnsi"/>
          <w:color w:val="auto"/>
          <w:szCs w:val="22"/>
          <w:lang w:eastAsia="en-AU"/>
        </w:rPr>
        <w:t>: MODIS true color images (b) selected over a flood period of the Pioneer River (a). Dates when the true color images were acquired are identified by red diamonds on discharge plot.</w:t>
      </w:r>
      <w:r w:rsidRPr="005A0C55">
        <w:rPr>
          <w:szCs w:val="22"/>
        </w:rPr>
        <w:t xml:space="preserve"> </w:t>
      </w:r>
    </w:p>
    <w:p w14:paraId="0C3F89DF" w14:textId="77777777" w:rsidR="00B6457B" w:rsidRPr="00D953FD" w:rsidRDefault="00B6457B" w:rsidP="00B6457B">
      <w:pPr>
        <w:pStyle w:val="Caption"/>
        <w:keepNext/>
        <w:jc w:val="center"/>
      </w:pPr>
      <w:r>
        <w:rPr>
          <w:noProof/>
          <w:lang w:val="en-AU" w:eastAsia="en-AU"/>
        </w:rPr>
        <w:drawing>
          <wp:inline distT="0" distB="0" distL="0" distR="0" wp14:anchorId="0C3F9047" wp14:editId="0C3F9048">
            <wp:extent cx="6810375" cy="5042694"/>
            <wp:effectExtent l="0" t="0" r="0" b="5715"/>
            <wp:docPr id="56" name="Picture 56" descr="MODIS true color images (b) selected over a flood period of the Pioneer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2.tif"/>
                    <pic:cNvPicPr/>
                  </pic:nvPicPr>
                  <pic:blipFill>
                    <a:blip r:embed="rId113" cstate="screen">
                      <a:extLst>
                        <a:ext uri="{28A0092B-C50C-407E-A947-70E740481C1C}">
                          <a14:useLocalDpi xmlns:a14="http://schemas.microsoft.com/office/drawing/2010/main"/>
                        </a:ext>
                      </a:extLst>
                    </a:blip>
                    <a:stretch>
                      <a:fillRect/>
                    </a:stretch>
                  </pic:blipFill>
                  <pic:spPr>
                    <a:xfrm>
                      <a:off x="0" y="0"/>
                      <a:ext cx="6814198" cy="5045524"/>
                    </a:xfrm>
                    <a:prstGeom prst="rect">
                      <a:avLst/>
                    </a:prstGeom>
                    <a:solidFill>
                      <a:schemeClr val="bg1"/>
                    </a:solidFill>
                  </pic:spPr>
                </pic:pic>
              </a:graphicData>
            </a:graphic>
          </wp:inline>
        </w:drawing>
      </w:r>
    </w:p>
    <w:p w14:paraId="0C3F89E0" w14:textId="77777777" w:rsidR="00B6457B" w:rsidRPr="00805B4E" w:rsidRDefault="00B6457B" w:rsidP="00B6457B">
      <w:pPr>
        <w:pStyle w:val="Caption"/>
        <w:rPr>
          <w:rFonts w:cstheme="minorHAnsi"/>
          <w:b/>
          <w:bCs/>
          <w:color w:val="auto"/>
          <w:szCs w:val="22"/>
          <w:lang w:eastAsia="en-AU"/>
        </w:rPr>
      </w:pPr>
      <w:r w:rsidRPr="00B6457B">
        <w:rPr>
          <w:rFonts w:cstheme="minorHAnsi"/>
          <w:color w:val="auto"/>
          <w:szCs w:val="22"/>
          <w:lang w:eastAsia="en-AU"/>
        </w:rPr>
        <w:t>Figure A-12: MODIS true color images (b) selected over a flood period of the Pioneer River (a). Dates when the true color images were acquired are identified by red diamonds on discharge plot.</w:t>
      </w:r>
      <w:r w:rsidRPr="00805B4E">
        <w:rPr>
          <w:rFonts w:cstheme="minorHAnsi"/>
          <w:color w:val="auto"/>
          <w:szCs w:val="22"/>
          <w:lang w:eastAsia="en-AU"/>
        </w:rPr>
        <w:t xml:space="preserve"> </w:t>
      </w:r>
    </w:p>
    <w:p w14:paraId="0C3F89E1" w14:textId="77777777" w:rsidR="00B6457B" w:rsidRPr="00D953FD" w:rsidRDefault="00B6457B" w:rsidP="00B6457B">
      <w:pPr>
        <w:keepNext/>
        <w:spacing w:after="120"/>
        <w:jc w:val="center"/>
        <w:rPr>
          <w:rFonts w:ascii="Calibri" w:hAnsi="Calibri" w:cs="Calibri"/>
          <w:bCs/>
          <w:color w:val="4F81BD" w:themeColor="accent1"/>
          <w:sz w:val="20"/>
          <w:szCs w:val="20"/>
        </w:rPr>
      </w:pPr>
      <w:r w:rsidRPr="00D953FD">
        <w:rPr>
          <w:rFonts w:ascii="Calibri" w:hAnsi="Calibri" w:cs="Calibri"/>
          <w:bCs/>
          <w:noProof/>
          <w:color w:val="4F81BD" w:themeColor="accent1"/>
          <w:sz w:val="20"/>
          <w:szCs w:val="20"/>
        </w:rPr>
        <w:drawing>
          <wp:inline distT="0" distB="0" distL="0" distR="0" wp14:anchorId="0C3F9049" wp14:editId="0C3F904A">
            <wp:extent cx="6772275" cy="5000197"/>
            <wp:effectExtent l="0" t="0" r="0" b="0"/>
            <wp:docPr id="57" name="Picture 57" descr="MODIS true color images (b) selected over a flood period of the Fitzroy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4" cstate="screen">
                      <a:extLst>
                        <a:ext uri="{28A0092B-C50C-407E-A947-70E740481C1C}">
                          <a14:useLocalDpi xmlns:a14="http://schemas.microsoft.com/office/drawing/2010/main"/>
                        </a:ext>
                      </a:extLst>
                    </a:blip>
                    <a:stretch>
                      <a:fillRect/>
                    </a:stretch>
                  </pic:blipFill>
                  <pic:spPr bwMode="auto">
                    <a:xfrm>
                      <a:off x="0" y="0"/>
                      <a:ext cx="6769056" cy="4997820"/>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E2" w14:textId="77777777" w:rsidR="00B6457B" w:rsidRPr="005A0C55" w:rsidRDefault="00B6457B" w:rsidP="00B6457B">
      <w:pPr>
        <w:pStyle w:val="Caption"/>
        <w:rPr>
          <w:rFonts w:cs="Calibri"/>
          <w:b/>
          <w:szCs w:val="22"/>
        </w:rPr>
      </w:pPr>
      <w:r w:rsidRPr="00805B4E">
        <w:rPr>
          <w:rFonts w:cstheme="minorHAnsi"/>
          <w:color w:val="auto"/>
          <w:szCs w:val="22"/>
          <w:lang w:eastAsia="en-AU"/>
        </w:rPr>
        <w:t>Figure A-</w:t>
      </w:r>
      <w:r>
        <w:rPr>
          <w:rFonts w:cstheme="minorHAnsi"/>
          <w:color w:val="auto"/>
          <w:szCs w:val="22"/>
          <w:lang w:eastAsia="en-AU"/>
        </w:rPr>
        <w:t>13</w:t>
      </w:r>
      <w:r w:rsidRPr="00805B4E">
        <w:rPr>
          <w:rFonts w:cstheme="minorHAnsi"/>
          <w:color w:val="auto"/>
          <w:szCs w:val="22"/>
          <w:lang w:eastAsia="en-AU"/>
        </w:rPr>
        <w:t>: MODIS true color images (b) selected over a flood period of the Fitzroy River (a). Dates when the true color images were acquired are identified by red diamonds on discharge plot.</w:t>
      </w:r>
      <w:r w:rsidRPr="005A0C55">
        <w:rPr>
          <w:szCs w:val="22"/>
        </w:rPr>
        <w:t xml:space="preserve"> </w:t>
      </w:r>
    </w:p>
    <w:p w14:paraId="0C3F89E3" w14:textId="77777777" w:rsidR="00B6457B" w:rsidRPr="00D953FD" w:rsidRDefault="00B6457B" w:rsidP="00B6457B">
      <w:pPr>
        <w:pStyle w:val="Caption"/>
        <w:keepNext/>
        <w:jc w:val="center"/>
      </w:pPr>
      <w:r w:rsidRPr="00D953FD">
        <w:rPr>
          <w:noProof/>
          <w:lang w:val="en-AU" w:eastAsia="en-AU"/>
        </w:rPr>
        <w:drawing>
          <wp:inline distT="0" distB="0" distL="0" distR="0" wp14:anchorId="0C3F904B" wp14:editId="0C3F904C">
            <wp:extent cx="6772275" cy="5002976"/>
            <wp:effectExtent l="0" t="0" r="0" b="7620"/>
            <wp:docPr id="58" name="Picture 58" descr="MODIS true color images (b) selected over a flood period of the Fitzroy River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5" cstate="screen">
                      <a:extLst>
                        <a:ext uri="{28A0092B-C50C-407E-A947-70E740481C1C}">
                          <a14:useLocalDpi xmlns:a14="http://schemas.microsoft.com/office/drawing/2010/main"/>
                        </a:ext>
                      </a:extLst>
                    </a:blip>
                    <a:stretch>
                      <a:fillRect/>
                    </a:stretch>
                  </pic:blipFill>
                  <pic:spPr bwMode="auto">
                    <a:xfrm>
                      <a:off x="0" y="0"/>
                      <a:ext cx="6772819" cy="5003378"/>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E4" w14:textId="77777777" w:rsidR="00B6457B" w:rsidRPr="00805B4E" w:rsidRDefault="00B6457B" w:rsidP="00B6457B">
      <w:pPr>
        <w:pStyle w:val="Caption"/>
        <w:rPr>
          <w:rFonts w:cstheme="minorHAnsi"/>
          <w:b/>
          <w:bCs/>
          <w:color w:val="auto"/>
          <w:szCs w:val="22"/>
          <w:lang w:eastAsia="en-AU"/>
        </w:rPr>
      </w:pPr>
      <w:r w:rsidRPr="00805B4E">
        <w:rPr>
          <w:rFonts w:cstheme="minorHAnsi"/>
          <w:color w:val="auto"/>
          <w:szCs w:val="22"/>
          <w:lang w:eastAsia="en-AU"/>
        </w:rPr>
        <w:t>Figure A-</w:t>
      </w:r>
      <w:r>
        <w:rPr>
          <w:rFonts w:cstheme="minorHAnsi"/>
          <w:color w:val="auto"/>
          <w:szCs w:val="22"/>
          <w:lang w:eastAsia="en-AU"/>
        </w:rPr>
        <w:t>14</w:t>
      </w:r>
      <w:r w:rsidRPr="00805B4E">
        <w:rPr>
          <w:rFonts w:cstheme="minorHAnsi"/>
          <w:color w:val="auto"/>
          <w:szCs w:val="22"/>
          <w:lang w:eastAsia="en-AU"/>
        </w:rPr>
        <w:t xml:space="preserve">: MODIS true color images (b) selected over a flood period of the Fitzroy River (a). Dates when the true color images were acquired are identified by red diamonds on discharge plot. </w:t>
      </w:r>
    </w:p>
    <w:p w14:paraId="0C3F89E5" w14:textId="77777777" w:rsidR="00B6457B" w:rsidRPr="00805B4E" w:rsidRDefault="00B6457B" w:rsidP="00B6457B">
      <w:pPr>
        <w:pStyle w:val="Caption"/>
        <w:keepNext/>
        <w:jc w:val="center"/>
        <w:rPr>
          <w:rFonts w:cstheme="minorHAnsi"/>
          <w:b/>
          <w:bCs/>
          <w:color w:val="auto"/>
          <w:szCs w:val="22"/>
          <w:lang w:eastAsia="en-AU"/>
        </w:rPr>
      </w:pPr>
      <w:r w:rsidRPr="00805B4E">
        <w:rPr>
          <w:rFonts w:cstheme="minorHAnsi"/>
          <w:b/>
          <w:bCs/>
          <w:noProof/>
          <w:color w:val="auto"/>
          <w:szCs w:val="22"/>
          <w:lang w:val="en-AU" w:eastAsia="en-AU"/>
        </w:rPr>
        <w:drawing>
          <wp:inline distT="0" distB="0" distL="0" distR="0" wp14:anchorId="0C3F904D" wp14:editId="0C3F904E">
            <wp:extent cx="6896100" cy="5034152"/>
            <wp:effectExtent l="0" t="0" r="0" b="0"/>
            <wp:docPr id="59" name="Picture 59" descr="MODIS true color images (b) selected over a flood period of the Burnett and Mary rivers (a). Dates when the true color images were acquired are identified by red diamonds on discharge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6" cstate="screen">
                      <a:extLst>
                        <a:ext uri="{28A0092B-C50C-407E-A947-70E740481C1C}">
                          <a14:useLocalDpi xmlns:a14="http://schemas.microsoft.com/office/drawing/2010/main"/>
                        </a:ext>
                      </a:extLst>
                    </a:blip>
                    <a:stretch>
                      <a:fillRect/>
                    </a:stretch>
                  </pic:blipFill>
                  <pic:spPr bwMode="auto">
                    <a:xfrm>
                      <a:off x="0" y="0"/>
                      <a:ext cx="6895238" cy="5033523"/>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E6" w14:textId="77777777" w:rsidR="00B6457B" w:rsidRPr="00805B4E" w:rsidRDefault="00B6457B" w:rsidP="00B6457B">
      <w:pPr>
        <w:pStyle w:val="Caption"/>
        <w:jc w:val="both"/>
        <w:rPr>
          <w:rFonts w:cstheme="minorHAnsi"/>
          <w:b/>
          <w:bCs/>
          <w:color w:val="auto"/>
          <w:szCs w:val="22"/>
          <w:lang w:eastAsia="en-AU"/>
        </w:rPr>
      </w:pPr>
      <w:r w:rsidRPr="00805B4E">
        <w:rPr>
          <w:rFonts w:cstheme="minorHAnsi"/>
          <w:color w:val="auto"/>
          <w:szCs w:val="22"/>
          <w:lang w:eastAsia="en-AU"/>
        </w:rPr>
        <w:t>Figure A-</w:t>
      </w:r>
      <w:r>
        <w:rPr>
          <w:rFonts w:cstheme="minorHAnsi"/>
          <w:color w:val="auto"/>
          <w:szCs w:val="22"/>
          <w:lang w:eastAsia="en-AU"/>
        </w:rPr>
        <w:t>15</w:t>
      </w:r>
      <w:r w:rsidRPr="00805B4E">
        <w:rPr>
          <w:rFonts w:cstheme="minorHAnsi"/>
          <w:color w:val="auto"/>
          <w:szCs w:val="22"/>
          <w:lang w:eastAsia="en-AU"/>
        </w:rPr>
        <w:t xml:space="preserve">: MODIS true color images (b) selected over a flood period of the Burnett and Mary rivers (a). Dates when the true color images were acquired are identified by red diamonds on discharge plot. </w:t>
      </w:r>
    </w:p>
    <w:p w14:paraId="0C3F89E7" w14:textId="77777777" w:rsidR="00B6457B" w:rsidRDefault="00B6457B" w:rsidP="00B6457B">
      <w:pPr>
        <w:keepNext/>
        <w:spacing w:after="120"/>
        <w:jc w:val="center"/>
      </w:pPr>
      <w:r>
        <w:rPr>
          <w:noProof/>
        </w:rPr>
        <w:drawing>
          <wp:inline distT="0" distB="0" distL="0" distR="0" wp14:anchorId="0C3F904F" wp14:editId="0C3F9050">
            <wp:extent cx="6810375" cy="4967168"/>
            <wp:effectExtent l="0" t="0" r="0" b="5080"/>
            <wp:docPr id="60" name="Picture 60" descr="MODIS true color images (b) selected over a flood period of the Burnett and Mary River (a). Dates when the true color images were acquired are identified by red diamonds on discharg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2.tif"/>
                    <pic:cNvPicPr/>
                  </pic:nvPicPr>
                  <pic:blipFill>
                    <a:blip r:embed="rId117" cstate="screen">
                      <a:extLst>
                        <a:ext uri="{28A0092B-C50C-407E-A947-70E740481C1C}">
                          <a14:useLocalDpi xmlns:a14="http://schemas.microsoft.com/office/drawing/2010/main"/>
                        </a:ext>
                      </a:extLst>
                    </a:blip>
                    <a:stretch>
                      <a:fillRect/>
                    </a:stretch>
                  </pic:blipFill>
                  <pic:spPr>
                    <a:xfrm>
                      <a:off x="0" y="0"/>
                      <a:ext cx="6811516" cy="4968000"/>
                    </a:xfrm>
                    <a:prstGeom prst="rect">
                      <a:avLst/>
                    </a:prstGeom>
                    <a:solidFill>
                      <a:schemeClr val="bg1"/>
                    </a:solidFill>
                  </pic:spPr>
                </pic:pic>
              </a:graphicData>
            </a:graphic>
          </wp:inline>
        </w:drawing>
      </w:r>
    </w:p>
    <w:p w14:paraId="0C3F89E8" w14:textId="77777777" w:rsidR="00B6457B" w:rsidRPr="003C098F" w:rsidRDefault="00B6457B" w:rsidP="00B6457B">
      <w:pPr>
        <w:pStyle w:val="Caption"/>
        <w:rPr>
          <w:szCs w:val="22"/>
        </w:rPr>
        <w:sectPr w:rsidR="00B6457B" w:rsidRPr="003C098F" w:rsidSect="00393ABA">
          <w:pgSz w:w="16838" w:h="11906" w:orient="landscape"/>
          <w:pgMar w:top="1440" w:right="1440" w:bottom="1440" w:left="1440" w:header="709" w:footer="709" w:gutter="0"/>
          <w:cols w:space="708"/>
          <w:docGrid w:linePitch="360"/>
        </w:sectPr>
      </w:pPr>
      <w:r w:rsidRPr="00805B4E">
        <w:rPr>
          <w:rFonts w:cstheme="minorHAnsi"/>
          <w:color w:val="auto"/>
          <w:szCs w:val="22"/>
          <w:lang w:eastAsia="en-AU"/>
        </w:rPr>
        <w:t>Figure A-</w:t>
      </w:r>
      <w:r>
        <w:rPr>
          <w:rFonts w:cstheme="minorHAnsi"/>
          <w:color w:val="auto"/>
          <w:szCs w:val="22"/>
          <w:lang w:eastAsia="en-AU"/>
        </w:rPr>
        <w:t>16</w:t>
      </w:r>
      <w:r w:rsidRPr="00805B4E">
        <w:rPr>
          <w:rFonts w:cstheme="minorHAnsi"/>
          <w:color w:val="auto"/>
          <w:szCs w:val="22"/>
          <w:lang w:eastAsia="en-AU"/>
        </w:rPr>
        <w:t>: MODIS true color images (b) selected over a flood period of the Burnett and Mary River (a). Dates when the true color images were acquired are identified by</w:t>
      </w:r>
      <w:r>
        <w:rPr>
          <w:rFonts w:cstheme="minorHAnsi"/>
          <w:color w:val="auto"/>
          <w:szCs w:val="22"/>
          <w:lang w:eastAsia="en-AU"/>
        </w:rPr>
        <w:t xml:space="preserve"> red diamonds on discharge plot</w:t>
      </w:r>
    </w:p>
    <w:p w14:paraId="0C3F89E9" w14:textId="77777777" w:rsidR="00B6457B" w:rsidRPr="005A0C55" w:rsidRDefault="00B6457B" w:rsidP="00B6457B">
      <w:pPr>
        <w:pStyle w:val="Heading1"/>
        <w:spacing w:before="0"/>
      </w:pPr>
      <w:bookmarkStart w:id="289" w:name="_Toc428350525"/>
      <w:bookmarkStart w:id="290" w:name="_Ref373845372"/>
      <w:r>
        <w:t>Appendix B: RS products and data, wet season 2012-13</w:t>
      </w:r>
      <w:bookmarkEnd w:id="289"/>
    </w:p>
    <w:p w14:paraId="0C3F89EA" w14:textId="77777777" w:rsidR="00B6457B" w:rsidRPr="00D032F8" w:rsidRDefault="00B6457B" w:rsidP="00B6457B">
      <w:pPr>
        <w:pStyle w:val="Heading2"/>
        <w:spacing w:before="0"/>
        <w:rPr>
          <w:bCs/>
        </w:rPr>
      </w:pPr>
      <w:bookmarkStart w:id="291" w:name="_Toc428350526"/>
      <w:r w:rsidRPr="00D032F8">
        <w:t>Weekly productivity maps</w:t>
      </w:r>
      <w:bookmarkEnd w:id="290"/>
      <w:r>
        <w:t>: GBR scale</w:t>
      </w:r>
      <w:bookmarkEnd w:id="291"/>
      <w:r w:rsidRPr="00D032F8">
        <w:t xml:space="preserve"> </w:t>
      </w:r>
    </w:p>
    <w:p w14:paraId="0C3F89EB" w14:textId="77777777" w:rsidR="00B6457B" w:rsidRDefault="00B6457B" w:rsidP="00B6457B">
      <w:pPr>
        <w:keepNext/>
        <w:spacing w:after="120"/>
        <w:jc w:val="center"/>
      </w:pPr>
      <w:r>
        <w:rPr>
          <w:noProof/>
        </w:rPr>
        <w:drawing>
          <wp:inline distT="0" distB="0" distL="0" distR="0" wp14:anchorId="0C3F9051" wp14:editId="0C3F9052">
            <wp:extent cx="4110975" cy="6981825"/>
            <wp:effectExtent l="0" t="0" r="4445" b="0"/>
            <wp:docPr id="61" name="Picture 61" descr="Secondary waters mapped during the 2012-13 wet season: Weekly compo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b="1231"/>
                    <a:stretch/>
                  </pic:blipFill>
                  <pic:spPr bwMode="auto">
                    <a:xfrm>
                      <a:off x="0" y="0"/>
                      <a:ext cx="4110173" cy="6980463"/>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C3F89EC" w14:textId="77777777" w:rsidR="00B6457B" w:rsidRDefault="00B6457B" w:rsidP="00B6457B">
      <w:pPr>
        <w:pStyle w:val="Caption"/>
        <w:rPr>
          <w:rFonts w:cstheme="minorHAnsi"/>
          <w:color w:val="auto"/>
          <w:szCs w:val="22"/>
          <w:lang w:eastAsia="en-AU"/>
        </w:rPr>
      </w:pPr>
      <w:r w:rsidRPr="006C226E">
        <w:rPr>
          <w:rFonts w:cstheme="minorHAnsi"/>
          <w:color w:val="auto"/>
          <w:szCs w:val="22"/>
          <w:lang w:eastAsia="en-AU"/>
        </w:rPr>
        <w:t xml:space="preserve">Figure </w:t>
      </w:r>
      <w:r>
        <w:rPr>
          <w:rFonts w:cstheme="minorHAnsi"/>
          <w:color w:val="auto"/>
          <w:szCs w:val="22"/>
          <w:lang w:eastAsia="en-AU"/>
        </w:rPr>
        <w:t>B-1</w:t>
      </w:r>
      <w:r w:rsidRPr="006C226E">
        <w:rPr>
          <w:rFonts w:cstheme="minorHAnsi"/>
          <w:color w:val="auto"/>
          <w:szCs w:val="22"/>
          <w:lang w:eastAsia="en-AU"/>
        </w:rPr>
        <w:t>: Secondary waters mapped during the 2012-13 wet season: Weekly composites</w:t>
      </w:r>
    </w:p>
    <w:p w14:paraId="0C3F89ED" w14:textId="77777777" w:rsidR="00605DDA" w:rsidRDefault="00605DDA" w:rsidP="00605DDA">
      <w:pPr>
        <w:rPr>
          <w:lang w:val="en-GB"/>
        </w:rPr>
      </w:pPr>
    </w:p>
    <w:p w14:paraId="0C3F89EE" w14:textId="77777777" w:rsidR="00605DDA" w:rsidRDefault="00605DDA" w:rsidP="00605DDA">
      <w:pPr>
        <w:rPr>
          <w:lang w:val="en-GB"/>
        </w:rPr>
      </w:pPr>
    </w:p>
    <w:p w14:paraId="0C3F89EF" w14:textId="77777777" w:rsidR="00B6457B" w:rsidRDefault="00B6457B" w:rsidP="00605DDA">
      <w:pPr>
        <w:pStyle w:val="Heading2"/>
        <w:spacing w:before="0" w:after="0" w:line="240" w:lineRule="auto"/>
        <w:rPr>
          <w:b w:val="0"/>
          <w:bCs/>
        </w:rPr>
      </w:pPr>
      <w:r w:rsidRPr="006C226E">
        <w:t xml:space="preserve">Table </w:t>
      </w:r>
      <w:r>
        <w:t>B-1</w:t>
      </w:r>
      <w:r w:rsidRPr="006C226E">
        <w:t xml:space="preserve">: conversion chart between Julian days, dates (regular years) and week numbers. For dates on leap year, check URL: </w:t>
      </w:r>
      <w:hyperlink r:id="rId119" w:tooltip="more information" w:history="1">
        <w:r w:rsidRPr="00821A1B">
          <w:rPr>
            <w:rStyle w:val="Hyperlink"/>
            <w:bCs/>
          </w:rPr>
          <w:t>http://landweb.nascom.nasa.gov/browse/calendar.html</w:t>
        </w:r>
      </w:hyperlink>
    </w:p>
    <w:p w14:paraId="0C3F89F0" w14:textId="77777777" w:rsidR="00B6457B" w:rsidRPr="006C226E" w:rsidRDefault="00B6457B" w:rsidP="00B6457B">
      <w:pPr>
        <w:rPr>
          <w:rFonts w:eastAsia="Calibri"/>
        </w:rPr>
      </w:pPr>
    </w:p>
    <w:tbl>
      <w:tblPr>
        <w:tblW w:w="9229" w:type="dxa"/>
        <w:tblInd w:w="93" w:type="dxa"/>
        <w:tblLook w:val="04A0" w:firstRow="1" w:lastRow="0" w:firstColumn="1" w:lastColumn="0" w:noHBand="0" w:noVBand="1"/>
        <w:tblDescription w:val="conversion chart between Julian days, dates (regular years) and week numbers. For dates on leap year, check URL: http://landweb.nascom.nasa.gov/browse/calendar.html"/>
      </w:tblPr>
      <w:tblGrid>
        <w:gridCol w:w="724"/>
        <w:gridCol w:w="1418"/>
        <w:gridCol w:w="1559"/>
        <w:gridCol w:w="1417"/>
        <w:gridCol w:w="1276"/>
        <w:gridCol w:w="1418"/>
        <w:gridCol w:w="1417"/>
      </w:tblGrid>
      <w:tr w:rsidR="00B6457B" w:rsidRPr="00DF1C49" w14:paraId="0C3F89F8" w14:textId="77777777" w:rsidTr="00393ABA">
        <w:trPr>
          <w:trHeight w:val="300"/>
        </w:trPr>
        <w:tc>
          <w:tcPr>
            <w:tcW w:w="724" w:type="dxa"/>
            <w:tcBorders>
              <w:top w:val="nil"/>
              <w:left w:val="nil"/>
              <w:bottom w:val="nil"/>
              <w:right w:val="nil"/>
            </w:tcBorders>
            <w:shd w:val="clear" w:color="auto" w:fill="auto"/>
            <w:vAlign w:val="center"/>
            <w:hideMark/>
          </w:tcPr>
          <w:p w14:paraId="0C3F89F1"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 xml:space="preserve">Julian </w:t>
            </w:r>
          </w:p>
        </w:tc>
        <w:tc>
          <w:tcPr>
            <w:tcW w:w="1418" w:type="dxa"/>
            <w:tcBorders>
              <w:top w:val="nil"/>
              <w:left w:val="nil"/>
              <w:bottom w:val="nil"/>
              <w:right w:val="nil"/>
            </w:tcBorders>
            <w:shd w:val="clear" w:color="auto" w:fill="auto"/>
            <w:vAlign w:val="center"/>
            <w:hideMark/>
          </w:tcPr>
          <w:p w14:paraId="0C3F89F2"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335 - 341</w:t>
            </w:r>
          </w:p>
        </w:tc>
        <w:tc>
          <w:tcPr>
            <w:tcW w:w="1559" w:type="dxa"/>
            <w:tcBorders>
              <w:top w:val="nil"/>
              <w:left w:val="nil"/>
              <w:bottom w:val="nil"/>
              <w:right w:val="nil"/>
            </w:tcBorders>
            <w:shd w:val="clear" w:color="auto" w:fill="auto"/>
            <w:vAlign w:val="center"/>
            <w:hideMark/>
          </w:tcPr>
          <w:p w14:paraId="0C3F89F3"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342 - 348</w:t>
            </w:r>
          </w:p>
        </w:tc>
        <w:tc>
          <w:tcPr>
            <w:tcW w:w="1417" w:type="dxa"/>
            <w:tcBorders>
              <w:top w:val="nil"/>
              <w:left w:val="nil"/>
              <w:bottom w:val="nil"/>
              <w:right w:val="nil"/>
            </w:tcBorders>
            <w:shd w:val="clear" w:color="auto" w:fill="auto"/>
            <w:vAlign w:val="center"/>
            <w:hideMark/>
          </w:tcPr>
          <w:p w14:paraId="0C3F89F4"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349 - 355</w:t>
            </w:r>
          </w:p>
        </w:tc>
        <w:tc>
          <w:tcPr>
            <w:tcW w:w="1276" w:type="dxa"/>
            <w:tcBorders>
              <w:top w:val="nil"/>
              <w:left w:val="nil"/>
              <w:bottom w:val="nil"/>
              <w:right w:val="nil"/>
            </w:tcBorders>
            <w:shd w:val="clear" w:color="auto" w:fill="auto"/>
            <w:vAlign w:val="center"/>
            <w:hideMark/>
          </w:tcPr>
          <w:p w14:paraId="0C3F89F5"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356 - 362</w:t>
            </w:r>
          </w:p>
        </w:tc>
        <w:tc>
          <w:tcPr>
            <w:tcW w:w="1418" w:type="dxa"/>
            <w:tcBorders>
              <w:top w:val="nil"/>
              <w:left w:val="nil"/>
              <w:bottom w:val="nil"/>
              <w:right w:val="nil"/>
            </w:tcBorders>
            <w:shd w:val="clear" w:color="auto" w:fill="auto"/>
            <w:vAlign w:val="center"/>
            <w:hideMark/>
          </w:tcPr>
          <w:p w14:paraId="0C3F89F6"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363 - 004</w:t>
            </w:r>
          </w:p>
        </w:tc>
        <w:tc>
          <w:tcPr>
            <w:tcW w:w="1417" w:type="dxa"/>
            <w:tcBorders>
              <w:top w:val="nil"/>
              <w:left w:val="nil"/>
              <w:bottom w:val="nil"/>
              <w:right w:val="nil"/>
            </w:tcBorders>
            <w:shd w:val="clear" w:color="auto" w:fill="auto"/>
            <w:vAlign w:val="center"/>
            <w:hideMark/>
          </w:tcPr>
          <w:p w14:paraId="0C3F89F7"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005 - 011</w:t>
            </w:r>
          </w:p>
        </w:tc>
      </w:tr>
      <w:tr w:rsidR="00B6457B" w:rsidRPr="00DF1C49" w14:paraId="0C3F8A00" w14:textId="77777777" w:rsidTr="00393ABA">
        <w:trPr>
          <w:trHeight w:val="300"/>
        </w:trPr>
        <w:tc>
          <w:tcPr>
            <w:tcW w:w="724" w:type="dxa"/>
            <w:tcBorders>
              <w:top w:val="nil"/>
              <w:left w:val="nil"/>
              <w:bottom w:val="nil"/>
              <w:right w:val="nil"/>
            </w:tcBorders>
            <w:shd w:val="clear" w:color="auto" w:fill="auto"/>
            <w:vAlign w:val="center"/>
            <w:hideMark/>
          </w:tcPr>
          <w:p w14:paraId="0C3F89F9"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Dates</w:t>
            </w:r>
          </w:p>
        </w:tc>
        <w:tc>
          <w:tcPr>
            <w:tcW w:w="1418" w:type="dxa"/>
            <w:tcBorders>
              <w:top w:val="nil"/>
              <w:left w:val="nil"/>
              <w:bottom w:val="nil"/>
              <w:right w:val="nil"/>
            </w:tcBorders>
            <w:shd w:val="clear" w:color="auto" w:fill="auto"/>
            <w:vAlign w:val="center"/>
            <w:hideMark/>
          </w:tcPr>
          <w:p w14:paraId="0C3F89FA"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1 - 7 Dec</w:t>
            </w:r>
          </w:p>
        </w:tc>
        <w:tc>
          <w:tcPr>
            <w:tcW w:w="1559" w:type="dxa"/>
            <w:tcBorders>
              <w:top w:val="nil"/>
              <w:left w:val="nil"/>
              <w:bottom w:val="nil"/>
              <w:right w:val="nil"/>
            </w:tcBorders>
            <w:shd w:val="clear" w:color="auto" w:fill="auto"/>
            <w:vAlign w:val="center"/>
            <w:hideMark/>
          </w:tcPr>
          <w:p w14:paraId="0C3F89FB"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8 - 14 Dec</w:t>
            </w:r>
          </w:p>
        </w:tc>
        <w:tc>
          <w:tcPr>
            <w:tcW w:w="1417" w:type="dxa"/>
            <w:tcBorders>
              <w:top w:val="nil"/>
              <w:left w:val="nil"/>
              <w:bottom w:val="nil"/>
              <w:right w:val="nil"/>
            </w:tcBorders>
            <w:shd w:val="clear" w:color="auto" w:fill="auto"/>
            <w:vAlign w:val="center"/>
            <w:hideMark/>
          </w:tcPr>
          <w:p w14:paraId="0C3F89FC"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15 - 21 Dec</w:t>
            </w:r>
          </w:p>
        </w:tc>
        <w:tc>
          <w:tcPr>
            <w:tcW w:w="1276" w:type="dxa"/>
            <w:tcBorders>
              <w:top w:val="nil"/>
              <w:left w:val="nil"/>
              <w:bottom w:val="nil"/>
              <w:right w:val="nil"/>
            </w:tcBorders>
            <w:shd w:val="clear" w:color="auto" w:fill="auto"/>
            <w:vAlign w:val="center"/>
            <w:hideMark/>
          </w:tcPr>
          <w:p w14:paraId="0C3F89FD"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22 - 28 Dec</w:t>
            </w:r>
          </w:p>
        </w:tc>
        <w:tc>
          <w:tcPr>
            <w:tcW w:w="1418" w:type="dxa"/>
            <w:tcBorders>
              <w:top w:val="nil"/>
              <w:left w:val="nil"/>
              <w:bottom w:val="nil"/>
              <w:right w:val="nil"/>
            </w:tcBorders>
            <w:shd w:val="clear" w:color="auto" w:fill="auto"/>
            <w:vAlign w:val="center"/>
            <w:hideMark/>
          </w:tcPr>
          <w:p w14:paraId="0C3F89FE"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29 Dec - 4 Jan</w:t>
            </w:r>
          </w:p>
        </w:tc>
        <w:tc>
          <w:tcPr>
            <w:tcW w:w="1417" w:type="dxa"/>
            <w:tcBorders>
              <w:top w:val="nil"/>
              <w:left w:val="nil"/>
              <w:bottom w:val="nil"/>
              <w:right w:val="nil"/>
            </w:tcBorders>
            <w:shd w:val="clear" w:color="auto" w:fill="auto"/>
            <w:vAlign w:val="center"/>
            <w:hideMark/>
          </w:tcPr>
          <w:p w14:paraId="0C3F89FF"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5 - 11 Jan</w:t>
            </w:r>
          </w:p>
        </w:tc>
      </w:tr>
      <w:tr w:rsidR="00B6457B" w:rsidRPr="00DF1C49" w14:paraId="0C3F8A08" w14:textId="77777777" w:rsidTr="00393ABA">
        <w:trPr>
          <w:trHeight w:val="300"/>
        </w:trPr>
        <w:tc>
          <w:tcPr>
            <w:tcW w:w="724" w:type="dxa"/>
            <w:tcBorders>
              <w:top w:val="nil"/>
              <w:left w:val="nil"/>
              <w:bottom w:val="single" w:sz="4" w:space="0" w:color="auto"/>
              <w:right w:val="nil"/>
            </w:tcBorders>
            <w:shd w:val="clear" w:color="auto" w:fill="auto"/>
            <w:vAlign w:val="center"/>
            <w:hideMark/>
          </w:tcPr>
          <w:p w14:paraId="0C3F8A01"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Week</w:t>
            </w:r>
          </w:p>
        </w:tc>
        <w:tc>
          <w:tcPr>
            <w:tcW w:w="1418" w:type="dxa"/>
            <w:tcBorders>
              <w:top w:val="nil"/>
              <w:left w:val="nil"/>
              <w:bottom w:val="single" w:sz="4" w:space="0" w:color="auto"/>
              <w:right w:val="nil"/>
            </w:tcBorders>
            <w:shd w:val="clear" w:color="auto" w:fill="auto"/>
            <w:vAlign w:val="center"/>
            <w:hideMark/>
          </w:tcPr>
          <w:p w14:paraId="0C3F8A02"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w:t>
            </w:r>
          </w:p>
        </w:tc>
        <w:tc>
          <w:tcPr>
            <w:tcW w:w="1559" w:type="dxa"/>
            <w:tcBorders>
              <w:top w:val="nil"/>
              <w:left w:val="nil"/>
              <w:bottom w:val="single" w:sz="4" w:space="0" w:color="auto"/>
              <w:right w:val="nil"/>
            </w:tcBorders>
            <w:shd w:val="clear" w:color="auto" w:fill="auto"/>
            <w:vAlign w:val="center"/>
            <w:hideMark/>
          </w:tcPr>
          <w:p w14:paraId="0C3F8A03"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2</w:t>
            </w:r>
          </w:p>
        </w:tc>
        <w:tc>
          <w:tcPr>
            <w:tcW w:w="1417" w:type="dxa"/>
            <w:tcBorders>
              <w:top w:val="nil"/>
              <w:left w:val="nil"/>
              <w:bottom w:val="single" w:sz="4" w:space="0" w:color="auto"/>
              <w:right w:val="nil"/>
            </w:tcBorders>
            <w:shd w:val="clear" w:color="auto" w:fill="auto"/>
            <w:vAlign w:val="center"/>
            <w:hideMark/>
          </w:tcPr>
          <w:p w14:paraId="0C3F8A04"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3</w:t>
            </w:r>
          </w:p>
        </w:tc>
        <w:tc>
          <w:tcPr>
            <w:tcW w:w="1276" w:type="dxa"/>
            <w:tcBorders>
              <w:top w:val="nil"/>
              <w:left w:val="nil"/>
              <w:bottom w:val="single" w:sz="4" w:space="0" w:color="auto"/>
              <w:right w:val="nil"/>
            </w:tcBorders>
            <w:shd w:val="clear" w:color="auto" w:fill="auto"/>
            <w:vAlign w:val="center"/>
            <w:hideMark/>
          </w:tcPr>
          <w:p w14:paraId="0C3F8A05"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4</w:t>
            </w:r>
          </w:p>
        </w:tc>
        <w:tc>
          <w:tcPr>
            <w:tcW w:w="1418" w:type="dxa"/>
            <w:tcBorders>
              <w:top w:val="nil"/>
              <w:left w:val="nil"/>
              <w:bottom w:val="single" w:sz="4" w:space="0" w:color="auto"/>
              <w:right w:val="nil"/>
            </w:tcBorders>
            <w:shd w:val="clear" w:color="auto" w:fill="auto"/>
            <w:vAlign w:val="center"/>
            <w:hideMark/>
          </w:tcPr>
          <w:p w14:paraId="0C3F8A06"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5</w:t>
            </w:r>
          </w:p>
        </w:tc>
        <w:tc>
          <w:tcPr>
            <w:tcW w:w="1417" w:type="dxa"/>
            <w:tcBorders>
              <w:top w:val="nil"/>
              <w:left w:val="nil"/>
              <w:bottom w:val="single" w:sz="4" w:space="0" w:color="auto"/>
              <w:right w:val="nil"/>
            </w:tcBorders>
            <w:shd w:val="clear" w:color="auto" w:fill="auto"/>
            <w:vAlign w:val="center"/>
            <w:hideMark/>
          </w:tcPr>
          <w:p w14:paraId="0C3F8A07"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6</w:t>
            </w:r>
          </w:p>
        </w:tc>
      </w:tr>
      <w:tr w:rsidR="00B6457B" w:rsidRPr="00DF1C49" w14:paraId="0C3F8A10" w14:textId="77777777" w:rsidTr="00393ABA">
        <w:trPr>
          <w:trHeight w:val="300"/>
        </w:trPr>
        <w:tc>
          <w:tcPr>
            <w:tcW w:w="724" w:type="dxa"/>
            <w:tcBorders>
              <w:top w:val="nil"/>
              <w:left w:val="nil"/>
              <w:bottom w:val="nil"/>
              <w:right w:val="nil"/>
            </w:tcBorders>
            <w:shd w:val="clear" w:color="auto" w:fill="auto"/>
            <w:vAlign w:val="center"/>
            <w:hideMark/>
          </w:tcPr>
          <w:p w14:paraId="0C3F8A09"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Days</w:t>
            </w:r>
          </w:p>
        </w:tc>
        <w:tc>
          <w:tcPr>
            <w:tcW w:w="1418" w:type="dxa"/>
            <w:tcBorders>
              <w:top w:val="nil"/>
              <w:left w:val="nil"/>
              <w:bottom w:val="nil"/>
              <w:right w:val="nil"/>
            </w:tcBorders>
            <w:shd w:val="clear" w:color="auto" w:fill="auto"/>
            <w:vAlign w:val="center"/>
            <w:hideMark/>
          </w:tcPr>
          <w:p w14:paraId="0C3F8A0A"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012 - 018</w:t>
            </w:r>
          </w:p>
        </w:tc>
        <w:tc>
          <w:tcPr>
            <w:tcW w:w="1559" w:type="dxa"/>
            <w:tcBorders>
              <w:top w:val="nil"/>
              <w:left w:val="nil"/>
              <w:bottom w:val="nil"/>
              <w:right w:val="nil"/>
            </w:tcBorders>
            <w:shd w:val="clear" w:color="auto" w:fill="auto"/>
            <w:vAlign w:val="center"/>
            <w:hideMark/>
          </w:tcPr>
          <w:p w14:paraId="0C3F8A0B"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019 - 025</w:t>
            </w:r>
          </w:p>
        </w:tc>
        <w:tc>
          <w:tcPr>
            <w:tcW w:w="1417" w:type="dxa"/>
            <w:tcBorders>
              <w:top w:val="nil"/>
              <w:left w:val="nil"/>
              <w:bottom w:val="nil"/>
              <w:right w:val="nil"/>
            </w:tcBorders>
            <w:shd w:val="clear" w:color="auto" w:fill="auto"/>
            <w:vAlign w:val="center"/>
            <w:hideMark/>
          </w:tcPr>
          <w:p w14:paraId="0C3F8A0C"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026 - 032</w:t>
            </w:r>
          </w:p>
        </w:tc>
        <w:tc>
          <w:tcPr>
            <w:tcW w:w="1276" w:type="dxa"/>
            <w:tcBorders>
              <w:top w:val="nil"/>
              <w:left w:val="nil"/>
              <w:bottom w:val="nil"/>
              <w:right w:val="nil"/>
            </w:tcBorders>
            <w:shd w:val="clear" w:color="auto" w:fill="auto"/>
            <w:vAlign w:val="center"/>
            <w:hideMark/>
          </w:tcPr>
          <w:p w14:paraId="0C3F8A0D"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033 - 039</w:t>
            </w:r>
          </w:p>
        </w:tc>
        <w:tc>
          <w:tcPr>
            <w:tcW w:w="1418" w:type="dxa"/>
            <w:tcBorders>
              <w:top w:val="nil"/>
              <w:left w:val="nil"/>
              <w:bottom w:val="nil"/>
              <w:right w:val="nil"/>
            </w:tcBorders>
            <w:shd w:val="clear" w:color="auto" w:fill="auto"/>
            <w:vAlign w:val="center"/>
            <w:hideMark/>
          </w:tcPr>
          <w:p w14:paraId="0C3F8A0E"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040 - 046</w:t>
            </w:r>
          </w:p>
        </w:tc>
        <w:tc>
          <w:tcPr>
            <w:tcW w:w="1417" w:type="dxa"/>
            <w:tcBorders>
              <w:top w:val="nil"/>
              <w:left w:val="nil"/>
              <w:bottom w:val="nil"/>
              <w:right w:val="nil"/>
            </w:tcBorders>
            <w:shd w:val="clear" w:color="auto" w:fill="auto"/>
            <w:vAlign w:val="center"/>
            <w:hideMark/>
          </w:tcPr>
          <w:p w14:paraId="0C3F8A0F"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047 - 053</w:t>
            </w:r>
          </w:p>
        </w:tc>
      </w:tr>
      <w:tr w:rsidR="00B6457B" w:rsidRPr="00DF1C49" w14:paraId="0C3F8A18" w14:textId="77777777" w:rsidTr="00393ABA">
        <w:trPr>
          <w:trHeight w:val="300"/>
        </w:trPr>
        <w:tc>
          <w:tcPr>
            <w:tcW w:w="724" w:type="dxa"/>
            <w:tcBorders>
              <w:top w:val="nil"/>
              <w:left w:val="nil"/>
              <w:bottom w:val="nil"/>
              <w:right w:val="nil"/>
            </w:tcBorders>
            <w:shd w:val="clear" w:color="auto" w:fill="auto"/>
            <w:vAlign w:val="center"/>
            <w:hideMark/>
          </w:tcPr>
          <w:p w14:paraId="0C3F8A11"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Dates</w:t>
            </w:r>
          </w:p>
        </w:tc>
        <w:tc>
          <w:tcPr>
            <w:tcW w:w="1418" w:type="dxa"/>
            <w:tcBorders>
              <w:top w:val="nil"/>
              <w:left w:val="nil"/>
              <w:bottom w:val="nil"/>
              <w:right w:val="nil"/>
            </w:tcBorders>
            <w:shd w:val="clear" w:color="auto" w:fill="auto"/>
            <w:vAlign w:val="center"/>
            <w:hideMark/>
          </w:tcPr>
          <w:p w14:paraId="0C3F8A12"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12 - 18 Jan</w:t>
            </w:r>
          </w:p>
        </w:tc>
        <w:tc>
          <w:tcPr>
            <w:tcW w:w="1559" w:type="dxa"/>
            <w:tcBorders>
              <w:top w:val="nil"/>
              <w:left w:val="nil"/>
              <w:bottom w:val="nil"/>
              <w:right w:val="nil"/>
            </w:tcBorders>
            <w:shd w:val="clear" w:color="auto" w:fill="auto"/>
            <w:vAlign w:val="center"/>
            <w:hideMark/>
          </w:tcPr>
          <w:p w14:paraId="0C3F8A13"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19 - 25 Jan</w:t>
            </w:r>
          </w:p>
        </w:tc>
        <w:tc>
          <w:tcPr>
            <w:tcW w:w="1417" w:type="dxa"/>
            <w:tcBorders>
              <w:top w:val="nil"/>
              <w:left w:val="nil"/>
              <w:bottom w:val="nil"/>
              <w:right w:val="nil"/>
            </w:tcBorders>
            <w:shd w:val="clear" w:color="auto" w:fill="auto"/>
            <w:vAlign w:val="center"/>
            <w:hideMark/>
          </w:tcPr>
          <w:p w14:paraId="0C3F8A14"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26 Jan - 1 Feb</w:t>
            </w:r>
          </w:p>
        </w:tc>
        <w:tc>
          <w:tcPr>
            <w:tcW w:w="1276" w:type="dxa"/>
            <w:tcBorders>
              <w:top w:val="nil"/>
              <w:left w:val="nil"/>
              <w:bottom w:val="nil"/>
              <w:right w:val="nil"/>
            </w:tcBorders>
            <w:shd w:val="clear" w:color="auto" w:fill="auto"/>
            <w:vAlign w:val="center"/>
            <w:hideMark/>
          </w:tcPr>
          <w:p w14:paraId="0C3F8A15"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2 - 8 Feb</w:t>
            </w:r>
          </w:p>
        </w:tc>
        <w:tc>
          <w:tcPr>
            <w:tcW w:w="1418" w:type="dxa"/>
            <w:tcBorders>
              <w:top w:val="nil"/>
              <w:left w:val="nil"/>
              <w:bottom w:val="nil"/>
              <w:right w:val="nil"/>
            </w:tcBorders>
            <w:shd w:val="clear" w:color="auto" w:fill="auto"/>
            <w:vAlign w:val="center"/>
            <w:hideMark/>
          </w:tcPr>
          <w:p w14:paraId="0C3F8A16"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9 - 15 Feb</w:t>
            </w:r>
          </w:p>
        </w:tc>
        <w:tc>
          <w:tcPr>
            <w:tcW w:w="1417" w:type="dxa"/>
            <w:tcBorders>
              <w:top w:val="nil"/>
              <w:left w:val="nil"/>
              <w:bottom w:val="nil"/>
              <w:right w:val="nil"/>
            </w:tcBorders>
            <w:shd w:val="clear" w:color="auto" w:fill="auto"/>
            <w:vAlign w:val="center"/>
            <w:hideMark/>
          </w:tcPr>
          <w:p w14:paraId="0C3F8A17"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16 - 22 Feb</w:t>
            </w:r>
          </w:p>
        </w:tc>
      </w:tr>
      <w:tr w:rsidR="00B6457B" w:rsidRPr="00DF1C49" w14:paraId="0C3F8A20" w14:textId="77777777" w:rsidTr="00393ABA">
        <w:trPr>
          <w:trHeight w:val="300"/>
        </w:trPr>
        <w:tc>
          <w:tcPr>
            <w:tcW w:w="724" w:type="dxa"/>
            <w:tcBorders>
              <w:top w:val="nil"/>
              <w:left w:val="nil"/>
              <w:bottom w:val="single" w:sz="4" w:space="0" w:color="auto"/>
              <w:right w:val="nil"/>
            </w:tcBorders>
            <w:shd w:val="clear" w:color="auto" w:fill="auto"/>
            <w:vAlign w:val="center"/>
            <w:hideMark/>
          </w:tcPr>
          <w:p w14:paraId="0C3F8A19"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Week</w:t>
            </w:r>
          </w:p>
        </w:tc>
        <w:tc>
          <w:tcPr>
            <w:tcW w:w="1418" w:type="dxa"/>
            <w:tcBorders>
              <w:top w:val="nil"/>
              <w:left w:val="nil"/>
              <w:bottom w:val="single" w:sz="4" w:space="0" w:color="auto"/>
              <w:right w:val="nil"/>
            </w:tcBorders>
            <w:shd w:val="clear" w:color="auto" w:fill="auto"/>
            <w:vAlign w:val="center"/>
            <w:hideMark/>
          </w:tcPr>
          <w:p w14:paraId="0C3F8A1A"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7</w:t>
            </w:r>
          </w:p>
        </w:tc>
        <w:tc>
          <w:tcPr>
            <w:tcW w:w="1559" w:type="dxa"/>
            <w:tcBorders>
              <w:top w:val="nil"/>
              <w:left w:val="nil"/>
              <w:bottom w:val="single" w:sz="4" w:space="0" w:color="auto"/>
              <w:right w:val="nil"/>
            </w:tcBorders>
            <w:shd w:val="clear" w:color="auto" w:fill="auto"/>
            <w:vAlign w:val="center"/>
            <w:hideMark/>
          </w:tcPr>
          <w:p w14:paraId="0C3F8A1B"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8</w:t>
            </w:r>
          </w:p>
        </w:tc>
        <w:tc>
          <w:tcPr>
            <w:tcW w:w="1417" w:type="dxa"/>
            <w:tcBorders>
              <w:top w:val="nil"/>
              <w:left w:val="nil"/>
              <w:bottom w:val="single" w:sz="4" w:space="0" w:color="auto"/>
              <w:right w:val="nil"/>
            </w:tcBorders>
            <w:shd w:val="clear" w:color="auto" w:fill="auto"/>
            <w:vAlign w:val="center"/>
            <w:hideMark/>
          </w:tcPr>
          <w:p w14:paraId="0C3F8A1C"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9</w:t>
            </w:r>
          </w:p>
        </w:tc>
        <w:tc>
          <w:tcPr>
            <w:tcW w:w="1276" w:type="dxa"/>
            <w:tcBorders>
              <w:top w:val="nil"/>
              <w:left w:val="nil"/>
              <w:bottom w:val="single" w:sz="4" w:space="0" w:color="auto"/>
              <w:right w:val="nil"/>
            </w:tcBorders>
            <w:shd w:val="clear" w:color="auto" w:fill="auto"/>
            <w:vAlign w:val="center"/>
            <w:hideMark/>
          </w:tcPr>
          <w:p w14:paraId="0C3F8A1D"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10</w:t>
            </w:r>
          </w:p>
        </w:tc>
        <w:tc>
          <w:tcPr>
            <w:tcW w:w="1418" w:type="dxa"/>
            <w:tcBorders>
              <w:top w:val="nil"/>
              <w:left w:val="nil"/>
              <w:bottom w:val="single" w:sz="4" w:space="0" w:color="auto"/>
              <w:right w:val="nil"/>
            </w:tcBorders>
            <w:shd w:val="clear" w:color="auto" w:fill="auto"/>
            <w:vAlign w:val="center"/>
            <w:hideMark/>
          </w:tcPr>
          <w:p w14:paraId="0C3F8A1E"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11</w:t>
            </w:r>
          </w:p>
        </w:tc>
        <w:tc>
          <w:tcPr>
            <w:tcW w:w="1417" w:type="dxa"/>
            <w:tcBorders>
              <w:top w:val="nil"/>
              <w:left w:val="nil"/>
              <w:bottom w:val="single" w:sz="4" w:space="0" w:color="auto"/>
              <w:right w:val="nil"/>
            </w:tcBorders>
            <w:shd w:val="clear" w:color="auto" w:fill="auto"/>
            <w:vAlign w:val="center"/>
            <w:hideMark/>
          </w:tcPr>
          <w:p w14:paraId="0C3F8A1F"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12</w:t>
            </w:r>
          </w:p>
        </w:tc>
      </w:tr>
      <w:tr w:rsidR="00B6457B" w:rsidRPr="00DF1C49" w14:paraId="0C3F8A28" w14:textId="77777777" w:rsidTr="00393ABA">
        <w:trPr>
          <w:trHeight w:val="300"/>
        </w:trPr>
        <w:tc>
          <w:tcPr>
            <w:tcW w:w="724" w:type="dxa"/>
            <w:tcBorders>
              <w:top w:val="nil"/>
              <w:left w:val="nil"/>
              <w:bottom w:val="nil"/>
              <w:right w:val="nil"/>
            </w:tcBorders>
            <w:shd w:val="clear" w:color="auto" w:fill="auto"/>
            <w:vAlign w:val="center"/>
            <w:hideMark/>
          </w:tcPr>
          <w:p w14:paraId="0C3F8A21"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 xml:space="preserve">Julian </w:t>
            </w:r>
          </w:p>
        </w:tc>
        <w:tc>
          <w:tcPr>
            <w:tcW w:w="1418" w:type="dxa"/>
            <w:tcBorders>
              <w:top w:val="nil"/>
              <w:left w:val="nil"/>
              <w:bottom w:val="nil"/>
              <w:right w:val="nil"/>
            </w:tcBorders>
            <w:shd w:val="clear" w:color="auto" w:fill="auto"/>
            <w:vAlign w:val="center"/>
            <w:hideMark/>
          </w:tcPr>
          <w:p w14:paraId="0C3F8A22"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054 - 060</w:t>
            </w:r>
          </w:p>
        </w:tc>
        <w:tc>
          <w:tcPr>
            <w:tcW w:w="1559" w:type="dxa"/>
            <w:tcBorders>
              <w:top w:val="nil"/>
              <w:left w:val="nil"/>
              <w:bottom w:val="nil"/>
              <w:right w:val="nil"/>
            </w:tcBorders>
            <w:shd w:val="clear" w:color="auto" w:fill="auto"/>
            <w:vAlign w:val="center"/>
            <w:hideMark/>
          </w:tcPr>
          <w:p w14:paraId="0C3F8A23"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061 - 067</w:t>
            </w:r>
          </w:p>
        </w:tc>
        <w:tc>
          <w:tcPr>
            <w:tcW w:w="1417" w:type="dxa"/>
            <w:tcBorders>
              <w:top w:val="nil"/>
              <w:left w:val="nil"/>
              <w:bottom w:val="nil"/>
              <w:right w:val="nil"/>
            </w:tcBorders>
            <w:shd w:val="clear" w:color="auto" w:fill="auto"/>
            <w:vAlign w:val="center"/>
            <w:hideMark/>
          </w:tcPr>
          <w:p w14:paraId="0C3F8A24"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068 - 074</w:t>
            </w:r>
          </w:p>
        </w:tc>
        <w:tc>
          <w:tcPr>
            <w:tcW w:w="1276" w:type="dxa"/>
            <w:tcBorders>
              <w:top w:val="nil"/>
              <w:left w:val="nil"/>
              <w:bottom w:val="nil"/>
              <w:right w:val="nil"/>
            </w:tcBorders>
            <w:shd w:val="clear" w:color="auto" w:fill="auto"/>
            <w:vAlign w:val="center"/>
            <w:hideMark/>
          </w:tcPr>
          <w:p w14:paraId="0C3F8A25"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075 - 081</w:t>
            </w:r>
          </w:p>
        </w:tc>
        <w:tc>
          <w:tcPr>
            <w:tcW w:w="1418" w:type="dxa"/>
            <w:tcBorders>
              <w:top w:val="nil"/>
              <w:left w:val="nil"/>
              <w:bottom w:val="nil"/>
              <w:right w:val="nil"/>
            </w:tcBorders>
            <w:shd w:val="clear" w:color="auto" w:fill="auto"/>
            <w:vAlign w:val="center"/>
            <w:hideMark/>
          </w:tcPr>
          <w:p w14:paraId="0C3F8A26"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082 - 088</w:t>
            </w:r>
          </w:p>
        </w:tc>
        <w:tc>
          <w:tcPr>
            <w:tcW w:w="1417" w:type="dxa"/>
            <w:tcBorders>
              <w:top w:val="nil"/>
              <w:left w:val="nil"/>
              <w:bottom w:val="nil"/>
              <w:right w:val="nil"/>
            </w:tcBorders>
            <w:shd w:val="clear" w:color="auto" w:fill="auto"/>
            <w:vAlign w:val="center"/>
            <w:hideMark/>
          </w:tcPr>
          <w:p w14:paraId="0C3F8A27"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089 - 095</w:t>
            </w:r>
          </w:p>
        </w:tc>
      </w:tr>
      <w:tr w:rsidR="00B6457B" w:rsidRPr="00DF1C49" w14:paraId="0C3F8A30" w14:textId="77777777" w:rsidTr="00393ABA">
        <w:trPr>
          <w:trHeight w:val="300"/>
        </w:trPr>
        <w:tc>
          <w:tcPr>
            <w:tcW w:w="724" w:type="dxa"/>
            <w:tcBorders>
              <w:top w:val="nil"/>
              <w:left w:val="nil"/>
              <w:bottom w:val="nil"/>
              <w:right w:val="nil"/>
            </w:tcBorders>
            <w:shd w:val="clear" w:color="auto" w:fill="auto"/>
            <w:vAlign w:val="center"/>
            <w:hideMark/>
          </w:tcPr>
          <w:p w14:paraId="0C3F8A29"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Dates</w:t>
            </w:r>
          </w:p>
        </w:tc>
        <w:tc>
          <w:tcPr>
            <w:tcW w:w="1418" w:type="dxa"/>
            <w:tcBorders>
              <w:top w:val="nil"/>
              <w:left w:val="nil"/>
              <w:bottom w:val="nil"/>
              <w:right w:val="nil"/>
            </w:tcBorders>
            <w:shd w:val="clear" w:color="auto" w:fill="auto"/>
            <w:vAlign w:val="center"/>
            <w:hideMark/>
          </w:tcPr>
          <w:p w14:paraId="0C3F8A2A"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23 Feb - 1 Mar</w:t>
            </w:r>
          </w:p>
        </w:tc>
        <w:tc>
          <w:tcPr>
            <w:tcW w:w="1559" w:type="dxa"/>
            <w:tcBorders>
              <w:top w:val="nil"/>
              <w:left w:val="nil"/>
              <w:bottom w:val="nil"/>
              <w:right w:val="nil"/>
            </w:tcBorders>
            <w:shd w:val="clear" w:color="auto" w:fill="auto"/>
            <w:vAlign w:val="center"/>
            <w:hideMark/>
          </w:tcPr>
          <w:p w14:paraId="0C3F8A2B"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2 - 8 Mar</w:t>
            </w:r>
          </w:p>
        </w:tc>
        <w:tc>
          <w:tcPr>
            <w:tcW w:w="1417" w:type="dxa"/>
            <w:tcBorders>
              <w:top w:val="nil"/>
              <w:left w:val="nil"/>
              <w:bottom w:val="nil"/>
              <w:right w:val="nil"/>
            </w:tcBorders>
            <w:shd w:val="clear" w:color="auto" w:fill="auto"/>
            <w:vAlign w:val="center"/>
            <w:hideMark/>
          </w:tcPr>
          <w:p w14:paraId="0C3F8A2C"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9 - 15 Mar</w:t>
            </w:r>
          </w:p>
        </w:tc>
        <w:tc>
          <w:tcPr>
            <w:tcW w:w="1276" w:type="dxa"/>
            <w:tcBorders>
              <w:top w:val="nil"/>
              <w:left w:val="nil"/>
              <w:bottom w:val="nil"/>
              <w:right w:val="nil"/>
            </w:tcBorders>
            <w:shd w:val="clear" w:color="auto" w:fill="auto"/>
            <w:vAlign w:val="center"/>
            <w:hideMark/>
          </w:tcPr>
          <w:p w14:paraId="0C3F8A2D"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16 - 22 Mar</w:t>
            </w:r>
          </w:p>
        </w:tc>
        <w:tc>
          <w:tcPr>
            <w:tcW w:w="1418" w:type="dxa"/>
            <w:tcBorders>
              <w:top w:val="nil"/>
              <w:left w:val="nil"/>
              <w:bottom w:val="nil"/>
              <w:right w:val="nil"/>
            </w:tcBorders>
            <w:shd w:val="clear" w:color="auto" w:fill="auto"/>
            <w:vAlign w:val="center"/>
            <w:hideMark/>
          </w:tcPr>
          <w:p w14:paraId="0C3F8A2E"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23 - 29 Mar</w:t>
            </w:r>
          </w:p>
        </w:tc>
        <w:tc>
          <w:tcPr>
            <w:tcW w:w="1417" w:type="dxa"/>
            <w:tcBorders>
              <w:top w:val="nil"/>
              <w:left w:val="nil"/>
              <w:bottom w:val="nil"/>
              <w:right w:val="nil"/>
            </w:tcBorders>
            <w:shd w:val="clear" w:color="auto" w:fill="auto"/>
            <w:vAlign w:val="center"/>
            <w:hideMark/>
          </w:tcPr>
          <w:p w14:paraId="0C3F8A2F"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30 Mar - 5 Apr</w:t>
            </w:r>
          </w:p>
        </w:tc>
      </w:tr>
      <w:tr w:rsidR="00B6457B" w:rsidRPr="00DF1C49" w14:paraId="0C3F8A38" w14:textId="77777777" w:rsidTr="00393ABA">
        <w:trPr>
          <w:trHeight w:val="300"/>
        </w:trPr>
        <w:tc>
          <w:tcPr>
            <w:tcW w:w="724" w:type="dxa"/>
            <w:tcBorders>
              <w:top w:val="nil"/>
              <w:left w:val="nil"/>
              <w:bottom w:val="single" w:sz="4" w:space="0" w:color="auto"/>
              <w:right w:val="nil"/>
            </w:tcBorders>
            <w:shd w:val="clear" w:color="auto" w:fill="auto"/>
            <w:vAlign w:val="center"/>
            <w:hideMark/>
          </w:tcPr>
          <w:p w14:paraId="0C3F8A31"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Week</w:t>
            </w:r>
          </w:p>
        </w:tc>
        <w:tc>
          <w:tcPr>
            <w:tcW w:w="1418" w:type="dxa"/>
            <w:tcBorders>
              <w:top w:val="nil"/>
              <w:left w:val="nil"/>
              <w:bottom w:val="single" w:sz="4" w:space="0" w:color="auto"/>
              <w:right w:val="nil"/>
            </w:tcBorders>
            <w:shd w:val="clear" w:color="auto" w:fill="auto"/>
            <w:vAlign w:val="center"/>
            <w:hideMark/>
          </w:tcPr>
          <w:p w14:paraId="0C3F8A32"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13</w:t>
            </w:r>
          </w:p>
        </w:tc>
        <w:tc>
          <w:tcPr>
            <w:tcW w:w="1559" w:type="dxa"/>
            <w:tcBorders>
              <w:top w:val="nil"/>
              <w:left w:val="nil"/>
              <w:bottom w:val="single" w:sz="4" w:space="0" w:color="auto"/>
              <w:right w:val="nil"/>
            </w:tcBorders>
            <w:shd w:val="clear" w:color="auto" w:fill="auto"/>
            <w:vAlign w:val="center"/>
            <w:hideMark/>
          </w:tcPr>
          <w:p w14:paraId="0C3F8A33"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14</w:t>
            </w:r>
          </w:p>
        </w:tc>
        <w:tc>
          <w:tcPr>
            <w:tcW w:w="1417" w:type="dxa"/>
            <w:tcBorders>
              <w:top w:val="nil"/>
              <w:left w:val="nil"/>
              <w:bottom w:val="single" w:sz="4" w:space="0" w:color="auto"/>
              <w:right w:val="nil"/>
            </w:tcBorders>
            <w:shd w:val="clear" w:color="auto" w:fill="auto"/>
            <w:vAlign w:val="center"/>
            <w:hideMark/>
          </w:tcPr>
          <w:p w14:paraId="0C3F8A34"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15</w:t>
            </w:r>
          </w:p>
        </w:tc>
        <w:tc>
          <w:tcPr>
            <w:tcW w:w="1276" w:type="dxa"/>
            <w:tcBorders>
              <w:top w:val="nil"/>
              <w:left w:val="nil"/>
              <w:bottom w:val="single" w:sz="4" w:space="0" w:color="auto"/>
              <w:right w:val="nil"/>
            </w:tcBorders>
            <w:shd w:val="clear" w:color="auto" w:fill="auto"/>
            <w:vAlign w:val="center"/>
            <w:hideMark/>
          </w:tcPr>
          <w:p w14:paraId="0C3F8A35"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16</w:t>
            </w:r>
          </w:p>
        </w:tc>
        <w:tc>
          <w:tcPr>
            <w:tcW w:w="1418" w:type="dxa"/>
            <w:tcBorders>
              <w:top w:val="nil"/>
              <w:left w:val="nil"/>
              <w:bottom w:val="single" w:sz="4" w:space="0" w:color="auto"/>
              <w:right w:val="nil"/>
            </w:tcBorders>
            <w:shd w:val="clear" w:color="auto" w:fill="auto"/>
            <w:vAlign w:val="center"/>
            <w:hideMark/>
          </w:tcPr>
          <w:p w14:paraId="0C3F8A36"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17</w:t>
            </w:r>
          </w:p>
        </w:tc>
        <w:tc>
          <w:tcPr>
            <w:tcW w:w="1417" w:type="dxa"/>
            <w:tcBorders>
              <w:top w:val="nil"/>
              <w:left w:val="nil"/>
              <w:bottom w:val="single" w:sz="4" w:space="0" w:color="auto"/>
              <w:right w:val="nil"/>
            </w:tcBorders>
            <w:shd w:val="clear" w:color="auto" w:fill="auto"/>
            <w:vAlign w:val="center"/>
            <w:hideMark/>
          </w:tcPr>
          <w:p w14:paraId="0C3F8A37"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18</w:t>
            </w:r>
          </w:p>
        </w:tc>
      </w:tr>
      <w:tr w:rsidR="00B6457B" w:rsidRPr="00DF1C49" w14:paraId="0C3F8A40" w14:textId="77777777" w:rsidTr="00393ABA">
        <w:trPr>
          <w:trHeight w:val="300"/>
        </w:trPr>
        <w:tc>
          <w:tcPr>
            <w:tcW w:w="724" w:type="dxa"/>
            <w:tcBorders>
              <w:top w:val="nil"/>
              <w:left w:val="nil"/>
              <w:bottom w:val="nil"/>
              <w:right w:val="nil"/>
            </w:tcBorders>
            <w:shd w:val="clear" w:color="auto" w:fill="auto"/>
            <w:vAlign w:val="center"/>
            <w:hideMark/>
          </w:tcPr>
          <w:p w14:paraId="0C3F8A39"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 xml:space="preserve">Julian </w:t>
            </w:r>
          </w:p>
        </w:tc>
        <w:tc>
          <w:tcPr>
            <w:tcW w:w="1418" w:type="dxa"/>
            <w:tcBorders>
              <w:top w:val="nil"/>
              <w:left w:val="nil"/>
              <w:bottom w:val="nil"/>
              <w:right w:val="nil"/>
            </w:tcBorders>
            <w:shd w:val="clear" w:color="auto" w:fill="auto"/>
            <w:vAlign w:val="center"/>
            <w:hideMark/>
          </w:tcPr>
          <w:p w14:paraId="0C3F8A3A"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096 - 102</w:t>
            </w:r>
          </w:p>
        </w:tc>
        <w:tc>
          <w:tcPr>
            <w:tcW w:w="1559" w:type="dxa"/>
            <w:tcBorders>
              <w:top w:val="nil"/>
              <w:left w:val="nil"/>
              <w:bottom w:val="nil"/>
              <w:right w:val="nil"/>
            </w:tcBorders>
            <w:shd w:val="clear" w:color="auto" w:fill="auto"/>
            <w:vAlign w:val="center"/>
            <w:hideMark/>
          </w:tcPr>
          <w:p w14:paraId="0C3F8A3B"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103 - 109</w:t>
            </w:r>
          </w:p>
        </w:tc>
        <w:tc>
          <w:tcPr>
            <w:tcW w:w="1417" w:type="dxa"/>
            <w:tcBorders>
              <w:top w:val="nil"/>
              <w:left w:val="nil"/>
              <w:bottom w:val="nil"/>
              <w:right w:val="nil"/>
            </w:tcBorders>
            <w:shd w:val="clear" w:color="auto" w:fill="auto"/>
            <w:vAlign w:val="center"/>
            <w:hideMark/>
          </w:tcPr>
          <w:p w14:paraId="0C3F8A3C"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110 - 116</w:t>
            </w:r>
          </w:p>
        </w:tc>
        <w:tc>
          <w:tcPr>
            <w:tcW w:w="1276" w:type="dxa"/>
            <w:tcBorders>
              <w:top w:val="nil"/>
              <w:left w:val="nil"/>
              <w:bottom w:val="nil"/>
              <w:right w:val="nil"/>
            </w:tcBorders>
            <w:shd w:val="clear" w:color="auto" w:fill="auto"/>
            <w:vAlign w:val="center"/>
            <w:hideMark/>
          </w:tcPr>
          <w:p w14:paraId="0C3F8A3D"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117 - 120</w:t>
            </w:r>
          </w:p>
        </w:tc>
        <w:tc>
          <w:tcPr>
            <w:tcW w:w="1418" w:type="dxa"/>
            <w:tcBorders>
              <w:top w:val="nil"/>
              <w:left w:val="nil"/>
              <w:bottom w:val="nil"/>
              <w:right w:val="nil"/>
            </w:tcBorders>
            <w:shd w:val="clear" w:color="auto" w:fill="auto"/>
            <w:noWrap/>
            <w:vAlign w:val="center"/>
            <w:hideMark/>
          </w:tcPr>
          <w:p w14:paraId="0C3F8A3E" w14:textId="77777777" w:rsidR="00B6457B" w:rsidRPr="00DF1C49" w:rsidRDefault="00B6457B" w:rsidP="00393ABA">
            <w:pPr>
              <w:spacing w:after="120"/>
              <w:jc w:val="center"/>
              <w:rPr>
                <w:rFonts w:ascii="Calibri" w:hAnsi="Calibri" w:cs="Calibri"/>
                <w:color w:val="000000"/>
                <w:sz w:val="20"/>
                <w:szCs w:val="20"/>
              </w:rPr>
            </w:pPr>
          </w:p>
        </w:tc>
        <w:tc>
          <w:tcPr>
            <w:tcW w:w="1417" w:type="dxa"/>
            <w:tcBorders>
              <w:top w:val="nil"/>
              <w:left w:val="nil"/>
              <w:bottom w:val="nil"/>
              <w:right w:val="nil"/>
            </w:tcBorders>
            <w:shd w:val="clear" w:color="auto" w:fill="auto"/>
            <w:noWrap/>
            <w:vAlign w:val="center"/>
            <w:hideMark/>
          </w:tcPr>
          <w:p w14:paraId="0C3F8A3F" w14:textId="77777777" w:rsidR="00B6457B" w:rsidRPr="00DF1C49" w:rsidRDefault="00B6457B" w:rsidP="00393ABA">
            <w:pPr>
              <w:spacing w:after="120"/>
              <w:jc w:val="center"/>
              <w:rPr>
                <w:rFonts w:ascii="Calibri" w:hAnsi="Calibri" w:cs="Calibri"/>
                <w:color w:val="000000"/>
                <w:sz w:val="20"/>
                <w:szCs w:val="20"/>
              </w:rPr>
            </w:pPr>
          </w:p>
        </w:tc>
      </w:tr>
      <w:tr w:rsidR="00B6457B" w:rsidRPr="00DF1C49" w14:paraId="0C3F8A48" w14:textId="77777777" w:rsidTr="00393ABA">
        <w:trPr>
          <w:trHeight w:val="300"/>
        </w:trPr>
        <w:tc>
          <w:tcPr>
            <w:tcW w:w="724" w:type="dxa"/>
            <w:tcBorders>
              <w:top w:val="nil"/>
              <w:left w:val="nil"/>
              <w:bottom w:val="nil"/>
              <w:right w:val="nil"/>
            </w:tcBorders>
            <w:shd w:val="clear" w:color="auto" w:fill="auto"/>
            <w:vAlign w:val="center"/>
            <w:hideMark/>
          </w:tcPr>
          <w:p w14:paraId="0C3F8A41"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Dates</w:t>
            </w:r>
          </w:p>
        </w:tc>
        <w:tc>
          <w:tcPr>
            <w:tcW w:w="1418" w:type="dxa"/>
            <w:tcBorders>
              <w:top w:val="nil"/>
              <w:left w:val="nil"/>
              <w:bottom w:val="nil"/>
              <w:right w:val="nil"/>
            </w:tcBorders>
            <w:shd w:val="clear" w:color="auto" w:fill="auto"/>
            <w:vAlign w:val="center"/>
            <w:hideMark/>
          </w:tcPr>
          <w:p w14:paraId="0C3F8A42"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6 - 12 Apr</w:t>
            </w:r>
          </w:p>
        </w:tc>
        <w:tc>
          <w:tcPr>
            <w:tcW w:w="1559" w:type="dxa"/>
            <w:tcBorders>
              <w:top w:val="nil"/>
              <w:left w:val="nil"/>
              <w:bottom w:val="nil"/>
              <w:right w:val="nil"/>
            </w:tcBorders>
            <w:shd w:val="clear" w:color="auto" w:fill="auto"/>
            <w:vAlign w:val="center"/>
            <w:hideMark/>
          </w:tcPr>
          <w:p w14:paraId="0C3F8A43"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13 - 19 Apr</w:t>
            </w:r>
          </w:p>
        </w:tc>
        <w:tc>
          <w:tcPr>
            <w:tcW w:w="1417" w:type="dxa"/>
            <w:tcBorders>
              <w:top w:val="nil"/>
              <w:left w:val="nil"/>
              <w:bottom w:val="nil"/>
              <w:right w:val="nil"/>
            </w:tcBorders>
            <w:shd w:val="clear" w:color="auto" w:fill="auto"/>
            <w:vAlign w:val="center"/>
            <w:hideMark/>
          </w:tcPr>
          <w:p w14:paraId="0C3F8A44"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20 - 26 Apr</w:t>
            </w:r>
          </w:p>
        </w:tc>
        <w:tc>
          <w:tcPr>
            <w:tcW w:w="1276" w:type="dxa"/>
            <w:tcBorders>
              <w:top w:val="nil"/>
              <w:left w:val="nil"/>
              <w:bottom w:val="nil"/>
              <w:right w:val="nil"/>
            </w:tcBorders>
            <w:shd w:val="clear" w:color="auto" w:fill="auto"/>
            <w:vAlign w:val="center"/>
            <w:hideMark/>
          </w:tcPr>
          <w:p w14:paraId="0C3F8A45" w14:textId="77777777" w:rsidR="00B6457B" w:rsidRPr="00DF1C49" w:rsidRDefault="00B6457B" w:rsidP="00393ABA">
            <w:pPr>
              <w:spacing w:after="120"/>
              <w:jc w:val="center"/>
              <w:rPr>
                <w:rFonts w:ascii="Calibri" w:hAnsi="Calibri" w:cs="Calibri"/>
                <w:color w:val="000000"/>
                <w:sz w:val="20"/>
                <w:szCs w:val="20"/>
              </w:rPr>
            </w:pPr>
            <w:r w:rsidRPr="00DF1C49">
              <w:rPr>
                <w:rFonts w:ascii="Calibri" w:hAnsi="Calibri" w:cs="Calibri"/>
                <w:color w:val="000000"/>
                <w:sz w:val="20"/>
                <w:szCs w:val="20"/>
              </w:rPr>
              <w:t>27 - 30 Apr</w:t>
            </w:r>
          </w:p>
        </w:tc>
        <w:tc>
          <w:tcPr>
            <w:tcW w:w="1418" w:type="dxa"/>
            <w:tcBorders>
              <w:top w:val="nil"/>
              <w:left w:val="nil"/>
              <w:bottom w:val="nil"/>
              <w:right w:val="nil"/>
            </w:tcBorders>
            <w:shd w:val="clear" w:color="auto" w:fill="auto"/>
            <w:noWrap/>
            <w:vAlign w:val="center"/>
            <w:hideMark/>
          </w:tcPr>
          <w:p w14:paraId="0C3F8A46" w14:textId="77777777" w:rsidR="00B6457B" w:rsidRPr="00DF1C49" w:rsidRDefault="00B6457B" w:rsidP="00393ABA">
            <w:pPr>
              <w:spacing w:after="120"/>
              <w:jc w:val="center"/>
              <w:rPr>
                <w:rFonts w:ascii="Calibri" w:hAnsi="Calibri" w:cs="Calibri"/>
                <w:color w:val="000000"/>
                <w:sz w:val="20"/>
                <w:szCs w:val="20"/>
              </w:rPr>
            </w:pPr>
          </w:p>
        </w:tc>
        <w:tc>
          <w:tcPr>
            <w:tcW w:w="1417" w:type="dxa"/>
            <w:tcBorders>
              <w:top w:val="nil"/>
              <w:left w:val="nil"/>
              <w:bottom w:val="nil"/>
              <w:right w:val="nil"/>
            </w:tcBorders>
            <w:shd w:val="clear" w:color="auto" w:fill="auto"/>
            <w:noWrap/>
            <w:vAlign w:val="center"/>
            <w:hideMark/>
          </w:tcPr>
          <w:p w14:paraId="0C3F8A47" w14:textId="77777777" w:rsidR="00B6457B" w:rsidRPr="00DF1C49" w:rsidRDefault="00B6457B" w:rsidP="00393ABA">
            <w:pPr>
              <w:spacing w:after="120"/>
              <w:jc w:val="center"/>
              <w:rPr>
                <w:rFonts w:ascii="Calibri" w:hAnsi="Calibri" w:cs="Calibri"/>
                <w:color w:val="000000"/>
                <w:sz w:val="20"/>
                <w:szCs w:val="20"/>
              </w:rPr>
            </w:pPr>
          </w:p>
        </w:tc>
      </w:tr>
      <w:tr w:rsidR="00B6457B" w:rsidRPr="00DF1C49" w14:paraId="0C3F8A50" w14:textId="77777777" w:rsidTr="00393ABA">
        <w:trPr>
          <w:trHeight w:val="300"/>
        </w:trPr>
        <w:tc>
          <w:tcPr>
            <w:tcW w:w="724" w:type="dxa"/>
            <w:tcBorders>
              <w:top w:val="nil"/>
              <w:left w:val="nil"/>
              <w:bottom w:val="single" w:sz="4" w:space="0" w:color="auto"/>
              <w:right w:val="nil"/>
            </w:tcBorders>
            <w:shd w:val="clear" w:color="auto" w:fill="auto"/>
            <w:vAlign w:val="center"/>
            <w:hideMark/>
          </w:tcPr>
          <w:p w14:paraId="0C3F8A49" w14:textId="77777777" w:rsidR="00B6457B" w:rsidRPr="00DF1C49" w:rsidRDefault="00B6457B" w:rsidP="00393ABA">
            <w:pPr>
              <w:spacing w:after="120"/>
              <w:jc w:val="center"/>
              <w:rPr>
                <w:rFonts w:ascii="Calibri" w:hAnsi="Calibri" w:cs="Calibri"/>
                <w:b/>
                <w:bCs/>
                <w:color w:val="000000"/>
                <w:sz w:val="20"/>
                <w:szCs w:val="20"/>
              </w:rPr>
            </w:pPr>
            <w:r w:rsidRPr="00DF1C49">
              <w:rPr>
                <w:rFonts w:ascii="Calibri" w:hAnsi="Calibri" w:cs="Calibri"/>
                <w:b/>
                <w:bCs/>
                <w:color w:val="000000"/>
                <w:sz w:val="20"/>
                <w:szCs w:val="20"/>
              </w:rPr>
              <w:t>Week</w:t>
            </w:r>
          </w:p>
        </w:tc>
        <w:tc>
          <w:tcPr>
            <w:tcW w:w="1418" w:type="dxa"/>
            <w:tcBorders>
              <w:top w:val="nil"/>
              <w:left w:val="nil"/>
              <w:bottom w:val="single" w:sz="4" w:space="0" w:color="auto"/>
              <w:right w:val="nil"/>
            </w:tcBorders>
            <w:shd w:val="clear" w:color="auto" w:fill="auto"/>
            <w:vAlign w:val="center"/>
            <w:hideMark/>
          </w:tcPr>
          <w:p w14:paraId="0C3F8A4A"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19</w:t>
            </w:r>
          </w:p>
        </w:tc>
        <w:tc>
          <w:tcPr>
            <w:tcW w:w="1559" w:type="dxa"/>
            <w:tcBorders>
              <w:top w:val="nil"/>
              <w:left w:val="nil"/>
              <w:bottom w:val="single" w:sz="4" w:space="0" w:color="auto"/>
              <w:right w:val="nil"/>
            </w:tcBorders>
            <w:shd w:val="clear" w:color="auto" w:fill="auto"/>
            <w:vAlign w:val="center"/>
            <w:hideMark/>
          </w:tcPr>
          <w:p w14:paraId="0C3F8A4B"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20</w:t>
            </w:r>
          </w:p>
        </w:tc>
        <w:tc>
          <w:tcPr>
            <w:tcW w:w="1417" w:type="dxa"/>
            <w:tcBorders>
              <w:top w:val="nil"/>
              <w:left w:val="nil"/>
              <w:bottom w:val="single" w:sz="4" w:space="0" w:color="auto"/>
              <w:right w:val="nil"/>
            </w:tcBorders>
            <w:shd w:val="clear" w:color="auto" w:fill="auto"/>
            <w:vAlign w:val="center"/>
            <w:hideMark/>
          </w:tcPr>
          <w:p w14:paraId="0C3F8A4C"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21</w:t>
            </w:r>
          </w:p>
        </w:tc>
        <w:tc>
          <w:tcPr>
            <w:tcW w:w="1276" w:type="dxa"/>
            <w:tcBorders>
              <w:top w:val="nil"/>
              <w:left w:val="nil"/>
              <w:bottom w:val="single" w:sz="4" w:space="0" w:color="auto"/>
              <w:right w:val="nil"/>
            </w:tcBorders>
            <w:shd w:val="clear" w:color="auto" w:fill="auto"/>
            <w:vAlign w:val="center"/>
            <w:hideMark/>
          </w:tcPr>
          <w:p w14:paraId="0C3F8A4D" w14:textId="77777777" w:rsidR="00B6457B" w:rsidRPr="00DF1C49" w:rsidRDefault="00B6457B" w:rsidP="00393ABA">
            <w:pPr>
              <w:spacing w:after="120"/>
              <w:jc w:val="center"/>
              <w:rPr>
                <w:rFonts w:ascii="Calibri" w:hAnsi="Calibri" w:cs="Calibri"/>
                <w:b/>
                <w:color w:val="000000"/>
                <w:sz w:val="20"/>
                <w:szCs w:val="20"/>
              </w:rPr>
            </w:pPr>
            <w:r w:rsidRPr="00DF1C49">
              <w:rPr>
                <w:rFonts w:ascii="Calibri" w:hAnsi="Calibri" w:cs="Calibri"/>
                <w:b/>
                <w:color w:val="000000"/>
                <w:sz w:val="20"/>
                <w:szCs w:val="20"/>
              </w:rPr>
              <w:t>22</w:t>
            </w:r>
          </w:p>
        </w:tc>
        <w:tc>
          <w:tcPr>
            <w:tcW w:w="1418" w:type="dxa"/>
            <w:tcBorders>
              <w:top w:val="nil"/>
              <w:left w:val="nil"/>
              <w:bottom w:val="nil"/>
              <w:right w:val="nil"/>
            </w:tcBorders>
            <w:shd w:val="clear" w:color="auto" w:fill="auto"/>
            <w:noWrap/>
            <w:vAlign w:val="center"/>
            <w:hideMark/>
          </w:tcPr>
          <w:p w14:paraId="0C3F8A4E" w14:textId="77777777" w:rsidR="00B6457B" w:rsidRPr="00DF1C49" w:rsidRDefault="00B6457B" w:rsidP="00393ABA">
            <w:pPr>
              <w:spacing w:after="120"/>
              <w:jc w:val="center"/>
              <w:rPr>
                <w:rFonts w:ascii="Calibri" w:hAnsi="Calibri" w:cs="Calibri"/>
                <w:color w:val="000000"/>
                <w:sz w:val="20"/>
                <w:szCs w:val="20"/>
              </w:rPr>
            </w:pPr>
          </w:p>
        </w:tc>
        <w:tc>
          <w:tcPr>
            <w:tcW w:w="1417" w:type="dxa"/>
            <w:tcBorders>
              <w:top w:val="nil"/>
              <w:left w:val="nil"/>
              <w:bottom w:val="nil"/>
              <w:right w:val="nil"/>
            </w:tcBorders>
            <w:shd w:val="clear" w:color="auto" w:fill="auto"/>
            <w:noWrap/>
            <w:vAlign w:val="center"/>
            <w:hideMark/>
          </w:tcPr>
          <w:p w14:paraId="0C3F8A4F" w14:textId="77777777" w:rsidR="00B6457B" w:rsidRPr="00DF1C49" w:rsidRDefault="00B6457B" w:rsidP="00393ABA">
            <w:pPr>
              <w:spacing w:after="120"/>
              <w:jc w:val="center"/>
              <w:rPr>
                <w:rFonts w:ascii="Calibri" w:hAnsi="Calibri" w:cs="Calibri"/>
                <w:color w:val="000000"/>
                <w:sz w:val="20"/>
                <w:szCs w:val="20"/>
              </w:rPr>
            </w:pPr>
          </w:p>
        </w:tc>
      </w:tr>
    </w:tbl>
    <w:p w14:paraId="0C3F8A51" w14:textId="77777777" w:rsidR="00B6457B" w:rsidRDefault="00B6457B" w:rsidP="00B6457B">
      <w:pPr>
        <w:spacing w:after="120" w:line="276" w:lineRule="auto"/>
        <w:rPr>
          <w:rFonts w:ascii="Calibri" w:eastAsia="Calibri" w:hAnsi="Calibri" w:cs="Times New Roman"/>
          <w:lang w:eastAsia="en-US"/>
        </w:rPr>
      </w:pPr>
    </w:p>
    <w:p w14:paraId="0C3F8A52" w14:textId="77777777" w:rsidR="00B6457B" w:rsidRDefault="00B6457B" w:rsidP="00B6457B">
      <w:pPr>
        <w:pStyle w:val="Heading2"/>
        <w:spacing w:before="0"/>
        <w:rPr>
          <w:bCs/>
        </w:rPr>
      </w:pPr>
    </w:p>
    <w:p w14:paraId="0C3F8A53" w14:textId="77777777" w:rsidR="00B6457B" w:rsidRDefault="00B6457B" w:rsidP="00B6457B">
      <w:pPr>
        <w:rPr>
          <w:lang w:eastAsia="en-US"/>
        </w:rPr>
      </w:pPr>
    </w:p>
    <w:p w14:paraId="0C3F8A54" w14:textId="77777777" w:rsidR="00B6457B" w:rsidRDefault="00B6457B" w:rsidP="00B6457B">
      <w:pPr>
        <w:spacing w:after="120" w:line="276" w:lineRule="auto"/>
        <w:rPr>
          <w:rFonts w:ascii="Calibri" w:eastAsia="Calibri" w:hAnsi="Calibri" w:cs="Times New Roman"/>
          <w:lang w:eastAsia="en-US"/>
        </w:rPr>
      </w:pPr>
    </w:p>
    <w:p w14:paraId="0C3F8A55" w14:textId="77777777" w:rsidR="00B6457B" w:rsidRDefault="00B6457B" w:rsidP="00B6457B">
      <w:pPr>
        <w:spacing w:after="120" w:line="276" w:lineRule="auto"/>
        <w:rPr>
          <w:rFonts w:ascii="Calibri" w:eastAsia="Calibri" w:hAnsi="Calibri" w:cs="Times New Roman"/>
          <w:lang w:eastAsia="en-US"/>
        </w:rPr>
      </w:pPr>
    </w:p>
    <w:p w14:paraId="0C3F8A56" w14:textId="77777777" w:rsidR="00B6457B" w:rsidRDefault="00B6457B" w:rsidP="00B6457B">
      <w:pPr>
        <w:spacing w:after="120" w:line="276" w:lineRule="auto"/>
        <w:rPr>
          <w:rFonts w:ascii="Calibri" w:eastAsia="Calibri" w:hAnsi="Calibri" w:cs="Times New Roman"/>
          <w:lang w:eastAsia="en-US"/>
        </w:rPr>
      </w:pPr>
    </w:p>
    <w:p w14:paraId="0C3F8A57" w14:textId="77777777" w:rsidR="00B6457B" w:rsidRDefault="00B6457B" w:rsidP="00B6457B">
      <w:pPr>
        <w:spacing w:after="120" w:line="276" w:lineRule="auto"/>
        <w:rPr>
          <w:rFonts w:ascii="Calibri" w:eastAsia="Calibri" w:hAnsi="Calibri" w:cs="Times New Roman"/>
          <w:lang w:eastAsia="en-US"/>
        </w:rPr>
      </w:pPr>
    </w:p>
    <w:p w14:paraId="0C3F8A58" w14:textId="77777777" w:rsidR="00B6457B" w:rsidRDefault="00B6457B" w:rsidP="00B6457B">
      <w:pPr>
        <w:spacing w:after="120" w:line="276" w:lineRule="auto"/>
        <w:rPr>
          <w:rFonts w:ascii="Calibri" w:eastAsia="Calibri" w:hAnsi="Calibri" w:cs="Times New Roman"/>
          <w:lang w:eastAsia="en-US"/>
        </w:rPr>
      </w:pPr>
    </w:p>
    <w:p w14:paraId="0C3F8A59" w14:textId="77777777" w:rsidR="00B6457B" w:rsidRDefault="00B6457B" w:rsidP="00B6457B">
      <w:pPr>
        <w:spacing w:after="120" w:line="276" w:lineRule="auto"/>
        <w:rPr>
          <w:rFonts w:ascii="Calibri" w:eastAsia="Calibri" w:hAnsi="Calibri" w:cs="Times New Roman"/>
          <w:lang w:eastAsia="en-US"/>
        </w:rPr>
      </w:pPr>
    </w:p>
    <w:p w14:paraId="0C3F8A5A" w14:textId="77777777" w:rsidR="00B6457B" w:rsidRDefault="00B6457B" w:rsidP="00B6457B">
      <w:pPr>
        <w:spacing w:after="120" w:line="276" w:lineRule="auto"/>
        <w:rPr>
          <w:rFonts w:ascii="Calibri" w:eastAsia="Calibri" w:hAnsi="Calibri" w:cs="Times New Roman"/>
          <w:lang w:eastAsia="en-US"/>
        </w:rPr>
      </w:pPr>
    </w:p>
    <w:p w14:paraId="0C3F8A5B" w14:textId="77777777" w:rsidR="00B6457B" w:rsidRDefault="00B6457B" w:rsidP="00B6457B">
      <w:pPr>
        <w:spacing w:after="120" w:line="276" w:lineRule="auto"/>
        <w:rPr>
          <w:rFonts w:ascii="Calibri" w:eastAsia="Calibri" w:hAnsi="Calibri" w:cs="Times New Roman"/>
          <w:lang w:eastAsia="en-US"/>
        </w:rPr>
      </w:pPr>
    </w:p>
    <w:p w14:paraId="0C3F8A5C" w14:textId="77777777" w:rsidR="00B6457B" w:rsidRDefault="00B6457B" w:rsidP="00B6457B">
      <w:pPr>
        <w:spacing w:after="120" w:line="276" w:lineRule="auto"/>
        <w:rPr>
          <w:rFonts w:ascii="Calibri" w:eastAsia="Calibri" w:hAnsi="Calibri" w:cs="Times New Roman"/>
          <w:lang w:eastAsia="en-US"/>
        </w:rPr>
      </w:pPr>
    </w:p>
    <w:p w14:paraId="0C3F8A5D" w14:textId="77777777" w:rsidR="00605DDA" w:rsidRDefault="00605DDA" w:rsidP="00B6457B">
      <w:pPr>
        <w:pStyle w:val="Heading2"/>
        <w:spacing w:before="0"/>
      </w:pPr>
      <w:bookmarkStart w:id="292" w:name="_Toc428350528"/>
    </w:p>
    <w:p w14:paraId="0C3F8A5E" w14:textId="77777777" w:rsidR="00B6457B" w:rsidRPr="00122A3D" w:rsidRDefault="00B6457B" w:rsidP="00B6457B">
      <w:pPr>
        <w:pStyle w:val="Heading2"/>
        <w:spacing w:before="0"/>
        <w:rPr>
          <w:bCs/>
        </w:rPr>
      </w:pPr>
      <w:r w:rsidRPr="00122A3D">
        <w:t>Frequency of occurrence of river plume and plume water types in 2013</w:t>
      </w:r>
      <w:bookmarkEnd w:id="292"/>
    </w:p>
    <w:p w14:paraId="0C3F8A5F" w14:textId="77777777" w:rsidR="00B6457B" w:rsidRPr="00122A3D" w:rsidRDefault="00B6457B" w:rsidP="00B6457B">
      <w:pPr>
        <w:rPr>
          <w:rFonts w:eastAsia="Calibri"/>
          <w:lang w:eastAsia="en-US"/>
        </w:rPr>
      </w:pPr>
      <w:r w:rsidRPr="00122A3D">
        <w:rPr>
          <w:rFonts w:eastAsia="Calibri"/>
          <w:noProof/>
        </w:rPr>
        <w:drawing>
          <wp:inline distT="0" distB="0" distL="0" distR="0" wp14:anchorId="0C3F9053" wp14:editId="0C3F9054">
            <wp:extent cx="5328000" cy="6710400"/>
            <wp:effectExtent l="0" t="0" r="6350" b="0"/>
            <wp:docPr id="62" name="Picture 62" descr=" Frequency of occurrence of river plume recorded in 2013 by a) and b) the TC method and c) and d) the L2 method. Maps a) and c) show all areas that have been classified as least one day over the wet season 2012-13 as river plume waters.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28000" cy="6710400"/>
                    </a:xfrm>
                    <a:prstGeom prst="rect">
                      <a:avLst/>
                    </a:prstGeom>
                    <a:solidFill>
                      <a:sysClr val="window" lastClr="FFFFFF"/>
                    </a:solidFill>
                  </pic:spPr>
                </pic:pic>
              </a:graphicData>
            </a:graphic>
          </wp:inline>
        </w:drawing>
      </w:r>
    </w:p>
    <w:p w14:paraId="0C3F8A60" w14:textId="77777777" w:rsidR="00B6457B" w:rsidRPr="00122A3D" w:rsidRDefault="00B6457B" w:rsidP="00B6457B">
      <w:pPr>
        <w:rPr>
          <w:rFonts w:eastAsia="Calibri"/>
        </w:rPr>
      </w:pPr>
      <w:r w:rsidRPr="00122A3D">
        <w:rPr>
          <w:rFonts w:eastAsia="Calibri"/>
        </w:rPr>
        <w:t xml:space="preserve">Figure </w:t>
      </w:r>
      <w:r>
        <w:rPr>
          <w:rFonts w:eastAsia="Calibri"/>
        </w:rPr>
        <w:t>B-2</w:t>
      </w:r>
      <w:r w:rsidRPr="00122A3D">
        <w:rPr>
          <w:rFonts w:eastAsia="Calibri"/>
        </w:rPr>
        <w:t xml:space="preserve">: Frequency of occurrence of river plume recorded in 2013 by a) and b) the TC method and c) and d) the L2 method. Maps a) and c) show all areas that have been classified as least one day over the wet season 2012-13 as river plume waters.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w:t>
      </w:r>
    </w:p>
    <w:p w14:paraId="0C3F8A61" w14:textId="77777777" w:rsidR="00B6457B" w:rsidRPr="00605DDA" w:rsidRDefault="00B6457B" w:rsidP="00605DDA">
      <w:pPr>
        <w:rPr>
          <w:rFonts w:eastAsia="Calibri"/>
          <w:b/>
          <w:sz w:val="24"/>
          <w:szCs w:val="24"/>
        </w:rPr>
      </w:pPr>
      <w:bookmarkStart w:id="293" w:name="_Toc428350530"/>
      <w:r w:rsidRPr="00605DDA">
        <w:rPr>
          <w:rFonts w:eastAsia="Calibri"/>
          <w:b/>
          <w:sz w:val="24"/>
          <w:szCs w:val="24"/>
        </w:rPr>
        <w:t>Primary plume water type</w:t>
      </w:r>
      <w:bookmarkEnd w:id="293"/>
    </w:p>
    <w:p w14:paraId="0C3F8A62" w14:textId="77777777" w:rsidR="00B6457B" w:rsidRPr="006C226E" w:rsidRDefault="00B6457B" w:rsidP="00B6457B">
      <w:pPr>
        <w:keepNext/>
        <w:spacing w:after="120" w:line="276" w:lineRule="auto"/>
        <w:jc w:val="center"/>
        <w:rPr>
          <w:rFonts w:ascii="Calibri" w:eastAsia="Calibri" w:hAnsi="Calibri" w:cs="Times New Roman"/>
          <w:lang w:eastAsia="en-US"/>
        </w:rPr>
      </w:pPr>
      <w:r w:rsidRPr="006C226E">
        <w:rPr>
          <w:rFonts w:ascii="Calibri" w:eastAsia="Calibri" w:hAnsi="Calibri" w:cs="Times New Roman"/>
          <w:noProof/>
        </w:rPr>
        <w:drawing>
          <wp:inline distT="0" distB="0" distL="0" distR="0" wp14:anchorId="0C3F9055" wp14:editId="0C3F9056">
            <wp:extent cx="5508000" cy="6933884"/>
            <wp:effectExtent l="0" t="0" r="0" b="635"/>
            <wp:docPr id="63" name="Picture 63" descr="Frequency of occurrence of Primary plume waters recorded in 2013 by a) and b) the TC method and c) and d) the L2 method. Maps a) and c) show all areas that have been classified as least one day over the wet season 2012-13 as Primary plume waters.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508000" cy="6933884"/>
                    </a:xfrm>
                    <a:prstGeom prst="rect">
                      <a:avLst/>
                    </a:prstGeom>
                    <a:solidFill>
                      <a:sysClr val="window" lastClr="FFFFFF"/>
                    </a:solidFill>
                  </pic:spPr>
                </pic:pic>
              </a:graphicData>
            </a:graphic>
          </wp:inline>
        </w:drawing>
      </w:r>
    </w:p>
    <w:p w14:paraId="0C3F8A63" w14:textId="77777777" w:rsidR="00B6457B" w:rsidRPr="006C226E" w:rsidRDefault="00B6457B" w:rsidP="00B6457B">
      <w:pPr>
        <w:spacing w:after="120"/>
        <w:rPr>
          <w:rFonts w:ascii="Calibri" w:eastAsia="Calibri" w:hAnsi="Calibri" w:cs="Times New Roman"/>
          <w:bCs/>
          <w:lang w:eastAsia="en-US"/>
        </w:rPr>
      </w:pPr>
      <w:r w:rsidRPr="006C226E">
        <w:rPr>
          <w:rFonts w:ascii="Calibri" w:eastAsia="Calibri" w:hAnsi="Calibri" w:cs="Times New Roman"/>
          <w:bCs/>
          <w:lang w:eastAsia="en-US"/>
        </w:rPr>
        <w:t xml:space="preserve">Figure </w:t>
      </w:r>
      <w:r>
        <w:rPr>
          <w:rFonts w:ascii="Calibri" w:eastAsia="Calibri" w:hAnsi="Calibri" w:cs="Times New Roman"/>
          <w:bCs/>
          <w:lang w:eastAsia="en-US"/>
        </w:rPr>
        <w:t>B-3</w:t>
      </w:r>
      <w:r w:rsidRPr="006C226E">
        <w:rPr>
          <w:rFonts w:ascii="Calibri" w:eastAsia="Calibri" w:hAnsi="Calibri" w:cs="Times New Roman"/>
          <w:bCs/>
          <w:lang w:eastAsia="en-US"/>
        </w:rPr>
        <w:t xml:space="preserve">: Frequency of occurrence of Primary plume waters recorded in 2013 by a) and b) the TC method and c) and d) the L2 method. Maps a) and c) show all areas that have been classified as least one day over the wet season 2012-13 as Primary plume waters.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w:t>
      </w:r>
    </w:p>
    <w:p w14:paraId="0C3F8A64" w14:textId="77777777" w:rsidR="00B6457B" w:rsidRPr="00605DDA" w:rsidRDefault="00B6457B" w:rsidP="00605DDA">
      <w:pPr>
        <w:rPr>
          <w:rFonts w:eastAsia="Calibri"/>
          <w:b/>
        </w:rPr>
      </w:pPr>
      <w:bookmarkStart w:id="294" w:name="_Toc428350531"/>
      <w:r w:rsidRPr="00605DDA">
        <w:rPr>
          <w:rFonts w:eastAsia="Calibri"/>
          <w:b/>
        </w:rPr>
        <w:t>Secondary plume water type</w:t>
      </w:r>
      <w:bookmarkEnd w:id="294"/>
    </w:p>
    <w:p w14:paraId="0C3F8A65" w14:textId="77777777" w:rsidR="00B6457B" w:rsidRPr="00DF1C49" w:rsidRDefault="00B6457B" w:rsidP="00B6457B">
      <w:pPr>
        <w:spacing w:after="120" w:line="276" w:lineRule="auto"/>
        <w:contextualSpacing/>
        <w:jc w:val="left"/>
        <w:rPr>
          <w:rFonts w:ascii="Calibri" w:eastAsia="Calibri" w:hAnsi="Calibri" w:cs="Times New Roman"/>
          <w:i/>
          <w:sz w:val="24"/>
          <w:szCs w:val="24"/>
          <w:lang w:eastAsia="en-US"/>
        </w:rPr>
      </w:pPr>
      <w:r w:rsidRPr="00DF1C49">
        <w:rPr>
          <w:rFonts w:ascii="Calibri" w:eastAsia="Calibri" w:hAnsi="Calibri" w:cs="Times New Roman"/>
          <w:i/>
          <w:noProof/>
          <w:sz w:val="24"/>
          <w:szCs w:val="24"/>
        </w:rPr>
        <w:drawing>
          <wp:inline distT="0" distB="0" distL="0" distR="0" wp14:anchorId="0C3F9057" wp14:editId="0C3F9058">
            <wp:extent cx="5436000" cy="6843245"/>
            <wp:effectExtent l="0" t="0" r="0" b="0"/>
            <wp:docPr id="64" name="Picture 64" descr="Frequency of occurrence of Secondary plume waters recorded in 2013 by a) and b) the TC method and c) and d) the L2 method. Maps a) and c) show all areas that have been classified as least one day over the wet season 2012-13 as Secondary plume waters.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436000" cy="6843245"/>
                    </a:xfrm>
                    <a:prstGeom prst="rect">
                      <a:avLst/>
                    </a:prstGeom>
                    <a:solidFill>
                      <a:sysClr val="window" lastClr="FFFFFF"/>
                    </a:solidFill>
                  </pic:spPr>
                </pic:pic>
              </a:graphicData>
            </a:graphic>
          </wp:inline>
        </w:drawing>
      </w:r>
    </w:p>
    <w:p w14:paraId="0C3F8A66" w14:textId="77777777" w:rsidR="00B6457B" w:rsidRPr="006C226E" w:rsidRDefault="00B6457B" w:rsidP="00B6457B">
      <w:pPr>
        <w:spacing w:after="120"/>
        <w:rPr>
          <w:rFonts w:ascii="Calibri" w:eastAsia="Calibri" w:hAnsi="Calibri" w:cs="Times New Roman"/>
          <w:bCs/>
          <w:lang w:eastAsia="en-US"/>
        </w:rPr>
      </w:pPr>
      <w:r w:rsidRPr="006C226E">
        <w:rPr>
          <w:rFonts w:ascii="Calibri" w:eastAsia="Calibri" w:hAnsi="Calibri" w:cs="Times New Roman"/>
          <w:bCs/>
          <w:lang w:eastAsia="en-US"/>
        </w:rPr>
        <w:t xml:space="preserve">Figure </w:t>
      </w:r>
      <w:r>
        <w:rPr>
          <w:rFonts w:ascii="Calibri" w:eastAsia="Calibri" w:hAnsi="Calibri" w:cs="Times New Roman"/>
          <w:bCs/>
          <w:lang w:eastAsia="en-US"/>
        </w:rPr>
        <w:t>B-4</w:t>
      </w:r>
      <w:r w:rsidRPr="006C226E">
        <w:rPr>
          <w:rFonts w:ascii="Calibri" w:eastAsia="Calibri" w:hAnsi="Calibri" w:cs="Times New Roman"/>
          <w:bCs/>
          <w:lang w:eastAsia="en-US"/>
        </w:rPr>
        <w:t xml:space="preserve">: Frequency of occurrence of Secondary plume waters recorded in 2013 by a) and b) the TC method and c) and d) the L2 method. Maps a) and c) show all areas that have been classified as least one day over the wet season 2012-13 as Secondary plume waters.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w:t>
      </w:r>
    </w:p>
    <w:p w14:paraId="0C3F8A67" w14:textId="77777777" w:rsidR="00B6457B" w:rsidRPr="00605DDA" w:rsidRDefault="00B6457B" w:rsidP="00605DDA">
      <w:pPr>
        <w:rPr>
          <w:rFonts w:eastAsia="Calibri"/>
          <w:b/>
        </w:rPr>
      </w:pPr>
      <w:bookmarkStart w:id="295" w:name="_Toc428350532"/>
      <w:r w:rsidRPr="00605DDA">
        <w:rPr>
          <w:rFonts w:eastAsia="Calibri"/>
          <w:b/>
        </w:rPr>
        <w:t>Tertiary plume water type</w:t>
      </w:r>
      <w:bookmarkEnd w:id="295"/>
    </w:p>
    <w:p w14:paraId="0C3F8A68" w14:textId="77777777" w:rsidR="00B6457B" w:rsidRPr="006C226E" w:rsidRDefault="00B6457B" w:rsidP="00B6457B">
      <w:pPr>
        <w:spacing w:after="120" w:line="276" w:lineRule="auto"/>
        <w:jc w:val="center"/>
        <w:rPr>
          <w:rFonts w:ascii="Calibri" w:eastAsia="Calibri" w:hAnsi="Calibri" w:cs="Times New Roman"/>
          <w:b/>
          <w:sz w:val="24"/>
          <w:szCs w:val="24"/>
          <w:highlight w:val="green"/>
          <w:lang w:eastAsia="en-US"/>
        </w:rPr>
      </w:pPr>
      <w:r w:rsidRPr="006C226E">
        <w:rPr>
          <w:rFonts w:ascii="Calibri" w:eastAsia="Calibri" w:hAnsi="Calibri" w:cs="Times New Roman"/>
          <w:b/>
          <w:noProof/>
          <w:sz w:val="24"/>
          <w:szCs w:val="24"/>
        </w:rPr>
        <w:drawing>
          <wp:inline distT="0" distB="0" distL="0" distR="0" wp14:anchorId="0C3F9059" wp14:editId="0C3F905A">
            <wp:extent cx="5508000" cy="6933884"/>
            <wp:effectExtent l="0" t="0" r="0" b="635"/>
            <wp:docPr id="65" name="Picture 65" descr="Frequency of occurrence of Tertiary plume waters recorded in 2013 by a) and b) the TC method and c) and d) the L2 method. Maps a) and c) show all areas that have been classified as least one day over the wet season 2012-13 as Tertiary plume water.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508000" cy="6933884"/>
                    </a:xfrm>
                    <a:prstGeom prst="rect">
                      <a:avLst/>
                    </a:prstGeom>
                    <a:solidFill>
                      <a:sysClr val="window" lastClr="FFFFFF"/>
                    </a:solidFill>
                  </pic:spPr>
                </pic:pic>
              </a:graphicData>
            </a:graphic>
          </wp:inline>
        </w:drawing>
      </w:r>
    </w:p>
    <w:p w14:paraId="0C3F8A69" w14:textId="77777777" w:rsidR="00B6457B" w:rsidRPr="006C226E" w:rsidRDefault="00B6457B" w:rsidP="00B6457B">
      <w:pPr>
        <w:spacing w:after="120"/>
        <w:rPr>
          <w:rFonts w:ascii="Calibri" w:eastAsia="Calibri" w:hAnsi="Calibri" w:cs="Times New Roman"/>
          <w:bCs/>
          <w:lang w:eastAsia="en-US"/>
        </w:rPr>
      </w:pPr>
      <w:r w:rsidRPr="006C226E">
        <w:rPr>
          <w:rFonts w:ascii="Calibri" w:eastAsia="Calibri" w:hAnsi="Calibri" w:cs="Times New Roman"/>
          <w:bCs/>
          <w:lang w:eastAsia="en-US"/>
        </w:rPr>
        <w:t xml:space="preserve">Figure </w:t>
      </w:r>
      <w:r>
        <w:rPr>
          <w:rFonts w:ascii="Calibri" w:eastAsia="Calibri" w:hAnsi="Calibri" w:cs="Times New Roman"/>
          <w:bCs/>
          <w:lang w:eastAsia="en-US"/>
        </w:rPr>
        <w:t>B-5</w:t>
      </w:r>
      <w:r w:rsidRPr="006C226E">
        <w:rPr>
          <w:rFonts w:ascii="Calibri" w:eastAsia="Calibri" w:hAnsi="Calibri" w:cs="Times New Roman"/>
          <w:bCs/>
          <w:lang w:eastAsia="en-US"/>
        </w:rPr>
        <w:t xml:space="preserve">: Frequency of occurrence of Tertiary plume waters recorded in 2013 by a) and b) the TC method and c) and d) the L2 method. Maps a) and c) show all areas that have been classified as least one day over the wet season 2012-13 as Tertiary plume water. Maps b) and d) show same maps reclassified into frequency breaks using the Jenk classification embedded in ArcGIS. Jenks is a statistical procedure that analyses the distribution of values in the data and finds the most evident breaks in it. Note that breaks of the TC method are in weeks while breaks of the L2 method are in days. </w:t>
      </w:r>
    </w:p>
    <w:p w14:paraId="0C3F8A6A" w14:textId="77777777" w:rsidR="00B6457B" w:rsidRDefault="00B6457B" w:rsidP="00B6457B">
      <w:pPr>
        <w:spacing w:after="120"/>
        <w:sectPr w:rsidR="00B6457B">
          <w:footerReference w:type="default" r:id="rId124"/>
          <w:pgSz w:w="11906" w:h="16838"/>
          <w:pgMar w:top="1440" w:right="1440" w:bottom="1440" w:left="1440" w:header="708" w:footer="708" w:gutter="0"/>
          <w:cols w:space="708"/>
          <w:docGrid w:linePitch="360"/>
        </w:sectPr>
      </w:pPr>
    </w:p>
    <w:p w14:paraId="0C3F8A6B" w14:textId="77777777" w:rsidR="00B6457B" w:rsidRPr="00122A3D" w:rsidRDefault="00B6457B" w:rsidP="00B6457B">
      <w:pPr>
        <w:keepNext/>
        <w:spacing w:after="120"/>
        <w:rPr>
          <w:rFonts w:ascii="Calibri" w:eastAsia="Calibri" w:hAnsi="Calibri" w:cs="Times New Roman"/>
          <w:bCs/>
          <w:lang w:eastAsia="en-US"/>
        </w:rPr>
      </w:pPr>
      <w:r w:rsidRPr="00122A3D">
        <w:rPr>
          <w:rFonts w:ascii="Calibri" w:eastAsia="Calibri" w:hAnsi="Calibri" w:cs="Times New Roman"/>
          <w:bCs/>
          <w:lang w:eastAsia="en-US"/>
        </w:rPr>
        <w:t>Table A-</w:t>
      </w:r>
      <w:r>
        <w:rPr>
          <w:rFonts w:ascii="Calibri" w:eastAsia="Calibri" w:hAnsi="Calibri" w:cs="Times New Roman"/>
          <w:bCs/>
          <w:lang w:eastAsia="en-US"/>
        </w:rPr>
        <w:t>2</w:t>
      </w:r>
      <w:r w:rsidRPr="00122A3D">
        <w:rPr>
          <w:rFonts w:ascii="Calibri" w:eastAsia="Calibri" w:hAnsi="Calibri" w:cs="Times New Roman"/>
          <w:bCs/>
          <w:lang w:eastAsia="en-US"/>
        </w:rPr>
        <w:t xml:space="preserve">: Areas (km2) and percentage (%) of the GBR lagoon exposed to different categories of river plume frequency (or likelihood of risk) and </w:t>
      </w:r>
      <w:r>
        <w:rPr>
          <w:rFonts w:ascii="Calibri" w:eastAsia="Calibri" w:hAnsi="Calibri" w:cs="Times New Roman"/>
          <w:bCs/>
          <w:lang w:eastAsia="en-US"/>
        </w:rPr>
        <w:t xml:space="preserve">potential </w:t>
      </w:r>
      <w:r w:rsidRPr="00122A3D">
        <w:rPr>
          <w:rFonts w:ascii="Calibri" w:eastAsia="Calibri" w:hAnsi="Calibri" w:cs="Times New Roman"/>
          <w:bCs/>
          <w:lang w:eastAsia="en-US"/>
        </w:rPr>
        <w:t>river plume</w:t>
      </w:r>
      <w:r>
        <w:rPr>
          <w:rFonts w:ascii="Calibri" w:eastAsia="Calibri" w:hAnsi="Calibri" w:cs="Times New Roman"/>
          <w:bCs/>
          <w:lang w:eastAsia="en-US"/>
        </w:rPr>
        <w:t xml:space="preserve"> risk</w:t>
      </w:r>
      <w:r w:rsidRPr="00122A3D">
        <w:rPr>
          <w:rFonts w:ascii="Calibri" w:eastAsia="Calibri" w:hAnsi="Calibri" w:cs="Times New Roman"/>
          <w:bCs/>
          <w:lang w:eastAsia="en-US"/>
        </w:rPr>
        <w:t xml:space="preserve"> within the GBR and each NRM.</w:t>
      </w:r>
    </w:p>
    <w:tbl>
      <w:tblPr>
        <w:tblW w:w="14081" w:type="dxa"/>
        <w:tblInd w:w="93" w:type="dxa"/>
        <w:tblLook w:val="04A0" w:firstRow="1" w:lastRow="0" w:firstColumn="1" w:lastColumn="0" w:noHBand="0" w:noVBand="1"/>
      </w:tblPr>
      <w:tblGrid>
        <w:gridCol w:w="1405"/>
        <w:gridCol w:w="875"/>
        <w:gridCol w:w="1068"/>
        <w:gridCol w:w="723"/>
        <w:gridCol w:w="780"/>
        <w:gridCol w:w="751"/>
        <w:gridCol w:w="723"/>
        <w:gridCol w:w="761"/>
        <w:gridCol w:w="911"/>
        <w:gridCol w:w="911"/>
        <w:gridCol w:w="723"/>
        <w:gridCol w:w="917"/>
        <w:gridCol w:w="723"/>
        <w:gridCol w:w="988"/>
        <w:gridCol w:w="911"/>
        <w:gridCol w:w="911"/>
      </w:tblGrid>
      <w:tr w:rsidR="00B6457B" w:rsidRPr="00393ABA" w14:paraId="0C3F8A75" w14:textId="77777777" w:rsidTr="00605DDA">
        <w:trPr>
          <w:trHeight w:val="20"/>
        </w:trPr>
        <w:tc>
          <w:tcPr>
            <w:tcW w:w="1406" w:type="dxa"/>
            <w:tcBorders>
              <w:top w:val="nil"/>
              <w:left w:val="nil"/>
              <w:bottom w:val="nil"/>
              <w:right w:val="nil"/>
            </w:tcBorders>
            <w:shd w:val="clear" w:color="auto" w:fill="auto"/>
            <w:noWrap/>
            <w:vAlign w:val="bottom"/>
            <w:hideMark/>
          </w:tcPr>
          <w:p w14:paraId="0C3F8A6C" w14:textId="77777777" w:rsidR="00B6457B" w:rsidRPr="00393ABA" w:rsidRDefault="00B6457B" w:rsidP="00393ABA">
            <w:pPr>
              <w:spacing w:after="120"/>
              <w:jc w:val="center"/>
              <w:rPr>
                <w:rFonts w:ascii="Calibri" w:hAnsi="Calibri" w:cs="Calibri"/>
                <w:color w:val="000000"/>
                <w:sz w:val="20"/>
                <w:szCs w:val="20"/>
              </w:rPr>
            </w:pPr>
          </w:p>
        </w:tc>
        <w:tc>
          <w:tcPr>
            <w:tcW w:w="875" w:type="dxa"/>
            <w:tcBorders>
              <w:top w:val="nil"/>
              <w:left w:val="nil"/>
              <w:bottom w:val="nil"/>
              <w:right w:val="nil"/>
            </w:tcBorders>
            <w:shd w:val="clear" w:color="auto" w:fill="auto"/>
            <w:noWrap/>
            <w:vAlign w:val="bottom"/>
            <w:hideMark/>
          </w:tcPr>
          <w:p w14:paraId="0C3F8A6D" w14:textId="77777777" w:rsidR="00B6457B" w:rsidRPr="00393ABA" w:rsidRDefault="00B6457B" w:rsidP="00393ABA">
            <w:pPr>
              <w:spacing w:after="120"/>
              <w:jc w:val="center"/>
              <w:rPr>
                <w:rFonts w:ascii="Calibri" w:hAnsi="Calibri" w:cs="Calibri"/>
                <w:color w:val="000000"/>
                <w:sz w:val="20"/>
                <w:szCs w:val="20"/>
              </w:rPr>
            </w:pPr>
          </w:p>
        </w:tc>
        <w:tc>
          <w:tcPr>
            <w:tcW w:w="1068" w:type="dxa"/>
            <w:tcBorders>
              <w:top w:val="nil"/>
              <w:left w:val="nil"/>
              <w:bottom w:val="nil"/>
              <w:right w:val="nil"/>
            </w:tcBorders>
            <w:shd w:val="clear" w:color="auto" w:fill="auto"/>
            <w:noWrap/>
            <w:vAlign w:val="bottom"/>
            <w:hideMark/>
          </w:tcPr>
          <w:p w14:paraId="0C3F8A6E" w14:textId="77777777" w:rsidR="00B6457B" w:rsidRPr="00393ABA" w:rsidRDefault="00B6457B" w:rsidP="00393ABA">
            <w:pPr>
              <w:spacing w:after="120"/>
              <w:jc w:val="center"/>
              <w:rPr>
                <w:rFonts w:ascii="Calibri" w:hAnsi="Calibri" w:cs="Calibri"/>
                <w:color w:val="000000"/>
                <w:sz w:val="20"/>
                <w:szCs w:val="20"/>
              </w:rPr>
            </w:pPr>
          </w:p>
        </w:tc>
        <w:tc>
          <w:tcPr>
            <w:tcW w:w="3737" w:type="dxa"/>
            <w:gridSpan w:val="5"/>
            <w:tcBorders>
              <w:top w:val="single" w:sz="4" w:space="0" w:color="auto"/>
              <w:left w:val="single" w:sz="4" w:space="0" w:color="auto"/>
              <w:bottom w:val="single" w:sz="4" w:space="0" w:color="auto"/>
              <w:right w:val="nil"/>
            </w:tcBorders>
            <w:shd w:val="clear" w:color="000000" w:fill="F2F2F2"/>
            <w:noWrap/>
            <w:vAlign w:val="bottom"/>
            <w:hideMark/>
          </w:tcPr>
          <w:p w14:paraId="0C3F8A6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River plume frequency</w:t>
            </w:r>
          </w:p>
        </w:tc>
        <w:tc>
          <w:tcPr>
            <w:tcW w:w="911" w:type="dxa"/>
            <w:vMerge w:val="restart"/>
            <w:tcBorders>
              <w:top w:val="single" w:sz="4" w:space="0" w:color="auto"/>
              <w:left w:val="nil"/>
              <w:bottom w:val="single" w:sz="4" w:space="0" w:color="000000"/>
              <w:right w:val="nil"/>
            </w:tcBorders>
            <w:shd w:val="clear" w:color="000000" w:fill="F2DCDB"/>
            <w:vAlign w:val="bottom"/>
            <w:hideMark/>
          </w:tcPr>
          <w:p w14:paraId="0C3F8A70"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1"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A71"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c>
          <w:tcPr>
            <w:tcW w:w="3351" w:type="dxa"/>
            <w:gridSpan w:val="4"/>
            <w:tcBorders>
              <w:top w:val="single" w:sz="4" w:space="0" w:color="auto"/>
              <w:left w:val="nil"/>
              <w:bottom w:val="single" w:sz="4" w:space="0" w:color="auto"/>
              <w:right w:val="nil"/>
            </w:tcBorders>
            <w:shd w:val="clear" w:color="000000" w:fill="F2F2F2"/>
            <w:noWrap/>
            <w:vAlign w:val="bottom"/>
            <w:hideMark/>
          </w:tcPr>
          <w:p w14:paraId="0C3F8A7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Potential risk category</w:t>
            </w:r>
          </w:p>
        </w:tc>
        <w:tc>
          <w:tcPr>
            <w:tcW w:w="911" w:type="dxa"/>
            <w:vMerge w:val="restart"/>
            <w:tcBorders>
              <w:top w:val="single" w:sz="4" w:space="0" w:color="auto"/>
              <w:left w:val="nil"/>
              <w:bottom w:val="single" w:sz="4" w:space="0" w:color="000000"/>
              <w:right w:val="nil"/>
            </w:tcBorders>
            <w:shd w:val="clear" w:color="000000" w:fill="F2DCDB"/>
            <w:vAlign w:val="bottom"/>
            <w:hideMark/>
          </w:tcPr>
          <w:p w14:paraId="0C3F8A7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1"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A7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r>
      <w:tr w:rsidR="00B6457B" w:rsidRPr="00393ABA" w14:paraId="0C3F8A85" w14:textId="77777777" w:rsidTr="00605DDA">
        <w:trPr>
          <w:trHeight w:val="20"/>
        </w:trPr>
        <w:tc>
          <w:tcPr>
            <w:tcW w:w="2281"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C3F8A7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NRM</w:t>
            </w:r>
          </w:p>
        </w:tc>
        <w:tc>
          <w:tcPr>
            <w:tcW w:w="1068" w:type="dxa"/>
            <w:tcBorders>
              <w:top w:val="single" w:sz="4" w:space="0" w:color="auto"/>
              <w:left w:val="nil"/>
              <w:bottom w:val="nil"/>
              <w:right w:val="single" w:sz="4" w:space="0" w:color="auto"/>
            </w:tcBorders>
            <w:shd w:val="clear" w:color="000000" w:fill="F2F2F2"/>
            <w:noWrap/>
            <w:vAlign w:val="bottom"/>
            <w:hideMark/>
          </w:tcPr>
          <w:p w14:paraId="0C3F8A7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Tot</w:t>
            </w:r>
          </w:p>
        </w:tc>
        <w:tc>
          <w:tcPr>
            <w:tcW w:w="722" w:type="dxa"/>
            <w:tcBorders>
              <w:top w:val="nil"/>
              <w:left w:val="nil"/>
              <w:bottom w:val="single" w:sz="4" w:space="0" w:color="auto"/>
              <w:right w:val="nil"/>
            </w:tcBorders>
            <w:shd w:val="clear" w:color="000000" w:fill="F2F2F2"/>
            <w:noWrap/>
            <w:vAlign w:val="bottom"/>
            <w:hideMark/>
          </w:tcPr>
          <w:p w14:paraId="0C3F8A78" w14:textId="77777777" w:rsidR="00B6457B" w:rsidRPr="00393ABA" w:rsidRDefault="00B6457B" w:rsidP="00393ABA">
            <w:pPr>
              <w:spacing w:after="120"/>
              <w:jc w:val="center"/>
              <w:rPr>
                <w:rFonts w:ascii="Calibri" w:hAnsi="Calibri" w:cs="Calibri"/>
                <w:b/>
                <w:bCs/>
                <w:color w:val="1F497D"/>
                <w:sz w:val="20"/>
                <w:szCs w:val="20"/>
              </w:rPr>
            </w:pPr>
            <w:r w:rsidRPr="00393ABA">
              <w:rPr>
                <w:rFonts w:ascii="Calibri" w:hAnsi="Calibri" w:cs="Calibri"/>
                <w:b/>
                <w:bCs/>
                <w:color w:val="1F497D"/>
                <w:sz w:val="20"/>
                <w:szCs w:val="20"/>
              </w:rPr>
              <w:t>Rare</w:t>
            </w:r>
          </w:p>
        </w:tc>
        <w:tc>
          <w:tcPr>
            <w:tcW w:w="780" w:type="dxa"/>
            <w:tcBorders>
              <w:top w:val="nil"/>
              <w:left w:val="nil"/>
              <w:bottom w:val="single" w:sz="4" w:space="0" w:color="auto"/>
              <w:right w:val="nil"/>
            </w:tcBorders>
            <w:shd w:val="clear" w:color="000000" w:fill="F2F2F2"/>
            <w:noWrap/>
            <w:vAlign w:val="bottom"/>
            <w:hideMark/>
          </w:tcPr>
          <w:p w14:paraId="0C3F8A79" w14:textId="77777777" w:rsidR="00B6457B" w:rsidRPr="00393ABA" w:rsidRDefault="00B6457B" w:rsidP="00393ABA">
            <w:pPr>
              <w:spacing w:after="120"/>
              <w:jc w:val="center"/>
              <w:rPr>
                <w:rFonts w:ascii="Calibri" w:hAnsi="Calibri" w:cs="Calibri"/>
                <w:b/>
                <w:bCs/>
                <w:color w:val="31869B"/>
                <w:sz w:val="20"/>
                <w:szCs w:val="20"/>
              </w:rPr>
            </w:pPr>
            <w:r w:rsidRPr="00393ABA">
              <w:rPr>
                <w:rFonts w:ascii="Calibri" w:hAnsi="Calibri" w:cs="Calibri"/>
                <w:b/>
                <w:bCs/>
                <w:color w:val="31869B"/>
                <w:sz w:val="20"/>
                <w:szCs w:val="20"/>
              </w:rPr>
              <w:t>Infreq.</w:t>
            </w:r>
          </w:p>
        </w:tc>
        <w:tc>
          <w:tcPr>
            <w:tcW w:w="751" w:type="dxa"/>
            <w:tcBorders>
              <w:top w:val="nil"/>
              <w:left w:val="nil"/>
              <w:bottom w:val="single" w:sz="4" w:space="0" w:color="auto"/>
              <w:right w:val="nil"/>
            </w:tcBorders>
            <w:shd w:val="clear" w:color="000000" w:fill="F2F2F2"/>
            <w:noWrap/>
            <w:vAlign w:val="bottom"/>
            <w:hideMark/>
          </w:tcPr>
          <w:p w14:paraId="0C3F8A7A" w14:textId="77777777" w:rsidR="00B6457B" w:rsidRPr="00393ABA" w:rsidRDefault="00B6457B" w:rsidP="00393ABA">
            <w:pPr>
              <w:spacing w:after="120"/>
              <w:jc w:val="center"/>
              <w:rPr>
                <w:rFonts w:ascii="Calibri" w:hAnsi="Calibri" w:cs="Calibri"/>
                <w:b/>
                <w:bCs/>
                <w:color w:val="FFC000"/>
                <w:sz w:val="20"/>
                <w:szCs w:val="20"/>
              </w:rPr>
            </w:pPr>
            <w:r w:rsidRPr="00393ABA">
              <w:rPr>
                <w:rFonts w:ascii="Calibri" w:hAnsi="Calibri" w:cs="Calibri"/>
                <w:b/>
                <w:bCs/>
                <w:color w:val="FFC000"/>
                <w:sz w:val="20"/>
                <w:szCs w:val="20"/>
              </w:rPr>
              <w:t>Occas.</w:t>
            </w:r>
          </w:p>
        </w:tc>
        <w:tc>
          <w:tcPr>
            <w:tcW w:w="723" w:type="dxa"/>
            <w:tcBorders>
              <w:top w:val="nil"/>
              <w:left w:val="nil"/>
              <w:bottom w:val="single" w:sz="4" w:space="0" w:color="auto"/>
              <w:right w:val="nil"/>
            </w:tcBorders>
            <w:shd w:val="clear" w:color="000000" w:fill="F2F2F2"/>
            <w:noWrap/>
            <w:vAlign w:val="bottom"/>
            <w:hideMark/>
          </w:tcPr>
          <w:p w14:paraId="0C3F8A7B" w14:textId="77777777" w:rsidR="00B6457B" w:rsidRPr="00393ABA" w:rsidRDefault="00B6457B" w:rsidP="00393ABA">
            <w:pPr>
              <w:spacing w:after="120"/>
              <w:jc w:val="center"/>
              <w:rPr>
                <w:rFonts w:ascii="Calibri" w:hAnsi="Calibri" w:cs="Calibri"/>
                <w:b/>
                <w:bCs/>
                <w:color w:val="F79646"/>
                <w:sz w:val="20"/>
                <w:szCs w:val="20"/>
              </w:rPr>
            </w:pPr>
            <w:r w:rsidRPr="00393ABA">
              <w:rPr>
                <w:rFonts w:ascii="Calibri" w:hAnsi="Calibri" w:cs="Calibri"/>
                <w:b/>
                <w:bCs/>
                <w:color w:val="F79646"/>
                <w:sz w:val="20"/>
                <w:szCs w:val="20"/>
              </w:rPr>
              <w:t>Freq.</w:t>
            </w:r>
          </w:p>
        </w:tc>
        <w:tc>
          <w:tcPr>
            <w:tcW w:w="761" w:type="dxa"/>
            <w:tcBorders>
              <w:top w:val="nil"/>
              <w:left w:val="nil"/>
              <w:bottom w:val="single" w:sz="4" w:space="0" w:color="auto"/>
              <w:right w:val="nil"/>
            </w:tcBorders>
            <w:shd w:val="clear" w:color="000000" w:fill="F2F2F2"/>
            <w:noWrap/>
            <w:vAlign w:val="bottom"/>
            <w:hideMark/>
          </w:tcPr>
          <w:p w14:paraId="0C3F8A7C" w14:textId="77777777" w:rsidR="00B6457B" w:rsidRPr="00393ABA" w:rsidRDefault="00B6457B" w:rsidP="00393ABA">
            <w:pPr>
              <w:spacing w:after="120"/>
              <w:jc w:val="center"/>
              <w:rPr>
                <w:rFonts w:ascii="Calibri" w:hAnsi="Calibri" w:cs="Calibri"/>
                <w:b/>
                <w:bCs/>
                <w:color w:val="FF0000"/>
                <w:sz w:val="20"/>
                <w:szCs w:val="20"/>
              </w:rPr>
            </w:pPr>
            <w:r w:rsidRPr="00393ABA">
              <w:rPr>
                <w:rFonts w:ascii="Calibri" w:hAnsi="Calibri" w:cs="Calibri"/>
                <w:b/>
                <w:bCs/>
                <w:color w:val="FF0000"/>
                <w:sz w:val="20"/>
                <w:szCs w:val="20"/>
              </w:rPr>
              <w:t>V.Freq</w:t>
            </w:r>
          </w:p>
        </w:tc>
        <w:tc>
          <w:tcPr>
            <w:tcW w:w="911" w:type="dxa"/>
            <w:vMerge/>
            <w:tcBorders>
              <w:top w:val="single" w:sz="4" w:space="0" w:color="auto"/>
              <w:left w:val="nil"/>
              <w:bottom w:val="single" w:sz="4" w:space="0" w:color="000000"/>
              <w:right w:val="nil"/>
            </w:tcBorders>
            <w:vAlign w:val="center"/>
            <w:hideMark/>
          </w:tcPr>
          <w:p w14:paraId="0C3F8A7D" w14:textId="77777777" w:rsidR="00B6457B" w:rsidRPr="00393ABA" w:rsidRDefault="00B6457B" w:rsidP="00393ABA">
            <w:pPr>
              <w:spacing w:after="120"/>
              <w:jc w:val="left"/>
              <w:rPr>
                <w:rFonts w:ascii="Calibri" w:hAnsi="Calibri" w:cs="Calibri"/>
                <w:b/>
                <w:bCs/>
                <w:sz w:val="20"/>
                <w:szCs w:val="20"/>
              </w:rPr>
            </w:pPr>
          </w:p>
        </w:tc>
        <w:tc>
          <w:tcPr>
            <w:tcW w:w="911" w:type="dxa"/>
            <w:vMerge/>
            <w:tcBorders>
              <w:top w:val="single" w:sz="4" w:space="0" w:color="auto"/>
              <w:left w:val="nil"/>
              <w:bottom w:val="single" w:sz="4" w:space="0" w:color="000000"/>
              <w:right w:val="single" w:sz="4" w:space="0" w:color="auto"/>
            </w:tcBorders>
            <w:vAlign w:val="center"/>
            <w:hideMark/>
          </w:tcPr>
          <w:p w14:paraId="0C3F8A7E" w14:textId="77777777" w:rsidR="00B6457B" w:rsidRPr="00393ABA" w:rsidRDefault="00B6457B" w:rsidP="00393ABA">
            <w:pPr>
              <w:spacing w:after="120"/>
              <w:jc w:val="left"/>
              <w:rPr>
                <w:rFonts w:ascii="Calibri" w:hAnsi="Calibri" w:cs="Calibri"/>
                <w:b/>
                <w:bCs/>
                <w:sz w:val="20"/>
                <w:szCs w:val="20"/>
              </w:rPr>
            </w:pPr>
          </w:p>
        </w:tc>
        <w:tc>
          <w:tcPr>
            <w:tcW w:w="723" w:type="dxa"/>
            <w:tcBorders>
              <w:top w:val="nil"/>
              <w:left w:val="nil"/>
              <w:bottom w:val="nil"/>
              <w:right w:val="nil"/>
            </w:tcBorders>
            <w:shd w:val="clear" w:color="000000" w:fill="0070C0"/>
            <w:noWrap/>
            <w:vAlign w:val="bottom"/>
            <w:hideMark/>
          </w:tcPr>
          <w:p w14:paraId="0C3F8A7F"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w:t>
            </w:r>
          </w:p>
        </w:tc>
        <w:tc>
          <w:tcPr>
            <w:tcW w:w="917" w:type="dxa"/>
            <w:tcBorders>
              <w:top w:val="nil"/>
              <w:left w:val="nil"/>
              <w:bottom w:val="nil"/>
              <w:right w:val="nil"/>
            </w:tcBorders>
            <w:shd w:val="clear" w:color="000000" w:fill="00B050"/>
            <w:noWrap/>
            <w:vAlign w:val="bottom"/>
            <w:hideMark/>
          </w:tcPr>
          <w:p w14:paraId="0C3F8A80"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w:t>
            </w:r>
          </w:p>
        </w:tc>
        <w:tc>
          <w:tcPr>
            <w:tcW w:w="723" w:type="dxa"/>
            <w:tcBorders>
              <w:top w:val="nil"/>
              <w:left w:val="nil"/>
              <w:bottom w:val="nil"/>
              <w:right w:val="nil"/>
            </w:tcBorders>
            <w:shd w:val="clear" w:color="000000" w:fill="FF0000"/>
            <w:noWrap/>
            <w:vAlign w:val="bottom"/>
            <w:hideMark/>
          </w:tcPr>
          <w:p w14:paraId="0C3F8A81"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III</w:t>
            </w:r>
          </w:p>
        </w:tc>
        <w:tc>
          <w:tcPr>
            <w:tcW w:w="988" w:type="dxa"/>
            <w:tcBorders>
              <w:top w:val="nil"/>
              <w:left w:val="nil"/>
              <w:bottom w:val="nil"/>
              <w:right w:val="nil"/>
            </w:tcBorders>
            <w:shd w:val="clear" w:color="000000" w:fill="C00000"/>
            <w:noWrap/>
            <w:vAlign w:val="bottom"/>
            <w:hideMark/>
          </w:tcPr>
          <w:p w14:paraId="0C3F8A82"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IV</w:t>
            </w:r>
          </w:p>
        </w:tc>
        <w:tc>
          <w:tcPr>
            <w:tcW w:w="911" w:type="dxa"/>
            <w:vMerge/>
            <w:tcBorders>
              <w:top w:val="single" w:sz="4" w:space="0" w:color="auto"/>
              <w:left w:val="nil"/>
              <w:bottom w:val="single" w:sz="4" w:space="0" w:color="000000"/>
              <w:right w:val="nil"/>
            </w:tcBorders>
            <w:vAlign w:val="center"/>
            <w:hideMark/>
          </w:tcPr>
          <w:p w14:paraId="0C3F8A83" w14:textId="77777777" w:rsidR="00B6457B" w:rsidRPr="00393ABA" w:rsidRDefault="00B6457B" w:rsidP="00393ABA">
            <w:pPr>
              <w:spacing w:after="120"/>
              <w:jc w:val="left"/>
              <w:rPr>
                <w:rFonts w:ascii="Calibri" w:hAnsi="Calibri" w:cs="Calibri"/>
                <w:b/>
                <w:bCs/>
                <w:sz w:val="20"/>
                <w:szCs w:val="20"/>
              </w:rPr>
            </w:pPr>
          </w:p>
        </w:tc>
        <w:tc>
          <w:tcPr>
            <w:tcW w:w="911" w:type="dxa"/>
            <w:vMerge/>
            <w:tcBorders>
              <w:top w:val="single" w:sz="4" w:space="0" w:color="auto"/>
              <w:left w:val="nil"/>
              <w:bottom w:val="single" w:sz="4" w:space="0" w:color="000000"/>
              <w:right w:val="single" w:sz="4" w:space="0" w:color="auto"/>
            </w:tcBorders>
            <w:vAlign w:val="center"/>
            <w:hideMark/>
          </w:tcPr>
          <w:p w14:paraId="0C3F8A84" w14:textId="77777777" w:rsidR="00B6457B" w:rsidRPr="00393ABA" w:rsidRDefault="00B6457B" w:rsidP="00393ABA">
            <w:pPr>
              <w:spacing w:after="120"/>
              <w:jc w:val="left"/>
              <w:rPr>
                <w:rFonts w:ascii="Calibri" w:hAnsi="Calibri" w:cs="Calibri"/>
                <w:b/>
                <w:bCs/>
                <w:sz w:val="20"/>
                <w:szCs w:val="20"/>
              </w:rPr>
            </w:pPr>
          </w:p>
        </w:tc>
      </w:tr>
      <w:tr w:rsidR="00B6457B" w:rsidRPr="00393ABA" w14:paraId="0C3F8A96" w14:textId="77777777" w:rsidTr="00605DDA">
        <w:trPr>
          <w:trHeight w:val="20"/>
        </w:trPr>
        <w:tc>
          <w:tcPr>
            <w:tcW w:w="1406" w:type="dxa"/>
            <w:vMerge w:val="restart"/>
            <w:tcBorders>
              <w:top w:val="single" w:sz="4" w:space="0" w:color="auto"/>
              <w:left w:val="single" w:sz="4" w:space="0" w:color="auto"/>
              <w:bottom w:val="double" w:sz="6" w:space="0" w:color="000000"/>
              <w:right w:val="nil"/>
            </w:tcBorders>
            <w:shd w:val="clear" w:color="000000" w:fill="F2F2F2"/>
            <w:noWrap/>
            <w:vAlign w:val="center"/>
            <w:hideMark/>
          </w:tcPr>
          <w:p w14:paraId="0C3F8A8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GBR</w:t>
            </w:r>
          </w:p>
        </w:tc>
        <w:tc>
          <w:tcPr>
            <w:tcW w:w="875" w:type="dxa"/>
            <w:tcBorders>
              <w:top w:val="single" w:sz="4" w:space="0" w:color="auto"/>
              <w:left w:val="single" w:sz="4" w:space="0" w:color="auto"/>
              <w:bottom w:val="nil"/>
              <w:right w:val="single" w:sz="4" w:space="0" w:color="auto"/>
            </w:tcBorders>
            <w:shd w:val="clear" w:color="000000" w:fill="F2F2F2"/>
            <w:noWrap/>
            <w:vAlign w:val="center"/>
            <w:hideMark/>
          </w:tcPr>
          <w:p w14:paraId="0C3F8A8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 xml:space="preserve">area </w:t>
            </w:r>
          </w:p>
        </w:tc>
        <w:tc>
          <w:tcPr>
            <w:tcW w:w="1068" w:type="dxa"/>
            <w:tcBorders>
              <w:top w:val="single" w:sz="4" w:space="0" w:color="auto"/>
              <w:left w:val="nil"/>
              <w:bottom w:val="nil"/>
              <w:right w:val="single" w:sz="4" w:space="0" w:color="auto"/>
            </w:tcBorders>
            <w:shd w:val="clear" w:color="000000" w:fill="F2F2F2"/>
            <w:noWrap/>
            <w:vAlign w:val="bottom"/>
            <w:hideMark/>
          </w:tcPr>
          <w:p w14:paraId="0C3F8A8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348753</w:t>
            </w:r>
          </w:p>
        </w:tc>
        <w:tc>
          <w:tcPr>
            <w:tcW w:w="722" w:type="dxa"/>
            <w:tcBorders>
              <w:top w:val="nil"/>
              <w:left w:val="nil"/>
              <w:bottom w:val="nil"/>
              <w:right w:val="nil"/>
            </w:tcBorders>
            <w:shd w:val="clear" w:color="auto" w:fill="auto"/>
            <w:noWrap/>
            <w:vAlign w:val="bottom"/>
            <w:hideMark/>
          </w:tcPr>
          <w:p w14:paraId="0C3F8A8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45991</w:t>
            </w:r>
          </w:p>
        </w:tc>
        <w:tc>
          <w:tcPr>
            <w:tcW w:w="780" w:type="dxa"/>
            <w:tcBorders>
              <w:top w:val="nil"/>
              <w:left w:val="nil"/>
              <w:bottom w:val="nil"/>
              <w:right w:val="nil"/>
            </w:tcBorders>
            <w:shd w:val="clear" w:color="auto" w:fill="auto"/>
            <w:noWrap/>
            <w:vAlign w:val="bottom"/>
            <w:hideMark/>
          </w:tcPr>
          <w:p w14:paraId="0C3F8A8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20251</w:t>
            </w:r>
          </w:p>
        </w:tc>
        <w:tc>
          <w:tcPr>
            <w:tcW w:w="751" w:type="dxa"/>
            <w:tcBorders>
              <w:top w:val="nil"/>
              <w:left w:val="nil"/>
              <w:bottom w:val="nil"/>
              <w:right w:val="nil"/>
            </w:tcBorders>
            <w:shd w:val="clear" w:color="auto" w:fill="auto"/>
            <w:noWrap/>
            <w:vAlign w:val="bottom"/>
            <w:hideMark/>
          </w:tcPr>
          <w:p w14:paraId="0C3F8A8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24584</w:t>
            </w:r>
          </w:p>
        </w:tc>
        <w:tc>
          <w:tcPr>
            <w:tcW w:w="723" w:type="dxa"/>
            <w:tcBorders>
              <w:top w:val="nil"/>
              <w:left w:val="nil"/>
              <w:bottom w:val="nil"/>
              <w:right w:val="nil"/>
            </w:tcBorders>
            <w:shd w:val="clear" w:color="auto" w:fill="auto"/>
            <w:noWrap/>
            <w:vAlign w:val="bottom"/>
            <w:hideMark/>
          </w:tcPr>
          <w:p w14:paraId="0C3F8A8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21304</w:t>
            </w:r>
          </w:p>
        </w:tc>
        <w:tc>
          <w:tcPr>
            <w:tcW w:w="761" w:type="dxa"/>
            <w:tcBorders>
              <w:top w:val="nil"/>
              <w:left w:val="nil"/>
              <w:bottom w:val="nil"/>
              <w:right w:val="nil"/>
            </w:tcBorders>
            <w:shd w:val="clear" w:color="auto" w:fill="auto"/>
            <w:noWrap/>
            <w:vAlign w:val="bottom"/>
            <w:hideMark/>
          </w:tcPr>
          <w:p w14:paraId="0C3F8A8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41723</w:t>
            </w:r>
          </w:p>
        </w:tc>
        <w:tc>
          <w:tcPr>
            <w:tcW w:w="911" w:type="dxa"/>
            <w:tcBorders>
              <w:top w:val="nil"/>
              <w:left w:val="nil"/>
              <w:bottom w:val="nil"/>
              <w:right w:val="nil"/>
            </w:tcBorders>
            <w:shd w:val="clear" w:color="000000" w:fill="F2DCDB"/>
            <w:noWrap/>
            <w:vAlign w:val="bottom"/>
            <w:hideMark/>
          </w:tcPr>
          <w:p w14:paraId="0C3F8A8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153852</w:t>
            </w:r>
          </w:p>
        </w:tc>
        <w:tc>
          <w:tcPr>
            <w:tcW w:w="911" w:type="dxa"/>
            <w:tcBorders>
              <w:top w:val="nil"/>
              <w:left w:val="nil"/>
              <w:bottom w:val="nil"/>
              <w:right w:val="single" w:sz="4" w:space="0" w:color="auto"/>
            </w:tcBorders>
            <w:shd w:val="clear" w:color="000000" w:fill="F2DCDB"/>
            <w:noWrap/>
            <w:vAlign w:val="bottom"/>
            <w:hideMark/>
          </w:tcPr>
          <w:p w14:paraId="0C3F8A8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194901</w:t>
            </w:r>
          </w:p>
        </w:tc>
        <w:tc>
          <w:tcPr>
            <w:tcW w:w="723" w:type="dxa"/>
            <w:tcBorders>
              <w:top w:val="single" w:sz="4" w:space="0" w:color="auto"/>
              <w:left w:val="nil"/>
              <w:bottom w:val="nil"/>
              <w:right w:val="nil"/>
            </w:tcBorders>
            <w:shd w:val="clear" w:color="auto" w:fill="auto"/>
            <w:noWrap/>
            <w:vAlign w:val="bottom"/>
            <w:hideMark/>
          </w:tcPr>
          <w:p w14:paraId="0C3F8A9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67194</w:t>
            </w:r>
          </w:p>
        </w:tc>
        <w:tc>
          <w:tcPr>
            <w:tcW w:w="917" w:type="dxa"/>
            <w:tcBorders>
              <w:top w:val="single" w:sz="4" w:space="0" w:color="auto"/>
              <w:left w:val="nil"/>
              <w:bottom w:val="nil"/>
              <w:right w:val="nil"/>
            </w:tcBorders>
            <w:shd w:val="clear" w:color="auto" w:fill="auto"/>
            <w:noWrap/>
            <w:vAlign w:val="bottom"/>
            <w:hideMark/>
          </w:tcPr>
          <w:p w14:paraId="0C3F8A9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64466</w:t>
            </w:r>
          </w:p>
        </w:tc>
        <w:tc>
          <w:tcPr>
            <w:tcW w:w="723" w:type="dxa"/>
            <w:tcBorders>
              <w:top w:val="single" w:sz="4" w:space="0" w:color="auto"/>
              <w:left w:val="nil"/>
              <w:bottom w:val="nil"/>
              <w:right w:val="nil"/>
            </w:tcBorders>
            <w:shd w:val="clear" w:color="auto" w:fill="auto"/>
            <w:noWrap/>
            <w:vAlign w:val="bottom"/>
            <w:hideMark/>
          </w:tcPr>
          <w:p w14:paraId="0C3F8A9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20782</w:t>
            </w:r>
          </w:p>
        </w:tc>
        <w:tc>
          <w:tcPr>
            <w:tcW w:w="988" w:type="dxa"/>
            <w:tcBorders>
              <w:top w:val="single" w:sz="4" w:space="0" w:color="auto"/>
              <w:left w:val="nil"/>
              <w:bottom w:val="nil"/>
              <w:right w:val="nil"/>
            </w:tcBorders>
            <w:shd w:val="clear" w:color="auto" w:fill="auto"/>
            <w:noWrap/>
            <w:vAlign w:val="bottom"/>
            <w:hideMark/>
          </w:tcPr>
          <w:p w14:paraId="0C3F8A9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1168</w:t>
            </w:r>
          </w:p>
        </w:tc>
        <w:tc>
          <w:tcPr>
            <w:tcW w:w="911" w:type="dxa"/>
            <w:tcBorders>
              <w:top w:val="nil"/>
              <w:left w:val="nil"/>
              <w:bottom w:val="nil"/>
              <w:right w:val="nil"/>
            </w:tcBorders>
            <w:shd w:val="clear" w:color="000000" w:fill="F2DCDB"/>
            <w:noWrap/>
            <w:vAlign w:val="bottom"/>
            <w:hideMark/>
          </w:tcPr>
          <w:p w14:paraId="0C3F8A9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153610</w:t>
            </w:r>
          </w:p>
        </w:tc>
        <w:tc>
          <w:tcPr>
            <w:tcW w:w="911" w:type="dxa"/>
            <w:tcBorders>
              <w:top w:val="nil"/>
              <w:left w:val="nil"/>
              <w:bottom w:val="nil"/>
              <w:right w:val="single" w:sz="4" w:space="0" w:color="auto"/>
            </w:tcBorders>
            <w:shd w:val="clear" w:color="000000" w:fill="F2DCDB"/>
            <w:noWrap/>
            <w:vAlign w:val="bottom"/>
            <w:hideMark/>
          </w:tcPr>
          <w:p w14:paraId="0C3F8A9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195143</w:t>
            </w:r>
          </w:p>
        </w:tc>
      </w:tr>
      <w:tr w:rsidR="00B6457B" w:rsidRPr="00393ABA" w14:paraId="0C3F8AA7" w14:textId="77777777" w:rsidTr="00605DDA">
        <w:trPr>
          <w:trHeight w:val="252"/>
        </w:trPr>
        <w:tc>
          <w:tcPr>
            <w:tcW w:w="1406" w:type="dxa"/>
            <w:vMerge/>
            <w:tcBorders>
              <w:top w:val="single" w:sz="4" w:space="0" w:color="auto"/>
              <w:left w:val="single" w:sz="4" w:space="0" w:color="auto"/>
              <w:bottom w:val="double" w:sz="6" w:space="0" w:color="000000"/>
              <w:right w:val="nil"/>
            </w:tcBorders>
            <w:vAlign w:val="center"/>
            <w:hideMark/>
          </w:tcPr>
          <w:p w14:paraId="0C3F8A97"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single" w:sz="4" w:space="0" w:color="auto"/>
              <w:bottom w:val="double" w:sz="6" w:space="0" w:color="auto"/>
              <w:right w:val="single" w:sz="4" w:space="0" w:color="auto"/>
            </w:tcBorders>
            <w:shd w:val="clear" w:color="000000" w:fill="F2F2F2"/>
            <w:noWrap/>
            <w:vAlign w:val="center"/>
            <w:hideMark/>
          </w:tcPr>
          <w:p w14:paraId="0C3F8A98"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w:t>
            </w:r>
          </w:p>
        </w:tc>
        <w:tc>
          <w:tcPr>
            <w:tcW w:w="1068" w:type="dxa"/>
            <w:tcBorders>
              <w:top w:val="nil"/>
              <w:left w:val="nil"/>
              <w:bottom w:val="double" w:sz="6" w:space="0" w:color="auto"/>
              <w:right w:val="single" w:sz="4" w:space="0" w:color="auto"/>
            </w:tcBorders>
            <w:shd w:val="clear" w:color="000000" w:fill="F2F2F2"/>
            <w:noWrap/>
            <w:vAlign w:val="bottom"/>
            <w:hideMark/>
          </w:tcPr>
          <w:p w14:paraId="0C3F8A99"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100%</w:t>
            </w:r>
          </w:p>
        </w:tc>
        <w:tc>
          <w:tcPr>
            <w:tcW w:w="722" w:type="dxa"/>
            <w:tcBorders>
              <w:top w:val="nil"/>
              <w:left w:val="nil"/>
              <w:bottom w:val="double" w:sz="6" w:space="0" w:color="auto"/>
              <w:right w:val="nil"/>
            </w:tcBorders>
            <w:shd w:val="clear" w:color="auto" w:fill="auto"/>
            <w:noWrap/>
            <w:vAlign w:val="bottom"/>
            <w:hideMark/>
          </w:tcPr>
          <w:p w14:paraId="0C3F8A9A"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13%</w:t>
            </w:r>
          </w:p>
        </w:tc>
        <w:tc>
          <w:tcPr>
            <w:tcW w:w="780" w:type="dxa"/>
            <w:tcBorders>
              <w:top w:val="nil"/>
              <w:left w:val="nil"/>
              <w:bottom w:val="double" w:sz="6" w:space="0" w:color="auto"/>
              <w:right w:val="nil"/>
            </w:tcBorders>
            <w:shd w:val="clear" w:color="auto" w:fill="auto"/>
            <w:noWrap/>
            <w:vAlign w:val="bottom"/>
            <w:hideMark/>
          </w:tcPr>
          <w:p w14:paraId="0C3F8A9B"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6%</w:t>
            </w:r>
          </w:p>
        </w:tc>
        <w:tc>
          <w:tcPr>
            <w:tcW w:w="751" w:type="dxa"/>
            <w:tcBorders>
              <w:top w:val="nil"/>
              <w:left w:val="nil"/>
              <w:bottom w:val="double" w:sz="6" w:space="0" w:color="auto"/>
              <w:right w:val="nil"/>
            </w:tcBorders>
            <w:shd w:val="clear" w:color="auto" w:fill="auto"/>
            <w:noWrap/>
            <w:vAlign w:val="bottom"/>
            <w:hideMark/>
          </w:tcPr>
          <w:p w14:paraId="0C3F8A9C"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7%</w:t>
            </w:r>
          </w:p>
        </w:tc>
        <w:tc>
          <w:tcPr>
            <w:tcW w:w="723" w:type="dxa"/>
            <w:tcBorders>
              <w:top w:val="nil"/>
              <w:left w:val="nil"/>
              <w:bottom w:val="double" w:sz="6" w:space="0" w:color="auto"/>
              <w:right w:val="nil"/>
            </w:tcBorders>
            <w:shd w:val="clear" w:color="auto" w:fill="auto"/>
            <w:noWrap/>
            <w:vAlign w:val="bottom"/>
            <w:hideMark/>
          </w:tcPr>
          <w:p w14:paraId="0C3F8A9D"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6%</w:t>
            </w:r>
          </w:p>
        </w:tc>
        <w:tc>
          <w:tcPr>
            <w:tcW w:w="761" w:type="dxa"/>
            <w:tcBorders>
              <w:top w:val="nil"/>
              <w:left w:val="nil"/>
              <w:bottom w:val="double" w:sz="6" w:space="0" w:color="auto"/>
              <w:right w:val="nil"/>
            </w:tcBorders>
            <w:shd w:val="clear" w:color="auto" w:fill="auto"/>
            <w:noWrap/>
            <w:vAlign w:val="bottom"/>
            <w:hideMark/>
          </w:tcPr>
          <w:p w14:paraId="0C3F8A9E"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12%</w:t>
            </w:r>
          </w:p>
        </w:tc>
        <w:tc>
          <w:tcPr>
            <w:tcW w:w="911" w:type="dxa"/>
            <w:tcBorders>
              <w:top w:val="nil"/>
              <w:left w:val="nil"/>
              <w:bottom w:val="double" w:sz="6" w:space="0" w:color="auto"/>
              <w:right w:val="nil"/>
            </w:tcBorders>
            <w:shd w:val="clear" w:color="000000" w:fill="F2DCDB"/>
            <w:noWrap/>
            <w:vAlign w:val="bottom"/>
            <w:hideMark/>
          </w:tcPr>
          <w:p w14:paraId="0C3F8A9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44%</w:t>
            </w:r>
          </w:p>
        </w:tc>
        <w:tc>
          <w:tcPr>
            <w:tcW w:w="911" w:type="dxa"/>
            <w:tcBorders>
              <w:top w:val="nil"/>
              <w:left w:val="nil"/>
              <w:bottom w:val="double" w:sz="6" w:space="0" w:color="auto"/>
              <w:right w:val="single" w:sz="4" w:space="0" w:color="auto"/>
            </w:tcBorders>
            <w:shd w:val="clear" w:color="000000" w:fill="F2DCDB"/>
            <w:noWrap/>
            <w:vAlign w:val="bottom"/>
            <w:hideMark/>
          </w:tcPr>
          <w:p w14:paraId="0C3F8AA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56%</w:t>
            </w:r>
          </w:p>
        </w:tc>
        <w:tc>
          <w:tcPr>
            <w:tcW w:w="723" w:type="dxa"/>
            <w:tcBorders>
              <w:top w:val="nil"/>
              <w:left w:val="nil"/>
              <w:bottom w:val="double" w:sz="6" w:space="0" w:color="auto"/>
              <w:right w:val="nil"/>
            </w:tcBorders>
            <w:shd w:val="clear" w:color="auto" w:fill="auto"/>
            <w:noWrap/>
            <w:vAlign w:val="bottom"/>
            <w:hideMark/>
          </w:tcPr>
          <w:p w14:paraId="0C3F8AA1"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19%</w:t>
            </w:r>
          </w:p>
        </w:tc>
        <w:tc>
          <w:tcPr>
            <w:tcW w:w="917" w:type="dxa"/>
            <w:tcBorders>
              <w:top w:val="nil"/>
              <w:left w:val="nil"/>
              <w:bottom w:val="double" w:sz="6" w:space="0" w:color="auto"/>
              <w:right w:val="nil"/>
            </w:tcBorders>
            <w:shd w:val="clear" w:color="auto" w:fill="auto"/>
            <w:noWrap/>
            <w:vAlign w:val="bottom"/>
            <w:hideMark/>
          </w:tcPr>
          <w:p w14:paraId="0C3F8AA2"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18%</w:t>
            </w:r>
          </w:p>
        </w:tc>
        <w:tc>
          <w:tcPr>
            <w:tcW w:w="723" w:type="dxa"/>
            <w:tcBorders>
              <w:top w:val="nil"/>
              <w:left w:val="nil"/>
              <w:bottom w:val="double" w:sz="6" w:space="0" w:color="auto"/>
              <w:right w:val="nil"/>
            </w:tcBorders>
            <w:shd w:val="clear" w:color="auto" w:fill="auto"/>
            <w:noWrap/>
            <w:vAlign w:val="bottom"/>
            <w:hideMark/>
          </w:tcPr>
          <w:p w14:paraId="0C3F8AA3"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6%</w:t>
            </w:r>
          </w:p>
        </w:tc>
        <w:tc>
          <w:tcPr>
            <w:tcW w:w="988" w:type="dxa"/>
            <w:tcBorders>
              <w:top w:val="nil"/>
              <w:left w:val="nil"/>
              <w:bottom w:val="double" w:sz="6" w:space="0" w:color="auto"/>
              <w:right w:val="nil"/>
            </w:tcBorders>
            <w:shd w:val="clear" w:color="auto" w:fill="auto"/>
            <w:noWrap/>
            <w:vAlign w:val="bottom"/>
            <w:hideMark/>
          </w:tcPr>
          <w:p w14:paraId="0C3F8AA4"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0%</w:t>
            </w:r>
          </w:p>
        </w:tc>
        <w:tc>
          <w:tcPr>
            <w:tcW w:w="911" w:type="dxa"/>
            <w:tcBorders>
              <w:top w:val="nil"/>
              <w:left w:val="nil"/>
              <w:bottom w:val="double" w:sz="6" w:space="0" w:color="auto"/>
              <w:right w:val="nil"/>
            </w:tcBorders>
            <w:shd w:val="clear" w:color="000000" w:fill="F2DCDB"/>
            <w:noWrap/>
            <w:vAlign w:val="bottom"/>
            <w:hideMark/>
          </w:tcPr>
          <w:p w14:paraId="0C3F8AA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44%</w:t>
            </w:r>
          </w:p>
        </w:tc>
        <w:tc>
          <w:tcPr>
            <w:tcW w:w="911" w:type="dxa"/>
            <w:tcBorders>
              <w:top w:val="nil"/>
              <w:left w:val="nil"/>
              <w:bottom w:val="double" w:sz="6" w:space="0" w:color="auto"/>
              <w:right w:val="single" w:sz="4" w:space="0" w:color="auto"/>
            </w:tcBorders>
            <w:shd w:val="clear" w:color="000000" w:fill="F2DCDB"/>
            <w:noWrap/>
            <w:vAlign w:val="bottom"/>
            <w:hideMark/>
          </w:tcPr>
          <w:p w14:paraId="0C3F8AA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56%</w:t>
            </w:r>
          </w:p>
        </w:tc>
      </w:tr>
      <w:tr w:rsidR="00B6457B" w:rsidRPr="00393ABA" w14:paraId="0C3F8AB8" w14:textId="77777777" w:rsidTr="00605DDA">
        <w:trPr>
          <w:trHeight w:val="20"/>
        </w:trPr>
        <w:tc>
          <w:tcPr>
            <w:tcW w:w="1406" w:type="dxa"/>
            <w:vMerge w:val="restart"/>
            <w:tcBorders>
              <w:top w:val="nil"/>
              <w:left w:val="single" w:sz="4" w:space="0" w:color="auto"/>
              <w:bottom w:val="nil"/>
              <w:right w:val="nil"/>
            </w:tcBorders>
            <w:shd w:val="clear" w:color="000000" w:fill="F2F2F2"/>
            <w:noWrap/>
            <w:vAlign w:val="center"/>
            <w:hideMark/>
          </w:tcPr>
          <w:p w14:paraId="0C3F8AA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Cape York</w:t>
            </w:r>
          </w:p>
        </w:tc>
        <w:tc>
          <w:tcPr>
            <w:tcW w:w="875" w:type="dxa"/>
            <w:tcBorders>
              <w:top w:val="nil"/>
              <w:left w:val="single" w:sz="4" w:space="0" w:color="auto"/>
              <w:bottom w:val="nil"/>
              <w:right w:val="single" w:sz="4" w:space="0" w:color="auto"/>
            </w:tcBorders>
            <w:shd w:val="clear" w:color="000000" w:fill="F2F2F2"/>
            <w:noWrap/>
            <w:vAlign w:val="center"/>
            <w:hideMark/>
          </w:tcPr>
          <w:p w14:paraId="0C3F8AA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1068" w:type="dxa"/>
            <w:tcBorders>
              <w:top w:val="nil"/>
              <w:left w:val="nil"/>
              <w:bottom w:val="nil"/>
              <w:right w:val="single" w:sz="4" w:space="0" w:color="auto"/>
            </w:tcBorders>
            <w:shd w:val="clear" w:color="000000" w:fill="F2F2F2"/>
            <w:noWrap/>
            <w:vAlign w:val="bottom"/>
            <w:hideMark/>
          </w:tcPr>
          <w:p w14:paraId="0C3F8AA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96316</w:t>
            </w:r>
          </w:p>
        </w:tc>
        <w:tc>
          <w:tcPr>
            <w:tcW w:w="722" w:type="dxa"/>
            <w:tcBorders>
              <w:top w:val="nil"/>
              <w:left w:val="nil"/>
              <w:bottom w:val="nil"/>
              <w:right w:val="nil"/>
            </w:tcBorders>
            <w:shd w:val="clear" w:color="auto" w:fill="auto"/>
            <w:noWrap/>
            <w:vAlign w:val="bottom"/>
            <w:hideMark/>
          </w:tcPr>
          <w:p w14:paraId="0C3F8AA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9413</w:t>
            </w:r>
          </w:p>
        </w:tc>
        <w:tc>
          <w:tcPr>
            <w:tcW w:w="780" w:type="dxa"/>
            <w:tcBorders>
              <w:top w:val="nil"/>
              <w:left w:val="nil"/>
              <w:bottom w:val="nil"/>
              <w:right w:val="nil"/>
            </w:tcBorders>
            <w:shd w:val="clear" w:color="auto" w:fill="auto"/>
            <w:noWrap/>
            <w:vAlign w:val="bottom"/>
            <w:hideMark/>
          </w:tcPr>
          <w:p w14:paraId="0C3F8AA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5469</w:t>
            </w:r>
          </w:p>
        </w:tc>
        <w:tc>
          <w:tcPr>
            <w:tcW w:w="751" w:type="dxa"/>
            <w:tcBorders>
              <w:top w:val="nil"/>
              <w:left w:val="nil"/>
              <w:bottom w:val="nil"/>
              <w:right w:val="nil"/>
            </w:tcBorders>
            <w:shd w:val="clear" w:color="auto" w:fill="auto"/>
            <w:noWrap/>
            <w:vAlign w:val="bottom"/>
            <w:hideMark/>
          </w:tcPr>
          <w:p w14:paraId="0C3F8AA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5814</w:t>
            </w:r>
          </w:p>
        </w:tc>
        <w:tc>
          <w:tcPr>
            <w:tcW w:w="723" w:type="dxa"/>
            <w:tcBorders>
              <w:top w:val="nil"/>
              <w:left w:val="nil"/>
              <w:bottom w:val="nil"/>
              <w:right w:val="nil"/>
            </w:tcBorders>
            <w:shd w:val="clear" w:color="auto" w:fill="auto"/>
            <w:noWrap/>
            <w:vAlign w:val="bottom"/>
            <w:hideMark/>
          </w:tcPr>
          <w:p w14:paraId="0C3F8AA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6863</w:t>
            </w:r>
          </w:p>
        </w:tc>
        <w:tc>
          <w:tcPr>
            <w:tcW w:w="761" w:type="dxa"/>
            <w:tcBorders>
              <w:top w:val="nil"/>
              <w:left w:val="nil"/>
              <w:bottom w:val="nil"/>
              <w:right w:val="nil"/>
            </w:tcBorders>
            <w:shd w:val="clear" w:color="auto" w:fill="auto"/>
            <w:noWrap/>
            <w:vAlign w:val="bottom"/>
            <w:hideMark/>
          </w:tcPr>
          <w:p w14:paraId="0C3F8AA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7767</w:t>
            </w:r>
          </w:p>
        </w:tc>
        <w:tc>
          <w:tcPr>
            <w:tcW w:w="911" w:type="dxa"/>
            <w:tcBorders>
              <w:top w:val="nil"/>
              <w:left w:val="nil"/>
              <w:bottom w:val="nil"/>
              <w:right w:val="nil"/>
            </w:tcBorders>
            <w:shd w:val="clear" w:color="000000" w:fill="F2DCDB"/>
            <w:noWrap/>
            <w:vAlign w:val="bottom"/>
            <w:hideMark/>
          </w:tcPr>
          <w:p w14:paraId="0C3F8AB0"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35326</w:t>
            </w:r>
          </w:p>
        </w:tc>
        <w:tc>
          <w:tcPr>
            <w:tcW w:w="911" w:type="dxa"/>
            <w:tcBorders>
              <w:top w:val="nil"/>
              <w:left w:val="nil"/>
              <w:bottom w:val="nil"/>
              <w:right w:val="single" w:sz="4" w:space="0" w:color="auto"/>
            </w:tcBorders>
            <w:shd w:val="clear" w:color="000000" w:fill="F2DCDB"/>
            <w:noWrap/>
            <w:vAlign w:val="bottom"/>
            <w:hideMark/>
          </w:tcPr>
          <w:p w14:paraId="0C3F8AB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60990</w:t>
            </w:r>
          </w:p>
        </w:tc>
        <w:tc>
          <w:tcPr>
            <w:tcW w:w="723" w:type="dxa"/>
            <w:tcBorders>
              <w:top w:val="nil"/>
              <w:left w:val="nil"/>
              <w:bottom w:val="nil"/>
              <w:right w:val="nil"/>
            </w:tcBorders>
            <w:shd w:val="clear" w:color="auto" w:fill="auto"/>
            <w:noWrap/>
            <w:vAlign w:val="bottom"/>
            <w:hideMark/>
          </w:tcPr>
          <w:p w14:paraId="0C3F8AB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16034</w:t>
            </w:r>
          </w:p>
        </w:tc>
        <w:tc>
          <w:tcPr>
            <w:tcW w:w="917" w:type="dxa"/>
            <w:tcBorders>
              <w:top w:val="nil"/>
              <w:left w:val="nil"/>
              <w:bottom w:val="nil"/>
              <w:right w:val="nil"/>
            </w:tcBorders>
            <w:shd w:val="clear" w:color="auto" w:fill="auto"/>
            <w:noWrap/>
            <w:vAlign w:val="bottom"/>
            <w:hideMark/>
          </w:tcPr>
          <w:p w14:paraId="0C3F8AB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15800</w:t>
            </w:r>
          </w:p>
        </w:tc>
        <w:tc>
          <w:tcPr>
            <w:tcW w:w="723" w:type="dxa"/>
            <w:tcBorders>
              <w:top w:val="nil"/>
              <w:left w:val="nil"/>
              <w:bottom w:val="nil"/>
              <w:right w:val="nil"/>
            </w:tcBorders>
            <w:shd w:val="clear" w:color="auto" w:fill="auto"/>
            <w:noWrap/>
            <w:vAlign w:val="bottom"/>
            <w:hideMark/>
          </w:tcPr>
          <w:p w14:paraId="0C3F8AB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3285</w:t>
            </w:r>
          </w:p>
        </w:tc>
        <w:tc>
          <w:tcPr>
            <w:tcW w:w="988" w:type="dxa"/>
            <w:tcBorders>
              <w:top w:val="nil"/>
              <w:left w:val="nil"/>
              <w:bottom w:val="nil"/>
              <w:right w:val="nil"/>
            </w:tcBorders>
            <w:shd w:val="clear" w:color="auto" w:fill="auto"/>
            <w:noWrap/>
            <w:vAlign w:val="bottom"/>
            <w:hideMark/>
          </w:tcPr>
          <w:p w14:paraId="0C3F8AB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69</w:t>
            </w:r>
          </w:p>
        </w:tc>
        <w:tc>
          <w:tcPr>
            <w:tcW w:w="911" w:type="dxa"/>
            <w:tcBorders>
              <w:top w:val="nil"/>
              <w:left w:val="nil"/>
              <w:bottom w:val="nil"/>
              <w:right w:val="nil"/>
            </w:tcBorders>
            <w:shd w:val="clear" w:color="000000" w:fill="F2DCDB"/>
            <w:noWrap/>
            <w:vAlign w:val="bottom"/>
            <w:hideMark/>
          </w:tcPr>
          <w:p w14:paraId="0C3F8AB6"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35188</w:t>
            </w:r>
          </w:p>
        </w:tc>
        <w:tc>
          <w:tcPr>
            <w:tcW w:w="911" w:type="dxa"/>
            <w:tcBorders>
              <w:top w:val="nil"/>
              <w:left w:val="nil"/>
              <w:bottom w:val="nil"/>
              <w:right w:val="single" w:sz="4" w:space="0" w:color="auto"/>
            </w:tcBorders>
            <w:shd w:val="clear" w:color="000000" w:fill="F2DCDB"/>
            <w:noWrap/>
            <w:vAlign w:val="bottom"/>
            <w:hideMark/>
          </w:tcPr>
          <w:p w14:paraId="0C3F8AB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61128</w:t>
            </w:r>
          </w:p>
        </w:tc>
      </w:tr>
      <w:tr w:rsidR="00B6457B" w:rsidRPr="00393ABA" w14:paraId="0C3F8AC9" w14:textId="77777777" w:rsidTr="00605DDA">
        <w:trPr>
          <w:trHeight w:val="20"/>
        </w:trPr>
        <w:tc>
          <w:tcPr>
            <w:tcW w:w="1406" w:type="dxa"/>
            <w:vMerge/>
            <w:tcBorders>
              <w:top w:val="nil"/>
              <w:left w:val="single" w:sz="4" w:space="0" w:color="auto"/>
              <w:bottom w:val="nil"/>
              <w:right w:val="nil"/>
            </w:tcBorders>
            <w:vAlign w:val="center"/>
            <w:hideMark/>
          </w:tcPr>
          <w:p w14:paraId="0C3F8AB9"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single" w:sz="4" w:space="0" w:color="auto"/>
              <w:bottom w:val="nil"/>
              <w:right w:val="single" w:sz="4" w:space="0" w:color="auto"/>
            </w:tcBorders>
            <w:shd w:val="clear" w:color="000000" w:fill="F2F2F2"/>
            <w:noWrap/>
            <w:vAlign w:val="center"/>
            <w:hideMark/>
          </w:tcPr>
          <w:p w14:paraId="0C3F8AB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1068" w:type="dxa"/>
            <w:tcBorders>
              <w:top w:val="nil"/>
              <w:left w:val="nil"/>
              <w:bottom w:val="nil"/>
              <w:right w:val="single" w:sz="4" w:space="0" w:color="auto"/>
            </w:tcBorders>
            <w:shd w:val="clear" w:color="000000" w:fill="F2F2F2"/>
            <w:noWrap/>
            <w:vAlign w:val="bottom"/>
            <w:hideMark/>
          </w:tcPr>
          <w:p w14:paraId="0C3F8AB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22" w:type="dxa"/>
            <w:tcBorders>
              <w:top w:val="nil"/>
              <w:left w:val="nil"/>
              <w:bottom w:val="nil"/>
              <w:right w:val="nil"/>
            </w:tcBorders>
            <w:shd w:val="clear" w:color="auto" w:fill="auto"/>
            <w:noWrap/>
            <w:vAlign w:val="bottom"/>
            <w:hideMark/>
          </w:tcPr>
          <w:p w14:paraId="0C3F8AB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w:t>
            </w:r>
          </w:p>
        </w:tc>
        <w:tc>
          <w:tcPr>
            <w:tcW w:w="780" w:type="dxa"/>
            <w:tcBorders>
              <w:top w:val="nil"/>
              <w:left w:val="nil"/>
              <w:bottom w:val="nil"/>
              <w:right w:val="nil"/>
            </w:tcBorders>
            <w:shd w:val="clear" w:color="auto" w:fill="auto"/>
            <w:noWrap/>
            <w:vAlign w:val="bottom"/>
            <w:hideMark/>
          </w:tcPr>
          <w:p w14:paraId="0C3F8AB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51" w:type="dxa"/>
            <w:tcBorders>
              <w:top w:val="nil"/>
              <w:left w:val="nil"/>
              <w:bottom w:val="nil"/>
              <w:right w:val="nil"/>
            </w:tcBorders>
            <w:shd w:val="clear" w:color="auto" w:fill="auto"/>
            <w:noWrap/>
            <w:vAlign w:val="bottom"/>
            <w:hideMark/>
          </w:tcPr>
          <w:p w14:paraId="0C3F8AB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23" w:type="dxa"/>
            <w:tcBorders>
              <w:top w:val="nil"/>
              <w:left w:val="nil"/>
              <w:bottom w:val="nil"/>
              <w:right w:val="nil"/>
            </w:tcBorders>
            <w:shd w:val="clear" w:color="auto" w:fill="auto"/>
            <w:noWrap/>
            <w:vAlign w:val="bottom"/>
            <w:hideMark/>
          </w:tcPr>
          <w:p w14:paraId="0C3F8AB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761" w:type="dxa"/>
            <w:tcBorders>
              <w:top w:val="nil"/>
              <w:left w:val="nil"/>
              <w:bottom w:val="nil"/>
              <w:right w:val="nil"/>
            </w:tcBorders>
            <w:shd w:val="clear" w:color="auto" w:fill="auto"/>
            <w:noWrap/>
            <w:vAlign w:val="bottom"/>
            <w:hideMark/>
          </w:tcPr>
          <w:p w14:paraId="0C3F8AC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w:t>
            </w:r>
          </w:p>
        </w:tc>
        <w:tc>
          <w:tcPr>
            <w:tcW w:w="911" w:type="dxa"/>
            <w:tcBorders>
              <w:top w:val="nil"/>
              <w:left w:val="nil"/>
              <w:bottom w:val="nil"/>
              <w:right w:val="nil"/>
            </w:tcBorders>
            <w:shd w:val="clear" w:color="000000" w:fill="F2DCDB"/>
            <w:noWrap/>
            <w:vAlign w:val="bottom"/>
            <w:hideMark/>
          </w:tcPr>
          <w:p w14:paraId="0C3F8AC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37%</w:t>
            </w:r>
          </w:p>
        </w:tc>
        <w:tc>
          <w:tcPr>
            <w:tcW w:w="911" w:type="dxa"/>
            <w:tcBorders>
              <w:top w:val="nil"/>
              <w:left w:val="nil"/>
              <w:bottom w:val="nil"/>
              <w:right w:val="single" w:sz="4" w:space="0" w:color="auto"/>
            </w:tcBorders>
            <w:shd w:val="clear" w:color="000000" w:fill="F2DCDB"/>
            <w:noWrap/>
            <w:vAlign w:val="bottom"/>
            <w:hideMark/>
          </w:tcPr>
          <w:p w14:paraId="0C3F8AC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63%</w:t>
            </w:r>
          </w:p>
        </w:tc>
        <w:tc>
          <w:tcPr>
            <w:tcW w:w="723" w:type="dxa"/>
            <w:tcBorders>
              <w:top w:val="nil"/>
              <w:left w:val="nil"/>
              <w:bottom w:val="nil"/>
              <w:right w:val="nil"/>
            </w:tcBorders>
            <w:shd w:val="clear" w:color="auto" w:fill="auto"/>
            <w:noWrap/>
            <w:vAlign w:val="bottom"/>
            <w:hideMark/>
          </w:tcPr>
          <w:p w14:paraId="0C3F8AC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17%</w:t>
            </w:r>
          </w:p>
        </w:tc>
        <w:tc>
          <w:tcPr>
            <w:tcW w:w="917" w:type="dxa"/>
            <w:tcBorders>
              <w:top w:val="nil"/>
              <w:left w:val="nil"/>
              <w:bottom w:val="nil"/>
              <w:right w:val="nil"/>
            </w:tcBorders>
            <w:shd w:val="clear" w:color="auto" w:fill="auto"/>
            <w:noWrap/>
            <w:vAlign w:val="bottom"/>
            <w:hideMark/>
          </w:tcPr>
          <w:p w14:paraId="0C3F8AC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16%</w:t>
            </w:r>
          </w:p>
        </w:tc>
        <w:tc>
          <w:tcPr>
            <w:tcW w:w="723" w:type="dxa"/>
            <w:tcBorders>
              <w:top w:val="nil"/>
              <w:left w:val="nil"/>
              <w:bottom w:val="nil"/>
              <w:right w:val="nil"/>
            </w:tcBorders>
            <w:shd w:val="clear" w:color="auto" w:fill="auto"/>
            <w:noWrap/>
            <w:vAlign w:val="bottom"/>
            <w:hideMark/>
          </w:tcPr>
          <w:p w14:paraId="0C3F8AC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88" w:type="dxa"/>
            <w:tcBorders>
              <w:top w:val="nil"/>
              <w:left w:val="nil"/>
              <w:bottom w:val="nil"/>
              <w:right w:val="nil"/>
            </w:tcBorders>
            <w:shd w:val="clear" w:color="auto" w:fill="auto"/>
            <w:noWrap/>
            <w:vAlign w:val="bottom"/>
            <w:hideMark/>
          </w:tcPr>
          <w:p w14:paraId="0C3F8AC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1" w:type="dxa"/>
            <w:tcBorders>
              <w:top w:val="nil"/>
              <w:left w:val="nil"/>
              <w:bottom w:val="nil"/>
              <w:right w:val="nil"/>
            </w:tcBorders>
            <w:shd w:val="clear" w:color="000000" w:fill="F2DCDB"/>
            <w:noWrap/>
            <w:vAlign w:val="bottom"/>
            <w:hideMark/>
          </w:tcPr>
          <w:p w14:paraId="0C3F8AC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37%</w:t>
            </w:r>
          </w:p>
        </w:tc>
        <w:tc>
          <w:tcPr>
            <w:tcW w:w="911" w:type="dxa"/>
            <w:tcBorders>
              <w:top w:val="nil"/>
              <w:left w:val="nil"/>
              <w:bottom w:val="nil"/>
              <w:right w:val="single" w:sz="4" w:space="0" w:color="auto"/>
            </w:tcBorders>
            <w:shd w:val="clear" w:color="000000" w:fill="F2DCDB"/>
            <w:noWrap/>
            <w:vAlign w:val="bottom"/>
            <w:hideMark/>
          </w:tcPr>
          <w:p w14:paraId="0C3F8AC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63%</w:t>
            </w:r>
          </w:p>
        </w:tc>
      </w:tr>
      <w:tr w:rsidR="00B6457B" w:rsidRPr="00393ABA" w14:paraId="0C3F8ADA" w14:textId="77777777" w:rsidTr="00605DDA">
        <w:trPr>
          <w:trHeight w:val="20"/>
        </w:trPr>
        <w:tc>
          <w:tcPr>
            <w:tcW w:w="1406" w:type="dxa"/>
            <w:vMerge w:val="restart"/>
            <w:tcBorders>
              <w:top w:val="nil"/>
              <w:left w:val="single" w:sz="4" w:space="0" w:color="auto"/>
              <w:bottom w:val="nil"/>
              <w:right w:val="nil"/>
            </w:tcBorders>
            <w:shd w:val="clear" w:color="000000" w:fill="F2F2F2"/>
            <w:noWrap/>
            <w:vAlign w:val="center"/>
            <w:hideMark/>
          </w:tcPr>
          <w:p w14:paraId="0C3F8AC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Wet Tropics</w:t>
            </w:r>
          </w:p>
        </w:tc>
        <w:tc>
          <w:tcPr>
            <w:tcW w:w="875" w:type="dxa"/>
            <w:tcBorders>
              <w:top w:val="nil"/>
              <w:left w:val="single" w:sz="4" w:space="0" w:color="auto"/>
              <w:bottom w:val="nil"/>
              <w:right w:val="single" w:sz="4" w:space="0" w:color="auto"/>
            </w:tcBorders>
            <w:shd w:val="clear" w:color="000000" w:fill="F2F2F2"/>
            <w:noWrap/>
            <w:vAlign w:val="center"/>
            <w:hideMark/>
          </w:tcPr>
          <w:p w14:paraId="0C3F8AC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1068" w:type="dxa"/>
            <w:tcBorders>
              <w:top w:val="nil"/>
              <w:left w:val="nil"/>
              <w:bottom w:val="nil"/>
              <w:right w:val="single" w:sz="4" w:space="0" w:color="auto"/>
            </w:tcBorders>
            <w:shd w:val="clear" w:color="000000" w:fill="F2F2F2"/>
            <w:noWrap/>
            <w:vAlign w:val="bottom"/>
            <w:hideMark/>
          </w:tcPr>
          <w:p w14:paraId="0C3F8AC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31949</w:t>
            </w:r>
          </w:p>
        </w:tc>
        <w:tc>
          <w:tcPr>
            <w:tcW w:w="722" w:type="dxa"/>
            <w:tcBorders>
              <w:top w:val="nil"/>
              <w:left w:val="nil"/>
              <w:bottom w:val="nil"/>
              <w:right w:val="nil"/>
            </w:tcBorders>
            <w:shd w:val="clear" w:color="auto" w:fill="auto"/>
            <w:noWrap/>
            <w:vAlign w:val="bottom"/>
            <w:hideMark/>
          </w:tcPr>
          <w:p w14:paraId="0C3F8AC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7225</w:t>
            </w:r>
          </w:p>
        </w:tc>
        <w:tc>
          <w:tcPr>
            <w:tcW w:w="780" w:type="dxa"/>
            <w:tcBorders>
              <w:top w:val="nil"/>
              <w:left w:val="nil"/>
              <w:bottom w:val="nil"/>
              <w:right w:val="nil"/>
            </w:tcBorders>
            <w:shd w:val="clear" w:color="auto" w:fill="auto"/>
            <w:noWrap/>
            <w:vAlign w:val="bottom"/>
            <w:hideMark/>
          </w:tcPr>
          <w:p w14:paraId="0C3F8AC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4441</w:t>
            </w:r>
          </w:p>
        </w:tc>
        <w:tc>
          <w:tcPr>
            <w:tcW w:w="751" w:type="dxa"/>
            <w:tcBorders>
              <w:top w:val="nil"/>
              <w:left w:val="nil"/>
              <w:bottom w:val="nil"/>
              <w:right w:val="nil"/>
            </w:tcBorders>
            <w:shd w:val="clear" w:color="auto" w:fill="auto"/>
            <w:noWrap/>
            <w:vAlign w:val="bottom"/>
            <w:hideMark/>
          </w:tcPr>
          <w:p w14:paraId="0C3F8AC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2209</w:t>
            </w:r>
          </w:p>
        </w:tc>
        <w:tc>
          <w:tcPr>
            <w:tcW w:w="723" w:type="dxa"/>
            <w:tcBorders>
              <w:top w:val="nil"/>
              <w:left w:val="nil"/>
              <w:bottom w:val="nil"/>
              <w:right w:val="nil"/>
            </w:tcBorders>
            <w:shd w:val="clear" w:color="auto" w:fill="auto"/>
            <w:noWrap/>
            <w:vAlign w:val="bottom"/>
            <w:hideMark/>
          </w:tcPr>
          <w:p w14:paraId="0C3F8AD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1992</w:t>
            </w:r>
          </w:p>
        </w:tc>
        <w:tc>
          <w:tcPr>
            <w:tcW w:w="761" w:type="dxa"/>
            <w:tcBorders>
              <w:top w:val="nil"/>
              <w:left w:val="nil"/>
              <w:bottom w:val="nil"/>
              <w:right w:val="nil"/>
            </w:tcBorders>
            <w:shd w:val="clear" w:color="auto" w:fill="auto"/>
            <w:noWrap/>
            <w:vAlign w:val="bottom"/>
            <w:hideMark/>
          </w:tcPr>
          <w:p w14:paraId="0C3F8AD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3980</w:t>
            </w:r>
          </w:p>
        </w:tc>
        <w:tc>
          <w:tcPr>
            <w:tcW w:w="911" w:type="dxa"/>
            <w:tcBorders>
              <w:top w:val="nil"/>
              <w:left w:val="nil"/>
              <w:bottom w:val="nil"/>
              <w:right w:val="nil"/>
            </w:tcBorders>
            <w:shd w:val="clear" w:color="000000" w:fill="F2DCDB"/>
            <w:noWrap/>
            <w:vAlign w:val="bottom"/>
            <w:hideMark/>
          </w:tcPr>
          <w:p w14:paraId="0C3F8AD2"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19847</w:t>
            </w:r>
          </w:p>
        </w:tc>
        <w:tc>
          <w:tcPr>
            <w:tcW w:w="911" w:type="dxa"/>
            <w:tcBorders>
              <w:top w:val="nil"/>
              <w:left w:val="nil"/>
              <w:bottom w:val="nil"/>
              <w:right w:val="single" w:sz="4" w:space="0" w:color="auto"/>
            </w:tcBorders>
            <w:shd w:val="clear" w:color="000000" w:fill="F2DCDB"/>
            <w:noWrap/>
            <w:vAlign w:val="bottom"/>
            <w:hideMark/>
          </w:tcPr>
          <w:p w14:paraId="0C3F8AD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12102</w:t>
            </w:r>
          </w:p>
        </w:tc>
        <w:tc>
          <w:tcPr>
            <w:tcW w:w="723" w:type="dxa"/>
            <w:tcBorders>
              <w:top w:val="nil"/>
              <w:left w:val="nil"/>
              <w:bottom w:val="nil"/>
              <w:right w:val="nil"/>
            </w:tcBorders>
            <w:shd w:val="clear" w:color="auto" w:fill="auto"/>
            <w:noWrap/>
            <w:vAlign w:val="bottom"/>
            <w:hideMark/>
          </w:tcPr>
          <w:p w14:paraId="0C3F8AD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12022</w:t>
            </w:r>
          </w:p>
        </w:tc>
        <w:tc>
          <w:tcPr>
            <w:tcW w:w="917" w:type="dxa"/>
            <w:tcBorders>
              <w:top w:val="nil"/>
              <w:left w:val="nil"/>
              <w:bottom w:val="nil"/>
              <w:right w:val="nil"/>
            </w:tcBorders>
            <w:shd w:val="clear" w:color="auto" w:fill="auto"/>
            <w:noWrap/>
            <w:vAlign w:val="bottom"/>
            <w:hideMark/>
          </w:tcPr>
          <w:p w14:paraId="0C3F8AD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5332</w:t>
            </w:r>
          </w:p>
        </w:tc>
        <w:tc>
          <w:tcPr>
            <w:tcW w:w="723" w:type="dxa"/>
            <w:tcBorders>
              <w:top w:val="nil"/>
              <w:left w:val="nil"/>
              <w:bottom w:val="nil"/>
              <w:right w:val="nil"/>
            </w:tcBorders>
            <w:shd w:val="clear" w:color="auto" w:fill="auto"/>
            <w:noWrap/>
            <w:vAlign w:val="bottom"/>
            <w:hideMark/>
          </w:tcPr>
          <w:p w14:paraId="0C3F8AD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2458</w:t>
            </w:r>
          </w:p>
        </w:tc>
        <w:tc>
          <w:tcPr>
            <w:tcW w:w="988" w:type="dxa"/>
            <w:tcBorders>
              <w:top w:val="nil"/>
              <w:left w:val="nil"/>
              <w:bottom w:val="nil"/>
              <w:right w:val="nil"/>
            </w:tcBorders>
            <w:shd w:val="clear" w:color="auto" w:fill="auto"/>
            <w:noWrap/>
            <w:vAlign w:val="bottom"/>
            <w:hideMark/>
          </w:tcPr>
          <w:p w14:paraId="0C3F8AD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26</w:t>
            </w:r>
          </w:p>
        </w:tc>
        <w:tc>
          <w:tcPr>
            <w:tcW w:w="911" w:type="dxa"/>
            <w:tcBorders>
              <w:top w:val="nil"/>
              <w:left w:val="nil"/>
              <w:bottom w:val="nil"/>
              <w:right w:val="nil"/>
            </w:tcBorders>
            <w:shd w:val="clear" w:color="000000" w:fill="F2DCDB"/>
            <w:noWrap/>
            <w:vAlign w:val="bottom"/>
            <w:hideMark/>
          </w:tcPr>
          <w:p w14:paraId="0C3F8AD8"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19838</w:t>
            </w:r>
          </w:p>
        </w:tc>
        <w:tc>
          <w:tcPr>
            <w:tcW w:w="911" w:type="dxa"/>
            <w:tcBorders>
              <w:top w:val="nil"/>
              <w:left w:val="nil"/>
              <w:bottom w:val="nil"/>
              <w:right w:val="single" w:sz="4" w:space="0" w:color="auto"/>
            </w:tcBorders>
            <w:shd w:val="clear" w:color="000000" w:fill="F2DCDB"/>
            <w:noWrap/>
            <w:vAlign w:val="bottom"/>
            <w:hideMark/>
          </w:tcPr>
          <w:p w14:paraId="0C3F8AD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12111</w:t>
            </w:r>
          </w:p>
        </w:tc>
      </w:tr>
      <w:tr w:rsidR="00B6457B" w:rsidRPr="00393ABA" w14:paraId="0C3F8AEB" w14:textId="77777777" w:rsidTr="00605DDA">
        <w:trPr>
          <w:trHeight w:val="20"/>
        </w:trPr>
        <w:tc>
          <w:tcPr>
            <w:tcW w:w="1406" w:type="dxa"/>
            <w:vMerge/>
            <w:tcBorders>
              <w:top w:val="nil"/>
              <w:left w:val="single" w:sz="4" w:space="0" w:color="auto"/>
              <w:bottom w:val="nil"/>
              <w:right w:val="nil"/>
            </w:tcBorders>
            <w:vAlign w:val="center"/>
            <w:hideMark/>
          </w:tcPr>
          <w:p w14:paraId="0C3F8ADB"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single" w:sz="4" w:space="0" w:color="auto"/>
              <w:bottom w:val="nil"/>
              <w:right w:val="single" w:sz="4" w:space="0" w:color="auto"/>
            </w:tcBorders>
            <w:shd w:val="clear" w:color="000000" w:fill="F2F2F2"/>
            <w:noWrap/>
            <w:vAlign w:val="center"/>
            <w:hideMark/>
          </w:tcPr>
          <w:p w14:paraId="0C3F8AD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1068" w:type="dxa"/>
            <w:tcBorders>
              <w:top w:val="nil"/>
              <w:left w:val="nil"/>
              <w:bottom w:val="nil"/>
              <w:right w:val="single" w:sz="4" w:space="0" w:color="auto"/>
            </w:tcBorders>
            <w:shd w:val="clear" w:color="000000" w:fill="F2F2F2"/>
            <w:noWrap/>
            <w:vAlign w:val="bottom"/>
            <w:hideMark/>
          </w:tcPr>
          <w:p w14:paraId="0C3F8AD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22" w:type="dxa"/>
            <w:tcBorders>
              <w:top w:val="nil"/>
              <w:left w:val="nil"/>
              <w:bottom w:val="nil"/>
              <w:right w:val="nil"/>
            </w:tcBorders>
            <w:shd w:val="clear" w:color="auto" w:fill="auto"/>
            <w:noWrap/>
            <w:vAlign w:val="bottom"/>
            <w:hideMark/>
          </w:tcPr>
          <w:p w14:paraId="0C3F8AD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23%</w:t>
            </w:r>
          </w:p>
        </w:tc>
        <w:tc>
          <w:tcPr>
            <w:tcW w:w="780" w:type="dxa"/>
            <w:tcBorders>
              <w:top w:val="nil"/>
              <w:left w:val="nil"/>
              <w:bottom w:val="nil"/>
              <w:right w:val="nil"/>
            </w:tcBorders>
            <w:shd w:val="clear" w:color="auto" w:fill="auto"/>
            <w:noWrap/>
            <w:vAlign w:val="bottom"/>
            <w:hideMark/>
          </w:tcPr>
          <w:p w14:paraId="0C3F8AD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14%</w:t>
            </w:r>
          </w:p>
        </w:tc>
        <w:tc>
          <w:tcPr>
            <w:tcW w:w="751" w:type="dxa"/>
            <w:tcBorders>
              <w:top w:val="nil"/>
              <w:left w:val="nil"/>
              <w:bottom w:val="nil"/>
              <w:right w:val="nil"/>
            </w:tcBorders>
            <w:shd w:val="clear" w:color="auto" w:fill="auto"/>
            <w:noWrap/>
            <w:vAlign w:val="bottom"/>
            <w:hideMark/>
          </w:tcPr>
          <w:p w14:paraId="0C3F8AE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723" w:type="dxa"/>
            <w:tcBorders>
              <w:top w:val="nil"/>
              <w:left w:val="nil"/>
              <w:bottom w:val="nil"/>
              <w:right w:val="nil"/>
            </w:tcBorders>
            <w:shd w:val="clear" w:color="auto" w:fill="auto"/>
            <w:noWrap/>
            <w:vAlign w:val="bottom"/>
            <w:hideMark/>
          </w:tcPr>
          <w:p w14:paraId="0C3F8AE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61" w:type="dxa"/>
            <w:tcBorders>
              <w:top w:val="nil"/>
              <w:left w:val="nil"/>
              <w:bottom w:val="nil"/>
              <w:right w:val="nil"/>
            </w:tcBorders>
            <w:shd w:val="clear" w:color="auto" w:fill="auto"/>
            <w:noWrap/>
            <w:vAlign w:val="bottom"/>
            <w:hideMark/>
          </w:tcPr>
          <w:p w14:paraId="0C3F8AE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12%</w:t>
            </w:r>
          </w:p>
        </w:tc>
        <w:tc>
          <w:tcPr>
            <w:tcW w:w="911" w:type="dxa"/>
            <w:tcBorders>
              <w:top w:val="nil"/>
              <w:left w:val="nil"/>
              <w:bottom w:val="nil"/>
              <w:right w:val="nil"/>
            </w:tcBorders>
            <w:shd w:val="clear" w:color="000000" w:fill="F2DCDB"/>
            <w:noWrap/>
            <w:vAlign w:val="bottom"/>
            <w:hideMark/>
          </w:tcPr>
          <w:p w14:paraId="0C3F8AE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62%</w:t>
            </w:r>
          </w:p>
        </w:tc>
        <w:tc>
          <w:tcPr>
            <w:tcW w:w="911" w:type="dxa"/>
            <w:tcBorders>
              <w:top w:val="nil"/>
              <w:left w:val="nil"/>
              <w:bottom w:val="nil"/>
              <w:right w:val="single" w:sz="4" w:space="0" w:color="auto"/>
            </w:tcBorders>
            <w:shd w:val="clear" w:color="000000" w:fill="F2DCDB"/>
            <w:noWrap/>
            <w:vAlign w:val="bottom"/>
            <w:hideMark/>
          </w:tcPr>
          <w:p w14:paraId="0C3F8AE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38%</w:t>
            </w:r>
          </w:p>
        </w:tc>
        <w:tc>
          <w:tcPr>
            <w:tcW w:w="723" w:type="dxa"/>
            <w:tcBorders>
              <w:top w:val="nil"/>
              <w:left w:val="nil"/>
              <w:bottom w:val="nil"/>
              <w:right w:val="nil"/>
            </w:tcBorders>
            <w:shd w:val="clear" w:color="auto" w:fill="auto"/>
            <w:noWrap/>
            <w:vAlign w:val="bottom"/>
            <w:hideMark/>
          </w:tcPr>
          <w:p w14:paraId="0C3F8AE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38%</w:t>
            </w:r>
          </w:p>
        </w:tc>
        <w:tc>
          <w:tcPr>
            <w:tcW w:w="917" w:type="dxa"/>
            <w:tcBorders>
              <w:top w:val="nil"/>
              <w:left w:val="nil"/>
              <w:bottom w:val="nil"/>
              <w:right w:val="nil"/>
            </w:tcBorders>
            <w:shd w:val="clear" w:color="auto" w:fill="auto"/>
            <w:noWrap/>
            <w:vAlign w:val="bottom"/>
            <w:hideMark/>
          </w:tcPr>
          <w:p w14:paraId="0C3F8AE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17%</w:t>
            </w:r>
          </w:p>
        </w:tc>
        <w:tc>
          <w:tcPr>
            <w:tcW w:w="723" w:type="dxa"/>
            <w:tcBorders>
              <w:top w:val="nil"/>
              <w:left w:val="nil"/>
              <w:bottom w:val="nil"/>
              <w:right w:val="nil"/>
            </w:tcBorders>
            <w:shd w:val="clear" w:color="auto" w:fill="auto"/>
            <w:noWrap/>
            <w:vAlign w:val="bottom"/>
            <w:hideMark/>
          </w:tcPr>
          <w:p w14:paraId="0C3F8AE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w:t>
            </w:r>
          </w:p>
        </w:tc>
        <w:tc>
          <w:tcPr>
            <w:tcW w:w="988" w:type="dxa"/>
            <w:tcBorders>
              <w:top w:val="nil"/>
              <w:left w:val="nil"/>
              <w:bottom w:val="nil"/>
              <w:right w:val="nil"/>
            </w:tcBorders>
            <w:shd w:val="clear" w:color="auto" w:fill="auto"/>
            <w:noWrap/>
            <w:vAlign w:val="bottom"/>
            <w:hideMark/>
          </w:tcPr>
          <w:p w14:paraId="0C3F8AE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1" w:type="dxa"/>
            <w:tcBorders>
              <w:top w:val="nil"/>
              <w:left w:val="nil"/>
              <w:bottom w:val="nil"/>
              <w:right w:val="nil"/>
            </w:tcBorders>
            <w:shd w:val="clear" w:color="000000" w:fill="F2DCDB"/>
            <w:noWrap/>
            <w:vAlign w:val="bottom"/>
            <w:hideMark/>
          </w:tcPr>
          <w:p w14:paraId="0C3F8AE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62%</w:t>
            </w:r>
          </w:p>
        </w:tc>
        <w:tc>
          <w:tcPr>
            <w:tcW w:w="911" w:type="dxa"/>
            <w:tcBorders>
              <w:top w:val="nil"/>
              <w:left w:val="nil"/>
              <w:bottom w:val="nil"/>
              <w:right w:val="single" w:sz="4" w:space="0" w:color="auto"/>
            </w:tcBorders>
            <w:shd w:val="clear" w:color="000000" w:fill="F2DCDB"/>
            <w:noWrap/>
            <w:vAlign w:val="bottom"/>
            <w:hideMark/>
          </w:tcPr>
          <w:p w14:paraId="0C3F8AE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38%</w:t>
            </w:r>
          </w:p>
        </w:tc>
      </w:tr>
      <w:tr w:rsidR="00B6457B" w:rsidRPr="00393ABA" w14:paraId="0C3F8AFC" w14:textId="77777777" w:rsidTr="00605DDA">
        <w:trPr>
          <w:trHeight w:val="20"/>
        </w:trPr>
        <w:tc>
          <w:tcPr>
            <w:tcW w:w="1406" w:type="dxa"/>
            <w:vMerge w:val="restart"/>
            <w:tcBorders>
              <w:top w:val="nil"/>
              <w:left w:val="single" w:sz="4" w:space="0" w:color="auto"/>
              <w:bottom w:val="nil"/>
              <w:right w:val="nil"/>
            </w:tcBorders>
            <w:shd w:val="clear" w:color="000000" w:fill="F2F2F2"/>
            <w:noWrap/>
            <w:vAlign w:val="center"/>
            <w:hideMark/>
          </w:tcPr>
          <w:p w14:paraId="0C3F8AE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Burdekin</w:t>
            </w:r>
          </w:p>
        </w:tc>
        <w:tc>
          <w:tcPr>
            <w:tcW w:w="875" w:type="dxa"/>
            <w:tcBorders>
              <w:top w:val="nil"/>
              <w:left w:val="single" w:sz="4" w:space="0" w:color="auto"/>
              <w:bottom w:val="nil"/>
              <w:right w:val="single" w:sz="4" w:space="0" w:color="auto"/>
            </w:tcBorders>
            <w:shd w:val="clear" w:color="000000" w:fill="F2F2F2"/>
            <w:noWrap/>
            <w:vAlign w:val="center"/>
            <w:hideMark/>
          </w:tcPr>
          <w:p w14:paraId="0C3F8AE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1068" w:type="dxa"/>
            <w:tcBorders>
              <w:top w:val="nil"/>
              <w:left w:val="nil"/>
              <w:bottom w:val="nil"/>
              <w:right w:val="single" w:sz="4" w:space="0" w:color="auto"/>
            </w:tcBorders>
            <w:shd w:val="clear" w:color="000000" w:fill="F2F2F2"/>
            <w:noWrap/>
            <w:vAlign w:val="bottom"/>
            <w:hideMark/>
          </w:tcPr>
          <w:p w14:paraId="0C3F8AE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46967</w:t>
            </w:r>
          </w:p>
        </w:tc>
        <w:tc>
          <w:tcPr>
            <w:tcW w:w="722" w:type="dxa"/>
            <w:tcBorders>
              <w:top w:val="nil"/>
              <w:left w:val="nil"/>
              <w:bottom w:val="nil"/>
              <w:right w:val="nil"/>
            </w:tcBorders>
            <w:shd w:val="clear" w:color="auto" w:fill="auto"/>
            <w:noWrap/>
            <w:vAlign w:val="bottom"/>
            <w:hideMark/>
          </w:tcPr>
          <w:p w14:paraId="0C3F8AE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3498</w:t>
            </w:r>
          </w:p>
        </w:tc>
        <w:tc>
          <w:tcPr>
            <w:tcW w:w="780" w:type="dxa"/>
            <w:tcBorders>
              <w:top w:val="nil"/>
              <w:left w:val="nil"/>
              <w:bottom w:val="nil"/>
              <w:right w:val="nil"/>
            </w:tcBorders>
            <w:shd w:val="clear" w:color="auto" w:fill="auto"/>
            <w:noWrap/>
            <w:vAlign w:val="bottom"/>
            <w:hideMark/>
          </w:tcPr>
          <w:p w14:paraId="0C3F8AF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5418</w:t>
            </w:r>
          </w:p>
        </w:tc>
        <w:tc>
          <w:tcPr>
            <w:tcW w:w="751" w:type="dxa"/>
            <w:tcBorders>
              <w:top w:val="nil"/>
              <w:left w:val="nil"/>
              <w:bottom w:val="nil"/>
              <w:right w:val="nil"/>
            </w:tcBorders>
            <w:shd w:val="clear" w:color="auto" w:fill="auto"/>
            <w:noWrap/>
            <w:vAlign w:val="bottom"/>
            <w:hideMark/>
          </w:tcPr>
          <w:p w14:paraId="0C3F8AF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3642</w:t>
            </w:r>
          </w:p>
        </w:tc>
        <w:tc>
          <w:tcPr>
            <w:tcW w:w="723" w:type="dxa"/>
            <w:tcBorders>
              <w:top w:val="nil"/>
              <w:left w:val="nil"/>
              <w:bottom w:val="nil"/>
              <w:right w:val="nil"/>
            </w:tcBorders>
            <w:shd w:val="clear" w:color="auto" w:fill="auto"/>
            <w:noWrap/>
            <w:vAlign w:val="bottom"/>
            <w:hideMark/>
          </w:tcPr>
          <w:p w14:paraId="0C3F8AF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1295</w:t>
            </w:r>
          </w:p>
        </w:tc>
        <w:tc>
          <w:tcPr>
            <w:tcW w:w="761" w:type="dxa"/>
            <w:tcBorders>
              <w:top w:val="nil"/>
              <w:left w:val="nil"/>
              <w:bottom w:val="nil"/>
              <w:right w:val="nil"/>
            </w:tcBorders>
            <w:shd w:val="clear" w:color="auto" w:fill="auto"/>
            <w:noWrap/>
            <w:vAlign w:val="bottom"/>
            <w:hideMark/>
          </w:tcPr>
          <w:p w14:paraId="0C3F8AF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5694</w:t>
            </w:r>
          </w:p>
        </w:tc>
        <w:tc>
          <w:tcPr>
            <w:tcW w:w="911" w:type="dxa"/>
            <w:tcBorders>
              <w:top w:val="nil"/>
              <w:left w:val="nil"/>
              <w:bottom w:val="nil"/>
              <w:right w:val="nil"/>
            </w:tcBorders>
            <w:shd w:val="clear" w:color="000000" w:fill="F2DCDB"/>
            <w:noWrap/>
            <w:vAlign w:val="bottom"/>
            <w:hideMark/>
          </w:tcPr>
          <w:p w14:paraId="0C3F8AF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19547</w:t>
            </w:r>
          </w:p>
        </w:tc>
        <w:tc>
          <w:tcPr>
            <w:tcW w:w="911" w:type="dxa"/>
            <w:tcBorders>
              <w:top w:val="nil"/>
              <w:left w:val="nil"/>
              <w:bottom w:val="nil"/>
              <w:right w:val="single" w:sz="4" w:space="0" w:color="auto"/>
            </w:tcBorders>
            <w:shd w:val="clear" w:color="000000" w:fill="F2DCDB"/>
            <w:noWrap/>
            <w:vAlign w:val="bottom"/>
            <w:hideMark/>
          </w:tcPr>
          <w:p w14:paraId="0C3F8AF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27420</w:t>
            </w:r>
          </w:p>
        </w:tc>
        <w:tc>
          <w:tcPr>
            <w:tcW w:w="723" w:type="dxa"/>
            <w:tcBorders>
              <w:top w:val="nil"/>
              <w:left w:val="nil"/>
              <w:bottom w:val="nil"/>
              <w:right w:val="nil"/>
            </w:tcBorders>
            <w:shd w:val="clear" w:color="auto" w:fill="auto"/>
            <w:noWrap/>
            <w:vAlign w:val="bottom"/>
            <w:hideMark/>
          </w:tcPr>
          <w:p w14:paraId="0C3F8AF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9734</w:t>
            </w:r>
          </w:p>
        </w:tc>
        <w:tc>
          <w:tcPr>
            <w:tcW w:w="917" w:type="dxa"/>
            <w:tcBorders>
              <w:top w:val="nil"/>
              <w:left w:val="nil"/>
              <w:bottom w:val="nil"/>
              <w:right w:val="nil"/>
            </w:tcBorders>
            <w:shd w:val="clear" w:color="auto" w:fill="auto"/>
            <w:noWrap/>
            <w:vAlign w:val="bottom"/>
            <w:hideMark/>
          </w:tcPr>
          <w:p w14:paraId="0C3F8AF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6464</w:t>
            </w:r>
          </w:p>
        </w:tc>
        <w:tc>
          <w:tcPr>
            <w:tcW w:w="723" w:type="dxa"/>
            <w:tcBorders>
              <w:top w:val="nil"/>
              <w:left w:val="nil"/>
              <w:bottom w:val="nil"/>
              <w:right w:val="nil"/>
            </w:tcBorders>
            <w:shd w:val="clear" w:color="auto" w:fill="auto"/>
            <w:noWrap/>
            <w:vAlign w:val="bottom"/>
            <w:hideMark/>
          </w:tcPr>
          <w:p w14:paraId="0C3F8AF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3022</w:t>
            </w:r>
          </w:p>
        </w:tc>
        <w:tc>
          <w:tcPr>
            <w:tcW w:w="988" w:type="dxa"/>
            <w:tcBorders>
              <w:top w:val="nil"/>
              <w:left w:val="nil"/>
              <w:bottom w:val="nil"/>
              <w:right w:val="nil"/>
            </w:tcBorders>
            <w:shd w:val="clear" w:color="auto" w:fill="auto"/>
            <w:noWrap/>
            <w:vAlign w:val="bottom"/>
            <w:hideMark/>
          </w:tcPr>
          <w:p w14:paraId="0C3F8AF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306</w:t>
            </w:r>
          </w:p>
        </w:tc>
        <w:tc>
          <w:tcPr>
            <w:tcW w:w="911" w:type="dxa"/>
            <w:tcBorders>
              <w:top w:val="nil"/>
              <w:left w:val="nil"/>
              <w:bottom w:val="nil"/>
              <w:right w:val="nil"/>
            </w:tcBorders>
            <w:shd w:val="clear" w:color="000000" w:fill="F2DCDB"/>
            <w:noWrap/>
            <w:vAlign w:val="bottom"/>
            <w:hideMark/>
          </w:tcPr>
          <w:p w14:paraId="0C3F8AF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19526</w:t>
            </w:r>
          </w:p>
        </w:tc>
        <w:tc>
          <w:tcPr>
            <w:tcW w:w="911" w:type="dxa"/>
            <w:tcBorders>
              <w:top w:val="nil"/>
              <w:left w:val="nil"/>
              <w:bottom w:val="nil"/>
              <w:right w:val="single" w:sz="4" w:space="0" w:color="auto"/>
            </w:tcBorders>
            <w:shd w:val="clear" w:color="000000" w:fill="F2DCDB"/>
            <w:noWrap/>
            <w:vAlign w:val="bottom"/>
            <w:hideMark/>
          </w:tcPr>
          <w:p w14:paraId="0C3F8AF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27441</w:t>
            </w:r>
          </w:p>
        </w:tc>
      </w:tr>
      <w:tr w:rsidR="00B6457B" w:rsidRPr="00393ABA" w14:paraId="0C3F8B0D" w14:textId="77777777" w:rsidTr="00605DDA">
        <w:trPr>
          <w:trHeight w:val="20"/>
        </w:trPr>
        <w:tc>
          <w:tcPr>
            <w:tcW w:w="1406" w:type="dxa"/>
            <w:vMerge/>
            <w:tcBorders>
              <w:top w:val="nil"/>
              <w:left w:val="single" w:sz="4" w:space="0" w:color="auto"/>
              <w:bottom w:val="nil"/>
              <w:right w:val="nil"/>
            </w:tcBorders>
            <w:vAlign w:val="center"/>
            <w:hideMark/>
          </w:tcPr>
          <w:p w14:paraId="0C3F8AFD"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single" w:sz="4" w:space="0" w:color="auto"/>
              <w:bottom w:val="nil"/>
              <w:right w:val="single" w:sz="4" w:space="0" w:color="auto"/>
            </w:tcBorders>
            <w:shd w:val="clear" w:color="000000" w:fill="F2F2F2"/>
            <w:noWrap/>
            <w:vAlign w:val="center"/>
            <w:hideMark/>
          </w:tcPr>
          <w:p w14:paraId="0C3F8AF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1068" w:type="dxa"/>
            <w:tcBorders>
              <w:top w:val="nil"/>
              <w:left w:val="nil"/>
              <w:bottom w:val="nil"/>
              <w:right w:val="single" w:sz="4" w:space="0" w:color="auto"/>
            </w:tcBorders>
            <w:shd w:val="clear" w:color="000000" w:fill="F2F2F2"/>
            <w:noWrap/>
            <w:vAlign w:val="bottom"/>
            <w:hideMark/>
          </w:tcPr>
          <w:p w14:paraId="0C3F8AF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22" w:type="dxa"/>
            <w:tcBorders>
              <w:top w:val="nil"/>
              <w:left w:val="nil"/>
              <w:bottom w:val="nil"/>
              <w:right w:val="nil"/>
            </w:tcBorders>
            <w:shd w:val="clear" w:color="auto" w:fill="auto"/>
            <w:noWrap/>
            <w:vAlign w:val="bottom"/>
            <w:hideMark/>
          </w:tcPr>
          <w:p w14:paraId="0C3F8B0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780" w:type="dxa"/>
            <w:tcBorders>
              <w:top w:val="nil"/>
              <w:left w:val="nil"/>
              <w:bottom w:val="nil"/>
              <w:right w:val="nil"/>
            </w:tcBorders>
            <w:shd w:val="clear" w:color="auto" w:fill="auto"/>
            <w:noWrap/>
            <w:vAlign w:val="bottom"/>
            <w:hideMark/>
          </w:tcPr>
          <w:p w14:paraId="0C3F8B0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12%</w:t>
            </w:r>
          </w:p>
        </w:tc>
        <w:tc>
          <w:tcPr>
            <w:tcW w:w="751" w:type="dxa"/>
            <w:tcBorders>
              <w:top w:val="nil"/>
              <w:left w:val="nil"/>
              <w:bottom w:val="nil"/>
              <w:right w:val="nil"/>
            </w:tcBorders>
            <w:shd w:val="clear" w:color="auto" w:fill="auto"/>
            <w:noWrap/>
            <w:vAlign w:val="bottom"/>
            <w:hideMark/>
          </w:tcPr>
          <w:p w14:paraId="0C3F8B0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w:t>
            </w:r>
          </w:p>
        </w:tc>
        <w:tc>
          <w:tcPr>
            <w:tcW w:w="723" w:type="dxa"/>
            <w:tcBorders>
              <w:top w:val="nil"/>
              <w:left w:val="nil"/>
              <w:bottom w:val="nil"/>
              <w:right w:val="nil"/>
            </w:tcBorders>
            <w:shd w:val="clear" w:color="auto" w:fill="auto"/>
            <w:noWrap/>
            <w:vAlign w:val="bottom"/>
            <w:hideMark/>
          </w:tcPr>
          <w:p w14:paraId="0C3F8B0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761" w:type="dxa"/>
            <w:tcBorders>
              <w:top w:val="nil"/>
              <w:left w:val="nil"/>
              <w:bottom w:val="nil"/>
              <w:right w:val="nil"/>
            </w:tcBorders>
            <w:shd w:val="clear" w:color="auto" w:fill="auto"/>
            <w:noWrap/>
            <w:vAlign w:val="bottom"/>
            <w:hideMark/>
          </w:tcPr>
          <w:p w14:paraId="0C3F8B0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12%</w:t>
            </w:r>
          </w:p>
        </w:tc>
        <w:tc>
          <w:tcPr>
            <w:tcW w:w="911" w:type="dxa"/>
            <w:tcBorders>
              <w:top w:val="nil"/>
              <w:left w:val="nil"/>
              <w:bottom w:val="nil"/>
              <w:right w:val="nil"/>
            </w:tcBorders>
            <w:shd w:val="clear" w:color="000000" w:fill="F2DCDB"/>
            <w:noWrap/>
            <w:vAlign w:val="bottom"/>
            <w:hideMark/>
          </w:tcPr>
          <w:p w14:paraId="0C3F8B0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42%</w:t>
            </w:r>
          </w:p>
        </w:tc>
        <w:tc>
          <w:tcPr>
            <w:tcW w:w="911" w:type="dxa"/>
            <w:tcBorders>
              <w:top w:val="nil"/>
              <w:left w:val="nil"/>
              <w:bottom w:val="nil"/>
              <w:right w:val="single" w:sz="4" w:space="0" w:color="auto"/>
            </w:tcBorders>
            <w:shd w:val="clear" w:color="000000" w:fill="F2DCDB"/>
            <w:noWrap/>
            <w:vAlign w:val="bottom"/>
            <w:hideMark/>
          </w:tcPr>
          <w:p w14:paraId="0C3F8B0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58%</w:t>
            </w:r>
          </w:p>
        </w:tc>
        <w:tc>
          <w:tcPr>
            <w:tcW w:w="723" w:type="dxa"/>
            <w:tcBorders>
              <w:top w:val="nil"/>
              <w:left w:val="nil"/>
              <w:bottom w:val="nil"/>
              <w:right w:val="nil"/>
            </w:tcBorders>
            <w:shd w:val="clear" w:color="auto" w:fill="auto"/>
            <w:noWrap/>
            <w:vAlign w:val="bottom"/>
            <w:hideMark/>
          </w:tcPr>
          <w:p w14:paraId="0C3F8B0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21%</w:t>
            </w:r>
          </w:p>
        </w:tc>
        <w:tc>
          <w:tcPr>
            <w:tcW w:w="917" w:type="dxa"/>
            <w:tcBorders>
              <w:top w:val="nil"/>
              <w:left w:val="nil"/>
              <w:bottom w:val="nil"/>
              <w:right w:val="nil"/>
            </w:tcBorders>
            <w:shd w:val="clear" w:color="auto" w:fill="auto"/>
            <w:noWrap/>
            <w:vAlign w:val="bottom"/>
            <w:hideMark/>
          </w:tcPr>
          <w:p w14:paraId="0C3F8B0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14%</w:t>
            </w:r>
          </w:p>
        </w:tc>
        <w:tc>
          <w:tcPr>
            <w:tcW w:w="723" w:type="dxa"/>
            <w:tcBorders>
              <w:top w:val="nil"/>
              <w:left w:val="nil"/>
              <w:bottom w:val="nil"/>
              <w:right w:val="nil"/>
            </w:tcBorders>
            <w:shd w:val="clear" w:color="auto" w:fill="auto"/>
            <w:noWrap/>
            <w:vAlign w:val="bottom"/>
            <w:hideMark/>
          </w:tcPr>
          <w:p w14:paraId="0C3F8B0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988" w:type="dxa"/>
            <w:tcBorders>
              <w:top w:val="nil"/>
              <w:left w:val="nil"/>
              <w:bottom w:val="nil"/>
              <w:right w:val="nil"/>
            </w:tcBorders>
            <w:shd w:val="clear" w:color="auto" w:fill="auto"/>
            <w:noWrap/>
            <w:vAlign w:val="bottom"/>
            <w:hideMark/>
          </w:tcPr>
          <w:p w14:paraId="0C3F8B0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1" w:type="dxa"/>
            <w:tcBorders>
              <w:top w:val="nil"/>
              <w:left w:val="nil"/>
              <w:bottom w:val="nil"/>
              <w:right w:val="nil"/>
            </w:tcBorders>
            <w:shd w:val="clear" w:color="000000" w:fill="F2DCDB"/>
            <w:noWrap/>
            <w:vAlign w:val="bottom"/>
            <w:hideMark/>
          </w:tcPr>
          <w:p w14:paraId="0C3F8B0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42%</w:t>
            </w:r>
          </w:p>
        </w:tc>
        <w:tc>
          <w:tcPr>
            <w:tcW w:w="911" w:type="dxa"/>
            <w:tcBorders>
              <w:top w:val="nil"/>
              <w:left w:val="nil"/>
              <w:bottom w:val="nil"/>
              <w:right w:val="single" w:sz="4" w:space="0" w:color="auto"/>
            </w:tcBorders>
            <w:shd w:val="clear" w:color="000000" w:fill="F2DCDB"/>
            <w:noWrap/>
            <w:vAlign w:val="bottom"/>
            <w:hideMark/>
          </w:tcPr>
          <w:p w14:paraId="0C3F8B0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58%</w:t>
            </w:r>
          </w:p>
        </w:tc>
      </w:tr>
      <w:tr w:rsidR="00B6457B" w:rsidRPr="00393ABA" w14:paraId="0C3F8B1E" w14:textId="77777777" w:rsidTr="00605DDA">
        <w:trPr>
          <w:trHeight w:val="20"/>
        </w:trPr>
        <w:tc>
          <w:tcPr>
            <w:tcW w:w="1406" w:type="dxa"/>
            <w:vMerge w:val="restart"/>
            <w:tcBorders>
              <w:top w:val="nil"/>
              <w:left w:val="single" w:sz="4" w:space="0" w:color="auto"/>
              <w:bottom w:val="nil"/>
              <w:right w:val="single" w:sz="4" w:space="0" w:color="auto"/>
            </w:tcBorders>
            <w:shd w:val="clear" w:color="000000" w:fill="F2F2F2"/>
            <w:vAlign w:val="center"/>
            <w:hideMark/>
          </w:tcPr>
          <w:p w14:paraId="0C3F8B0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Mackay-Whitsundays</w:t>
            </w:r>
          </w:p>
        </w:tc>
        <w:tc>
          <w:tcPr>
            <w:tcW w:w="875" w:type="dxa"/>
            <w:tcBorders>
              <w:top w:val="nil"/>
              <w:left w:val="nil"/>
              <w:bottom w:val="nil"/>
              <w:right w:val="single" w:sz="4" w:space="0" w:color="auto"/>
            </w:tcBorders>
            <w:shd w:val="clear" w:color="000000" w:fill="F2F2F2"/>
            <w:noWrap/>
            <w:vAlign w:val="center"/>
            <w:hideMark/>
          </w:tcPr>
          <w:p w14:paraId="0C3F8B0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1068" w:type="dxa"/>
            <w:tcBorders>
              <w:top w:val="nil"/>
              <w:left w:val="nil"/>
              <w:bottom w:val="nil"/>
              <w:right w:val="single" w:sz="4" w:space="0" w:color="auto"/>
            </w:tcBorders>
            <w:shd w:val="clear" w:color="000000" w:fill="F2F2F2"/>
            <w:noWrap/>
            <w:vAlign w:val="bottom"/>
            <w:hideMark/>
          </w:tcPr>
          <w:p w14:paraId="0C3F8B1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48949</w:t>
            </w:r>
          </w:p>
        </w:tc>
        <w:tc>
          <w:tcPr>
            <w:tcW w:w="722" w:type="dxa"/>
            <w:tcBorders>
              <w:top w:val="nil"/>
              <w:left w:val="nil"/>
              <w:bottom w:val="nil"/>
              <w:right w:val="nil"/>
            </w:tcBorders>
            <w:shd w:val="clear" w:color="auto" w:fill="auto"/>
            <w:noWrap/>
            <w:vAlign w:val="bottom"/>
            <w:hideMark/>
          </w:tcPr>
          <w:p w14:paraId="0C3F8B1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2851</w:t>
            </w:r>
          </w:p>
        </w:tc>
        <w:tc>
          <w:tcPr>
            <w:tcW w:w="780" w:type="dxa"/>
            <w:tcBorders>
              <w:top w:val="nil"/>
              <w:left w:val="nil"/>
              <w:bottom w:val="nil"/>
              <w:right w:val="nil"/>
            </w:tcBorders>
            <w:shd w:val="clear" w:color="auto" w:fill="auto"/>
            <w:noWrap/>
            <w:vAlign w:val="bottom"/>
            <w:hideMark/>
          </w:tcPr>
          <w:p w14:paraId="0C3F8B1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2029</w:t>
            </w:r>
          </w:p>
        </w:tc>
        <w:tc>
          <w:tcPr>
            <w:tcW w:w="751" w:type="dxa"/>
            <w:tcBorders>
              <w:top w:val="nil"/>
              <w:left w:val="nil"/>
              <w:bottom w:val="nil"/>
              <w:right w:val="nil"/>
            </w:tcBorders>
            <w:shd w:val="clear" w:color="auto" w:fill="auto"/>
            <w:noWrap/>
            <w:vAlign w:val="bottom"/>
            <w:hideMark/>
          </w:tcPr>
          <w:p w14:paraId="0C3F8B1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3083</w:t>
            </w:r>
          </w:p>
        </w:tc>
        <w:tc>
          <w:tcPr>
            <w:tcW w:w="723" w:type="dxa"/>
            <w:tcBorders>
              <w:top w:val="nil"/>
              <w:left w:val="nil"/>
              <w:bottom w:val="nil"/>
              <w:right w:val="nil"/>
            </w:tcBorders>
            <w:shd w:val="clear" w:color="auto" w:fill="auto"/>
            <w:noWrap/>
            <w:vAlign w:val="bottom"/>
            <w:hideMark/>
          </w:tcPr>
          <w:p w14:paraId="0C3F8B1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4019</w:t>
            </w:r>
          </w:p>
        </w:tc>
        <w:tc>
          <w:tcPr>
            <w:tcW w:w="761" w:type="dxa"/>
            <w:tcBorders>
              <w:top w:val="nil"/>
              <w:left w:val="nil"/>
              <w:bottom w:val="nil"/>
              <w:right w:val="nil"/>
            </w:tcBorders>
            <w:shd w:val="clear" w:color="auto" w:fill="auto"/>
            <w:noWrap/>
            <w:vAlign w:val="bottom"/>
            <w:hideMark/>
          </w:tcPr>
          <w:p w14:paraId="0C3F8B1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10845</w:t>
            </w:r>
          </w:p>
        </w:tc>
        <w:tc>
          <w:tcPr>
            <w:tcW w:w="911" w:type="dxa"/>
            <w:tcBorders>
              <w:top w:val="nil"/>
              <w:left w:val="nil"/>
              <w:bottom w:val="nil"/>
              <w:right w:val="nil"/>
            </w:tcBorders>
            <w:shd w:val="clear" w:color="000000" w:fill="F2DCDB"/>
            <w:noWrap/>
            <w:vAlign w:val="bottom"/>
            <w:hideMark/>
          </w:tcPr>
          <w:p w14:paraId="0C3F8B16"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22826</w:t>
            </w:r>
          </w:p>
        </w:tc>
        <w:tc>
          <w:tcPr>
            <w:tcW w:w="911" w:type="dxa"/>
            <w:tcBorders>
              <w:top w:val="nil"/>
              <w:left w:val="nil"/>
              <w:bottom w:val="nil"/>
              <w:right w:val="single" w:sz="4" w:space="0" w:color="auto"/>
            </w:tcBorders>
            <w:shd w:val="clear" w:color="000000" w:fill="F2DCDB"/>
            <w:noWrap/>
            <w:vAlign w:val="bottom"/>
            <w:hideMark/>
          </w:tcPr>
          <w:p w14:paraId="0C3F8B1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26123</w:t>
            </w:r>
          </w:p>
        </w:tc>
        <w:tc>
          <w:tcPr>
            <w:tcW w:w="723" w:type="dxa"/>
            <w:tcBorders>
              <w:top w:val="nil"/>
              <w:left w:val="nil"/>
              <w:bottom w:val="nil"/>
              <w:right w:val="nil"/>
            </w:tcBorders>
            <w:shd w:val="clear" w:color="auto" w:fill="auto"/>
            <w:noWrap/>
            <w:vAlign w:val="bottom"/>
            <w:hideMark/>
          </w:tcPr>
          <w:p w14:paraId="0C3F8B1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5210</w:t>
            </w:r>
          </w:p>
        </w:tc>
        <w:tc>
          <w:tcPr>
            <w:tcW w:w="917" w:type="dxa"/>
            <w:tcBorders>
              <w:top w:val="nil"/>
              <w:left w:val="nil"/>
              <w:bottom w:val="nil"/>
              <w:right w:val="nil"/>
            </w:tcBorders>
            <w:shd w:val="clear" w:color="auto" w:fill="auto"/>
            <w:noWrap/>
            <w:vAlign w:val="bottom"/>
            <w:hideMark/>
          </w:tcPr>
          <w:p w14:paraId="0C3F8B1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11918</w:t>
            </w:r>
          </w:p>
        </w:tc>
        <w:tc>
          <w:tcPr>
            <w:tcW w:w="723" w:type="dxa"/>
            <w:tcBorders>
              <w:top w:val="nil"/>
              <w:left w:val="nil"/>
              <w:bottom w:val="nil"/>
              <w:right w:val="nil"/>
            </w:tcBorders>
            <w:shd w:val="clear" w:color="auto" w:fill="auto"/>
            <w:noWrap/>
            <w:vAlign w:val="bottom"/>
            <w:hideMark/>
          </w:tcPr>
          <w:p w14:paraId="0C3F8B1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5532</w:t>
            </w:r>
          </w:p>
        </w:tc>
        <w:tc>
          <w:tcPr>
            <w:tcW w:w="988" w:type="dxa"/>
            <w:tcBorders>
              <w:top w:val="nil"/>
              <w:left w:val="nil"/>
              <w:bottom w:val="nil"/>
              <w:right w:val="nil"/>
            </w:tcBorders>
            <w:shd w:val="clear" w:color="auto" w:fill="auto"/>
            <w:noWrap/>
            <w:vAlign w:val="bottom"/>
            <w:hideMark/>
          </w:tcPr>
          <w:p w14:paraId="0C3F8B1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136</w:t>
            </w:r>
          </w:p>
        </w:tc>
        <w:tc>
          <w:tcPr>
            <w:tcW w:w="911" w:type="dxa"/>
            <w:tcBorders>
              <w:top w:val="nil"/>
              <w:left w:val="nil"/>
              <w:bottom w:val="nil"/>
              <w:right w:val="nil"/>
            </w:tcBorders>
            <w:shd w:val="clear" w:color="000000" w:fill="F2DCDB"/>
            <w:noWrap/>
            <w:vAlign w:val="bottom"/>
            <w:hideMark/>
          </w:tcPr>
          <w:p w14:paraId="0C3F8B1C"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22795</w:t>
            </w:r>
          </w:p>
        </w:tc>
        <w:tc>
          <w:tcPr>
            <w:tcW w:w="911" w:type="dxa"/>
            <w:tcBorders>
              <w:top w:val="nil"/>
              <w:left w:val="nil"/>
              <w:bottom w:val="nil"/>
              <w:right w:val="single" w:sz="4" w:space="0" w:color="auto"/>
            </w:tcBorders>
            <w:shd w:val="clear" w:color="000000" w:fill="F2DCDB"/>
            <w:noWrap/>
            <w:vAlign w:val="bottom"/>
            <w:hideMark/>
          </w:tcPr>
          <w:p w14:paraId="0C3F8B1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26154</w:t>
            </w:r>
          </w:p>
        </w:tc>
      </w:tr>
      <w:tr w:rsidR="00B6457B" w:rsidRPr="00393ABA" w14:paraId="0C3F8B2F" w14:textId="77777777" w:rsidTr="00605DDA">
        <w:trPr>
          <w:trHeight w:val="20"/>
        </w:trPr>
        <w:tc>
          <w:tcPr>
            <w:tcW w:w="1406" w:type="dxa"/>
            <w:vMerge/>
            <w:tcBorders>
              <w:top w:val="nil"/>
              <w:left w:val="single" w:sz="4" w:space="0" w:color="auto"/>
              <w:bottom w:val="nil"/>
              <w:right w:val="single" w:sz="4" w:space="0" w:color="auto"/>
            </w:tcBorders>
            <w:vAlign w:val="center"/>
            <w:hideMark/>
          </w:tcPr>
          <w:p w14:paraId="0C3F8B1F"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nil"/>
              <w:bottom w:val="nil"/>
              <w:right w:val="single" w:sz="4" w:space="0" w:color="auto"/>
            </w:tcBorders>
            <w:shd w:val="clear" w:color="000000" w:fill="F2F2F2"/>
            <w:noWrap/>
            <w:vAlign w:val="center"/>
            <w:hideMark/>
          </w:tcPr>
          <w:p w14:paraId="0C3F8B2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1068" w:type="dxa"/>
            <w:tcBorders>
              <w:top w:val="nil"/>
              <w:left w:val="nil"/>
              <w:bottom w:val="nil"/>
              <w:right w:val="single" w:sz="4" w:space="0" w:color="auto"/>
            </w:tcBorders>
            <w:shd w:val="clear" w:color="000000" w:fill="F2F2F2"/>
            <w:noWrap/>
            <w:vAlign w:val="bottom"/>
            <w:hideMark/>
          </w:tcPr>
          <w:p w14:paraId="0C3F8B2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22" w:type="dxa"/>
            <w:tcBorders>
              <w:top w:val="nil"/>
              <w:left w:val="nil"/>
              <w:bottom w:val="nil"/>
              <w:right w:val="nil"/>
            </w:tcBorders>
            <w:shd w:val="clear" w:color="auto" w:fill="auto"/>
            <w:noWrap/>
            <w:vAlign w:val="bottom"/>
            <w:hideMark/>
          </w:tcPr>
          <w:p w14:paraId="0C3F8B2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80" w:type="dxa"/>
            <w:tcBorders>
              <w:top w:val="nil"/>
              <w:left w:val="nil"/>
              <w:bottom w:val="nil"/>
              <w:right w:val="nil"/>
            </w:tcBorders>
            <w:shd w:val="clear" w:color="auto" w:fill="auto"/>
            <w:noWrap/>
            <w:vAlign w:val="bottom"/>
            <w:hideMark/>
          </w:tcPr>
          <w:p w14:paraId="0C3F8B2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751" w:type="dxa"/>
            <w:tcBorders>
              <w:top w:val="nil"/>
              <w:left w:val="nil"/>
              <w:bottom w:val="nil"/>
              <w:right w:val="nil"/>
            </w:tcBorders>
            <w:shd w:val="clear" w:color="auto" w:fill="auto"/>
            <w:noWrap/>
            <w:vAlign w:val="bottom"/>
            <w:hideMark/>
          </w:tcPr>
          <w:p w14:paraId="0C3F8B2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23" w:type="dxa"/>
            <w:tcBorders>
              <w:top w:val="nil"/>
              <w:left w:val="nil"/>
              <w:bottom w:val="nil"/>
              <w:right w:val="nil"/>
            </w:tcBorders>
            <w:shd w:val="clear" w:color="auto" w:fill="auto"/>
            <w:noWrap/>
            <w:vAlign w:val="bottom"/>
            <w:hideMark/>
          </w:tcPr>
          <w:p w14:paraId="0C3F8B2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w:t>
            </w:r>
          </w:p>
        </w:tc>
        <w:tc>
          <w:tcPr>
            <w:tcW w:w="761" w:type="dxa"/>
            <w:tcBorders>
              <w:top w:val="nil"/>
              <w:left w:val="nil"/>
              <w:bottom w:val="nil"/>
              <w:right w:val="nil"/>
            </w:tcBorders>
            <w:shd w:val="clear" w:color="auto" w:fill="auto"/>
            <w:noWrap/>
            <w:vAlign w:val="bottom"/>
            <w:hideMark/>
          </w:tcPr>
          <w:p w14:paraId="0C3F8B2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22%</w:t>
            </w:r>
          </w:p>
        </w:tc>
        <w:tc>
          <w:tcPr>
            <w:tcW w:w="911" w:type="dxa"/>
            <w:tcBorders>
              <w:top w:val="nil"/>
              <w:left w:val="nil"/>
              <w:bottom w:val="nil"/>
              <w:right w:val="nil"/>
            </w:tcBorders>
            <w:shd w:val="clear" w:color="000000" w:fill="F2DCDB"/>
            <w:noWrap/>
            <w:vAlign w:val="bottom"/>
            <w:hideMark/>
          </w:tcPr>
          <w:p w14:paraId="0C3F8B2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47%</w:t>
            </w:r>
          </w:p>
        </w:tc>
        <w:tc>
          <w:tcPr>
            <w:tcW w:w="911" w:type="dxa"/>
            <w:tcBorders>
              <w:top w:val="nil"/>
              <w:left w:val="nil"/>
              <w:bottom w:val="nil"/>
              <w:right w:val="single" w:sz="4" w:space="0" w:color="auto"/>
            </w:tcBorders>
            <w:shd w:val="clear" w:color="000000" w:fill="F2DCDB"/>
            <w:noWrap/>
            <w:vAlign w:val="bottom"/>
            <w:hideMark/>
          </w:tcPr>
          <w:p w14:paraId="0C3F8B2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53%</w:t>
            </w:r>
          </w:p>
        </w:tc>
        <w:tc>
          <w:tcPr>
            <w:tcW w:w="723" w:type="dxa"/>
            <w:tcBorders>
              <w:top w:val="nil"/>
              <w:left w:val="nil"/>
              <w:bottom w:val="nil"/>
              <w:right w:val="nil"/>
            </w:tcBorders>
            <w:shd w:val="clear" w:color="auto" w:fill="auto"/>
            <w:noWrap/>
            <w:vAlign w:val="bottom"/>
            <w:hideMark/>
          </w:tcPr>
          <w:p w14:paraId="0C3F8B2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11%</w:t>
            </w:r>
          </w:p>
        </w:tc>
        <w:tc>
          <w:tcPr>
            <w:tcW w:w="917" w:type="dxa"/>
            <w:tcBorders>
              <w:top w:val="nil"/>
              <w:left w:val="nil"/>
              <w:bottom w:val="nil"/>
              <w:right w:val="nil"/>
            </w:tcBorders>
            <w:shd w:val="clear" w:color="auto" w:fill="auto"/>
            <w:noWrap/>
            <w:vAlign w:val="bottom"/>
            <w:hideMark/>
          </w:tcPr>
          <w:p w14:paraId="0C3F8B2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24%</w:t>
            </w:r>
          </w:p>
        </w:tc>
        <w:tc>
          <w:tcPr>
            <w:tcW w:w="723" w:type="dxa"/>
            <w:tcBorders>
              <w:top w:val="nil"/>
              <w:left w:val="nil"/>
              <w:bottom w:val="nil"/>
              <w:right w:val="nil"/>
            </w:tcBorders>
            <w:shd w:val="clear" w:color="auto" w:fill="auto"/>
            <w:noWrap/>
            <w:vAlign w:val="bottom"/>
            <w:hideMark/>
          </w:tcPr>
          <w:p w14:paraId="0C3F8B2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11%</w:t>
            </w:r>
          </w:p>
        </w:tc>
        <w:tc>
          <w:tcPr>
            <w:tcW w:w="988" w:type="dxa"/>
            <w:tcBorders>
              <w:top w:val="nil"/>
              <w:left w:val="nil"/>
              <w:bottom w:val="nil"/>
              <w:right w:val="nil"/>
            </w:tcBorders>
            <w:shd w:val="clear" w:color="auto" w:fill="auto"/>
            <w:noWrap/>
            <w:vAlign w:val="bottom"/>
            <w:hideMark/>
          </w:tcPr>
          <w:p w14:paraId="0C3F8B2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1" w:type="dxa"/>
            <w:tcBorders>
              <w:top w:val="nil"/>
              <w:left w:val="nil"/>
              <w:bottom w:val="nil"/>
              <w:right w:val="nil"/>
            </w:tcBorders>
            <w:shd w:val="clear" w:color="000000" w:fill="F2DCDB"/>
            <w:noWrap/>
            <w:vAlign w:val="bottom"/>
            <w:hideMark/>
          </w:tcPr>
          <w:p w14:paraId="0C3F8B2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47%</w:t>
            </w:r>
          </w:p>
        </w:tc>
        <w:tc>
          <w:tcPr>
            <w:tcW w:w="911" w:type="dxa"/>
            <w:tcBorders>
              <w:top w:val="nil"/>
              <w:left w:val="nil"/>
              <w:bottom w:val="nil"/>
              <w:right w:val="single" w:sz="4" w:space="0" w:color="auto"/>
            </w:tcBorders>
            <w:shd w:val="clear" w:color="000000" w:fill="F2DCDB"/>
            <w:noWrap/>
            <w:vAlign w:val="bottom"/>
            <w:hideMark/>
          </w:tcPr>
          <w:p w14:paraId="0C3F8B2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53%</w:t>
            </w:r>
          </w:p>
        </w:tc>
      </w:tr>
      <w:tr w:rsidR="00B6457B" w:rsidRPr="00393ABA" w14:paraId="0C3F8B40" w14:textId="77777777" w:rsidTr="00605DDA">
        <w:trPr>
          <w:trHeight w:val="20"/>
        </w:trPr>
        <w:tc>
          <w:tcPr>
            <w:tcW w:w="1406" w:type="dxa"/>
            <w:vMerge w:val="restart"/>
            <w:tcBorders>
              <w:top w:val="nil"/>
              <w:left w:val="single" w:sz="4" w:space="0" w:color="auto"/>
              <w:bottom w:val="nil"/>
              <w:right w:val="nil"/>
            </w:tcBorders>
            <w:shd w:val="clear" w:color="000000" w:fill="F2F2F2"/>
            <w:noWrap/>
            <w:vAlign w:val="center"/>
            <w:hideMark/>
          </w:tcPr>
          <w:p w14:paraId="0C3F8B3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Fitzroy</w:t>
            </w:r>
          </w:p>
        </w:tc>
        <w:tc>
          <w:tcPr>
            <w:tcW w:w="875" w:type="dxa"/>
            <w:tcBorders>
              <w:top w:val="nil"/>
              <w:left w:val="single" w:sz="4" w:space="0" w:color="auto"/>
              <w:bottom w:val="nil"/>
              <w:right w:val="single" w:sz="4" w:space="0" w:color="auto"/>
            </w:tcBorders>
            <w:shd w:val="clear" w:color="000000" w:fill="F2F2F2"/>
            <w:noWrap/>
            <w:vAlign w:val="center"/>
            <w:hideMark/>
          </w:tcPr>
          <w:p w14:paraId="0C3F8B3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1068" w:type="dxa"/>
            <w:tcBorders>
              <w:top w:val="nil"/>
              <w:left w:val="nil"/>
              <w:bottom w:val="nil"/>
              <w:right w:val="single" w:sz="4" w:space="0" w:color="auto"/>
            </w:tcBorders>
            <w:shd w:val="clear" w:color="000000" w:fill="F2F2F2"/>
            <w:noWrap/>
            <w:vAlign w:val="bottom"/>
            <w:hideMark/>
          </w:tcPr>
          <w:p w14:paraId="0C3F8B3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86860</w:t>
            </w:r>
          </w:p>
        </w:tc>
        <w:tc>
          <w:tcPr>
            <w:tcW w:w="722" w:type="dxa"/>
            <w:tcBorders>
              <w:top w:val="nil"/>
              <w:left w:val="nil"/>
              <w:bottom w:val="nil"/>
              <w:right w:val="nil"/>
            </w:tcBorders>
            <w:shd w:val="clear" w:color="auto" w:fill="auto"/>
            <w:noWrap/>
            <w:vAlign w:val="bottom"/>
            <w:hideMark/>
          </w:tcPr>
          <w:p w14:paraId="0C3F8B3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13259</w:t>
            </w:r>
          </w:p>
        </w:tc>
        <w:tc>
          <w:tcPr>
            <w:tcW w:w="780" w:type="dxa"/>
            <w:tcBorders>
              <w:top w:val="nil"/>
              <w:left w:val="nil"/>
              <w:bottom w:val="nil"/>
              <w:right w:val="nil"/>
            </w:tcBorders>
            <w:shd w:val="clear" w:color="auto" w:fill="auto"/>
            <w:noWrap/>
            <w:vAlign w:val="bottom"/>
            <w:hideMark/>
          </w:tcPr>
          <w:p w14:paraId="0C3F8B3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2089</w:t>
            </w:r>
          </w:p>
        </w:tc>
        <w:tc>
          <w:tcPr>
            <w:tcW w:w="751" w:type="dxa"/>
            <w:tcBorders>
              <w:top w:val="nil"/>
              <w:left w:val="nil"/>
              <w:bottom w:val="nil"/>
              <w:right w:val="nil"/>
            </w:tcBorders>
            <w:shd w:val="clear" w:color="auto" w:fill="auto"/>
            <w:noWrap/>
            <w:vAlign w:val="bottom"/>
            <w:hideMark/>
          </w:tcPr>
          <w:p w14:paraId="0C3F8B3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8797</w:t>
            </w:r>
          </w:p>
        </w:tc>
        <w:tc>
          <w:tcPr>
            <w:tcW w:w="723" w:type="dxa"/>
            <w:tcBorders>
              <w:top w:val="nil"/>
              <w:left w:val="nil"/>
              <w:bottom w:val="nil"/>
              <w:right w:val="nil"/>
            </w:tcBorders>
            <w:shd w:val="clear" w:color="auto" w:fill="auto"/>
            <w:noWrap/>
            <w:vAlign w:val="bottom"/>
            <w:hideMark/>
          </w:tcPr>
          <w:p w14:paraId="0C3F8B3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6368</w:t>
            </w:r>
          </w:p>
        </w:tc>
        <w:tc>
          <w:tcPr>
            <w:tcW w:w="761" w:type="dxa"/>
            <w:tcBorders>
              <w:top w:val="nil"/>
              <w:left w:val="nil"/>
              <w:bottom w:val="nil"/>
              <w:right w:val="nil"/>
            </w:tcBorders>
            <w:shd w:val="clear" w:color="auto" w:fill="auto"/>
            <w:noWrap/>
            <w:vAlign w:val="bottom"/>
            <w:hideMark/>
          </w:tcPr>
          <w:p w14:paraId="0C3F8B3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12154</w:t>
            </w:r>
          </w:p>
        </w:tc>
        <w:tc>
          <w:tcPr>
            <w:tcW w:w="911" w:type="dxa"/>
            <w:tcBorders>
              <w:top w:val="nil"/>
              <w:left w:val="nil"/>
              <w:bottom w:val="nil"/>
              <w:right w:val="nil"/>
            </w:tcBorders>
            <w:shd w:val="clear" w:color="000000" w:fill="F2DCDB"/>
            <w:noWrap/>
            <w:vAlign w:val="bottom"/>
            <w:hideMark/>
          </w:tcPr>
          <w:p w14:paraId="0C3F8B38"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42666</w:t>
            </w:r>
          </w:p>
        </w:tc>
        <w:tc>
          <w:tcPr>
            <w:tcW w:w="911" w:type="dxa"/>
            <w:tcBorders>
              <w:top w:val="nil"/>
              <w:left w:val="nil"/>
              <w:bottom w:val="nil"/>
              <w:right w:val="single" w:sz="4" w:space="0" w:color="auto"/>
            </w:tcBorders>
            <w:shd w:val="clear" w:color="000000" w:fill="F2DCDB"/>
            <w:noWrap/>
            <w:vAlign w:val="bottom"/>
            <w:hideMark/>
          </w:tcPr>
          <w:p w14:paraId="0C3F8B3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44194</w:t>
            </w:r>
          </w:p>
        </w:tc>
        <w:tc>
          <w:tcPr>
            <w:tcW w:w="723" w:type="dxa"/>
            <w:tcBorders>
              <w:top w:val="nil"/>
              <w:left w:val="nil"/>
              <w:bottom w:val="nil"/>
              <w:right w:val="nil"/>
            </w:tcBorders>
            <w:shd w:val="clear" w:color="auto" w:fill="auto"/>
            <w:noWrap/>
            <w:vAlign w:val="bottom"/>
            <w:hideMark/>
          </w:tcPr>
          <w:p w14:paraId="0C3F8B3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16944</w:t>
            </w:r>
          </w:p>
        </w:tc>
        <w:tc>
          <w:tcPr>
            <w:tcW w:w="917" w:type="dxa"/>
            <w:tcBorders>
              <w:top w:val="nil"/>
              <w:left w:val="nil"/>
              <w:bottom w:val="nil"/>
              <w:right w:val="nil"/>
            </w:tcBorders>
            <w:shd w:val="clear" w:color="auto" w:fill="auto"/>
            <w:noWrap/>
            <w:vAlign w:val="bottom"/>
            <w:hideMark/>
          </w:tcPr>
          <w:p w14:paraId="0C3F8B3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19022</w:t>
            </w:r>
          </w:p>
        </w:tc>
        <w:tc>
          <w:tcPr>
            <w:tcW w:w="723" w:type="dxa"/>
            <w:tcBorders>
              <w:top w:val="nil"/>
              <w:left w:val="nil"/>
              <w:bottom w:val="nil"/>
              <w:right w:val="nil"/>
            </w:tcBorders>
            <w:shd w:val="clear" w:color="auto" w:fill="auto"/>
            <w:noWrap/>
            <w:vAlign w:val="bottom"/>
            <w:hideMark/>
          </w:tcPr>
          <w:p w14:paraId="0C3F8B3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6127</w:t>
            </w:r>
          </w:p>
        </w:tc>
        <w:tc>
          <w:tcPr>
            <w:tcW w:w="988" w:type="dxa"/>
            <w:tcBorders>
              <w:top w:val="nil"/>
              <w:left w:val="nil"/>
              <w:bottom w:val="nil"/>
              <w:right w:val="nil"/>
            </w:tcBorders>
            <w:shd w:val="clear" w:color="auto" w:fill="auto"/>
            <w:noWrap/>
            <w:vAlign w:val="bottom"/>
            <w:hideMark/>
          </w:tcPr>
          <w:p w14:paraId="0C3F8B3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581</w:t>
            </w:r>
          </w:p>
        </w:tc>
        <w:tc>
          <w:tcPr>
            <w:tcW w:w="911" w:type="dxa"/>
            <w:tcBorders>
              <w:top w:val="nil"/>
              <w:left w:val="nil"/>
              <w:bottom w:val="nil"/>
              <w:right w:val="nil"/>
            </w:tcBorders>
            <w:shd w:val="clear" w:color="000000" w:fill="F2DCDB"/>
            <w:noWrap/>
            <w:vAlign w:val="bottom"/>
            <w:hideMark/>
          </w:tcPr>
          <w:p w14:paraId="0C3F8B3E"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42674</w:t>
            </w:r>
          </w:p>
        </w:tc>
        <w:tc>
          <w:tcPr>
            <w:tcW w:w="911" w:type="dxa"/>
            <w:tcBorders>
              <w:top w:val="nil"/>
              <w:left w:val="nil"/>
              <w:bottom w:val="nil"/>
              <w:right w:val="single" w:sz="4" w:space="0" w:color="auto"/>
            </w:tcBorders>
            <w:shd w:val="clear" w:color="000000" w:fill="F2DCDB"/>
            <w:noWrap/>
            <w:vAlign w:val="bottom"/>
            <w:hideMark/>
          </w:tcPr>
          <w:p w14:paraId="0C3F8B3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44186</w:t>
            </w:r>
          </w:p>
        </w:tc>
      </w:tr>
      <w:tr w:rsidR="00B6457B" w:rsidRPr="00393ABA" w14:paraId="0C3F8B51" w14:textId="77777777" w:rsidTr="00605DDA">
        <w:trPr>
          <w:trHeight w:val="20"/>
        </w:trPr>
        <w:tc>
          <w:tcPr>
            <w:tcW w:w="1406" w:type="dxa"/>
            <w:vMerge/>
            <w:tcBorders>
              <w:top w:val="nil"/>
              <w:left w:val="single" w:sz="4" w:space="0" w:color="auto"/>
              <w:bottom w:val="nil"/>
              <w:right w:val="nil"/>
            </w:tcBorders>
            <w:vAlign w:val="center"/>
            <w:hideMark/>
          </w:tcPr>
          <w:p w14:paraId="0C3F8B41"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single" w:sz="4" w:space="0" w:color="auto"/>
              <w:bottom w:val="nil"/>
              <w:right w:val="single" w:sz="4" w:space="0" w:color="auto"/>
            </w:tcBorders>
            <w:shd w:val="clear" w:color="000000" w:fill="F2F2F2"/>
            <w:noWrap/>
            <w:vAlign w:val="center"/>
            <w:hideMark/>
          </w:tcPr>
          <w:p w14:paraId="0C3F8B4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1068" w:type="dxa"/>
            <w:tcBorders>
              <w:top w:val="nil"/>
              <w:left w:val="nil"/>
              <w:bottom w:val="nil"/>
              <w:right w:val="single" w:sz="4" w:space="0" w:color="auto"/>
            </w:tcBorders>
            <w:shd w:val="clear" w:color="000000" w:fill="F2F2F2"/>
            <w:noWrap/>
            <w:vAlign w:val="bottom"/>
            <w:hideMark/>
          </w:tcPr>
          <w:p w14:paraId="0C3F8B4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22" w:type="dxa"/>
            <w:tcBorders>
              <w:top w:val="nil"/>
              <w:left w:val="nil"/>
              <w:bottom w:val="nil"/>
              <w:right w:val="nil"/>
            </w:tcBorders>
            <w:shd w:val="clear" w:color="auto" w:fill="auto"/>
            <w:noWrap/>
            <w:vAlign w:val="bottom"/>
            <w:hideMark/>
          </w:tcPr>
          <w:p w14:paraId="0C3F8B4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15%</w:t>
            </w:r>
          </w:p>
        </w:tc>
        <w:tc>
          <w:tcPr>
            <w:tcW w:w="780" w:type="dxa"/>
            <w:tcBorders>
              <w:top w:val="nil"/>
              <w:left w:val="nil"/>
              <w:bottom w:val="nil"/>
              <w:right w:val="nil"/>
            </w:tcBorders>
            <w:shd w:val="clear" w:color="auto" w:fill="auto"/>
            <w:noWrap/>
            <w:vAlign w:val="bottom"/>
            <w:hideMark/>
          </w:tcPr>
          <w:p w14:paraId="0C3F8B4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51" w:type="dxa"/>
            <w:tcBorders>
              <w:top w:val="nil"/>
              <w:left w:val="nil"/>
              <w:bottom w:val="nil"/>
              <w:right w:val="nil"/>
            </w:tcBorders>
            <w:shd w:val="clear" w:color="auto" w:fill="auto"/>
            <w:noWrap/>
            <w:vAlign w:val="bottom"/>
            <w:hideMark/>
          </w:tcPr>
          <w:p w14:paraId="0C3F8B4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w:t>
            </w:r>
          </w:p>
        </w:tc>
        <w:tc>
          <w:tcPr>
            <w:tcW w:w="723" w:type="dxa"/>
            <w:tcBorders>
              <w:top w:val="nil"/>
              <w:left w:val="nil"/>
              <w:bottom w:val="nil"/>
              <w:right w:val="nil"/>
            </w:tcBorders>
            <w:shd w:val="clear" w:color="auto" w:fill="auto"/>
            <w:noWrap/>
            <w:vAlign w:val="bottom"/>
            <w:hideMark/>
          </w:tcPr>
          <w:p w14:paraId="0C3F8B4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761" w:type="dxa"/>
            <w:tcBorders>
              <w:top w:val="nil"/>
              <w:left w:val="nil"/>
              <w:bottom w:val="nil"/>
              <w:right w:val="nil"/>
            </w:tcBorders>
            <w:shd w:val="clear" w:color="auto" w:fill="auto"/>
            <w:noWrap/>
            <w:vAlign w:val="bottom"/>
            <w:hideMark/>
          </w:tcPr>
          <w:p w14:paraId="0C3F8B4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14%</w:t>
            </w:r>
          </w:p>
        </w:tc>
        <w:tc>
          <w:tcPr>
            <w:tcW w:w="911" w:type="dxa"/>
            <w:tcBorders>
              <w:top w:val="nil"/>
              <w:left w:val="nil"/>
              <w:bottom w:val="nil"/>
              <w:right w:val="nil"/>
            </w:tcBorders>
            <w:shd w:val="clear" w:color="000000" w:fill="F2DCDB"/>
            <w:noWrap/>
            <w:vAlign w:val="bottom"/>
            <w:hideMark/>
          </w:tcPr>
          <w:p w14:paraId="0C3F8B4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49%</w:t>
            </w:r>
          </w:p>
        </w:tc>
        <w:tc>
          <w:tcPr>
            <w:tcW w:w="911" w:type="dxa"/>
            <w:tcBorders>
              <w:top w:val="nil"/>
              <w:left w:val="nil"/>
              <w:bottom w:val="nil"/>
              <w:right w:val="single" w:sz="4" w:space="0" w:color="auto"/>
            </w:tcBorders>
            <w:shd w:val="clear" w:color="000000" w:fill="F2DCDB"/>
            <w:noWrap/>
            <w:vAlign w:val="bottom"/>
            <w:hideMark/>
          </w:tcPr>
          <w:p w14:paraId="0C3F8B4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51%</w:t>
            </w:r>
          </w:p>
        </w:tc>
        <w:tc>
          <w:tcPr>
            <w:tcW w:w="723" w:type="dxa"/>
            <w:tcBorders>
              <w:top w:val="nil"/>
              <w:left w:val="nil"/>
              <w:bottom w:val="nil"/>
              <w:right w:val="nil"/>
            </w:tcBorders>
            <w:shd w:val="clear" w:color="auto" w:fill="auto"/>
            <w:noWrap/>
            <w:vAlign w:val="bottom"/>
            <w:hideMark/>
          </w:tcPr>
          <w:p w14:paraId="0C3F8B4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917" w:type="dxa"/>
            <w:tcBorders>
              <w:top w:val="nil"/>
              <w:left w:val="nil"/>
              <w:bottom w:val="nil"/>
              <w:right w:val="nil"/>
            </w:tcBorders>
            <w:shd w:val="clear" w:color="auto" w:fill="auto"/>
            <w:noWrap/>
            <w:vAlign w:val="bottom"/>
            <w:hideMark/>
          </w:tcPr>
          <w:p w14:paraId="0C3F8B4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22%</w:t>
            </w:r>
          </w:p>
        </w:tc>
        <w:tc>
          <w:tcPr>
            <w:tcW w:w="723" w:type="dxa"/>
            <w:tcBorders>
              <w:top w:val="nil"/>
              <w:left w:val="nil"/>
              <w:bottom w:val="nil"/>
              <w:right w:val="nil"/>
            </w:tcBorders>
            <w:shd w:val="clear" w:color="auto" w:fill="auto"/>
            <w:noWrap/>
            <w:vAlign w:val="bottom"/>
            <w:hideMark/>
          </w:tcPr>
          <w:p w14:paraId="0C3F8B4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988" w:type="dxa"/>
            <w:tcBorders>
              <w:top w:val="nil"/>
              <w:left w:val="nil"/>
              <w:bottom w:val="nil"/>
              <w:right w:val="nil"/>
            </w:tcBorders>
            <w:shd w:val="clear" w:color="auto" w:fill="auto"/>
            <w:noWrap/>
            <w:vAlign w:val="bottom"/>
            <w:hideMark/>
          </w:tcPr>
          <w:p w14:paraId="0C3F8B4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1" w:type="dxa"/>
            <w:tcBorders>
              <w:top w:val="nil"/>
              <w:left w:val="nil"/>
              <w:bottom w:val="nil"/>
              <w:right w:val="nil"/>
            </w:tcBorders>
            <w:shd w:val="clear" w:color="000000" w:fill="F2DCDB"/>
            <w:noWrap/>
            <w:vAlign w:val="bottom"/>
            <w:hideMark/>
          </w:tcPr>
          <w:p w14:paraId="0C3F8B4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49%</w:t>
            </w:r>
          </w:p>
        </w:tc>
        <w:tc>
          <w:tcPr>
            <w:tcW w:w="911" w:type="dxa"/>
            <w:tcBorders>
              <w:top w:val="nil"/>
              <w:left w:val="nil"/>
              <w:bottom w:val="nil"/>
              <w:right w:val="single" w:sz="4" w:space="0" w:color="auto"/>
            </w:tcBorders>
            <w:shd w:val="clear" w:color="000000" w:fill="F2DCDB"/>
            <w:noWrap/>
            <w:vAlign w:val="bottom"/>
            <w:hideMark/>
          </w:tcPr>
          <w:p w14:paraId="0C3F8B5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51%</w:t>
            </w:r>
          </w:p>
        </w:tc>
      </w:tr>
      <w:tr w:rsidR="00B6457B" w:rsidRPr="00393ABA" w14:paraId="0C3F8B62" w14:textId="77777777" w:rsidTr="00605DDA">
        <w:trPr>
          <w:trHeight w:val="20"/>
        </w:trPr>
        <w:tc>
          <w:tcPr>
            <w:tcW w:w="1406"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3F8B5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Burnett-Mary</w:t>
            </w:r>
          </w:p>
        </w:tc>
        <w:tc>
          <w:tcPr>
            <w:tcW w:w="875" w:type="dxa"/>
            <w:tcBorders>
              <w:top w:val="nil"/>
              <w:left w:val="nil"/>
              <w:bottom w:val="nil"/>
              <w:right w:val="single" w:sz="4" w:space="0" w:color="auto"/>
            </w:tcBorders>
            <w:shd w:val="clear" w:color="000000" w:fill="F2F2F2"/>
            <w:noWrap/>
            <w:vAlign w:val="center"/>
            <w:hideMark/>
          </w:tcPr>
          <w:p w14:paraId="0C3F8B5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1068" w:type="dxa"/>
            <w:tcBorders>
              <w:top w:val="nil"/>
              <w:left w:val="nil"/>
              <w:bottom w:val="nil"/>
              <w:right w:val="single" w:sz="4" w:space="0" w:color="auto"/>
            </w:tcBorders>
            <w:shd w:val="clear" w:color="000000" w:fill="F2F2F2"/>
            <w:noWrap/>
            <w:vAlign w:val="bottom"/>
            <w:hideMark/>
          </w:tcPr>
          <w:p w14:paraId="0C3F8B5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37712</w:t>
            </w:r>
          </w:p>
        </w:tc>
        <w:tc>
          <w:tcPr>
            <w:tcW w:w="722" w:type="dxa"/>
            <w:tcBorders>
              <w:top w:val="nil"/>
              <w:left w:val="nil"/>
              <w:bottom w:val="nil"/>
              <w:right w:val="nil"/>
            </w:tcBorders>
            <w:shd w:val="clear" w:color="auto" w:fill="auto"/>
            <w:noWrap/>
            <w:vAlign w:val="bottom"/>
            <w:hideMark/>
          </w:tcPr>
          <w:p w14:paraId="0C3F8B5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9746</w:t>
            </w:r>
          </w:p>
        </w:tc>
        <w:tc>
          <w:tcPr>
            <w:tcW w:w="780" w:type="dxa"/>
            <w:tcBorders>
              <w:top w:val="nil"/>
              <w:left w:val="nil"/>
              <w:bottom w:val="nil"/>
              <w:right w:val="nil"/>
            </w:tcBorders>
            <w:shd w:val="clear" w:color="auto" w:fill="auto"/>
            <w:noWrap/>
            <w:vAlign w:val="bottom"/>
            <w:hideMark/>
          </w:tcPr>
          <w:p w14:paraId="0C3F8B5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806</w:t>
            </w:r>
          </w:p>
        </w:tc>
        <w:tc>
          <w:tcPr>
            <w:tcW w:w="751" w:type="dxa"/>
            <w:tcBorders>
              <w:top w:val="nil"/>
              <w:left w:val="nil"/>
              <w:bottom w:val="nil"/>
              <w:right w:val="nil"/>
            </w:tcBorders>
            <w:shd w:val="clear" w:color="auto" w:fill="auto"/>
            <w:noWrap/>
            <w:vAlign w:val="bottom"/>
            <w:hideMark/>
          </w:tcPr>
          <w:p w14:paraId="0C3F8B5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1039</w:t>
            </w:r>
          </w:p>
        </w:tc>
        <w:tc>
          <w:tcPr>
            <w:tcW w:w="723" w:type="dxa"/>
            <w:tcBorders>
              <w:top w:val="nil"/>
              <w:left w:val="nil"/>
              <w:bottom w:val="nil"/>
              <w:right w:val="nil"/>
            </w:tcBorders>
            <w:shd w:val="clear" w:color="auto" w:fill="auto"/>
            <w:noWrap/>
            <w:vAlign w:val="bottom"/>
            <w:hideMark/>
          </w:tcPr>
          <w:p w14:paraId="0C3F8B5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767</w:t>
            </w:r>
          </w:p>
        </w:tc>
        <w:tc>
          <w:tcPr>
            <w:tcW w:w="761" w:type="dxa"/>
            <w:tcBorders>
              <w:top w:val="nil"/>
              <w:left w:val="nil"/>
              <w:bottom w:val="nil"/>
              <w:right w:val="nil"/>
            </w:tcBorders>
            <w:shd w:val="clear" w:color="auto" w:fill="auto"/>
            <w:noWrap/>
            <w:vAlign w:val="bottom"/>
            <w:hideMark/>
          </w:tcPr>
          <w:p w14:paraId="0C3F8B5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1283</w:t>
            </w:r>
          </w:p>
        </w:tc>
        <w:tc>
          <w:tcPr>
            <w:tcW w:w="911" w:type="dxa"/>
            <w:tcBorders>
              <w:top w:val="nil"/>
              <w:left w:val="nil"/>
              <w:bottom w:val="nil"/>
              <w:right w:val="nil"/>
            </w:tcBorders>
            <w:shd w:val="clear" w:color="000000" w:fill="F2DCDB"/>
            <w:noWrap/>
            <w:vAlign w:val="bottom"/>
            <w:hideMark/>
          </w:tcPr>
          <w:p w14:paraId="0C3F8B5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13641</w:t>
            </w:r>
          </w:p>
        </w:tc>
        <w:tc>
          <w:tcPr>
            <w:tcW w:w="911" w:type="dxa"/>
            <w:tcBorders>
              <w:top w:val="nil"/>
              <w:left w:val="nil"/>
              <w:bottom w:val="nil"/>
              <w:right w:val="single" w:sz="4" w:space="0" w:color="auto"/>
            </w:tcBorders>
            <w:shd w:val="clear" w:color="000000" w:fill="F2DCDB"/>
            <w:noWrap/>
            <w:vAlign w:val="bottom"/>
            <w:hideMark/>
          </w:tcPr>
          <w:p w14:paraId="0C3F8B5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24071</w:t>
            </w:r>
          </w:p>
        </w:tc>
        <w:tc>
          <w:tcPr>
            <w:tcW w:w="723" w:type="dxa"/>
            <w:tcBorders>
              <w:top w:val="nil"/>
              <w:left w:val="nil"/>
              <w:bottom w:val="nil"/>
              <w:right w:val="nil"/>
            </w:tcBorders>
            <w:shd w:val="clear" w:color="auto" w:fill="auto"/>
            <w:noWrap/>
            <w:vAlign w:val="bottom"/>
            <w:hideMark/>
          </w:tcPr>
          <w:p w14:paraId="0C3F8B5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7250</w:t>
            </w:r>
          </w:p>
        </w:tc>
        <w:tc>
          <w:tcPr>
            <w:tcW w:w="917" w:type="dxa"/>
            <w:tcBorders>
              <w:top w:val="nil"/>
              <w:left w:val="nil"/>
              <w:bottom w:val="nil"/>
              <w:right w:val="nil"/>
            </w:tcBorders>
            <w:shd w:val="clear" w:color="auto" w:fill="auto"/>
            <w:noWrap/>
            <w:vAlign w:val="bottom"/>
            <w:hideMark/>
          </w:tcPr>
          <w:p w14:paraId="0C3F8B5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5930</w:t>
            </w:r>
          </w:p>
        </w:tc>
        <w:tc>
          <w:tcPr>
            <w:tcW w:w="723" w:type="dxa"/>
            <w:tcBorders>
              <w:top w:val="nil"/>
              <w:left w:val="nil"/>
              <w:bottom w:val="nil"/>
              <w:right w:val="nil"/>
            </w:tcBorders>
            <w:shd w:val="clear" w:color="auto" w:fill="auto"/>
            <w:noWrap/>
            <w:vAlign w:val="bottom"/>
            <w:hideMark/>
          </w:tcPr>
          <w:p w14:paraId="0C3F8B5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360</w:t>
            </w:r>
          </w:p>
        </w:tc>
        <w:tc>
          <w:tcPr>
            <w:tcW w:w="988" w:type="dxa"/>
            <w:tcBorders>
              <w:top w:val="nil"/>
              <w:left w:val="nil"/>
              <w:bottom w:val="nil"/>
              <w:right w:val="nil"/>
            </w:tcBorders>
            <w:shd w:val="clear" w:color="auto" w:fill="auto"/>
            <w:noWrap/>
            <w:vAlign w:val="bottom"/>
            <w:hideMark/>
          </w:tcPr>
          <w:p w14:paraId="0C3F8B5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50</w:t>
            </w:r>
          </w:p>
        </w:tc>
        <w:tc>
          <w:tcPr>
            <w:tcW w:w="911" w:type="dxa"/>
            <w:tcBorders>
              <w:top w:val="nil"/>
              <w:left w:val="nil"/>
              <w:bottom w:val="nil"/>
              <w:right w:val="nil"/>
            </w:tcBorders>
            <w:shd w:val="clear" w:color="000000" w:fill="F2DCDB"/>
            <w:noWrap/>
            <w:vAlign w:val="bottom"/>
            <w:hideMark/>
          </w:tcPr>
          <w:p w14:paraId="0C3F8B60"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13590</w:t>
            </w:r>
          </w:p>
        </w:tc>
        <w:tc>
          <w:tcPr>
            <w:tcW w:w="911" w:type="dxa"/>
            <w:tcBorders>
              <w:top w:val="nil"/>
              <w:left w:val="nil"/>
              <w:bottom w:val="nil"/>
              <w:right w:val="single" w:sz="4" w:space="0" w:color="auto"/>
            </w:tcBorders>
            <w:shd w:val="clear" w:color="000000" w:fill="F2DCDB"/>
            <w:noWrap/>
            <w:vAlign w:val="bottom"/>
            <w:hideMark/>
          </w:tcPr>
          <w:p w14:paraId="0C3F8B6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24122</w:t>
            </w:r>
          </w:p>
        </w:tc>
      </w:tr>
      <w:tr w:rsidR="00B6457B" w:rsidRPr="00393ABA" w14:paraId="0C3F8B73" w14:textId="77777777" w:rsidTr="00605DDA">
        <w:trPr>
          <w:trHeight w:val="20"/>
        </w:trPr>
        <w:tc>
          <w:tcPr>
            <w:tcW w:w="1406" w:type="dxa"/>
            <w:vMerge/>
            <w:tcBorders>
              <w:top w:val="nil"/>
              <w:left w:val="single" w:sz="4" w:space="0" w:color="auto"/>
              <w:bottom w:val="single" w:sz="4" w:space="0" w:color="000000"/>
              <w:right w:val="single" w:sz="4" w:space="0" w:color="auto"/>
            </w:tcBorders>
            <w:vAlign w:val="center"/>
            <w:hideMark/>
          </w:tcPr>
          <w:p w14:paraId="0C3F8B63" w14:textId="77777777" w:rsidR="00B6457B" w:rsidRPr="00393ABA" w:rsidRDefault="00B6457B" w:rsidP="00393ABA">
            <w:pPr>
              <w:spacing w:after="120"/>
              <w:jc w:val="left"/>
              <w:rPr>
                <w:rFonts w:ascii="Calibri" w:hAnsi="Calibri" w:cs="Calibri"/>
                <w:b/>
                <w:bCs/>
                <w:color w:val="000000"/>
                <w:sz w:val="20"/>
                <w:szCs w:val="20"/>
              </w:rPr>
            </w:pPr>
          </w:p>
        </w:tc>
        <w:tc>
          <w:tcPr>
            <w:tcW w:w="875" w:type="dxa"/>
            <w:tcBorders>
              <w:top w:val="nil"/>
              <w:left w:val="nil"/>
              <w:bottom w:val="single" w:sz="4" w:space="0" w:color="auto"/>
              <w:right w:val="single" w:sz="4" w:space="0" w:color="auto"/>
            </w:tcBorders>
            <w:shd w:val="clear" w:color="000000" w:fill="F2F2F2"/>
            <w:noWrap/>
            <w:vAlign w:val="center"/>
            <w:hideMark/>
          </w:tcPr>
          <w:p w14:paraId="0C3F8B6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1068" w:type="dxa"/>
            <w:tcBorders>
              <w:top w:val="nil"/>
              <w:left w:val="nil"/>
              <w:bottom w:val="single" w:sz="4" w:space="0" w:color="auto"/>
              <w:right w:val="single" w:sz="4" w:space="0" w:color="auto"/>
            </w:tcBorders>
            <w:shd w:val="clear" w:color="000000" w:fill="F2F2F2"/>
            <w:noWrap/>
            <w:vAlign w:val="bottom"/>
            <w:hideMark/>
          </w:tcPr>
          <w:p w14:paraId="0C3F8B6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22" w:type="dxa"/>
            <w:tcBorders>
              <w:top w:val="nil"/>
              <w:left w:val="nil"/>
              <w:bottom w:val="single" w:sz="4" w:space="0" w:color="auto"/>
              <w:right w:val="nil"/>
            </w:tcBorders>
            <w:shd w:val="clear" w:color="auto" w:fill="auto"/>
            <w:noWrap/>
            <w:vAlign w:val="bottom"/>
            <w:hideMark/>
          </w:tcPr>
          <w:p w14:paraId="0C3F8B6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26%</w:t>
            </w:r>
          </w:p>
        </w:tc>
        <w:tc>
          <w:tcPr>
            <w:tcW w:w="780" w:type="dxa"/>
            <w:tcBorders>
              <w:top w:val="nil"/>
              <w:left w:val="nil"/>
              <w:bottom w:val="single" w:sz="4" w:space="0" w:color="auto"/>
              <w:right w:val="nil"/>
            </w:tcBorders>
            <w:shd w:val="clear" w:color="auto" w:fill="auto"/>
            <w:noWrap/>
            <w:vAlign w:val="bottom"/>
            <w:hideMark/>
          </w:tcPr>
          <w:p w14:paraId="0C3F8B6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51" w:type="dxa"/>
            <w:tcBorders>
              <w:top w:val="nil"/>
              <w:left w:val="nil"/>
              <w:bottom w:val="single" w:sz="4" w:space="0" w:color="auto"/>
              <w:right w:val="nil"/>
            </w:tcBorders>
            <w:shd w:val="clear" w:color="auto" w:fill="auto"/>
            <w:noWrap/>
            <w:vAlign w:val="bottom"/>
            <w:hideMark/>
          </w:tcPr>
          <w:p w14:paraId="0C3F8B6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723" w:type="dxa"/>
            <w:tcBorders>
              <w:top w:val="nil"/>
              <w:left w:val="nil"/>
              <w:bottom w:val="single" w:sz="4" w:space="0" w:color="auto"/>
              <w:right w:val="nil"/>
            </w:tcBorders>
            <w:shd w:val="clear" w:color="auto" w:fill="auto"/>
            <w:noWrap/>
            <w:vAlign w:val="bottom"/>
            <w:hideMark/>
          </w:tcPr>
          <w:p w14:paraId="0C3F8B6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61" w:type="dxa"/>
            <w:tcBorders>
              <w:top w:val="nil"/>
              <w:left w:val="nil"/>
              <w:bottom w:val="single" w:sz="4" w:space="0" w:color="auto"/>
              <w:right w:val="nil"/>
            </w:tcBorders>
            <w:shd w:val="clear" w:color="auto" w:fill="auto"/>
            <w:noWrap/>
            <w:vAlign w:val="bottom"/>
            <w:hideMark/>
          </w:tcPr>
          <w:p w14:paraId="0C3F8B6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11" w:type="dxa"/>
            <w:tcBorders>
              <w:top w:val="nil"/>
              <w:left w:val="nil"/>
              <w:bottom w:val="single" w:sz="4" w:space="0" w:color="auto"/>
              <w:right w:val="nil"/>
            </w:tcBorders>
            <w:shd w:val="clear" w:color="000000" w:fill="F2DCDB"/>
            <w:noWrap/>
            <w:vAlign w:val="bottom"/>
            <w:hideMark/>
          </w:tcPr>
          <w:p w14:paraId="0C3F8B6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36%</w:t>
            </w:r>
          </w:p>
        </w:tc>
        <w:tc>
          <w:tcPr>
            <w:tcW w:w="911" w:type="dxa"/>
            <w:tcBorders>
              <w:top w:val="nil"/>
              <w:left w:val="nil"/>
              <w:bottom w:val="single" w:sz="4" w:space="0" w:color="auto"/>
              <w:right w:val="single" w:sz="4" w:space="0" w:color="auto"/>
            </w:tcBorders>
            <w:shd w:val="clear" w:color="000000" w:fill="F2DCDB"/>
            <w:noWrap/>
            <w:vAlign w:val="bottom"/>
            <w:hideMark/>
          </w:tcPr>
          <w:p w14:paraId="0C3F8B6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64%</w:t>
            </w:r>
          </w:p>
        </w:tc>
        <w:tc>
          <w:tcPr>
            <w:tcW w:w="723" w:type="dxa"/>
            <w:tcBorders>
              <w:top w:val="nil"/>
              <w:left w:val="nil"/>
              <w:bottom w:val="single" w:sz="4" w:space="0" w:color="auto"/>
              <w:right w:val="nil"/>
            </w:tcBorders>
            <w:shd w:val="clear" w:color="auto" w:fill="auto"/>
            <w:noWrap/>
            <w:vAlign w:val="bottom"/>
            <w:hideMark/>
          </w:tcPr>
          <w:p w14:paraId="0C3F8B6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19%</w:t>
            </w:r>
          </w:p>
        </w:tc>
        <w:tc>
          <w:tcPr>
            <w:tcW w:w="917" w:type="dxa"/>
            <w:tcBorders>
              <w:top w:val="nil"/>
              <w:left w:val="nil"/>
              <w:bottom w:val="single" w:sz="4" w:space="0" w:color="auto"/>
              <w:right w:val="nil"/>
            </w:tcBorders>
            <w:shd w:val="clear" w:color="auto" w:fill="auto"/>
            <w:noWrap/>
            <w:vAlign w:val="bottom"/>
            <w:hideMark/>
          </w:tcPr>
          <w:p w14:paraId="0C3F8B6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16%</w:t>
            </w:r>
          </w:p>
        </w:tc>
        <w:tc>
          <w:tcPr>
            <w:tcW w:w="723" w:type="dxa"/>
            <w:tcBorders>
              <w:top w:val="nil"/>
              <w:left w:val="nil"/>
              <w:bottom w:val="single" w:sz="4" w:space="0" w:color="auto"/>
              <w:right w:val="nil"/>
            </w:tcBorders>
            <w:shd w:val="clear" w:color="auto" w:fill="auto"/>
            <w:noWrap/>
            <w:vAlign w:val="bottom"/>
            <w:hideMark/>
          </w:tcPr>
          <w:p w14:paraId="0C3F8B6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88" w:type="dxa"/>
            <w:tcBorders>
              <w:top w:val="nil"/>
              <w:left w:val="nil"/>
              <w:bottom w:val="single" w:sz="4" w:space="0" w:color="auto"/>
              <w:right w:val="nil"/>
            </w:tcBorders>
            <w:shd w:val="clear" w:color="auto" w:fill="auto"/>
            <w:noWrap/>
            <w:vAlign w:val="bottom"/>
            <w:hideMark/>
          </w:tcPr>
          <w:p w14:paraId="0C3F8B7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1" w:type="dxa"/>
            <w:tcBorders>
              <w:top w:val="nil"/>
              <w:left w:val="nil"/>
              <w:bottom w:val="single" w:sz="4" w:space="0" w:color="auto"/>
              <w:right w:val="nil"/>
            </w:tcBorders>
            <w:shd w:val="clear" w:color="000000" w:fill="F2DCDB"/>
            <w:noWrap/>
            <w:vAlign w:val="bottom"/>
            <w:hideMark/>
          </w:tcPr>
          <w:p w14:paraId="0C3F8B7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36%</w:t>
            </w:r>
          </w:p>
        </w:tc>
        <w:tc>
          <w:tcPr>
            <w:tcW w:w="911" w:type="dxa"/>
            <w:tcBorders>
              <w:top w:val="nil"/>
              <w:left w:val="nil"/>
              <w:bottom w:val="single" w:sz="4" w:space="0" w:color="auto"/>
              <w:right w:val="single" w:sz="4" w:space="0" w:color="auto"/>
            </w:tcBorders>
            <w:shd w:val="clear" w:color="000000" w:fill="F2DCDB"/>
            <w:noWrap/>
            <w:vAlign w:val="bottom"/>
            <w:hideMark/>
          </w:tcPr>
          <w:p w14:paraId="0C3F8B7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64%</w:t>
            </w:r>
          </w:p>
        </w:tc>
      </w:tr>
    </w:tbl>
    <w:p w14:paraId="0C3F8B74" w14:textId="77777777" w:rsidR="00B6457B" w:rsidRPr="00122A3D" w:rsidRDefault="00B6457B" w:rsidP="00B6457B">
      <w:pPr>
        <w:keepNext/>
        <w:spacing w:after="120"/>
        <w:rPr>
          <w:rFonts w:ascii="Calibri" w:eastAsia="Calibri" w:hAnsi="Calibri" w:cs="Times New Roman"/>
          <w:b/>
          <w:bCs/>
          <w:lang w:eastAsia="en-US"/>
        </w:rPr>
      </w:pPr>
      <w:bookmarkStart w:id="296" w:name="_Ref377046220"/>
      <w:r w:rsidRPr="00122A3D">
        <w:rPr>
          <w:rFonts w:ascii="Calibri" w:eastAsia="Calibri" w:hAnsi="Calibri" w:cs="Times New Roman"/>
          <w:bCs/>
          <w:lang w:eastAsia="en-US"/>
        </w:rPr>
        <w:t xml:space="preserve">Table </w:t>
      </w:r>
      <w:bookmarkEnd w:id="296"/>
      <w:r w:rsidRPr="00122A3D">
        <w:rPr>
          <w:rFonts w:ascii="Calibri" w:eastAsia="Calibri" w:hAnsi="Calibri" w:cs="Times New Roman"/>
          <w:bCs/>
          <w:lang w:eastAsia="en-US"/>
        </w:rPr>
        <w:t>A-</w:t>
      </w:r>
      <w:r>
        <w:rPr>
          <w:rFonts w:ascii="Calibri" w:eastAsia="Calibri" w:hAnsi="Calibri" w:cs="Times New Roman"/>
          <w:bCs/>
          <w:lang w:eastAsia="en-US"/>
        </w:rPr>
        <w:t>3</w:t>
      </w:r>
      <w:r w:rsidRPr="00122A3D">
        <w:rPr>
          <w:rFonts w:ascii="Calibri" w:eastAsia="Calibri" w:hAnsi="Calibri" w:cs="Times New Roman"/>
          <w:bCs/>
          <w:lang w:eastAsia="en-US"/>
        </w:rPr>
        <w:t>:</w:t>
      </w:r>
      <w:r w:rsidRPr="00122A3D">
        <w:rPr>
          <w:rFonts w:ascii="Calibri" w:eastAsia="Calibri" w:hAnsi="Calibri" w:cs="Times New Roman"/>
          <w:b/>
          <w:bCs/>
          <w:lang w:eastAsia="en-US"/>
        </w:rPr>
        <w:t xml:space="preserve"> </w:t>
      </w:r>
      <w:r w:rsidRPr="00122A3D">
        <w:rPr>
          <w:rFonts w:ascii="Calibri" w:eastAsia="Calibri" w:hAnsi="Calibri" w:cs="Times New Roman"/>
          <w:bCs/>
          <w:lang w:eastAsia="en-US"/>
        </w:rPr>
        <w:t>Areas (km</w:t>
      </w:r>
      <w:r w:rsidRPr="00122A3D">
        <w:rPr>
          <w:rFonts w:ascii="Calibri" w:eastAsia="Calibri" w:hAnsi="Calibri" w:cs="Times New Roman"/>
          <w:bCs/>
          <w:vertAlign w:val="superscript"/>
          <w:lang w:eastAsia="en-US"/>
        </w:rPr>
        <w:t>2</w:t>
      </w:r>
      <w:r w:rsidRPr="00122A3D">
        <w:rPr>
          <w:rFonts w:ascii="Calibri" w:eastAsia="Calibri" w:hAnsi="Calibri" w:cs="Times New Roman"/>
          <w:bCs/>
          <w:lang w:eastAsia="en-US"/>
        </w:rPr>
        <w:t xml:space="preserve">) and percentage (%) of coral reefs exposed (‘exp.’) to river plumes and </w:t>
      </w:r>
      <w:r>
        <w:rPr>
          <w:rFonts w:ascii="Calibri" w:eastAsia="Calibri" w:hAnsi="Calibri" w:cs="Times New Roman"/>
          <w:bCs/>
          <w:lang w:eastAsia="en-US"/>
        </w:rPr>
        <w:t xml:space="preserve">potential </w:t>
      </w:r>
      <w:r w:rsidRPr="00122A3D">
        <w:rPr>
          <w:rFonts w:ascii="Calibri" w:eastAsia="Calibri" w:hAnsi="Calibri" w:cs="Times New Roman"/>
          <w:bCs/>
          <w:lang w:eastAsia="en-US"/>
        </w:rPr>
        <w:t>river plume</w:t>
      </w:r>
      <w:r>
        <w:rPr>
          <w:rFonts w:ascii="Calibri" w:eastAsia="Calibri" w:hAnsi="Calibri" w:cs="Times New Roman"/>
          <w:bCs/>
          <w:lang w:eastAsia="en-US"/>
        </w:rPr>
        <w:t xml:space="preserve"> risk</w:t>
      </w:r>
      <w:r w:rsidRPr="00122A3D">
        <w:rPr>
          <w:rFonts w:ascii="Calibri" w:eastAsia="Calibri" w:hAnsi="Calibri" w:cs="Times New Roman"/>
          <w:bCs/>
          <w:lang w:eastAsia="en-US"/>
        </w:rPr>
        <w:t xml:space="preserve"> within the GBR and each NRM.</w:t>
      </w:r>
    </w:p>
    <w:tbl>
      <w:tblPr>
        <w:tblW w:w="14073" w:type="dxa"/>
        <w:tblInd w:w="93" w:type="dxa"/>
        <w:tblLook w:val="04A0" w:firstRow="1" w:lastRow="0" w:firstColumn="1" w:lastColumn="0" w:noHBand="0" w:noVBand="1"/>
      </w:tblPr>
      <w:tblGrid>
        <w:gridCol w:w="1407"/>
        <w:gridCol w:w="1120"/>
        <w:gridCol w:w="820"/>
        <w:gridCol w:w="622"/>
        <w:gridCol w:w="835"/>
        <w:gridCol w:w="803"/>
        <w:gridCol w:w="647"/>
        <w:gridCol w:w="815"/>
        <w:gridCol w:w="912"/>
        <w:gridCol w:w="912"/>
        <w:gridCol w:w="813"/>
        <w:gridCol w:w="918"/>
        <w:gridCol w:w="594"/>
        <w:gridCol w:w="1083"/>
        <w:gridCol w:w="886"/>
        <w:gridCol w:w="886"/>
      </w:tblGrid>
      <w:tr w:rsidR="00B6457B" w:rsidRPr="00393ABA" w14:paraId="0C3F8B7E" w14:textId="77777777" w:rsidTr="00393ABA">
        <w:trPr>
          <w:trHeight w:val="20"/>
        </w:trPr>
        <w:tc>
          <w:tcPr>
            <w:tcW w:w="1407" w:type="dxa"/>
            <w:tcBorders>
              <w:top w:val="nil"/>
              <w:left w:val="nil"/>
              <w:bottom w:val="nil"/>
              <w:right w:val="nil"/>
            </w:tcBorders>
            <w:shd w:val="clear" w:color="auto" w:fill="auto"/>
            <w:noWrap/>
            <w:vAlign w:val="bottom"/>
            <w:hideMark/>
          </w:tcPr>
          <w:p w14:paraId="0C3F8B75" w14:textId="77777777" w:rsidR="00B6457B" w:rsidRPr="00393ABA" w:rsidRDefault="00B6457B" w:rsidP="00393ABA">
            <w:pPr>
              <w:spacing w:after="120"/>
              <w:jc w:val="center"/>
              <w:rPr>
                <w:rFonts w:ascii="Calibri" w:hAnsi="Calibri" w:cs="Calibri"/>
                <w:color w:val="000000"/>
                <w:sz w:val="20"/>
                <w:szCs w:val="20"/>
              </w:rPr>
            </w:pPr>
          </w:p>
        </w:tc>
        <w:tc>
          <w:tcPr>
            <w:tcW w:w="1120" w:type="dxa"/>
            <w:tcBorders>
              <w:top w:val="nil"/>
              <w:left w:val="nil"/>
              <w:bottom w:val="nil"/>
              <w:right w:val="nil"/>
            </w:tcBorders>
            <w:shd w:val="clear" w:color="auto" w:fill="auto"/>
            <w:noWrap/>
            <w:vAlign w:val="bottom"/>
            <w:hideMark/>
          </w:tcPr>
          <w:p w14:paraId="0C3F8B76" w14:textId="77777777" w:rsidR="00B6457B" w:rsidRPr="00393ABA" w:rsidRDefault="00B6457B" w:rsidP="00393ABA">
            <w:pPr>
              <w:spacing w:after="120"/>
              <w:jc w:val="center"/>
              <w:rPr>
                <w:rFonts w:ascii="Calibri" w:hAnsi="Calibri" w:cs="Calibri"/>
                <w:color w:val="000000"/>
                <w:sz w:val="20"/>
                <w:szCs w:val="20"/>
              </w:rPr>
            </w:pPr>
          </w:p>
        </w:tc>
        <w:tc>
          <w:tcPr>
            <w:tcW w:w="820" w:type="dxa"/>
            <w:tcBorders>
              <w:top w:val="nil"/>
              <w:left w:val="nil"/>
              <w:bottom w:val="nil"/>
              <w:right w:val="nil"/>
            </w:tcBorders>
            <w:shd w:val="clear" w:color="auto" w:fill="auto"/>
            <w:noWrap/>
            <w:vAlign w:val="bottom"/>
            <w:hideMark/>
          </w:tcPr>
          <w:p w14:paraId="0C3F8B77" w14:textId="77777777" w:rsidR="00B6457B" w:rsidRPr="00393ABA" w:rsidRDefault="00B6457B" w:rsidP="00393ABA">
            <w:pPr>
              <w:spacing w:after="120"/>
              <w:jc w:val="center"/>
              <w:rPr>
                <w:rFonts w:ascii="Calibri" w:hAnsi="Calibri" w:cs="Calibri"/>
                <w:color w:val="000000"/>
                <w:sz w:val="20"/>
                <w:szCs w:val="20"/>
              </w:rPr>
            </w:pPr>
          </w:p>
        </w:tc>
        <w:tc>
          <w:tcPr>
            <w:tcW w:w="3722" w:type="dxa"/>
            <w:gridSpan w:val="5"/>
            <w:tcBorders>
              <w:top w:val="single" w:sz="4" w:space="0" w:color="auto"/>
              <w:left w:val="single" w:sz="4" w:space="0" w:color="auto"/>
              <w:bottom w:val="single" w:sz="4" w:space="0" w:color="auto"/>
              <w:right w:val="nil"/>
            </w:tcBorders>
            <w:shd w:val="clear" w:color="000000" w:fill="F2F2F2"/>
            <w:noWrap/>
            <w:vAlign w:val="bottom"/>
            <w:hideMark/>
          </w:tcPr>
          <w:p w14:paraId="0C3F8B7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River plume frequency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B79"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B7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c>
          <w:tcPr>
            <w:tcW w:w="3408" w:type="dxa"/>
            <w:gridSpan w:val="4"/>
            <w:tcBorders>
              <w:top w:val="single" w:sz="4" w:space="0" w:color="auto"/>
              <w:left w:val="nil"/>
              <w:bottom w:val="single" w:sz="4" w:space="0" w:color="auto"/>
              <w:right w:val="nil"/>
            </w:tcBorders>
            <w:shd w:val="clear" w:color="000000" w:fill="F2F2F2"/>
            <w:noWrap/>
            <w:vAlign w:val="bottom"/>
            <w:hideMark/>
          </w:tcPr>
          <w:p w14:paraId="0C3F8B7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Potential risk category</w:t>
            </w:r>
          </w:p>
        </w:tc>
        <w:tc>
          <w:tcPr>
            <w:tcW w:w="886" w:type="dxa"/>
            <w:vMerge w:val="restart"/>
            <w:tcBorders>
              <w:top w:val="single" w:sz="4" w:space="0" w:color="auto"/>
              <w:left w:val="nil"/>
              <w:bottom w:val="single" w:sz="4" w:space="0" w:color="000000"/>
              <w:right w:val="nil"/>
            </w:tcBorders>
            <w:shd w:val="clear" w:color="000000" w:fill="F2DCDB"/>
            <w:vAlign w:val="bottom"/>
            <w:hideMark/>
          </w:tcPr>
          <w:p w14:paraId="0C3F8B7C"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886"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B7D"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r>
      <w:tr w:rsidR="00B6457B" w:rsidRPr="00393ABA" w14:paraId="0C3F8B8E" w14:textId="77777777" w:rsidTr="00393ABA">
        <w:trPr>
          <w:trHeight w:val="20"/>
        </w:trPr>
        <w:tc>
          <w:tcPr>
            <w:tcW w:w="2527"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C3F8B7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Coral reefs</w:t>
            </w:r>
          </w:p>
        </w:tc>
        <w:tc>
          <w:tcPr>
            <w:tcW w:w="820" w:type="dxa"/>
            <w:tcBorders>
              <w:top w:val="single" w:sz="4" w:space="0" w:color="auto"/>
              <w:left w:val="nil"/>
              <w:bottom w:val="nil"/>
              <w:right w:val="single" w:sz="4" w:space="0" w:color="auto"/>
            </w:tcBorders>
            <w:shd w:val="clear" w:color="000000" w:fill="F2F2F2"/>
            <w:noWrap/>
            <w:vAlign w:val="bottom"/>
            <w:hideMark/>
          </w:tcPr>
          <w:p w14:paraId="0C3F8B8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Tot</w:t>
            </w:r>
          </w:p>
        </w:tc>
        <w:tc>
          <w:tcPr>
            <w:tcW w:w="622" w:type="dxa"/>
            <w:tcBorders>
              <w:top w:val="nil"/>
              <w:left w:val="nil"/>
              <w:bottom w:val="single" w:sz="4" w:space="0" w:color="auto"/>
              <w:right w:val="nil"/>
            </w:tcBorders>
            <w:shd w:val="clear" w:color="000000" w:fill="F2F2F2"/>
            <w:noWrap/>
            <w:vAlign w:val="bottom"/>
            <w:hideMark/>
          </w:tcPr>
          <w:p w14:paraId="0C3F8B81" w14:textId="77777777" w:rsidR="00B6457B" w:rsidRPr="00393ABA" w:rsidRDefault="00B6457B" w:rsidP="00393ABA">
            <w:pPr>
              <w:spacing w:after="120"/>
              <w:jc w:val="center"/>
              <w:rPr>
                <w:rFonts w:ascii="Calibri" w:hAnsi="Calibri" w:cs="Calibri"/>
                <w:b/>
                <w:bCs/>
                <w:color w:val="1F497D"/>
                <w:sz w:val="20"/>
                <w:szCs w:val="20"/>
              </w:rPr>
            </w:pPr>
            <w:r w:rsidRPr="00393ABA">
              <w:rPr>
                <w:rFonts w:ascii="Calibri" w:hAnsi="Calibri" w:cs="Calibri"/>
                <w:b/>
                <w:bCs/>
                <w:color w:val="1F497D"/>
                <w:sz w:val="20"/>
                <w:szCs w:val="20"/>
              </w:rPr>
              <w:t>Rare</w:t>
            </w:r>
          </w:p>
        </w:tc>
        <w:tc>
          <w:tcPr>
            <w:tcW w:w="835" w:type="dxa"/>
            <w:tcBorders>
              <w:top w:val="nil"/>
              <w:left w:val="nil"/>
              <w:bottom w:val="single" w:sz="4" w:space="0" w:color="auto"/>
              <w:right w:val="nil"/>
            </w:tcBorders>
            <w:shd w:val="clear" w:color="000000" w:fill="F2F2F2"/>
            <w:noWrap/>
            <w:vAlign w:val="bottom"/>
            <w:hideMark/>
          </w:tcPr>
          <w:p w14:paraId="0C3F8B82" w14:textId="77777777" w:rsidR="00B6457B" w:rsidRPr="00393ABA" w:rsidRDefault="00B6457B" w:rsidP="00393ABA">
            <w:pPr>
              <w:spacing w:after="120"/>
              <w:jc w:val="center"/>
              <w:rPr>
                <w:rFonts w:ascii="Calibri" w:hAnsi="Calibri" w:cs="Calibri"/>
                <w:b/>
                <w:bCs/>
                <w:color w:val="31869B"/>
                <w:sz w:val="20"/>
                <w:szCs w:val="20"/>
              </w:rPr>
            </w:pPr>
            <w:r w:rsidRPr="00393ABA">
              <w:rPr>
                <w:rFonts w:ascii="Calibri" w:hAnsi="Calibri" w:cs="Calibri"/>
                <w:b/>
                <w:bCs/>
                <w:color w:val="31869B"/>
                <w:sz w:val="20"/>
                <w:szCs w:val="20"/>
              </w:rPr>
              <w:t>Infreq.</w:t>
            </w:r>
          </w:p>
        </w:tc>
        <w:tc>
          <w:tcPr>
            <w:tcW w:w="803" w:type="dxa"/>
            <w:tcBorders>
              <w:top w:val="nil"/>
              <w:left w:val="nil"/>
              <w:bottom w:val="single" w:sz="4" w:space="0" w:color="auto"/>
              <w:right w:val="nil"/>
            </w:tcBorders>
            <w:shd w:val="clear" w:color="000000" w:fill="F2F2F2"/>
            <w:noWrap/>
            <w:vAlign w:val="bottom"/>
            <w:hideMark/>
          </w:tcPr>
          <w:p w14:paraId="0C3F8B83" w14:textId="77777777" w:rsidR="00B6457B" w:rsidRPr="00393ABA" w:rsidRDefault="00B6457B" w:rsidP="00393ABA">
            <w:pPr>
              <w:spacing w:after="120"/>
              <w:jc w:val="center"/>
              <w:rPr>
                <w:rFonts w:ascii="Calibri" w:hAnsi="Calibri" w:cs="Calibri"/>
                <w:b/>
                <w:bCs/>
                <w:color w:val="FFC000"/>
                <w:sz w:val="20"/>
                <w:szCs w:val="20"/>
              </w:rPr>
            </w:pPr>
            <w:r w:rsidRPr="00393ABA">
              <w:rPr>
                <w:rFonts w:ascii="Calibri" w:hAnsi="Calibri" w:cs="Calibri"/>
                <w:b/>
                <w:bCs/>
                <w:color w:val="FFC000"/>
                <w:sz w:val="20"/>
                <w:szCs w:val="20"/>
              </w:rPr>
              <w:t>Occas.</w:t>
            </w:r>
          </w:p>
        </w:tc>
        <w:tc>
          <w:tcPr>
            <w:tcW w:w="647" w:type="dxa"/>
            <w:tcBorders>
              <w:top w:val="nil"/>
              <w:left w:val="nil"/>
              <w:bottom w:val="single" w:sz="4" w:space="0" w:color="auto"/>
              <w:right w:val="nil"/>
            </w:tcBorders>
            <w:shd w:val="clear" w:color="000000" w:fill="F2F2F2"/>
            <w:noWrap/>
            <w:vAlign w:val="bottom"/>
            <w:hideMark/>
          </w:tcPr>
          <w:p w14:paraId="0C3F8B84" w14:textId="77777777" w:rsidR="00B6457B" w:rsidRPr="00393ABA" w:rsidRDefault="00B6457B" w:rsidP="00393ABA">
            <w:pPr>
              <w:spacing w:after="120"/>
              <w:jc w:val="center"/>
              <w:rPr>
                <w:rFonts w:ascii="Calibri" w:hAnsi="Calibri" w:cs="Calibri"/>
                <w:b/>
                <w:bCs/>
                <w:color w:val="F79646"/>
                <w:sz w:val="20"/>
                <w:szCs w:val="20"/>
              </w:rPr>
            </w:pPr>
            <w:r w:rsidRPr="00393ABA">
              <w:rPr>
                <w:rFonts w:ascii="Calibri" w:hAnsi="Calibri" w:cs="Calibri"/>
                <w:b/>
                <w:bCs/>
                <w:color w:val="F79646"/>
                <w:sz w:val="20"/>
                <w:szCs w:val="20"/>
              </w:rPr>
              <w:t>Freq.</w:t>
            </w:r>
          </w:p>
        </w:tc>
        <w:tc>
          <w:tcPr>
            <w:tcW w:w="815" w:type="dxa"/>
            <w:tcBorders>
              <w:top w:val="nil"/>
              <w:left w:val="nil"/>
              <w:bottom w:val="single" w:sz="4" w:space="0" w:color="auto"/>
              <w:right w:val="nil"/>
            </w:tcBorders>
            <w:shd w:val="clear" w:color="000000" w:fill="F2F2F2"/>
            <w:noWrap/>
            <w:vAlign w:val="bottom"/>
            <w:hideMark/>
          </w:tcPr>
          <w:p w14:paraId="0C3F8B85" w14:textId="77777777" w:rsidR="00B6457B" w:rsidRPr="00393ABA" w:rsidRDefault="00B6457B" w:rsidP="00393ABA">
            <w:pPr>
              <w:spacing w:after="120"/>
              <w:jc w:val="center"/>
              <w:rPr>
                <w:rFonts w:ascii="Calibri" w:hAnsi="Calibri" w:cs="Calibri"/>
                <w:b/>
                <w:bCs/>
                <w:color w:val="FF0000"/>
                <w:sz w:val="20"/>
                <w:szCs w:val="20"/>
              </w:rPr>
            </w:pPr>
            <w:r w:rsidRPr="00393ABA">
              <w:rPr>
                <w:rFonts w:ascii="Calibri" w:hAnsi="Calibri" w:cs="Calibri"/>
                <w:b/>
                <w:bCs/>
                <w:color w:val="FF0000"/>
                <w:sz w:val="20"/>
                <w:szCs w:val="20"/>
              </w:rPr>
              <w:t>V.Freq</w:t>
            </w:r>
          </w:p>
        </w:tc>
        <w:tc>
          <w:tcPr>
            <w:tcW w:w="912" w:type="dxa"/>
            <w:vMerge/>
            <w:tcBorders>
              <w:top w:val="single" w:sz="4" w:space="0" w:color="auto"/>
              <w:left w:val="nil"/>
              <w:bottom w:val="single" w:sz="4" w:space="0" w:color="000000"/>
              <w:right w:val="nil"/>
            </w:tcBorders>
            <w:vAlign w:val="center"/>
            <w:hideMark/>
          </w:tcPr>
          <w:p w14:paraId="0C3F8B86"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B87" w14:textId="77777777" w:rsidR="00B6457B" w:rsidRPr="00393ABA" w:rsidRDefault="00B6457B" w:rsidP="00393ABA">
            <w:pPr>
              <w:spacing w:after="120"/>
              <w:jc w:val="left"/>
              <w:rPr>
                <w:rFonts w:ascii="Calibri" w:hAnsi="Calibri" w:cs="Calibri"/>
                <w:b/>
                <w:bCs/>
                <w:sz w:val="20"/>
                <w:szCs w:val="20"/>
              </w:rPr>
            </w:pPr>
          </w:p>
        </w:tc>
        <w:tc>
          <w:tcPr>
            <w:tcW w:w="813" w:type="dxa"/>
            <w:tcBorders>
              <w:top w:val="nil"/>
              <w:left w:val="nil"/>
              <w:bottom w:val="nil"/>
              <w:right w:val="nil"/>
            </w:tcBorders>
            <w:shd w:val="clear" w:color="000000" w:fill="0070C0"/>
            <w:noWrap/>
            <w:vAlign w:val="bottom"/>
            <w:hideMark/>
          </w:tcPr>
          <w:p w14:paraId="0C3F8B88"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w:t>
            </w:r>
          </w:p>
        </w:tc>
        <w:tc>
          <w:tcPr>
            <w:tcW w:w="918" w:type="dxa"/>
            <w:tcBorders>
              <w:top w:val="nil"/>
              <w:left w:val="nil"/>
              <w:bottom w:val="nil"/>
              <w:right w:val="nil"/>
            </w:tcBorders>
            <w:shd w:val="clear" w:color="000000" w:fill="00B050"/>
            <w:noWrap/>
            <w:vAlign w:val="bottom"/>
            <w:hideMark/>
          </w:tcPr>
          <w:p w14:paraId="0C3F8B89"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w:t>
            </w:r>
          </w:p>
        </w:tc>
        <w:tc>
          <w:tcPr>
            <w:tcW w:w="594" w:type="dxa"/>
            <w:tcBorders>
              <w:top w:val="nil"/>
              <w:left w:val="nil"/>
              <w:bottom w:val="nil"/>
              <w:right w:val="nil"/>
            </w:tcBorders>
            <w:shd w:val="clear" w:color="000000" w:fill="FF0000"/>
            <w:noWrap/>
            <w:vAlign w:val="bottom"/>
            <w:hideMark/>
          </w:tcPr>
          <w:p w14:paraId="0C3F8B8A"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III</w:t>
            </w:r>
          </w:p>
        </w:tc>
        <w:tc>
          <w:tcPr>
            <w:tcW w:w="1083" w:type="dxa"/>
            <w:tcBorders>
              <w:top w:val="nil"/>
              <w:left w:val="nil"/>
              <w:bottom w:val="nil"/>
              <w:right w:val="nil"/>
            </w:tcBorders>
            <w:shd w:val="clear" w:color="000000" w:fill="C00000"/>
            <w:noWrap/>
            <w:vAlign w:val="bottom"/>
            <w:hideMark/>
          </w:tcPr>
          <w:p w14:paraId="0C3F8B8B"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IV</w:t>
            </w:r>
          </w:p>
        </w:tc>
        <w:tc>
          <w:tcPr>
            <w:tcW w:w="886" w:type="dxa"/>
            <w:vMerge/>
            <w:tcBorders>
              <w:top w:val="single" w:sz="4" w:space="0" w:color="auto"/>
              <w:left w:val="nil"/>
              <w:bottom w:val="single" w:sz="4" w:space="0" w:color="000000"/>
              <w:right w:val="nil"/>
            </w:tcBorders>
            <w:vAlign w:val="center"/>
            <w:hideMark/>
          </w:tcPr>
          <w:p w14:paraId="0C3F8B8C" w14:textId="77777777" w:rsidR="00B6457B" w:rsidRPr="00393ABA" w:rsidRDefault="00B6457B" w:rsidP="00393ABA">
            <w:pPr>
              <w:spacing w:after="120"/>
              <w:jc w:val="left"/>
              <w:rPr>
                <w:rFonts w:ascii="Calibri" w:hAnsi="Calibri" w:cs="Calibri"/>
                <w:b/>
                <w:bCs/>
                <w:sz w:val="20"/>
                <w:szCs w:val="20"/>
              </w:rPr>
            </w:pPr>
          </w:p>
        </w:tc>
        <w:tc>
          <w:tcPr>
            <w:tcW w:w="886" w:type="dxa"/>
            <w:vMerge/>
            <w:tcBorders>
              <w:top w:val="single" w:sz="4" w:space="0" w:color="auto"/>
              <w:left w:val="nil"/>
              <w:bottom w:val="single" w:sz="4" w:space="0" w:color="000000"/>
              <w:right w:val="single" w:sz="4" w:space="0" w:color="auto"/>
            </w:tcBorders>
            <w:vAlign w:val="center"/>
            <w:hideMark/>
          </w:tcPr>
          <w:p w14:paraId="0C3F8B8D" w14:textId="77777777" w:rsidR="00B6457B" w:rsidRPr="00393ABA" w:rsidRDefault="00B6457B" w:rsidP="00393ABA">
            <w:pPr>
              <w:spacing w:after="120"/>
              <w:jc w:val="left"/>
              <w:rPr>
                <w:rFonts w:ascii="Calibri" w:hAnsi="Calibri" w:cs="Calibri"/>
                <w:b/>
                <w:bCs/>
                <w:sz w:val="20"/>
                <w:szCs w:val="20"/>
              </w:rPr>
            </w:pPr>
          </w:p>
        </w:tc>
      </w:tr>
      <w:tr w:rsidR="00B6457B" w:rsidRPr="00393ABA" w14:paraId="0C3F8B9F" w14:textId="77777777" w:rsidTr="00393ABA">
        <w:trPr>
          <w:trHeight w:val="20"/>
        </w:trPr>
        <w:tc>
          <w:tcPr>
            <w:tcW w:w="1407" w:type="dxa"/>
            <w:vMerge w:val="restart"/>
            <w:tcBorders>
              <w:top w:val="single" w:sz="4" w:space="0" w:color="auto"/>
              <w:left w:val="single" w:sz="4" w:space="0" w:color="auto"/>
              <w:bottom w:val="double" w:sz="6" w:space="0" w:color="000000"/>
              <w:right w:val="nil"/>
            </w:tcBorders>
            <w:shd w:val="clear" w:color="000000" w:fill="F2F2F2"/>
            <w:noWrap/>
            <w:vAlign w:val="center"/>
            <w:hideMark/>
          </w:tcPr>
          <w:p w14:paraId="0C3F8B8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GBR</w:t>
            </w:r>
          </w:p>
        </w:tc>
        <w:tc>
          <w:tcPr>
            <w:tcW w:w="1120" w:type="dxa"/>
            <w:tcBorders>
              <w:top w:val="single" w:sz="4" w:space="0" w:color="auto"/>
              <w:left w:val="single" w:sz="4" w:space="0" w:color="auto"/>
              <w:bottom w:val="nil"/>
              <w:right w:val="single" w:sz="4" w:space="0" w:color="auto"/>
            </w:tcBorders>
            <w:shd w:val="clear" w:color="000000" w:fill="F2F2F2"/>
            <w:noWrap/>
            <w:vAlign w:val="center"/>
            <w:hideMark/>
          </w:tcPr>
          <w:p w14:paraId="0C3F8B9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 xml:space="preserve">area </w:t>
            </w:r>
          </w:p>
        </w:tc>
        <w:tc>
          <w:tcPr>
            <w:tcW w:w="820" w:type="dxa"/>
            <w:tcBorders>
              <w:top w:val="single" w:sz="4" w:space="0" w:color="auto"/>
              <w:left w:val="nil"/>
              <w:bottom w:val="nil"/>
              <w:right w:val="single" w:sz="4" w:space="0" w:color="auto"/>
            </w:tcBorders>
            <w:shd w:val="clear" w:color="000000" w:fill="F2F2F2"/>
            <w:noWrap/>
            <w:vAlign w:val="bottom"/>
            <w:hideMark/>
          </w:tcPr>
          <w:p w14:paraId="0C3F8B9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24075</w:t>
            </w:r>
          </w:p>
        </w:tc>
        <w:tc>
          <w:tcPr>
            <w:tcW w:w="622" w:type="dxa"/>
            <w:tcBorders>
              <w:top w:val="nil"/>
              <w:left w:val="nil"/>
              <w:bottom w:val="nil"/>
              <w:right w:val="nil"/>
            </w:tcBorders>
            <w:shd w:val="clear" w:color="auto" w:fill="auto"/>
            <w:noWrap/>
            <w:vAlign w:val="bottom"/>
            <w:hideMark/>
          </w:tcPr>
          <w:p w14:paraId="0C3F8B9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5163</w:t>
            </w:r>
          </w:p>
        </w:tc>
        <w:tc>
          <w:tcPr>
            <w:tcW w:w="835" w:type="dxa"/>
            <w:tcBorders>
              <w:top w:val="nil"/>
              <w:left w:val="nil"/>
              <w:bottom w:val="nil"/>
              <w:right w:val="nil"/>
            </w:tcBorders>
            <w:shd w:val="clear" w:color="auto" w:fill="auto"/>
            <w:noWrap/>
            <w:vAlign w:val="bottom"/>
            <w:hideMark/>
          </w:tcPr>
          <w:p w14:paraId="0C3F8B9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2992</w:t>
            </w:r>
          </w:p>
        </w:tc>
        <w:tc>
          <w:tcPr>
            <w:tcW w:w="803" w:type="dxa"/>
            <w:tcBorders>
              <w:top w:val="nil"/>
              <w:left w:val="nil"/>
              <w:bottom w:val="nil"/>
              <w:right w:val="nil"/>
            </w:tcBorders>
            <w:shd w:val="clear" w:color="auto" w:fill="auto"/>
            <w:noWrap/>
            <w:vAlign w:val="bottom"/>
            <w:hideMark/>
          </w:tcPr>
          <w:p w14:paraId="0C3F8B9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2130</w:t>
            </w:r>
          </w:p>
        </w:tc>
        <w:tc>
          <w:tcPr>
            <w:tcW w:w="647" w:type="dxa"/>
            <w:tcBorders>
              <w:top w:val="nil"/>
              <w:left w:val="nil"/>
              <w:bottom w:val="nil"/>
              <w:right w:val="nil"/>
            </w:tcBorders>
            <w:shd w:val="clear" w:color="auto" w:fill="auto"/>
            <w:noWrap/>
            <w:vAlign w:val="bottom"/>
            <w:hideMark/>
          </w:tcPr>
          <w:p w14:paraId="0C3F8B9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580</w:t>
            </w:r>
          </w:p>
        </w:tc>
        <w:tc>
          <w:tcPr>
            <w:tcW w:w="815" w:type="dxa"/>
            <w:tcBorders>
              <w:top w:val="nil"/>
              <w:left w:val="nil"/>
              <w:bottom w:val="nil"/>
              <w:right w:val="nil"/>
            </w:tcBorders>
            <w:shd w:val="clear" w:color="auto" w:fill="auto"/>
            <w:noWrap/>
            <w:vAlign w:val="bottom"/>
            <w:hideMark/>
          </w:tcPr>
          <w:p w14:paraId="0C3F8B9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407</w:t>
            </w:r>
          </w:p>
        </w:tc>
        <w:tc>
          <w:tcPr>
            <w:tcW w:w="912" w:type="dxa"/>
            <w:tcBorders>
              <w:top w:val="nil"/>
              <w:left w:val="nil"/>
              <w:bottom w:val="nil"/>
              <w:right w:val="nil"/>
            </w:tcBorders>
            <w:shd w:val="clear" w:color="000000" w:fill="F2DCDB"/>
            <w:noWrap/>
            <w:vAlign w:val="bottom"/>
            <w:hideMark/>
          </w:tcPr>
          <w:p w14:paraId="0C3F8B9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11272</w:t>
            </w:r>
          </w:p>
        </w:tc>
        <w:tc>
          <w:tcPr>
            <w:tcW w:w="912" w:type="dxa"/>
            <w:tcBorders>
              <w:top w:val="nil"/>
              <w:left w:val="nil"/>
              <w:bottom w:val="nil"/>
              <w:right w:val="single" w:sz="4" w:space="0" w:color="auto"/>
            </w:tcBorders>
            <w:shd w:val="clear" w:color="000000" w:fill="F2DCDB"/>
            <w:noWrap/>
            <w:vAlign w:val="bottom"/>
            <w:hideMark/>
          </w:tcPr>
          <w:p w14:paraId="0C3F8B9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12803</w:t>
            </w:r>
          </w:p>
        </w:tc>
        <w:tc>
          <w:tcPr>
            <w:tcW w:w="813" w:type="dxa"/>
            <w:tcBorders>
              <w:top w:val="single" w:sz="4" w:space="0" w:color="auto"/>
              <w:left w:val="nil"/>
              <w:bottom w:val="nil"/>
              <w:right w:val="nil"/>
            </w:tcBorders>
            <w:shd w:val="clear" w:color="auto" w:fill="auto"/>
            <w:noWrap/>
            <w:vAlign w:val="bottom"/>
            <w:hideMark/>
          </w:tcPr>
          <w:p w14:paraId="0C3F8B9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8887</w:t>
            </w:r>
          </w:p>
        </w:tc>
        <w:tc>
          <w:tcPr>
            <w:tcW w:w="918" w:type="dxa"/>
            <w:tcBorders>
              <w:top w:val="single" w:sz="4" w:space="0" w:color="auto"/>
              <w:left w:val="nil"/>
              <w:bottom w:val="nil"/>
              <w:right w:val="nil"/>
            </w:tcBorders>
            <w:shd w:val="clear" w:color="auto" w:fill="auto"/>
            <w:noWrap/>
            <w:vAlign w:val="bottom"/>
            <w:hideMark/>
          </w:tcPr>
          <w:p w14:paraId="0C3F8B9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2015</w:t>
            </w:r>
          </w:p>
        </w:tc>
        <w:tc>
          <w:tcPr>
            <w:tcW w:w="594" w:type="dxa"/>
            <w:tcBorders>
              <w:top w:val="single" w:sz="4" w:space="0" w:color="auto"/>
              <w:left w:val="nil"/>
              <w:bottom w:val="nil"/>
              <w:right w:val="nil"/>
            </w:tcBorders>
            <w:shd w:val="clear" w:color="auto" w:fill="auto"/>
            <w:noWrap/>
            <w:vAlign w:val="bottom"/>
            <w:hideMark/>
          </w:tcPr>
          <w:p w14:paraId="0C3F8B9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381</w:t>
            </w:r>
          </w:p>
        </w:tc>
        <w:tc>
          <w:tcPr>
            <w:tcW w:w="1083" w:type="dxa"/>
            <w:tcBorders>
              <w:top w:val="single" w:sz="4" w:space="0" w:color="auto"/>
              <w:left w:val="nil"/>
              <w:bottom w:val="nil"/>
              <w:right w:val="nil"/>
            </w:tcBorders>
            <w:shd w:val="clear" w:color="auto" w:fill="auto"/>
            <w:noWrap/>
            <w:vAlign w:val="bottom"/>
            <w:hideMark/>
          </w:tcPr>
          <w:p w14:paraId="0C3F8B9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w:t>
            </w:r>
          </w:p>
        </w:tc>
        <w:tc>
          <w:tcPr>
            <w:tcW w:w="886" w:type="dxa"/>
            <w:tcBorders>
              <w:top w:val="nil"/>
              <w:left w:val="nil"/>
              <w:bottom w:val="nil"/>
              <w:right w:val="nil"/>
            </w:tcBorders>
            <w:shd w:val="clear" w:color="000000" w:fill="F2DCDB"/>
            <w:noWrap/>
            <w:vAlign w:val="bottom"/>
            <w:hideMark/>
          </w:tcPr>
          <w:p w14:paraId="0C3F8B9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11287</w:t>
            </w:r>
          </w:p>
        </w:tc>
        <w:tc>
          <w:tcPr>
            <w:tcW w:w="886" w:type="dxa"/>
            <w:tcBorders>
              <w:top w:val="nil"/>
              <w:left w:val="nil"/>
              <w:bottom w:val="nil"/>
              <w:right w:val="single" w:sz="4" w:space="0" w:color="auto"/>
            </w:tcBorders>
            <w:shd w:val="clear" w:color="000000" w:fill="F2DCDB"/>
            <w:noWrap/>
            <w:vAlign w:val="bottom"/>
            <w:hideMark/>
          </w:tcPr>
          <w:p w14:paraId="0C3F8B9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12788</w:t>
            </w:r>
          </w:p>
        </w:tc>
      </w:tr>
      <w:tr w:rsidR="00B6457B" w:rsidRPr="00393ABA" w14:paraId="0C3F8BB0" w14:textId="77777777" w:rsidTr="00393ABA">
        <w:trPr>
          <w:trHeight w:val="20"/>
        </w:trPr>
        <w:tc>
          <w:tcPr>
            <w:tcW w:w="1407" w:type="dxa"/>
            <w:vMerge/>
            <w:tcBorders>
              <w:top w:val="single" w:sz="4" w:space="0" w:color="auto"/>
              <w:left w:val="single" w:sz="4" w:space="0" w:color="auto"/>
              <w:bottom w:val="double" w:sz="6" w:space="0" w:color="000000"/>
              <w:right w:val="nil"/>
            </w:tcBorders>
            <w:vAlign w:val="center"/>
            <w:hideMark/>
          </w:tcPr>
          <w:p w14:paraId="0C3F8BA0"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double" w:sz="6" w:space="0" w:color="auto"/>
              <w:right w:val="single" w:sz="4" w:space="0" w:color="auto"/>
            </w:tcBorders>
            <w:shd w:val="clear" w:color="000000" w:fill="F2F2F2"/>
            <w:noWrap/>
            <w:vAlign w:val="center"/>
            <w:hideMark/>
          </w:tcPr>
          <w:p w14:paraId="0C3F8BA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t>
            </w:r>
          </w:p>
        </w:tc>
        <w:tc>
          <w:tcPr>
            <w:tcW w:w="820" w:type="dxa"/>
            <w:tcBorders>
              <w:top w:val="nil"/>
              <w:left w:val="nil"/>
              <w:bottom w:val="double" w:sz="6" w:space="0" w:color="auto"/>
              <w:right w:val="single" w:sz="4" w:space="0" w:color="auto"/>
            </w:tcBorders>
            <w:shd w:val="clear" w:color="000000" w:fill="F2F2F2"/>
            <w:noWrap/>
            <w:vAlign w:val="bottom"/>
            <w:hideMark/>
          </w:tcPr>
          <w:p w14:paraId="0C3F8BA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100%</w:t>
            </w:r>
          </w:p>
        </w:tc>
        <w:tc>
          <w:tcPr>
            <w:tcW w:w="622" w:type="dxa"/>
            <w:tcBorders>
              <w:top w:val="nil"/>
              <w:left w:val="nil"/>
              <w:bottom w:val="double" w:sz="6" w:space="0" w:color="auto"/>
              <w:right w:val="nil"/>
            </w:tcBorders>
            <w:shd w:val="clear" w:color="auto" w:fill="auto"/>
            <w:noWrap/>
            <w:vAlign w:val="bottom"/>
            <w:hideMark/>
          </w:tcPr>
          <w:p w14:paraId="0C3F8BA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21%</w:t>
            </w:r>
          </w:p>
        </w:tc>
        <w:tc>
          <w:tcPr>
            <w:tcW w:w="835" w:type="dxa"/>
            <w:tcBorders>
              <w:top w:val="nil"/>
              <w:left w:val="nil"/>
              <w:bottom w:val="double" w:sz="6" w:space="0" w:color="auto"/>
              <w:right w:val="nil"/>
            </w:tcBorders>
            <w:shd w:val="clear" w:color="auto" w:fill="auto"/>
            <w:noWrap/>
            <w:vAlign w:val="bottom"/>
            <w:hideMark/>
          </w:tcPr>
          <w:p w14:paraId="0C3F8BA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12%</w:t>
            </w:r>
          </w:p>
        </w:tc>
        <w:tc>
          <w:tcPr>
            <w:tcW w:w="803" w:type="dxa"/>
            <w:tcBorders>
              <w:top w:val="nil"/>
              <w:left w:val="nil"/>
              <w:bottom w:val="double" w:sz="6" w:space="0" w:color="auto"/>
              <w:right w:val="nil"/>
            </w:tcBorders>
            <w:shd w:val="clear" w:color="auto" w:fill="auto"/>
            <w:noWrap/>
            <w:vAlign w:val="bottom"/>
            <w:hideMark/>
          </w:tcPr>
          <w:p w14:paraId="0C3F8BA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9%</w:t>
            </w:r>
          </w:p>
        </w:tc>
        <w:tc>
          <w:tcPr>
            <w:tcW w:w="647" w:type="dxa"/>
            <w:tcBorders>
              <w:top w:val="nil"/>
              <w:left w:val="nil"/>
              <w:bottom w:val="double" w:sz="6" w:space="0" w:color="auto"/>
              <w:right w:val="nil"/>
            </w:tcBorders>
            <w:shd w:val="clear" w:color="auto" w:fill="auto"/>
            <w:noWrap/>
            <w:vAlign w:val="bottom"/>
            <w:hideMark/>
          </w:tcPr>
          <w:p w14:paraId="0C3F8BA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w:t>
            </w:r>
          </w:p>
        </w:tc>
        <w:tc>
          <w:tcPr>
            <w:tcW w:w="815" w:type="dxa"/>
            <w:tcBorders>
              <w:top w:val="nil"/>
              <w:left w:val="nil"/>
              <w:bottom w:val="double" w:sz="6" w:space="0" w:color="auto"/>
              <w:right w:val="nil"/>
            </w:tcBorders>
            <w:shd w:val="clear" w:color="auto" w:fill="auto"/>
            <w:noWrap/>
            <w:vAlign w:val="bottom"/>
            <w:hideMark/>
          </w:tcPr>
          <w:p w14:paraId="0C3F8BA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w:t>
            </w:r>
          </w:p>
        </w:tc>
        <w:tc>
          <w:tcPr>
            <w:tcW w:w="912" w:type="dxa"/>
            <w:tcBorders>
              <w:top w:val="nil"/>
              <w:left w:val="nil"/>
              <w:bottom w:val="double" w:sz="6" w:space="0" w:color="auto"/>
              <w:right w:val="nil"/>
            </w:tcBorders>
            <w:shd w:val="clear" w:color="000000" w:fill="F2DCDB"/>
            <w:noWrap/>
            <w:vAlign w:val="bottom"/>
            <w:hideMark/>
          </w:tcPr>
          <w:p w14:paraId="0C3F8BA8"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47%</w:t>
            </w:r>
          </w:p>
        </w:tc>
        <w:tc>
          <w:tcPr>
            <w:tcW w:w="912" w:type="dxa"/>
            <w:tcBorders>
              <w:top w:val="nil"/>
              <w:left w:val="nil"/>
              <w:bottom w:val="double" w:sz="6" w:space="0" w:color="auto"/>
              <w:right w:val="nil"/>
            </w:tcBorders>
            <w:shd w:val="clear" w:color="000000" w:fill="F2DCDB"/>
            <w:noWrap/>
            <w:vAlign w:val="bottom"/>
            <w:hideMark/>
          </w:tcPr>
          <w:p w14:paraId="0C3F8BA9"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53%</w:t>
            </w:r>
          </w:p>
        </w:tc>
        <w:tc>
          <w:tcPr>
            <w:tcW w:w="813" w:type="dxa"/>
            <w:tcBorders>
              <w:top w:val="nil"/>
              <w:left w:val="single" w:sz="4" w:space="0" w:color="auto"/>
              <w:bottom w:val="double" w:sz="6" w:space="0" w:color="auto"/>
              <w:right w:val="nil"/>
            </w:tcBorders>
            <w:shd w:val="clear" w:color="auto" w:fill="auto"/>
            <w:noWrap/>
            <w:vAlign w:val="bottom"/>
            <w:hideMark/>
          </w:tcPr>
          <w:p w14:paraId="0C3F8BA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37%</w:t>
            </w:r>
          </w:p>
        </w:tc>
        <w:tc>
          <w:tcPr>
            <w:tcW w:w="918" w:type="dxa"/>
            <w:tcBorders>
              <w:top w:val="nil"/>
              <w:left w:val="nil"/>
              <w:bottom w:val="double" w:sz="6" w:space="0" w:color="auto"/>
              <w:right w:val="nil"/>
            </w:tcBorders>
            <w:shd w:val="clear" w:color="auto" w:fill="auto"/>
            <w:noWrap/>
            <w:vAlign w:val="bottom"/>
            <w:hideMark/>
          </w:tcPr>
          <w:p w14:paraId="0C3F8BA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8%</w:t>
            </w:r>
          </w:p>
        </w:tc>
        <w:tc>
          <w:tcPr>
            <w:tcW w:w="594" w:type="dxa"/>
            <w:tcBorders>
              <w:top w:val="nil"/>
              <w:left w:val="nil"/>
              <w:bottom w:val="double" w:sz="6" w:space="0" w:color="auto"/>
              <w:right w:val="nil"/>
            </w:tcBorders>
            <w:shd w:val="clear" w:color="auto" w:fill="auto"/>
            <w:noWrap/>
            <w:vAlign w:val="bottom"/>
            <w:hideMark/>
          </w:tcPr>
          <w:p w14:paraId="0C3F8BA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w:t>
            </w:r>
          </w:p>
        </w:tc>
        <w:tc>
          <w:tcPr>
            <w:tcW w:w="1083" w:type="dxa"/>
            <w:tcBorders>
              <w:top w:val="nil"/>
              <w:left w:val="nil"/>
              <w:bottom w:val="double" w:sz="6" w:space="0" w:color="auto"/>
              <w:right w:val="nil"/>
            </w:tcBorders>
            <w:shd w:val="clear" w:color="auto" w:fill="auto"/>
            <w:noWrap/>
            <w:vAlign w:val="bottom"/>
            <w:hideMark/>
          </w:tcPr>
          <w:p w14:paraId="0C3F8BA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886" w:type="dxa"/>
            <w:tcBorders>
              <w:top w:val="nil"/>
              <w:left w:val="nil"/>
              <w:bottom w:val="double" w:sz="6" w:space="0" w:color="auto"/>
              <w:right w:val="nil"/>
            </w:tcBorders>
            <w:shd w:val="clear" w:color="000000" w:fill="F2DCDB"/>
            <w:noWrap/>
            <w:vAlign w:val="bottom"/>
            <w:hideMark/>
          </w:tcPr>
          <w:p w14:paraId="0C3F8BA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47%</w:t>
            </w:r>
          </w:p>
        </w:tc>
        <w:tc>
          <w:tcPr>
            <w:tcW w:w="886" w:type="dxa"/>
            <w:tcBorders>
              <w:top w:val="nil"/>
              <w:left w:val="nil"/>
              <w:bottom w:val="double" w:sz="6" w:space="0" w:color="auto"/>
              <w:right w:val="single" w:sz="4" w:space="0" w:color="auto"/>
            </w:tcBorders>
            <w:shd w:val="clear" w:color="000000" w:fill="F2DCDB"/>
            <w:noWrap/>
            <w:vAlign w:val="bottom"/>
            <w:hideMark/>
          </w:tcPr>
          <w:p w14:paraId="0C3F8BA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53%</w:t>
            </w:r>
          </w:p>
        </w:tc>
      </w:tr>
      <w:tr w:rsidR="00B6457B" w:rsidRPr="00393ABA" w14:paraId="0C3F8BC1" w14:textId="77777777" w:rsidTr="00393ABA">
        <w:trPr>
          <w:trHeight w:val="20"/>
        </w:trPr>
        <w:tc>
          <w:tcPr>
            <w:tcW w:w="1407" w:type="dxa"/>
            <w:vMerge w:val="restart"/>
            <w:tcBorders>
              <w:top w:val="nil"/>
              <w:left w:val="single" w:sz="4" w:space="0" w:color="auto"/>
              <w:bottom w:val="nil"/>
              <w:right w:val="nil"/>
            </w:tcBorders>
            <w:shd w:val="clear" w:color="000000" w:fill="F2F2F2"/>
            <w:noWrap/>
            <w:vAlign w:val="center"/>
            <w:hideMark/>
          </w:tcPr>
          <w:p w14:paraId="0C3F8BB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Cape York</w:t>
            </w:r>
          </w:p>
        </w:tc>
        <w:tc>
          <w:tcPr>
            <w:tcW w:w="1120" w:type="dxa"/>
            <w:tcBorders>
              <w:top w:val="nil"/>
              <w:left w:val="single" w:sz="4" w:space="0" w:color="auto"/>
              <w:bottom w:val="nil"/>
              <w:right w:val="single" w:sz="4" w:space="0" w:color="auto"/>
            </w:tcBorders>
            <w:shd w:val="clear" w:color="000000" w:fill="F2F2F2"/>
            <w:noWrap/>
            <w:vAlign w:val="center"/>
            <w:hideMark/>
          </w:tcPr>
          <w:p w14:paraId="0C3F8BB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BB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10332</w:t>
            </w:r>
          </w:p>
        </w:tc>
        <w:tc>
          <w:tcPr>
            <w:tcW w:w="622" w:type="dxa"/>
            <w:tcBorders>
              <w:top w:val="nil"/>
              <w:left w:val="nil"/>
              <w:bottom w:val="nil"/>
              <w:right w:val="nil"/>
            </w:tcBorders>
            <w:shd w:val="clear" w:color="auto" w:fill="auto"/>
            <w:noWrap/>
            <w:vAlign w:val="bottom"/>
            <w:hideMark/>
          </w:tcPr>
          <w:p w14:paraId="0C3F8BB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1760</w:t>
            </w:r>
          </w:p>
        </w:tc>
        <w:tc>
          <w:tcPr>
            <w:tcW w:w="835" w:type="dxa"/>
            <w:tcBorders>
              <w:top w:val="nil"/>
              <w:left w:val="nil"/>
              <w:bottom w:val="nil"/>
              <w:right w:val="nil"/>
            </w:tcBorders>
            <w:shd w:val="clear" w:color="auto" w:fill="auto"/>
            <w:noWrap/>
            <w:vAlign w:val="bottom"/>
            <w:hideMark/>
          </w:tcPr>
          <w:p w14:paraId="0C3F8BB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2042</w:t>
            </w:r>
          </w:p>
        </w:tc>
        <w:tc>
          <w:tcPr>
            <w:tcW w:w="803" w:type="dxa"/>
            <w:tcBorders>
              <w:top w:val="nil"/>
              <w:left w:val="nil"/>
              <w:bottom w:val="nil"/>
              <w:right w:val="nil"/>
            </w:tcBorders>
            <w:shd w:val="clear" w:color="auto" w:fill="auto"/>
            <w:noWrap/>
            <w:vAlign w:val="bottom"/>
            <w:hideMark/>
          </w:tcPr>
          <w:p w14:paraId="0C3F8BB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1966</w:t>
            </w:r>
          </w:p>
        </w:tc>
        <w:tc>
          <w:tcPr>
            <w:tcW w:w="647" w:type="dxa"/>
            <w:tcBorders>
              <w:top w:val="nil"/>
              <w:left w:val="nil"/>
              <w:bottom w:val="nil"/>
              <w:right w:val="nil"/>
            </w:tcBorders>
            <w:shd w:val="clear" w:color="auto" w:fill="auto"/>
            <w:noWrap/>
            <w:vAlign w:val="bottom"/>
            <w:hideMark/>
          </w:tcPr>
          <w:p w14:paraId="0C3F8BB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458</w:t>
            </w:r>
          </w:p>
        </w:tc>
        <w:tc>
          <w:tcPr>
            <w:tcW w:w="815" w:type="dxa"/>
            <w:tcBorders>
              <w:top w:val="nil"/>
              <w:left w:val="nil"/>
              <w:bottom w:val="nil"/>
              <w:right w:val="nil"/>
            </w:tcBorders>
            <w:shd w:val="clear" w:color="auto" w:fill="auto"/>
            <w:noWrap/>
            <w:vAlign w:val="bottom"/>
            <w:hideMark/>
          </w:tcPr>
          <w:p w14:paraId="0C3F8BB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97</w:t>
            </w:r>
          </w:p>
        </w:tc>
        <w:tc>
          <w:tcPr>
            <w:tcW w:w="912" w:type="dxa"/>
            <w:tcBorders>
              <w:top w:val="nil"/>
              <w:left w:val="nil"/>
              <w:bottom w:val="nil"/>
              <w:right w:val="nil"/>
            </w:tcBorders>
            <w:shd w:val="clear" w:color="000000" w:fill="F2DCDB"/>
            <w:noWrap/>
            <w:vAlign w:val="bottom"/>
            <w:hideMark/>
          </w:tcPr>
          <w:p w14:paraId="0C3F8BB9"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6323</w:t>
            </w:r>
          </w:p>
        </w:tc>
        <w:tc>
          <w:tcPr>
            <w:tcW w:w="912" w:type="dxa"/>
            <w:tcBorders>
              <w:top w:val="nil"/>
              <w:left w:val="nil"/>
              <w:bottom w:val="nil"/>
              <w:right w:val="single" w:sz="4" w:space="0" w:color="auto"/>
            </w:tcBorders>
            <w:shd w:val="clear" w:color="000000" w:fill="F2DCDB"/>
            <w:noWrap/>
            <w:vAlign w:val="bottom"/>
            <w:hideMark/>
          </w:tcPr>
          <w:p w14:paraId="0C3F8BB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4010</w:t>
            </w:r>
          </w:p>
        </w:tc>
        <w:tc>
          <w:tcPr>
            <w:tcW w:w="813" w:type="dxa"/>
            <w:tcBorders>
              <w:top w:val="nil"/>
              <w:left w:val="nil"/>
              <w:bottom w:val="nil"/>
              <w:right w:val="nil"/>
            </w:tcBorders>
            <w:shd w:val="clear" w:color="auto" w:fill="auto"/>
            <w:noWrap/>
            <w:vAlign w:val="bottom"/>
            <w:hideMark/>
          </w:tcPr>
          <w:p w14:paraId="0C3F8BB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4526</w:t>
            </w:r>
          </w:p>
        </w:tc>
        <w:tc>
          <w:tcPr>
            <w:tcW w:w="918" w:type="dxa"/>
            <w:tcBorders>
              <w:top w:val="nil"/>
              <w:left w:val="nil"/>
              <w:bottom w:val="nil"/>
              <w:right w:val="nil"/>
            </w:tcBorders>
            <w:shd w:val="clear" w:color="auto" w:fill="auto"/>
            <w:noWrap/>
            <w:vAlign w:val="bottom"/>
            <w:hideMark/>
          </w:tcPr>
          <w:p w14:paraId="0C3F8BB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1727</w:t>
            </w:r>
          </w:p>
        </w:tc>
        <w:tc>
          <w:tcPr>
            <w:tcW w:w="594" w:type="dxa"/>
            <w:tcBorders>
              <w:top w:val="nil"/>
              <w:left w:val="nil"/>
              <w:bottom w:val="nil"/>
              <w:right w:val="nil"/>
            </w:tcBorders>
            <w:shd w:val="clear" w:color="auto" w:fill="auto"/>
            <w:noWrap/>
            <w:vAlign w:val="bottom"/>
            <w:hideMark/>
          </w:tcPr>
          <w:p w14:paraId="0C3F8BB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75</w:t>
            </w:r>
          </w:p>
        </w:tc>
        <w:tc>
          <w:tcPr>
            <w:tcW w:w="1083" w:type="dxa"/>
            <w:tcBorders>
              <w:top w:val="nil"/>
              <w:left w:val="nil"/>
              <w:bottom w:val="nil"/>
              <w:right w:val="nil"/>
            </w:tcBorders>
            <w:shd w:val="clear" w:color="auto" w:fill="auto"/>
            <w:noWrap/>
            <w:vAlign w:val="bottom"/>
            <w:hideMark/>
          </w:tcPr>
          <w:p w14:paraId="0C3F8BB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86" w:type="dxa"/>
            <w:tcBorders>
              <w:top w:val="nil"/>
              <w:left w:val="nil"/>
              <w:bottom w:val="nil"/>
              <w:right w:val="nil"/>
            </w:tcBorders>
            <w:shd w:val="clear" w:color="000000" w:fill="F2DCDB"/>
            <w:noWrap/>
            <w:vAlign w:val="bottom"/>
            <w:hideMark/>
          </w:tcPr>
          <w:p w14:paraId="0C3F8BBF"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6329</w:t>
            </w:r>
          </w:p>
        </w:tc>
        <w:tc>
          <w:tcPr>
            <w:tcW w:w="886" w:type="dxa"/>
            <w:tcBorders>
              <w:top w:val="nil"/>
              <w:left w:val="nil"/>
              <w:bottom w:val="nil"/>
              <w:right w:val="single" w:sz="4" w:space="0" w:color="auto"/>
            </w:tcBorders>
            <w:shd w:val="clear" w:color="000000" w:fill="F2DCDB"/>
            <w:noWrap/>
            <w:vAlign w:val="bottom"/>
            <w:hideMark/>
          </w:tcPr>
          <w:p w14:paraId="0C3F8BC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4004</w:t>
            </w:r>
          </w:p>
        </w:tc>
      </w:tr>
      <w:tr w:rsidR="00B6457B" w:rsidRPr="00393ABA" w14:paraId="0C3F8BD2" w14:textId="77777777" w:rsidTr="00393ABA">
        <w:trPr>
          <w:trHeight w:val="20"/>
        </w:trPr>
        <w:tc>
          <w:tcPr>
            <w:tcW w:w="1407" w:type="dxa"/>
            <w:vMerge/>
            <w:tcBorders>
              <w:top w:val="nil"/>
              <w:left w:val="single" w:sz="4" w:space="0" w:color="auto"/>
              <w:bottom w:val="nil"/>
              <w:right w:val="nil"/>
            </w:tcBorders>
            <w:vAlign w:val="center"/>
            <w:hideMark/>
          </w:tcPr>
          <w:p w14:paraId="0C3F8BC2"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BC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BC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622" w:type="dxa"/>
            <w:tcBorders>
              <w:top w:val="nil"/>
              <w:left w:val="nil"/>
              <w:bottom w:val="nil"/>
              <w:right w:val="nil"/>
            </w:tcBorders>
            <w:shd w:val="clear" w:color="auto" w:fill="auto"/>
            <w:noWrap/>
            <w:vAlign w:val="bottom"/>
            <w:hideMark/>
          </w:tcPr>
          <w:p w14:paraId="0C3F8BC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17%</w:t>
            </w:r>
          </w:p>
        </w:tc>
        <w:tc>
          <w:tcPr>
            <w:tcW w:w="835" w:type="dxa"/>
            <w:tcBorders>
              <w:top w:val="nil"/>
              <w:left w:val="nil"/>
              <w:bottom w:val="nil"/>
              <w:right w:val="nil"/>
            </w:tcBorders>
            <w:shd w:val="clear" w:color="auto" w:fill="auto"/>
            <w:noWrap/>
            <w:vAlign w:val="bottom"/>
            <w:hideMark/>
          </w:tcPr>
          <w:p w14:paraId="0C3F8BC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803" w:type="dxa"/>
            <w:tcBorders>
              <w:top w:val="nil"/>
              <w:left w:val="nil"/>
              <w:bottom w:val="nil"/>
              <w:right w:val="nil"/>
            </w:tcBorders>
            <w:shd w:val="clear" w:color="auto" w:fill="auto"/>
            <w:noWrap/>
            <w:vAlign w:val="bottom"/>
            <w:hideMark/>
          </w:tcPr>
          <w:p w14:paraId="0C3F8BC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19%</w:t>
            </w:r>
          </w:p>
        </w:tc>
        <w:tc>
          <w:tcPr>
            <w:tcW w:w="647" w:type="dxa"/>
            <w:tcBorders>
              <w:top w:val="nil"/>
              <w:left w:val="nil"/>
              <w:bottom w:val="nil"/>
              <w:right w:val="nil"/>
            </w:tcBorders>
            <w:shd w:val="clear" w:color="auto" w:fill="auto"/>
            <w:noWrap/>
            <w:vAlign w:val="bottom"/>
            <w:hideMark/>
          </w:tcPr>
          <w:p w14:paraId="0C3F8BC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815" w:type="dxa"/>
            <w:tcBorders>
              <w:top w:val="nil"/>
              <w:left w:val="nil"/>
              <w:bottom w:val="nil"/>
              <w:right w:val="nil"/>
            </w:tcBorders>
            <w:shd w:val="clear" w:color="auto" w:fill="auto"/>
            <w:noWrap/>
            <w:vAlign w:val="bottom"/>
            <w:hideMark/>
          </w:tcPr>
          <w:p w14:paraId="0C3F8BC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2" w:type="dxa"/>
            <w:tcBorders>
              <w:top w:val="nil"/>
              <w:left w:val="nil"/>
              <w:bottom w:val="nil"/>
              <w:right w:val="nil"/>
            </w:tcBorders>
            <w:shd w:val="clear" w:color="000000" w:fill="F2DCDB"/>
            <w:noWrap/>
            <w:vAlign w:val="bottom"/>
            <w:hideMark/>
          </w:tcPr>
          <w:p w14:paraId="0C3F8BC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61%</w:t>
            </w:r>
          </w:p>
        </w:tc>
        <w:tc>
          <w:tcPr>
            <w:tcW w:w="912" w:type="dxa"/>
            <w:tcBorders>
              <w:top w:val="nil"/>
              <w:left w:val="nil"/>
              <w:bottom w:val="nil"/>
              <w:right w:val="nil"/>
            </w:tcBorders>
            <w:shd w:val="clear" w:color="000000" w:fill="F2DCDB"/>
            <w:noWrap/>
            <w:vAlign w:val="bottom"/>
            <w:hideMark/>
          </w:tcPr>
          <w:p w14:paraId="0C3F8BC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39%</w:t>
            </w:r>
          </w:p>
        </w:tc>
        <w:tc>
          <w:tcPr>
            <w:tcW w:w="813" w:type="dxa"/>
            <w:tcBorders>
              <w:top w:val="nil"/>
              <w:left w:val="single" w:sz="4" w:space="0" w:color="auto"/>
              <w:bottom w:val="nil"/>
              <w:right w:val="nil"/>
            </w:tcBorders>
            <w:shd w:val="clear" w:color="auto" w:fill="auto"/>
            <w:noWrap/>
            <w:vAlign w:val="bottom"/>
            <w:hideMark/>
          </w:tcPr>
          <w:p w14:paraId="0C3F8BC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44%</w:t>
            </w:r>
          </w:p>
        </w:tc>
        <w:tc>
          <w:tcPr>
            <w:tcW w:w="918" w:type="dxa"/>
            <w:tcBorders>
              <w:top w:val="nil"/>
              <w:left w:val="nil"/>
              <w:bottom w:val="nil"/>
              <w:right w:val="nil"/>
            </w:tcBorders>
            <w:shd w:val="clear" w:color="auto" w:fill="auto"/>
            <w:noWrap/>
            <w:vAlign w:val="bottom"/>
            <w:hideMark/>
          </w:tcPr>
          <w:p w14:paraId="0C3F8BC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17%</w:t>
            </w:r>
          </w:p>
        </w:tc>
        <w:tc>
          <w:tcPr>
            <w:tcW w:w="594" w:type="dxa"/>
            <w:tcBorders>
              <w:top w:val="nil"/>
              <w:left w:val="nil"/>
              <w:bottom w:val="nil"/>
              <w:right w:val="nil"/>
            </w:tcBorders>
            <w:shd w:val="clear" w:color="auto" w:fill="auto"/>
            <w:noWrap/>
            <w:vAlign w:val="bottom"/>
            <w:hideMark/>
          </w:tcPr>
          <w:p w14:paraId="0C3F8BC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1083" w:type="dxa"/>
            <w:tcBorders>
              <w:top w:val="nil"/>
              <w:left w:val="nil"/>
              <w:bottom w:val="nil"/>
              <w:right w:val="nil"/>
            </w:tcBorders>
            <w:shd w:val="clear" w:color="auto" w:fill="auto"/>
            <w:noWrap/>
            <w:vAlign w:val="bottom"/>
            <w:hideMark/>
          </w:tcPr>
          <w:p w14:paraId="0C3F8BC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86" w:type="dxa"/>
            <w:tcBorders>
              <w:top w:val="nil"/>
              <w:left w:val="nil"/>
              <w:bottom w:val="nil"/>
              <w:right w:val="nil"/>
            </w:tcBorders>
            <w:shd w:val="clear" w:color="000000" w:fill="F2DCDB"/>
            <w:noWrap/>
            <w:vAlign w:val="bottom"/>
            <w:hideMark/>
          </w:tcPr>
          <w:p w14:paraId="0C3F8BD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61%</w:t>
            </w:r>
          </w:p>
        </w:tc>
        <w:tc>
          <w:tcPr>
            <w:tcW w:w="886" w:type="dxa"/>
            <w:tcBorders>
              <w:top w:val="nil"/>
              <w:left w:val="nil"/>
              <w:bottom w:val="nil"/>
              <w:right w:val="single" w:sz="4" w:space="0" w:color="auto"/>
            </w:tcBorders>
            <w:shd w:val="clear" w:color="000000" w:fill="F2DCDB"/>
            <w:noWrap/>
            <w:vAlign w:val="bottom"/>
            <w:hideMark/>
          </w:tcPr>
          <w:p w14:paraId="0C3F8BD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39%</w:t>
            </w:r>
          </w:p>
        </w:tc>
      </w:tr>
      <w:tr w:rsidR="00B6457B" w:rsidRPr="00393ABA" w14:paraId="0C3F8BE3" w14:textId="77777777" w:rsidTr="00393ABA">
        <w:trPr>
          <w:trHeight w:val="20"/>
        </w:trPr>
        <w:tc>
          <w:tcPr>
            <w:tcW w:w="1407" w:type="dxa"/>
            <w:vMerge w:val="restart"/>
            <w:tcBorders>
              <w:top w:val="nil"/>
              <w:left w:val="single" w:sz="4" w:space="0" w:color="auto"/>
              <w:bottom w:val="nil"/>
              <w:right w:val="nil"/>
            </w:tcBorders>
            <w:shd w:val="clear" w:color="000000" w:fill="F2F2F2"/>
            <w:noWrap/>
            <w:vAlign w:val="center"/>
            <w:hideMark/>
          </w:tcPr>
          <w:p w14:paraId="0C3F8BD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Wet Tropics</w:t>
            </w:r>
          </w:p>
        </w:tc>
        <w:tc>
          <w:tcPr>
            <w:tcW w:w="1120" w:type="dxa"/>
            <w:tcBorders>
              <w:top w:val="nil"/>
              <w:left w:val="single" w:sz="4" w:space="0" w:color="auto"/>
              <w:bottom w:val="nil"/>
              <w:right w:val="single" w:sz="4" w:space="0" w:color="auto"/>
            </w:tcBorders>
            <w:shd w:val="clear" w:color="000000" w:fill="F2F2F2"/>
            <w:noWrap/>
            <w:vAlign w:val="center"/>
            <w:hideMark/>
          </w:tcPr>
          <w:p w14:paraId="0C3F8BD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BD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2418</w:t>
            </w:r>
          </w:p>
        </w:tc>
        <w:tc>
          <w:tcPr>
            <w:tcW w:w="622" w:type="dxa"/>
            <w:tcBorders>
              <w:top w:val="nil"/>
              <w:left w:val="nil"/>
              <w:bottom w:val="nil"/>
              <w:right w:val="nil"/>
            </w:tcBorders>
            <w:shd w:val="clear" w:color="auto" w:fill="auto"/>
            <w:noWrap/>
            <w:vAlign w:val="bottom"/>
            <w:hideMark/>
          </w:tcPr>
          <w:p w14:paraId="0C3F8BD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1829</w:t>
            </w:r>
          </w:p>
        </w:tc>
        <w:tc>
          <w:tcPr>
            <w:tcW w:w="835" w:type="dxa"/>
            <w:tcBorders>
              <w:top w:val="nil"/>
              <w:left w:val="nil"/>
              <w:bottom w:val="nil"/>
              <w:right w:val="nil"/>
            </w:tcBorders>
            <w:shd w:val="clear" w:color="auto" w:fill="auto"/>
            <w:noWrap/>
            <w:vAlign w:val="bottom"/>
            <w:hideMark/>
          </w:tcPr>
          <w:p w14:paraId="0C3F8BD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482</w:t>
            </w:r>
          </w:p>
        </w:tc>
        <w:tc>
          <w:tcPr>
            <w:tcW w:w="803" w:type="dxa"/>
            <w:tcBorders>
              <w:top w:val="nil"/>
              <w:left w:val="nil"/>
              <w:bottom w:val="nil"/>
              <w:right w:val="nil"/>
            </w:tcBorders>
            <w:shd w:val="clear" w:color="auto" w:fill="auto"/>
            <w:noWrap/>
            <w:vAlign w:val="bottom"/>
            <w:hideMark/>
          </w:tcPr>
          <w:p w14:paraId="0C3F8BD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21</w:t>
            </w:r>
          </w:p>
        </w:tc>
        <w:tc>
          <w:tcPr>
            <w:tcW w:w="647" w:type="dxa"/>
            <w:tcBorders>
              <w:top w:val="nil"/>
              <w:left w:val="nil"/>
              <w:bottom w:val="nil"/>
              <w:right w:val="nil"/>
            </w:tcBorders>
            <w:shd w:val="clear" w:color="auto" w:fill="auto"/>
            <w:noWrap/>
            <w:vAlign w:val="bottom"/>
            <w:hideMark/>
          </w:tcPr>
          <w:p w14:paraId="0C3F8BD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w:t>
            </w:r>
          </w:p>
        </w:tc>
        <w:tc>
          <w:tcPr>
            <w:tcW w:w="815" w:type="dxa"/>
            <w:tcBorders>
              <w:top w:val="nil"/>
              <w:left w:val="nil"/>
              <w:bottom w:val="nil"/>
              <w:right w:val="nil"/>
            </w:tcBorders>
            <w:shd w:val="clear" w:color="auto" w:fill="auto"/>
            <w:noWrap/>
            <w:vAlign w:val="bottom"/>
            <w:hideMark/>
          </w:tcPr>
          <w:p w14:paraId="0C3F8BD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38</w:t>
            </w:r>
          </w:p>
        </w:tc>
        <w:tc>
          <w:tcPr>
            <w:tcW w:w="912" w:type="dxa"/>
            <w:tcBorders>
              <w:top w:val="nil"/>
              <w:left w:val="nil"/>
              <w:bottom w:val="nil"/>
              <w:right w:val="nil"/>
            </w:tcBorders>
            <w:shd w:val="clear" w:color="000000" w:fill="F2DCDB"/>
            <w:noWrap/>
            <w:vAlign w:val="bottom"/>
            <w:hideMark/>
          </w:tcPr>
          <w:p w14:paraId="0C3F8BDB"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2379</w:t>
            </w:r>
          </w:p>
        </w:tc>
        <w:tc>
          <w:tcPr>
            <w:tcW w:w="912" w:type="dxa"/>
            <w:tcBorders>
              <w:top w:val="nil"/>
              <w:left w:val="nil"/>
              <w:bottom w:val="nil"/>
              <w:right w:val="single" w:sz="4" w:space="0" w:color="auto"/>
            </w:tcBorders>
            <w:shd w:val="clear" w:color="000000" w:fill="F2DCDB"/>
            <w:noWrap/>
            <w:vAlign w:val="bottom"/>
            <w:hideMark/>
          </w:tcPr>
          <w:p w14:paraId="0C3F8BD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38</w:t>
            </w:r>
          </w:p>
        </w:tc>
        <w:tc>
          <w:tcPr>
            <w:tcW w:w="813" w:type="dxa"/>
            <w:tcBorders>
              <w:top w:val="nil"/>
              <w:left w:val="nil"/>
              <w:bottom w:val="nil"/>
              <w:right w:val="nil"/>
            </w:tcBorders>
            <w:shd w:val="clear" w:color="auto" w:fill="auto"/>
            <w:noWrap/>
            <w:vAlign w:val="bottom"/>
            <w:hideMark/>
          </w:tcPr>
          <w:p w14:paraId="0C3F8BD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2309</w:t>
            </w:r>
          </w:p>
        </w:tc>
        <w:tc>
          <w:tcPr>
            <w:tcW w:w="918" w:type="dxa"/>
            <w:tcBorders>
              <w:top w:val="nil"/>
              <w:left w:val="nil"/>
              <w:bottom w:val="nil"/>
              <w:right w:val="nil"/>
            </w:tcBorders>
            <w:shd w:val="clear" w:color="auto" w:fill="auto"/>
            <w:noWrap/>
            <w:vAlign w:val="bottom"/>
            <w:hideMark/>
          </w:tcPr>
          <w:p w14:paraId="0C3F8BD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28</w:t>
            </w:r>
          </w:p>
        </w:tc>
        <w:tc>
          <w:tcPr>
            <w:tcW w:w="594" w:type="dxa"/>
            <w:tcBorders>
              <w:top w:val="nil"/>
              <w:left w:val="nil"/>
              <w:bottom w:val="nil"/>
              <w:right w:val="nil"/>
            </w:tcBorders>
            <w:shd w:val="clear" w:color="auto" w:fill="auto"/>
            <w:noWrap/>
            <w:vAlign w:val="bottom"/>
            <w:hideMark/>
          </w:tcPr>
          <w:p w14:paraId="0C3F8BD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31</w:t>
            </w:r>
          </w:p>
        </w:tc>
        <w:tc>
          <w:tcPr>
            <w:tcW w:w="1083" w:type="dxa"/>
            <w:tcBorders>
              <w:top w:val="nil"/>
              <w:left w:val="nil"/>
              <w:bottom w:val="nil"/>
              <w:right w:val="nil"/>
            </w:tcBorders>
            <w:shd w:val="clear" w:color="auto" w:fill="auto"/>
            <w:noWrap/>
            <w:vAlign w:val="bottom"/>
            <w:hideMark/>
          </w:tcPr>
          <w:p w14:paraId="0C3F8BE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886" w:type="dxa"/>
            <w:tcBorders>
              <w:top w:val="nil"/>
              <w:left w:val="nil"/>
              <w:bottom w:val="nil"/>
              <w:right w:val="nil"/>
            </w:tcBorders>
            <w:shd w:val="clear" w:color="000000" w:fill="F2DCDB"/>
            <w:noWrap/>
            <w:vAlign w:val="bottom"/>
            <w:hideMark/>
          </w:tcPr>
          <w:p w14:paraId="0C3F8BE1"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2369</w:t>
            </w:r>
          </w:p>
        </w:tc>
        <w:tc>
          <w:tcPr>
            <w:tcW w:w="886" w:type="dxa"/>
            <w:tcBorders>
              <w:top w:val="nil"/>
              <w:left w:val="nil"/>
              <w:bottom w:val="nil"/>
              <w:right w:val="single" w:sz="4" w:space="0" w:color="auto"/>
            </w:tcBorders>
            <w:shd w:val="clear" w:color="000000" w:fill="F2DCDB"/>
            <w:noWrap/>
            <w:vAlign w:val="bottom"/>
            <w:hideMark/>
          </w:tcPr>
          <w:p w14:paraId="0C3F8BE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49</w:t>
            </w:r>
          </w:p>
        </w:tc>
      </w:tr>
      <w:tr w:rsidR="00B6457B" w:rsidRPr="00393ABA" w14:paraId="0C3F8BF4" w14:textId="77777777" w:rsidTr="00393ABA">
        <w:trPr>
          <w:trHeight w:val="20"/>
        </w:trPr>
        <w:tc>
          <w:tcPr>
            <w:tcW w:w="1407" w:type="dxa"/>
            <w:vMerge/>
            <w:tcBorders>
              <w:top w:val="nil"/>
              <w:left w:val="single" w:sz="4" w:space="0" w:color="auto"/>
              <w:bottom w:val="nil"/>
              <w:right w:val="nil"/>
            </w:tcBorders>
            <w:vAlign w:val="center"/>
            <w:hideMark/>
          </w:tcPr>
          <w:p w14:paraId="0C3F8BE4"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BE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BE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622" w:type="dxa"/>
            <w:tcBorders>
              <w:top w:val="nil"/>
              <w:left w:val="nil"/>
              <w:bottom w:val="nil"/>
              <w:right w:val="nil"/>
            </w:tcBorders>
            <w:shd w:val="clear" w:color="auto" w:fill="auto"/>
            <w:noWrap/>
            <w:vAlign w:val="bottom"/>
            <w:hideMark/>
          </w:tcPr>
          <w:p w14:paraId="0C3F8BE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76%</w:t>
            </w:r>
          </w:p>
        </w:tc>
        <w:tc>
          <w:tcPr>
            <w:tcW w:w="835" w:type="dxa"/>
            <w:tcBorders>
              <w:top w:val="nil"/>
              <w:left w:val="nil"/>
              <w:bottom w:val="nil"/>
              <w:right w:val="nil"/>
            </w:tcBorders>
            <w:shd w:val="clear" w:color="auto" w:fill="auto"/>
            <w:noWrap/>
            <w:vAlign w:val="bottom"/>
            <w:hideMark/>
          </w:tcPr>
          <w:p w14:paraId="0C3F8BE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803" w:type="dxa"/>
            <w:tcBorders>
              <w:top w:val="nil"/>
              <w:left w:val="nil"/>
              <w:bottom w:val="nil"/>
              <w:right w:val="nil"/>
            </w:tcBorders>
            <w:shd w:val="clear" w:color="auto" w:fill="auto"/>
            <w:noWrap/>
            <w:vAlign w:val="bottom"/>
            <w:hideMark/>
          </w:tcPr>
          <w:p w14:paraId="0C3F8BE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647" w:type="dxa"/>
            <w:tcBorders>
              <w:top w:val="nil"/>
              <w:left w:val="nil"/>
              <w:bottom w:val="nil"/>
              <w:right w:val="nil"/>
            </w:tcBorders>
            <w:shd w:val="clear" w:color="auto" w:fill="auto"/>
            <w:noWrap/>
            <w:vAlign w:val="bottom"/>
            <w:hideMark/>
          </w:tcPr>
          <w:p w14:paraId="0C3F8BE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15" w:type="dxa"/>
            <w:tcBorders>
              <w:top w:val="nil"/>
              <w:left w:val="nil"/>
              <w:bottom w:val="nil"/>
              <w:right w:val="nil"/>
            </w:tcBorders>
            <w:shd w:val="clear" w:color="auto" w:fill="auto"/>
            <w:noWrap/>
            <w:vAlign w:val="bottom"/>
            <w:hideMark/>
          </w:tcPr>
          <w:p w14:paraId="0C3F8BE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912" w:type="dxa"/>
            <w:tcBorders>
              <w:top w:val="nil"/>
              <w:left w:val="nil"/>
              <w:bottom w:val="nil"/>
              <w:right w:val="nil"/>
            </w:tcBorders>
            <w:shd w:val="clear" w:color="000000" w:fill="F2DCDB"/>
            <w:noWrap/>
            <w:vAlign w:val="bottom"/>
            <w:hideMark/>
          </w:tcPr>
          <w:p w14:paraId="0C3F8BE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98%</w:t>
            </w:r>
          </w:p>
        </w:tc>
        <w:tc>
          <w:tcPr>
            <w:tcW w:w="912" w:type="dxa"/>
            <w:tcBorders>
              <w:top w:val="nil"/>
              <w:left w:val="nil"/>
              <w:bottom w:val="nil"/>
              <w:right w:val="nil"/>
            </w:tcBorders>
            <w:shd w:val="clear" w:color="000000" w:fill="F2DCDB"/>
            <w:noWrap/>
            <w:vAlign w:val="bottom"/>
            <w:hideMark/>
          </w:tcPr>
          <w:p w14:paraId="0C3F8BE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w:t>
            </w:r>
          </w:p>
        </w:tc>
        <w:tc>
          <w:tcPr>
            <w:tcW w:w="813" w:type="dxa"/>
            <w:tcBorders>
              <w:top w:val="nil"/>
              <w:left w:val="single" w:sz="4" w:space="0" w:color="auto"/>
              <w:bottom w:val="nil"/>
              <w:right w:val="nil"/>
            </w:tcBorders>
            <w:shd w:val="clear" w:color="auto" w:fill="auto"/>
            <w:noWrap/>
            <w:vAlign w:val="bottom"/>
            <w:hideMark/>
          </w:tcPr>
          <w:p w14:paraId="0C3F8BE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96%</w:t>
            </w:r>
          </w:p>
        </w:tc>
        <w:tc>
          <w:tcPr>
            <w:tcW w:w="918" w:type="dxa"/>
            <w:tcBorders>
              <w:top w:val="nil"/>
              <w:left w:val="nil"/>
              <w:bottom w:val="nil"/>
              <w:right w:val="nil"/>
            </w:tcBorders>
            <w:shd w:val="clear" w:color="auto" w:fill="auto"/>
            <w:noWrap/>
            <w:vAlign w:val="bottom"/>
            <w:hideMark/>
          </w:tcPr>
          <w:p w14:paraId="0C3F8BE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594" w:type="dxa"/>
            <w:tcBorders>
              <w:top w:val="nil"/>
              <w:left w:val="nil"/>
              <w:bottom w:val="nil"/>
              <w:right w:val="nil"/>
            </w:tcBorders>
            <w:shd w:val="clear" w:color="auto" w:fill="auto"/>
            <w:noWrap/>
            <w:vAlign w:val="bottom"/>
            <w:hideMark/>
          </w:tcPr>
          <w:p w14:paraId="0C3F8BF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1083" w:type="dxa"/>
            <w:tcBorders>
              <w:top w:val="nil"/>
              <w:left w:val="nil"/>
              <w:bottom w:val="nil"/>
              <w:right w:val="nil"/>
            </w:tcBorders>
            <w:shd w:val="clear" w:color="auto" w:fill="auto"/>
            <w:noWrap/>
            <w:vAlign w:val="bottom"/>
            <w:hideMark/>
          </w:tcPr>
          <w:p w14:paraId="0C3F8BF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86" w:type="dxa"/>
            <w:tcBorders>
              <w:top w:val="nil"/>
              <w:left w:val="nil"/>
              <w:bottom w:val="nil"/>
              <w:right w:val="nil"/>
            </w:tcBorders>
            <w:shd w:val="clear" w:color="000000" w:fill="F2DCDB"/>
            <w:noWrap/>
            <w:vAlign w:val="bottom"/>
            <w:hideMark/>
          </w:tcPr>
          <w:p w14:paraId="0C3F8BF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98%</w:t>
            </w:r>
          </w:p>
        </w:tc>
        <w:tc>
          <w:tcPr>
            <w:tcW w:w="886" w:type="dxa"/>
            <w:tcBorders>
              <w:top w:val="nil"/>
              <w:left w:val="nil"/>
              <w:bottom w:val="nil"/>
              <w:right w:val="single" w:sz="4" w:space="0" w:color="auto"/>
            </w:tcBorders>
            <w:shd w:val="clear" w:color="000000" w:fill="F2DCDB"/>
            <w:noWrap/>
            <w:vAlign w:val="bottom"/>
            <w:hideMark/>
          </w:tcPr>
          <w:p w14:paraId="0C3F8BF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w:t>
            </w:r>
          </w:p>
        </w:tc>
      </w:tr>
      <w:tr w:rsidR="00B6457B" w:rsidRPr="00393ABA" w14:paraId="0C3F8C05" w14:textId="77777777" w:rsidTr="00393ABA">
        <w:trPr>
          <w:trHeight w:val="20"/>
        </w:trPr>
        <w:tc>
          <w:tcPr>
            <w:tcW w:w="1407" w:type="dxa"/>
            <w:vMerge w:val="restart"/>
            <w:tcBorders>
              <w:top w:val="nil"/>
              <w:left w:val="single" w:sz="4" w:space="0" w:color="auto"/>
              <w:bottom w:val="nil"/>
              <w:right w:val="nil"/>
            </w:tcBorders>
            <w:shd w:val="clear" w:color="000000" w:fill="F2F2F2"/>
            <w:noWrap/>
            <w:vAlign w:val="center"/>
            <w:hideMark/>
          </w:tcPr>
          <w:p w14:paraId="0C3F8BF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Burdekin</w:t>
            </w:r>
          </w:p>
        </w:tc>
        <w:tc>
          <w:tcPr>
            <w:tcW w:w="1120" w:type="dxa"/>
            <w:tcBorders>
              <w:top w:val="nil"/>
              <w:left w:val="single" w:sz="4" w:space="0" w:color="auto"/>
              <w:bottom w:val="nil"/>
              <w:right w:val="single" w:sz="4" w:space="0" w:color="auto"/>
            </w:tcBorders>
            <w:shd w:val="clear" w:color="000000" w:fill="F2F2F2"/>
            <w:noWrap/>
            <w:vAlign w:val="center"/>
            <w:hideMark/>
          </w:tcPr>
          <w:p w14:paraId="0C3F8BF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BF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2966</w:t>
            </w:r>
          </w:p>
        </w:tc>
        <w:tc>
          <w:tcPr>
            <w:tcW w:w="622" w:type="dxa"/>
            <w:tcBorders>
              <w:top w:val="nil"/>
              <w:left w:val="nil"/>
              <w:bottom w:val="nil"/>
              <w:right w:val="nil"/>
            </w:tcBorders>
            <w:shd w:val="clear" w:color="auto" w:fill="auto"/>
            <w:noWrap/>
            <w:vAlign w:val="bottom"/>
            <w:hideMark/>
          </w:tcPr>
          <w:p w14:paraId="0C3F8BF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589</w:t>
            </w:r>
          </w:p>
        </w:tc>
        <w:tc>
          <w:tcPr>
            <w:tcW w:w="835" w:type="dxa"/>
            <w:tcBorders>
              <w:top w:val="nil"/>
              <w:left w:val="nil"/>
              <w:bottom w:val="nil"/>
              <w:right w:val="nil"/>
            </w:tcBorders>
            <w:shd w:val="clear" w:color="auto" w:fill="auto"/>
            <w:noWrap/>
            <w:vAlign w:val="bottom"/>
            <w:hideMark/>
          </w:tcPr>
          <w:p w14:paraId="0C3F8BF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185</w:t>
            </w:r>
          </w:p>
        </w:tc>
        <w:tc>
          <w:tcPr>
            <w:tcW w:w="803" w:type="dxa"/>
            <w:tcBorders>
              <w:top w:val="nil"/>
              <w:left w:val="nil"/>
              <w:bottom w:val="nil"/>
              <w:right w:val="nil"/>
            </w:tcBorders>
            <w:shd w:val="clear" w:color="auto" w:fill="auto"/>
            <w:noWrap/>
            <w:vAlign w:val="bottom"/>
            <w:hideMark/>
          </w:tcPr>
          <w:p w14:paraId="0C3F8BF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w:t>
            </w:r>
          </w:p>
        </w:tc>
        <w:tc>
          <w:tcPr>
            <w:tcW w:w="647" w:type="dxa"/>
            <w:tcBorders>
              <w:top w:val="nil"/>
              <w:left w:val="nil"/>
              <w:bottom w:val="nil"/>
              <w:right w:val="nil"/>
            </w:tcBorders>
            <w:shd w:val="clear" w:color="auto" w:fill="auto"/>
            <w:noWrap/>
            <w:vAlign w:val="bottom"/>
            <w:hideMark/>
          </w:tcPr>
          <w:p w14:paraId="0C3F8BF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w:t>
            </w:r>
          </w:p>
        </w:tc>
        <w:tc>
          <w:tcPr>
            <w:tcW w:w="815" w:type="dxa"/>
            <w:tcBorders>
              <w:top w:val="nil"/>
              <w:left w:val="nil"/>
              <w:bottom w:val="nil"/>
              <w:right w:val="nil"/>
            </w:tcBorders>
            <w:shd w:val="clear" w:color="auto" w:fill="auto"/>
            <w:noWrap/>
            <w:vAlign w:val="bottom"/>
            <w:hideMark/>
          </w:tcPr>
          <w:p w14:paraId="0C3F8BF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w:t>
            </w:r>
          </w:p>
        </w:tc>
        <w:tc>
          <w:tcPr>
            <w:tcW w:w="912" w:type="dxa"/>
            <w:tcBorders>
              <w:top w:val="nil"/>
              <w:left w:val="nil"/>
              <w:bottom w:val="nil"/>
              <w:right w:val="nil"/>
            </w:tcBorders>
            <w:shd w:val="clear" w:color="000000" w:fill="F2DCDB"/>
            <w:noWrap/>
            <w:vAlign w:val="bottom"/>
            <w:hideMark/>
          </w:tcPr>
          <w:p w14:paraId="0C3F8BFD"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826</w:t>
            </w:r>
          </w:p>
        </w:tc>
        <w:tc>
          <w:tcPr>
            <w:tcW w:w="912" w:type="dxa"/>
            <w:tcBorders>
              <w:top w:val="nil"/>
              <w:left w:val="nil"/>
              <w:bottom w:val="nil"/>
              <w:right w:val="single" w:sz="4" w:space="0" w:color="auto"/>
            </w:tcBorders>
            <w:shd w:val="clear" w:color="000000" w:fill="F2DCDB"/>
            <w:noWrap/>
            <w:vAlign w:val="bottom"/>
            <w:hideMark/>
          </w:tcPr>
          <w:p w14:paraId="0C3F8BF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2140</w:t>
            </w:r>
          </w:p>
        </w:tc>
        <w:tc>
          <w:tcPr>
            <w:tcW w:w="813" w:type="dxa"/>
            <w:tcBorders>
              <w:top w:val="nil"/>
              <w:left w:val="nil"/>
              <w:bottom w:val="nil"/>
              <w:right w:val="nil"/>
            </w:tcBorders>
            <w:shd w:val="clear" w:color="auto" w:fill="auto"/>
            <w:noWrap/>
            <w:vAlign w:val="bottom"/>
            <w:hideMark/>
          </w:tcPr>
          <w:p w14:paraId="0C3F8BF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777</w:t>
            </w:r>
          </w:p>
        </w:tc>
        <w:tc>
          <w:tcPr>
            <w:tcW w:w="918" w:type="dxa"/>
            <w:tcBorders>
              <w:top w:val="nil"/>
              <w:left w:val="nil"/>
              <w:bottom w:val="nil"/>
              <w:right w:val="nil"/>
            </w:tcBorders>
            <w:shd w:val="clear" w:color="auto" w:fill="auto"/>
            <w:noWrap/>
            <w:vAlign w:val="bottom"/>
            <w:hideMark/>
          </w:tcPr>
          <w:p w14:paraId="0C3F8C0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35</w:t>
            </w:r>
          </w:p>
        </w:tc>
        <w:tc>
          <w:tcPr>
            <w:tcW w:w="594" w:type="dxa"/>
            <w:tcBorders>
              <w:top w:val="nil"/>
              <w:left w:val="nil"/>
              <w:bottom w:val="nil"/>
              <w:right w:val="nil"/>
            </w:tcBorders>
            <w:shd w:val="clear" w:color="auto" w:fill="auto"/>
            <w:noWrap/>
            <w:vAlign w:val="bottom"/>
            <w:hideMark/>
          </w:tcPr>
          <w:p w14:paraId="0C3F8C0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19</w:t>
            </w:r>
          </w:p>
        </w:tc>
        <w:tc>
          <w:tcPr>
            <w:tcW w:w="1083" w:type="dxa"/>
            <w:tcBorders>
              <w:top w:val="nil"/>
              <w:left w:val="nil"/>
              <w:bottom w:val="nil"/>
              <w:right w:val="nil"/>
            </w:tcBorders>
            <w:shd w:val="clear" w:color="auto" w:fill="auto"/>
            <w:noWrap/>
            <w:vAlign w:val="bottom"/>
            <w:hideMark/>
          </w:tcPr>
          <w:p w14:paraId="0C3F8C0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886" w:type="dxa"/>
            <w:tcBorders>
              <w:top w:val="nil"/>
              <w:left w:val="nil"/>
              <w:bottom w:val="nil"/>
              <w:right w:val="nil"/>
            </w:tcBorders>
            <w:shd w:val="clear" w:color="000000" w:fill="F2DCDB"/>
            <w:noWrap/>
            <w:vAlign w:val="bottom"/>
            <w:hideMark/>
          </w:tcPr>
          <w:p w14:paraId="0C3F8C0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832</w:t>
            </w:r>
          </w:p>
        </w:tc>
        <w:tc>
          <w:tcPr>
            <w:tcW w:w="886" w:type="dxa"/>
            <w:tcBorders>
              <w:top w:val="nil"/>
              <w:left w:val="nil"/>
              <w:bottom w:val="nil"/>
              <w:right w:val="single" w:sz="4" w:space="0" w:color="auto"/>
            </w:tcBorders>
            <w:shd w:val="clear" w:color="000000" w:fill="F2DCDB"/>
            <w:noWrap/>
            <w:vAlign w:val="bottom"/>
            <w:hideMark/>
          </w:tcPr>
          <w:p w14:paraId="0C3F8C0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2134</w:t>
            </w:r>
          </w:p>
        </w:tc>
      </w:tr>
      <w:tr w:rsidR="00B6457B" w:rsidRPr="00393ABA" w14:paraId="0C3F8C16" w14:textId="77777777" w:rsidTr="00393ABA">
        <w:trPr>
          <w:trHeight w:val="20"/>
        </w:trPr>
        <w:tc>
          <w:tcPr>
            <w:tcW w:w="1407" w:type="dxa"/>
            <w:vMerge/>
            <w:tcBorders>
              <w:top w:val="nil"/>
              <w:left w:val="single" w:sz="4" w:space="0" w:color="auto"/>
              <w:bottom w:val="nil"/>
              <w:right w:val="nil"/>
            </w:tcBorders>
            <w:vAlign w:val="center"/>
            <w:hideMark/>
          </w:tcPr>
          <w:p w14:paraId="0C3F8C06"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C0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C0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622" w:type="dxa"/>
            <w:tcBorders>
              <w:top w:val="nil"/>
              <w:left w:val="nil"/>
              <w:bottom w:val="nil"/>
              <w:right w:val="nil"/>
            </w:tcBorders>
            <w:shd w:val="clear" w:color="auto" w:fill="auto"/>
            <w:noWrap/>
            <w:vAlign w:val="bottom"/>
            <w:hideMark/>
          </w:tcPr>
          <w:p w14:paraId="0C3F8C0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835" w:type="dxa"/>
            <w:tcBorders>
              <w:top w:val="nil"/>
              <w:left w:val="nil"/>
              <w:bottom w:val="nil"/>
              <w:right w:val="nil"/>
            </w:tcBorders>
            <w:shd w:val="clear" w:color="auto" w:fill="auto"/>
            <w:noWrap/>
            <w:vAlign w:val="bottom"/>
            <w:hideMark/>
          </w:tcPr>
          <w:p w14:paraId="0C3F8C0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803" w:type="dxa"/>
            <w:tcBorders>
              <w:top w:val="nil"/>
              <w:left w:val="nil"/>
              <w:bottom w:val="nil"/>
              <w:right w:val="nil"/>
            </w:tcBorders>
            <w:shd w:val="clear" w:color="auto" w:fill="auto"/>
            <w:noWrap/>
            <w:vAlign w:val="bottom"/>
            <w:hideMark/>
          </w:tcPr>
          <w:p w14:paraId="0C3F8C0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647" w:type="dxa"/>
            <w:tcBorders>
              <w:top w:val="nil"/>
              <w:left w:val="nil"/>
              <w:bottom w:val="nil"/>
              <w:right w:val="nil"/>
            </w:tcBorders>
            <w:shd w:val="clear" w:color="auto" w:fill="auto"/>
            <w:noWrap/>
            <w:vAlign w:val="bottom"/>
            <w:hideMark/>
          </w:tcPr>
          <w:p w14:paraId="0C3F8C0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15" w:type="dxa"/>
            <w:tcBorders>
              <w:top w:val="nil"/>
              <w:left w:val="nil"/>
              <w:bottom w:val="nil"/>
              <w:right w:val="nil"/>
            </w:tcBorders>
            <w:shd w:val="clear" w:color="auto" w:fill="auto"/>
            <w:noWrap/>
            <w:vAlign w:val="bottom"/>
            <w:hideMark/>
          </w:tcPr>
          <w:p w14:paraId="0C3F8C0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2" w:type="dxa"/>
            <w:tcBorders>
              <w:top w:val="nil"/>
              <w:left w:val="nil"/>
              <w:bottom w:val="nil"/>
              <w:right w:val="nil"/>
            </w:tcBorders>
            <w:shd w:val="clear" w:color="000000" w:fill="F2DCDB"/>
            <w:noWrap/>
            <w:vAlign w:val="bottom"/>
            <w:hideMark/>
          </w:tcPr>
          <w:p w14:paraId="0C3F8C0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28%</w:t>
            </w:r>
          </w:p>
        </w:tc>
        <w:tc>
          <w:tcPr>
            <w:tcW w:w="912" w:type="dxa"/>
            <w:tcBorders>
              <w:top w:val="nil"/>
              <w:left w:val="nil"/>
              <w:bottom w:val="nil"/>
              <w:right w:val="nil"/>
            </w:tcBorders>
            <w:shd w:val="clear" w:color="000000" w:fill="F2DCDB"/>
            <w:noWrap/>
            <w:vAlign w:val="bottom"/>
            <w:hideMark/>
          </w:tcPr>
          <w:p w14:paraId="0C3F8C0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72%</w:t>
            </w:r>
          </w:p>
        </w:tc>
        <w:tc>
          <w:tcPr>
            <w:tcW w:w="813" w:type="dxa"/>
            <w:tcBorders>
              <w:top w:val="nil"/>
              <w:left w:val="single" w:sz="4" w:space="0" w:color="auto"/>
              <w:bottom w:val="nil"/>
              <w:right w:val="nil"/>
            </w:tcBorders>
            <w:shd w:val="clear" w:color="auto" w:fill="auto"/>
            <w:noWrap/>
            <w:vAlign w:val="bottom"/>
            <w:hideMark/>
          </w:tcPr>
          <w:p w14:paraId="0C3F8C1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26%</w:t>
            </w:r>
          </w:p>
        </w:tc>
        <w:tc>
          <w:tcPr>
            <w:tcW w:w="918" w:type="dxa"/>
            <w:tcBorders>
              <w:top w:val="nil"/>
              <w:left w:val="nil"/>
              <w:bottom w:val="nil"/>
              <w:right w:val="nil"/>
            </w:tcBorders>
            <w:shd w:val="clear" w:color="auto" w:fill="auto"/>
            <w:noWrap/>
            <w:vAlign w:val="bottom"/>
            <w:hideMark/>
          </w:tcPr>
          <w:p w14:paraId="0C3F8C1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594" w:type="dxa"/>
            <w:tcBorders>
              <w:top w:val="nil"/>
              <w:left w:val="nil"/>
              <w:bottom w:val="nil"/>
              <w:right w:val="nil"/>
            </w:tcBorders>
            <w:shd w:val="clear" w:color="auto" w:fill="auto"/>
            <w:noWrap/>
            <w:vAlign w:val="bottom"/>
            <w:hideMark/>
          </w:tcPr>
          <w:p w14:paraId="0C3F8C1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1083" w:type="dxa"/>
            <w:tcBorders>
              <w:top w:val="nil"/>
              <w:left w:val="nil"/>
              <w:bottom w:val="nil"/>
              <w:right w:val="nil"/>
            </w:tcBorders>
            <w:shd w:val="clear" w:color="auto" w:fill="auto"/>
            <w:noWrap/>
            <w:vAlign w:val="bottom"/>
            <w:hideMark/>
          </w:tcPr>
          <w:p w14:paraId="0C3F8C1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86" w:type="dxa"/>
            <w:tcBorders>
              <w:top w:val="nil"/>
              <w:left w:val="nil"/>
              <w:bottom w:val="nil"/>
              <w:right w:val="nil"/>
            </w:tcBorders>
            <w:shd w:val="clear" w:color="000000" w:fill="F2DCDB"/>
            <w:noWrap/>
            <w:vAlign w:val="bottom"/>
            <w:hideMark/>
          </w:tcPr>
          <w:p w14:paraId="0C3F8C1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28%</w:t>
            </w:r>
          </w:p>
        </w:tc>
        <w:tc>
          <w:tcPr>
            <w:tcW w:w="886" w:type="dxa"/>
            <w:tcBorders>
              <w:top w:val="nil"/>
              <w:left w:val="nil"/>
              <w:bottom w:val="nil"/>
              <w:right w:val="single" w:sz="4" w:space="0" w:color="auto"/>
            </w:tcBorders>
            <w:shd w:val="clear" w:color="000000" w:fill="F2DCDB"/>
            <w:noWrap/>
            <w:vAlign w:val="bottom"/>
            <w:hideMark/>
          </w:tcPr>
          <w:p w14:paraId="0C3F8C1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72%</w:t>
            </w:r>
          </w:p>
        </w:tc>
      </w:tr>
      <w:tr w:rsidR="00B6457B" w:rsidRPr="00393ABA" w14:paraId="0C3F8C27" w14:textId="77777777" w:rsidTr="00393ABA">
        <w:trPr>
          <w:trHeight w:val="20"/>
        </w:trPr>
        <w:tc>
          <w:tcPr>
            <w:tcW w:w="1407" w:type="dxa"/>
            <w:vMerge w:val="restart"/>
            <w:tcBorders>
              <w:top w:val="nil"/>
              <w:left w:val="single" w:sz="4" w:space="0" w:color="auto"/>
              <w:bottom w:val="nil"/>
              <w:right w:val="single" w:sz="4" w:space="0" w:color="auto"/>
            </w:tcBorders>
            <w:shd w:val="clear" w:color="000000" w:fill="F2F2F2"/>
            <w:vAlign w:val="center"/>
            <w:hideMark/>
          </w:tcPr>
          <w:p w14:paraId="0C3F8C17" w14:textId="77777777" w:rsidR="00B6457B" w:rsidRPr="00393ABA" w:rsidRDefault="00393ABA"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MWS</w:t>
            </w:r>
          </w:p>
        </w:tc>
        <w:tc>
          <w:tcPr>
            <w:tcW w:w="1120" w:type="dxa"/>
            <w:tcBorders>
              <w:top w:val="nil"/>
              <w:left w:val="nil"/>
              <w:bottom w:val="nil"/>
              <w:right w:val="single" w:sz="4" w:space="0" w:color="auto"/>
            </w:tcBorders>
            <w:shd w:val="clear" w:color="000000" w:fill="F2F2F2"/>
            <w:noWrap/>
            <w:vAlign w:val="center"/>
            <w:hideMark/>
          </w:tcPr>
          <w:p w14:paraId="0C3F8C1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C1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3196</w:t>
            </w:r>
          </w:p>
        </w:tc>
        <w:tc>
          <w:tcPr>
            <w:tcW w:w="622" w:type="dxa"/>
            <w:tcBorders>
              <w:top w:val="nil"/>
              <w:left w:val="nil"/>
              <w:bottom w:val="nil"/>
              <w:right w:val="nil"/>
            </w:tcBorders>
            <w:shd w:val="clear" w:color="auto" w:fill="auto"/>
            <w:noWrap/>
            <w:vAlign w:val="bottom"/>
            <w:hideMark/>
          </w:tcPr>
          <w:p w14:paraId="0C3F8C1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107</w:t>
            </w:r>
          </w:p>
        </w:tc>
        <w:tc>
          <w:tcPr>
            <w:tcW w:w="835" w:type="dxa"/>
            <w:tcBorders>
              <w:top w:val="nil"/>
              <w:left w:val="nil"/>
              <w:bottom w:val="nil"/>
              <w:right w:val="nil"/>
            </w:tcBorders>
            <w:shd w:val="clear" w:color="auto" w:fill="auto"/>
            <w:noWrap/>
            <w:vAlign w:val="bottom"/>
            <w:hideMark/>
          </w:tcPr>
          <w:p w14:paraId="0C3F8C1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w:t>
            </w:r>
          </w:p>
        </w:tc>
        <w:tc>
          <w:tcPr>
            <w:tcW w:w="803" w:type="dxa"/>
            <w:tcBorders>
              <w:top w:val="nil"/>
              <w:left w:val="nil"/>
              <w:bottom w:val="nil"/>
              <w:right w:val="nil"/>
            </w:tcBorders>
            <w:shd w:val="clear" w:color="auto" w:fill="auto"/>
            <w:noWrap/>
            <w:vAlign w:val="bottom"/>
            <w:hideMark/>
          </w:tcPr>
          <w:p w14:paraId="0C3F8C1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69</w:t>
            </w:r>
          </w:p>
        </w:tc>
        <w:tc>
          <w:tcPr>
            <w:tcW w:w="647" w:type="dxa"/>
            <w:tcBorders>
              <w:top w:val="nil"/>
              <w:left w:val="nil"/>
              <w:bottom w:val="nil"/>
              <w:right w:val="nil"/>
            </w:tcBorders>
            <w:shd w:val="clear" w:color="auto" w:fill="auto"/>
            <w:noWrap/>
            <w:vAlign w:val="bottom"/>
            <w:hideMark/>
          </w:tcPr>
          <w:p w14:paraId="0C3F8C1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65</w:t>
            </w:r>
          </w:p>
        </w:tc>
        <w:tc>
          <w:tcPr>
            <w:tcW w:w="815" w:type="dxa"/>
            <w:tcBorders>
              <w:top w:val="nil"/>
              <w:left w:val="nil"/>
              <w:bottom w:val="nil"/>
              <w:right w:val="nil"/>
            </w:tcBorders>
            <w:shd w:val="clear" w:color="auto" w:fill="auto"/>
            <w:noWrap/>
            <w:vAlign w:val="bottom"/>
            <w:hideMark/>
          </w:tcPr>
          <w:p w14:paraId="0C3F8C1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128</w:t>
            </w:r>
          </w:p>
        </w:tc>
        <w:tc>
          <w:tcPr>
            <w:tcW w:w="912" w:type="dxa"/>
            <w:tcBorders>
              <w:top w:val="nil"/>
              <w:left w:val="nil"/>
              <w:bottom w:val="nil"/>
              <w:right w:val="nil"/>
            </w:tcBorders>
            <w:shd w:val="clear" w:color="000000" w:fill="F2DCDB"/>
            <w:noWrap/>
            <w:vAlign w:val="bottom"/>
            <w:hideMark/>
          </w:tcPr>
          <w:p w14:paraId="0C3F8C1F"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373</w:t>
            </w:r>
          </w:p>
        </w:tc>
        <w:tc>
          <w:tcPr>
            <w:tcW w:w="912" w:type="dxa"/>
            <w:tcBorders>
              <w:top w:val="nil"/>
              <w:left w:val="nil"/>
              <w:bottom w:val="nil"/>
              <w:right w:val="single" w:sz="4" w:space="0" w:color="auto"/>
            </w:tcBorders>
            <w:shd w:val="clear" w:color="000000" w:fill="F2DCDB"/>
            <w:noWrap/>
            <w:vAlign w:val="bottom"/>
            <w:hideMark/>
          </w:tcPr>
          <w:p w14:paraId="0C3F8C2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2822</w:t>
            </w:r>
          </w:p>
        </w:tc>
        <w:tc>
          <w:tcPr>
            <w:tcW w:w="813" w:type="dxa"/>
            <w:tcBorders>
              <w:top w:val="nil"/>
              <w:left w:val="nil"/>
              <w:bottom w:val="nil"/>
              <w:right w:val="nil"/>
            </w:tcBorders>
            <w:shd w:val="clear" w:color="auto" w:fill="auto"/>
            <w:noWrap/>
            <w:vAlign w:val="bottom"/>
            <w:hideMark/>
          </w:tcPr>
          <w:p w14:paraId="0C3F8C2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107</w:t>
            </w:r>
          </w:p>
        </w:tc>
        <w:tc>
          <w:tcPr>
            <w:tcW w:w="918" w:type="dxa"/>
            <w:tcBorders>
              <w:top w:val="nil"/>
              <w:left w:val="nil"/>
              <w:bottom w:val="nil"/>
              <w:right w:val="nil"/>
            </w:tcBorders>
            <w:shd w:val="clear" w:color="auto" w:fill="auto"/>
            <w:noWrap/>
            <w:vAlign w:val="bottom"/>
            <w:hideMark/>
          </w:tcPr>
          <w:p w14:paraId="0C3F8C2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164</w:t>
            </w:r>
          </w:p>
        </w:tc>
        <w:tc>
          <w:tcPr>
            <w:tcW w:w="594" w:type="dxa"/>
            <w:tcBorders>
              <w:top w:val="nil"/>
              <w:left w:val="nil"/>
              <w:bottom w:val="nil"/>
              <w:right w:val="nil"/>
            </w:tcBorders>
            <w:shd w:val="clear" w:color="auto" w:fill="auto"/>
            <w:noWrap/>
            <w:vAlign w:val="bottom"/>
            <w:hideMark/>
          </w:tcPr>
          <w:p w14:paraId="0C3F8C2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104</w:t>
            </w:r>
          </w:p>
        </w:tc>
        <w:tc>
          <w:tcPr>
            <w:tcW w:w="1083" w:type="dxa"/>
            <w:tcBorders>
              <w:top w:val="nil"/>
              <w:left w:val="nil"/>
              <w:bottom w:val="nil"/>
              <w:right w:val="nil"/>
            </w:tcBorders>
            <w:shd w:val="clear" w:color="auto" w:fill="auto"/>
            <w:noWrap/>
            <w:vAlign w:val="bottom"/>
            <w:hideMark/>
          </w:tcPr>
          <w:p w14:paraId="0C3F8C2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86" w:type="dxa"/>
            <w:tcBorders>
              <w:top w:val="nil"/>
              <w:left w:val="nil"/>
              <w:bottom w:val="nil"/>
              <w:right w:val="nil"/>
            </w:tcBorders>
            <w:shd w:val="clear" w:color="000000" w:fill="F2DCDB"/>
            <w:noWrap/>
            <w:vAlign w:val="bottom"/>
            <w:hideMark/>
          </w:tcPr>
          <w:p w14:paraId="0C3F8C25"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375</w:t>
            </w:r>
          </w:p>
        </w:tc>
        <w:tc>
          <w:tcPr>
            <w:tcW w:w="886" w:type="dxa"/>
            <w:tcBorders>
              <w:top w:val="nil"/>
              <w:left w:val="nil"/>
              <w:bottom w:val="nil"/>
              <w:right w:val="single" w:sz="4" w:space="0" w:color="auto"/>
            </w:tcBorders>
            <w:shd w:val="clear" w:color="000000" w:fill="F2DCDB"/>
            <w:noWrap/>
            <w:vAlign w:val="bottom"/>
            <w:hideMark/>
          </w:tcPr>
          <w:p w14:paraId="0C3F8C2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2820</w:t>
            </w:r>
          </w:p>
        </w:tc>
      </w:tr>
      <w:tr w:rsidR="00B6457B" w:rsidRPr="00393ABA" w14:paraId="0C3F8C38" w14:textId="77777777" w:rsidTr="00393ABA">
        <w:trPr>
          <w:trHeight w:val="20"/>
        </w:trPr>
        <w:tc>
          <w:tcPr>
            <w:tcW w:w="1407" w:type="dxa"/>
            <w:vMerge/>
            <w:tcBorders>
              <w:top w:val="nil"/>
              <w:left w:val="single" w:sz="4" w:space="0" w:color="auto"/>
              <w:bottom w:val="nil"/>
              <w:right w:val="single" w:sz="4" w:space="0" w:color="auto"/>
            </w:tcBorders>
            <w:vAlign w:val="center"/>
            <w:hideMark/>
          </w:tcPr>
          <w:p w14:paraId="0C3F8C28"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nil"/>
              <w:right w:val="single" w:sz="4" w:space="0" w:color="auto"/>
            </w:tcBorders>
            <w:shd w:val="clear" w:color="000000" w:fill="F2F2F2"/>
            <w:noWrap/>
            <w:vAlign w:val="center"/>
            <w:hideMark/>
          </w:tcPr>
          <w:p w14:paraId="0C3F8C2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C2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622" w:type="dxa"/>
            <w:tcBorders>
              <w:top w:val="nil"/>
              <w:left w:val="nil"/>
              <w:bottom w:val="nil"/>
              <w:right w:val="nil"/>
            </w:tcBorders>
            <w:shd w:val="clear" w:color="auto" w:fill="auto"/>
            <w:noWrap/>
            <w:vAlign w:val="bottom"/>
            <w:hideMark/>
          </w:tcPr>
          <w:p w14:paraId="0C3F8C2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835" w:type="dxa"/>
            <w:tcBorders>
              <w:top w:val="nil"/>
              <w:left w:val="nil"/>
              <w:bottom w:val="nil"/>
              <w:right w:val="nil"/>
            </w:tcBorders>
            <w:shd w:val="clear" w:color="auto" w:fill="auto"/>
            <w:noWrap/>
            <w:vAlign w:val="bottom"/>
            <w:hideMark/>
          </w:tcPr>
          <w:p w14:paraId="0C3F8C2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3" w:type="dxa"/>
            <w:tcBorders>
              <w:top w:val="nil"/>
              <w:left w:val="nil"/>
              <w:bottom w:val="nil"/>
              <w:right w:val="nil"/>
            </w:tcBorders>
            <w:shd w:val="clear" w:color="auto" w:fill="auto"/>
            <w:noWrap/>
            <w:vAlign w:val="bottom"/>
            <w:hideMark/>
          </w:tcPr>
          <w:p w14:paraId="0C3F8C2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647" w:type="dxa"/>
            <w:tcBorders>
              <w:top w:val="nil"/>
              <w:left w:val="nil"/>
              <w:bottom w:val="nil"/>
              <w:right w:val="nil"/>
            </w:tcBorders>
            <w:shd w:val="clear" w:color="auto" w:fill="auto"/>
            <w:noWrap/>
            <w:vAlign w:val="bottom"/>
            <w:hideMark/>
          </w:tcPr>
          <w:p w14:paraId="0C3F8C2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815" w:type="dxa"/>
            <w:tcBorders>
              <w:top w:val="nil"/>
              <w:left w:val="nil"/>
              <w:bottom w:val="nil"/>
              <w:right w:val="nil"/>
            </w:tcBorders>
            <w:shd w:val="clear" w:color="auto" w:fill="auto"/>
            <w:noWrap/>
            <w:vAlign w:val="bottom"/>
            <w:hideMark/>
          </w:tcPr>
          <w:p w14:paraId="0C3F8C2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912" w:type="dxa"/>
            <w:tcBorders>
              <w:top w:val="nil"/>
              <w:left w:val="nil"/>
              <w:bottom w:val="nil"/>
              <w:right w:val="nil"/>
            </w:tcBorders>
            <w:shd w:val="clear" w:color="000000" w:fill="F2DCDB"/>
            <w:noWrap/>
            <w:vAlign w:val="bottom"/>
            <w:hideMark/>
          </w:tcPr>
          <w:p w14:paraId="0C3F8C3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12%</w:t>
            </w:r>
          </w:p>
        </w:tc>
        <w:tc>
          <w:tcPr>
            <w:tcW w:w="912" w:type="dxa"/>
            <w:tcBorders>
              <w:top w:val="nil"/>
              <w:left w:val="nil"/>
              <w:bottom w:val="nil"/>
              <w:right w:val="nil"/>
            </w:tcBorders>
            <w:shd w:val="clear" w:color="000000" w:fill="F2DCDB"/>
            <w:noWrap/>
            <w:vAlign w:val="bottom"/>
            <w:hideMark/>
          </w:tcPr>
          <w:p w14:paraId="0C3F8C3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88%</w:t>
            </w:r>
          </w:p>
        </w:tc>
        <w:tc>
          <w:tcPr>
            <w:tcW w:w="813" w:type="dxa"/>
            <w:tcBorders>
              <w:top w:val="nil"/>
              <w:left w:val="single" w:sz="4" w:space="0" w:color="auto"/>
              <w:bottom w:val="nil"/>
              <w:right w:val="nil"/>
            </w:tcBorders>
            <w:shd w:val="clear" w:color="auto" w:fill="auto"/>
            <w:noWrap/>
            <w:vAlign w:val="bottom"/>
            <w:hideMark/>
          </w:tcPr>
          <w:p w14:paraId="0C3F8C3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18" w:type="dxa"/>
            <w:tcBorders>
              <w:top w:val="nil"/>
              <w:left w:val="nil"/>
              <w:bottom w:val="nil"/>
              <w:right w:val="nil"/>
            </w:tcBorders>
            <w:shd w:val="clear" w:color="auto" w:fill="auto"/>
            <w:noWrap/>
            <w:vAlign w:val="bottom"/>
            <w:hideMark/>
          </w:tcPr>
          <w:p w14:paraId="0C3F8C3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594" w:type="dxa"/>
            <w:tcBorders>
              <w:top w:val="nil"/>
              <w:left w:val="nil"/>
              <w:bottom w:val="nil"/>
              <w:right w:val="nil"/>
            </w:tcBorders>
            <w:shd w:val="clear" w:color="auto" w:fill="auto"/>
            <w:noWrap/>
            <w:vAlign w:val="bottom"/>
            <w:hideMark/>
          </w:tcPr>
          <w:p w14:paraId="0C3F8C3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1083" w:type="dxa"/>
            <w:tcBorders>
              <w:top w:val="nil"/>
              <w:left w:val="nil"/>
              <w:bottom w:val="nil"/>
              <w:right w:val="nil"/>
            </w:tcBorders>
            <w:shd w:val="clear" w:color="auto" w:fill="auto"/>
            <w:noWrap/>
            <w:vAlign w:val="bottom"/>
            <w:hideMark/>
          </w:tcPr>
          <w:p w14:paraId="0C3F8C3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86" w:type="dxa"/>
            <w:tcBorders>
              <w:top w:val="nil"/>
              <w:left w:val="nil"/>
              <w:bottom w:val="nil"/>
              <w:right w:val="nil"/>
            </w:tcBorders>
            <w:shd w:val="clear" w:color="000000" w:fill="F2DCDB"/>
            <w:noWrap/>
            <w:vAlign w:val="bottom"/>
            <w:hideMark/>
          </w:tcPr>
          <w:p w14:paraId="0C3F8C3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12%</w:t>
            </w:r>
          </w:p>
        </w:tc>
        <w:tc>
          <w:tcPr>
            <w:tcW w:w="886" w:type="dxa"/>
            <w:tcBorders>
              <w:top w:val="nil"/>
              <w:left w:val="nil"/>
              <w:bottom w:val="nil"/>
              <w:right w:val="single" w:sz="4" w:space="0" w:color="auto"/>
            </w:tcBorders>
            <w:shd w:val="clear" w:color="000000" w:fill="F2DCDB"/>
            <w:noWrap/>
            <w:vAlign w:val="bottom"/>
            <w:hideMark/>
          </w:tcPr>
          <w:p w14:paraId="0C3F8C3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88%</w:t>
            </w:r>
          </w:p>
        </w:tc>
      </w:tr>
      <w:tr w:rsidR="00B6457B" w:rsidRPr="00393ABA" w14:paraId="0C3F8C49" w14:textId="77777777" w:rsidTr="00393ABA">
        <w:trPr>
          <w:trHeight w:val="20"/>
        </w:trPr>
        <w:tc>
          <w:tcPr>
            <w:tcW w:w="1407" w:type="dxa"/>
            <w:vMerge w:val="restart"/>
            <w:tcBorders>
              <w:top w:val="nil"/>
              <w:left w:val="single" w:sz="4" w:space="0" w:color="auto"/>
              <w:bottom w:val="nil"/>
              <w:right w:val="nil"/>
            </w:tcBorders>
            <w:shd w:val="clear" w:color="000000" w:fill="F2F2F2"/>
            <w:noWrap/>
            <w:vAlign w:val="center"/>
            <w:hideMark/>
          </w:tcPr>
          <w:p w14:paraId="0C3F8C3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Fitzroy</w:t>
            </w:r>
          </w:p>
        </w:tc>
        <w:tc>
          <w:tcPr>
            <w:tcW w:w="1120" w:type="dxa"/>
            <w:tcBorders>
              <w:top w:val="nil"/>
              <w:left w:val="single" w:sz="4" w:space="0" w:color="auto"/>
              <w:bottom w:val="nil"/>
              <w:right w:val="single" w:sz="4" w:space="0" w:color="auto"/>
            </w:tcBorders>
            <w:shd w:val="clear" w:color="000000" w:fill="F2F2F2"/>
            <w:noWrap/>
            <w:vAlign w:val="center"/>
            <w:hideMark/>
          </w:tcPr>
          <w:p w14:paraId="0C3F8C3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C3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4880</w:t>
            </w:r>
          </w:p>
        </w:tc>
        <w:tc>
          <w:tcPr>
            <w:tcW w:w="622" w:type="dxa"/>
            <w:tcBorders>
              <w:top w:val="nil"/>
              <w:left w:val="nil"/>
              <w:bottom w:val="nil"/>
              <w:right w:val="nil"/>
            </w:tcBorders>
            <w:shd w:val="clear" w:color="auto" w:fill="auto"/>
            <w:noWrap/>
            <w:vAlign w:val="bottom"/>
            <w:hideMark/>
          </w:tcPr>
          <w:p w14:paraId="0C3F8C3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602</w:t>
            </w:r>
          </w:p>
        </w:tc>
        <w:tc>
          <w:tcPr>
            <w:tcW w:w="835" w:type="dxa"/>
            <w:tcBorders>
              <w:top w:val="nil"/>
              <w:left w:val="nil"/>
              <w:bottom w:val="nil"/>
              <w:right w:val="nil"/>
            </w:tcBorders>
            <w:shd w:val="clear" w:color="auto" w:fill="auto"/>
            <w:noWrap/>
            <w:vAlign w:val="bottom"/>
            <w:hideMark/>
          </w:tcPr>
          <w:p w14:paraId="0C3F8C3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276</w:t>
            </w:r>
          </w:p>
        </w:tc>
        <w:tc>
          <w:tcPr>
            <w:tcW w:w="803" w:type="dxa"/>
            <w:tcBorders>
              <w:top w:val="nil"/>
              <w:left w:val="nil"/>
              <w:bottom w:val="nil"/>
              <w:right w:val="nil"/>
            </w:tcBorders>
            <w:shd w:val="clear" w:color="auto" w:fill="auto"/>
            <w:noWrap/>
            <w:vAlign w:val="bottom"/>
            <w:hideMark/>
          </w:tcPr>
          <w:p w14:paraId="0C3F8C3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42</w:t>
            </w:r>
          </w:p>
        </w:tc>
        <w:tc>
          <w:tcPr>
            <w:tcW w:w="647" w:type="dxa"/>
            <w:tcBorders>
              <w:top w:val="nil"/>
              <w:left w:val="nil"/>
              <w:bottom w:val="nil"/>
              <w:right w:val="nil"/>
            </w:tcBorders>
            <w:shd w:val="clear" w:color="auto" w:fill="auto"/>
            <w:noWrap/>
            <w:vAlign w:val="bottom"/>
            <w:hideMark/>
          </w:tcPr>
          <w:p w14:paraId="0C3F8C3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42</w:t>
            </w:r>
          </w:p>
        </w:tc>
        <w:tc>
          <w:tcPr>
            <w:tcW w:w="815" w:type="dxa"/>
            <w:tcBorders>
              <w:top w:val="nil"/>
              <w:left w:val="nil"/>
              <w:bottom w:val="nil"/>
              <w:right w:val="nil"/>
            </w:tcBorders>
            <w:shd w:val="clear" w:color="auto" w:fill="auto"/>
            <w:noWrap/>
            <w:vAlign w:val="bottom"/>
            <w:hideMark/>
          </w:tcPr>
          <w:p w14:paraId="0C3F8C4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125</w:t>
            </w:r>
          </w:p>
        </w:tc>
        <w:tc>
          <w:tcPr>
            <w:tcW w:w="912" w:type="dxa"/>
            <w:tcBorders>
              <w:top w:val="nil"/>
              <w:left w:val="nil"/>
              <w:bottom w:val="nil"/>
              <w:right w:val="nil"/>
            </w:tcBorders>
            <w:shd w:val="clear" w:color="000000" w:fill="F2DCDB"/>
            <w:noWrap/>
            <w:vAlign w:val="bottom"/>
            <w:hideMark/>
          </w:tcPr>
          <w:p w14:paraId="0C3F8C41"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1088</w:t>
            </w:r>
          </w:p>
        </w:tc>
        <w:tc>
          <w:tcPr>
            <w:tcW w:w="912" w:type="dxa"/>
            <w:tcBorders>
              <w:top w:val="nil"/>
              <w:left w:val="nil"/>
              <w:bottom w:val="nil"/>
              <w:right w:val="single" w:sz="4" w:space="0" w:color="auto"/>
            </w:tcBorders>
            <w:shd w:val="clear" w:color="000000" w:fill="F2DCDB"/>
            <w:noWrap/>
            <w:vAlign w:val="bottom"/>
            <w:hideMark/>
          </w:tcPr>
          <w:p w14:paraId="0C3F8C4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3792</w:t>
            </w:r>
          </w:p>
        </w:tc>
        <w:tc>
          <w:tcPr>
            <w:tcW w:w="813" w:type="dxa"/>
            <w:tcBorders>
              <w:top w:val="nil"/>
              <w:left w:val="nil"/>
              <w:bottom w:val="nil"/>
              <w:right w:val="nil"/>
            </w:tcBorders>
            <w:shd w:val="clear" w:color="auto" w:fill="auto"/>
            <w:noWrap/>
            <w:vAlign w:val="bottom"/>
            <w:hideMark/>
          </w:tcPr>
          <w:p w14:paraId="0C3F8C4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890</w:t>
            </w:r>
          </w:p>
        </w:tc>
        <w:tc>
          <w:tcPr>
            <w:tcW w:w="918" w:type="dxa"/>
            <w:tcBorders>
              <w:top w:val="nil"/>
              <w:left w:val="nil"/>
              <w:bottom w:val="nil"/>
              <w:right w:val="nil"/>
            </w:tcBorders>
            <w:shd w:val="clear" w:color="auto" w:fill="auto"/>
            <w:noWrap/>
            <w:vAlign w:val="bottom"/>
            <w:hideMark/>
          </w:tcPr>
          <w:p w14:paraId="0C3F8C4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55</w:t>
            </w:r>
          </w:p>
        </w:tc>
        <w:tc>
          <w:tcPr>
            <w:tcW w:w="594" w:type="dxa"/>
            <w:tcBorders>
              <w:top w:val="nil"/>
              <w:left w:val="nil"/>
              <w:bottom w:val="nil"/>
              <w:right w:val="nil"/>
            </w:tcBorders>
            <w:shd w:val="clear" w:color="auto" w:fill="auto"/>
            <w:noWrap/>
            <w:vAlign w:val="bottom"/>
            <w:hideMark/>
          </w:tcPr>
          <w:p w14:paraId="0C3F8C4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151</w:t>
            </w:r>
          </w:p>
        </w:tc>
        <w:tc>
          <w:tcPr>
            <w:tcW w:w="1083" w:type="dxa"/>
            <w:tcBorders>
              <w:top w:val="nil"/>
              <w:left w:val="nil"/>
              <w:bottom w:val="nil"/>
              <w:right w:val="nil"/>
            </w:tcBorders>
            <w:shd w:val="clear" w:color="auto" w:fill="auto"/>
            <w:noWrap/>
            <w:vAlign w:val="bottom"/>
            <w:hideMark/>
          </w:tcPr>
          <w:p w14:paraId="0C3F8C4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w:t>
            </w:r>
          </w:p>
        </w:tc>
        <w:tc>
          <w:tcPr>
            <w:tcW w:w="886" w:type="dxa"/>
            <w:tcBorders>
              <w:top w:val="nil"/>
              <w:left w:val="nil"/>
              <w:bottom w:val="nil"/>
              <w:right w:val="nil"/>
            </w:tcBorders>
            <w:shd w:val="clear" w:color="000000" w:fill="F2DCDB"/>
            <w:noWrap/>
            <w:vAlign w:val="bottom"/>
            <w:hideMark/>
          </w:tcPr>
          <w:p w14:paraId="0C3F8C47"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1098</w:t>
            </w:r>
          </w:p>
        </w:tc>
        <w:tc>
          <w:tcPr>
            <w:tcW w:w="886" w:type="dxa"/>
            <w:tcBorders>
              <w:top w:val="nil"/>
              <w:left w:val="nil"/>
              <w:bottom w:val="nil"/>
              <w:right w:val="single" w:sz="4" w:space="0" w:color="auto"/>
            </w:tcBorders>
            <w:shd w:val="clear" w:color="000000" w:fill="F2DCDB"/>
            <w:noWrap/>
            <w:vAlign w:val="bottom"/>
            <w:hideMark/>
          </w:tcPr>
          <w:p w14:paraId="0C3F8C4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3782</w:t>
            </w:r>
          </w:p>
        </w:tc>
      </w:tr>
      <w:tr w:rsidR="00B6457B" w:rsidRPr="00393ABA" w14:paraId="0C3F8C5A" w14:textId="77777777" w:rsidTr="00393ABA">
        <w:trPr>
          <w:trHeight w:val="20"/>
        </w:trPr>
        <w:tc>
          <w:tcPr>
            <w:tcW w:w="1407" w:type="dxa"/>
            <w:vMerge/>
            <w:tcBorders>
              <w:top w:val="nil"/>
              <w:left w:val="single" w:sz="4" w:space="0" w:color="auto"/>
              <w:bottom w:val="nil"/>
              <w:right w:val="nil"/>
            </w:tcBorders>
            <w:vAlign w:val="center"/>
            <w:hideMark/>
          </w:tcPr>
          <w:p w14:paraId="0C3F8C4A"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C4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C4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622" w:type="dxa"/>
            <w:tcBorders>
              <w:top w:val="nil"/>
              <w:left w:val="nil"/>
              <w:bottom w:val="nil"/>
              <w:right w:val="nil"/>
            </w:tcBorders>
            <w:shd w:val="clear" w:color="auto" w:fill="auto"/>
            <w:noWrap/>
            <w:vAlign w:val="bottom"/>
            <w:hideMark/>
          </w:tcPr>
          <w:p w14:paraId="0C3F8C4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12%</w:t>
            </w:r>
          </w:p>
        </w:tc>
        <w:tc>
          <w:tcPr>
            <w:tcW w:w="835" w:type="dxa"/>
            <w:tcBorders>
              <w:top w:val="nil"/>
              <w:left w:val="nil"/>
              <w:bottom w:val="nil"/>
              <w:right w:val="nil"/>
            </w:tcBorders>
            <w:shd w:val="clear" w:color="auto" w:fill="auto"/>
            <w:noWrap/>
            <w:vAlign w:val="bottom"/>
            <w:hideMark/>
          </w:tcPr>
          <w:p w14:paraId="0C3F8C4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803" w:type="dxa"/>
            <w:tcBorders>
              <w:top w:val="nil"/>
              <w:left w:val="nil"/>
              <w:bottom w:val="nil"/>
              <w:right w:val="nil"/>
            </w:tcBorders>
            <w:shd w:val="clear" w:color="auto" w:fill="auto"/>
            <w:noWrap/>
            <w:vAlign w:val="bottom"/>
            <w:hideMark/>
          </w:tcPr>
          <w:p w14:paraId="0C3F8C4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647" w:type="dxa"/>
            <w:tcBorders>
              <w:top w:val="nil"/>
              <w:left w:val="nil"/>
              <w:bottom w:val="nil"/>
              <w:right w:val="nil"/>
            </w:tcBorders>
            <w:shd w:val="clear" w:color="auto" w:fill="auto"/>
            <w:noWrap/>
            <w:vAlign w:val="bottom"/>
            <w:hideMark/>
          </w:tcPr>
          <w:p w14:paraId="0C3F8C5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815" w:type="dxa"/>
            <w:tcBorders>
              <w:top w:val="nil"/>
              <w:left w:val="nil"/>
              <w:bottom w:val="nil"/>
              <w:right w:val="nil"/>
            </w:tcBorders>
            <w:shd w:val="clear" w:color="auto" w:fill="auto"/>
            <w:noWrap/>
            <w:vAlign w:val="bottom"/>
            <w:hideMark/>
          </w:tcPr>
          <w:p w14:paraId="0C3F8C5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12" w:type="dxa"/>
            <w:tcBorders>
              <w:top w:val="nil"/>
              <w:left w:val="nil"/>
              <w:bottom w:val="nil"/>
              <w:right w:val="nil"/>
            </w:tcBorders>
            <w:shd w:val="clear" w:color="000000" w:fill="F2DCDB"/>
            <w:noWrap/>
            <w:vAlign w:val="bottom"/>
            <w:hideMark/>
          </w:tcPr>
          <w:p w14:paraId="0C3F8C5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22%</w:t>
            </w:r>
          </w:p>
        </w:tc>
        <w:tc>
          <w:tcPr>
            <w:tcW w:w="912" w:type="dxa"/>
            <w:tcBorders>
              <w:top w:val="nil"/>
              <w:left w:val="nil"/>
              <w:bottom w:val="nil"/>
              <w:right w:val="nil"/>
            </w:tcBorders>
            <w:shd w:val="clear" w:color="000000" w:fill="F2DCDB"/>
            <w:noWrap/>
            <w:vAlign w:val="bottom"/>
            <w:hideMark/>
          </w:tcPr>
          <w:p w14:paraId="0C3F8C5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78%</w:t>
            </w:r>
          </w:p>
        </w:tc>
        <w:tc>
          <w:tcPr>
            <w:tcW w:w="813" w:type="dxa"/>
            <w:tcBorders>
              <w:top w:val="nil"/>
              <w:left w:val="single" w:sz="4" w:space="0" w:color="auto"/>
              <w:bottom w:val="nil"/>
              <w:right w:val="nil"/>
            </w:tcBorders>
            <w:shd w:val="clear" w:color="auto" w:fill="auto"/>
            <w:noWrap/>
            <w:vAlign w:val="bottom"/>
            <w:hideMark/>
          </w:tcPr>
          <w:p w14:paraId="0C3F8C5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18%</w:t>
            </w:r>
          </w:p>
        </w:tc>
        <w:tc>
          <w:tcPr>
            <w:tcW w:w="918" w:type="dxa"/>
            <w:tcBorders>
              <w:top w:val="nil"/>
              <w:left w:val="nil"/>
              <w:bottom w:val="nil"/>
              <w:right w:val="nil"/>
            </w:tcBorders>
            <w:shd w:val="clear" w:color="auto" w:fill="auto"/>
            <w:noWrap/>
            <w:vAlign w:val="bottom"/>
            <w:hideMark/>
          </w:tcPr>
          <w:p w14:paraId="0C3F8C5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594" w:type="dxa"/>
            <w:tcBorders>
              <w:top w:val="nil"/>
              <w:left w:val="nil"/>
              <w:bottom w:val="nil"/>
              <w:right w:val="nil"/>
            </w:tcBorders>
            <w:shd w:val="clear" w:color="auto" w:fill="auto"/>
            <w:noWrap/>
            <w:vAlign w:val="bottom"/>
            <w:hideMark/>
          </w:tcPr>
          <w:p w14:paraId="0C3F8C5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1083" w:type="dxa"/>
            <w:tcBorders>
              <w:top w:val="nil"/>
              <w:left w:val="nil"/>
              <w:bottom w:val="nil"/>
              <w:right w:val="nil"/>
            </w:tcBorders>
            <w:shd w:val="clear" w:color="auto" w:fill="auto"/>
            <w:noWrap/>
            <w:vAlign w:val="bottom"/>
            <w:hideMark/>
          </w:tcPr>
          <w:p w14:paraId="0C3F8C5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86" w:type="dxa"/>
            <w:tcBorders>
              <w:top w:val="nil"/>
              <w:left w:val="nil"/>
              <w:bottom w:val="nil"/>
              <w:right w:val="nil"/>
            </w:tcBorders>
            <w:shd w:val="clear" w:color="000000" w:fill="F2DCDB"/>
            <w:noWrap/>
            <w:vAlign w:val="bottom"/>
            <w:hideMark/>
          </w:tcPr>
          <w:p w14:paraId="0C3F8C5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23%</w:t>
            </w:r>
          </w:p>
        </w:tc>
        <w:tc>
          <w:tcPr>
            <w:tcW w:w="886" w:type="dxa"/>
            <w:tcBorders>
              <w:top w:val="nil"/>
              <w:left w:val="nil"/>
              <w:bottom w:val="nil"/>
              <w:right w:val="single" w:sz="4" w:space="0" w:color="auto"/>
            </w:tcBorders>
            <w:shd w:val="clear" w:color="000000" w:fill="F2DCDB"/>
            <w:noWrap/>
            <w:vAlign w:val="bottom"/>
            <w:hideMark/>
          </w:tcPr>
          <w:p w14:paraId="0C3F8C5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77%</w:t>
            </w:r>
          </w:p>
        </w:tc>
      </w:tr>
      <w:tr w:rsidR="00B6457B" w:rsidRPr="00393ABA" w14:paraId="0C3F8C6B" w14:textId="77777777" w:rsidTr="00393ABA">
        <w:trPr>
          <w:trHeight w:val="20"/>
        </w:trPr>
        <w:tc>
          <w:tcPr>
            <w:tcW w:w="140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3F8C5B"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Burnett-Mary</w:t>
            </w:r>
          </w:p>
        </w:tc>
        <w:tc>
          <w:tcPr>
            <w:tcW w:w="1120" w:type="dxa"/>
            <w:tcBorders>
              <w:top w:val="nil"/>
              <w:left w:val="nil"/>
              <w:bottom w:val="nil"/>
              <w:right w:val="single" w:sz="4" w:space="0" w:color="auto"/>
            </w:tcBorders>
            <w:shd w:val="clear" w:color="000000" w:fill="F2F2F2"/>
            <w:noWrap/>
            <w:vAlign w:val="center"/>
            <w:hideMark/>
          </w:tcPr>
          <w:p w14:paraId="0C3F8C5C"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C5D"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284</w:t>
            </w:r>
          </w:p>
        </w:tc>
        <w:tc>
          <w:tcPr>
            <w:tcW w:w="622" w:type="dxa"/>
            <w:tcBorders>
              <w:top w:val="nil"/>
              <w:left w:val="nil"/>
              <w:bottom w:val="nil"/>
              <w:right w:val="nil"/>
            </w:tcBorders>
            <w:shd w:val="clear" w:color="auto" w:fill="auto"/>
            <w:noWrap/>
            <w:vAlign w:val="bottom"/>
            <w:hideMark/>
          </w:tcPr>
          <w:p w14:paraId="0C3F8C5E"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276</w:t>
            </w:r>
          </w:p>
        </w:tc>
        <w:tc>
          <w:tcPr>
            <w:tcW w:w="835" w:type="dxa"/>
            <w:tcBorders>
              <w:top w:val="nil"/>
              <w:left w:val="nil"/>
              <w:bottom w:val="nil"/>
              <w:right w:val="nil"/>
            </w:tcBorders>
            <w:shd w:val="clear" w:color="auto" w:fill="auto"/>
            <w:noWrap/>
            <w:vAlign w:val="bottom"/>
            <w:hideMark/>
          </w:tcPr>
          <w:p w14:paraId="0C3F8C5F"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3</w:t>
            </w:r>
          </w:p>
        </w:tc>
        <w:tc>
          <w:tcPr>
            <w:tcW w:w="803" w:type="dxa"/>
            <w:tcBorders>
              <w:top w:val="nil"/>
              <w:left w:val="nil"/>
              <w:bottom w:val="nil"/>
              <w:right w:val="nil"/>
            </w:tcBorders>
            <w:shd w:val="clear" w:color="auto" w:fill="auto"/>
            <w:noWrap/>
            <w:vAlign w:val="bottom"/>
            <w:hideMark/>
          </w:tcPr>
          <w:p w14:paraId="0C3F8C60"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0</w:t>
            </w:r>
          </w:p>
        </w:tc>
        <w:tc>
          <w:tcPr>
            <w:tcW w:w="647" w:type="dxa"/>
            <w:tcBorders>
              <w:top w:val="nil"/>
              <w:left w:val="nil"/>
              <w:bottom w:val="nil"/>
              <w:right w:val="nil"/>
            </w:tcBorders>
            <w:shd w:val="clear" w:color="auto" w:fill="auto"/>
            <w:noWrap/>
            <w:vAlign w:val="bottom"/>
            <w:hideMark/>
          </w:tcPr>
          <w:p w14:paraId="0C3F8C61"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0</w:t>
            </w:r>
          </w:p>
        </w:tc>
        <w:tc>
          <w:tcPr>
            <w:tcW w:w="815" w:type="dxa"/>
            <w:tcBorders>
              <w:top w:val="nil"/>
              <w:left w:val="nil"/>
              <w:bottom w:val="nil"/>
              <w:right w:val="nil"/>
            </w:tcBorders>
            <w:shd w:val="clear" w:color="auto" w:fill="auto"/>
            <w:noWrap/>
            <w:vAlign w:val="bottom"/>
            <w:hideMark/>
          </w:tcPr>
          <w:p w14:paraId="0C3F8C62"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4</w:t>
            </w:r>
          </w:p>
        </w:tc>
        <w:tc>
          <w:tcPr>
            <w:tcW w:w="912" w:type="dxa"/>
            <w:tcBorders>
              <w:top w:val="nil"/>
              <w:left w:val="nil"/>
              <w:bottom w:val="nil"/>
              <w:right w:val="nil"/>
            </w:tcBorders>
            <w:shd w:val="clear" w:color="000000" w:fill="F2DCDB"/>
            <w:noWrap/>
            <w:vAlign w:val="bottom"/>
            <w:hideMark/>
          </w:tcPr>
          <w:p w14:paraId="0C3F8C6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283</w:t>
            </w:r>
          </w:p>
        </w:tc>
        <w:tc>
          <w:tcPr>
            <w:tcW w:w="912" w:type="dxa"/>
            <w:tcBorders>
              <w:top w:val="nil"/>
              <w:left w:val="nil"/>
              <w:bottom w:val="nil"/>
              <w:right w:val="single" w:sz="4" w:space="0" w:color="auto"/>
            </w:tcBorders>
            <w:shd w:val="clear" w:color="000000" w:fill="F2DCDB"/>
            <w:noWrap/>
            <w:vAlign w:val="bottom"/>
            <w:hideMark/>
          </w:tcPr>
          <w:p w14:paraId="0C3F8C6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0.3</w:t>
            </w:r>
          </w:p>
        </w:tc>
        <w:tc>
          <w:tcPr>
            <w:tcW w:w="813" w:type="dxa"/>
            <w:tcBorders>
              <w:top w:val="nil"/>
              <w:left w:val="nil"/>
              <w:bottom w:val="nil"/>
              <w:right w:val="nil"/>
            </w:tcBorders>
            <w:shd w:val="clear" w:color="auto" w:fill="auto"/>
            <w:noWrap/>
            <w:vAlign w:val="bottom"/>
            <w:hideMark/>
          </w:tcPr>
          <w:p w14:paraId="0C3F8C65"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278</w:t>
            </w:r>
          </w:p>
        </w:tc>
        <w:tc>
          <w:tcPr>
            <w:tcW w:w="918" w:type="dxa"/>
            <w:tcBorders>
              <w:top w:val="nil"/>
              <w:left w:val="nil"/>
              <w:bottom w:val="nil"/>
              <w:right w:val="nil"/>
            </w:tcBorders>
            <w:shd w:val="clear" w:color="auto" w:fill="auto"/>
            <w:noWrap/>
            <w:vAlign w:val="bottom"/>
            <w:hideMark/>
          </w:tcPr>
          <w:p w14:paraId="0C3F8C66"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5</w:t>
            </w:r>
          </w:p>
        </w:tc>
        <w:tc>
          <w:tcPr>
            <w:tcW w:w="594" w:type="dxa"/>
            <w:tcBorders>
              <w:top w:val="nil"/>
              <w:left w:val="nil"/>
              <w:bottom w:val="nil"/>
              <w:right w:val="nil"/>
            </w:tcBorders>
            <w:shd w:val="clear" w:color="auto" w:fill="auto"/>
            <w:noWrap/>
            <w:vAlign w:val="bottom"/>
            <w:hideMark/>
          </w:tcPr>
          <w:p w14:paraId="0C3F8C67"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1</w:t>
            </w:r>
          </w:p>
        </w:tc>
        <w:tc>
          <w:tcPr>
            <w:tcW w:w="1083" w:type="dxa"/>
            <w:tcBorders>
              <w:top w:val="nil"/>
              <w:left w:val="nil"/>
              <w:bottom w:val="nil"/>
              <w:right w:val="nil"/>
            </w:tcBorders>
            <w:shd w:val="clear" w:color="auto" w:fill="auto"/>
            <w:noWrap/>
            <w:vAlign w:val="bottom"/>
            <w:hideMark/>
          </w:tcPr>
          <w:p w14:paraId="0C3F8C68" w14:textId="77777777" w:rsidR="00B6457B" w:rsidRPr="00393ABA" w:rsidRDefault="00B6457B" w:rsidP="00393ABA">
            <w:pPr>
              <w:spacing w:after="120"/>
              <w:jc w:val="center"/>
              <w:rPr>
                <w:rFonts w:ascii="Calibri" w:hAnsi="Calibri" w:cs="Calibri"/>
                <w:sz w:val="20"/>
                <w:szCs w:val="20"/>
              </w:rPr>
            </w:pPr>
            <w:r w:rsidRPr="00393ABA">
              <w:rPr>
                <w:rFonts w:ascii="Calibri" w:hAnsi="Calibri" w:cs="Calibri"/>
                <w:sz w:val="20"/>
                <w:szCs w:val="20"/>
              </w:rPr>
              <w:t>0</w:t>
            </w:r>
          </w:p>
        </w:tc>
        <w:tc>
          <w:tcPr>
            <w:tcW w:w="886" w:type="dxa"/>
            <w:tcBorders>
              <w:top w:val="nil"/>
              <w:left w:val="nil"/>
              <w:bottom w:val="nil"/>
              <w:right w:val="nil"/>
            </w:tcBorders>
            <w:shd w:val="clear" w:color="000000" w:fill="F2DCDB"/>
            <w:noWrap/>
            <w:vAlign w:val="bottom"/>
            <w:hideMark/>
          </w:tcPr>
          <w:p w14:paraId="0C3F8C69"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283</w:t>
            </w:r>
          </w:p>
        </w:tc>
        <w:tc>
          <w:tcPr>
            <w:tcW w:w="886" w:type="dxa"/>
            <w:tcBorders>
              <w:top w:val="nil"/>
              <w:left w:val="nil"/>
              <w:bottom w:val="nil"/>
              <w:right w:val="single" w:sz="4" w:space="0" w:color="auto"/>
            </w:tcBorders>
            <w:shd w:val="clear" w:color="000000" w:fill="F2DCDB"/>
            <w:noWrap/>
            <w:vAlign w:val="bottom"/>
            <w:hideMark/>
          </w:tcPr>
          <w:p w14:paraId="0C3F8C6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0.3</w:t>
            </w:r>
          </w:p>
        </w:tc>
      </w:tr>
      <w:tr w:rsidR="00B6457B" w:rsidRPr="00393ABA" w14:paraId="0C3F8C7C" w14:textId="77777777" w:rsidTr="00393ABA">
        <w:trPr>
          <w:trHeight w:val="20"/>
        </w:trPr>
        <w:tc>
          <w:tcPr>
            <w:tcW w:w="1407" w:type="dxa"/>
            <w:vMerge/>
            <w:tcBorders>
              <w:top w:val="nil"/>
              <w:left w:val="single" w:sz="4" w:space="0" w:color="auto"/>
              <w:bottom w:val="single" w:sz="4" w:space="0" w:color="000000"/>
              <w:right w:val="single" w:sz="4" w:space="0" w:color="auto"/>
            </w:tcBorders>
            <w:vAlign w:val="center"/>
            <w:hideMark/>
          </w:tcPr>
          <w:p w14:paraId="0C3F8C6C" w14:textId="77777777" w:rsidR="00B6457B" w:rsidRPr="00393ABA" w:rsidRDefault="00B6457B" w:rsidP="00393ABA">
            <w:pPr>
              <w:spacing w:after="120"/>
              <w:jc w:val="left"/>
              <w:rPr>
                <w:rFonts w:ascii="Calibri" w:hAnsi="Calibri" w:cs="Calibri"/>
                <w:b/>
                <w:bCs/>
                <w:sz w:val="20"/>
                <w:szCs w:val="20"/>
              </w:rPr>
            </w:pPr>
          </w:p>
        </w:tc>
        <w:tc>
          <w:tcPr>
            <w:tcW w:w="1120" w:type="dxa"/>
            <w:tcBorders>
              <w:top w:val="nil"/>
              <w:left w:val="nil"/>
              <w:bottom w:val="single" w:sz="4" w:space="0" w:color="auto"/>
              <w:right w:val="single" w:sz="4" w:space="0" w:color="auto"/>
            </w:tcBorders>
            <w:shd w:val="clear" w:color="000000" w:fill="F2F2F2"/>
            <w:noWrap/>
            <w:vAlign w:val="center"/>
            <w:hideMark/>
          </w:tcPr>
          <w:p w14:paraId="0C3F8C6D"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w:t>
            </w:r>
          </w:p>
        </w:tc>
        <w:tc>
          <w:tcPr>
            <w:tcW w:w="820" w:type="dxa"/>
            <w:tcBorders>
              <w:top w:val="nil"/>
              <w:left w:val="nil"/>
              <w:bottom w:val="single" w:sz="4" w:space="0" w:color="auto"/>
              <w:right w:val="single" w:sz="4" w:space="0" w:color="auto"/>
            </w:tcBorders>
            <w:shd w:val="clear" w:color="000000" w:fill="F2F2F2"/>
            <w:noWrap/>
            <w:vAlign w:val="bottom"/>
            <w:hideMark/>
          </w:tcPr>
          <w:p w14:paraId="0C3F8C6E"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100%</w:t>
            </w:r>
          </w:p>
        </w:tc>
        <w:tc>
          <w:tcPr>
            <w:tcW w:w="622" w:type="dxa"/>
            <w:tcBorders>
              <w:top w:val="nil"/>
              <w:left w:val="nil"/>
              <w:bottom w:val="single" w:sz="4" w:space="0" w:color="auto"/>
              <w:right w:val="nil"/>
            </w:tcBorders>
            <w:shd w:val="clear" w:color="auto" w:fill="auto"/>
            <w:noWrap/>
            <w:vAlign w:val="bottom"/>
            <w:hideMark/>
          </w:tcPr>
          <w:p w14:paraId="0C3F8C6F"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97%</w:t>
            </w:r>
          </w:p>
        </w:tc>
        <w:tc>
          <w:tcPr>
            <w:tcW w:w="835" w:type="dxa"/>
            <w:tcBorders>
              <w:top w:val="nil"/>
              <w:left w:val="nil"/>
              <w:bottom w:val="single" w:sz="4" w:space="0" w:color="auto"/>
              <w:right w:val="nil"/>
            </w:tcBorders>
            <w:shd w:val="clear" w:color="auto" w:fill="auto"/>
            <w:noWrap/>
            <w:vAlign w:val="bottom"/>
            <w:hideMark/>
          </w:tcPr>
          <w:p w14:paraId="0C3F8C70"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1%</w:t>
            </w:r>
          </w:p>
        </w:tc>
        <w:tc>
          <w:tcPr>
            <w:tcW w:w="803" w:type="dxa"/>
            <w:tcBorders>
              <w:top w:val="nil"/>
              <w:left w:val="nil"/>
              <w:bottom w:val="single" w:sz="4" w:space="0" w:color="auto"/>
              <w:right w:val="nil"/>
            </w:tcBorders>
            <w:shd w:val="clear" w:color="auto" w:fill="auto"/>
            <w:noWrap/>
            <w:vAlign w:val="bottom"/>
            <w:hideMark/>
          </w:tcPr>
          <w:p w14:paraId="0C3F8C71"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0%</w:t>
            </w:r>
          </w:p>
        </w:tc>
        <w:tc>
          <w:tcPr>
            <w:tcW w:w="647" w:type="dxa"/>
            <w:tcBorders>
              <w:top w:val="nil"/>
              <w:left w:val="nil"/>
              <w:bottom w:val="single" w:sz="4" w:space="0" w:color="auto"/>
              <w:right w:val="nil"/>
            </w:tcBorders>
            <w:shd w:val="clear" w:color="auto" w:fill="auto"/>
            <w:noWrap/>
            <w:vAlign w:val="bottom"/>
            <w:hideMark/>
          </w:tcPr>
          <w:p w14:paraId="0C3F8C72"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0%</w:t>
            </w:r>
          </w:p>
        </w:tc>
        <w:tc>
          <w:tcPr>
            <w:tcW w:w="815" w:type="dxa"/>
            <w:tcBorders>
              <w:top w:val="nil"/>
              <w:left w:val="nil"/>
              <w:bottom w:val="single" w:sz="4" w:space="0" w:color="auto"/>
              <w:right w:val="nil"/>
            </w:tcBorders>
            <w:shd w:val="clear" w:color="auto" w:fill="auto"/>
            <w:noWrap/>
            <w:vAlign w:val="bottom"/>
            <w:hideMark/>
          </w:tcPr>
          <w:p w14:paraId="0C3F8C73"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2%</w:t>
            </w:r>
          </w:p>
        </w:tc>
        <w:tc>
          <w:tcPr>
            <w:tcW w:w="912" w:type="dxa"/>
            <w:tcBorders>
              <w:top w:val="nil"/>
              <w:left w:val="nil"/>
              <w:bottom w:val="single" w:sz="4" w:space="0" w:color="auto"/>
              <w:right w:val="nil"/>
            </w:tcBorders>
            <w:shd w:val="clear" w:color="000000" w:fill="F2DCDB"/>
            <w:noWrap/>
            <w:vAlign w:val="bottom"/>
            <w:hideMark/>
          </w:tcPr>
          <w:p w14:paraId="0C3F8C7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99.9%</w:t>
            </w:r>
          </w:p>
        </w:tc>
        <w:tc>
          <w:tcPr>
            <w:tcW w:w="912" w:type="dxa"/>
            <w:tcBorders>
              <w:top w:val="nil"/>
              <w:left w:val="nil"/>
              <w:bottom w:val="single" w:sz="4" w:space="0" w:color="auto"/>
              <w:right w:val="nil"/>
            </w:tcBorders>
            <w:shd w:val="clear" w:color="000000" w:fill="F2DCDB"/>
            <w:noWrap/>
            <w:vAlign w:val="bottom"/>
            <w:hideMark/>
          </w:tcPr>
          <w:p w14:paraId="0C3F8C7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0.1%</w:t>
            </w:r>
          </w:p>
        </w:tc>
        <w:tc>
          <w:tcPr>
            <w:tcW w:w="813" w:type="dxa"/>
            <w:tcBorders>
              <w:top w:val="nil"/>
              <w:left w:val="single" w:sz="4" w:space="0" w:color="auto"/>
              <w:bottom w:val="single" w:sz="4" w:space="0" w:color="auto"/>
              <w:right w:val="nil"/>
            </w:tcBorders>
            <w:shd w:val="clear" w:color="auto" w:fill="auto"/>
            <w:noWrap/>
            <w:vAlign w:val="bottom"/>
            <w:hideMark/>
          </w:tcPr>
          <w:p w14:paraId="0C3F8C76"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98%</w:t>
            </w:r>
          </w:p>
        </w:tc>
        <w:tc>
          <w:tcPr>
            <w:tcW w:w="918" w:type="dxa"/>
            <w:tcBorders>
              <w:top w:val="nil"/>
              <w:left w:val="nil"/>
              <w:bottom w:val="single" w:sz="4" w:space="0" w:color="auto"/>
              <w:right w:val="nil"/>
            </w:tcBorders>
            <w:shd w:val="clear" w:color="auto" w:fill="auto"/>
            <w:noWrap/>
            <w:vAlign w:val="bottom"/>
            <w:hideMark/>
          </w:tcPr>
          <w:p w14:paraId="0C3F8C77"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2%</w:t>
            </w:r>
          </w:p>
        </w:tc>
        <w:tc>
          <w:tcPr>
            <w:tcW w:w="594" w:type="dxa"/>
            <w:tcBorders>
              <w:top w:val="nil"/>
              <w:left w:val="nil"/>
              <w:bottom w:val="single" w:sz="4" w:space="0" w:color="auto"/>
              <w:right w:val="nil"/>
            </w:tcBorders>
            <w:shd w:val="clear" w:color="auto" w:fill="auto"/>
            <w:noWrap/>
            <w:vAlign w:val="bottom"/>
            <w:hideMark/>
          </w:tcPr>
          <w:p w14:paraId="0C3F8C78"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0%</w:t>
            </w:r>
          </w:p>
        </w:tc>
        <w:tc>
          <w:tcPr>
            <w:tcW w:w="1083" w:type="dxa"/>
            <w:tcBorders>
              <w:top w:val="nil"/>
              <w:left w:val="nil"/>
              <w:bottom w:val="single" w:sz="4" w:space="0" w:color="auto"/>
              <w:right w:val="nil"/>
            </w:tcBorders>
            <w:shd w:val="clear" w:color="auto" w:fill="auto"/>
            <w:noWrap/>
            <w:vAlign w:val="bottom"/>
            <w:hideMark/>
          </w:tcPr>
          <w:p w14:paraId="0C3F8C79" w14:textId="77777777" w:rsidR="00B6457B" w:rsidRPr="00393ABA" w:rsidRDefault="00B6457B" w:rsidP="00393ABA">
            <w:pPr>
              <w:spacing w:after="120"/>
              <w:jc w:val="center"/>
              <w:rPr>
                <w:rFonts w:ascii="Calibri" w:hAnsi="Calibri" w:cs="Calibri"/>
                <w:i/>
                <w:iCs/>
                <w:sz w:val="20"/>
                <w:szCs w:val="20"/>
              </w:rPr>
            </w:pPr>
            <w:r w:rsidRPr="00393ABA">
              <w:rPr>
                <w:rFonts w:ascii="Calibri" w:hAnsi="Calibri" w:cs="Calibri"/>
                <w:i/>
                <w:iCs/>
                <w:sz w:val="20"/>
                <w:szCs w:val="20"/>
              </w:rPr>
              <w:t>0%</w:t>
            </w:r>
          </w:p>
        </w:tc>
        <w:tc>
          <w:tcPr>
            <w:tcW w:w="886" w:type="dxa"/>
            <w:tcBorders>
              <w:top w:val="nil"/>
              <w:left w:val="nil"/>
              <w:bottom w:val="single" w:sz="4" w:space="0" w:color="auto"/>
              <w:right w:val="nil"/>
            </w:tcBorders>
            <w:shd w:val="clear" w:color="000000" w:fill="F2DCDB"/>
            <w:noWrap/>
            <w:vAlign w:val="bottom"/>
            <w:hideMark/>
          </w:tcPr>
          <w:p w14:paraId="0C3F8C7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99.9%</w:t>
            </w:r>
          </w:p>
        </w:tc>
        <w:tc>
          <w:tcPr>
            <w:tcW w:w="886" w:type="dxa"/>
            <w:tcBorders>
              <w:top w:val="nil"/>
              <w:left w:val="nil"/>
              <w:bottom w:val="single" w:sz="4" w:space="0" w:color="auto"/>
              <w:right w:val="single" w:sz="4" w:space="0" w:color="auto"/>
            </w:tcBorders>
            <w:shd w:val="clear" w:color="000000" w:fill="F2DCDB"/>
            <w:noWrap/>
            <w:vAlign w:val="bottom"/>
            <w:hideMark/>
          </w:tcPr>
          <w:p w14:paraId="0C3F8C7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0.1%</w:t>
            </w:r>
          </w:p>
        </w:tc>
      </w:tr>
    </w:tbl>
    <w:p w14:paraId="0C3F8C7D" w14:textId="77777777" w:rsidR="00B6457B" w:rsidRPr="00122A3D" w:rsidRDefault="00B6457B" w:rsidP="00B6457B">
      <w:pPr>
        <w:keepNext/>
        <w:spacing w:after="120"/>
        <w:jc w:val="left"/>
        <w:rPr>
          <w:rFonts w:ascii="Calibri" w:eastAsia="Calibri" w:hAnsi="Calibri" w:cs="Times New Roman"/>
          <w:bCs/>
          <w:lang w:eastAsia="en-US"/>
        </w:rPr>
      </w:pPr>
      <w:r w:rsidRPr="00122A3D">
        <w:rPr>
          <w:rFonts w:ascii="Calibri" w:eastAsia="Calibri" w:hAnsi="Calibri" w:cs="Times New Roman"/>
          <w:bCs/>
          <w:lang w:eastAsia="en-US"/>
        </w:rPr>
        <w:t>Table A-</w:t>
      </w:r>
      <w:r>
        <w:rPr>
          <w:rFonts w:ascii="Calibri" w:eastAsia="Calibri" w:hAnsi="Calibri" w:cs="Times New Roman"/>
          <w:bCs/>
          <w:lang w:eastAsia="en-US"/>
        </w:rPr>
        <w:t>4</w:t>
      </w:r>
      <w:r w:rsidRPr="00122A3D">
        <w:rPr>
          <w:rFonts w:ascii="Calibri" w:eastAsia="Calibri" w:hAnsi="Calibri" w:cs="Times New Roman"/>
          <w:bCs/>
          <w:lang w:eastAsia="en-US"/>
        </w:rPr>
        <w:t>: Areas (km</w:t>
      </w:r>
      <w:r w:rsidRPr="00122A3D">
        <w:rPr>
          <w:rFonts w:ascii="Calibri" w:eastAsia="Calibri" w:hAnsi="Calibri" w:cs="Times New Roman"/>
          <w:bCs/>
          <w:vertAlign w:val="superscript"/>
          <w:lang w:eastAsia="en-US"/>
        </w:rPr>
        <w:t>2</w:t>
      </w:r>
      <w:r w:rsidRPr="00122A3D">
        <w:rPr>
          <w:rFonts w:ascii="Calibri" w:eastAsia="Calibri" w:hAnsi="Calibri" w:cs="Times New Roman"/>
          <w:bCs/>
          <w:lang w:eastAsia="en-US"/>
        </w:rPr>
        <w:t xml:space="preserve">) and percentage (%) of seagrass beds exposed (‘exp.’) to river plumes and </w:t>
      </w:r>
      <w:r>
        <w:rPr>
          <w:rFonts w:ascii="Calibri" w:eastAsia="Calibri" w:hAnsi="Calibri" w:cs="Times New Roman"/>
          <w:bCs/>
          <w:lang w:eastAsia="en-US"/>
        </w:rPr>
        <w:t xml:space="preserve">potential </w:t>
      </w:r>
      <w:r w:rsidRPr="00122A3D">
        <w:rPr>
          <w:rFonts w:ascii="Calibri" w:eastAsia="Calibri" w:hAnsi="Calibri" w:cs="Times New Roman"/>
          <w:bCs/>
          <w:lang w:eastAsia="en-US"/>
        </w:rPr>
        <w:t>river plume</w:t>
      </w:r>
      <w:r>
        <w:rPr>
          <w:rFonts w:ascii="Calibri" w:eastAsia="Calibri" w:hAnsi="Calibri" w:cs="Times New Roman"/>
          <w:bCs/>
          <w:lang w:eastAsia="en-US"/>
        </w:rPr>
        <w:t xml:space="preserve"> risk</w:t>
      </w:r>
      <w:r w:rsidRPr="00122A3D">
        <w:rPr>
          <w:rFonts w:ascii="Calibri" w:eastAsia="Calibri" w:hAnsi="Calibri" w:cs="Times New Roman"/>
          <w:bCs/>
          <w:lang w:eastAsia="en-US"/>
        </w:rPr>
        <w:t xml:space="preserve"> within the GBR and each NRM: a) surveyed seagrass beds, b) deep seagrass beds and c) total (surveyed + deep) seagrass beds</w:t>
      </w:r>
    </w:p>
    <w:tbl>
      <w:tblPr>
        <w:tblW w:w="14025" w:type="dxa"/>
        <w:tblInd w:w="93" w:type="dxa"/>
        <w:tblLook w:val="04A0" w:firstRow="1" w:lastRow="0" w:firstColumn="1" w:lastColumn="0" w:noHBand="0" w:noVBand="1"/>
      </w:tblPr>
      <w:tblGrid>
        <w:gridCol w:w="1407"/>
        <w:gridCol w:w="1120"/>
        <w:gridCol w:w="820"/>
        <w:gridCol w:w="735"/>
        <w:gridCol w:w="804"/>
        <w:gridCol w:w="774"/>
        <w:gridCol w:w="641"/>
        <w:gridCol w:w="785"/>
        <w:gridCol w:w="912"/>
        <w:gridCol w:w="912"/>
        <w:gridCol w:w="723"/>
        <w:gridCol w:w="918"/>
        <w:gridCol w:w="622"/>
        <w:gridCol w:w="1028"/>
        <w:gridCol w:w="912"/>
        <w:gridCol w:w="912"/>
      </w:tblGrid>
      <w:tr w:rsidR="00B6457B" w:rsidRPr="00393ABA" w14:paraId="0C3F8C87" w14:textId="77777777" w:rsidTr="00393ABA">
        <w:trPr>
          <w:trHeight w:val="300"/>
        </w:trPr>
        <w:tc>
          <w:tcPr>
            <w:tcW w:w="1407" w:type="dxa"/>
            <w:tcBorders>
              <w:top w:val="nil"/>
              <w:left w:val="nil"/>
              <w:bottom w:val="nil"/>
              <w:right w:val="nil"/>
            </w:tcBorders>
            <w:shd w:val="clear" w:color="auto" w:fill="auto"/>
            <w:noWrap/>
            <w:vAlign w:val="bottom"/>
            <w:hideMark/>
          </w:tcPr>
          <w:p w14:paraId="0C3F8C7E" w14:textId="77777777" w:rsidR="00B6457B" w:rsidRPr="00393ABA" w:rsidRDefault="00B6457B" w:rsidP="00393ABA">
            <w:pPr>
              <w:spacing w:after="120"/>
              <w:jc w:val="center"/>
              <w:rPr>
                <w:rFonts w:ascii="Calibri" w:hAnsi="Calibri" w:cs="Calibri"/>
                <w:color w:val="000000"/>
                <w:sz w:val="20"/>
                <w:szCs w:val="20"/>
              </w:rPr>
            </w:pPr>
          </w:p>
        </w:tc>
        <w:tc>
          <w:tcPr>
            <w:tcW w:w="1120" w:type="dxa"/>
            <w:tcBorders>
              <w:top w:val="nil"/>
              <w:left w:val="nil"/>
              <w:bottom w:val="nil"/>
              <w:right w:val="nil"/>
            </w:tcBorders>
            <w:shd w:val="clear" w:color="auto" w:fill="auto"/>
            <w:noWrap/>
            <w:vAlign w:val="bottom"/>
            <w:hideMark/>
          </w:tcPr>
          <w:p w14:paraId="0C3F8C7F" w14:textId="77777777" w:rsidR="00B6457B" w:rsidRPr="00393ABA" w:rsidRDefault="00B6457B" w:rsidP="00393ABA">
            <w:pPr>
              <w:spacing w:after="120"/>
              <w:jc w:val="center"/>
              <w:rPr>
                <w:rFonts w:ascii="Calibri" w:hAnsi="Calibri" w:cs="Calibri"/>
                <w:color w:val="000000"/>
                <w:sz w:val="20"/>
                <w:szCs w:val="20"/>
              </w:rPr>
            </w:pPr>
          </w:p>
        </w:tc>
        <w:tc>
          <w:tcPr>
            <w:tcW w:w="820" w:type="dxa"/>
            <w:tcBorders>
              <w:top w:val="nil"/>
              <w:left w:val="nil"/>
              <w:bottom w:val="nil"/>
              <w:right w:val="nil"/>
            </w:tcBorders>
            <w:shd w:val="clear" w:color="auto" w:fill="auto"/>
            <w:noWrap/>
            <w:vAlign w:val="bottom"/>
            <w:hideMark/>
          </w:tcPr>
          <w:p w14:paraId="0C3F8C80" w14:textId="77777777" w:rsidR="00B6457B" w:rsidRPr="00393ABA" w:rsidRDefault="00B6457B" w:rsidP="00393ABA">
            <w:pPr>
              <w:spacing w:after="120"/>
              <w:jc w:val="center"/>
              <w:rPr>
                <w:rFonts w:ascii="Calibri" w:hAnsi="Calibri" w:cs="Calibri"/>
                <w:color w:val="000000"/>
                <w:sz w:val="20"/>
                <w:szCs w:val="20"/>
              </w:rPr>
            </w:pPr>
          </w:p>
        </w:tc>
        <w:tc>
          <w:tcPr>
            <w:tcW w:w="3739" w:type="dxa"/>
            <w:gridSpan w:val="5"/>
            <w:tcBorders>
              <w:top w:val="single" w:sz="4" w:space="0" w:color="auto"/>
              <w:left w:val="single" w:sz="4" w:space="0" w:color="auto"/>
              <w:bottom w:val="single" w:sz="4" w:space="0" w:color="auto"/>
              <w:right w:val="nil"/>
            </w:tcBorders>
            <w:shd w:val="clear" w:color="000000" w:fill="F2F2F2"/>
            <w:noWrap/>
            <w:vAlign w:val="bottom"/>
            <w:hideMark/>
          </w:tcPr>
          <w:p w14:paraId="0C3F8C8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River plume frequency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C82"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C8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c>
          <w:tcPr>
            <w:tcW w:w="3291" w:type="dxa"/>
            <w:gridSpan w:val="4"/>
            <w:tcBorders>
              <w:top w:val="single" w:sz="4" w:space="0" w:color="auto"/>
              <w:left w:val="nil"/>
              <w:bottom w:val="single" w:sz="4" w:space="0" w:color="auto"/>
              <w:right w:val="nil"/>
            </w:tcBorders>
            <w:shd w:val="clear" w:color="000000" w:fill="F2F2F2"/>
            <w:noWrap/>
            <w:vAlign w:val="bottom"/>
            <w:hideMark/>
          </w:tcPr>
          <w:p w14:paraId="0C3F8C8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Potential risk category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C85"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C86"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r>
      <w:tr w:rsidR="00B6457B" w:rsidRPr="00393ABA" w14:paraId="0C3F8C97" w14:textId="77777777" w:rsidTr="00393ABA">
        <w:trPr>
          <w:trHeight w:val="300"/>
        </w:trPr>
        <w:tc>
          <w:tcPr>
            <w:tcW w:w="2527"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C3F8C88" w14:textId="77777777" w:rsidR="00B6457B" w:rsidRPr="00393ABA" w:rsidRDefault="00B6457B" w:rsidP="00C05A63">
            <w:pPr>
              <w:pStyle w:val="ListParagraph"/>
              <w:numPr>
                <w:ilvl w:val="0"/>
                <w:numId w:val="26"/>
              </w:numPr>
              <w:spacing w:before="0" w:after="120" w:line="276" w:lineRule="auto"/>
              <w:jc w:val="center"/>
              <w:rPr>
                <w:rFonts w:ascii="Calibri" w:hAnsi="Calibri" w:cs="Calibri"/>
                <w:b/>
                <w:bCs/>
                <w:color w:val="000000"/>
                <w:sz w:val="20"/>
                <w:szCs w:val="20"/>
              </w:rPr>
            </w:pPr>
            <w:r w:rsidRPr="00393ABA">
              <w:rPr>
                <w:rFonts w:ascii="Calibri" w:hAnsi="Calibri" w:cs="Calibri"/>
                <w:b/>
                <w:bCs/>
                <w:color w:val="000000"/>
                <w:sz w:val="20"/>
                <w:szCs w:val="20"/>
              </w:rPr>
              <w:t>Seagrass survey</w:t>
            </w:r>
          </w:p>
        </w:tc>
        <w:tc>
          <w:tcPr>
            <w:tcW w:w="820" w:type="dxa"/>
            <w:tcBorders>
              <w:top w:val="single" w:sz="4" w:space="0" w:color="auto"/>
              <w:left w:val="nil"/>
              <w:bottom w:val="nil"/>
              <w:right w:val="single" w:sz="4" w:space="0" w:color="auto"/>
            </w:tcBorders>
            <w:shd w:val="clear" w:color="000000" w:fill="F2F2F2"/>
            <w:noWrap/>
            <w:vAlign w:val="bottom"/>
            <w:hideMark/>
          </w:tcPr>
          <w:p w14:paraId="0C3F8C8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Tot</w:t>
            </w:r>
          </w:p>
        </w:tc>
        <w:tc>
          <w:tcPr>
            <w:tcW w:w="735" w:type="dxa"/>
            <w:tcBorders>
              <w:top w:val="nil"/>
              <w:left w:val="nil"/>
              <w:bottom w:val="single" w:sz="4" w:space="0" w:color="auto"/>
              <w:right w:val="nil"/>
            </w:tcBorders>
            <w:shd w:val="clear" w:color="000000" w:fill="F2F2F2"/>
            <w:noWrap/>
            <w:vAlign w:val="bottom"/>
            <w:hideMark/>
          </w:tcPr>
          <w:p w14:paraId="0C3F8C8A" w14:textId="77777777" w:rsidR="00B6457B" w:rsidRPr="00393ABA" w:rsidRDefault="00B6457B" w:rsidP="00393ABA">
            <w:pPr>
              <w:spacing w:after="120"/>
              <w:jc w:val="center"/>
              <w:rPr>
                <w:rFonts w:ascii="Calibri" w:hAnsi="Calibri" w:cs="Calibri"/>
                <w:b/>
                <w:bCs/>
                <w:color w:val="1F497D"/>
                <w:sz w:val="20"/>
                <w:szCs w:val="20"/>
              </w:rPr>
            </w:pPr>
            <w:r w:rsidRPr="00393ABA">
              <w:rPr>
                <w:rFonts w:ascii="Calibri" w:hAnsi="Calibri" w:cs="Calibri"/>
                <w:b/>
                <w:bCs/>
                <w:color w:val="1F497D"/>
                <w:sz w:val="20"/>
                <w:szCs w:val="20"/>
              </w:rPr>
              <w:t>Rare</w:t>
            </w:r>
          </w:p>
        </w:tc>
        <w:tc>
          <w:tcPr>
            <w:tcW w:w="804" w:type="dxa"/>
            <w:tcBorders>
              <w:top w:val="nil"/>
              <w:left w:val="nil"/>
              <w:bottom w:val="single" w:sz="4" w:space="0" w:color="auto"/>
              <w:right w:val="nil"/>
            </w:tcBorders>
            <w:shd w:val="clear" w:color="000000" w:fill="F2F2F2"/>
            <w:noWrap/>
            <w:vAlign w:val="bottom"/>
            <w:hideMark/>
          </w:tcPr>
          <w:p w14:paraId="0C3F8C8B" w14:textId="77777777" w:rsidR="00B6457B" w:rsidRPr="00393ABA" w:rsidRDefault="00B6457B" w:rsidP="00393ABA">
            <w:pPr>
              <w:spacing w:after="120"/>
              <w:jc w:val="center"/>
              <w:rPr>
                <w:rFonts w:ascii="Calibri" w:hAnsi="Calibri" w:cs="Calibri"/>
                <w:b/>
                <w:bCs/>
                <w:color w:val="31869B"/>
                <w:sz w:val="20"/>
                <w:szCs w:val="20"/>
              </w:rPr>
            </w:pPr>
            <w:r w:rsidRPr="00393ABA">
              <w:rPr>
                <w:rFonts w:ascii="Calibri" w:hAnsi="Calibri" w:cs="Calibri"/>
                <w:b/>
                <w:bCs/>
                <w:color w:val="31869B"/>
                <w:sz w:val="20"/>
                <w:szCs w:val="20"/>
              </w:rPr>
              <w:t>Infreq.</w:t>
            </w:r>
          </w:p>
        </w:tc>
        <w:tc>
          <w:tcPr>
            <w:tcW w:w="774" w:type="dxa"/>
            <w:tcBorders>
              <w:top w:val="nil"/>
              <w:left w:val="nil"/>
              <w:bottom w:val="single" w:sz="4" w:space="0" w:color="auto"/>
              <w:right w:val="nil"/>
            </w:tcBorders>
            <w:shd w:val="clear" w:color="000000" w:fill="F2F2F2"/>
            <w:noWrap/>
            <w:vAlign w:val="bottom"/>
            <w:hideMark/>
          </w:tcPr>
          <w:p w14:paraId="0C3F8C8C" w14:textId="77777777" w:rsidR="00B6457B" w:rsidRPr="00393ABA" w:rsidRDefault="00B6457B" w:rsidP="00393ABA">
            <w:pPr>
              <w:spacing w:after="120"/>
              <w:jc w:val="center"/>
              <w:rPr>
                <w:rFonts w:ascii="Calibri" w:hAnsi="Calibri" w:cs="Calibri"/>
                <w:b/>
                <w:bCs/>
                <w:color w:val="FFC000"/>
                <w:sz w:val="20"/>
                <w:szCs w:val="20"/>
              </w:rPr>
            </w:pPr>
            <w:r w:rsidRPr="00393ABA">
              <w:rPr>
                <w:rFonts w:ascii="Calibri" w:hAnsi="Calibri" w:cs="Calibri"/>
                <w:b/>
                <w:bCs/>
                <w:color w:val="FFC000"/>
                <w:sz w:val="20"/>
                <w:szCs w:val="20"/>
              </w:rPr>
              <w:t>Occas.</w:t>
            </w:r>
          </w:p>
        </w:tc>
        <w:tc>
          <w:tcPr>
            <w:tcW w:w="641" w:type="dxa"/>
            <w:tcBorders>
              <w:top w:val="nil"/>
              <w:left w:val="nil"/>
              <w:bottom w:val="single" w:sz="4" w:space="0" w:color="auto"/>
              <w:right w:val="nil"/>
            </w:tcBorders>
            <w:shd w:val="clear" w:color="000000" w:fill="F2F2F2"/>
            <w:noWrap/>
            <w:vAlign w:val="bottom"/>
            <w:hideMark/>
          </w:tcPr>
          <w:p w14:paraId="0C3F8C8D" w14:textId="77777777" w:rsidR="00B6457B" w:rsidRPr="00393ABA" w:rsidRDefault="00B6457B" w:rsidP="00393ABA">
            <w:pPr>
              <w:spacing w:after="120"/>
              <w:jc w:val="center"/>
              <w:rPr>
                <w:rFonts w:ascii="Calibri" w:hAnsi="Calibri" w:cs="Calibri"/>
                <w:b/>
                <w:bCs/>
                <w:color w:val="F79646"/>
                <w:sz w:val="20"/>
                <w:szCs w:val="20"/>
              </w:rPr>
            </w:pPr>
            <w:r w:rsidRPr="00393ABA">
              <w:rPr>
                <w:rFonts w:ascii="Calibri" w:hAnsi="Calibri" w:cs="Calibri"/>
                <w:b/>
                <w:bCs/>
                <w:color w:val="F79646"/>
                <w:sz w:val="20"/>
                <w:szCs w:val="20"/>
              </w:rPr>
              <w:t>Freq.</w:t>
            </w:r>
          </w:p>
        </w:tc>
        <w:tc>
          <w:tcPr>
            <w:tcW w:w="785" w:type="dxa"/>
            <w:tcBorders>
              <w:top w:val="nil"/>
              <w:left w:val="nil"/>
              <w:bottom w:val="single" w:sz="4" w:space="0" w:color="auto"/>
              <w:right w:val="nil"/>
            </w:tcBorders>
            <w:shd w:val="clear" w:color="000000" w:fill="F2F2F2"/>
            <w:noWrap/>
            <w:vAlign w:val="bottom"/>
            <w:hideMark/>
          </w:tcPr>
          <w:p w14:paraId="0C3F8C8E" w14:textId="77777777" w:rsidR="00B6457B" w:rsidRPr="00393ABA" w:rsidRDefault="00B6457B" w:rsidP="00393ABA">
            <w:pPr>
              <w:spacing w:after="120"/>
              <w:jc w:val="center"/>
              <w:rPr>
                <w:rFonts w:ascii="Calibri" w:hAnsi="Calibri" w:cs="Calibri"/>
                <w:b/>
                <w:bCs/>
                <w:color w:val="FF0000"/>
                <w:sz w:val="20"/>
                <w:szCs w:val="20"/>
              </w:rPr>
            </w:pPr>
            <w:r w:rsidRPr="00393ABA">
              <w:rPr>
                <w:rFonts w:ascii="Calibri" w:hAnsi="Calibri" w:cs="Calibri"/>
                <w:b/>
                <w:bCs/>
                <w:color w:val="FF0000"/>
                <w:sz w:val="20"/>
                <w:szCs w:val="20"/>
              </w:rPr>
              <w:t>V.Freq</w:t>
            </w:r>
          </w:p>
        </w:tc>
        <w:tc>
          <w:tcPr>
            <w:tcW w:w="912" w:type="dxa"/>
            <w:vMerge/>
            <w:tcBorders>
              <w:top w:val="single" w:sz="4" w:space="0" w:color="auto"/>
              <w:left w:val="nil"/>
              <w:bottom w:val="single" w:sz="4" w:space="0" w:color="000000"/>
              <w:right w:val="nil"/>
            </w:tcBorders>
            <w:vAlign w:val="center"/>
            <w:hideMark/>
          </w:tcPr>
          <w:p w14:paraId="0C3F8C8F"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C90" w14:textId="77777777" w:rsidR="00B6457B" w:rsidRPr="00393ABA" w:rsidRDefault="00B6457B" w:rsidP="00393ABA">
            <w:pPr>
              <w:spacing w:after="120"/>
              <w:jc w:val="left"/>
              <w:rPr>
                <w:rFonts w:ascii="Calibri" w:hAnsi="Calibri" w:cs="Calibri"/>
                <w:b/>
                <w:bCs/>
                <w:sz w:val="20"/>
                <w:szCs w:val="20"/>
              </w:rPr>
            </w:pPr>
          </w:p>
        </w:tc>
        <w:tc>
          <w:tcPr>
            <w:tcW w:w="723" w:type="dxa"/>
            <w:tcBorders>
              <w:top w:val="nil"/>
              <w:left w:val="nil"/>
              <w:bottom w:val="nil"/>
              <w:right w:val="nil"/>
            </w:tcBorders>
            <w:shd w:val="clear" w:color="000000" w:fill="0070C0"/>
            <w:noWrap/>
            <w:vAlign w:val="bottom"/>
            <w:hideMark/>
          </w:tcPr>
          <w:p w14:paraId="0C3F8C91"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w:t>
            </w:r>
          </w:p>
        </w:tc>
        <w:tc>
          <w:tcPr>
            <w:tcW w:w="918" w:type="dxa"/>
            <w:tcBorders>
              <w:top w:val="nil"/>
              <w:left w:val="nil"/>
              <w:bottom w:val="nil"/>
              <w:right w:val="nil"/>
            </w:tcBorders>
            <w:shd w:val="clear" w:color="000000" w:fill="00B050"/>
            <w:noWrap/>
            <w:vAlign w:val="bottom"/>
            <w:hideMark/>
          </w:tcPr>
          <w:p w14:paraId="0C3F8C92"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w:t>
            </w:r>
          </w:p>
        </w:tc>
        <w:tc>
          <w:tcPr>
            <w:tcW w:w="622" w:type="dxa"/>
            <w:tcBorders>
              <w:top w:val="nil"/>
              <w:left w:val="nil"/>
              <w:bottom w:val="nil"/>
              <w:right w:val="nil"/>
            </w:tcBorders>
            <w:shd w:val="clear" w:color="000000" w:fill="FF0000"/>
            <w:noWrap/>
            <w:vAlign w:val="bottom"/>
            <w:hideMark/>
          </w:tcPr>
          <w:p w14:paraId="0C3F8C93"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III</w:t>
            </w:r>
          </w:p>
        </w:tc>
        <w:tc>
          <w:tcPr>
            <w:tcW w:w="1028" w:type="dxa"/>
            <w:tcBorders>
              <w:top w:val="nil"/>
              <w:left w:val="nil"/>
              <w:bottom w:val="nil"/>
              <w:right w:val="nil"/>
            </w:tcBorders>
            <w:shd w:val="clear" w:color="000000" w:fill="C00000"/>
            <w:noWrap/>
            <w:vAlign w:val="bottom"/>
            <w:hideMark/>
          </w:tcPr>
          <w:p w14:paraId="0C3F8C94"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IV</w:t>
            </w:r>
          </w:p>
        </w:tc>
        <w:tc>
          <w:tcPr>
            <w:tcW w:w="912" w:type="dxa"/>
            <w:vMerge/>
            <w:tcBorders>
              <w:top w:val="single" w:sz="4" w:space="0" w:color="auto"/>
              <w:left w:val="nil"/>
              <w:bottom w:val="single" w:sz="4" w:space="0" w:color="000000"/>
              <w:right w:val="nil"/>
            </w:tcBorders>
            <w:vAlign w:val="center"/>
            <w:hideMark/>
          </w:tcPr>
          <w:p w14:paraId="0C3F8C95"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C96" w14:textId="77777777" w:rsidR="00B6457B" w:rsidRPr="00393ABA" w:rsidRDefault="00B6457B" w:rsidP="00393ABA">
            <w:pPr>
              <w:spacing w:after="120"/>
              <w:jc w:val="left"/>
              <w:rPr>
                <w:rFonts w:ascii="Calibri" w:hAnsi="Calibri" w:cs="Calibri"/>
                <w:b/>
                <w:bCs/>
                <w:sz w:val="20"/>
                <w:szCs w:val="20"/>
              </w:rPr>
            </w:pPr>
          </w:p>
        </w:tc>
      </w:tr>
      <w:tr w:rsidR="00B6457B" w:rsidRPr="00393ABA" w14:paraId="0C3F8CA8" w14:textId="77777777" w:rsidTr="00393ABA">
        <w:trPr>
          <w:trHeight w:val="300"/>
        </w:trPr>
        <w:tc>
          <w:tcPr>
            <w:tcW w:w="1407" w:type="dxa"/>
            <w:vMerge w:val="restart"/>
            <w:tcBorders>
              <w:top w:val="single" w:sz="4" w:space="0" w:color="auto"/>
              <w:left w:val="single" w:sz="4" w:space="0" w:color="auto"/>
              <w:bottom w:val="double" w:sz="6" w:space="0" w:color="000000"/>
              <w:right w:val="nil"/>
            </w:tcBorders>
            <w:shd w:val="clear" w:color="000000" w:fill="F2F2F2"/>
            <w:noWrap/>
            <w:vAlign w:val="center"/>
            <w:hideMark/>
          </w:tcPr>
          <w:p w14:paraId="0C3F8C9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GBR</w:t>
            </w:r>
          </w:p>
        </w:tc>
        <w:tc>
          <w:tcPr>
            <w:tcW w:w="1120" w:type="dxa"/>
            <w:tcBorders>
              <w:top w:val="single" w:sz="4" w:space="0" w:color="auto"/>
              <w:left w:val="single" w:sz="4" w:space="0" w:color="auto"/>
              <w:bottom w:val="nil"/>
              <w:right w:val="single" w:sz="4" w:space="0" w:color="auto"/>
            </w:tcBorders>
            <w:shd w:val="clear" w:color="000000" w:fill="F2F2F2"/>
            <w:noWrap/>
            <w:vAlign w:val="center"/>
            <w:hideMark/>
          </w:tcPr>
          <w:p w14:paraId="0C3F8C9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 xml:space="preserve">area </w:t>
            </w:r>
          </w:p>
        </w:tc>
        <w:tc>
          <w:tcPr>
            <w:tcW w:w="820" w:type="dxa"/>
            <w:tcBorders>
              <w:top w:val="single" w:sz="4" w:space="0" w:color="auto"/>
              <w:left w:val="nil"/>
              <w:bottom w:val="nil"/>
              <w:right w:val="single" w:sz="4" w:space="0" w:color="auto"/>
            </w:tcBorders>
            <w:shd w:val="clear" w:color="000000" w:fill="F2F2F2"/>
            <w:noWrap/>
            <w:vAlign w:val="bottom"/>
            <w:hideMark/>
          </w:tcPr>
          <w:p w14:paraId="0C3F8C9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3814</w:t>
            </w:r>
          </w:p>
        </w:tc>
        <w:tc>
          <w:tcPr>
            <w:tcW w:w="735" w:type="dxa"/>
            <w:tcBorders>
              <w:top w:val="nil"/>
              <w:left w:val="nil"/>
              <w:bottom w:val="nil"/>
              <w:right w:val="nil"/>
            </w:tcBorders>
            <w:shd w:val="clear" w:color="auto" w:fill="auto"/>
            <w:noWrap/>
            <w:vAlign w:val="bottom"/>
            <w:hideMark/>
          </w:tcPr>
          <w:p w14:paraId="0C3F8C9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6</w:t>
            </w:r>
          </w:p>
        </w:tc>
        <w:tc>
          <w:tcPr>
            <w:tcW w:w="804" w:type="dxa"/>
            <w:tcBorders>
              <w:top w:val="nil"/>
              <w:left w:val="nil"/>
              <w:bottom w:val="nil"/>
              <w:right w:val="nil"/>
            </w:tcBorders>
            <w:shd w:val="clear" w:color="auto" w:fill="auto"/>
            <w:noWrap/>
            <w:vAlign w:val="bottom"/>
            <w:hideMark/>
          </w:tcPr>
          <w:p w14:paraId="0C3F8C9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24</w:t>
            </w:r>
          </w:p>
        </w:tc>
        <w:tc>
          <w:tcPr>
            <w:tcW w:w="774" w:type="dxa"/>
            <w:tcBorders>
              <w:top w:val="nil"/>
              <w:left w:val="nil"/>
              <w:bottom w:val="nil"/>
              <w:right w:val="nil"/>
            </w:tcBorders>
            <w:shd w:val="clear" w:color="auto" w:fill="auto"/>
            <w:noWrap/>
            <w:vAlign w:val="bottom"/>
            <w:hideMark/>
          </w:tcPr>
          <w:p w14:paraId="0C3F8C9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140</w:t>
            </w:r>
          </w:p>
        </w:tc>
        <w:tc>
          <w:tcPr>
            <w:tcW w:w="641" w:type="dxa"/>
            <w:tcBorders>
              <w:top w:val="nil"/>
              <w:left w:val="nil"/>
              <w:bottom w:val="nil"/>
              <w:right w:val="nil"/>
            </w:tcBorders>
            <w:shd w:val="clear" w:color="auto" w:fill="auto"/>
            <w:noWrap/>
            <w:vAlign w:val="bottom"/>
            <w:hideMark/>
          </w:tcPr>
          <w:p w14:paraId="0C3F8C9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481</w:t>
            </w:r>
          </w:p>
        </w:tc>
        <w:tc>
          <w:tcPr>
            <w:tcW w:w="785" w:type="dxa"/>
            <w:tcBorders>
              <w:top w:val="nil"/>
              <w:left w:val="nil"/>
              <w:bottom w:val="nil"/>
              <w:right w:val="nil"/>
            </w:tcBorders>
            <w:shd w:val="clear" w:color="auto" w:fill="auto"/>
            <w:noWrap/>
            <w:vAlign w:val="bottom"/>
            <w:hideMark/>
          </w:tcPr>
          <w:p w14:paraId="0C3F8C9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3004</w:t>
            </w:r>
          </w:p>
        </w:tc>
        <w:tc>
          <w:tcPr>
            <w:tcW w:w="912" w:type="dxa"/>
            <w:tcBorders>
              <w:top w:val="nil"/>
              <w:left w:val="nil"/>
              <w:bottom w:val="nil"/>
              <w:right w:val="nil"/>
            </w:tcBorders>
            <w:shd w:val="clear" w:color="000000" w:fill="F2DCDB"/>
            <w:noWrap/>
            <w:vAlign w:val="bottom"/>
            <w:hideMark/>
          </w:tcPr>
          <w:p w14:paraId="0C3F8CA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3655</w:t>
            </w:r>
          </w:p>
        </w:tc>
        <w:tc>
          <w:tcPr>
            <w:tcW w:w="912" w:type="dxa"/>
            <w:tcBorders>
              <w:top w:val="nil"/>
              <w:left w:val="nil"/>
              <w:bottom w:val="nil"/>
              <w:right w:val="single" w:sz="4" w:space="0" w:color="auto"/>
            </w:tcBorders>
            <w:shd w:val="clear" w:color="000000" w:fill="F2DCDB"/>
            <w:noWrap/>
            <w:vAlign w:val="bottom"/>
            <w:hideMark/>
          </w:tcPr>
          <w:p w14:paraId="0C3F8CA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159</w:t>
            </w:r>
          </w:p>
        </w:tc>
        <w:tc>
          <w:tcPr>
            <w:tcW w:w="723" w:type="dxa"/>
            <w:tcBorders>
              <w:top w:val="single" w:sz="4" w:space="0" w:color="auto"/>
              <w:left w:val="nil"/>
              <w:bottom w:val="nil"/>
              <w:right w:val="nil"/>
            </w:tcBorders>
            <w:shd w:val="clear" w:color="auto" w:fill="auto"/>
            <w:noWrap/>
            <w:vAlign w:val="bottom"/>
            <w:hideMark/>
          </w:tcPr>
          <w:p w14:paraId="0C3F8CA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34</w:t>
            </w:r>
          </w:p>
        </w:tc>
        <w:tc>
          <w:tcPr>
            <w:tcW w:w="918" w:type="dxa"/>
            <w:tcBorders>
              <w:top w:val="single" w:sz="4" w:space="0" w:color="auto"/>
              <w:left w:val="nil"/>
              <w:bottom w:val="nil"/>
              <w:right w:val="nil"/>
            </w:tcBorders>
            <w:shd w:val="clear" w:color="auto" w:fill="auto"/>
            <w:noWrap/>
            <w:vAlign w:val="bottom"/>
            <w:hideMark/>
          </w:tcPr>
          <w:p w14:paraId="0C3F8CA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1315</w:t>
            </w:r>
          </w:p>
        </w:tc>
        <w:tc>
          <w:tcPr>
            <w:tcW w:w="622" w:type="dxa"/>
            <w:tcBorders>
              <w:top w:val="single" w:sz="4" w:space="0" w:color="auto"/>
              <w:left w:val="nil"/>
              <w:bottom w:val="nil"/>
              <w:right w:val="nil"/>
            </w:tcBorders>
            <w:shd w:val="clear" w:color="auto" w:fill="auto"/>
            <w:noWrap/>
            <w:vAlign w:val="bottom"/>
            <w:hideMark/>
          </w:tcPr>
          <w:p w14:paraId="0C3F8CA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2097</w:t>
            </w:r>
          </w:p>
        </w:tc>
        <w:tc>
          <w:tcPr>
            <w:tcW w:w="1028" w:type="dxa"/>
            <w:tcBorders>
              <w:top w:val="single" w:sz="4" w:space="0" w:color="auto"/>
              <w:left w:val="nil"/>
              <w:bottom w:val="nil"/>
              <w:right w:val="nil"/>
            </w:tcBorders>
            <w:shd w:val="clear" w:color="auto" w:fill="auto"/>
            <w:noWrap/>
            <w:vAlign w:val="bottom"/>
            <w:hideMark/>
          </w:tcPr>
          <w:p w14:paraId="0C3F8CA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201</w:t>
            </w:r>
          </w:p>
        </w:tc>
        <w:tc>
          <w:tcPr>
            <w:tcW w:w="912" w:type="dxa"/>
            <w:tcBorders>
              <w:top w:val="nil"/>
              <w:left w:val="nil"/>
              <w:bottom w:val="nil"/>
              <w:right w:val="nil"/>
            </w:tcBorders>
            <w:shd w:val="clear" w:color="000000" w:fill="F2DCDB"/>
            <w:noWrap/>
            <w:vAlign w:val="bottom"/>
            <w:hideMark/>
          </w:tcPr>
          <w:p w14:paraId="0C3F8CA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3647</w:t>
            </w:r>
          </w:p>
        </w:tc>
        <w:tc>
          <w:tcPr>
            <w:tcW w:w="912" w:type="dxa"/>
            <w:tcBorders>
              <w:top w:val="nil"/>
              <w:left w:val="nil"/>
              <w:bottom w:val="nil"/>
              <w:right w:val="single" w:sz="4" w:space="0" w:color="auto"/>
            </w:tcBorders>
            <w:shd w:val="clear" w:color="000000" w:fill="F2DCDB"/>
            <w:noWrap/>
            <w:vAlign w:val="bottom"/>
            <w:hideMark/>
          </w:tcPr>
          <w:p w14:paraId="0C3F8CA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167</w:t>
            </w:r>
          </w:p>
        </w:tc>
      </w:tr>
      <w:tr w:rsidR="00B6457B" w:rsidRPr="00393ABA" w14:paraId="0C3F8CB9" w14:textId="77777777" w:rsidTr="00393ABA">
        <w:trPr>
          <w:trHeight w:val="315"/>
        </w:trPr>
        <w:tc>
          <w:tcPr>
            <w:tcW w:w="1407" w:type="dxa"/>
            <w:vMerge/>
            <w:tcBorders>
              <w:top w:val="single" w:sz="4" w:space="0" w:color="auto"/>
              <w:left w:val="single" w:sz="4" w:space="0" w:color="auto"/>
              <w:bottom w:val="double" w:sz="6" w:space="0" w:color="000000"/>
              <w:right w:val="nil"/>
            </w:tcBorders>
            <w:vAlign w:val="center"/>
            <w:hideMark/>
          </w:tcPr>
          <w:p w14:paraId="0C3F8CA9"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double" w:sz="6" w:space="0" w:color="auto"/>
              <w:right w:val="single" w:sz="4" w:space="0" w:color="auto"/>
            </w:tcBorders>
            <w:shd w:val="clear" w:color="000000" w:fill="F2F2F2"/>
            <w:noWrap/>
            <w:vAlign w:val="center"/>
            <w:hideMark/>
          </w:tcPr>
          <w:p w14:paraId="0C3F8CAA"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w:t>
            </w:r>
          </w:p>
        </w:tc>
        <w:tc>
          <w:tcPr>
            <w:tcW w:w="820" w:type="dxa"/>
            <w:tcBorders>
              <w:top w:val="nil"/>
              <w:left w:val="nil"/>
              <w:bottom w:val="double" w:sz="6" w:space="0" w:color="auto"/>
              <w:right w:val="single" w:sz="4" w:space="0" w:color="auto"/>
            </w:tcBorders>
            <w:shd w:val="clear" w:color="000000" w:fill="F2F2F2"/>
            <w:noWrap/>
            <w:vAlign w:val="bottom"/>
            <w:hideMark/>
          </w:tcPr>
          <w:p w14:paraId="0C3F8CAB"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100%</w:t>
            </w:r>
          </w:p>
        </w:tc>
        <w:tc>
          <w:tcPr>
            <w:tcW w:w="735" w:type="dxa"/>
            <w:tcBorders>
              <w:top w:val="nil"/>
              <w:left w:val="nil"/>
              <w:bottom w:val="double" w:sz="6" w:space="0" w:color="auto"/>
              <w:right w:val="nil"/>
            </w:tcBorders>
            <w:shd w:val="clear" w:color="auto" w:fill="auto"/>
            <w:noWrap/>
            <w:vAlign w:val="bottom"/>
            <w:hideMark/>
          </w:tcPr>
          <w:p w14:paraId="0C3F8CAC"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0%</w:t>
            </w:r>
          </w:p>
        </w:tc>
        <w:tc>
          <w:tcPr>
            <w:tcW w:w="804" w:type="dxa"/>
            <w:tcBorders>
              <w:top w:val="nil"/>
              <w:left w:val="nil"/>
              <w:bottom w:val="double" w:sz="6" w:space="0" w:color="auto"/>
              <w:right w:val="nil"/>
            </w:tcBorders>
            <w:shd w:val="clear" w:color="auto" w:fill="auto"/>
            <w:noWrap/>
            <w:vAlign w:val="bottom"/>
            <w:hideMark/>
          </w:tcPr>
          <w:p w14:paraId="0C3F8CAD"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w:t>
            </w:r>
          </w:p>
        </w:tc>
        <w:tc>
          <w:tcPr>
            <w:tcW w:w="774" w:type="dxa"/>
            <w:tcBorders>
              <w:top w:val="nil"/>
              <w:left w:val="nil"/>
              <w:bottom w:val="double" w:sz="6" w:space="0" w:color="auto"/>
              <w:right w:val="nil"/>
            </w:tcBorders>
            <w:shd w:val="clear" w:color="auto" w:fill="auto"/>
            <w:noWrap/>
            <w:vAlign w:val="bottom"/>
            <w:hideMark/>
          </w:tcPr>
          <w:p w14:paraId="0C3F8CAE"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4%</w:t>
            </w:r>
          </w:p>
        </w:tc>
        <w:tc>
          <w:tcPr>
            <w:tcW w:w="641" w:type="dxa"/>
            <w:tcBorders>
              <w:top w:val="nil"/>
              <w:left w:val="nil"/>
              <w:bottom w:val="double" w:sz="6" w:space="0" w:color="auto"/>
              <w:right w:val="nil"/>
            </w:tcBorders>
            <w:shd w:val="clear" w:color="auto" w:fill="auto"/>
            <w:noWrap/>
            <w:vAlign w:val="bottom"/>
            <w:hideMark/>
          </w:tcPr>
          <w:p w14:paraId="0C3F8CAF"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13%</w:t>
            </w:r>
          </w:p>
        </w:tc>
        <w:tc>
          <w:tcPr>
            <w:tcW w:w="785" w:type="dxa"/>
            <w:tcBorders>
              <w:top w:val="nil"/>
              <w:left w:val="nil"/>
              <w:bottom w:val="double" w:sz="6" w:space="0" w:color="auto"/>
              <w:right w:val="nil"/>
            </w:tcBorders>
            <w:shd w:val="clear" w:color="auto" w:fill="auto"/>
            <w:noWrap/>
            <w:vAlign w:val="bottom"/>
            <w:hideMark/>
          </w:tcPr>
          <w:p w14:paraId="0C3F8CB0"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79%</w:t>
            </w:r>
          </w:p>
        </w:tc>
        <w:tc>
          <w:tcPr>
            <w:tcW w:w="912" w:type="dxa"/>
            <w:tcBorders>
              <w:top w:val="nil"/>
              <w:left w:val="nil"/>
              <w:bottom w:val="double" w:sz="6" w:space="0" w:color="auto"/>
              <w:right w:val="nil"/>
            </w:tcBorders>
            <w:shd w:val="clear" w:color="000000" w:fill="F2DCDB"/>
            <w:noWrap/>
            <w:vAlign w:val="bottom"/>
            <w:hideMark/>
          </w:tcPr>
          <w:p w14:paraId="0C3F8CB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96%</w:t>
            </w:r>
          </w:p>
        </w:tc>
        <w:tc>
          <w:tcPr>
            <w:tcW w:w="912" w:type="dxa"/>
            <w:tcBorders>
              <w:top w:val="nil"/>
              <w:left w:val="nil"/>
              <w:bottom w:val="double" w:sz="6" w:space="0" w:color="auto"/>
              <w:right w:val="nil"/>
            </w:tcBorders>
            <w:shd w:val="clear" w:color="000000" w:fill="F2DCDB"/>
            <w:noWrap/>
            <w:vAlign w:val="bottom"/>
            <w:hideMark/>
          </w:tcPr>
          <w:p w14:paraId="0C3F8CB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w:t>
            </w:r>
          </w:p>
        </w:tc>
        <w:tc>
          <w:tcPr>
            <w:tcW w:w="723" w:type="dxa"/>
            <w:tcBorders>
              <w:top w:val="nil"/>
              <w:left w:val="single" w:sz="4" w:space="0" w:color="auto"/>
              <w:bottom w:val="double" w:sz="6" w:space="0" w:color="auto"/>
              <w:right w:val="nil"/>
            </w:tcBorders>
            <w:shd w:val="clear" w:color="auto" w:fill="auto"/>
            <w:noWrap/>
            <w:vAlign w:val="bottom"/>
            <w:hideMark/>
          </w:tcPr>
          <w:p w14:paraId="0C3F8CB3"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w:t>
            </w:r>
          </w:p>
        </w:tc>
        <w:tc>
          <w:tcPr>
            <w:tcW w:w="918" w:type="dxa"/>
            <w:tcBorders>
              <w:top w:val="nil"/>
              <w:left w:val="nil"/>
              <w:bottom w:val="double" w:sz="6" w:space="0" w:color="auto"/>
              <w:right w:val="nil"/>
            </w:tcBorders>
            <w:shd w:val="clear" w:color="auto" w:fill="auto"/>
            <w:noWrap/>
            <w:vAlign w:val="bottom"/>
            <w:hideMark/>
          </w:tcPr>
          <w:p w14:paraId="0C3F8CB4"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34%</w:t>
            </w:r>
          </w:p>
        </w:tc>
        <w:tc>
          <w:tcPr>
            <w:tcW w:w="622" w:type="dxa"/>
            <w:tcBorders>
              <w:top w:val="nil"/>
              <w:left w:val="nil"/>
              <w:bottom w:val="double" w:sz="6" w:space="0" w:color="auto"/>
              <w:right w:val="nil"/>
            </w:tcBorders>
            <w:shd w:val="clear" w:color="auto" w:fill="auto"/>
            <w:noWrap/>
            <w:vAlign w:val="bottom"/>
            <w:hideMark/>
          </w:tcPr>
          <w:p w14:paraId="0C3F8CB5"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55%</w:t>
            </w:r>
          </w:p>
        </w:tc>
        <w:tc>
          <w:tcPr>
            <w:tcW w:w="1028" w:type="dxa"/>
            <w:tcBorders>
              <w:top w:val="nil"/>
              <w:left w:val="nil"/>
              <w:bottom w:val="double" w:sz="6" w:space="0" w:color="auto"/>
              <w:right w:val="nil"/>
            </w:tcBorders>
            <w:shd w:val="clear" w:color="auto" w:fill="auto"/>
            <w:noWrap/>
            <w:vAlign w:val="bottom"/>
            <w:hideMark/>
          </w:tcPr>
          <w:p w14:paraId="0C3F8CB6"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5%</w:t>
            </w:r>
          </w:p>
        </w:tc>
        <w:tc>
          <w:tcPr>
            <w:tcW w:w="912" w:type="dxa"/>
            <w:tcBorders>
              <w:top w:val="nil"/>
              <w:left w:val="nil"/>
              <w:bottom w:val="double" w:sz="6" w:space="0" w:color="auto"/>
              <w:right w:val="nil"/>
            </w:tcBorders>
            <w:shd w:val="clear" w:color="000000" w:fill="F2DCDB"/>
            <w:noWrap/>
            <w:vAlign w:val="bottom"/>
            <w:hideMark/>
          </w:tcPr>
          <w:p w14:paraId="0C3F8CB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96%</w:t>
            </w:r>
          </w:p>
        </w:tc>
        <w:tc>
          <w:tcPr>
            <w:tcW w:w="912" w:type="dxa"/>
            <w:tcBorders>
              <w:top w:val="nil"/>
              <w:left w:val="nil"/>
              <w:bottom w:val="double" w:sz="6" w:space="0" w:color="auto"/>
              <w:right w:val="single" w:sz="4" w:space="0" w:color="auto"/>
            </w:tcBorders>
            <w:shd w:val="clear" w:color="000000" w:fill="F2DCDB"/>
            <w:noWrap/>
            <w:vAlign w:val="bottom"/>
            <w:hideMark/>
          </w:tcPr>
          <w:p w14:paraId="0C3F8CB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4%</w:t>
            </w:r>
          </w:p>
        </w:tc>
      </w:tr>
      <w:tr w:rsidR="00B6457B" w:rsidRPr="00393ABA" w14:paraId="0C3F8CCA" w14:textId="77777777" w:rsidTr="00393ABA">
        <w:trPr>
          <w:trHeight w:val="315"/>
        </w:trPr>
        <w:tc>
          <w:tcPr>
            <w:tcW w:w="1407" w:type="dxa"/>
            <w:vMerge w:val="restart"/>
            <w:tcBorders>
              <w:top w:val="nil"/>
              <w:left w:val="single" w:sz="4" w:space="0" w:color="auto"/>
              <w:bottom w:val="nil"/>
              <w:right w:val="nil"/>
            </w:tcBorders>
            <w:shd w:val="clear" w:color="000000" w:fill="F2F2F2"/>
            <w:noWrap/>
            <w:vAlign w:val="center"/>
            <w:hideMark/>
          </w:tcPr>
          <w:p w14:paraId="0C3F8CB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Cape York</w:t>
            </w:r>
          </w:p>
        </w:tc>
        <w:tc>
          <w:tcPr>
            <w:tcW w:w="1120" w:type="dxa"/>
            <w:tcBorders>
              <w:top w:val="nil"/>
              <w:left w:val="single" w:sz="4" w:space="0" w:color="auto"/>
              <w:bottom w:val="nil"/>
              <w:right w:val="single" w:sz="4" w:space="0" w:color="auto"/>
            </w:tcBorders>
            <w:shd w:val="clear" w:color="000000" w:fill="F2F2F2"/>
            <w:noWrap/>
            <w:vAlign w:val="center"/>
            <w:hideMark/>
          </w:tcPr>
          <w:p w14:paraId="0C3F8CB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CB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2438</w:t>
            </w:r>
          </w:p>
        </w:tc>
        <w:tc>
          <w:tcPr>
            <w:tcW w:w="735" w:type="dxa"/>
            <w:tcBorders>
              <w:top w:val="nil"/>
              <w:left w:val="nil"/>
              <w:bottom w:val="nil"/>
              <w:right w:val="nil"/>
            </w:tcBorders>
            <w:shd w:val="clear" w:color="auto" w:fill="auto"/>
            <w:noWrap/>
            <w:vAlign w:val="bottom"/>
            <w:hideMark/>
          </w:tcPr>
          <w:p w14:paraId="0C3F8CB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04" w:type="dxa"/>
            <w:tcBorders>
              <w:top w:val="nil"/>
              <w:left w:val="nil"/>
              <w:bottom w:val="nil"/>
              <w:right w:val="nil"/>
            </w:tcBorders>
            <w:shd w:val="clear" w:color="auto" w:fill="auto"/>
            <w:noWrap/>
            <w:vAlign w:val="bottom"/>
            <w:hideMark/>
          </w:tcPr>
          <w:p w14:paraId="0C3F8CB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13</w:t>
            </w:r>
          </w:p>
        </w:tc>
        <w:tc>
          <w:tcPr>
            <w:tcW w:w="774" w:type="dxa"/>
            <w:tcBorders>
              <w:top w:val="nil"/>
              <w:left w:val="nil"/>
              <w:bottom w:val="nil"/>
              <w:right w:val="nil"/>
            </w:tcBorders>
            <w:shd w:val="clear" w:color="auto" w:fill="auto"/>
            <w:noWrap/>
            <w:vAlign w:val="bottom"/>
            <w:hideMark/>
          </w:tcPr>
          <w:p w14:paraId="0C3F8CB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81</w:t>
            </w:r>
          </w:p>
        </w:tc>
        <w:tc>
          <w:tcPr>
            <w:tcW w:w="641" w:type="dxa"/>
            <w:tcBorders>
              <w:top w:val="nil"/>
              <w:left w:val="nil"/>
              <w:bottom w:val="nil"/>
              <w:right w:val="nil"/>
            </w:tcBorders>
            <w:shd w:val="clear" w:color="auto" w:fill="auto"/>
            <w:noWrap/>
            <w:vAlign w:val="bottom"/>
            <w:hideMark/>
          </w:tcPr>
          <w:p w14:paraId="0C3F8CC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416</w:t>
            </w:r>
          </w:p>
        </w:tc>
        <w:tc>
          <w:tcPr>
            <w:tcW w:w="785" w:type="dxa"/>
            <w:tcBorders>
              <w:top w:val="nil"/>
              <w:left w:val="nil"/>
              <w:bottom w:val="nil"/>
              <w:right w:val="nil"/>
            </w:tcBorders>
            <w:shd w:val="clear" w:color="auto" w:fill="auto"/>
            <w:noWrap/>
            <w:vAlign w:val="bottom"/>
            <w:hideMark/>
          </w:tcPr>
          <w:p w14:paraId="0C3F8CC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1774</w:t>
            </w:r>
          </w:p>
        </w:tc>
        <w:tc>
          <w:tcPr>
            <w:tcW w:w="912" w:type="dxa"/>
            <w:tcBorders>
              <w:top w:val="nil"/>
              <w:left w:val="nil"/>
              <w:bottom w:val="nil"/>
              <w:right w:val="nil"/>
            </w:tcBorders>
            <w:shd w:val="clear" w:color="000000" w:fill="F2DCDB"/>
            <w:noWrap/>
            <w:vAlign w:val="bottom"/>
            <w:hideMark/>
          </w:tcPr>
          <w:p w14:paraId="0C3F8CC2"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2285</w:t>
            </w:r>
          </w:p>
        </w:tc>
        <w:tc>
          <w:tcPr>
            <w:tcW w:w="912" w:type="dxa"/>
            <w:tcBorders>
              <w:top w:val="nil"/>
              <w:left w:val="nil"/>
              <w:bottom w:val="nil"/>
              <w:right w:val="single" w:sz="4" w:space="0" w:color="auto"/>
            </w:tcBorders>
            <w:shd w:val="clear" w:color="000000" w:fill="F2DCDB"/>
            <w:noWrap/>
            <w:vAlign w:val="bottom"/>
            <w:hideMark/>
          </w:tcPr>
          <w:p w14:paraId="0C3F8CC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152</w:t>
            </w:r>
          </w:p>
        </w:tc>
        <w:tc>
          <w:tcPr>
            <w:tcW w:w="723" w:type="dxa"/>
            <w:tcBorders>
              <w:top w:val="nil"/>
              <w:left w:val="nil"/>
              <w:bottom w:val="nil"/>
              <w:right w:val="nil"/>
            </w:tcBorders>
            <w:shd w:val="clear" w:color="auto" w:fill="auto"/>
            <w:noWrap/>
            <w:vAlign w:val="bottom"/>
            <w:hideMark/>
          </w:tcPr>
          <w:p w14:paraId="0C3F8CC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31</w:t>
            </w:r>
          </w:p>
        </w:tc>
        <w:tc>
          <w:tcPr>
            <w:tcW w:w="918" w:type="dxa"/>
            <w:tcBorders>
              <w:top w:val="nil"/>
              <w:left w:val="nil"/>
              <w:bottom w:val="nil"/>
              <w:right w:val="nil"/>
            </w:tcBorders>
            <w:shd w:val="clear" w:color="auto" w:fill="auto"/>
            <w:noWrap/>
            <w:vAlign w:val="bottom"/>
            <w:hideMark/>
          </w:tcPr>
          <w:p w14:paraId="0C3F8CC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1068</w:t>
            </w:r>
          </w:p>
        </w:tc>
        <w:tc>
          <w:tcPr>
            <w:tcW w:w="622" w:type="dxa"/>
            <w:tcBorders>
              <w:top w:val="nil"/>
              <w:left w:val="nil"/>
              <w:bottom w:val="nil"/>
              <w:right w:val="nil"/>
            </w:tcBorders>
            <w:shd w:val="clear" w:color="auto" w:fill="auto"/>
            <w:noWrap/>
            <w:vAlign w:val="bottom"/>
            <w:hideMark/>
          </w:tcPr>
          <w:p w14:paraId="0C3F8CC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1154</w:t>
            </w:r>
          </w:p>
        </w:tc>
        <w:tc>
          <w:tcPr>
            <w:tcW w:w="1028" w:type="dxa"/>
            <w:tcBorders>
              <w:top w:val="nil"/>
              <w:left w:val="nil"/>
              <w:bottom w:val="nil"/>
              <w:right w:val="nil"/>
            </w:tcBorders>
            <w:shd w:val="clear" w:color="auto" w:fill="auto"/>
            <w:noWrap/>
            <w:vAlign w:val="bottom"/>
            <w:hideMark/>
          </w:tcPr>
          <w:p w14:paraId="0C3F8CC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w:t>
            </w:r>
          </w:p>
        </w:tc>
        <w:tc>
          <w:tcPr>
            <w:tcW w:w="912" w:type="dxa"/>
            <w:tcBorders>
              <w:top w:val="nil"/>
              <w:left w:val="nil"/>
              <w:bottom w:val="nil"/>
              <w:right w:val="nil"/>
            </w:tcBorders>
            <w:shd w:val="clear" w:color="000000" w:fill="F2DCDB"/>
            <w:noWrap/>
            <w:vAlign w:val="bottom"/>
            <w:hideMark/>
          </w:tcPr>
          <w:p w14:paraId="0C3F8CC8"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2285</w:t>
            </w:r>
          </w:p>
        </w:tc>
        <w:tc>
          <w:tcPr>
            <w:tcW w:w="912" w:type="dxa"/>
            <w:tcBorders>
              <w:top w:val="nil"/>
              <w:left w:val="nil"/>
              <w:bottom w:val="nil"/>
              <w:right w:val="single" w:sz="4" w:space="0" w:color="auto"/>
            </w:tcBorders>
            <w:shd w:val="clear" w:color="000000" w:fill="F2DCDB"/>
            <w:noWrap/>
            <w:vAlign w:val="bottom"/>
            <w:hideMark/>
          </w:tcPr>
          <w:p w14:paraId="0C3F8CC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153</w:t>
            </w:r>
          </w:p>
        </w:tc>
      </w:tr>
      <w:tr w:rsidR="00B6457B" w:rsidRPr="00393ABA" w14:paraId="0C3F8CDB" w14:textId="77777777" w:rsidTr="00393ABA">
        <w:trPr>
          <w:trHeight w:val="300"/>
        </w:trPr>
        <w:tc>
          <w:tcPr>
            <w:tcW w:w="1407" w:type="dxa"/>
            <w:vMerge/>
            <w:tcBorders>
              <w:top w:val="nil"/>
              <w:left w:val="single" w:sz="4" w:space="0" w:color="auto"/>
              <w:bottom w:val="nil"/>
              <w:right w:val="nil"/>
            </w:tcBorders>
            <w:vAlign w:val="center"/>
            <w:hideMark/>
          </w:tcPr>
          <w:p w14:paraId="0C3F8CCB"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CC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CC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CC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4" w:type="dxa"/>
            <w:tcBorders>
              <w:top w:val="nil"/>
              <w:left w:val="nil"/>
              <w:bottom w:val="nil"/>
              <w:right w:val="nil"/>
            </w:tcBorders>
            <w:shd w:val="clear" w:color="auto" w:fill="auto"/>
            <w:noWrap/>
            <w:vAlign w:val="bottom"/>
            <w:hideMark/>
          </w:tcPr>
          <w:p w14:paraId="0C3F8CC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774" w:type="dxa"/>
            <w:tcBorders>
              <w:top w:val="nil"/>
              <w:left w:val="nil"/>
              <w:bottom w:val="nil"/>
              <w:right w:val="nil"/>
            </w:tcBorders>
            <w:shd w:val="clear" w:color="auto" w:fill="auto"/>
            <w:noWrap/>
            <w:vAlign w:val="bottom"/>
            <w:hideMark/>
          </w:tcPr>
          <w:p w14:paraId="0C3F8CD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641" w:type="dxa"/>
            <w:tcBorders>
              <w:top w:val="nil"/>
              <w:left w:val="nil"/>
              <w:bottom w:val="nil"/>
              <w:right w:val="nil"/>
            </w:tcBorders>
            <w:shd w:val="clear" w:color="auto" w:fill="auto"/>
            <w:noWrap/>
            <w:vAlign w:val="bottom"/>
            <w:hideMark/>
          </w:tcPr>
          <w:p w14:paraId="0C3F8CD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17%</w:t>
            </w:r>
          </w:p>
        </w:tc>
        <w:tc>
          <w:tcPr>
            <w:tcW w:w="785" w:type="dxa"/>
            <w:tcBorders>
              <w:top w:val="nil"/>
              <w:left w:val="nil"/>
              <w:bottom w:val="nil"/>
              <w:right w:val="nil"/>
            </w:tcBorders>
            <w:shd w:val="clear" w:color="auto" w:fill="auto"/>
            <w:noWrap/>
            <w:vAlign w:val="bottom"/>
            <w:hideMark/>
          </w:tcPr>
          <w:p w14:paraId="0C3F8CD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73%</w:t>
            </w:r>
          </w:p>
        </w:tc>
        <w:tc>
          <w:tcPr>
            <w:tcW w:w="912" w:type="dxa"/>
            <w:tcBorders>
              <w:top w:val="nil"/>
              <w:left w:val="nil"/>
              <w:bottom w:val="nil"/>
              <w:right w:val="nil"/>
            </w:tcBorders>
            <w:shd w:val="clear" w:color="000000" w:fill="F2DCDB"/>
            <w:noWrap/>
            <w:vAlign w:val="bottom"/>
            <w:hideMark/>
          </w:tcPr>
          <w:p w14:paraId="0C3F8CD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94%</w:t>
            </w:r>
          </w:p>
        </w:tc>
        <w:tc>
          <w:tcPr>
            <w:tcW w:w="912" w:type="dxa"/>
            <w:tcBorders>
              <w:top w:val="nil"/>
              <w:left w:val="nil"/>
              <w:bottom w:val="nil"/>
              <w:right w:val="nil"/>
            </w:tcBorders>
            <w:shd w:val="clear" w:color="000000" w:fill="F2DCDB"/>
            <w:noWrap/>
            <w:vAlign w:val="bottom"/>
            <w:hideMark/>
          </w:tcPr>
          <w:p w14:paraId="0C3F8CD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w:t>
            </w:r>
          </w:p>
        </w:tc>
        <w:tc>
          <w:tcPr>
            <w:tcW w:w="723" w:type="dxa"/>
            <w:tcBorders>
              <w:top w:val="nil"/>
              <w:left w:val="single" w:sz="4" w:space="0" w:color="auto"/>
              <w:bottom w:val="nil"/>
              <w:right w:val="nil"/>
            </w:tcBorders>
            <w:shd w:val="clear" w:color="auto" w:fill="auto"/>
            <w:noWrap/>
            <w:vAlign w:val="bottom"/>
            <w:hideMark/>
          </w:tcPr>
          <w:p w14:paraId="0C3F8CD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8" w:type="dxa"/>
            <w:tcBorders>
              <w:top w:val="nil"/>
              <w:left w:val="nil"/>
              <w:bottom w:val="nil"/>
              <w:right w:val="nil"/>
            </w:tcBorders>
            <w:shd w:val="clear" w:color="auto" w:fill="auto"/>
            <w:noWrap/>
            <w:vAlign w:val="bottom"/>
            <w:hideMark/>
          </w:tcPr>
          <w:p w14:paraId="0C3F8CD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44%</w:t>
            </w:r>
          </w:p>
        </w:tc>
        <w:tc>
          <w:tcPr>
            <w:tcW w:w="622" w:type="dxa"/>
            <w:tcBorders>
              <w:top w:val="nil"/>
              <w:left w:val="nil"/>
              <w:bottom w:val="nil"/>
              <w:right w:val="nil"/>
            </w:tcBorders>
            <w:shd w:val="clear" w:color="auto" w:fill="auto"/>
            <w:noWrap/>
            <w:vAlign w:val="bottom"/>
            <w:hideMark/>
          </w:tcPr>
          <w:p w14:paraId="0C3F8CD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47%</w:t>
            </w:r>
          </w:p>
        </w:tc>
        <w:tc>
          <w:tcPr>
            <w:tcW w:w="1028" w:type="dxa"/>
            <w:tcBorders>
              <w:top w:val="nil"/>
              <w:left w:val="nil"/>
              <w:bottom w:val="nil"/>
              <w:right w:val="nil"/>
            </w:tcBorders>
            <w:shd w:val="clear" w:color="auto" w:fill="auto"/>
            <w:noWrap/>
            <w:vAlign w:val="bottom"/>
            <w:hideMark/>
          </w:tcPr>
          <w:p w14:paraId="0C3F8CD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2" w:type="dxa"/>
            <w:tcBorders>
              <w:top w:val="nil"/>
              <w:left w:val="nil"/>
              <w:bottom w:val="nil"/>
              <w:right w:val="nil"/>
            </w:tcBorders>
            <w:shd w:val="clear" w:color="000000" w:fill="F2DCDB"/>
            <w:noWrap/>
            <w:vAlign w:val="bottom"/>
            <w:hideMark/>
          </w:tcPr>
          <w:p w14:paraId="0C3F8CD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94%</w:t>
            </w:r>
          </w:p>
        </w:tc>
        <w:tc>
          <w:tcPr>
            <w:tcW w:w="912" w:type="dxa"/>
            <w:tcBorders>
              <w:top w:val="nil"/>
              <w:left w:val="nil"/>
              <w:bottom w:val="nil"/>
              <w:right w:val="single" w:sz="4" w:space="0" w:color="auto"/>
            </w:tcBorders>
            <w:shd w:val="clear" w:color="000000" w:fill="F2DCDB"/>
            <w:noWrap/>
            <w:vAlign w:val="bottom"/>
            <w:hideMark/>
          </w:tcPr>
          <w:p w14:paraId="0C3F8CD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w:t>
            </w:r>
          </w:p>
        </w:tc>
      </w:tr>
      <w:tr w:rsidR="00B6457B" w:rsidRPr="00393ABA" w14:paraId="0C3F8CEC"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CD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Wet Tropics</w:t>
            </w:r>
          </w:p>
        </w:tc>
        <w:tc>
          <w:tcPr>
            <w:tcW w:w="1120" w:type="dxa"/>
            <w:tcBorders>
              <w:top w:val="nil"/>
              <w:left w:val="single" w:sz="4" w:space="0" w:color="auto"/>
              <w:bottom w:val="nil"/>
              <w:right w:val="single" w:sz="4" w:space="0" w:color="auto"/>
            </w:tcBorders>
            <w:shd w:val="clear" w:color="000000" w:fill="F2F2F2"/>
            <w:noWrap/>
            <w:vAlign w:val="center"/>
            <w:hideMark/>
          </w:tcPr>
          <w:p w14:paraId="0C3F8CD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CD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204</w:t>
            </w:r>
          </w:p>
        </w:tc>
        <w:tc>
          <w:tcPr>
            <w:tcW w:w="735" w:type="dxa"/>
            <w:tcBorders>
              <w:top w:val="nil"/>
              <w:left w:val="nil"/>
              <w:bottom w:val="nil"/>
              <w:right w:val="nil"/>
            </w:tcBorders>
            <w:shd w:val="clear" w:color="auto" w:fill="auto"/>
            <w:noWrap/>
            <w:vAlign w:val="bottom"/>
            <w:hideMark/>
          </w:tcPr>
          <w:p w14:paraId="0C3F8CD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w:t>
            </w:r>
          </w:p>
        </w:tc>
        <w:tc>
          <w:tcPr>
            <w:tcW w:w="804" w:type="dxa"/>
            <w:tcBorders>
              <w:top w:val="nil"/>
              <w:left w:val="nil"/>
              <w:bottom w:val="nil"/>
              <w:right w:val="nil"/>
            </w:tcBorders>
            <w:shd w:val="clear" w:color="auto" w:fill="auto"/>
            <w:noWrap/>
            <w:vAlign w:val="bottom"/>
            <w:hideMark/>
          </w:tcPr>
          <w:p w14:paraId="0C3F8CE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w:t>
            </w:r>
          </w:p>
        </w:tc>
        <w:tc>
          <w:tcPr>
            <w:tcW w:w="774" w:type="dxa"/>
            <w:tcBorders>
              <w:top w:val="nil"/>
              <w:left w:val="nil"/>
              <w:bottom w:val="nil"/>
              <w:right w:val="nil"/>
            </w:tcBorders>
            <w:shd w:val="clear" w:color="auto" w:fill="auto"/>
            <w:noWrap/>
            <w:vAlign w:val="bottom"/>
            <w:hideMark/>
          </w:tcPr>
          <w:p w14:paraId="0C3F8CE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w:t>
            </w:r>
          </w:p>
        </w:tc>
        <w:tc>
          <w:tcPr>
            <w:tcW w:w="641" w:type="dxa"/>
            <w:tcBorders>
              <w:top w:val="nil"/>
              <w:left w:val="nil"/>
              <w:bottom w:val="nil"/>
              <w:right w:val="nil"/>
            </w:tcBorders>
            <w:shd w:val="clear" w:color="auto" w:fill="auto"/>
            <w:noWrap/>
            <w:vAlign w:val="bottom"/>
            <w:hideMark/>
          </w:tcPr>
          <w:p w14:paraId="0C3F8CE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w:t>
            </w:r>
          </w:p>
        </w:tc>
        <w:tc>
          <w:tcPr>
            <w:tcW w:w="785" w:type="dxa"/>
            <w:tcBorders>
              <w:top w:val="nil"/>
              <w:left w:val="nil"/>
              <w:bottom w:val="nil"/>
              <w:right w:val="nil"/>
            </w:tcBorders>
            <w:shd w:val="clear" w:color="auto" w:fill="auto"/>
            <w:noWrap/>
            <w:vAlign w:val="bottom"/>
            <w:hideMark/>
          </w:tcPr>
          <w:p w14:paraId="0C3F8CE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176</w:t>
            </w:r>
          </w:p>
        </w:tc>
        <w:tc>
          <w:tcPr>
            <w:tcW w:w="912" w:type="dxa"/>
            <w:tcBorders>
              <w:top w:val="nil"/>
              <w:left w:val="nil"/>
              <w:bottom w:val="nil"/>
              <w:right w:val="nil"/>
            </w:tcBorders>
            <w:shd w:val="clear" w:color="000000" w:fill="F2DCDB"/>
            <w:noWrap/>
            <w:vAlign w:val="bottom"/>
            <w:hideMark/>
          </w:tcPr>
          <w:p w14:paraId="0C3F8CE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199</w:t>
            </w:r>
          </w:p>
        </w:tc>
        <w:tc>
          <w:tcPr>
            <w:tcW w:w="912" w:type="dxa"/>
            <w:tcBorders>
              <w:top w:val="nil"/>
              <w:left w:val="nil"/>
              <w:bottom w:val="nil"/>
              <w:right w:val="single" w:sz="4" w:space="0" w:color="auto"/>
            </w:tcBorders>
            <w:shd w:val="clear" w:color="000000" w:fill="F2DCDB"/>
            <w:noWrap/>
            <w:vAlign w:val="bottom"/>
            <w:hideMark/>
          </w:tcPr>
          <w:p w14:paraId="0C3F8CE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w:t>
            </w:r>
          </w:p>
        </w:tc>
        <w:tc>
          <w:tcPr>
            <w:tcW w:w="723" w:type="dxa"/>
            <w:tcBorders>
              <w:top w:val="nil"/>
              <w:left w:val="nil"/>
              <w:bottom w:val="nil"/>
              <w:right w:val="nil"/>
            </w:tcBorders>
            <w:shd w:val="clear" w:color="auto" w:fill="auto"/>
            <w:noWrap/>
            <w:vAlign w:val="bottom"/>
            <w:hideMark/>
          </w:tcPr>
          <w:p w14:paraId="0C3F8CE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w:t>
            </w:r>
          </w:p>
        </w:tc>
        <w:tc>
          <w:tcPr>
            <w:tcW w:w="918" w:type="dxa"/>
            <w:tcBorders>
              <w:top w:val="nil"/>
              <w:left w:val="nil"/>
              <w:bottom w:val="nil"/>
              <w:right w:val="nil"/>
            </w:tcBorders>
            <w:shd w:val="clear" w:color="auto" w:fill="auto"/>
            <w:noWrap/>
            <w:vAlign w:val="bottom"/>
            <w:hideMark/>
          </w:tcPr>
          <w:p w14:paraId="0C3F8CE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33</w:t>
            </w:r>
          </w:p>
        </w:tc>
        <w:tc>
          <w:tcPr>
            <w:tcW w:w="622" w:type="dxa"/>
            <w:tcBorders>
              <w:top w:val="nil"/>
              <w:left w:val="nil"/>
              <w:bottom w:val="nil"/>
              <w:right w:val="nil"/>
            </w:tcBorders>
            <w:shd w:val="clear" w:color="auto" w:fill="auto"/>
            <w:noWrap/>
            <w:vAlign w:val="bottom"/>
            <w:hideMark/>
          </w:tcPr>
          <w:p w14:paraId="0C3F8CE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153</w:t>
            </w:r>
          </w:p>
        </w:tc>
        <w:tc>
          <w:tcPr>
            <w:tcW w:w="1028" w:type="dxa"/>
            <w:tcBorders>
              <w:top w:val="nil"/>
              <w:left w:val="nil"/>
              <w:bottom w:val="nil"/>
              <w:right w:val="nil"/>
            </w:tcBorders>
            <w:shd w:val="clear" w:color="auto" w:fill="auto"/>
            <w:noWrap/>
            <w:vAlign w:val="bottom"/>
            <w:hideMark/>
          </w:tcPr>
          <w:p w14:paraId="0C3F8CE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w:t>
            </w:r>
          </w:p>
        </w:tc>
        <w:tc>
          <w:tcPr>
            <w:tcW w:w="912" w:type="dxa"/>
            <w:tcBorders>
              <w:top w:val="nil"/>
              <w:left w:val="nil"/>
              <w:bottom w:val="nil"/>
              <w:right w:val="nil"/>
            </w:tcBorders>
            <w:shd w:val="clear" w:color="000000" w:fill="F2DCDB"/>
            <w:noWrap/>
            <w:vAlign w:val="bottom"/>
            <w:hideMark/>
          </w:tcPr>
          <w:p w14:paraId="0C3F8CE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199</w:t>
            </w:r>
          </w:p>
        </w:tc>
        <w:tc>
          <w:tcPr>
            <w:tcW w:w="912" w:type="dxa"/>
            <w:tcBorders>
              <w:top w:val="nil"/>
              <w:left w:val="nil"/>
              <w:bottom w:val="nil"/>
              <w:right w:val="single" w:sz="4" w:space="0" w:color="auto"/>
            </w:tcBorders>
            <w:shd w:val="clear" w:color="000000" w:fill="F2DCDB"/>
            <w:noWrap/>
            <w:vAlign w:val="bottom"/>
            <w:hideMark/>
          </w:tcPr>
          <w:p w14:paraId="0C3F8CE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w:t>
            </w:r>
          </w:p>
        </w:tc>
      </w:tr>
      <w:tr w:rsidR="00B6457B" w:rsidRPr="00393ABA" w14:paraId="0C3F8CFD" w14:textId="77777777" w:rsidTr="00393ABA">
        <w:trPr>
          <w:trHeight w:val="300"/>
        </w:trPr>
        <w:tc>
          <w:tcPr>
            <w:tcW w:w="1407" w:type="dxa"/>
            <w:vMerge/>
            <w:tcBorders>
              <w:top w:val="nil"/>
              <w:left w:val="single" w:sz="4" w:space="0" w:color="auto"/>
              <w:bottom w:val="nil"/>
              <w:right w:val="nil"/>
            </w:tcBorders>
            <w:vAlign w:val="center"/>
            <w:hideMark/>
          </w:tcPr>
          <w:p w14:paraId="0C3F8CED"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CE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CE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CF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804" w:type="dxa"/>
            <w:tcBorders>
              <w:top w:val="nil"/>
              <w:left w:val="nil"/>
              <w:bottom w:val="nil"/>
              <w:right w:val="nil"/>
            </w:tcBorders>
            <w:shd w:val="clear" w:color="auto" w:fill="auto"/>
            <w:noWrap/>
            <w:vAlign w:val="bottom"/>
            <w:hideMark/>
          </w:tcPr>
          <w:p w14:paraId="0C3F8CF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774" w:type="dxa"/>
            <w:tcBorders>
              <w:top w:val="nil"/>
              <w:left w:val="nil"/>
              <w:bottom w:val="nil"/>
              <w:right w:val="nil"/>
            </w:tcBorders>
            <w:shd w:val="clear" w:color="auto" w:fill="auto"/>
            <w:noWrap/>
            <w:vAlign w:val="bottom"/>
            <w:hideMark/>
          </w:tcPr>
          <w:p w14:paraId="0C3F8CF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641" w:type="dxa"/>
            <w:tcBorders>
              <w:top w:val="nil"/>
              <w:left w:val="nil"/>
              <w:bottom w:val="nil"/>
              <w:right w:val="nil"/>
            </w:tcBorders>
            <w:shd w:val="clear" w:color="auto" w:fill="auto"/>
            <w:noWrap/>
            <w:vAlign w:val="bottom"/>
            <w:hideMark/>
          </w:tcPr>
          <w:p w14:paraId="0C3F8CF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85" w:type="dxa"/>
            <w:tcBorders>
              <w:top w:val="nil"/>
              <w:left w:val="nil"/>
              <w:bottom w:val="nil"/>
              <w:right w:val="nil"/>
            </w:tcBorders>
            <w:shd w:val="clear" w:color="auto" w:fill="auto"/>
            <w:noWrap/>
            <w:vAlign w:val="bottom"/>
            <w:hideMark/>
          </w:tcPr>
          <w:p w14:paraId="0C3F8CF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86%</w:t>
            </w:r>
          </w:p>
        </w:tc>
        <w:tc>
          <w:tcPr>
            <w:tcW w:w="912" w:type="dxa"/>
            <w:tcBorders>
              <w:top w:val="nil"/>
              <w:left w:val="nil"/>
              <w:bottom w:val="nil"/>
              <w:right w:val="nil"/>
            </w:tcBorders>
            <w:shd w:val="clear" w:color="000000" w:fill="F2DCDB"/>
            <w:noWrap/>
            <w:vAlign w:val="bottom"/>
            <w:hideMark/>
          </w:tcPr>
          <w:p w14:paraId="0C3F8CF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97%</w:t>
            </w:r>
          </w:p>
        </w:tc>
        <w:tc>
          <w:tcPr>
            <w:tcW w:w="912" w:type="dxa"/>
            <w:tcBorders>
              <w:top w:val="nil"/>
              <w:left w:val="nil"/>
              <w:bottom w:val="nil"/>
              <w:right w:val="nil"/>
            </w:tcBorders>
            <w:shd w:val="clear" w:color="000000" w:fill="F2DCDB"/>
            <w:noWrap/>
            <w:vAlign w:val="bottom"/>
            <w:hideMark/>
          </w:tcPr>
          <w:p w14:paraId="0C3F8CF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w:t>
            </w:r>
          </w:p>
        </w:tc>
        <w:tc>
          <w:tcPr>
            <w:tcW w:w="723" w:type="dxa"/>
            <w:tcBorders>
              <w:top w:val="nil"/>
              <w:left w:val="single" w:sz="4" w:space="0" w:color="auto"/>
              <w:bottom w:val="nil"/>
              <w:right w:val="nil"/>
            </w:tcBorders>
            <w:shd w:val="clear" w:color="auto" w:fill="auto"/>
            <w:noWrap/>
            <w:vAlign w:val="bottom"/>
            <w:hideMark/>
          </w:tcPr>
          <w:p w14:paraId="0C3F8CF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8" w:type="dxa"/>
            <w:tcBorders>
              <w:top w:val="nil"/>
              <w:left w:val="nil"/>
              <w:bottom w:val="nil"/>
              <w:right w:val="nil"/>
            </w:tcBorders>
            <w:shd w:val="clear" w:color="auto" w:fill="auto"/>
            <w:noWrap/>
            <w:vAlign w:val="bottom"/>
            <w:hideMark/>
          </w:tcPr>
          <w:p w14:paraId="0C3F8CF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16%</w:t>
            </w:r>
          </w:p>
        </w:tc>
        <w:tc>
          <w:tcPr>
            <w:tcW w:w="622" w:type="dxa"/>
            <w:tcBorders>
              <w:top w:val="nil"/>
              <w:left w:val="nil"/>
              <w:bottom w:val="nil"/>
              <w:right w:val="nil"/>
            </w:tcBorders>
            <w:shd w:val="clear" w:color="auto" w:fill="auto"/>
            <w:noWrap/>
            <w:vAlign w:val="bottom"/>
            <w:hideMark/>
          </w:tcPr>
          <w:p w14:paraId="0C3F8CF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75%</w:t>
            </w:r>
          </w:p>
        </w:tc>
        <w:tc>
          <w:tcPr>
            <w:tcW w:w="1028" w:type="dxa"/>
            <w:tcBorders>
              <w:top w:val="nil"/>
              <w:left w:val="nil"/>
              <w:bottom w:val="nil"/>
              <w:right w:val="nil"/>
            </w:tcBorders>
            <w:shd w:val="clear" w:color="auto" w:fill="auto"/>
            <w:noWrap/>
            <w:vAlign w:val="bottom"/>
            <w:hideMark/>
          </w:tcPr>
          <w:p w14:paraId="0C3F8CF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912" w:type="dxa"/>
            <w:tcBorders>
              <w:top w:val="nil"/>
              <w:left w:val="nil"/>
              <w:bottom w:val="nil"/>
              <w:right w:val="nil"/>
            </w:tcBorders>
            <w:shd w:val="clear" w:color="000000" w:fill="F2DCDB"/>
            <w:noWrap/>
            <w:vAlign w:val="bottom"/>
            <w:hideMark/>
          </w:tcPr>
          <w:p w14:paraId="0C3F8CF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98%</w:t>
            </w:r>
          </w:p>
        </w:tc>
        <w:tc>
          <w:tcPr>
            <w:tcW w:w="912" w:type="dxa"/>
            <w:tcBorders>
              <w:top w:val="nil"/>
              <w:left w:val="nil"/>
              <w:bottom w:val="nil"/>
              <w:right w:val="single" w:sz="4" w:space="0" w:color="auto"/>
            </w:tcBorders>
            <w:shd w:val="clear" w:color="000000" w:fill="F2DCDB"/>
            <w:noWrap/>
            <w:vAlign w:val="bottom"/>
            <w:hideMark/>
          </w:tcPr>
          <w:p w14:paraId="0C3F8CF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w:t>
            </w:r>
          </w:p>
        </w:tc>
      </w:tr>
      <w:tr w:rsidR="00B6457B" w:rsidRPr="00393ABA" w14:paraId="0C3F8D0E"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CF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Burdekin</w:t>
            </w:r>
          </w:p>
        </w:tc>
        <w:tc>
          <w:tcPr>
            <w:tcW w:w="1120" w:type="dxa"/>
            <w:tcBorders>
              <w:top w:val="nil"/>
              <w:left w:val="single" w:sz="4" w:space="0" w:color="auto"/>
              <w:bottom w:val="nil"/>
              <w:right w:val="single" w:sz="4" w:space="0" w:color="auto"/>
            </w:tcBorders>
            <w:shd w:val="clear" w:color="000000" w:fill="F2F2F2"/>
            <w:noWrap/>
            <w:vAlign w:val="center"/>
            <w:hideMark/>
          </w:tcPr>
          <w:p w14:paraId="0C3F8CF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D0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621</w:t>
            </w:r>
          </w:p>
        </w:tc>
        <w:tc>
          <w:tcPr>
            <w:tcW w:w="735" w:type="dxa"/>
            <w:tcBorders>
              <w:top w:val="nil"/>
              <w:left w:val="nil"/>
              <w:bottom w:val="nil"/>
              <w:right w:val="nil"/>
            </w:tcBorders>
            <w:shd w:val="clear" w:color="auto" w:fill="auto"/>
            <w:noWrap/>
            <w:vAlign w:val="bottom"/>
            <w:hideMark/>
          </w:tcPr>
          <w:p w14:paraId="0C3F8D0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804" w:type="dxa"/>
            <w:tcBorders>
              <w:top w:val="nil"/>
              <w:left w:val="nil"/>
              <w:bottom w:val="nil"/>
              <w:right w:val="nil"/>
            </w:tcBorders>
            <w:shd w:val="clear" w:color="auto" w:fill="auto"/>
            <w:noWrap/>
            <w:vAlign w:val="bottom"/>
            <w:hideMark/>
          </w:tcPr>
          <w:p w14:paraId="0C3F8D0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774" w:type="dxa"/>
            <w:tcBorders>
              <w:top w:val="nil"/>
              <w:left w:val="nil"/>
              <w:bottom w:val="nil"/>
              <w:right w:val="nil"/>
            </w:tcBorders>
            <w:shd w:val="clear" w:color="auto" w:fill="auto"/>
            <w:noWrap/>
            <w:vAlign w:val="bottom"/>
            <w:hideMark/>
          </w:tcPr>
          <w:p w14:paraId="0C3F8D0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w:t>
            </w:r>
          </w:p>
        </w:tc>
        <w:tc>
          <w:tcPr>
            <w:tcW w:w="641" w:type="dxa"/>
            <w:tcBorders>
              <w:top w:val="nil"/>
              <w:left w:val="nil"/>
              <w:bottom w:val="nil"/>
              <w:right w:val="nil"/>
            </w:tcBorders>
            <w:shd w:val="clear" w:color="auto" w:fill="auto"/>
            <w:noWrap/>
            <w:vAlign w:val="bottom"/>
            <w:hideMark/>
          </w:tcPr>
          <w:p w14:paraId="0C3F8D0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w:t>
            </w:r>
          </w:p>
        </w:tc>
        <w:tc>
          <w:tcPr>
            <w:tcW w:w="785" w:type="dxa"/>
            <w:tcBorders>
              <w:top w:val="nil"/>
              <w:left w:val="nil"/>
              <w:bottom w:val="nil"/>
              <w:right w:val="nil"/>
            </w:tcBorders>
            <w:shd w:val="clear" w:color="auto" w:fill="auto"/>
            <w:noWrap/>
            <w:vAlign w:val="bottom"/>
            <w:hideMark/>
          </w:tcPr>
          <w:p w14:paraId="0C3F8D0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600</w:t>
            </w:r>
          </w:p>
        </w:tc>
        <w:tc>
          <w:tcPr>
            <w:tcW w:w="912" w:type="dxa"/>
            <w:tcBorders>
              <w:top w:val="nil"/>
              <w:left w:val="nil"/>
              <w:bottom w:val="nil"/>
              <w:right w:val="nil"/>
            </w:tcBorders>
            <w:shd w:val="clear" w:color="000000" w:fill="F2DCDB"/>
            <w:noWrap/>
            <w:vAlign w:val="bottom"/>
            <w:hideMark/>
          </w:tcPr>
          <w:p w14:paraId="0C3F8D06"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619</w:t>
            </w:r>
          </w:p>
        </w:tc>
        <w:tc>
          <w:tcPr>
            <w:tcW w:w="912" w:type="dxa"/>
            <w:tcBorders>
              <w:top w:val="nil"/>
              <w:left w:val="nil"/>
              <w:bottom w:val="nil"/>
              <w:right w:val="single" w:sz="4" w:space="0" w:color="auto"/>
            </w:tcBorders>
            <w:shd w:val="clear" w:color="000000" w:fill="F2DCDB"/>
            <w:noWrap/>
            <w:vAlign w:val="bottom"/>
            <w:hideMark/>
          </w:tcPr>
          <w:p w14:paraId="0C3F8D0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w:t>
            </w:r>
          </w:p>
        </w:tc>
        <w:tc>
          <w:tcPr>
            <w:tcW w:w="723" w:type="dxa"/>
            <w:tcBorders>
              <w:top w:val="nil"/>
              <w:left w:val="nil"/>
              <w:bottom w:val="nil"/>
              <w:right w:val="nil"/>
            </w:tcBorders>
            <w:shd w:val="clear" w:color="auto" w:fill="auto"/>
            <w:noWrap/>
            <w:vAlign w:val="bottom"/>
            <w:hideMark/>
          </w:tcPr>
          <w:p w14:paraId="0C3F8D0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8" w:type="dxa"/>
            <w:tcBorders>
              <w:top w:val="nil"/>
              <w:left w:val="nil"/>
              <w:bottom w:val="nil"/>
              <w:right w:val="nil"/>
            </w:tcBorders>
            <w:shd w:val="clear" w:color="auto" w:fill="auto"/>
            <w:noWrap/>
            <w:vAlign w:val="bottom"/>
            <w:hideMark/>
          </w:tcPr>
          <w:p w14:paraId="0C3F8D0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117</w:t>
            </w:r>
          </w:p>
        </w:tc>
        <w:tc>
          <w:tcPr>
            <w:tcW w:w="622" w:type="dxa"/>
            <w:tcBorders>
              <w:top w:val="nil"/>
              <w:left w:val="nil"/>
              <w:bottom w:val="nil"/>
              <w:right w:val="nil"/>
            </w:tcBorders>
            <w:shd w:val="clear" w:color="auto" w:fill="auto"/>
            <w:noWrap/>
            <w:vAlign w:val="bottom"/>
            <w:hideMark/>
          </w:tcPr>
          <w:p w14:paraId="0C3F8D0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433</w:t>
            </w:r>
          </w:p>
        </w:tc>
        <w:tc>
          <w:tcPr>
            <w:tcW w:w="1028" w:type="dxa"/>
            <w:tcBorders>
              <w:top w:val="nil"/>
              <w:left w:val="nil"/>
              <w:bottom w:val="nil"/>
              <w:right w:val="nil"/>
            </w:tcBorders>
            <w:shd w:val="clear" w:color="auto" w:fill="auto"/>
            <w:noWrap/>
            <w:vAlign w:val="bottom"/>
            <w:hideMark/>
          </w:tcPr>
          <w:p w14:paraId="0C3F8D0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68</w:t>
            </w:r>
          </w:p>
        </w:tc>
        <w:tc>
          <w:tcPr>
            <w:tcW w:w="912" w:type="dxa"/>
            <w:tcBorders>
              <w:top w:val="nil"/>
              <w:left w:val="nil"/>
              <w:bottom w:val="nil"/>
              <w:right w:val="nil"/>
            </w:tcBorders>
            <w:shd w:val="clear" w:color="000000" w:fill="F2DCDB"/>
            <w:noWrap/>
            <w:vAlign w:val="bottom"/>
            <w:hideMark/>
          </w:tcPr>
          <w:p w14:paraId="0C3F8D0C"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619</w:t>
            </w:r>
          </w:p>
        </w:tc>
        <w:tc>
          <w:tcPr>
            <w:tcW w:w="912" w:type="dxa"/>
            <w:tcBorders>
              <w:top w:val="nil"/>
              <w:left w:val="nil"/>
              <w:bottom w:val="nil"/>
              <w:right w:val="single" w:sz="4" w:space="0" w:color="auto"/>
            </w:tcBorders>
            <w:shd w:val="clear" w:color="000000" w:fill="F2DCDB"/>
            <w:noWrap/>
            <w:vAlign w:val="bottom"/>
            <w:hideMark/>
          </w:tcPr>
          <w:p w14:paraId="0C3F8D0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w:t>
            </w:r>
          </w:p>
        </w:tc>
      </w:tr>
      <w:tr w:rsidR="00B6457B" w:rsidRPr="00393ABA" w14:paraId="0C3F8D1F" w14:textId="77777777" w:rsidTr="00393ABA">
        <w:trPr>
          <w:trHeight w:val="300"/>
        </w:trPr>
        <w:tc>
          <w:tcPr>
            <w:tcW w:w="1407" w:type="dxa"/>
            <w:vMerge/>
            <w:tcBorders>
              <w:top w:val="nil"/>
              <w:left w:val="single" w:sz="4" w:space="0" w:color="auto"/>
              <w:bottom w:val="nil"/>
              <w:right w:val="nil"/>
            </w:tcBorders>
            <w:vAlign w:val="center"/>
            <w:hideMark/>
          </w:tcPr>
          <w:p w14:paraId="0C3F8D0F"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D1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D1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D1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4" w:type="dxa"/>
            <w:tcBorders>
              <w:top w:val="nil"/>
              <w:left w:val="nil"/>
              <w:bottom w:val="nil"/>
              <w:right w:val="nil"/>
            </w:tcBorders>
            <w:shd w:val="clear" w:color="auto" w:fill="auto"/>
            <w:noWrap/>
            <w:vAlign w:val="bottom"/>
            <w:hideMark/>
          </w:tcPr>
          <w:p w14:paraId="0C3F8D1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774" w:type="dxa"/>
            <w:tcBorders>
              <w:top w:val="nil"/>
              <w:left w:val="nil"/>
              <w:bottom w:val="nil"/>
              <w:right w:val="nil"/>
            </w:tcBorders>
            <w:shd w:val="clear" w:color="auto" w:fill="auto"/>
            <w:noWrap/>
            <w:vAlign w:val="bottom"/>
            <w:hideMark/>
          </w:tcPr>
          <w:p w14:paraId="0C3F8D1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641" w:type="dxa"/>
            <w:tcBorders>
              <w:top w:val="nil"/>
              <w:left w:val="nil"/>
              <w:bottom w:val="nil"/>
              <w:right w:val="nil"/>
            </w:tcBorders>
            <w:shd w:val="clear" w:color="auto" w:fill="auto"/>
            <w:noWrap/>
            <w:vAlign w:val="bottom"/>
            <w:hideMark/>
          </w:tcPr>
          <w:p w14:paraId="0C3F8D1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785" w:type="dxa"/>
            <w:tcBorders>
              <w:top w:val="nil"/>
              <w:left w:val="nil"/>
              <w:bottom w:val="nil"/>
              <w:right w:val="nil"/>
            </w:tcBorders>
            <w:shd w:val="clear" w:color="auto" w:fill="auto"/>
            <w:noWrap/>
            <w:vAlign w:val="bottom"/>
            <w:hideMark/>
          </w:tcPr>
          <w:p w14:paraId="0C3F8D1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97%</w:t>
            </w:r>
          </w:p>
        </w:tc>
        <w:tc>
          <w:tcPr>
            <w:tcW w:w="912" w:type="dxa"/>
            <w:tcBorders>
              <w:top w:val="nil"/>
              <w:left w:val="nil"/>
              <w:bottom w:val="nil"/>
              <w:right w:val="nil"/>
            </w:tcBorders>
            <w:shd w:val="clear" w:color="000000" w:fill="F2DCDB"/>
            <w:noWrap/>
            <w:vAlign w:val="bottom"/>
            <w:hideMark/>
          </w:tcPr>
          <w:p w14:paraId="0C3F8D1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D1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D1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8" w:type="dxa"/>
            <w:tcBorders>
              <w:top w:val="nil"/>
              <w:left w:val="nil"/>
              <w:bottom w:val="nil"/>
              <w:right w:val="nil"/>
            </w:tcBorders>
            <w:shd w:val="clear" w:color="auto" w:fill="auto"/>
            <w:noWrap/>
            <w:vAlign w:val="bottom"/>
            <w:hideMark/>
          </w:tcPr>
          <w:p w14:paraId="0C3F8D1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19%</w:t>
            </w:r>
          </w:p>
        </w:tc>
        <w:tc>
          <w:tcPr>
            <w:tcW w:w="622" w:type="dxa"/>
            <w:tcBorders>
              <w:top w:val="nil"/>
              <w:left w:val="nil"/>
              <w:bottom w:val="nil"/>
              <w:right w:val="nil"/>
            </w:tcBorders>
            <w:shd w:val="clear" w:color="auto" w:fill="auto"/>
            <w:noWrap/>
            <w:vAlign w:val="bottom"/>
            <w:hideMark/>
          </w:tcPr>
          <w:p w14:paraId="0C3F8D1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70%</w:t>
            </w:r>
          </w:p>
        </w:tc>
        <w:tc>
          <w:tcPr>
            <w:tcW w:w="1028" w:type="dxa"/>
            <w:tcBorders>
              <w:top w:val="nil"/>
              <w:left w:val="nil"/>
              <w:bottom w:val="nil"/>
              <w:right w:val="nil"/>
            </w:tcBorders>
            <w:shd w:val="clear" w:color="auto" w:fill="auto"/>
            <w:noWrap/>
            <w:vAlign w:val="bottom"/>
            <w:hideMark/>
          </w:tcPr>
          <w:p w14:paraId="0C3F8D1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11%</w:t>
            </w:r>
          </w:p>
        </w:tc>
        <w:tc>
          <w:tcPr>
            <w:tcW w:w="912" w:type="dxa"/>
            <w:tcBorders>
              <w:top w:val="nil"/>
              <w:left w:val="nil"/>
              <w:bottom w:val="nil"/>
              <w:right w:val="nil"/>
            </w:tcBorders>
            <w:shd w:val="clear" w:color="000000" w:fill="F2DCDB"/>
            <w:noWrap/>
            <w:vAlign w:val="bottom"/>
            <w:hideMark/>
          </w:tcPr>
          <w:p w14:paraId="0C3F8D1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D1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D30" w14:textId="77777777" w:rsidTr="00393ABA">
        <w:trPr>
          <w:trHeight w:val="300"/>
        </w:trPr>
        <w:tc>
          <w:tcPr>
            <w:tcW w:w="1407" w:type="dxa"/>
            <w:vMerge w:val="restart"/>
            <w:tcBorders>
              <w:top w:val="nil"/>
              <w:left w:val="single" w:sz="4" w:space="0" w:color="auto"/>
              <w:bottom w:val="nil"/>
              <w:right w:val="single" w:sz="4" w:space="0" w:color="auto"/>
            </w:tcBorders>
            <w:shd w:val="clear" w:color="000000" w:fill="F2F2F2"/>
            <w:vAlign w:val="center"/>
            <w:hideMark/>
          </w:tcPr>
          <w:p w14:paraId="0C3F8D2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Mackay-Whitsundays</w:t>
            </w:r>
          </w:p>
        </w:tc>
        <w:tc>
          <w:tcPr>
            <w:tcW w:w="1120" w:type="dxa"/>
            <w:tcBorders>
              <w:top w:val="nil"/>
              <w:left w:val="nil"/>
              <w:bottom w:val="nil"/>
              <w:right w:val="single" w:sz="4" w:space="0" w:color="auto"/>
            </w:tcBorders>
            <w:shd w:val="clear" w:color="000000" w:fill="F2F2F2"/>
            <w:noWrap/>
            <w:vAlign w:val="center"/>
            <w:hideMark/>
          </w:tcPr>
          <w:p w14:paraId="0C3F8D2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D2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231</w:t>
            </w:r>
          </w:p>
        </w:tc>
        <w:tc>
          <w:tcPr>
            <w:tcW w:w="735" w:type="dxa"/>
            <w:tcBorders>
              <w:top w:val="nil"/>
              <w:left w:val="nil"/>
              <w:bottom w:val="nil"/>
              <w:right w:val="nil"/>
            </w:tcBorders>
            <w:shd w:val="clear" w:color="auto" w:fill="auto"/>
            <w:noWrap/>
            <w:vAlign w:val="bottom"/>
            <w:hideMark/>
          </w:tcPr>
          <w:p w14:paraId="0C3F8D2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04" w:type="dxa"/>
            <w:tcBorders>
              <w:top w:val="nil"/>
              <w:left w:val="nil"/>
              <w:bottom w:val="nil"/>
              <w:right w:val="nil"/>
            </w:tcBorders>
            <w:shd w:val="clear" w:color="auto" w:fill="auto"/>
            <w:noWrap/>
            <w:vAlign w:val="bottom"/>
            <w:hideMark/>
          </w:tcPr>
          <w:p w14:paraId="0C3F8D2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w:t>
            </w:r>
          </w:p>
        </w:tc>
        <w:tc>
          <w:tcPr>
            <w:tcW w:w="774" w:type="dxa"/>
            <w:tcBorders>
              <w:top w:val="nil"/>
              <w:left w:val="nil"/>
              <w:bottom w:val="nil"/>
              <w:right w:val="nil"/>
            </w:tcBorders>
            <w:shd w:val="clear" w:color="auto" w:fill="auto"/>
            <w:noWrap/>
            <w:vAlign w:val="bottom"/>
            <w:hideMark/>
          </w:tcPr>
          <w:p w14:paraId="0C3F8D2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w:t>
            </w:r>
          </w:p>
        </w:tc>
        <w:tc>
          <w:tcPr>
            <w:tcW w:w="641" w:type="dxa"/>
            <w:tcBorders>
              <w:top w:val="nil"/>
              <w:left w:val="nil"/>
              <w:bottom w:val="nil"/>
              <w:right w:val="nil"/>
            </w:tcBorders>
            <w:shd w:val="clear" w:color="auto" w:fill="auto"/>
            <w:noWrap/>
            <w:vAlign w:val="bottom"/>
            <w:hideMark/>
          </w:tcPr>
          <w:p w14:paraId="0C3F8D2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w:t>
            </w:r>
          </w:p>
        </w:tc>
        <w:tc>
          <w:tcPr>
            <w:tcW w:w="785" w:type="dxa"/>
            <w:tcBorders>
              <w:top w:val="nil"/>
              <w:left w:val="nil"/>
              <w:bottom w:val="nil"/>
              <w:right w:val="nil"/>
            </w:tcBorders>
            <w:shd w:val="clear" w:color="auto" w:fill="auto"/>
            <w:noWrap/>
            <w:vAlign w:val="bottom"/>
            <w:hideMark/>
          </w:tcPr>
          <w:p w14:paraId="0C3F8D2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161</w:t>
            </w:r>
          </w:p>
        </w:tc>
        <w:tc>
          <w:tcPr>
            <w:tcW w:w="912" w:type="dxa"/>
            <w:tcBorders>
              <w:top w:val="nil"/>
              <w:left w:val="nil"/>
              <w:bottom w:val="nil"/>
              <w:right w:val="nil"/>
            </w:tcBorders>
            <w:shd w:val="clear" w:color="000000" w:fill="F2DCDB"/>
            <w:noWrap/>
            <w:vAlign w:val="bottom"/>
            <w:hideMark/>
          </w:tcPr>
          <w:p w14:paraId="0C3F8D28"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225</w:t>
            </w:r>
          </w:p>
        </w:tc>
        <w:tc>
          <w:tcPr>
            <w:tcW w:w="912" w:type="dxa"/>
            <w:tcBorders>
              <w:top w:val="nil"/>
              <w:left w:val="nil"/>
              <w:bottom w:val="nil"/>
              <w:right w:val="single" w:sz="4" w:space="0" w:color="auto"/>
            </w:tcBorders>
            <w:shd w:val="clear" w:color="000000" w:fill="F2DCDB"/>
            <w:noWrap/>
            <w:vAlign w:val="bottom"/>
            <w:hideMark/>
          </w:tcPr>
          <w:p w14:paraId="0C3F8D2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6</w:t>
            </w:r>
          </w:p>
        </w:tc>
        <w:tc>
          <w:tcPr>
            <w:tcW w:w="723" w:type="dxa"/>
            <w:tcBorders>
              <w:top w:val="nil"/>
              <w:left w:val="nil"/>
              <w:bottom w:val="nil"/>
              <w:right w:val="nil"/>
            </w:tcBorders>
            <w:shd w:val="clear" w:color="auto" w:fill="auto"/>
            <w:noWrap/>
            <w:vAlign w:val="bottom"/>
            <w:hideMark/>
          </w:tcPr>
          <w:p w14:paraId="0C3F8D2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8" w:type="dxa"/>
            <w:tcBorders>
              <w:top w:val="nil"/>
              <w:left w:val="nil"/>
              <w:bottom w:val="nil"/>
              <w:right w:val="nil"/>
            </w:tcBorders>
            <w:shd w:val="clear" w:color="auto" w:fill="auto"/>
            <w:noWrap/>
            <w:vAlign w:val="bottom"/>
            <w:hideMark/>
          </w:tcPr>
          <w:p w14:paraId="0C3F8D2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57</w:t>
            </w:r>
          </w:p>
        </w:tc>
        <w:tc>
          <w:tcPr>
            <w:tcW w:w="622" w:type="dxa"/>
            <w:tcBorders>
              <w:top w:val="nil"/>
              <w:left w:val="nil"/>
              <w:bottom w:val="nil"/>
              <w:right w:val="nil"/>
            </w:tcBorders>
            <w:shd w:val="clear" w:color="auto" w:fill="auto"/>
            <w:noWrap/>
            <w:vAlign w:val="bottom"/>
            <w:hideMark/>
          </w:tcPr>
          <w:p w14:paraId="0C3F8D2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151</w:t>
            </w:r>
          </w:p>
        </w:tc>
        <w:tc>
          <w:tcPr>
            <w:tcW w:w="1028" w:type="dxa"/>
            <w:tcBorders>
              <w:top w:val="nil"/>
              <w:left w:val="nil"/>
              <w:bottom w:val="nil"/>
              <w:right w:val="nil"/>
            </w:tcBorders>
            <w:shd w:val="clear" w:color="auto" w:fill="auto"/>
            <w:noWrap/>
            <w:vAlign w:val="bottom"/>
            <w:hideMark/>
          </w:tcPr>
          <w:p w14:paraId="0C3F8D2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w:t>
            </w:r>
          </w:p>
        </w:tc>
        <w:tc>
          <w:tcPr>
            <w:tcW w:w="912" w:type="dxa"/>
            <w:tcBorders>
              <w:top w:val="nil"/>
              <w:left w:val="nil"/>
              <w:bottom w:val="nil"/>
              <w:right w:val="nil"/>
            </w:tcBorders>
            <w:shd w:val="clear" w:color="000000" w:fill="F2DCDB"/>
            <w:noWrap/>
            <w:vAlign w:val="bottom"/>
            <w:hideMark/>
          </w:tcPr>
          <w:p w14:paraId="0C3F8D2E"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223</w:t>
            </w:r>
          </w:p>
        </w:tc>
        <w:tc>
          <w:tcPr>
            <w:tcW w:w="912" w:type="dxa"/>
            <w:tcBorders>
              <w:top w:val="nil"/>
              <w:left w:val="nil"/>
              <w:bottom w:val="nil"/>
              <w:right w:val="single" w:sz="4" w:space="0" w:color="auto"/>
            </w:tcBorders>
            <w:shd w:val="clear" w:color="000000" w:fill="F2DCDB"/>
            <w:noWrap/>
            <w:vAlign w:val="bottom"/>
            <w:hideMark/>
          </w:tcPr>
          <w:p w14:paraId="0C3F8D2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8</w:t>
            </w:r>
          </w:p>
        </w:tc>
      </w:tr>
      <w:tr w:rsidR="00B6457B" w:rsidRPr="00393ABA" w14:paraId="0C3F8D41" w14:textId="77777777" w:rsidTr="00393ABA">
        <w:trPr>
          <w:trHeight w:val="300"/>
        </w:trPr>
        <w:tc>
          <w:tcPr>
            <w:tcW w:w="1407" w:type="dxa"/>
            <w:vMerge/>
            <w:tcBorders>
              <w:top w:val="nil"/>
              <w:left w:val="single" w:sz="4" w:space="0" w:color="auto"/>
              <w:bottom w:val="nil"/>
              <w:right w:val="single" w:sz="4" w:space="0" w:color="auto"/>
            </w:tcBorders>
            <w:vAlign w:val="center"/>
            <w:hideMark/>
          </w:tcPr>
          <w:p w14:paraId="0C3F8D31"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nil"/>
              <w:right w:val="single" w:sz="4" w:space="0" w:color="auto"/>
            </w:tcBorders>
            <w:shd w:val="clear" w:color="000000" w:fill="F2F2F2"/>
            <w:noWrap/>
            <w:vAlign w:val="center"/>
            <w:hideMark/>
          </w:tcPr>
          <w:p w14:paraId="0C3F8D3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D3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D3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4" w:type="dxa"/>
            <w:tcBorders>
              <w:top w:val="nil"/>
              <w:left w:val="nil"/>
              <w:bottom w:val="nil"/>
              <w:right w:val="nil"/>
            </w:tcBorders>
            <w:shd w:val="clear" w:color="auto" w:fill="auto"/>
            <w:noWrap/>
            <w:vAlign w:val="bottom"/>
            <w:hideMark/>
          </w:tcPr>
          <w:p w14:paraId="0C3F8D3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774" w:type="dxa"/>
            <w:tcBorders>
              <w:top w:val="nil"/>
              <w:left w:val="nil"/>
              <w:bottom w:val="nil"/>
              <w:right w:val="nil"/>
            </w:tcBorders>
            <w:shd w:val="clear" w:color="auto" w:fill="auto"/>
            <w:noWrap/>
            <w:vAlign w:val="bottom"/>
            <w:hideMark/>
          </w:tcPr>
          <w:p w14:paraId="0C3F8D3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13%</w:t>
            </w:r>
          </w:p>
        </w:tc>
        <w:tc>
          <w:tcPr>
            <w:tcW w:w="641" w:type="dxa"/>
            <w:tcBorders>
              <w:top w:val="nil"/>
              <w:left w:val="nil"/>
              <w:bottom w:val="nil"/>
              <w:right w:val="nil"/>
            </w:tcBorders>
            <w:shd w:val="clear" w:color="auto" w:fill="auto"/>
            <w:noWrap/>
            <w:vAlign w:val="bottom"/>
            <w:hideMark/>
          </w:tcPr>
          <w:p w14:paraId="0C3F8D3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13%</w:t>
            </w:r>
          </w:p>
        </w:tc>
        <w:tc>
          <w:tcPr>
            <w:tcW w:w="785" w:type="dxa"/>
            <w:tcBorders>
              <w:top w:val="nil"/>
              <w:left w:val="nil"/>
              <w:bottom w:val="nil"/>
              <w:right w:val="nil"/>
            </w:tcBorders>
            <w:shd w:val="clear" w:color="auto" w:fill="auto"/>
            <w:noWrap/>
            <w:vAlign w:val="bottom"/>
            <w:hideMark/>
          </w:tcPr>
          <w:p w14:paraId="0C3F8D3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70%</w:t>
            </w:r>
          </w:p>
        </w:tc>
        <w:tc>
          <w:tcPr>
            <w:tcW w:w="912" w:type="dxa"/>
            <w:tcBorders>
              <w:top w:val="nil"/>
              <w:left w:val="nil"/>
              <w:bottom w:val="nil"/>
              <w:right w:val="nil"/>
            </w:tcBorders>
            <w:shd w:val="clear" w:color="000000" w:fill="F2DCDB"/>
            <w:noWrap/>
            <w:vAlign w:val="bottom"/>
            <w:hideMark/>
          </w:tcPr>
          <w:p w14:paraId="0C3F8D3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97%</w:t>
            </w:r>
          </w:p>
        </w:tc>
        <w:tc>
          <w:tcPr>
            <w:tcW w:w="912" w:type="dxa"/>
            <w:tcBorders>
              <w:top w:val="nil"/>
              <w:left w:val="nil"/>
              <w:bottom w:val="nil"/>
              <w:right w:val="nil"/>
            </w:tcBorders>
            <w:shd w:val="clear" w:color="000000" w:fill="F2DCDB"/>
            <w:noWrap/>
            <w:vAlign w:val="bottom"/>
            <w:hideMark/>
          </w:tcPr>
          <w:p w14:paraId="0C3F8D3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w:t>
            </w:r>
          </w:p>
        </w:tc>
        <w:tc>
          <w:tcPr>
            <w:tcW w:w="723" w:type="dxa"/>
            <w:tcBorders>
              <w:top w:val="nil"/>
              <w:left w:val="single" w:sz="4" w:space="0" w:color="auto"/>
              <w:bottom w:val="nil"/>
              <w:right w:val="nil"/>
            </w:tcBorders>
            <w:shd w:val="clear" w:color="auto" w:fill="auto"/>
            <w:noWrap/>
            <w:vAlign w:val="bottom"/>
            <w:hideMark/>
          </w:tcPr>
          <w:p w14:paraId="0C3F8D3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8" w:type="dxa"/>
            <w:tcBorders>
              <w:top w:val="nil"/>
              <w:left w:val="nil"/>
              <w:bottom w:val="nil"/>
              <w:right w:val="nil"/>
            </w:tcBorders>
            <w:shd w:val="clear" w:color="auto" w:fill="auto"/>
            <w:noWrap/>
            <w:vAlign w:val="bottom"/>
            <w:hideMark/>
          </w:tcPr>
          <w:p w14:paraId="0C3F8D3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25%</w:t>
            </w:r>
          </w:p>
        </w:tc>
        <w:tc>
          <w:tcPr>
            <w:tcW w:w="622" w:type="dxa"/>
            <w:tcBorders>
              <w:top w:val="nil"/>
              <w:left w:val="nil"/>
              <w:bottom w:val="nil"/>
              <w:right w:val="nil"/>
            </w:tcBorders>
            <w:shd w:val="clear" w:color="auto" w:fill="auto"/>
            <w:noWrap/>
            <w:vAlign w:val="bottom"/>
            <w:hideMark/>
          </w:tcPr>
          <w:p w14:paraId="0C3F8D3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65%</w:t>
            </w:r>
          </w:p>
        </w:tc>
        <w:tc>
          <w:tcPr>
            <w:tcW w:w="1028" w:type="dxa"/>
            <w:tcBorders>
              <w:top w:val="nil"/>
              <w:left w:val="nil"/>
              <w:bottom w:val="nil"/>
              <w:right w:val="nil"/>
            </w:tcBorders>
            <w:shd w:val="clear" w:color="auto" w:fill="auto"/>
            <w:noWrap/>
            <w:vAlign w:val="bottom"/>
            <w:hideMark/>
          </w:tcPr>
          <w:p w14:paraId="0C3F8D3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912" w:type="dxa"/>
            <w:tcBorders>
              <w:top w:val="nil"/>
              <w:left w:val="nil"/>
              <w:bottom w:val="nil"/>
              <w:right w:val="nil"/>
            </w:tcBorders>
            <w:shd w:val="clear" w:color="000000" w:fill="F2DCDB"/>
            <w:noWrap/>
            <w:vAlign w:val="bottom"/>
            <w:hideMark/>
          </w:tcPr>
          <w:p w14:paraId="0C3F8D3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97%</w:t>
            </w:r>
          </w:p>
        </w:tc>
        <w:tc>
          <w:tcPr>
            <w:tcW w:w="912" w:type="dxa"/>
            <w:tcBorders>
              <w:top w:val="nil"/>
              <w:left w:val="nil"/>
              <w:bottom w:val="nil"/>
              <w:right w:val="single" w:sz="4" w:space="0" w:color="auto"/>
            </w:tcBorders>
            <w:shd w:val="clear" w:color="000000" w:fill="F2DCDB"/>
            <w:noWrap/>
            <w:vAlign w:val="bottom"/>
            <w:hideMark/>
          </w:tcPr>
          <w:p w14:paraId="0C3F8D4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w:t>
            </w:r>
          </w:p>
        </w:tc>
      </w:tr>
      <w:tr w:rsidR="00B6457B" w:rsidRPr="00393ABA" w14:paraId="0C3F8D52"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D4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Fitzroy</w:t>
            </w:r>
          </w:p>
        </w:tc>
        <w:tc>
          <w:tcPr>
            <w:tcW w:w="1120" w:type="dxa"/>
            <w:tcBorders>
              <w:top w:val="nil"/>
              <w:left w:val="single" w:sz="4" w:space="0" w:color="auto"/>
              <w:bottom w:val="nil"/>
              <w:right w:val="single" w:sz="4" w:space="0" w:color="auto"/>
            </w:tcBorders>
            <w:shd w:val="clear" w:color="000000" w:fill="F2F2F2"/>
            <w:noWrap/>
            <w:vAlign w:val="center"/>
            <w:hideMark/>
          </w:tcPr>
          <w:p w14:paraId="0C3F8D4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D4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247</w:t>
            </w:r>
          </w:p>
        </w:tc>
        <w:tc>
          <w:tcPr>
            <w:tcW w:w="735" w:type="dxa"/>
            <w:tcBorders>
              <w:top w:val="nil"/>
              <w:left w:val="nil"/>
              <w:bottom w:val="nil"/>
              <w:right w:val="nil"/>
            </w:tcBorders>
            <w:shd w:val="clear" w:color="auto" w:fill="auto"/>
            <w:noWrap/>
            <w:vAlign w:val="bottom"/>
            <w:hideMark/>
          </w:tcPr>
          <w:p w14:paraId="0C3F8D4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04" w:type="dxa"/>
            <w:tcBorders>
              <w:top w:val="nil"/>
              <w:left w:val="nil"/>
              <w:bottom w:val="nil"/>
              <w:right w:val="nil"/>
            </w:tcBorders>
            <w:shd w:val="clear" w:color="auto" w:fill="auto"/>
            <w:noWrap/>
            <w:vAlign w:val="bottom"/>
            <w:hideMark/>
          </w:tcPr>
          <w:p w14:paraId="0C3F8D4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w:t>
            </w:r>
          </w:p>
        </w:tc>
        <w:tc>
          <w:tcPr>
            <w:tcW w:w="774" w:type="dxa"/>
            <w:tcBorders>
              <w:top w:val="nil"/>
              <w:left w:val="nil"/>
              <w:bottom w:val="nil"/>
              <w:right w:val="nil"/>
            </w:tcBorders>
            <w:shd w:val="clear" w:color="auto" w:fill="auto"/>
            <w:noWrap/>
            <w:vAlign w:val="bottom"/>
            <w:hideMark/>
          </w:tcPr>
          <w:p w14:paraId="0C3F8D4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w:t>
            </w:r>
          </w:p>
        </w:tc>
        <w:tc>
          <w:tcPr>
            <w:tcW w:w="641" w:type="dxa"/>
            <w:tcBorders>
              <w:top w:val="nil"/>
              <w:left w:val="nil"/>
              <w:bottom w:val="nil"/>
              <w:right w:val="nil"/>
            </w:tcBorders>
            <w:shd w:val="clear" w:color="auto" w:fill="auto"/>
            <w:noWrap/>
            <w:vAlign w:val="bottom"/>
            <w:hideMark/>
          </w:tcPr>
          <w:p w14:paraId="0C3F8D4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w:t>
            </w:r>
          </w:p>
        </w:tc>
        <w:tc>
          <w:tcPr>
            <w:tcW w:w="785" w:type="dxa"/>
            <w:tcBorders>
              <w:top w:val="nil"/>
              <w:left w:val="nil"/>
              <w:bottom w:val="nil"/>
              <w:right w:val="nil"/>
            </w:tcBorders>
            <w:shd w:val="clear" w:color="auto" w:fill="auto"/>
            <w:noWrap/>
            <w:vAlign w:val="bottom"/>
            <w:hideMark/>
          </w:tcPr>
          <w:p w14:paraId="0C3F8D4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225</w:t>
            </w:r>
          </w:p>
        </w:tc>
        <w:tc>
          <w:tcPr>
            <w:tcW w:w="912" w:type="dxa"/>
            <w:tcBorders>
              <w:top w:val="nil"/>
              <w:left w:val="nil"/>
              <w:bottom w:val="nil"/>
              <w:right w:val="nil"/>
            </w:tcBorders>
            <w:shd w:val="clear" w:color="000000" w:fill="F2DCDB"/>
            <w:noWrap/>
            <w:vAlign w:val="bottom"/>
            <w:hideMark/>
          </w:tcPr>
          <w:p w14:paraId="0C3F8D4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253</w:t>
            </w:r>
          </w:p>
        </w:tc>
        <w:tc>
          <w:tcPr>
            <w:tcW w:w="912" w:type="dxa"/>
            <w:tcBorders>
              <w:top w:val="nil"/>
              <w:left w:val="nil"/>
              <w:bottom w:val="nil"/>
              <w:right w:val="single" w:sz="4" w:space="0" w:color="auto"/>
            </w:tcBorders>
            <w:shd w:val="clear" w:color="000000" w:fill="F2DCDB"/>
            <w:noWrap/>
            <w:vAlign w:val="bottom"/>
            <w:hideMark/>
          </w:tcPr>
          <w:p w14:paraId="0C3F8D4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723" w:type="dxa"/>
            <w:tcBorders>
              <w:top w:val="nil"/>
              <w:left w:val="nil"/>
              <w:bottom w:val="nil"/>
              <w:right w:val="nil"/>
            </w:tcBorders>
            <w:shd w:val="clear" w:color="auto" w:fill="auto"/>
            <w:noWrap/>
            <w:vAlign w:val="bottom"/>
            <w:hideMark/>
          </w:tcPr>
          <w:p w14:paraId="0C3F8D4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8" w:type="dxa"/>
            <w:tcBorders>
              <w:top w:val="nil"/>
              <w:left w:val="nil"/>
              <w:bottom w:val="nil"/>
              <w:right w:val="nil"/>
            </w:tcBorders>
            <w:shd w:val="clear" w:color="auto" w:fill="auto"/>
            <w:noWrap/>
            <w:vAlign w:val="bottom"/>
            <w:hideMark/>
          </w:tcPr>
          <w:p w14:paraId="0C3F8D4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23</w:t>
            </w:r>
          </w:p>
        </w:tc>
        <w:tc>
          <w:tcPr>
            <w:tcW w:w="622" w:type="dxa"/>
            <w:tcBorders>
              <w:top w:val="nil"/>
              <w:left w:val="nil"/>
              <w:bottom w:val="nil"/>
              <w:right w:val="nil"/>
            </w:tcBorders>
            <w:shd w:val="clear" w:color="auto" w:fill="auto"/>
            <w:noWrap/>
            <w:vAlign w:val="bottom"/>
            <w:hideMark/>
          </w:tcPr>
          <w:p w14:paraId="0C3F8D4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164</w:t>
            </w:r>
          </w:p>
        </w:tc>
        <w:tc>
          <w:tcPr>
            <w:tcW w:w="1028" w:type="dxa"/>
            <w:tcBorders>
              <w:top w:val="nil"/>
              <w:left w:val="nil"/>
              <w:bottom w:val="nil"/>
              <w:right w:val="nil"/>
            </w:tcBorders>
            <w:shd w:val="clear" w:color="auto" w:fill="auto"/>
            <w:noWrap/>
            <w:vAlign w:val="bottom"/>
            <w:hideMark/>
          </w:tcPr>
          <w:p w14:paraId="0C3F8D4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60</w:t>
            </w:r>
          </w:p>
        </w:tc>
        <w:tc>
          <w:tcPr>
            <w:tcW w:w="912" w:type="dxa"/>
            <w:tcBorders>
              <w:top w:val="nil"/>
              <w:left w:val="nil"/>
              <w:bottom w:val="nil"/>
              <w:right w:val="nil"/>
            </w:tcBorders>
            <w:shd w:val="clear" w:color="000000" w:fill="F2DCDB"/>
            <w:noWrap/>
            <w:vAlign w:val="bottom"/>
            <w:hideMark/>
          </w:tcPr>
          <w:p w14:paraId="0C3F8D50"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247</w:t>
            </w:r>
          </w:p>
        </w:tc>
        <w:tc>
          <w:tcPr>
            <w:tcW w:w="912" w:type="dxa"/>
            <w:tcBorders>
              <w:top w:val="nil"/>
              <w:left w:val="nil"/>
              <w:bottom w:val="nil"/>
              <w:right w:val="single" w:sz="4" w:space="0" w:color="auto"/>
            </w:tcBorders>
            <w:shd w:val="clear" w:color="000000" w:fill="F2DCDB"/>
            <w:noWrap/>
            <w:vAlign w:val="bottom"/>
            <w:hideMark/>
          </w:tcPr>
          <w:p w14:paraId="0C3F8D5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r>
      <w:tr w:rsidR="00B6457B" w:rsidRPr="00393ABA" w14:paraId="0C3F8D63" w14:textId="77777777" w:rsidTr="00393ABA">
        <w:trPr>
          <w:trHeight w:val="300"/>
        </w:trPr>
        <w:tc>
          <w:tcPr>
            <w:tcW w:w="1407" w:type="dxa"/>
            <w:vMerge/>
            <w:tcBorders>
              <w:top w:val="nil"/>
              <w:left w:val="single" w:sz="4" w:space="0" w:color="auto"/>
              <w:bottom w:val="nil"/>
              <w:right w:val="nil"/>
            </w:tcBorders>
            <w:vAlign w:val="center"/>
            <w:hideMark/>
          </w:tcPr>
          <w:p w14:paraId="0C3F8D53"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D5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D5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D5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4" w:type="dxa"/>
            <w:tcBorders>
              <w:top w:val="nil"/>
              <w:left w:val="nil"/>
              <w:bottom w:val="nil"/>
              <w:right w:val="nil"/>
            </w:tcBorders>
            <w:shd w:val="clear" w:color="auto" w:fill="auto"/>
            <w:noWrap/>
            <w:vAlign w:val="bottom"/>
            <w:hideMark/>
          </w:tcPr>
          <w:p w14:paraId="0C3F8D5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774" w:type="dxa"/>
            <w:tcBorders>
              <w:top w:val="nil"/>
              <w:left w:val="nil"/>
              <w:bottom w:val="nil"/>
              <w:right w:val="nil"/>
            </w:tcBorders>
            <w:shd w:val="clear" w:color="auto" w:fill="auto"/>
            <w:noWrap/>
            <w:vAlign w:val="bottom"/>
            <w:hideMark/>
          </w:tcPr>
          <w:p w14:paraId="0C3F8D5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641" w:type="dxa"/>
            <w:tcBorders>
              <w:top w:val="nil"/>
              <w:left w:val="nil"/>
              <w:bottom w:val="nil"/>
              <w:right w:val="nil"/>
            </w:tcBorders>
            <w:shd w:val="clear" w:color="auto" w:fill="auto"/>
            <w:noWrap/>
            <w:vAlign w:val="bottom"/>
            <w:hideMark/>
          </w:tcPr>
          <w:p w14:paraId="0C3F8D5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w:t>
            </w:r>
          </w:p>
        </w:tc>
        <w:tc>
          <w:tcPr>
            <w:tcW w:w="785" w:type="dxa"/>
            <w:tcBorders>
              <w:top w:val="nil"/>
              <w:left w:val="nil"/>
              <w:bottom w:val="nil"/>
              <w:right w:val="nil"/>
            </w:tcBorders>
            <w:shd w:val="clear" w:color="auto" w:fill="auto"/>
            <w:noWrap/>
            <w:vAlign w:val="bottom"/>
            <w:hideMark/>
          </w:tcPr>
          <w:p w14:paraId="0C3F8D5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91%</w:t>
            </w:r>
          </w:p>
        </w:tc>
        <w:tc>
          <w:tcPr>
            <w:tcW w:w="912" w:type="dxa"/>
            <w:tcBorders>
              <w:top w:val="nil"/>
              <w:left w:val="nil"/>
              <w:bottom w:val="nil"/>
              <w:right w:val="nil"/>
            </w:tcBorders>
            <w:shd w:val="clear" w:color="000000" w:fill="F2DCDB"/>
            <w:noWrap/>
            <w:vAlign w:val="bottom"/>
            <w:hideMark/>
          </w:tcPr>
          <w:p w14:paraId="0C3F8D5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D5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D5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8" w:type="dxa"/>
            <w:tcBorders>
              <w:top w:val="nil"/>
              <w:left w:val="nil"/>
              <w:bottom w:val="nil"/>
              <w:right w:val="nil"/>
            </w:tcBorders>
            <w:shd w:val="clear" w:color="auto" w:fill="auto"/>
            <w:noWrap/>
            <w:vAlign w:val="bottom"/>
            <w:hideMark/>
          </w:tcPr>
          <w:p w14:paraId="0C3F8D5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w:t>
            </w:r>
          </w:p>
        </w:tc>
        <w:tc>
          <w:tcPr>
            <w:tcW w:w="622" w:type="dxa"/>
            <w:tcBorders>
              <w:top w:val="nil"/>
              <w:left w:val="nil"/>
              <w:bottom w:val="nil"/>
              <w:right w:val="nil"/>
            </w:tcBorders>
            <w:shd w:val="clear" w:color="auto" w:fill="auto"/>
            <w:noWrap/>
            <w:vAlign w:val="bottom"/>
            <w:hideMark/>
          </w:tcPr>
          <w:p w14:paraId="0C3F8D5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66%</w:t>
            </w:r>
          </w:p>
        </w:tc>
        <w:tc>
          <w:tcPr>
            <w:tcW w:w="1028" w:type="dxa"/>
            <w:tcBorders>
              <w:top w:val="nil"/>
              <w:left w:val="nil"/>
              <w:bottom w:val="nil"/>
              <w:right w:val="nil"/>
            </w:tcBorders>
            <w:shd w:val="clear" w:color="auto" w:fill="auto"/>
            <w:noWrap/>
            <w:vAlign w:val="bottom"/>
            <w:hideMark/>
          </w:tcPr>
          <w:p w14:paraId="0C3F8D6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24%</w:t>
            </w:r>
          </w:p>
        </w:tc>
        <w:tc>
          <w:tcPr>
            <w:tcW w:w="912" w:type="dxa"/>
            <w:tcBorders>
              <w:top w:val="nil"/>
              <w:left w:val="nil"/>
              <w:bottom w:val="nil"/>
              <w:right w:val="nil"/>
            </w:tcBorders>
            <w:shd w:val="clear" w:color="000000" w:fill="F2DCDB"/>
            <w:noWrap/>
            <w:vAlign w:val="bottom"/>
            <w:hideMark/>
          </w:tcPr>
          <w:p w14:paraId="0C3F8D6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D6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D74" w14:textId="77777777" w:rsidTr="00393ABA">
        <w:trPr>
          <w:trHeight w:val="300"/>
        </w:trPr>
        <w:tc>
          <w:tcPr>
            <w:tcW w:w="140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3F8D6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Burnett-Mary</w:t>
            </w:r>
          </w:p>
        </w:tc>
        <w:tc>
          <w:tcPr>
            <w:tcW w:w="1120" w:type="dxa"/>
            <w:tcBorders>
              <w:top w:val="nil"/>
              <w:left w:val="nil"/>
              <w:bottom w:val="nil"/>
              <w:right w:val="single" w:sz="4" w:space="0" w:color="auto"/>
            </w:tcBorders>
            <w:shd w:val="clear" w:color="000000" w:fill="F2F2F2"/>
            <w:noWrap/>
            <w:vAlign w:val="center"/>
            <w:hideMark/>
          </w:tcPr>
          <w:p w14:paraId="0C3F8D6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D6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74</w:t>
            </w:r>
          </w:p>
        </w:tc>
        <w:tc>
          <w:tcPr>
            <w:tcW w:w="735" w:type="dxa"/>
            <w:tcBorders>
              <w:top w:val="nil"/>
              <w:left w:val="nil"/>
              <w:bottom w:val="nil"/>
              <w:right w:val="nil"/>
            </w:tcBorders>
            <w:shd w:val="clear" w:color="auto" w:fill="auto"/>
            <w:noWrap/>
            <w:vAlign w:val="bottom"/>
            <w:hideMark/>
          </w:tcPr>
          <w:p w14:paraId="0C3F8D6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04" w:type="dxa"/>
            <w:tcBorders>
              <w:top w:val="nil"/>
              <w:left w:val="nil"/>
              <w:bottom w:val="nil"/>
              <w:right w:val="nil"/>
            </w:tcBorders>
            <w:shd w:val="clear" w:color="auto" w:fill="auto"/>
            <w:noWrap/>
            <w:vAlign w:val="bottom"/>
            <w:hideMark/>
          </w:tcPr>
          <w:p w14:paraId="0C3F8D6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774" w:type="dxa"/>
            <w:tcBorders>
              <w:top w:val="nil"/>
              <w:left w:val="nil"/>
              <w:bottom w:val="nil"/>
              <w:right w:val="nil"/>
            </w:tcBorders>
            <w:shd w:val="clear" w:color="auto" w:fill="auto"/>
            <w:noWrap/>
            <w:vAlign w:val="bottom"/>
            <w:hideMark/>
          </w:tcPr>
          <w:p w14:paraId="0C3F8D6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w:t>
            </w:r>
          </w:p>
        </w:tc>
        <w:tc>
          <w:tcPr>
            <w:tcW w:w="641" w:type="dxa"/>
            <w:tcBorders>
              <w:top w:val="nil"/>
              <w:left w:val="nil"/>
              <w:bottom w:val="nil"/>
              <w:right w:val="nil"/>
            </w:tcBorders>
            <w:shd w:val="clear" w:color="auto" w:fill="auto"/>
            <w:noWrap/>
            <w:vAlign w:val="bottom"/>
            <w:hideMark/>
          </w:tcPr>
          <w:p w14:paraId="0C3F8D6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785" w:type="dxa"/>
            <w:tcBorders>
              <w:top w:val="nil"/>
              <w:left w:val="nil"/>
              <w:bottom w:val="nil"/>
              <w:right w:val="nil"/>
            </w:tcBorders>
            <w:shd w:val="clear" w:color="auto" w:fill="auto"/>
            <w:noWrap/>
            <w:vAlign w:val="bottom"/>
            <w:hideMark/>
          </w:tcPr>
          <w:p w14:paraId="0C3F8D6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68</w:t>
            </w:r>
          </w:p>
        </w:tc>
        <w:tc>
          <w:tcPr>
            <w:tcW w:w="912" w:type="dxa"/>
            <w:tcBorders>
              <w:top w:val="nil"/>
              <w:left w:val="nil"/>
              <w:bottom w:val="nil"/>
              <w:right w:val="nil"/>
            </w:tcBorders>
            <w:shd w:val="clear" w:color="000000" w:fill="F2DCDB"/>
            <w:noWrap/>
            <w:vAlign w:val="bottom"/>
            <w:hideMark/>
          </w:tcPr>
          <w:p w14:paraId="0C3F8D6C"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75</w:t>
            </w:r>
          </w:p>
        </w:tc>
        <w:tc>
          <w:tcPr>
            <w:tcW w:w="912" w:type="dxa"/>
            <w:tcBorders>
              <w:top w:val="nil"/>
              <w:left w:val="nil"/>
              <w:bottom w:val="nil"/>
              <w:right w:val="single" w:sz="4" w:space="0" w:color="auto"/>
            </w:tcBorders>
            <w:shd w:val="clear" w:color="000000" w:fill="F2DCDB"/>
            <w:noWrap/>
            <w:vAlign w:val="bottom"/>
            <w:hideMark/>
          </w:tcPr>
          <w:p w14:paraId="0C3F8D6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723" w:type="dxa"/>
            <w:tcBorders>
              <w:top w:val="nil"/>
              <w:left w:val="nil"/>
              <w:bottom w:val="nil"/>
              <w:right w:val="nil"/>
            </w:tcBorders>
            <w:shd w:val="clear" w:color="auto" w:fill="auto"/>
            <w:noWrap/>
            <w:vAlign w:val="bottom"/>
            <w:hideMark/>
          </w:tcPr>
          <w:p w14:paraId="0C3F8D6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8" w:type="dxa"/>
            <w:tcBorders>
              <w:top w:val="nil"/>
              <w:left w:val="nil"/>
              <w:bottom w:val="nil"/>
              <w:right w:val="nil"/>
            </w:tcBorders>
            <w:shd w:val="clear" w:color="auto" w:fill="auto"/>
            <w:noWrap/>
            <w:vAlign w:val="bottom"/>
            <w:hideMark/>
          </w:tcPr>
          <w:p w14:paraId="0C3F8D6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w:t>
            </w:r>
          </w:p>
        </w:tc>
        <w:tc>
          <w:tcPr>
            <w:tcW w:w="622" w:type="dxa"/>
            <w:tcBorders>
              <w:top w:val="nil"/>
              <w:left w:val="nil"/>
              <w:bottom w:val="nil"/>
              <w:right w:val="nil"/>
            </w:tcBorders>
            <w:shd w:val="clear" w:color="auto" w:fill="auto"/>
            <w:noWrap/>
            <w:vAlign w:val="bottom"/>
            <w:hideMark/>
          </w:tcPr>
          <w:p w14:paraId="0C3F8D7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42</w:t>
            </w:r>
          </w:p>
        </w:tc>
        <w:tc>
          <w:tcPr>
            <w:tcW w:w="1028" w:type="dxa"/>
            <w:tcBorders>
              <w:top w:val="nil"/>
              <w:left w:val="nil"/>
              <w:bottom w:val="nil"/>
              <w:right w:val="nil"/>
            </w:tcBorders>
            <w:shd w:val="clear" w:color="auto" w:fill="auto"/>
            <w:noWrap/>
            <w:vAlign w:val="bottom"/>
            <w:hideMark/>
          </w:tcPr>
          <w:p w14:paraId="0C3F8D7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w:t>
            </w:r>
          </w:p>
        </w:tc>
        <w:tc>
          <w:tcPr>
            <w:tcW w:w="912" w:type="dxa"/>
            <w:tcBorders>
              <w:top w:val="nil"/>
              <w:left w:val="nil"/>
              <w:bottom w:val="nil"/>
              <w:right w:val="nil"/>
            </w:tcBorders>
            <w:shd w:val="clear" w:color="000000" w:fill="F2DCDB"/>
            <w:noWrap/>
            <w:vAlign w:val="bottom"/>
            <w:hideMark/>
          </w:tcPr>
          <w:p w14:paraId="0C3F8D72"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74</w:t>
            </w:r>
          </w:p>
        </w:tc>
        <w:tc>
          <w:tcPr>
            <w:tcW w:w="912" w:type="dxa"/>
            <w:tcBorders>
              <w:top w:val="nil"/>
              <w:left w:val="nil"/>
              <w:bottom w:val="nil"/>
              <w:right w:val="single" w:sz="4" w:space="0" w:color="auto"/>
            </w:tcBorders>
            <w:shd w:val="clear" w:color="000000" w:fill="F2DCDB"/>
            <w:noWrap/>
            <w:vAlign w:val="bottom"/>
            <w:hideMark/>
          </w:tcPr>
          <w:p w14:paraId="0C3F8D7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r>
      <w:tr w:rsidR="00B6457B" w:rsidRPr="00393ABA" w14:paraId="0C3F8D85" w14:textId="77777777" w:rsidTr="00393ABA">
        <w:trPr>
          <w:trHeight w:val="300"/>
        </w:trPr>
        <w:tc>
          <w:tcPr>
            <w:tcW w:w="1407" w:type="dxa"/>
            <w:vMerge/>
            <w:tcBorders>
              <w:top w:val="nil"/>
              <w:left w:val="single" w:sz="4" w:space="0" w:color="auto"/>
              <w:bottom w:val="single" w:sz="4" w:space="0" w:color="000000"/>
              <w:right w:val="single" w:sz="4" w:space="0" w:color="auto"/>
            </w:tcBorders>
            <w:vAlign w:val="center"/>
            <w:hideMark/>
          </w:tcPr>
          <w:p w14:paraId="0C3F8D75"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single" w:sz="4" w:space="0" w:color="auto"/>
              <w:right w:val="single" w:sz="4" w:space="0" w:color="auto"/>
            </w:tcBorders>
            <w:shd w:val="clear" w:color="000000" w:fill="F2F2F2"/>
            <w:noWrap/>
            <w:vAlign w:val="center"/>
            <w:hideMark/>
          </w:tcPr>
          <w:p w14:paraId="0C3F8D7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single" w:sz="4" w:space="0" w:color="auto"/>
              <w:right w:val="single" w:sz="4" w:space="0" w:color="auto"/>
            </w:tcBorders>
            <w:shd w:val="clear" w:color="000000" w:fill="F2F2F2"/>
            <w:noWrap/>
            <w:vAlign w:val="bottom"/>
            <w:hideMark/>
          </w:tcPr>
          <w:p w14:paraId="0C3F8D7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single" w:sz="4" w:space="0" w:color="auto"/>
              <w:right w:val="nil"/>
            </w:tcBorders>
            <w:shd w:val="clear" w:color="auto" w:fill="auto"/>
            <w:noWrap/>
            <w:vAlign w:val="bottom"/>
            <w:hideMark/>
          </w:tcPr>
          <w:p w14:paraId="0C3F8D7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804" w:type="dxa"/>
            <w:tcBorders>
              <w:top w:val="nil"/>
              <w:left w:val="nil"/>
              <w:bottom w:val="single" w:sz="4" w:space="0" w:color="auto"/>
              <w:right w:val="nil"/>
            </w:tcBorders>
            <w:shd w:val="clear" w:color="auto" w:fill="auto"/>
            <w:noWrap/>
            <w:vAlign w:val="bottom"/>
            <w:hideMark/>
          </w:tcPr>
          <w:p w14:paraId="0C3F8D7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74" w:type="dxa"/>
            <w:tcBorders>
              <w:top w:val="nil"/>
              <w:left w:val="nil"/>
              <w:bottom w:val="single" w:sz="4" w:space="0" w:color="auto"/>
              <w:right w:val="nil"/>
            </w:tcBorders>
            <w:shd w:val="clear" w:color="auto" w:fill="auto"/>
            <w:noWrap/>
            <w:vAlign w:val="bottom"/>
            <w:hideMark/>
          </w:tcPr>
          <w:p w14:paraId="0C3F8D7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641" w:type="dxa"/>
            <w:tcBorders>
              <w:top w:val="nil"/>
              <w:left w:val="nil"/>
              <w:bottom w:val="single" w:sz="4" w:space="0" w:color="auto"/>
              <w:right w:val="nil"/>
            </w:tcBorders>
            <w:shd w:val="clear" w:color="auto" w:fill="auto"/>
            <w:noWrap/>
            <w:vAlign w:val="bottom"/>
            <w:hideMark/>
          </w:tcPr>
          <w:p w14:paraId="0C3F8D7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85" w:type="dxa"/>
            <w:tcBorders>
              <w:top w:val="nil"/>
              <w:left w:val="nil"/>
              <w:bottom w:val="single" w:sz="4" w:space="0" w:color="auto"/>
              <w:right w:val="nil"/>
            </w:tcBorders>
            <w:shd w:val="clear" w:color="auto" w:fill="auto"/>
            <w:noWrap/>
            <w:vAlign w:val="bottom"/>
            <w:hideMark/>
          </w:tcPr>
          <w:p w14:paraId="0C3F8D7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93%</w:t>
            </w:r>
          </w:p>
        </w:tc>
        <w:tc>
          <w:tcPr>
            <w:tcW w:w="912" w:type="dxa"/>
            <w:tcBorders>
              <w:top w:val="nil"/>
              <w:left w:val="nil"/>
              <w:bottom w:val="single" w:sz="4" w:space="0" w:color="auto"/>
              <w:right w:val="nil"/>
            </w:tcBorders>
            <w:shd w:val="clear" w:color="000000" w:fill="F2DCDB"/>
            <w:noWrap/>
            <w:vAlign w:val="bottom"/>
            <w:hideMark/>
          </w:tcPr>
          <w:p w14:paraId="0C3F8D7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single" w:sz="4" w:space="0" w:color="auto"/>
              <w:right w:val="nil"/>
            </w:tcBorders>
            <w:shd w:val="clear" w:color="000000" w:fill="F2DCDB"/>
            <w:noWrap/>
            <w:vAlign w:val="bottom"/>
            <w:hideMark/>
          </w:tcPr>
          <w:p w14:paraId="0C3F8D7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single" w:sz="4" w:space="0" w:color="auto"/>
              <w:right w:val="nil"/>
            </w:tcBorders>
            <w:shd w:val="clear" w:color="auto" w:fill="auto"/>
            <w:noWrap/>
            <w:vAlign w:val="bottom"/>
            <w:hideMark/>
          </w:tcPr>
          <w:p w14:paraId="0C3F8D7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8" w:type="dxa"/>
            <w:tcBorders>
              <w:top w:val="nil"/>
              <w:left w:val="nil"/>
              <w:bottom w:val="single" w:sz="4" w:space="0" w:color="auto"/>
              <w:right w:val="nil"/>
            </w:tcBorders>
            <w:shd w:val="clear" w:color="auto" w:fill="auto"/>
            <w:noWrap/>
            <w:vAlign w:val="bottom"/>
            <w:hideMark/>
          </w:tcPr>
          <w:p w14:paraId="0C3F8D8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23%</w:t>
            </w:r>
          </w:p>
        </w:tc>
        <w:tc>
          <w:tcPr>
            <w:tcW w:w="622" w:type="dxa"/>
            <w:tcBorders>
              <w:top w:val="nil"/>
              <w:left w:val="nil"/>
              <w:bottom w:val="single" w:sz="4" w:space="0" w:color="auto"/>
              <w:right w:val="nil"/>
            </w:tcBorders>
            <w:shd w:val="clear" w:color="auto" w:fill="auto"/>
            <w:noWrap/>
            <w:vAlign w:val="bottom"/>
            <w:hideMark/>
          </w:tcPr>
          <w:p w14:paraId="0C3F8D8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57%</w:t>
            </w:r>
          </w:p>
        </w:tc>
        <w:tc>
          <w:tcPr>
            <w:tcW w:w="1028" w:type="dxa"/>
            <w:tcBorders>
              <w:top w:val="nil"/>
              <w:left w:val="nil"/>
              <w:bottom w:val="single" w:sz="4" w:space="0" w:color="auto"/>
              <w:right w:val="nil"/>
            </w:tcBorders>
            <w:shd w:val="clear" w:color="auto" w:fill="auto"/>
            <w:noWrap/>
            <w:vAlign w:val="bottom"/>
            <w:hideMark/>
          </w:tcPr>
          <w:p w14:paraId="0C3F8D8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912" w:type="dxa"/>
            <w:tcBorders>
              <w:top w:val="nil"/>
              <w:left w:val="nil"/>
              <w:bottom w:val="single" w:sz="4" w:space="0" w:color="auto"/>
              <w:right w:val="nil"/>
            </w:tcBorders>
            <w:shd w:val="clear" w:color="000000" w:fill="F2DCDB"/>
            <w:noWrap/>
            <w:vAlign w:val="bottom"/>
            <w:hideMark/>
          </w:tcPr>
          <w:p w14:paraId="0C3F8D8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single" w:sz="4" w:space="0" w:color="auto"/>
              <w:right w:val="single" w:sz="4" w:space="0" w:color="auto"/>
            </w:tcBorders>
            <w:shd w:val="clear" w:color="000000" w:fill="F2DCDB"/>
            <w:noWrap/>
            <w:vAlign w:val="bottom"/>
            <w:hideMark/>
          </w:tcPr>
          <w:p w14:paraId="0C3F8D8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D8F" w14:textId="77777777" w:rsidTr="00393ABA">
        <w:trPr>
          <w:trHeight w:val="300"/>
        </w:trPr>
        <w:tc>
          <w:tcPr>
            <w:tcW w:w="1407" w:type="dxa"/>
            <w:tcBorders>
              <w:top w:val="nil"/>
              <w:left w:val="nil"/>
              <w:bottom w:val="nil"/>
              <w:right w:val="nil"/>
            </w:tcBorders>
            <w:shd w:val="clear" w:color="auto" w:fill="auto"/>
            <w:noWrap/>
            <w:vAlign w:val="bottom"/>
          </w:tcPr>
          <w:p w14:paraId="0C3F8D86" w14:textId="77777777" w:rsidR="00B6457B" w:rsidRPr="00393ABA" w:rsidRDefault="00B6457B" w:rsidP="00393ABA">
            <w:pPr>
              <w:spacing w:after="120"/>
              <w:jc w:val="center"/>
              <w:rPr>
                <w:rFonts w:ascii="Calibri" w:hAnsi="Calibri" w:cs="Calibri"/>
                <w:color w:val="000000"/>
                <w:sz w:val="20"/>
                <w:szCs w:val="20"/>
              </w:rPr>
            </w:pPr>
          </w:p>
        </w:tc>
        <w:tc>
          <w:tcPr>
            <w:tcW w:w="1120" w:type="dxa"/>
            <w:tcBorders>
              <w:top w:val="nil"/>
              <w:left w:val="nil"/>
              <w:bottom w:val="nil"/>
              <w:right w:val="nil"/>
            </w:tcBorders>
            <w:shd w:val="clear" w:color="auto" w:fill="auto"/>
            <w:noWrap/>
            <w:vAlign w:val="bottom"/>
          </w:tcPr>
          <w:p w14:paraId="0C3F8D87" w14:textId="77777777" w:rsidR="00B6457B" w:rsidRPr="00393ABA" w:rsidRDefault="00B6457B" w:rsidP="00393ABA">
            <w:pPr>
              <w:spacing w:after="120"/>
              <w:jc w:val="center"/>
              <w:rPr>
                <w:rFonts w:ascii="Calibri" w:hAnsi="Calibri" w:cs="Calibri"/>
                <w:color w:val="000000"/>
                <w:sz w:val="20"/>
                <w:szCs w:val="20"/>
              </w:rPr>
            </w:pPr>
          </w:p>
        </w:tc>
        <w:tc>
          <w:tcPr>
            <w:tcW w:w="820" w:type="dxa"/>
            <w:tcBorders>
              <w:top w:val="nil"/>
              <w:left w:val="nil"/>
              <w:bottom w:val="nil"/>
              <w:right w:val="nil"/>
            </w:tcBorders>
            <w:shd w:val="clear" w:color="auto" w:fill="auto"/>
            <w:noWrap/>
            <w:vAlign w:val="bottom"/>
          </w:tcPr>
          <w:p w14:paraId="0C3F8D88" w14:textId="77777777" w:rsidR="00B6457B" w:rsidRPr="00393ABA" w:rsidRDefault="00B6457B" w:rsidP="00393ABA">
            <w:pPr>
              <w:spacing w:after="120"/>
              <w:jc w:val="center"/>
              <w:rPr>
                <w:rFonts w:ascii="Calibri" w:hAnsi="Calibri" w:cs="Calibri"/>
                <w:color w:val="000000"/>
                <w:sz w:val="20"/>
                <w:szCs w:val="20"/>
              </w:rPr>
            </w:pPr>
          </w:p>
        </w:tc>
        <w:tc>
          <w:tcPr>
            <w:tcW w:w="3739" w:type="dxa"/>
            <w:gridSpan w:val="5"/>
            <w:tcBorders>
              <w:top w:val="single" w:sz="4" w:space="0" w:color="auto"/>
              <w:left w:val="single" w:sz="4" w:space="0" w:color="auto"/>
              <w:bottom w:val="single" w:sz="4" w:space="0" w:color="auto"/>
              <w:right w:val="nil"/>
            </w:tcBorders>
            <w:shd w:val="clear" w:color="000000" w:fill="F2F2F2"/>
            <w:noWrap/>
            <w:vAlign w:val="bottom"/>
            <w:hideMark/>
          </w:tcPr>
          <w:p w14:paraId="0C3F8D8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River plume frequency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D8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D8B"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c>
          <w:tcPr>
            <w:tcW w:w="3291" w:type="dxa"/>
            <w:gridSpan w:val="4"/>
            <w:tcBorders>
              <w:top w:val="single" w:sz="4" w:space="0" w:color="auto"/>
              <w:left w:val="nil"/>
              <w:bottom w:val="single" w:sz="4" w:space="0" w:color="auto"/>
              <w:right w:val="nil"/>
            </w:tcBorders>
            <w:shd w:val="clear" w:color="000000" w:fill="F2F2F2"/>
            <w:noWrap/>
            <w:vAlign w:val="bottom"/>
            <w:hideMark/>
          </w:tcPr>
          <w:p w14:paraId="0C3F8D8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Potential risk category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D8D"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D8E"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r>
      <w:tr w:rsidR="00B6457B" w:rsidRPr="00393ABA" w14:paraId="0C3F8D9F" w14:textId="77777777" w:rsidTr="00393ABA">
        <w:trPr>
          <w:trHeight w:val="300"/>
        </w:trPr>
        <w:tc>
          <w:tcPr>
            <w:tcW w:w="2527"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C3F8D90" w14:textId="77777777" w:rsidR="00B6457B" w:rsidRPr="00393ABA" w:rsidRDefault="00B6457B" w:rsidP="00C05A63">
            <w:pPr>
              <w:pStyle w:val="ListParagraph"/>
              <w:numPr>
                <w:ilvl w:val="0"/>
                <w:numId w:val="26"/>
              </w:numPr>
              <w:spacing w:before="0" w:after="120" w:line="276" w:lineRule="auto"/>
              <w:jc w:val="center"/>
              <w:rPr>
                <w:rFonts w:ascii="Calibri" w:hAnsi="Calibri" w:cs="Calibri"/>
                <w:b/>
                <w:bCs/>
                <w:color w:val="000000"/>
                <w:sz w:val="20"/>
                <w:szCs w:val="20"/>
              </w:rPr>
            </w:pPr>
            <w:r w:rsidRPr="00393ABA">
              <w:rPr>
                <w:rFonts w:ascii="Calibri" w:hAnsi="Calibri" w:cs="Calibri"/>
                <w:b/>
                <w:bCs/>
                <w:color w:val="000000"/>
                <w:sz w:val="20"/>
                <w:szCs w:val="20"/>
              </w:rPr>
              <w:t>Seagrass deep</w:t>
            </w:r>
          </w:p>
        </w:tc>
        <w:tc>
          <w:tcPr>
            <w:tcW w:w="820" w:type="dxa"/>
            <w:tcBorders>
              <w:top w:val="single" w:sz="4" w:space="0" w:color="auto"/>
              <w:left w:val="nil"/>
              <w:bottom w:val="nil"/>
              <w:right w:val="single" w:sz="4" w:space="0" w:color="auto"/>
            </w:tcBorders>
            <w:shd w:val="clear" w:color="000000" w:fill="F2F2F2"/>
            <w:noWrap/>
            <w:vAlign w:val="bottom"/>
            <w:hideMark/>
          </w:tcPr>
          <w:p w14:paraId="0C3F8D9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Tot</w:t>
            </w:r>
          </w:p>
        </w:tc>
        <w:tc>
          <w:tcPr>
            <w:tcW w:w="735" w:type="dxa"/>
            <w:tcBorders>
              <w:top w:val="nil"/>
              <w:left w:val="nil"/>
              <w:bottom w:val="single" w:sz="4" w:space="0" w:color="auto"/>
              <w:right w:val="nil"/>
            </w:tcBorders>
            <w:shd w:val="clear" w:color="000000" w:fill="F2F2F2"/>
            <w:noWrap/>
            <w:vAlign w:val="bottom"/>
            <w:hideMark/>
          </w:tcPr>
          <w:p w14:paraId="0C3F8D92" w14:textId="77777777" w:rsidR="00B6457B" w:rsidRPr="00393ABA" w:rsidRDefault="00B6457B" w:rsidP="00393ABA">
            <w:pPr>
              <w:spacing w:after="120"/>
              <w:jc w:val="center"/>
              <w:rPr>
                <w:rFonts w:ascii="Calibri" w:hAnsi="Calibri" w:cs="Calibri"/>
                <w:b/>
                <w:bCs/>
                <w:color w:val="1F497D"/>
                <w:sz w:val="20"/>
                <w:szCs w:val="20"/>
              </w:rPr>
            </w:pPr>
            <w:r w:rsidRPr="00393ABA">
              <w:rPr>
                <w:rFonts w:ascii="Calibri" w:hAnsi="Calibri" w:cs="Calibri"/>
                <w:b/>
                <w:bCs/>
                <w:color w:val="1F497D"/>
                <w:sz w:val="20"/>
                <w:szCs w:val="20"/>
              </w:rPr>
              <w:t>Rare</w:t>
            </w:r>
          </w:p>
        </w:tc>
        <w:tc>
          <w:tcPr>
            <w:tcW w:w="804" w:type="dxa"/>
            <w:tcBorders>
              <w:top w:val="nil"/>
              <w:left w:val="nil"/>
              <w:bottom w:val="single" w:sz="4" w:space="0" w:color="auto"/>
              <w:right w:val="nil"/>
            </w:tcBorders>
            <w:shd w:val="clear" w:color="000000" w:fill="F2F2F2"/>
            <w:noWrap/>
            <w:vAlign w:val="bottom"/>
            <w:hideMark/>
          </w:tcPr>
          <w:p w14:paraId="0C3F8D93" w14:textId="77777777" w:rsidR="00B6457B" w:rsidRPr="00393ABA" w:rsidRDefault="00B6457B" w:rsidP="00393ABA">
            <w:pPr>
              <w:spacing w:after="120"/>
              <w:jc w:val="center"/>
              <w:rPr>
                <w:rFonts w:ascii="Calibri" w:hAnsi="Calibri" w:cs="Calibri"/>
                <w:b/>
                <w:bCs/>
                <w:color w:val="31869B"/>
                <w:sz w:val="20"/>
                <w:szCs w:val="20"/>
              </w:rPr>
            </w:pPr>
            <w:r w:rsidRPr="00393ABA">
              <w:rPr>
                <w:rFonts w:ascii="Calibri" w:hAnsi="Calibri" w:cs="Calibri"/>
                <w:b/>
                <w:bCs/>
                <w:color w:val="31869B"/>
                <w:sz w:val="20"/>
                <w:szCs w:val="20"/>
              </w:rPr>
              <w:t>Infreq.</w:t>
            </w:r>
          </w:p>
        </w:tc>
        <w:tc>
          <w:tcPr>
            <w:tcW w:w="774" w:type="dxa"/>
            <w:tcBorders>
              <w:top w:val="nil"/>
              <w:left w:val="nil"/>
              <w:bottom w:val="single" w:sz="4" w:space="0" w:color="auto"/>
              <w:right w:val="nil"/>
            </w:tcBorders>
            <w:shd w:val="clear" w:color="000000" w:fill="F2F2F2"/>
            <w:noWrap/>
            <w:vAlign w:val="bottom"/>
            <w:hideMark/>
          </w:tcPr>
          <w:p w14:paraId="0C3F8D94" w14:textId="77777777" w:rsidR="00B6457B" w:rsidRPr="00393ABA" w:rsidRDefault="00B6457B" w:rsidP="00393ABA">
            <w:pPr>
              <w:spacing w:after="120"/>
              <w:jc w:val="center"/>
              <w:rPr>
                <w:rFonts w:ascii="Calibri" w:hAnsi="Calibri" w:cs="Calibri"/>
                <w:b/>
                <w:bCs/>
                <w:color w:val="FFC000"/>
                <w:sz w:val="20"/>
                <w:szCs w:val="20"/>
              </w:rPr>
            </w:pPr>
            <w:r w:rsidRPr="00393ABA">
              <w:rPr>
                <w:rFonts w:ascii="Calibri" w:hAnsi="Calibri" w:cs="Calibri"/>
                <w:b/>
                <w:bCs/>
                <w:color w:val="FFC000"/>
                <w:sz w:val="20"/>
                <w:szCs w:val="20"/>
              </w:rPr>
              <w:t>Occas.</w:t>
            </w:r>
          </w:p>
        </w:tc>
        <w:tc>
          <w:tcPr>
            <w:tcW w:w="641" w:type="dxa"/>
            <w:tcBorders>
              <w:top w:val="nil"/>
              <w:left w:val="nil"/>
              <w:bottom w:val="single" w:sz="4" w:space="0" w:color="auto"/>
              <w:right w:val="nil"/>
            </w:tcBorders>
            <w:shd w:val="clear" w:color="000000" w:fill="F2F2F2"/>
            <w:noWrap/>
            <w:vAlign w:val="bottom"/>
            <w:hideMark/>
          </w:tcPr>
          <w:p w14:paraId="0C3F8D95" w14:textId="77777777" w:rsidR="00B6457B" w:rsidRPr="00393ABA" w:rsidRDefault="00B6457B" w:rsidP="00393ABA">
            <w:pPr>
              <w:spacing w:after="120"/>
              <w:jc w:val="center"/>
              <w:rPr>
                <w:rFonts w:ascii="Calibri" w:hAnsi="Calibri" w:cs="Calibri"/>
                <w:b/>
                <w:bCs/>
                <w:color w:val="F79646"/>
                <w:sz w:val="20"/>
                <w:szCs w:val="20"/>
              </w:rPr>
            </w:pPr>
            <w:r w:rsidRPr="00393ABA">
              <w:rPr>
                <w:rFonts w:ascii="Calibri" w:hAnsi="Calibri" w:cs="Calibri"/>
                <w:b/>
                <w:bCs/>
                <w:color w:val="F79646"/>
                <w:sz w:val="20"/>
                <w:szCs w:val="20"/>
              </w:rPr>
              <w:t>Freq.</w:t>
            </w:r>
          </w:p>
        </w:tc>
        <w:tc>
          <w:tcPr>
            <w:tcW w:w="785" w:type="dxa"/>
            <w:tcBorders>
              <w:top w:val="nil"/>
              <w:left w:val="nil"/>
              <w:bottom w:val="single" w:sz="4" w:space="0" w:color="auto"/>
              <w:right w:val="nil"/>
            </w:tcBorders>
            <w:shd w:val="clear" w:color="000000" w:fill="F2F2F2"/>
            <w:noWrap/>
            <w:vAlign w:val="bottom"/>
            <w:hideMark/>
          </w:tcPr>
          <w:p w14:paraId="0C3F8D96" w14:textId="77777777" w:rsidR="00B6457B" w:rsidRPr="00393ABA" w:rsidRDefault="00B6457B" w:rsidP="00393ABA">
            <w:pPr>
              <w:spacing w:after="120"/>
              <w:jc w:val="center"/>
              <w:rPr>
                <w:rFonts w:ascii="Calibri" w:hAnsi="Calibri" w:cs="Calibri"/>
                <w:b/>
                <w:bCs/>
                <w:color w:val="FF0000"/>
                <w:sz w:val="20"/>
                <w:szCs w:val="20"/>
              </w:rPr>
            </w:pPr>
            <w:r w:rsidRPr="00393ABA">
              <w:rPr>
                <w:rFonts w:ascii="Calibri" w:hAnsi="Calibri" w:cs="Calibri"/>
                <w:b/>
                <w:bCs/>
                <w:color w:val="FF0000"/>
                <w:sz w:val="20"/>
                <w:szCs w:val="20"/>
              </w:rPr>
              <w:t>V.Freq</w:t>
            </w:r>
          </w:p>
        </w:tc>
        <w:tc>
          <w:tcPr>
            <w:tcW w:w="912" w:type="dxa"/>
            <w:vMerge/>
            <w:tcBorders>
              <w:top w:val="single" w:sz="4" w:space="0" w:color="auto"/>
              <w:left w:val="nil"/>
              <w:bottom w:val="single" w:sz="4" w:space="0" w:color="000000"/>
              <w:right w:val="nil"/>
            </w:tcBorders>
            <w:vAlign w:val="center"/>
            <w:hideMark/>
          </w:tcPr>
          <w:p w14:paraId="0C3F8D97"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D98" w14:textId="77777777" w:rsidR="00B6457B" w:rsidRPr="00393ABA" w:rsidRDefault="00B6457B" w:rsidP="00393ABA">
            <w:pPr>
              <w:spacing w:after="120"/>
              <w:jc w:val="left"/>
              <w:rPr>
                <w:rFonts w:ascii="Calibri" w:hAnsi="Calibri" w:cs="Calibri"/>
                <w:b/>
                <w:bCs/>
                <w:sz w:val="20"/>
                <w:szCs w:val="20"/>
              </w:rPr>
            </w:pPr>
          </w:p>
        </w:tc>
        <w:tc>
          <w:tcPr>
            <w:tcW w:w="723" w:type="dxa"/>
            <w:tcBorders>
              <w:top w:val="nil"/>
              <w:left w:val="nil"/>
              <w:bottom w:val="nil"/>
              <w:right w:val="nil"/>
            </w:tcBorders>
            <w:shd w:val="clear" w:color="000000" w:fill="0070C0"/>
            <w:noWrap/>
            <w:vAlign w:val="bottom"/>
            <w:hideMark/>
          </w:tcPr>
          <w:p w14:paraId="0C3F8D99"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w:t>
            </w:r>
          </w:p>
        </w:tc>
        <w:tc>
          <w:tcPr>
            <w:tcW w:w="918" w:type="dxa"/>
            <w:tcBorders>
              <w:top w:val="nil"/>
              <w:left w:val="nil"/>
              <w:bottom w:val="nil"/>
              <w:right w:val="nil"/>
            </w:tcBorders>
            <w:shd w:val="clear" w:color="000000" w:fill="00B050"/>
            <w:noWrap/>
            <w:vAlign w:val="bottom"/>
            <w:hideMark/>
          </w:tcPr>
          <w:p w14:paraId="0C3F8D9A"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w:t>
            </w:r>
          </w:p>
        </w:tc>
        <w:tc>
          <w:tcPr>
            <w:tcW w:w="622" w:type="dxa"/>
            <w:tcBorders>
              <w:top w:val="nil"/>
              <w:left w:val="nil"/>
              <w:bottom w:val="nil"/>
              <w:right w:val="nil"/>
            </w:tcBorders>
            <w:shd w:val="clear" w:color="000000" w:fill="FF0000"/>
            <w:noWrap/>
            <w:vAlign w:val="bottom"/>
            <w:hideMark/>
          </w:tcPr>
          <w:p w14:paraId="0C3F8D9B"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III</w:t>
            </w:r>
          </w:p>
        </w:tc>
        <w:tc>
          <w:tcPr>
            <w:tcW w:w="1028" w:type="dxa"/>
            <w:tcBorders>
              <w:top w:val="nil"/>
              <w:left w:val="nil"/>
              <w:bottom w:val="nil"/>
              <w:right w:val="nil"/>
            </w:tcBorders>
            <w:shd w:val="clear" w:color="000000" w:fill="C00000"/>
            <w:noWrap/>
            <w:vAlign w:val="bottom"/>
            <w:hideMark/>
          </w:tcPr>
          <w:p w14:paraId="0C3F8D9C"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IV</w:t>
            </w:r>
          </w:p>
        </w:tc>
        <w:tc>
          <w:tcPr>
            <w:tcW w:w="912" w:type="dxa"/>
            <w:vMerge/>
            <w:tcBorders>
              <w:top w:val="single" w:sz="4" w:space="0" w:color="auto"/>
              <w:left w:val="nil"/>
              <w:bottom w:val="single" w:sz="4" w:space="0" w:color="000000"/>
              <w:right w:val="nil"/>
            </w:tcBorders>
            <w:vAlign w:val="center"/>
            <w:hideMark/>
          </w:tcPr>
          <w:p w14:paraId="0C3F8D9D"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D9E" w14:textId="77777777" w:rsidR="00B6457B" w:rsidRPr="00393ABA" w:rsidRDefault="00B6457B" w:rsidP="00393ABA">
            <w:pPr>
              <w:spacing w:after="120"/>
              <w:jc w:val="left"/>
              <w:rPr>
                <w:rFonts w:ascii="Calibri" w:hAnsi="Calibri" w:cs="Calibri"/>
                <w:b/>
                <w:bCs/>
                <w:sz w:val="20"/>
                <w:szCs w:val="20"/>
              </w:rPr>
            </w:pPr>
          </w:p>
        </w:tc>
      </w:tr>
      <w:tr w:rsidR="00B6457B" w:rsidRPr="00393ABA" w14:paraId="0C3F8DB0" w14:textId="77777777" w:rsidTr="00393ABA">
        <w:trPr>
          <w:trHeight w:val="70"/>
        </w:trPr>
        <w:tc>
          <w:tcPr>
            <w:tcW w:w="1407" w:type="dxa"/>
            <w:vMerge w:val="restart"/>
            <w:tcBorders>
              <w:top w:val="single" w:sz="4" w:space="0" w:color="auto"/>
              <w:left w:val="single" w:sz="4" w:space="0" w:color="auto"/>
              <w:bottom w:val="double" w:sz="6" w:space="0" w:color="000000"/>
              <w:right w:val="nil"/>
            </w:tcBorders>
            <w:shd w:val="clear" w:color="000000" w:fill="F2F2F2"/>
            <w:noWrap/>
            <w:vAlign w:val="center"/>
            <w:hideMark/>
          </w:tcPr>
          <w:p w14:paraId="0C3F8DA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GBR</w:t>
            </w:r>
          </w:p>
        </w:tc>
        <w:tc>
          <w:tcPr>
            <w:tcW w:w="1120" w:type="dxa"/>
            <w:tcBorders>
              <w:top w:val="single" w:sz="4" w:space="0" w:color="auto"/>
              <w:left w:val="single" w:sz="4" w:space="0" w:color="auto"/>
              <w:bottom w:val="nil"/>
              <w:right w:val="single" w:sz="4" w:space="0" w:color="auto"/>
            </w:tcBorders>
            <w:shd w:val="clear" w:color="000000" w:fill="F2F2F2"/>
            <w:noWrap/>
            <w:vAlign w:val="center"/>
            <w:hideMark/>
          </w:tcPr>
          <w:p w14:paraId="0C3F8DA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 xml:space="preserve">area </w:t>
            </w:r>
          </w:p>
        </w:tc>
        <w:tc>
          <w:tcPr>
            <w:tcW w:w="820" w:type="dxa"/>
            <w:tcBorders>
              <w:top w:val="single" w:sz="4" w:space="0" w:color="auto"/>
              <w:left w:val="nil"/>
              <w:bottom w:val="nil"/>
              <w:right w:val="single" w:sz="4" w:space="0" w:color="auto"/>
            </w:tcBorders>
            <w:shd w:val="clear" w:color="000000" w:fill="F2F2F2"/>
            <w:noWrap/>
            <w:vAlign w:val="bottom"/>
            <w:hideMark/>
          </w:tcPr>
          <w:p w14:paraId="0C3F8DA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31632</w:t>
            </w:r>
          </w:p>
        </w:tc>
        <w:tc>
          <w:tcPr>
            <w:tcW w:w="735" w:type="dxa"/>
            <w:tcBorders>
              <w:top w:val="nil"/>
              <w:left w:val="nil"/>
              <w:bottom w:val="nil"/>
              <w:right w:val="nil"/>
            </w:tcBorders>
            <w:shd w:val="clear" w:color="auto" w:fill="auto"/>
            <w:noWrap/>
            <w:vAlign w:val="bottom"/>
            <w:hideMark/>
          </w:tcPr>
          <w:p w14:paraId="0C3F8DA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10058</w:t>
            </w:r>
          </w:p>
        </w:tc>
        <w:tc>
          <w:tcPr>
            <w:tcW w:w="804" w:type="dxa"/>
            <w:tcBorders>
              <w:top w:val="nil"/>
              <w:left w:val="nil"/>
              <w:bottom w:val="nil"/>
              <w:right w:val="nil"/>
            </w:tcBorders>
            <w:shd w:val="clear" w:color="auto" w:fill="auto"/>
            <w:noWrap/>
            <w:vAlign w:val="bottom"/>
            <w:hideMark/>
          </w:tcPr>
          <w:p w14:paraId="0C3F8DA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5800</w:t>
            </w:r>
          </w:p>
        </w:tc>
        <w:tc>
          <w:tcPr>
            <w:tcW w:w="774" w:type="dxa"/>
            <w:tcBorders>
              <w:top w:val="nil"/>
              <w:left w:val="nil"/>
              <w:bottom w:val="nil"/>
              <w:right w:val="nil"/>
            </w:tcBorders>
            <w:shd w:val="clear" w:color="auto" w:fill="auto"/>
            <w:noWrap/>
            <w:vAlign w:val="bottom"/>
            <w:hideMark/>
          </w:tcPr>
          <w:p w14:paraId="0C3F8DA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5783</w:t>
            </w:r>
          </w:p>
        </w:tc>
        <w:tc>
          <w:tcPr>
            <w:tcW w:w="641" w:type="dxa"/>
            <w:tcBorders>
              <w:top w:val="nil"/>
              <w:left w:val="nil"/>
              <w:bottom w:val="nil"/>
              <w:right w:val="nil"/>
            </w:tcBorders>
            <w:shd w:val="clear" w:color="auto" w:fill="auto"/>
            <w:noWrap/>
            <w:vAlign w:val="bottom"/>
            <w:hideMark/>
          </w:tcPr>
          <w:p w14:paraId="0C3F8DA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3881</w:t>
            </w:r>
          </w:p>
        </w:tc>
        <w:tc>
          <w:tcPr>
            <w:tcW w:w="785" w:type="dxa"/>
            <w:tcBorders>
              <w:top w:val="nil"/>
              <w:left w:val="nil"/>
              <w:bottom w:val="nil"/>
              <w:right w:val="nil"/>
            </w:tcBorders>
            <w:shd w:val="clear" w:color="auto" w:fill="auto"/>
            <w:noWrap/>
            <w:vAlign w:val="bottom"/>
            <w:hideMark/>
          </w:tcPr>
          <w:p w14:paraId="0C3F8DA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2618</w:t>
            </w:r>
          </w:p>
        </w:tc>
        <w:tc>
          <w:tcPr>
            <w:tcW w:w="912" w:type="dxa"/>
            <w:tcBorders>
              <w:top w:val="nil"/>
              <w:left w:val="nil"/>
              <w:bottom w:val="nil"/>
              <w:right w:val="nil"/>
            </w:tcBorders>
            <w:shd w:val="clear" w:color="000000" w:fill="F2DCDB"/>
            <w:noWrap/>
            <w:vAlign w:val="bottom"/>
            <w:hideMark/>
          </w:tcPr>
          <w:p w14:paraId="0C3F8DA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28141</w:t>
            </w:r>
          </w:p>
        </w:tc>
        <w:tc>
          <w:tcPr>
            <w:tcW w:w="912" w:type="dxa"/>
            <w:tcBorders>
              <w:top w:val="nil"/>
              <w:left w:val="nil"/>
              <w:bottom w:val="nil"/>
              <w:right w:val="single" w:sz="4" w:space="0" w:color="auto"/>
            </w:tcBorders>
            <w:shd w:val="clear" w:color="000000" w:fill="F2DCDB"/>
            <w:noWrap/>
            <w:vAlign w:val="bottom"/>
            <w:hideMark/>
          </w:tcPr>
          <w:p w14:paraId="0C3F8DA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3491</w:t>
            </w:r>
          </w:p>
        </w:tc>
        <w:tc>
          <w:tcPr>
            <w:tcW w:w="723" w:type="dxa"/>
            <w:tcBorders>
              <w:top w:val="single" w:sz="4" w:space="0" w:color="auto"/>
              <w:left w:val="nil"/>
              <w:bottom w:val="nil"/>
              <w:right w:val="nil"/>
            </w:tcBorders>
            <w:shd w:val="clear" w:color="auto" w:fill="auto"/>
            <w:noWrap/>
            <w:vAlign w:val="bottom"/>
            <w:hideMark/>
          </w:tcPr>
          <w:p w14:paraId="0C3F8DA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15001</w:t>
            </w:r>
          </w:p>
        </w:tc>
        <w:tc>
          <w:tcPr>
            <w:tcW w:w="918" w:type="dxa"/>
            <w:tcBorders>
              <w:top w:val="single" w:sz="4" w:space="0" w:color="auto"/>
              <w:left w:val="nil"/>
              <w:bottom w:val="nil"/>
              <w:right w:val="nil"/>
            </w:tcBorders>
            <w:shd w:val="clear" w:color="auto" w:fill="auto"/>
            <w:noWrap/>
            <w:vAlign w:val="bottom"/>
            <w:hideMark/>
          </w:tcPr>
          <w:p w14:paraId="0C3F8DA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12596</w:t>
            </w:r>
          </w:p>
        </w:tc>
        <w:tc>
          <w:tcPr>
            <w:tcW w:w="622" w:type="dxa"/>
            <w:tcBorders>
              <w:top w:val="single" w:sz="4" w:space="0" w:color="auto"/>
              <w:left w:val="nil"/>
              <w:bottom w:val="nil"/>
              <w:right w:val="nil"/>
            </w:tcBorders>
            <w:shd w:val="clear" w:color="auto" w:fill="auto"/>
            <w:noWrap/>
            <w:vAlign w:val="bottom"/>
            <w:hideMark/>
          </w:tcPr>
          <w:p w14:paraId="0C3F8DA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548</w:t>
            </w:r>
          </w:p>
        </w:tc>
        <w:tc>
          <w:tcPr>
            <w:tcW w:w="1028" w:type="dxa"/>
            <w:tcBorders>
              <w:top w:val="single" w:sz="4" w:space="0" w:color="auto"/>
              <w:left w:val="nil"/>
              <w:bottom w:val="nil"/>
              <w:right w:val="nil"/>
            </w:tcBorders>
            <w:shd w:val="clear" w:color="auto" w:fill="auto"/>
            <w:noWrap/>
            <w:vAlign w:val="bottom"/>
            <w:hideMark/>
          </w:tcPr>
          <w:p w14:paraId="0C3F8DA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912" w:type="dxa"/>
            <w:tcBorders>
              <w:top w:val="nil"/>
              <w:left w:val="nil"/>
              <w:bottom w:val="nil"/>
              <w:right w:val="nil"/>
            </w:tcBorders>
            <w:shd w:val="clear" w:color="000000" w:fill="F2DCDB"/>
            <w:noWrap/>
            <w:vAlign w:val="bottom"/>
            <w:hideMark/>
          </w:tcPr>
          <w:p w14:paraId="0C3F8DA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28145</w:t>
            </w:r>
          </w:p>
        </w:tc>
        <w:tc>
          <w:tcPr>
            <w:tcW w:w="912" w:type="dxa"/>
            <w:tcBorders>
              <w:top w:val="nil"/>
              <w:left w:val="nil"/>
              <w:bottom w:val="nil"/>
              <w:right w:val="single" w:sz="4" w:space="0" w:color="auto"/>
            </w:tcBorders>
            <w:shd w:val="clear" w:color="000000" w:fill="F2DCDB"/>
            <w:noWrap/>
            <w:vAlign w:val="bottom"/>
            <w:hideMark/>
          </w:tcPr>
          <w:p w14:paraId="0C3F8DA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3487</w:t>
            </w:r>
          </w:p>
        </w:tc>
      </w:tr>
      <w:tr w:rsidR="00B6457B" w:rsidRPr="00393ABA" w14:paraId="0C3F8DC1" w14:textId="77777777" w:rsidTr="00393ABA">
        <w:trPr>
          <w:trHeight w:val="315"/>
        </w:trPr>
        <w:tc>
          <w:tcPr>
            <w:tcW w:w="1407" w:type="dxa"/>
            <w:vMerge/>
            <w:tcBorders>
              <w:top w:val="single" w:sz="4" w:space="0" w:color="auto"/>
              <w:left w:val="single" w:sz="4" w:space="0" w:color="auto"/>
              <w:bottom w:val="double" w:sz="6" w:space="0" w:color="000000"/>
              <w:right w:val="nil"/>
            </w:tcBorders>
            <w:vAlign w:val="center"/>
            <w:hideMark/>
          </w:tcPr>
          <w:p w14:paraId="0C3F8DB1"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double" w:sz="6" w:space="0" w:color="auto"/>
              <w:right w:val="single" w:sz="4" w:space="0" w:color="auto"/>
            </w:tcBorders>
            <w:shd w:val="clear" w:color="000000" w:fill="F2F2F2"/>
            <w:noWrap/>
            <w:vAlign w:val="center"/>
            <w:hideMark/>
          </w:tcPr>
          <w:p w14:paraId="0C3F8DB2"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w:t>
            </w:r>
          </w:p>
        </w:tc>
        <w:tc>
          <w:tcPr>
            <w:tcW w:w="820" w:type="dxa"/>
            <w:tcBorders>
              <w:top w:val="nil"/>
              <w:left w:val="nil"/>
              <w:bottom w:val="double" w:sz="6" w:space="0" w:color="auto"/>
              <w:right w:val="single" w:sz="4" w:space="0" w:color="auto"/>
            </w:tcBorders>
            <w:shd w:val="clear" w:color="000000" w:fill="F2F2F2"/>
            <w:noWrap/>
            <w:vAlign w:val="bottom"/>
            <w:hideMark/>
          </w:tcPr>
          <w:p w14:paraId="0C3F8DB3"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100%</w:t>
            </w:r>
          </w:p>
        </w:tc>
        <w:tc>
          <w:tcPr>
            <w:tcW w:w="735" w:type="dxa"/>
            <w:tcBorders>
              <w:top w:val="nil"/>
              <w:left w:val="nil"/>
              <w:bottom w:val="double" w:sz="6" w:space="0" w:color="auto"/>
              <w:right w:val="nil"/>
            </w:tcBorders>
            <w:shd w:val="clear" w:color="auto" w:fill="auto"/>
            <w:noWrap/>
            <w:vAlign w:val="bottom"/>
            <w:hideMark/>
          </w:tcPr>
          <w:p w14:paraId="0C3F8DB4"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32%</w:t>
            </w:r>
          </w:p>
        </w:tc>
        <w:tc>
          <w:tcPr>
            <w:tcW w:w="804" w:type="dxa"/>
            <w:tcBorders>
              <w:top w:val="nil"/>
              <w:left w:val="nil"/>
              <w:bottom w:val="double" w:sz="6" w:space="0" w:color="auto"/>
              <w:right w:val="nil"/>
            </w:tcBorders>
            <w:shd w:val="clear" w:color="auto" w:fill="auto"/>
            <w:noWrap/>
            <w:vAlign w:val="bottom"/>
            <w:hideMark/>
          </w:tcPr>
          <w:p w14:paraId="0C3F8DB5"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18%</w:t>
            </w:r>
          </w:p>
        </w:tc>
        <w:tc>
          <w:tcPr>
            <w:tcW w:w="774" w:type="dxa"/>
            <w:tcBorders>
              <w:top w:val="nil"/>
              <w:left w:val="nil"/>
              <w:bottom w:val="double" w:sz="6" w:space="0" w:color="auto"/>
              <w:right w:val="nil"/>
            </w:tcBorders>
            <w:shd w:val="clear" w:color="auto" w:fill="auto"/>
            <w:noWrap/>
            <w:vAlign w:val="bottom"/>
            <w:hideMark/>
          </w:tcPr>
          <w:p w14:paraId="0C3F8DB6"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18%</w:t>
            </w:r>
          </w:p>
        </w:tc>
        <w:tc>
          <w:tcPr>
            <w:tcW w:w="641" w:type="dxa"/>
            <w:tcBorders>
              <w:top w:val="nil"/>
              <w:left w:val="nil"/>
              <w:bottom w:val="double" w:sz="6" w:space="0" w:color="auto"/>
              <w:right w:val="nil"/>
            </w:tcBorders>
            <w:shd w:val="clear" w:color="auto" w:fill="auto"/>
            <w:noWrap/>
            <w:vAlign w:val="bottom"/>
            <w:hideMark/>
          </w:tcPr>
          <w:p w14:paraId="0C3F8DB7"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12%</w:t>
            </w:r>
          </w:p>
        </w:tc>
        <w:tc>
          <w:tcPr>
            <w:tcW w:w="785" w:type="dxa"/>
            <w:tcBorders>
              <w:top w:val="nil"/>
              <w:left w:val="nil"/>
              <w:bottom w:val="double" w:sz="6" w:space="0" w:color="auto"/>
              <w:right w:val="nil"/>
            </w:tcBorders>
            <w:shd w:val="clear" w:color="auto" w:fill="auto"/>
            <w:noWrap/>
            <w:vAlign w:val="bottom"/>
            <w:hideMark/>
          </w:tcPr>
          <w:p w14:paraId="0C3F8DB8"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8%</w:t>
            </w:r>
          </w:p>
        </w:tc>
        <w:tc>
          <w:tcPr>
            <w:tcW w:w="912" w:type="dxa"/>
            <w:tcBorders>
              <w:top w:val="nil"/>
              <w:left w:val="nil"/>
              <w:bottom w:val="double" w:sz="6" w:space="0" w:color="auto"/>
              <w:right w:val="nil"/>
            </w:tcBorders>
            <w:shd w:val="clear" w:color="000000" w:fill="F2DCDB"/>
            <w:noWrap/>
            <w:vAlign w:val="bottom"/>
            <w:hideMark/>
          </w:tcPr>
          <w:p w14:paraId="0C3F8DB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89%</w:t>
            </w:r>
          </w:p>
        </w:tc>
        <w:tc>
          <w:tcPr>
            <w:tcW w:w="912" w:type="dxa"/>
            <w:tcBorders>
              <w:top w:val="nil"/>
              <w:left w:val="nil"/>
              <w:bottom w:val="double" w:sz="6" w:space="0" w:color="auto"/>
              <w:right w:val="nil"/>
            </w:tcBorders>
            <w:shd w:val="clear" w:color="000000" w:fill="F2DCDB"/>
            <w:noWrap/>
            <w:vAlign w:val="bottom"/>
            <w:hideMark/>
          </w:tcPr>
          <w:p w14:paraId="0C3F8DB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11%</w:t>
            </w:r>
          </w:p>
        </w:tc>
        <w:tc>
          <w:tcPr>
            <w:tcW w:w="723" w:type="dxa"/>
            <w:tcBorders>
              <w:top w:val="nil"/>
              <w:left w:val="single" w:sz="4" w:space="0" w:color="auto"/>
              <w:bottom w:val="double" w:sz="6" w:space="0" w:color="auto"/>
              <w:right w:val="nil"/>
            </w:tcBorders>
            <w:shd w:val="clear" w:color="auto" w:fill="auto"/>
            <w:noWrap/>
            <w:vAlign w:val="bottom"/>
            <w:hideMark/>
          </w:tcPr>
          <w:p w14:paraId="0C3F8DBB"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47%</w:t>
            </w:r>
          </w:p>
        </w:tc>
        <w:tc>
          <w:tcPr>
            <w:tcW w:w="918" w:type="dxa"/>
            <w:tcBorders>
              <w:top w:val="nil"/>
              <w:left w:val="nil"/>
              <w:bottom w:val="double" w:sz="6" w:space="0" w:color="auto"/>
              <w:right w:val="nil"/>
            </w:tcBorders>
            <w:shd w:val="clear" w:color="auto" w:fill="auto"/>
            <w:noWrap/>
            <w:vAlign w:val="bottom"/>
            <w:hideMark/>
          </w:tcPr>
          <w:p w14:paraId="0C3F8DBC"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40%</w:t>
            </w:r>
          </w:p>
        </w:tc>
        <w:tc>
          <w:tcPr>
            <w:tcW w:w="622" w:type="dxa"/>
            <w:tcBorders>
              <w:top w:val="nil"/>
              <w:left w:val="nil"/>
              <w:bottom w:val="double" w:sz="6" w:space="0" w:color="auto"/>
              <w:right w:val="nil"/>
            </w:tcBorders>
            <w:shd w:val="clear" w:color="auto" w:fill="auto"/>
            <w:noWrap/>
            <w:vAlign w:val="bottom"/>
            <w:hideMark/>
          </w:tcPr>
          <w:p w14:paraId="0C3F8DBD"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2%</w:t>
            </w:r>
          </w:p>
        </w:tc>
        <w:tc>
          <w:tcPr>
            <w:tcW w:w="1028" w:type="dxa"/>
            <w:tcBorders>
              <w:top w:val="nil"/>
              <w:left w:val="nil"/>
              <w:bottom w:val="double" w:sz="6" w:space="0" w:color="auto"/>
              <w:right w:val="nil"/>
            </w:tcBorders>
            <w:shd w:val="clear" w:color="auto" w:fill="auto"/>
            <w:noWrap/>
            <w:vAlign w:val="bottom"/>
            <w:hideMark/>
          </w:tcPr>
          <w:p w14:paraId="0C3F8DBE"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0%</w:t>
            </w:r>
          </w:p>
        </w:tc>
        <w:tc>
          <w:tcPr>
            <w:tcW w:w="912" w:type="dxa"/>
            <w:tcBorders>
              <w:top w:val="nil"/>
              <w:left w:val="nil"/>
              <w:bottom w:val="double" w:sz="6" w:space="0" w:color="auto"/>
              <w:right w:val="nil"/>
            </w:tcBorders>
            <w:shd w:val="clear" w:color="000000" w:fill="F2DCDB"/>
            <w:noWrap/>
            <w:vAlign w:val="bottom"/>
            <w:hideMark/>
          </w:tcPr>
          <w:p w14:paraId="0C3F8DB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89%</w:t>
            </w:r>
          </w:p>
        </w:tc>
        <w:tc>
          <w:tcPr>
            <w:tcW w:w="912" w:type="dxa"/>
            <w:tcBorders>
              <w:top w:val="nil"/>
              <w:left w:val="nil"/>
              <w:bottom w:val="double" w:sz="6" w:space="0" w:color="auto"/>
              <w:right w:val="single" w:sz="4" w:space="0" w:color="auto"/>
            </w:tcBorders>
            <w:shd w:val="clear" w:color="000000" w:fill="F2DCDB"/>
            <w:noWrap/>
            <w:vAlign w:val="bottom"/>
            <w:hideMark/>
          </w:tcPr>
          <w:p w14:paraId="0C3F8DC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11%</w:t>
            </w:r>
          </w:p>
        </w:tc>
      </w:tr>
      <w:tr w:rsidR="00B6457B" w:rsidRPr="00393ABA" w14:paraId="0C3F8DD2" w14:textId="77777777" w:rsidTr="00393ABA">
        <w:trPr>
          <w:trHeight w:val="315"/>
        </w:trPr>
        <w:tc>
          <w:tcPr>
            <w:tcW w:w="1407" w:type="dxa"/>
            <w:vMerge w:val="restart"/>
            <w:tcBorders>
              <w:top w:val="nil"/>
              <w:left w:val="single" w:sz="4" w:space="0" w:color="auto"/>
              <w:bottom w:val="nil"/>
              <w:right w:val="single" w:sz="4" w:space="0" w:color="auto"/>
            </w:tcBorders>
            <w:shd w:val="clear" w:color="000000" w:fill="F2F2F2"/>
            <w:vAlign w:val="center"/>
            <w:hideMark/>
          </w:tcPr>
          <w:p w14:paraId="0C3F8DC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Cape York</w:t>
            </w:r>
          </w:p>
        </w:tc>
        <w:tc>
          <w:tcPr>
            <w:tcW w:w="1120" w:type="dxa"/>
            <w:tcBorders>
              <w:top w:val="nil"/>
              <w:left w:val="nil"/>
              <w:bottom w:val="nil"/>
              <w:right w:val="single" w:sz="4" w:space="0" w:color="auto"/>
            </w:tcBorders>
            <w:shd w:val="clear" w:color="000000" w:fill="F2F2F2"/>
            <w:noWrap/>
            <w:vAlign w:val="center"/>
            <w:hideMark/>
          </w:tcPr>
          <w:p w14:paraId="0C3F8DC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DC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9459</w:t>
            </w:r>
          </w:p>
        </w:tc>
        <w:tc>
          <w:tcPr>
            <w:tcW w:w="735" w:type="dxa"/>
            <w:tcBorders>
              <w:top w:val="nil"/>
              <w:left w:val="nil"/>
              <w:bottom w:val="nil"/>
              <w:right w:val="nil"/>
            </w:tcBorders>
            <w:shd w:val="clear" w:color="auto" w:fill="auto"/>
            <w:noWrap/>
            <w:vAlign w:val="bottom"/>
            <w:hideMark/>
          </w:tcPr>
          <w:p w14:paraId="0C3F8DC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229</w:t>
            </w:r>
          </w:p>
        </w:tc>
        <w:tc>
          <w:tcPr>
            <w:tcW w:w="804" w:type="dxa"/>
            <w:tcBorders>
              <w:top w:val="nil"/>
              <w:left w:val="nil"/>
              <w:bottom w:val="nil"/>
              <w:right w:val="nil"/>
            </w:tcBorders>
            <w:shd w:val="clear" w:color="auto" w:fill="auto"/>
            <w:noWrap/>
            <w:vAlign w:val="bottom"/>
            <w:hideMark/>
          </w:tcPr>
          <w:p w14:paraId="0C3F8DC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1100</w:t>
            </w:r>
          </w:p>
        </w:tc>
        <w:tc>
          <w:tcPr>
            <w:tcW w:w="774" w:type="dxa"/>
            <w:tcBorders>
              <w:top w:val="nil"/>
              <w:left w:val="nil"/>
              <w:bottom w:val="nil"/>
              <w:right w:val="nil"/>
            </w:tcBorders>
            <w:shd w:val="clear" w:color="auto" w:fill="auto"/>
            <w:noWrap/>
            <w:vAlign w:val="bottom"/>
            <w:hideMark/>
          </w:tcPr>
          <w:p w14:paraId="0C3F8DC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1631</w:t>
            </w:r>
          </w:p>
        </w:tc>
        <w:tc>
          <w:tcPr>
            <w:tcW w:w="641" w:type="dxa"/>
            <w:tcBorders>
              <w:top w:val="nil"/>
              <w:left w:val="nil"/>
              <w:bottom w:val="nil"/>
              <w:right w:val="nil"/>
            </w:tcBorders>
            <w:shd w:val="clear" w:color="auto" w:fill="auto"/>
            <w:noWrap/>
            <w:vAlign w:val="bottom"/>
            <w:hideMark/>
          </w:tcPr>
          <w:p w14:paraId="0C3F8DC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3200</w:t>
            </w:r>
          </w:p>
        </w:tc>
        <w:tc>
          <w:tcPr>
            <w:tcW w:w="785" w:type="dxa"/>
            <w:tcBorders>
              <w:top w:val="nil"/>
              <w:left w:val="nil"/>
              <w:bottom w:val="nil"/>
              <w:right w:val="nil"/>
            </w:tcBorders>
            <w:shd w:val="clear" w:color="auto" w:fill="auto"/>
            <w:noWrap/>
            <w:vAlign w:val="bottom"/>
            <w:hideMark/>
          </w:tcPr>
          <w:p w14:paraId="0C3F8DC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1870</w:t>
            </w:r>
          </w:p>
        </w:tc>
        <w:tc>
          <w:tcPr>
            <w:tcW w:w="912" w:type="dxa"/>
            <w:tcBorders>
              <w:top w:val="nil"/>
              <w:left w:val="nil"/>
              <w:bottom w:val="nil"/>
              <w:right w:val="nil"/>
            </w:tcBorders>
            <w:shd w:val="clear" w:color="000000" w:fill="F2DCDB"/>
            <w:noWrap/>
            <w:vAlign w:val="bottom"/>
            <w:hideMark/>
          </w:tcPr>
          <w:p w14:paraId="0C3F8DC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8031</w:t>
            </w:r>
          </w:p>
        </w:tc>
        <w:tc>
          <w:tcPr>
            <w:tcW w:w="912" w:type="dxa"/>
            <w:tcBorders>
              <w:top w:val="nil"/>
              <w:left w:val="nil"/>
              <w:bottom w:val="nil"/>
              <w:right w:val="single" w:sz="4" w:space="0" w:color="auto"/>
            </w:tcBorders>
            <w:shd w:val="clear" w:color="000000" w:fill="F2DCDB"/>
            <w:noWrap/>
            <w:vAlign w:val="bottom"/>
            <w:hideMark/>
          </w:tcPr>
          <w:p w14:paraId="0C3F8DC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1428</w:t>
            </w:r>
          </w:p>
        </w:tc>
        <w:tc>
          <w:tcPr>
            <w:tcW w:w="723" w:type="dxa"/>
            <w:tcBorders>
              <w:top w:val="nil"/>
              <w:left w:val="nil"/>
              <w:bottom w:val="nil"/>
              <w:right w:val="nil"/>
            </w:tcBorders>
            <w:shd w:val="clear" w:color="auto" w:fill="auto"/>
            <w:noWrap/>
            <w:vAlign w:val="bottom"/>
            <w:hideMark/>
          </w:tcPr>
          <w:p w14:paraId="0C3F8DC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1397</w:t>
            </w:r>
          </w:p>
        </w:tc>
        <w:tc>
          <w:tcPr>
            <w:tcW w:w="918" w:type="dxa"/>
            <w:tcBorders>
              <w:top w:val="nil"/>
              <w:left w:val="nil"/>
              <w:bottom w:val="nil"/>
              <w:right w:val="nil"/>
            </w:tcBorders>
            <w:shd w:val="clear" w:color="auto" w:fill="auto"/>
            <w:noWrap/>
            <w:vAlign w:val="bottom"/>
            <w:hideMark/>
          </w:tcPr>
          <w:p w14:paraId="0C3F8DC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6458</w:t>
            </w:r>
          </w:p>
        </w:tc>
        <w:tc>
          <w:tcPr>
            <w:tcW w:w="622" w:type="dxa"/>
            <w:tcBorders>
              <w:top w:val="nil"/>
              <w:left w:val="nil"/>
              <w:bottom w:val="nil"/>
              <w:right w:val="nil"/>
            </w:tcBorders>
            <w:shd w:val="clear" w:color="auto" w:fill="auto"/>
            <w:noWrap/>
            <w:vAlign w:val="bottom"/>
            <w:hideMark/>
          </w:tcPr>
          <w:p w14:paraId="0C3F8DC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176</w:t>
            </w:r>
          </w:p>
        </w:tc>
        <w:tc>
          <w:tcPr>
            <w:tcW w:w="1028" w:type="dxa"/>
            <w:tcBorders>
              <w:top w:val="nil"/>
              <w:left w:val="nil"/>
              <w:bottom w:val="nil"/>
              <w:right w:val="nil"/>
            </w:tcBorders>
            <w:shd w:val="clear" w:color="auto" w:fill="auto"/>
            <w:noWrap/>
            <w:vAlign w:val="bottom"/>
            <w:hideMark/>
          </w:tcPr>
          <w:p w14:paraId="0C3F8DC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DD0"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8031</w:t>
            </w:r>
          </w:p>
        </w:tc>
        <w:tc>
          <w:tcPr>
            <w:tcW w:w="912" w:type="dxa"/>
            <w:tcBorders>
              <w:top w:val="nil"/>
              <w:left w:val="nil"/>
              <w:bottom w:val="nil"/>
              <w:right w:val="single" w:sz="4" w:space="0" w:color="auto"/>
            </w:tcBorders>
            <w:shd w:val="clear" w:color="000000" w:fill="F2DCDB"/>
            <w:noWrap/>
            <w:vAlign w:val="bottom"/>
            <w:hideMark/>
          </w:tcPr>
          <w:p w14:paraId="0C3F8DD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1428</w:t>
            </w:r>
          </w:p>
        </w:tc>
      </w:tr>
      <w:tr w:rsidR="00B6457B" w:rsidRPr="00393ABA" w14:paraId="0C3F8DE3" w14:textId="77777777" w:rsidTr="00393ABA">
        <w:trPr>
          <w:trHeight w:val="300"/>
        </w:trPr>
        <w:tc>
          <w:tcPr>
            <w:tcW w:w="1407" w:type="dxa"/>
            <w:vMerge/>
            <w:tcBorders>
              <w:top w:val="nil"/>
              <w:left w:val="single" w:sz="4" w:space="0" w:color="auto"/>
              <w:bottom w:val="nil"/>
              <w:right w:val="single" w:sz="4" w:space="0" w:color="auto"/>
            </w:tcBorders>
            <w:vAlign w:val="center"/>
            <w:hideMark/>
          </w:tcPr>
          <w:p w14:paraId="0C3F8DD3"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nil"/>
              <w:right w:val="single" w:sz="4" w:space="0" w:color="auto"/>
            </w:tcBorders>
            <w:shd w:val="clear" w:color="000000" w:fill="F2F2F2"/>
            <w:noWrap/>
            <w:vAlign w:val="center"/>
            <w:hideMark/>
          </w:tcPr>
          <w:p w14:paraId="0C3F8DD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DD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DD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804" w:type="dxa"/>
            <w:tcBorders>
              <w:top w:val="nil"/>
              <w:left w:val="nil"/>
              <w:bottom w:val="nil"/>
              <w:right w:val="nil"/>
            </w:tcBorders>
            <w:shd w:val="clear" w:color="auto" w:fill="auto"/>
            <w:noWrap/>
            <w:vAlign w:val="bottom"/>
            <w:hideMark/>
          </w:tcPr>
          <w:p w14:paraId="0C3F8DD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12%</w:t>
            </w:r>
          </w:p>
        </w:tc>
        <w:tc>
          <w:tcPr>
            <w:tcW w:w="774" w:type="dxa"/>
            <w:tcBorders>
              <w:top w:val="nil"/>
              <w:left w:val="nil"/>
              <w:bottom w:val="nil"/>
              <w:right w:val="nil"/>
            </w:tcBorders>
            <w:shd w:val="clear" w:color="auto" w:fill="auto"/>
            <w:noWrap/>
            <w:vAlign w:val="bottom"/>
            <w:hideMark/>
          </w:tcPr>
          <w:p w14:paraId="0C3F8DD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17%</w:t>
            </w:r>
          </w:p>
        </w:tc>
        <w:tc>
          <w:tcPr>
            <w:tcW w:w="641" w:type="dxa"/>
            <w:tcBorders>
              <w:top w:val="nil"/>
              <w:left w:val="nil"/>
              <w:bottom w:val="nil"/>
              <w:right w:val="nil"/>
            </w:tcBorders>
            <w:shd w:val="clear" w:color="auto" w:fill="auto"/>
            <w:noWrap/>
            <w:vAlign w:val="bottom"/>
            <w:hideMark/>
          </w:tcPr>
          <w:p w14:paraId="0C3F8DD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34%</w:t>
            </w:r>
          </w:p>
        </w:tc>
        <w:tc>
          <w:tcPr>
            <w:tcW w:w="785" w:type="dxa"/>
            <w:tcBorders>
              <w:top w:val="nil"/>
              <w:left w:val="nil"/>
              <w:bottom w:val="nil"/>
              <w:right w:val="nil"/>
            </w:tcBorders>
            <w:shd w:val="clear" w:color="auto" w:fill="auto"/>
            <w:noWrap/>
            <w:vAlign w:val="bottom"/>
            <w:hideMark/>
          </w:tcPr>
          <w:p w14:paraId="0C3F8DD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912" w:type="dxa"/>
            <w:tcBorders>
              <w:top w:val="nil"/>
              <w:left w:val="nil"/>
              <w:bottom w:val="nil"/>
              <w:right w:val="nil"/>
            </w:tcBorders>
            <w:shd w:val="clear" w:color="000000" w:fill="F2DCDB"/>
            <w:noWrap/>
            <w:vAlign w:val="bottom"/>
            <w:hideMark/>
          </w:tcPr>
          <w:p w14:paraId="0C3F8DD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85%</w:t>
            </w:r>
          </w:p>
        </w:tc>
        <w:tc>
          <w:tcPr>
            <w:tcW w:w="912" w:type="dxa"/>
            <w:tcBorders>
              <w:top w:val="nil"/>
              <w:left w:val="nil"/>
              <w:bottom w:val="nil"/>
              <w:right w:val="nil"/>
            </w:tcBorders>
            <w:shd w:val="clear" w:color="000000" w:fill="F2DCDB"/>
            <w:noWrap/>
            <w:vAlign w:val="bottom"/>
            <w:hideMark/>
          </w:tcPr>
          <w:p w14:paraId="0C3F8DD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15%</w:t>
            </w:r>
          </w:p>
        </w:tc>
        <w:tc>
          <w:tcPr>
            <w:tcW w:w="723" w:type="dxa"/>
            <w:tcBorders>
              <w:top w:val="nil"/>
              <w:left w:val="single" w:sz="4" w:space="0" w:color="auto"/>
              <w:bottom w:val="nil"/>
              <w:right w:val="nil"/>
            </w:tcBorders>
            <w:shd w:val="clear" w:color="auto" w:fill="auto"/>
            <w:noWrap/>
            <w:vAlign w:val="bottom"/>
            <w:hideMark/>
          </w:tcPr>
          <w:p w14:paraId="0C3F8DD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15%</w:t>
            </w:r>
          </w:p>
        </w:tc>
        <w:tc>
          <w:tcPr>
            <w:tcW w:w="918" w:type="dxa"/>
            <w:tcBorders>
              <w:top w:val="nil"/>
              <w:left w:val="nil"/>
              <w:bottom w:val="nil"/>
              <w:right w:val="nil"/>
            </w:tcBorders>
            <w:shd w:val="clear" w:color="auto" w:fill="auto"/>
            <w:noWrap/>
            <w:vAlign w:val="bottom"/>
            <w:hideMark/>
          </w:tcPr>
          <w:p w14:paraId="0C3F8DD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68%</w:t>
            </w:r>
          </w:p>
        </w:tc>
        <w:tc>
          <w:tcPr>
            <w:tcW w:w="622" w:type="dxa"/>
            <w:tcBorders>
              <w:top w:val="nil"/>
              <w:left w:val="nil"/>
              <w:bottom w:val="nil"/>
              <w:right w:val="nil"/>
            </w:tcBorders>
            <w:shd w:val="clear" w:color="auto" w:fill="auto"/>
            <w:noWrap/>
            <w:vAlign w:val="bottom"/>
            <w:hideMark/>
          </w:tcPr>
          <w:p w14:paraId="0C3F8DD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1028" w:type="dxa"/>
            <w:tcBorders>
              <w:top w:val="nil"/>
              <w:left w:val="nil"/>
              <w:bottom w:val="nil"/>
              <w:right w:val="nil"/>
            </w:tcBorders>
            <w:shd w:val="clear" w:color="auto" w:fill="auto"/>
            <w:noWrap/>
            <w:vAlign w:val="bottom"/>
            <w:hideMark/>
          </w:tcPr>
          <w:p w14:paraId="0C3F8DE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DE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85%</w:t>
            </w:r>
          </w:p>
        </w:tc>
        <w:tc>
          <w:tcPr>
            <w:tcW w:w="912" w:type="dxa"/>
            <w:tcBorders>
              <w:top w:val="nil"/>
              <w:left w:val="nil"/>
              <w:bottom w:val="nil"/>
              <w:right w:val="single" w:sz="4" w:space="0" w:color="auto"/>
            </w:tcBorders>
            <w:shd w:val="clear" w:color="000000" w:fill="F2DCDB"/>
            <w:noWrap/>
            <w:vAlign w:val="bottom"/>
            <w:hideMark/>
          </w:tcPr>
          <w:p w14:paraId="0C3F8DE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15%</w:t>
            </w:r>
          </w:p>
        </w:tc>
      </w:tr>
      <w:tr w:rsidR="00B6457B" w:rsidRPr="00393ABA" w14:paraId="0C3F8DF4"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DE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Wet Tropics</w:t>
            </w:r>
          </w:p>
        </w:tc>
        <w:tc>
          <w:tcPr>
            <w:tcW w:w="1120" w:type="dxa"/>
            <w:tcBorders>
              <w:top w:val="nil"/>
              <w:left w:val="single" w:sz="4" w:space="0" w:color="auto"/>
              <w:bottom w:val="nil"/>
              <w:right w:val="single" w:sz="4" w:space="0" w:color="auto"/>
            </w:tcBorders>
            <w:shd w:val="clear" w:color="000000" w:fill="F2F2F2"/>
            <w:noWrap/>
            <w:vAlign w:val="center"/>
            <w:hideMark/>
          </w:tcPr>
          <w:p w14:paraId="0C3F8DE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DE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4661</w:t>
            </w:r>
          </w:p>
        </w:tc>
        <w:tc>
          <w:tcPr>
            <w:tcW w:w="735" w:type="dxa"/>
            <w:tcBorders>
              <w:top w:val="nil"/>
              <w:left w:val="nil"/>
              <w:bottom w:val="nil"/>
              <w:right w:val="nil"/>
            </w:tcBorders>
            <w:shd w:val="clear" w:color="auto" w:fill="auto"/>
            <w:noWrap/>
            <w:vAlign w:val="bottom"/>
            <w:hideMark/>
          </w:tcPr>
          <w:p w14:paraId="0C3F8DE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1562</w:t>
            </w:r>
          </w:p>
        </w:tc>
        <w:tc>
          <w:tcPr>
            <w:tcW w:w="804" w:type="dxa"/>
            <w:tcBorders>
              <w:top w:val="nil"/>
              <w:left w:val="nil"/>
              <w:bottom w:val="nil"/>
              <w:right w:val="nil"/>
            </w:tcBorders>
            <w:shd w:val="clear" w:color="auto" w:fill="auto"/>
            <w:noWrap/>
            <w:vAlign w:val="bottom"/>
            <w:hideMark/>
          </w:tcPr>
          <w:p w14:paraId="0C3F8DE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1763</w:t>
            </w:r>
          </w:p>
        </w:tc>
        <w:tc>
          <w:tcPr>
            <w:tcW w:w="774" w:type="dxa"/>
            <w:tcBorders>
              <w:top w:val="nil"/>
              <w:left w:val="nil"/>
              <w:bottom w:val="nil"/>
              <w:right w:val="nil"/>
            </w:tcBorders>
            <w:shd w:val="clear" w:color="auto" w:fill="auto"/>
            <w:noWrap/>
            <w:vAlign w:val="bottom"/>
            <w:hideMark/>
          </w:tcPr>
          <w:p w14:paraId="0C3F8DE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943</w:t>
            </w:r>
          </w:p>
        </w:tc>
        <w:tc>
          <w:tcPr>
            <w:tcW w:w="641" w:type="dxa"/>
            <w:tcBorders>
              <w:top w:val="nil"/>
              <w:left w:val="nil"/>
              <w:bottom w:val="nil"/>
              <w:right w:val="nil"/>
            </w:tcBorders>
            <w:shd w:val="clear" w:color="auto" w:fill="auto"/>
            <w:noWrap/>
            <w:vAlign w:val="bottom"/>
            <w:hideMark/>
          </w:tcPr>
          <w:p w14:paraId="0C3F8DE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241</w:t>
            </w:r>
          </w:p>
        </w:tc>
        <w:tc>
          <w:tcPr>
            <w:tcW w:w="785" w:type="dxa"/>
            <w:tcBorders>
              <w:top w:val="nil"/>
              <w:left w:val="nil"/>
              <w:bottom w:val="nil"/>
              <w:right w:val="nil"/>
            </w:tcBorders>
            <w:shd w:val="clear" w:color="auto" w:fill="auto"/>
            <w:noWrap/>
            <w:vAlign w:val="bottom"/>
            <w:hideMark/>
          </w:tcPr>
          <w:p w14:paraId="0C3F8DE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152</w:t>
            </w:r>
          </w:p>
        </w:tc>
        <w:tc>
          <w:tcPr>
            <w:tcW w:w="912" w:type="dxa"/>
            <w:tcBorders>
              <w:top w:val="nil"/>
              <w:left w:val="nil"/>
              <w:bottom w:val="nil"/>
              <w:right w:val="nil"/>
            </w:tcBorders>
            <w:shd w:val="clear" w:color="000000" w:fill="F2DCDB"/>
            <w:noWrap/>
            <w:vAlign w:val="bottom"/>
            <w:hideMark/>
          </w:tcPr>
          <w:p w14:paraId="0C3F8DEC"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4661</w:t>
            </w:r>
          </w:p>
        </w:tc>
        <w:tc>
          <w:tcPr>
            <w:tcW w:w="912" w:type="dxa"/>
            <w:tcBorders>
              <w:top w:val="nil"/>
              <w:left w:val="nil"/>
              <w:bottom w:val="nil"/>
              <w:right w:val="single" w:sz="4" w:space="0" w:color="auto"/>
            </w:tcBorders>
            <w:shd w:val="clear" w:color="000000" w:fill="F2DCDB"/>
            <w:noWrap/>
            <w:vAlign w:val="bottom"/>
            <w:hideMark/>
          </w:tcPr>
          <w:p w14:paraId="0C3F8DE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723" w:type="dxa"/>
            <w:tcBorders>
              <w:top w:val="nil"/>
              <w:left w:val="nil"/>
              <w:bottom w:val="nil"/>
              <w:right w:val="nil"/>
            </w:tcBorders>
            <w:shd w:val="clear" w:color="auto" w:fill="auto"/>
            <w:noWrap/>
            <w:vAlign w:val="bottom"/>
            <w:hideMark/>
          </w:tcPr>
          <w:p w14:paraId="0C3F8DE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3547</w:t>
            </w:r>
          </w:p>
        </w:tc>
        <w:tc>
          <w:tcPr>
            <w:tcW w:w="918" w:type="dxa"/>
            <w:tcBorders>
              <w:top w:val="nil"/>
              <w:left w:val="nil"/>
              <w:bottom w:val="nil"/>
              <w:right w:val="nil"/>
            </w:tcBorders>
            <w:shd w:val="clear" w:color="auto" w:fill="auto"/>
            <w:noWrap/>
            <w:vAlign w:val="bottom"/>
            <w:hideMark/>
          </w:tcPr>
          <w:p w14:paraId="0C3F8DE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1099</w:t>
            </w:r>
          </w:p>
        </w:tc>
        <w:tc>
          <w:tcPr>
            <w:tcW w:w="622" w:type="dxa"/>
            <w:tcBorders>
              <w:top w:val="nil"/>
              <w:left w:val="nil"/>
              <w:bottom w:val="nil"/>
              <w:right w:val="nil"/>
            </w:tcBorders>
            <w:shd w:val="clear" w:color="auto" w:fill="auto"/>
            <w:noWrap/>
            <w:vAlign w:val="bottom"/>
            <w:hideMark/>
          </w:tcPr>
          <w:p w14:paraId="0C3F8DF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w:t>
            </w:r>
          </w:p>
        </w:tc>
        <w:tc>
          <w:tcPr>
            <w:tcW w:w="1028" w:type="dxa"/>
            <w:tcBorders>
              <w:top w:val="nil"/>
              <w:left w:val="nil"/>
              <w:bottom w:val="nil"/>
              <w:right w:val="nil"/>
            </w:tcBorders>
            <w:shd w:val="clear" w:color="auto" w:fill="auto"/>
            <w:noWrap/>
            <w:vAlign w:val="bottom"/>
            <w:hideMark/>
          </w:tcPr>
          <w:p w14:paraId="0C3F8DF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DF2"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4661</w:t>
            </w:r>
          </w:p>
        </w:tc>
        <w:tc>
          <w:tcPr>
            <w:tcW w:w="912" w:type="dxa"/>
            <w:tcBorders>
              <w:top w:val="nil"/>
              <w:left w:val="nil"/>
              <w:bottom w:val="nil"/>
              <w:right w:val="single" w:sz="4" w:space="0" w:color="auto"/>
            </w:tcBorders>
            <w:shd w:val="clear" w:color="000000" w:fill="F2DCDB"/>
            <w:noWrap/>
            <w:vAlign w:val="bottom"/>
            <w:hideMark/>
          </w:tcPr>
          <w:p w14:paraId="0C3F8DF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r>
      <w:tr w:rsidR="00B6457B" w:rsidRPr="00393ABA" w14:paraId="0C3F8E05" w14:textId="77777777" w:rsidTr="00393ABA">
        <w:trPr>
          <w:trHeight w:val="300"/>
        </w:trPr>
        <w:tc>
          <w:tcPr>
            <w:tcW w:w="1407" w:type="dxa"/>
            <w:vMerge/>
            <w:tcBorders>
              <w:top w:val="nil"/>
              <w:left w:val="single" w:sz="4" w:space="0" w:color="auto"/>
              <w:bottom w:val="nil"/>
              <w:right w:val="nil"/>
            </w:tcBorders>
            <w:vAlign w:val="center"/>
            <w:hideMark/>
          </w:tcPr>
          <w:p w14:paraId="0C3F8DF5"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DF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DF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DF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34%</w:t>
            </w:r>
          </w:p>
        </w:tc>
        <w:tc>
          <w:tcPr>
            <w:tcW w:w="804" w:type="dxa"/>
            <w:tcBorders>
              <w:top w:val="nil"/>
              <w:left w:val="nil"/>
              <w:bottom w:val="nil"/>
              <w:right w:val="nil"/>
            </w:tcBorders>
            <w:shd w:val="clear" w:color="auto" w:fill="auto"/>
            <w:noWrap/>
            <w:vAlign w:val="bottom"/>
            <w:hideMark/>
          </w:tcPr>
          <w:p w14:paraId="0C3F8DF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38%</w:t>
            </w:r>
          </w:p>
        </w:tc>
        <w:tc>
          <w:tcPr>
            <w:tcW w:w="774" w:type="dxa"/>
            <w:tcBorders>
              <w:top w:val="nil"/>
              <w:left w:val="nil"/>
              <w:bottom w:val="nil"/>
              <w:right w:val="nil"/>
            </w:tcBorders>
            <w:shd w:val="clear" w:color="auto" w:fill="auto"/>
            <w:noWrap/>
            <w:vAlign w:val="bottom"/>
            <w:hideMark/>
          </w:tcPr>
          <w:p w14:paraId="0C3F8DF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641" w:type="dxa"/>
            <w:tcBorders>
              <w:top w:val="nil"/>
              <w:left w:val="nil"/>
              <w:bottom w:val="nil"/>
              <w:right w:val="nil"/>
            </w:tcBorders>
            <w:shd w:val="clear" w:color="auto" w:fill="auto"/>
            <w:noWrap/>
            <w:vAlign w:val="bottom"/>
            <w:hideMark/>
          </w:tcPr>
          <w:p w14:paraId="0C3F8DF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785" w:type="dxa"/>
            <w:tcBorders>
              <w:top w:val="nil"/>
              <w:left w:val="nil"/>
              <w:bottom w:val="nil"/>
              <w:right w:val="nil"/>
            </w:tcBorders>
            <w:shd w:val="clear" w:color="auto" w:fill="auto"/>
            <w:noWrap/>
            <w:vAlign w:val="bottom"/>
            <w:hideMark/>
          </w:tcPr>
          <w:p w14:paraId="0C3F8DF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12" w:type="dxa"/>
            <w:tcBorders>
              <w:top w:val="nil"/>
              <w:left w:val="nil"/>
              <w:bottom w:val="nil"/>
              <w:right w:val="nil"/>
            </w:tcBorders>
            <w:shd w:val="clear" w:color="000000" w:fill="F2DCDB"/>
            <w:noWrap/>
            <w:vAlign w:val="bottom"/>
            <w:hideMark/>
          </w:tcPr>
          <w:p w14:paraId="0C3F8DF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DF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DF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76%</w:t>
            </w:r>
          </w:p>
        </w:tc>
        <w:tc>
          <w:tcPr>
            <w:tcW w:w="918" w:type="dxa"/>
            <w:tcBorders>
              <w:top w:val="nil"/>
              <w:left w:val="nil"/>
              <w:bottom w:val="nil"/>
              <w:right w:val="nil"/>
            </w:tcBorders>
            <w:shd w:val="clear" w:color="auto" w:fill="auto"/>
            <w:noWrap/>
            <w:vAlign w:val="bottom"/>
            <w:hideMark/>
          </w:tcPr>
          <w:p w14:paraId="0C3F8E0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24%</w:t>
            </w:r>
          </w:p>
        </w:tc>
        <w:tc>
          <w:tcPr>
            <w:tcW w:w="622" w:type="dxa"/>
            <w:tcBorders>
              <w:top w:val="nil"/>
              <w:left w:val="nil"/>
              <w:bottom w:val="nil"/>
              <w:right w:val="nil"/>
            </w:tcBorders>
            <w:shd w:val="clear" w:color="auto" w:fill="auto"/>
            <w:noWrap/>
            <w:vAlign w:val="bottom"/>
            <w:hideMark/>
          </w:tcPr>
          <w:p w14:paraId="0C3F8E0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1028" w:type="dxa"/>
            <w:tcBorders>
              <w:top w:val="nil"/>
              <w:left w:val="nil"/>
              <w:bottom w:val="nil"/>
              <w:right w:val="nil"/>
            </w:tcBorders>
            <w:shd w:val="clear" w:color="auto" w:fill="auto"/>
            <w:noWrap/>
            <w:vAlign w:val="bottom"/>
            <w:hideMark/>
          </w:tcPr>
          <w:p w14:paraId="0C3F8E0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E0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E0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E16"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E0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Burdekin</w:t>
            </w:r>
          </w:p>
        </w:tc>
        <w:tc>
          <w:tcPr>
            <w:tcW w:w="1120" w:type="dxa"/>
            <w:tcBorders>
              <w:top w:val="nil"/>
              <w:left w:val="single" w:sz="4" w:space="0" w:color="auto"/>
              <w:bottom w:val="nil"/>
              <w:right w:val="single" w:sz="4" w:space="0" w:color="auto"/>
            </w:tcBorders>
            <w:shd w:val="clear" w:color="000000" w:fill="F2F2F2"/>
            <w:noWrap/>
            <w:vAlign w:val="center"/>
            <w:hideMark/>
          </w:tcPr>
          <w:p w14:paraId="0C3F8E0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E0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5437</w:t>
            </w:r>
          </w:p>
        </w:tc>
        <w:tc>
          <w:tcPr>
            <w:tcW w:w="735" w:type="dxa"/>
            <w:tcBorders>
              <w:top w:val="nil"/>
              <w:left w:val="nil"/>
              <w:bottom w:val="nil"/>
              <w:right w:val="nil"/>
            </w:tcBorders>
            <w:shd w:val="clear" w:color="auto" w:fill="auto"/>
            <w:noWrap/>
            <w:vAlign w:val="bottom"/>
            <w:hideMark/>
          </w:tcPr>
          <w:p w14:paraId="0C3F8E0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1623</w:t>
            </w:r>
          </w:p>
        </w:tc>
        <w:tc>
          <w:tcPr>
            <w:tcW w:w="804" w:type="dxa"/>
            <w:tcBorders>
              <w:top w:val="nil"/>
              <w:left w:val="nil"/>
              <w:bottom w:val="nil"/>
              <w:right w:val="nil"/>
            </w:tcBorders>
            <w:shd w:val="clear" w:color="auto" w:fill="auto"/>
            <w:noWrap/>
            <w:vAlign w:val="bottom"/>
            <w:hideMark/>
          </w:tcPr>
          <w:p w14:paraId="0C3F8E0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1658</w:t>
            </w:r>
          </w:p>
        </w:tc>
        <w:tc>
          <w:tcPr>
            <w:tcW w:w="774" w:type="dxa"/>
            <w:tcBorders>
              <w:top w:val="nil"/>
              <w:left w:val="nil"/>
              <w:bottom w:val="nil"/>
              <w:right w:val="nil"/>
            </w:tcBorders>
            <w:shd w:val="clear" w:color="auto" w:fill="auto"/>
            <w:noWrap/>
            <w:vAlign w:val="bottom"/>
            <w:hideMark/>
          </w:tcPr>
          <w:p w14:paraId="0C3F8E0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154</w:t>
            </w:r>
          </w:p>
        </w:tc>
        <w:tc>
          <w:tcPr>
            <w:tcW w:w="641" w:type="dxa"/>
            <w:tcBorders>
              <w:top w:val="nil"/>
              <w:left w:val="nil"/>
              <w:bottom w:val="nil"/>
              <w:right w:val="nil"/>
            </w:tcBorders>
            <w:shd w:val="clear" w:color="auto" w:fill="auto"/>
            <w:noWrap/>
            <w:vAlign w:val="bottom"/>
            <w:hideMark/>
          </w:tcPr>
          <w:p w14:paraId="0C3F8E0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18</w:t>
            </w:r>
          </w:p>
        </w:tc>
        <w:tc>
          <w:tcPr>
            <w:tcW w:w="785" w:type="dxa"/>
            <w:tcBorders>
              <w:top w:val="nil"/>
              <w:left w:val="nil"/>
              <w:bottom w:val="nil"/>
              <w:right w:val="nil"/>
            </w:tcBorders>
            <w:shd w:val="clear" w:color="auto" w:fill="auto"/>
            <w:noWrap/>
            <w:vAlign w:val="bottom"/>
            <w:hideMark/>
          </w:tcPr>
          <w:p w14:paraId="0C3F8E0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E0E"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3454</w:t>
            </w:r>
          </w:p>
        </w:tc>
        <w:tc>
          <w:tcPr>
            <w:tcW w:w="912" w:type="dxa"/>
            <w:tcBorders>
              <w:top w:val="nil"/>
              <w:left w:val="nil"/>
              <w:bottom w:val="nil"/>
              <w:right w:val="single" w:sz="4" w:space="0" w:color="auto"/>
            </w:tcBorders>
            <w:shd w:val="clear" w:color="000000" w:fill="F2DCDB"/>
            <w:noWrap/>
            <w:vAlign w:val="bottom"/>
            <w:hideMark/>
          </w:tcPr>
          <w:p w14:paraId="0C3F8E0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1983</w:t>
            </w:r>
          </w:p>
        </w:tc>
        <w:tc>
          <w:tcPr>
            <w:tcW w:w="723" w:type="dxa"/>
            <w:tcBorders>
              <w:top w:val="nil"/>
              <w:left w:val="nil"/>
              <w:bottom w:val="nil"/>
              <w:right w:val="nil"/>
            </w:tcBorders>
            <w:shd w:val="clear" w:color="auto" w:fill="auto"/>
            <w:noWrap/>
            <w:vAlign w:val="bottom"/>
            <w:hideMark/>
          </w:tcPr>
          <w:p w14:paraId="0C3F8E1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3293</w:t>
            </w:r>
          </w:p>
        </w:tc>
        <w:tc>
          <w:tcPr>
            <w:tcW w:w="918" w:type="dxa"/>
            <w:tcBorders>
              <w:top w:val="nil"/>
              <w:left w:val="nil"/>
              <w:bottom w:val="nil"/>
              <w:right w:val="nil"/>
            </w:tcBorders>
            <w:shd w:val="clear" w:color="auto" w:fill="auto"/>
            <w:noWrap/>
            <w:vAlign w:val="bottom"/>
            <w:hideMark/>
          </w:tcPr>
          <w:p w14:paraId="0C3F8E1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165</w:t>
            </w:r>
          </w:p>
        </w:tc>
        <w:tc>
          <w:tcPr>
            <w:tcW w:w="622" w:type="dxa"/>
            <w:tcBorders>
              <w:top w:val="nil"/>
              <w:left w:val="nil"/>
              <w:bottom w:val="nil"/>
              <w:right w:val="nil"/>
            </w:tcBorders>
            <w:shd w:val="clear" w:color="auto" w:fill="auto"/>
            <w:noWrap/>
            <w:vAlign w:val="bottom"/>
            <w:hideMark/>
          </w:tcPr>
          <w:p w14:paraId="0C3F8E1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1028" w:type="dxa"/>
            <w:tcBorders>
              <w:top w:val="nil"/>
              <w:left w:val="nil"/>
              <w:bottom w:val="nil"/>
              <w:right w:val="nil"/>
            </w:tcBorders>
            <w:shd w:val="clear" w:color="auto" w:fill="auto"/>
            <w:noWrap/>
            <w:vAlign w:val="bottom"/>
            <w:hideMark/>
          </w:tcPr>
          <w:p w14:paraId="0C3F8E1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E1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3459</w:t>
            </w:r>
          </w:p>
        </w:tc>
        <w:tc>
          <w:tcPr>
            <w:tcW w:w="912" w:type="dxa"/>
            <w:tcBorders>
              <w:top w:val="nil"/>
              <w:left w:val="nil"/>
              <w:bottom w:val="nil"/>
              <w:right w:val="single" w:sz="4" w:space="0" w:color="auto"/>
            </w:tcBorders>
            <w:shd w:val="clear" w:color="000000" w:fill="F2DCDB"/>
            <w:noWrap/>
            <w:vAlign w:val="bottom"/>
            <w:hideMark/>
          </w:tcPr>
          <w:p w14:paraId="0C3F8E1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1978</w:t>
            </w:r>
          </w:p>
        </w:tc>
      </w:tr>
      <w:tr w:rsidR="00B6457B" w:rsidRPr="00393ABA" w14:paraId="0C3F8E27" w14:textId="77777777" w:rsidTr="00393ABA">
        <w:trPr>
          <w:trHeight w:val="300"/>
        </w:trPr>
        <w:tc>
          <w:tcPr>
            <w:tcW w:w="1407" w:type="dxa"/>
            <w:vMerge/>
            <w:tcBorders>
              <w:top w:val="nil"/>
              <w:left w:val="single" w:sz="4" w:space="0" w:color="auto"/>
              <w:bottom w:val="nil"/>
              <w:right w:val="nil"/>
            </w:tcBorders>
            <w:vAlign w:val="center"/>
            <w:hideMark/>
          </w:tcPr>
          <w:p w14:paraId="0C3F8E17"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E1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E1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E1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30%</w:t>
            </w:r>
          </w:p>
        </w:tc>
        <w:tc>
          <w:tcPr>
            <w:tcW w:w="804" w:type="dxa"/>
            <w:tcBorders>
              <w:top w:val="nil"/>
              <w:left w:val="nil"/>
              <w:bottom w:val="nil"/>
              <w:right w:val="nil"/>
            </w:tcBorders>
            <w:shd w:val="clear" w:color="auto" w:fill="auto"/>
            <w:noWrap/>
            <w:vAlign w:val="bottom"/>
            <w:hideMark/>
          </w:tcPr>
          <w:p w14:paraId="0C3F8E1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31%</w:t>
            </w:r>
          </w:p>
        </w:tc>
        <w:tc>
          <w:tcPr>
            <w:tcW w:w="774" w:type="dxa"/>
            <w:tcBorders>
              <w:top w:val="nil"/>
              <w:left w:val="nil"/>
              <w:bottom w:val="nil"/>
              <w:right w:val="nil"/>
            </w:tcBorders>
            <w:shd w:val="clear" w:color="auto" w:fill="auto"/>
            <w:noWrap/>
            <w:vAlign w:val="bottom"/>
            <w:hideMark/>
          </w:tcPr>
          <w:p w14:paraId="0C3F8E1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641" w:type="dxa"/>
            <w:tcBorders>
              <w:top w:val="nil"/>
              <w:left w:val="nil"/>
              <w:bottom w:val="nil"/>
              <w:right w:val="nil"/>
            </w:tcBorders>
            <w:shd w:val="clear" w:color="auto" w:fill="auto"/>
            <w:noWrap/>
            <w:vAlign w:val="bottom"/>
            <w:hideMark/>
          </w:tcPr>
          <w:p w14:paraId="0C3F8E1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785" w:type="dxa"/>
            <w:tcBorders>
              <w:top w:val="nil"/>
              <w:left w:val="nil"/>
              <w:bottom w:val="nil"/>
              <w:right w:val="nil"/>
            </w:tcBorders>
            <w:shd w:val="clear" w:color="auto" w:fill="auto"/>
            <w:noWrap/>
            <w:vAlign w:val="bottom"/>
            <w:hideMark/>
          </w:tcPr>
          <w:p w14:paraId="0C3F8E1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E1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64%</w:t>
            </w:r>
          </w:p>
        </w:tc>
        <w:tc>
          <w:tcPr>
            <w:tcW w:w="912" w:type="dxa"/>
            <w:tcBorders>
              <w:top w:val="nil"/>
              <w:left w:val="nil"/>
              <w:bottom w:val="nil"/>
              <w:right w:val="nil"/>
            </w:tcBorders>
            <w:shd w:val="clear" w:color="000000" w:fill="F2DCDB"/>
            <w:noWrap/>
            <w:vAlign w:val="bottom"/>
            <w:hideMark/>
          </w:tcPr>
          <w:p w14:paraId="0C3F8E2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36%</w:t>
            </w:r>
          </w:p>
        </w:tc>
        <w:tc>
          <w:tcPr>
            <w:tcW w:w="723" w:type="dxa"/>
            <w:tcBorders>
              <w:top w:val="nil"/>
              <w:left w:val="single" w:sz="4" w:space="0" w:color="auto"/>
              <w:bottom w:val="nil"/>
              <w:right w:val="nil"/>
            </w:tcBorders>
            <w:shd w:val="clear" w:color="auto" w:fill="auto"/>
            <w:noWrap/>
            <w:vAlign w:val="bottom"/>
            <w:hideMark/>
          </w:tcPr>
          <w:p w14:paraId="0C3F8E2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61%</w:t>
            </w:r>
          </w:p>
        </w:tc>
        <w:tc>
          <w:tcPr>
            <w:tcW w:w="918" w:type="dxa"/>
            <w:tcBorders>
              <w:top w:val="nil"/>
              <w:left w:val="nil"/>
              <w:bottom w:val="nil"/>
              <w:right w:val="nil"/>
            </w:tcBorders>
            <w:shd w:val="clear" w:color="auto" w:fill="auto"/>
            <w:noWrap/>
            <w:vAlign w:val="bottom"/>
            <w:hideMark/>
          </w:tcPr>
          <w:p w14:paraId="0C3F8E2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622" w:type="dxa"/>
            <w:tcBorders>
              <w:top w:val="nil"/>
              <w:left w:val="nil"/>
              <w:bottom w:val="nil"/>
              <w:right w:val="nil"/>
            </w:tcBorders>
            <w:shd w:val="clear" w:color="auto" w:fill="auto"/>
            <w:noWrap/>
            <w:vAlign w:val="bottom"/>
            <w:hideMark/>
          </w:tcPr>
          <w:p w14:paraId="0C3F8E2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1028" w:type="dxa"/>
            <w:tcBorders>
              <w:top w:val="nil"/>
              <w:left w:val="nil"/>
              <w:bottom w:val="nil"/>
              <w:right w:val="nil"/>
            </w:tcBorders>
            <w:shd w:val="clear" w:color="auto" w:fill="auto"/>
            <w:noWrap/>
            <w:vAlign w:val="bottom"/>
            <w:hideMark/>
          </w:tcPr>
          <w:p w14:paraId="0C3F8E2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E2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64%</w:t>
            </w:r>
          </w:p>
        </w:tc>
        <w:tc>
          <w:tcPr>
            <w:tcW w:w="912" w:type="dxa"/>
            <w:tcBorders>
              <w:top w:val="nil"/>
              <w:left w:val="nil"/>
              <w:bottom w:val="nil"/>
              <w:right w:val="single" w:sz="4" w:space="0" w:color="auto"/>
            </w:tcBorders>
            <w:shd w:val="clear" w:color="000000" w:fill="F2DCDB"/>
            <w:noWrap/>
            <w:vAlign w:val="bottom"/>
            <w:hideMark/>
          </w:tcPr>
          <w:p w14:paraId="0C3F8E2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36%</w:t>
            </w:r>
          </w:p>
        </w:tc>
      </w:tr>
      <w:tr w:rsidR="00B6457B" w:rsidRPr="00393ABA" w14:paraId="0C3F8E38" w14:textId="77777777" w:rsidTr="00393ABA">
        <w:trPr>
          <w:trHeight w:val="300"/>
        </w:trPr>
        <w:tc>
          <w:tcPr>
            <w:tcW w:w="1407" w:type="dxa"/>
            <w:vMerge w:val="restart"/>
            <w:tcBorders>
              <w:top w:val="nil"/>
              <w:left w:val="single" w:sz="4" w:space="0" w:color="auto"/>
              <w:bottom w:val="nil"/>
              <w:right w:val="single" w:sz="4" w:space="0" w:color="auto"/>
            </w:tcBorders>
            <w:shd w:val="clear" w:color="000000" w:fill="F2F2F2"/>
            <w:vAlign w:val="center"/>
            <w:hideMark/>
          </w:tcPr>
          <w:p w14:paraId="0C3F8E2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Mackay-Whitsundays</w:t>
            </w:r>
          </w:p>
        </w:tc>
        <w:tc>
          <w:tcPr>
            <w:tcW w:w="1120" w:type="dxa"/>
            <w:tcBorders>
              <w:top w:val="nil"/>
              <w:left w:val="nil"/>
              <w:bottom w:val="nil"/>
              <w:right w:val="single" w:sz="4" w:space="0" w:color="auto"/>
            </w:tcBorders>
            <w:shd w:val="clear" w:color="000000" w:fill="F2F2F2"/>
            <w:noWrap/>
            <w:vAlign w:val="center"/>
            <w:hideMark/>
          </w:tcPr>
          <w:p w14:paraId="0C3F8E2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E2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220</w:t>
            </w:r>
          </w:p>
        </w:tc>
        <w:tc>
          <w:tcPr>
            <w:tcW w:w="735" w:type="dxa"/>
            <w:tcBorders>
              <w:top w:val="nil"/>
              <w:left w:val="nil"/>
              <w:bottom w:val="nil"/>
              <w:right w:val="nil"/>
            </w:tcBorders>
            <w:shd w:val="clear" w:color="auto" w:fill="auto"/>
            <w:noWrap/>
            <w:vAlign w:val="bottom"/>
            <w:hideMark/>
          </w:tcPr>
          <w:p w14:paraId="0C3F8E2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804" w:type="dxa"/>
            <w:tcBorders>
              <w:top w:val="nil"/>
              <w:left w:val="nil"/>
              <w:bottom w:val="nil"/>
              <w:right w:val="nil"/>
            </w:tcBorders>
            <w:shd w:val="clear" w:color="auto" w:fill="auto"/>
            <w:noWrap/>
            <w:vAlign w:val="bottom"/>
            <w:hideMark/>
          </w:tcPr>
          <w:p w14:paraId="0C3F8E2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774" w:type="dxa"/>
            <w:tcBorders>
              <w:top w:val="nil"/>
              <w:left w:val="nil"/>
              <w:bottom w:val="nil"/>
              <w:right w:val="nil"/>
            </w:tcBorders>
            <w:shd w:val="clear" w:color="auto" w:fill="auto"/>
            <w:noWrap/>
            <w:vAlign w:val="bottom"/>
            <w:hideMark/>
          </w:tcPr>
          <w:p w14:paraId="0C3F8E2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w:t>
            </w:r>
          </w:p>
        </w:tc>
        <w:tc>
          <w:tcPr>
            <w:tcW w:w="641" w:type="dxa"/>
            <w:tcBorders>
              <w:top w:val="nil"/>
              <w:left w:val="nil"/>
              <w:bottom w:val="nil"/>
              <w:right w:val="nil"/>
            </w:tcBorders>
            <w:shd w:val="clear" w:color="auto" w:fill="auto"/>
            <w:noWrap/>
            <w:vAlign w:val="bottom"/>
            <w:hideMark/>
          </w:tcPr>
          <w:p w14:paraId="0C3F8E2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43</w:t>
            </w:r>
          </w:p>
        </w:tc>
        <w:tc>
          <w:tcPr>
            <w:tcW w:w="785" w:type="dxa"/>
            <w:tcBorders>
              <w:top w:val="nil"/>
              <w:left w:val="nil"/>
              <w:bottom w:val="nil"/>
              <w:right w:val="nil"/>
            </w:tcBorders>
            <w:shd w:val="clear" w:color="auto" w:fill="auto"/>
            <w:noWrap/>
            <w:vAlign w:val="bottom"/>
            <w:hideMark/>
          </w:tcPr>
          <w:p w14:paraId="0C3F8E2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157</w:t>
            </w:r>
          </w:p>
        </w:tc>
        <w:tc>
          <w:tcPr>
            <w:tcW w:w="912" w:type="dxa"/>
            <w:tcBorders>
              <w:top w:val="nil"/>
              <w:left w:val="nil"/>
              <w:bottom w:val="nil"/>
              <w:right w:val="nil"/>
            </w:tcBorders>
            <w:shd w:val="clear" w:color="000000" w:fill="F2DCDB"/>
            <w:noWrap/>
            <w:vAlign w:val="bottom"/>
            <w:hideMark/>
          </w:tcPr>
          <w:p w14:paraId="0C3F8E30"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220</w:t>
            </w:r>
          </w:p>
        </w:tc>
        <w:tc>
          <w:tcPr>
            <w:tcW w:w="912" w:type="dxa"/>
            <w:tcBorders>
              <w:top w:val="nil"/>
              <w:left w:val="nil"/>
              <w:bottom w:val="nil"/>
              <w:right w:val="single" w:sz="4" w:space="0" w:color="auto"/>
            </w:tcBorders>
            <w:shd w:val="clear" w:color="000000" w:fill="F2DCDB"/>
            <w:noWrap/>
            <w:vAlign w:val="bottom"/>
            <w:hideMark/>
          </w:tcPr>
          <w:p w14:paraId="0C3F8E3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w:t>
            </w:r>
          </w:p>
        </w:tc>
        <w:tc>
          <w:tcPr>
            <w:tcW w:w="723" w:type="dxa"/>
            <w:tcBorders>
              <w:top w:val="nil"/>
              <w:left w:val="nil"/>
              <w:bottom w:val="nil"/>
              <w:right w:val="nil"/>
            </w:tcBorders>
            <w:shd w:val="clear" w:color="auto" w:fill="auto"/>
            <w:noWrap/>
            <w:vAlign w:val="bottom"/>
            <w:hideMark/>
          </w:tcPr>
          <w:p w14:paraId="0C3F8E3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8" w:type="dxa"/>
            <w:tcBorders>
              <w:top w:val="nil"/>
              <w:left w:val="nil"/>
              <w:bottom w:val="nil"/>
              <w:right w:val="nil"/>
            </w:tcBorders>
            <w:shd w:val="clear" w:color="auto" w:fill="auto"/>
            <w:noWrap/>
            <w:vAlign w:val="bottom"/>
            <w:hideMark/>
          </w:tcPr>
          <w:p w14:paraId="0C3F8E3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146</w:t>
            </w:r>
          </w:p>
        </w:tc>
        <w:tc>
          <w:tcPr>
            <w:tcW w:w="622" w:type="dxa"/>
            <w:tcBorders>
              <w:top w:val="nil"/>
              <w:left w:val="nil"/>
              <w:bottom w:val="nil"/>
              <w:right w:val="nil"/>
            </w:tcBorders>
            <w:shd w:val="clear" w:color="auto" w:fill="auto"/>
            <w:noWrap/>
            <w:vAlign w:val="bottom"/>
            <w:hideMark/>
          </w:tcPr>
          <w:p w14:paraId="0C3F8E3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74</w:t>
            </w:r>
          </w:p>
        </w:tc>
        <w:tc>
          <w:tcPr>
            <w:tcW w:w="1028" w:type="dxa"/>
            <w:tcBorders>
              <w:top w:val="nil"/>
              <w:left w:val="nil"/>
              <w:bottom w:val="nil"/>
              <w:right w:val="nil"/>
            </w:tcBorders>
            <w:shd w:val="clear" w:color="auto" w:fill="auto"/>
            <w:noWrap/>
            <w:vAlign w:val="bottom"/>
            <w:hideMark/>
          </w:tcPr>
          <w:p w14:paraId="0C3F8E3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E36"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220</w:t>
            </w:r>
          </w:p>
        </w:tc>
        <w:tc>
          <w:tcPr>
            <w:tcW w:w="912" w:type="dxa"/>
            <w:tcBorders>
              <w:top w:val="nil"/>
              <w:left w:val="nil"/>
              <w:bottom w:val="nil"/>
              <w:right w:val="single" w:sz="4" w:space="0" w:color="auto"/>
            </w:tcBorders>
            <w:shd w:val="clear" w:color="000000" w:fill="F2DCDB"/>
            <w:noWrap/>
            <w:vAlign w:val="bottom"/>
            <w:hideMark/>
          </w:tcPr>
          <w:p w14:paraId="0C3F8E3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w:t>
            </w:r>
          </w:p>
        </w:tc>
      </w:tr>
      <w:tr w:rsidR="00B6457B" w:rsidRPr="00393ABA" w14:paraId="0C3F8E49" w14:textId="77777777" w:rsidTr="00393ABA">
        <w:trPr>
          <w:trHeight w:val="300"/>
        </w:trPr>
        <w:tc>
          <w:tcPr>
            <w:tcW w:w="1407" w:type="dxa"/>
            <w:vMerge/>
            <w:tcBorders>
              <w:top w:val="nil"/>
              <w:left w:val="single" w:sz="4" w:space="0" w:color="auto"/>
              <w:bottom w:val="nil"/>
              <w:right w:val="single" w:sz="4" w:space="0" w:color="auto"/>
            </w:tcBorders>
            <w:vAlign w:val="center"/>
            <w:hideMark/>
          </w:tcPr>
          <w:p w14:paraId="0C3F8E39"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nil"/>
              <w:right w:val="single" w:sz="4" w:space="0" w:color="auto"/>
            </w:tcBorders>
            <w:shd w:val="clear" w:color="000000" w:fill="F2F2F2"/>
            <w:noWrap/>
            <w:vAlign w:val="center"/>
            <w:hideMark/>
          </w:tcPr>
          <w:p w14:paraId="0C3F8E3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E3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E3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4" w:type="dxa"/>
            <w:tcBorders>
              <w:top w:val="nil"/>
              <w:left w:val="nil"/>
              <w:bottom w:val="nil"/>
              <w:right w:val="nil"/>
            </w:tcBorders>
            <w:shd w:val="clear" w:color="auto" w:fill="auto"/>
            <w:noWrap/>
            <w:vAlign w:val="bottom"/>
            <w:hideMark/>
          </w:tcPr>
          <w:p w14:paraId="0C3F8E3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774" w:type="dxa"/>
            <w:tcBorders>
              <w:top w:val="nil"/>
              <w:left w:val="nil"/>
              <w:bottom w:val="nil"/>
              <w:right w:val="nil"/>
            </w:tcBorders>
            <w:shd w:val="clear" w:color="auto" w:fill="auto"/>
            <w:noWrap/>
            <w:vAlign w:val="bottom"/>
            <w:hideMark/>
          </w:tcPr>
          <w:p w14:paraId="0C3F8E3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w:t>
            </w:r>
          </w:p>
        </w:tc>
        <w:tc>
          <w:tcPr>
            <w:tcW w:w="641" w:type="dxa"/>
            <w:tcBorders>
              <w:top w:val="nil"/>
              <w:left w:val="nil"/>
              <w:bottom w:val="nil"/>
              <w:right w:val="nil"/>
            </w:tcBorders>
            <w:shd w:val="clear" w:color="auto" w:fill="auto"/>
            <w:noWrap/>
            <w:vAlign w:val="bottom"/>
            <w:hideMark/>
          </w:tcPr>
          <w:p w14:paraId="0C3F8E3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19%</w:t>
            </w:r>
          </w:p>
        </w:tc>
        <w:tc>
          <w:tcPr>
            <w:tcW w:w="785" w:type="dxa"/>
            <w:tcBorders>
              <w:top w:val="nil"/>
              <w:left w:val="nil"/>
              <w:bottom w:val="nil"/>
              <w:right w:val="nil"/>
            </w:tcBorders>
            <w:shd w:val="clear" w:color="auto" w:fill="auto"/>
            <w:noWrap/>
            <w:vAlign w:val="bottom"/>
            <w:hideMark/>
          </w:tcPr>
          <w:p w14:paraId="0C3F8E4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71%</w:t>
            </w:r>
          </w:p>
        </w:tc>
        <w:tc>
          <w:tcPr>
            <w:tcW w:w="912" w:type="dxa"/>
            <w:tcBorders>
              <w:top w:val="nil"/>
              <w:left w:val="nil"/>
              <w:bottom w:val="nil"/>
              <w:right w:val="nil"/>
            </w:tcBorders>
            <w:shd w:val="clear" w:color="000000" w:fill="F2DCDB"/>
            <w:noWrap/>
            <w:vAlign w:val="bottom"/>
            <w:hideMark/>
          </w:tcPr>
          <w:p w14:paraId="0C3F8E4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E4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E4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8" w:type="dxa"/>
            <w:tcBorders>
              <w:top w:val="nil"/>
              <w:left w:val="nil"/>
              <w:bottom w:val="nil"/>
              <w:right w:val="nil"/>
            </w:tcBorders>
            <w:shd w:val="clear" w:color="auto" w:fill="auto"/>
            <w:noWrap/>
            <w:vAlign w:val="bottom"/>
            <w:hideMark/>
          </w:tcPr>
          <w:p w14:paraId="0C3F8E4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66%</w:t>
            </w:r>
          </w:p>
        </w:tc>
        <w:tc>
          <w:tcPr>
            <w:tcW w:w="622" w:type="dxa"/>
            <w:tcBorders>
              <w:top w:val="nil"/>
              <w:left w:val="nil"/>
              <w:bottom w:val="nil"/>
              <w:right w:val="nil"/>
            </w:tcBorders>
            <w:shd w:val="clear" w:color="auto" w:fill="auto"/>
            <w:noWrap/>
            <w:vAlign w:val="bottom"/>
            <w:hideMark/>
          </w:tcPr>
          <w:p w14:paraId="0C3F8E4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34%</w:t>
            </w:r>
          </w:p>
        </w:tc>
        <w:tc>
          <w:tcPr>
            <w:tcW w:w="1028" w:type="dxa"/>
            <w:tcBorders>
              <w:top w:val="nil"/>
              <w:left w:val="nil"/>
              <w:bottom w:val="nil"/>
              <w:right w:val="nil"/>
            </w:tcBorders>
            <w:shd w:val="clear" w:color="auto" w:fill="auto"/>
            <w:noWrap/>
            <w:vAlign w:val="bottom"/>
            <w:hideMark/>
          </w:tcPr>
          <w:p w14:paraId="0C3F8E4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E4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E4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E5A"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E4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Fitzroy</w:t>
            </w:r>
          </w:p>
        </w:tc>
        <w:tc>
          <w:tcPr>
            <w:tcW w:w="1120" w:type="dxa"/>
            <w:tcBorders>
              <w:top w:val="nil"/>
              <w:left w:val="single" w:sz="4" w:space="0" w:color="auto"/>
              <w:bottom w:val="nil"/>
              <w:right w:val="single" w:sz="4" w:space="0" w:color="auto"/>
            </w:tcBorders>
            <w:shd w:val="clear" w:color="000000" w:fill="F2F2F2"/>
            <w:noWrap/>
            <w:vAlign w:val="center"/>
            <w:hideMark/>
          </w:tcPr>
          <w:p w14:paraId="0C3F8E4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E4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5554</w:t>
            </w:r>
          </w:p>
        </w:tc>
        <w:tc>
          <w:tcPr>
            <w:tcW w:w="735" w:type="dxa"/>
            <w:tcBorders>
              <w:top w:val="nil"/>
              <w:left w:val="nil"/>
              <w:bottom w:val="nil"/>
              <w:right w:val="nil"/>
            </w:tcBorders>
            <w:shd w:val="clear" w:color="auto" w:fill="auto"/>
            <w:noWrap/>
            <w:vAlign w:val="bottom"/>
            <w:hideMark/>
          </w:tcPr>
          <w:p w14:paraId="0C3F8E4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1431</w:t>
            </w:r>
          </w:p>
        </w:tc>
        <w:tc>
          <w:tcPr>
            <w:tcW w:w="804" w:type="dxa"/>
            <w:tcBorders>
              <w:top w:val="nil"/>
              <w:left w:val="nil"/>
              <w:bottom w:val="nil"/>
              <w:right w:val="nil"/>
            </w:tcBorders>
            <w:shd w:val="clear" w:color="auto" w:fill="auto"/>
            <w:noWrap/>
            <w:vAlign w:val="bottom"/>
            <w:hideMark/>
          </w:tcPr>
          <w:p w14:paraId="0C3F8E4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875</w:t>
            </w:r>
          </w:p>
        </w:tc>
        <w:tc>
          <w:tcPr>
            <w:tcW w:w="774" w:type="dxa"/>
            <w:tcBorders>
              <w:top w:val="nil"/>
              <w:left w:val="nil"/>
              <w:bottom w:val="nil"/>
              <w:right w:val="nil"/>
            </w:tcBorders>
            <w:shd w:val="clear" w:color="auto" w:fill="auto"/>
            <w:noWrap/>
            <w:vAlign w:val="bottom"/>
            <w:hideMark/>
          </w:tcPr>
          <w:p w14:paraId="0C3F8E4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2733</w:t>
            </w:r>
          </w:p>
        </w:tc>
        <w:tc>
          <w:tcPr>
            <w:tcW w:w="641" w:type="dxa"/>
            <w:tcBorders>
              <w:top w:val="nil"/>
              <w:left w:val="nil"/>
              <w:bottom w:val="nil"/>
              <w:right w:val="nil"/>
            </w:tcBorders>
            <w:shd w:val="clear" w:color="auto" w:fill="auto"/>
            <w:noWrap/>
            <w:vAlign w:val="bottom"/>
            <w:hideMark/>
          </w:tcPr>
          <w:p w14:paraId="0C3F8E5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234</w:t>
            </w:r>
          </w:p>
        </w:tc>
        <w:tc>
          <w:tcPr>
            <w:tcW w:w="785" w:type="dxa"/>
            <w:tcBorders>
              <w:top w:val="nil"/>
              <w:left w:val="nil"/>
              <w:bottom w:val="nil"/>
              <w:right w:val="nil"/>
            </w:tcBorders>
            <w:shd w:val="clear" w:color="auto" w:fill="auto"/>
            <w:noWrap/>
            <w:vAlign w:val="bottom"/>
            <w:hideMark/>
          </w:tcPr>
          <w:p w14:paraId="0C3F8E5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280</w:t>
            </w:r>
          </w:p>
        </w:tc>
        <w:tc>
          <w:tcPr>
            <w:tcW w:w="912" w:type="dxa"/>
            <w:tcBorders>
              <w:top w:val="nil"/>
              <w:left w:val="nil"/>
              <w:bottom w:val="nil"/>
              <w:right w:val="nil"/>
            </w:tcBorders>
            <w:shd w:val="clear" w:color="000000" w:fill="F2DCDB"/>
            <w:noWrap/>
            <w:vAlign w:val="bottom"/>
            <w:hideMark/>
          </w:tcPr>
          <w:p w14:paraId="0C3F8E52"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5554</w:t>
            </w:r>
          </w:p>
        </w:tc>
        <w:tc>
          <w:tcPr>
            <w:tcW w:w="912" w:type="dxa"/>
            <w:tcBorders>
              <w:top w:val="nil"/>
              <w:left w:val="nil"/>
              <w:bottom w:val="nil"/>
              <w:right w:val="single" w:sz="4" w:space="0" w:color="auto"/>
            </w:tcBorders>
            <w:shd w:val="clear" w:color="000000" w:fill="F2DCDB"/>
            <w:noWrap/>
            <w:vAlign w:val="bottom"/>
            <w:hideMark/>
          </w:tcPr>
          <w:p w14:paraId="0C3F8E5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723" w:type="dxa"/>
            <w:tcBorders>
              <w:top w:val="nil"/>
              <w:left w:val="nil"/>
              <w:bottom w:val="nil"/>
              <w:right w:val="nil"/>
            </w:tcBorders>
            <w:shd w:val="clear" w:color="auto" w:fill="auto"/>
            <w:noWrap/>
            <w:vAlign w:val="bottom"/>
            <w:hideMark/>
          </w:tcPr>
          <w:p w14:paraId="0C3F8E5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3372</w:t>
            </w:r>
          </w:p>
        </w:tc>
        <w:tc>
          <w:tcPr>
            <w:tcW w:w="918" w:type="dxa"/>
            <w:tcBorders>
              <w:top w:val="nil"/>
              <w:left w:val="nil"/>
              <w:bottom w:val="nil"/>
              <w:right w:val="nil"/>
            </w:tcBorders>
            <w:shd w:val="clear" w:color="auto" w:fill="auto"/>
            <w:noWrap/>
            <w:vAlign w:val="bottom"/>
            <w:hideMark/>
          </w:tcPr>
          <w:p w14:paraId="0C3F8E5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1905</w:t>
            </w:r>
          </w:p>
        </w:tc>
        <w:tc>
          <w:tcPr>
            <w:tcW w:w="622" w:type="dxa"/>
            <w:tcBorders>
              <w:top w:val="nil"/>
              <w:left w:val="nil"/>
              <w:bottom w:val="nil"/>
              <w:right w:val="nil"/>
            </w:tcBorders>
            <w:shd w:val="clear" w:color="auto" w:fill="auto"/>
            <w:noWrap/>
            <w:vAlign w:val="bottom"/>
            <w:hideMark/>
          </w:tcPr>
          <w:p w14:paraId="0C3F8E5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276</w:t>
            </w:r>
          </w:p>
        </w:tc>
        <w:tc>
          <w:tcPr>
            <w:tcW w:w="1028" w:type="dxa"/>
            <w:tcBorders>
              <w:top w:val="nil"/>
              <w:left w:val="nil"/>
              <w:bottom w:val="nil"/>
              <w:right w:val="nil"/>
            </w:tcBorders>
            <w:shd w:val="clear" w:color="auto" w:fill="auto"/>
            <w:noWrap/>
            <w:vAlign w:val="bottom"/>
            <w:hideMark/>
          </w:tcPr>
          <w:p w14:paraId="0C3F8E5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E58"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5554</w:t>
            </w:r>
          </w:p>
        </w:tc>
        <w:tc>
          <w:tcPr>
            <w:tcW w:w="912" w:type="dxa"/>
            <w:tcBorders>
              <w:top w:val="nil"/>
              <w:left w:val="nil"/>
              <w:bottom w:val="nil"/>
              <w:right w:val="single" w:sz="4" w:space="0" w:color="auto"/>
            </w:tcBorders>
            <w:shd w:val="clear" w:color="000000" w:fill="F2DCDB"/>
            <w:noWrap/>
            <w:vAlign w:val="bottom"/>
            <w:hideMark/>
          </w:tcPr>
          <w:p w14:paraId="0C3F8E5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r>
      <w:tr w:rsidR="00B6457B" w:rsidRPr="00393ABA" w14:paraId="0C3F8E6B" w14:textId="77777777" w:rsidTr="00393ABA">
        <w:trPr>
          <w:trHeight w:val="300"/>
        </w:trPr>
        <w:tc>
          <w:tcPr>
            <w:tcW w:w="1407" w:type="dxa"/>
            <w:vMerge/>
            <w:tcBorders>
              <w:top w:val="nil"/>
              <w:left w:val="single" w:sz="4" w:space="0" w:color="auto"/>
              <w:bottom w:val="nil"/>
              <w:right w:val="nil"/>
            </w:tcBorders>
            <w:vAlign w:val="center"/>
            <w:hideMark/>
          </w:tcPr>
          <w:p w14:paraId="0C3F8E5B"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E5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E5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E5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26%</w:t>
            </w:r>
          </w:p>
        </w:tc>
        <w:tc>
          <w:tcPr>
            <w:tcW w:w="804" w:type="dxa"/>
            <w:tcBorders>
              <w:top w:val="nil"/>
              <w:left w:val="nil"/>
              <w:bottom w:val="nil"/>
              <w:right w:val="nil"/>
            </w:tcBorders>
            <w:shd w:val="clear" w:color="auto" w:fill="auto"/>
            <w:noWrap/>
            <w:vAlign w:val="bottom"/>
            <w:hideMark/>
          </w:tcPr>
          <w:p w14:paraId="0C3F8E5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16%</w:t>
            </w:r>
          </w:p>
        </w:tc>
        <w:tc>
          <w:tcPr>
            <w:tcW w:w="774" w:type="dxa"/>
            <w:tcBorders>
              <w:top w:val="nil"/>
              <w:left w:val="nil"/>
              <w:bottom w:val="nil"/>
              <w:right w:val="nil"/>
            </w:tcBorders>
            <w:shd w:val="clear" w:color="auto" w:fill="auto"/>
            <w:noWrap/>
            <w:vAlign w:val="bottom"/>
            <w:hideMark/>
          </w:tcPr>
          <w:p w14:paraId="0C3F8E6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49%</w:t>
            </w:r>
          </w:p>
        </w:tc>
        <w:tc>
          <w:tcPr>
            <w:tcW w:w="641" w:type="dxa"/>
            <w:tcBorders>
              <w:top w:val="nil"/>
              <w:left w:val="nil"/>
              <w:bottom w:val="nil"/>
              <w:right w:val="nil"/>
            </w:tcBorders>
            <w:shd w:val="clear" w:color="auto" w:fill="auto"/>
            <w:noWrap/>
            <w:vAlign w:val="bottom"/>
            <w:hideMark/>
          </w:tcPr>
          <w:p w14:paraId="0C3F8E6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785" w:type="dxa"/>
            <w:tcBorders>
              <w:top w:val="nil"/>
              <w:left w:val="nil"/>
              <w:bottom w:val="nil"/>
              <w:right w:val="nil"/>
            </w:tcBorders>
            <w:shd w:val="clear" w:color="auto" w:fill="auto"/>
            <w:noWrap/>
            <w:vAlign w:val="bottom"/>
            <w:hideMark/>
          </w:tcPr>
          <w:p w14:paraId="0C3F8E6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912" w:type="dxa"/>
            <w:tcBorders>
              <w:top w:val="nil"/>
              <w:left w:val="nil"/>
              <w:bottom w:val="nil"/>
              <w:right w:val="nil"/>
            </w:tcBorders>
            <w:shd w:val="clear" w:color="000000" w:fill="F2DCDB"/>
            <w:noWrap/>
            <w:vAlign w:val="bottom"/>
            <w:hideMark/>
          </w:tcPr>
          <w:p w14:paraId="0C3F8E6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E6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E6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61%</w:t>
            </w:r>
          </w:p>
        </w:tc>
        <w:tc>
          <w:tcPr>
            <w:tcW w:w="918" w:type="dxa"/>
            <w:tcBorders>
              <w:top w:val="nil"/>
              <w:left w:val="nil"/>
              <w:bottom w:val="nil"/>
              <w:right w:val="nil"/>
            </w:tcBorders>
            <w:shd w:val="clear" w:color="auto" w:fill="auto"/>
            <w:noWrap/>
            <w:vAlign w:val="bottom"/>
            <w:hideMark/>
          </w:tcPr>
          <w:p w14:paraId="0C3F8E6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34%</w:t>
            </w:r>
          </w:p>
        </w:tc>
        <w:tc>
          <w:tcPr>
            <w:tcW w:w="622" w:type="dxa"/>
            <w:tcBorders>
              <w:top w:val="nil"/>
              <w:left w:val="nil"/>
              <w:bottom w:val="nil"/>
              <w:right w:val="nil"/>
            </w:tcBorders>
            <w:shd w:val="clear" w:color="auto" w:fill="auto"/>
            <w:noWrap/>
            <w:vAlign w:val="bottom"/>
            <w:hideMark/>
          </w:tcPr>
          <w:p w14:paraId="0C3F8E6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1028" w:type="dxa"/>
            <w:tcBorders>
              <w:top w:val="nil"/>
              <w:left w:val="nil"/>
              <w:bottom w:val="nil"/>
              <w:right w:val="nil"/>
            </w:tcBorders>
            <w:shd w:val="clear" w:color="auto" w:fill="auto"/>
            <w:noWrap/>
            <w:vAlign w:val="bottom"/>
            <w:hideMark/>
          </w:tcPr>
          <w:p w14:paraId="0C3F8E6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E6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E6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E7C" w14:textId="77777777" w:rsidTr="00393ABA">
        <w:trPr>
          <w:trHeight w:val="300"/>
        </w:trPr>
        <w:tc>
          <w:tcPr>
            <w:tcW w:w="140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3F8E6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Burnett-Mary</w:t>
            </w:r>
          </w:p>
        </w:tc>
        <w:tc>
          <w:tcPr>
            <w:tcW w:w="1120" w:type="dxa"/>
            <w:tcBorders>
              <w:top w:val="nil"/>
              <w:left w:val="nil"/>
              <w:bottom w:val="nil"/>
              <w:right w:val="single" w:sz="4" w:space="0" w:color="auto"/>
            </w:tcBorders>
            <w:shd w:val="clear" w:color="000000" w:fill="F2F2F2"/>
            <w:noWrap/>
            <w:vAlign w:val="center"/>
            <w:hideMark/>
          </w:tcPr>
          <w:p w14:paraId="0C3F8E6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E6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6301</w:t>
            </w:r>
          </w:p>
        </w:tc>
        <w:tc>
          <w:tcPr>
            <w:tcW w:w="735" w:type="dxa"/>
            <w:tcBorders>
              <w:top w:val="nil"/>
              <w:left w:val="nil"/>
              <w:bottom w:val="nil"/>
              <w:right w:val="nil"/>
            </w:tcBorders>
            <w:shd w:val="clear" w:color="auto" w:fill="auto"/>
            <w:noWrap/>
            <w:vAlign w:val="bottom"/>
            <w:hideMark/>
          </w:tcPr>
          <w:p w14:paraId="0C3F8E6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5214</w:t>
            </w:r>
          </w:p>
        </w:tc>
        <w:tc>
          <w:tcPr>
            <w:tcW w:w="804" w:type="dxa"/>
            <w:tcBorders>
              <w:top w:val="nil"/>
              <w:left w:val="nil"/>
              <w:bottom w:val="nil"/>
              <w:right w:val="nil"/>
            </w:tcBorders>
            <w:shd w:val="clear" w:color="auto" w:fill="auto"/>
            <w:noWrap/>
            <w:vAlign w:val="bottom"/>
            <w:hideMark/>
          </w:tcPr>
          <w:p w14:paraId="0C3F8E7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403</w:t>
            </w:r>
          </w:p>
        </w:tc>
        <w:tc>
          <w:tcPr>
            <w:tcW w:w="774" w:type="dxa"/>
            <w:tcBorders>
              <w:top w:val="nil"/>
              <w:left w:val="nil"/>
              <w:bottom w:val="nil"/>
              <w:right w:val="nil"/>
            </w:tcBorders>
            <w:shd w:val="clear" w:color="auto" w:fill="auto"/>
            <w:noWrap/>
            <w:vAlign w:val="bottom"/>
            <w:hideMark/>
          </w:tcPr>
          <w:p w14:paraId="0C3F8E7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302</w:t>
            </w:r>
          </w:p>
        </w:tc>
        <w:tc>
          <w:tcPr>
            <w:tcW w:w="641" w:type="dxa"/>
            <w:tcBorders>
              <w:top w:val="nil"/>
              <w:left w:val="nil"/>
              <w:bottom w:val="nil"/>
              <w:right w:val="nil"/>
            </w:tcBorders>
            <w:shd w:val="clear" w:color="auto" w:fill="auto"/>
            <w:noWrap/>
            <w:vAlign w:val="bottom"/>
            <w:hideMark/>
          </w:tcPr>
          <w:p w14:paraId="0C3F8E7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145</w:t>
            </w:r>
          </w:p>
        </w:tc>
        <w:tc>
          <w:tcPr>
            <w:tcW w:w="785" w:type="dxa"/>
            <w:tcBorders>
              <w:top w:val="nil"/>
              <w:left w:val="nil"/>
              <w:bottom w:val="nil"/>
              <w:right w:val="nil"/>
            </w:tcBorders>
            <w:shd w:val="clear" w:color="auto" w:fill="auto"/>
            <w:noWrap/>
            <w:vAlign w:val="bottom"/>
            <w:hideMark/>
          </w:tcPr>
          <w:p w14:paraId="0C3F8E7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158</w:t>
            </w:r>
          </w:p>
        </w:tc>
        <w:tc>
          <w:tcPr>
            <w:tcW w:w="912" w:type="dxa"/>
            <w:tcBorders>
              <w:top w:val="nil"/>
              <w:left w:val="nil"/>
              <w:bottom w:val="nil"/>
              <w:right w:val="nil"/>
            </w:tcBorders>
            <w:shd w:val="clear" w:color="000000" w:fill="F2DCDB"/>
            <w:noWrap/>
            <w:vAlign w:val="bottom"/>
            <w:hideMark/>
          </w:tcPr>
          <w:p w14:paraId="0C3F8E7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6221</w:t>
            </w:r>
          </w:p>
        </w:tc>
        <w:tc>
          <w:tcPr>
            <w:tcW w:w="912" w:type="dxa"/>
            <w:tcBorders>
              <w:top w:val="nil"/>
              <w:left w:val="nil"/>
              <w:bottom w:val="nil"/>
              <w:right w:val="single" w:sz="4" w:space="0" w:color="auto"/>
            </w:tcBorders>
            <w:shd w:val="clear" w:color="000000" w:fill="F2DCDB"/>
            <w:noWrap/>
            <w:vAlign w:val="bottom"/>
            <w:hideMark/>
          </w:tcPr>
          <w:p w14:paraId="0C3F8E7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79</w:t>
            </w:r>
          </w:p>
        </w:tc>
        <w:tc>
          <w:tcPr>
            <w:tcW w:w="723" w:type="dxa"/>
            <w:tcBorders>
              <w:top w:val="nil"/>
              <w:left w:val="nil"/>
              <w:bottom w:val="nil"/>
              <w:right w:val="nil"/>
            </w:tcBorders>
            <w:shd w:val="clear" w:color="auto" w:fill="auto"/>
            <w:noWrap/>
            <w:vAlign w:val="bottom"/>
            <w:hideMark/>
          </w:tcPr>
          <w:p w14:paraId="0C3F8E7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3391</w:t>
            </w:r>
          </w:p>
        </w:tc>
        <w:tc>
          <w:tcPr>
            <w:tcW w:w="918" w:type="dxa"/>
            <w:tcBorders>
              <w:top w:val="nil"/>
              <w:left w:val="nil"/>
              <w:bottom w:val="nil"/>
              <w:right w:val="nil"/>
            </w:tcBorders>
            <w:shd w:val="clear" w:color="auto" w:fill="auto"/>
            <w:noWrap/>
            <w:vAlign w:val="bottom"/>
            <w:hideMark/>
          </w:tcPr>
          <w:p w14:paraId="0C3F8E7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2822</w:t>
            </w:r>
          </w:p>
        </w:tc>
        <w:tc>
          <w:tcPr>
            <w:tcW w:w="622" w:type="dxa"/>
            <w:tcBorders>
              <w:top w:val="nil"/>
              <w:left w:val="nil"/>
              <w:bottom w:val="nil"/>
              <w:right w:val="nil"/>
            </w:tcBorders>
            <w:shd w:val="clear" w:color="auto" w:fill="auto"/>
            <w:noWrap/>
            <w:vAlign w:val="bottom"/>
            <w:hideMark/>
          </w:tcPr>
          <w:p w14:paraId="0C3F8E7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w:t>
            </w:r>
          </w:p>
        </w:tc>
        <w:tc>
          <w:tcPr>
            <w:tcW w:w="1028" w:type="dxa"/>
            <w:tcBorders>
              <w:top w:val="nil"/>
              <w:left w:val="nil"/>
              <w:bottom w:val="nil"/>
              <w:right w:val="nil"/>
            </w:tcBorders>
            <w:shd w:val="clear" w:color="auto" w:fill="auto"/>
            <w:noWrap/>
            <w:vAlign w:val="bottom"/>
            <w:hideMark/>
          </w:tcPr>
          <w:p w14:paraId="0C3F8E7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2" w:type="dxa"/>
            <w:tcBorders>
              <w:top w:val="nil"/>
              <w:left w:val="nil"/>
              <w:bottom w:val="nil"/>
              <w:right w:val="nil"/>
            </w:tcBorders>
            <w:shd w:val="clear" w:color="000000" w:fill="F2DCDB"/>
            <w:noWrap/>
            <w:vAlign w:val="bottom"/>
            <w:hideMark/>
          </w:tcPr>
          <w:p w14:paraId="0C3F8E7A"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6221</w:t>
            </w:r>
          </w:p>
        </w:tc>
        <w:tc>
          <w:tcPr>
            <w:tcW w:w="912" w:type="dxa"/>
            <w:tcBorders>
              <w:top w:val="nil"/>
              <w:left w:val="nil"/>
              <w:bottom w:val="nil"/>
              <w:right w:val="single" w:sz="4" w:space="0" w:color="auto"/>
            </w:tcBorders>
            <w:shd w:val="clear" w:color="000000" w:fill="F2DCDB"/>
            <w:noWrap/>
            <w:vAlign w:val="bottom"/>
            <w:hideMark/>
          </w:tcPr>
          <w:p w14:paraId="0C3F8E7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80</w:t>
            </w:r>
          </w:p>
        </w:tc>
      </w:tr>
      <w:tr w:rsidR="00B6457B" w:rsidRPr="00393ABA" w14:paraId="0C3F8E8D" w14:textId="77777777" w:rsidTr="00393ABA">
        <w:trPr>
          <w:trHeight w:val="300"/>
        </w:trPr>
        <w:tc>
          <w:tcPr>
            <w:tcW w:w="1407" w:type="dxa"/>
            <w:vMerge/>
            <w:tcBorders>
              <w:top w:val="nil"/>
              <w:left w:val="single" w:sz="4" w:space="0" w:color="auto"/>
              <w:bottom w:val="single" w:sz="4" w:space="0" w:color="000000"/>
              <w:right w:val="single" w:sz="4" w:space="0" w:color="auto"/>
            </w:tcBorders>
            <w:vAlign w:val="center"/>
            <w:hideMark/>
          </w:tcPr>
          <w:p w14:paraId="0C3F8E7D"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single" w:sz="4" w:space="0" w:color="auto"/>
              <w:right w:val="single" w:sz="4" w:space="0" w:color="auto"/>
            </w:tcBorders>
            <w:shd w:val="clear" w:color="000000" w:fill="F2F2F2"/>
            <w:noWrap/>
            <w:vAlign w:val="center"/>
            <w:hideMark/>
          </w:tcPr>
          <w:p w14:paraId="0C3F8E7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single" w:sz="4" w:space="0" w:color="auto"/>
              <w:right w:val="single" w:sz="4" w:space="0" w:color="auto"/>
            </w:tcBorders>
            <w:shd w:val="clear" w:color="000000" w:fill="F2F2F2"/>
            <w:noWrap/>
            <w:vAlign w:val="bottom"/>
            <w:hideMark/>
          </w:tcPr>
          <w:p w14:paraId="0C3F8E7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single" w:sz="4" w:space="0" w:color="auto"/>
              <w:right w:val="nil"/>
            </w:tcBorders>
            <w:shd w:val="clear" w:color="auto" w:fill="auto"/>
            <w:noWrap/>
            <w:vAlign w:val="bottom"/>
            <w:hideMark/>
          </w:tcPr>
          <w:p w14:paraId="0C3F8E8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83%</w:t>
            </w:r>
          </w:p>
        </w:tc>
        <w:tc>
          <w:tcPr>
            <w:tcW w:w="804" w:type="dxa"/>
            <w:tcBorders>
              <w:top w:val="nil"/>
              <w:left w:val="nil"/>
              <w:bottom w:val="single" w:sz="4" w:space="0" w:color="auto"/>
              <w:right w:val="nil"/>
            </w:tcBorders>
            <w:shd w:val="clear" w:color="auto" w:fill="auto"/>
            <w:noWrap/>
            <w:vAlign w:val="bottom"/>
            <w:hideMark/>
          </w:tcPr>
          <w:p w14:paraId="0C3F8E8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74" w:type="dxa"/>
            <w:tcBorders>
              <w:top w:val="nil"/>
              <w:left w:val="nil"/>
              <w:bottom w:val="single" w:sz="4" w:space="0" w:color="auto"/>
              <w:right w:val="nil"/>
            </w:tcBorders>
            <w:shd w:val="clear" w:color="auto" w:fill="auto"/>
            <w:noWrap/>
            <w:vAlign w:val="bottom"/>
            <w:hideMark/>
          </w:tcPr>
          <w:p w14:paraId="0C3F8E8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641" w:type="dxa"/>
            <w:tcBorders>
              <w:top w:val="nil"/>
              <w:left w:val="nil"/>
              <w:bottom w:val="single" w:sz="4" w:space="0" w:color="auto"/>
              <w:right w:val="nil"/>
            </w:tcBorders>
            <w:shd w:val="clear" w:color="auto" w:fill="auto"/>
            <w:noWrap/>
            <w:vAlign w:val="bottom"/>
            <w:hideMark/>
          </w:tcPr>
          <w:p w14:paraId="0C3F8E8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85" w:type="dxa"/>
            <w:tcBorders>
              <w:top w:val="nil"/>
              <w:left w:val="nil"/>
              <w:bottom w:val="single" w:sz="4" w:space="0" w:color="auto"/>
              <w:right w:val="nil"/>
            </w:tcBorders>
            <w:shd w:val="clear" w:color="auto" w:fill="auto"/>
            <w:noWrap/>
            <w:vAlign w:val="bottom"/>
            <w:hideMark/>
          </w:tcPr>
          <w:p w14:paraId="0C3F8E8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12" w:type="dxa"/>
            <w:tcBorders>
              <w:top w:val="nil"/>
              <w:left w:val="nil"/>
              <w:bottom w:val="single" w:sz="4" w:space="0" w:color="auto"/>
              <w:right w:val="nil"/>
            </w:tcBorders>
            <w:shd w:val="clear" w:color="000000" w:fill="F2DCDB"/>
            <w:noWrap/>
            <w:vAlign w:val="bottom"/>
            <w:hideMark/>
          </w:tcPr>
          <w:p w14:paraId="0C3F8E8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99%</w:t>
            </w:r>
          </w:p>
        </w:tc>
        <w:tc>
          <w:tcPr>
            <w:tcW w:w="912" w:type="dxa"/>
            <w:tcBorders>
              <w:top w:val="nil"/>
              <w:left w:val="nil"/>
              <w:bottom w:val="single" w:sz="4" w:space="0" w:color="auto"/>
              <w:right w:val="nil"/>
            </w:tcBorders>
            <w:shd w:val="clear" w:color="000000" w:fill="F2DCDB"/>
            <w:noWrap/>
            <w:vAlign w:val="bottom"/>
            <w:hideMark/>
          </w:tcPr>
          <w:p w14:paraId="0C3F8E8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w:t>
            </w:r>
          </w:p>
        </w:tc>
        <w:tc>
          <w:tcPr>
            <w:tcW w:w="723" w:type="dxa"/>
            <w:tcBorders>
              <w:top w:val="nil"/>
              <w:left w:val="single" w:sz="4" w:space="0" w:color="auto"/>
              <w:bottom w:val="single" w:sz="4" w:space="0" w:color="auto"/>
              <w:right w:val="nil"/>
            </w:tcBorders>
            <w:shd w:val="clear" w:color="auto" w:fill="auto"/>
            <w:noWrap/>
            <w:vAlign w:val="bottom"/>
            <w:hideMark/>
          </w:tcPr>
          <w:p w14:paraId="0C3F8E8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54%</w:t>
            </w:r>
          </w:p>
        </w:tc>
        <w:tc>
          <w:tcPr>
            <w:tcW w:w="918" w:type="dxa"/>
            <w:tcBorders>
              <w:top w:val="nil"/>
              <w:left w:val="nil"/>
              <w:bottom w:val="single" w:sz="4" w:space="0" w:color="auto"/>
              <w:right w:val="nil"/>
            </w:tcBorders>
            <w:shd w:val="clear" w:color="auto" w:fill="auto"/>
            <w:noWrap/>
            <w:vAlign w:val="bottom"/>
            <w:hideMark/>
          </w:tcPr>
          <w:p w14:paraId="0C3F8E8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45%</w:t>
            </w:r>
          </w:p>
        </w:tc>
        <w:tc>
          <w:tcPr>
            <w:tcW w:w="622" w:type="dxa"/>
            <w:tcBorders>
              <w:top w:val="nil"/>
              <w:left w:val="nil"/>
              <w:bottom w:val="single" w:sz="4" w:space="0" w:color="auto"/>
              <w:right w:val="nil"/>
            </w:tcBorders>
            <w:shd w:val="clear" w:color="auto" w:fill="auto"/>
            <w:noWrap/>
            <w:vAlign w:val="bottom"/>
            <w:hideMark/>
          </w:tcPr>
          <w:p w14:paraId="0C3F8E8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1028" w:type="dxa"/>
            <w:tcBorders>
              <w:top w:val="nil"/>
              <w:left w:val="nil"/>
              <w:bottom w:val="single" w:sz="4" w:space="0" w:color="auto"/>
              <w:right w:val="nil"/>
            </w:tcBorders>
            <w:shd w:val="clear" w:color="auto" w:fill="auto"/>
            <w:noWrap/>
            <w:vAlign w:val="bottom"/>
            <w:hideMark/>
          </w:tcPr>
          <w:p w14:paraId="0C3F8E8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single" w:sz="4" w:space="0" w:color="auto"/>
              <w:right w:val="nil"/>
            </w:tcBorders>
            <w:shd w:val="clear" w:color="000000" w:fill="F2DCDB"/>
            <w:noWrap/>
            <w:vAlign w:val="bottom"/>
            <w:hideMark/>
          </w:tcPr>
          <w:p w14:paraId="0C3F8E8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99%</w:t>
            </w:r>
          </w:p>
        </w:tc>
        <w:tc>
          <w:tcPr>
            <w:tcW w:w="912" w:type="dxa"/>
            <w:tcBorders>
              <w:top w:val="nil"/>
              <w:left w:val="nil"/>
              <w:bottom w:val="single" w:sz="4" w:space="0" w:color="auto"/>
              <w:right w:val="single" w:sz="4" w:space="0" w:color="auto"/>
            </w:tcBorders>
            <w:shd w:val="clear" w:color="000000" w:fill="F2DCDB"/>
            <w:noWrap/>
            <w:vAlign w:val="bottom"/>
            <w:hideMark/>
          </w:tcPr>
          <w:p w14:paraId="0C3F8E8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w:t>
            </w:r>
          </w:p>
        </w:tc>
      </w:tr>
      <w:tr w:rsidR="00B6457B" w:rsidRPr="00393ABA" w14:paraId="0C3F8E9E" w14:textId="77777777" w:rsidTr="00393ABA">
        <w:trPr>
          <w:trHeight w:val="90"/>
        </w:trPr>
        <w:tc>
          <w:tcPr>
            <w:tcW w:w="1407" w:type="dxa"/>
            <w:tcBorders>
              <w:top w:val="nil"/>
              <w:left w:val="nil"/>
              <w:bottom w:val="nil"/>
              <w:right w:val="nil"/>
            </w:tcBorders>
            <w:shd w:val="clear" w:color="auto" w:fill="auto"/>
            <w:noWrap/>
            <w:vAlign w:val="center"/>
            <w:hideMark/>
          </w:tcPr>
          <w:p w14:paraId="0C3F8E8E" w14:textId="77777777" w:rsidR="00B6457B" w:rsidRPr="00393ABA" w:rsidRDefault="00B6457B" w:rsidP="00393ABA">
            <w:pPr>
              <w:spacing w:after="120"/>
              <w:jc w:val="center"/>
              <w:rPr>
                <w:rFonts w:ascii="Calibri" w:hAnsi="Calibri" w:cs="Calibri"/>
                <w:b/>
                <w:bCs/>
                <w:color w:val="000000"/>
                <w:sz w:val="20"/>
                <w:szCs w:val="20"/>
              </w:rPr>
            </w:pPr>
          </w:p>
        </w:tc>
        <w:tc>
          <w:tcPr>
            <w:tcW w:w="1120" w:type="dxa"/>
            <w:tcBorders>
              <w:top w:val="nil"/>
              <w:left w:val="nil"/>
              <w:bottom w:val="nil"/>
              <w:right w:val="nil"/>
            </w:tcBorders>
            <w:shd w:val="clear" w:color="auto" w:fill="auto"/>
            <w:noWrap/>
            <w:vAlign w:val="center"/>
            <w:hideMark/>
          </w:tcPr>
          <w:p w14:paraId="0C3F8E8F" w14:textId="77777777" w:rsidR="00B6457B" w:rsidRPr="00393ABA" w:rsidRDefault="00B6457B" w:rsidP="00393ABA">
            <w:pPr>
              <w:spacing w:after="120"/>
              <w:jc w:val="center"/>
              <w:rPr>
                <w:rFonts w:ascii="Calibri" w:hAnsi="Calibri" w:cs="Calibri"/>
                <w:color w:val="000000"/>
                <w:sz w:val="20"/>
                <w:szCs w:val="20"/>
              </w:rPr>
            </w:pPr>
          </w:p>
        </w:tc>
        <w:tc>
          <w:tcPr>
            <w:tcW w:w="820" w:type="dxa"/>
            <w:tcBorders>
              <w:top w:val="nil"/>
              <w:left w:val="nil"/>
              <w:bottom w:val="nil"/>
              <w:right w:val="nil"/>
            </w:tcBorders>
            <w:shd w:val="clear" w:color="auto" w:fill="auto"/>
            <w:noWrap/>
            <w:vAlign w:val="bottom"/>
            <w:hideMark/>
          </w:tcPr>
          <w:p w14:paraId="0C3F8E90" w14:textId="77777777" w:rsidR="00B6457B" w:rsidRPr="00393ABA" w:rsidRDefault="00B6457B" w:rsidP="00393ABA">
            <w:pPr>
              <w:spacing w:after="120"/>
              <w:jc w:val="center"/>
              <w:rPr>
                <w:rFonts w:ascii="Calibri" w:hAnsi="Calibri" w:cs="Calibri"/>
                <w:color w:val="000000"/>
                <w:sz w:val="20"/>
                <w:szCs w:val="20"/>
              </w:rPr>
            </w:pPr>
          </w:p>
        </w:tc>
        <w:tc>
          <w:tcPr>
            <w:tcW w:w="735" w:type="dxa"/>
            <w:tcBorders>
              <w:top w:val="nil"/>
              <w:left w:val="nil"/>
              <w:bottom w:val="nil"/>
              <w:right w:val="nil"/>
            </w:tcBorders>
            <w:shd w:val="clear" w:color="auto" w:fill="auto"/>
            <w:noWrap/>
            <w:vAlign w:val="bottom"/>
            <w:hideMark/>
          </w:tcPr>
          <w:p w14:paraId="0C3F8E91" w14:textId="77777777" w:rsidR="00B6457B" w:rsidRPr="00393ABA" w:rsidRDefault="00B6457B" w:rsidP="00393ABA">
            <w:pPr>
              <w:spacing w:after="120"/>
              <w:jc w:val="center"/>
              <w:rPr>
                <w:rFonts w:ascii="Calibri" w:hAnsi="Calibri" w:cs="Calibri"/>
                <w:color w:val="000000"/>
                <w:sz w:val="20"/>
                <w:szCs w:val="20"/>
              </w:rPr>
            </w:pPr>
          </w:p>
        </w:tc>
        <w:tc>
          <w:tcPr>
            <w:tcW w:w="804" w:type="dxa"/>
            <w:tcBorders>
              <w:top w:val="nil"/>
              <w:left w:val="nil"/>
              <w:bottom w:val="nil"/>
              <w:right w:val="nil"/>
            </w:tcBorders>
            <w:shd w:val="clear" w:color="auto" w:fill="auto"/>
            <w:noWrap/>
            <w:vAlign w:val="bottom"/>
            <w:hideMark/>
          </w:tcPr>
          <w:p w14:paraId="0C3F8E92" w14:textId="77777777" w:rsidR="00B6457B" w:rsidRPr="00393ABA" w:rsidRDefault="00B6457B" w:rsidP="00393ABA">
            <w:pPr>
              <w:spacing w:after="120"/>
              <w:jc w:val="center"/>
              <w:rPr>
                <w:rFonts w:ascii="Calibri" w:hAnsi="Calibri" w:cs="Calibri"/>
                <w:color w:val="000000"/>
                <w:sz w:val="20"/>
                <w:szCs w:val="20"/>
              </w:rPr>
            </w:pPr>
          </w:p>
        </w:tc>
        <w:tc>
          <w:tcPr>
            <w:tcW w:w="774" w:type="dxa"/>
            <w:tcBorders>
              <w:top w:val="nil"/>
              <w:left w:val="nil"/>
              <w:bottom w:val="nil"/>
              <w:right w:val="nil"/>
            </w:tcBorders>
            <w:shd w:val="clear" w:color="auto" w:fill="auto"/>
            <w:noWrap/>
            <w:vAlign w:val="bottom"/>
            <w:hideMark/>
          </w:tcPr>
          <w:p w14:paraId="0C3F8E93" w14:textId="77777777" w:rsidR="00B6457B" w:rsidRPr="00393ABA" w:rsidRDefault="00B6457B" w:rsidP="00393ABA">
            <w:pPr>
              <w:spacing w:after="120"/>
              <w:jc w:val="center"/>
              <w:rPr>
                <w:rFonts w:ascii="Calibri" w:hAnsi="Calibri" w:cs="Calibri"/>
                <w:color w:val="000000"/>
                <w:sz w:val="20"/>
                <w:szCs w:val="20"/>
              </w:rPr>
            </w:pPr>
          </w:p>
        </w:tc>
        <w:tc>
          <w:tcPr>
            <w:tcW w:w="641" w:type="dxa"/>
            <w:tcBorders>
              <w:top w:val="nil"/>
              <w:left w:val="nil"/>
              <w:bottom w:val="nil"/>
              <w:right w:val="nil"/>
            </w:tcBorders>
            <w:shd w:val="clear" w:color="auto" w:fill="auto"/>
            <w:noWrap/>
            <w:vAlign w:val="bottom"/>
            <w:hideMark/>
          </w:tcPr>
          <w:p w14:paraId="0C3F8E94" w14:textId="77777777" w:rsidR="00B6457B" w:rsidRPr="00393ABA" w:rsidRDefault="00B6457B" w:rsidP="00393ABA">
            <w:pPr>
              <w:spacing w:after="120"/>
              <w:jc w:val="center"/>
              <w:rPr>
                <w:rFonts w:ascii="Calibri" w:hAnsi="Calibri" w:cs="Calibri"/>
                <w:color w:val="000000"/>
                <w:sz w:val="20"/>
                <w:szCs w:val="20"/>
              </w:rPr>
            </w:pPr>
          </w:p>
        </w:tc>
        <w:tc>
          <w:tcPr>
            <w:tcW w:w="785" w:type="dxa"/>
            <w:tcBorders>
              <w:top w:val="nil"/>
              <w:left w:val="nil"/>
              <w:bottom w:val="nil"/>
              <w:right w:val="nil"/>
            </w:tcBorders>
            <w:shd w:val="clear" w:color="auto" w:fill="auto"/>
            <w:noWrap/>
            <w:vAlign w:val="bottom"/>
            <w:hideMark/>
          </w:tcPr>
          <w:p w14:paraId="0C3F8E95" w14:textId="77777777" w:rsidR="00B6457B" w:rsidRPr="00393ABA" w:rsidRDefault="00B6457B" w:rsidP="00393ABA">
            <w:pPr>
              <w:spacing w:after="120"/>
              <w:jc w:val="center"/>
              <w:rPr>
                <w:rFonts w:ascii="Calibri" w:hAnsi="Calibri" w:cs="Calibri"/>
                <w:color w:val="000000"/>
                <w:sz w:val="20"/>
                <w:szCs w:val="20"/>
              </w:rPr>
            </w:pPr>
          </w:p>
        </w:tc>
        <w:tc>
          <w:tcPr>
            <w:tcW w:w="912" w:type="dxa"/>
            <w:tcBorders>
              <w:top w:val="nil"/>
              <w:left w:val="nil"/>
              <w:bottom w:val="nil"/>
              <w:right w:val="nil"/>
            </w:tcBorders>
            <w:shd w:val="clear" w:color="auto" w:fill="auto"/>
            <w:noWrap/>
            <w:vAlign w:val="bottom"/>
            <w:hideMark/>
          </w:tcPr>
          <w:p w14:paraId="0C3F8E96" w14:textId="77777777" w:rsidR="00B6457B" w:rsidRPr="00393ABA" w:rsidRDefault="00B6457B" w:rsidP="00393ABA">
            <w:pPr>
              <w:spacing w:after="120"/>
              <w:jc w:val="center"/>
              <w:rPr>
                <w:rFonts w:ascii="Calibri" w:hAnsi="Calibri" w:cs="Calibri"/>
                <w:color w:val="000000"/>
                <w:sz w:val="20"/>
                <w:szCs w:val="20"/>
              </w:rPr>
            </w:pPr>
          </w:p>
        </w:tc>
        <w:tc>
          <w:tcPr>
            <w:tcW w:w="912" w:type="dxa"/>
            <w:tcBorders>
              <w:top w:val="nil"/>
              <w:left w:val="nil"/>
              <w:bottom w:val="nil"/>
              <w:right w:val="nil"/>
            </w:tcBorders>
            <w:shd w:val="clear" w:color="auto" w:fill="auto"/>
            <w:noWrap/>
            <w:vAlign w:val="bottom"/>
            <w:hideMark/>
          </w:tcPr>
          <w:p w14:paraId="0C3F8E97" w14:textId="77777777" w:rsidR="00B6457B" w:rsidRPr="00393ABA" w:rsidRDefault="00B6457B" w:rsidP="00393ABA">
            <w:pPr>
              <w:spacing w:after="120"/>
              <w:jc w:val="center"/>
              <w:rPr>
                <w:rFonts w:ascii="Calibri" w:hAnsi="Calibri" w:cs="Calibri"/>
                <w:color w:val="000000"/>
                <w:sz w:val="20"/>
                <w:szCs w:val="20"/>
              </w:rPr>
            </w:pPr>
          </w:p>
        </w:tc>
        <w:tc>
          <w:tcPr>
            <w:tcW w:w="723" w:type="dxa"/>
            <w:tcBorders>
              <w:top w:val="nil"/>
              <w:left w:val="nil"/>
              <w:bottom w:val="nil"/>
              <w:right w:val="nil"/>
            </w:tcBorders>
            <w:shd w:val="clear" w:color="auto" w:fill="auto"/>
            <w:noWrap/>
            <w:vAlign w:val="bottom"/>
            <w:hideMark/>
          </w:tcPr>
          <w:p w14:paraId="0C3F8E98" w14:textId="77777777" w:rsidR="00B6457B" w:rsidRPr="00393ABA" w:rsidRDefault="00B6457B" w:rsidP="00393ABA">
            <w:pPr>
              <w:spacing w:after="120"/>
              <w:jc w:val="center"/>
              <w:rPr>
                <w:rFonts w:ascii="Calibri" w:hAnsi="Calibri" w:cs="Calibri"/>
                <w:color w:val="000000"/>
                <w:sz w:val="20"/>
                <w:szCs w:val="20"/>
              </w:rPr>
            </w:pPr>
          </w:p>
        </w:tc>
        <w:tc>
          <w:tcPr>
            <w:tcW w:w="918" w:type="dxa"/>
            <w:tcBorders>
              <w:top w:val="nil"/>
              <w:left w:val="nil"/>
              <w:bottom w:val="nil"/>
              <w:right w:val="nil"/>
            </w:tcBorders>
            <w:shd w:val="clear" w:color="auto" w:fill="auto"/>
            <w:noWrap/>
            <w:vAlign w:val="bottom"/>
            <w:hideMark/>
          </w:tcPr>
          <w:p w14:paraId="0C3F8E99" w14:textId="77777777" w:rsidR="00B6457B" w:rsidRPr="00393ABA" w:rsidRDefault="00B6457B" w:rsidP="00393ABA">
            <w:pPr>
              <w:spacing w:after="120"/>
              <w:jc w:val="center"/>
              <w:rPr>
                <w:rFonts w:ascii="Calibri" w:hAnsi="Calibri" w:cs="Calibri"/>
                <w:color w:val="000000"/>
                <w:sz w:val="20"/>
                <w:szCs w:val="20"/>
              </w:rPr>
            </w:pPr>
          </w:p>
        </w:tc>
        <w:tc>
          <w:tcPr>
            <w:tcW w:w="622" w:type="dxa"/>
            <w:tcBorders>
              <w:top w:val="nil"/>
              <w:left w:val="nil"/>
              <w:bottom w:val="nil"/>
              <w:right w:val="nil"/>
            </w:tcBorders>
            <w:shd w:val="clear" w:color="auto" w:fill="auto"/>
            <w:noWrap/>
            <w:vAlign w:val="bottom"/>
            <w:hideMark/>
          </w:tcPr>
          <w:p w14:paraId="0C3F8E9A" w14:textId="77777777" w:rsidR="00B6457B" w:rsidRPr="00393ABA" w:rsidRDefault="00B6457B" w:rsidP="00393ABA">
            <w:pPr>
              <w:spacing w:after="120"/>
              <w:jc w:val="center"/>
              <w:rPr>
                <w:rFonts w:ascii="Calibri" w:hAnsi="Calibri" w:cs="Calibri"/>
                <w:color w:val="000000"/>
                <w:sz w:val="20"/>
                <w:szCs w:val="20"/>
              </w:rPr>
            </w:pPr>
          </w:p>
        </w:tc>
        <w:tc>
          <w:tcPr>
            <w:tcW w:w="1028" w:type="dxa"/>
            <w:tcBorders>
              <w:top w:val="nil"/>
              <w:left w:val="nil"/>
              <w:bottom w:val="nil"/>
              <w:right w:val="nil"/>
            </w:tcBorders>
            <w:shd w:val="clear" w:color="auto" w:fill="auto"/>
            <w:noWrap/>
            <w:vAlign w:val="bottom"/>
            <w:hideMark/>
          </w:tcPr>
          <w:p w14:paraId="0C3F8E9B" w14:textId="77777777" w:rsidR="00B6457B" w:rsidRPr="00393ABA" w:rsidRDefault="00B6457B" w:rsidP="00393ABA">
            <w:pPr>
              <w:spacing w:after="120"/>
              <w:jc w:val="center"/>
              <w:rPr>
                <w:rFonts w:ascii="Calibri" w:hAnsi="Calibri" w:cs="Calibri"/>
                <w:color w:val="000000"/>
                <w:sz w:val="20"/>
                <w:szCs w:val="20"/>
              </w:rPr>
            </w:pPr>
          </w:p>
        </w:tc>
        <w:tc>
          <w:tcPr>
            <w:tcW w:w="912" w:type="dxa"/>
            <w:tcBorders>
              <w:top w:val="nil"/>
              <w:left w:val="nil"/>
              <w:bottom w:val="nil"/>
              <w:right w:val="nil"/>
            </w:tcBorders>
            <w:shd w:val="clear" w:color="auto" w:fill="auto"/>
            <w:noWrap/>
            <w:vAlign w:val="bottom"/>
            <w:hideMark/>
          </w:tcPr>
          <w:p w14:paraId="0C3F8E9C" w14:textId="77777777" w:rsidR="00B6457B" w:rsidRPr="00393ABA" w:rsidRDefault="00B6457B" w:rsidP="00393ABA">
            <w:pPr>
              <w:spacing w:after="120"/>
              <w:jc w:val="center"/>
              <w:rPr>
                <w:rFonts w:ascii="Calibri" w:hAnsi="Calibri" w:cs="Calibri"/>
                <w:color w:val="000000"/>
                <w:sz w:val="20"/>
                <w:szCs w:val="20"/>
              </w:rPr>
            </w:pPr>
          </w:p>
        </w:tc>
        <w:tc>
          <w:tcPr>
            <w:tcW w:w="912" w:type="dxa"/>
            <w:tcBorders>
              <w:top w:val="nil"/>
              <w:left w:val="nil"/>
              <w:bottom w:val="nil"/>
              <w:right w:val="nil"/>
            </w:tcBorders>
            <w:shd w:val="clear" w:color="auto" w:fill="auto"/>
            <w:noWrap/>
            <w:vAlign w:val="bottom"/>
            <w:hideMark/>
          </w:tcPr>
          <w:p w14:paraId="0C3F8E9D" w14:textId="77777777" w:rsidR="00B6457B" w:rsidRPr="00393ABA" w:rsidRDefault="00B6457B" w:rsidP="00393ABA">
            <w:pPr>
              <w:spacing w:after="120"/>
              <w:jc w:val="center"/>
              <w:rPr>
                <w:rFonts w:ascii="Calibri" w:hAnsi="Calibri" w:cs="Calibri"/>
                <w:color w:val="000000"/>
                <w:sz w:val="20"/>
                <w:szCs w:val="20"/>
              </w:rPr>
            </w:pPr>
          </w:p>
        </w:tc>
      </w:tr>
      <w:tr w:rsidR="00B6457B" w:rsidRPr="00393ABA" w14:paraId="0C3F8EA8" w14:textId="77777777" w:rsidTr="00393ABA">
        <w:trPr>
          <w:trHeight w:val="300"/>
        </w:trPr>
        <w:tc>
          <w:tcPr>
            <w:tcW w:w="1407" w:type="dxa"/>
            <w:tcBorders>
              <w:top w:val="nil"/>
              <w:left w:val="nil"/>
              <w:bottom w:val="nil"/>
              <w:right w:val="nil"/>
            </w:tcBorders>
            <w:shd w:val="clear" w:color="auto" w:fill="auto"/>
            <w:noWrap/>
            <w:vAlign w:val="bottom"/>
            <w:hideMark/>
          </w:tcPr>
          <w:p w14:paraId="0C3F8E9F" w14:textId="77777777" w:rsidR="00B6457B" w:rsidRPr="00393ABA" w:rsidRDefault="00B6457B" w:rsidP="00393ABA">
            <w:pPr>
              <w:spacing w:after="120"/>
              <w:jc w:val="center"/>
              <w:rPr>
                <w:rFonts w:ascii="Calibri" w:hAnsi="Calibri" w:cs="Calibri"/>
                <w:color w:val="000000"/>
                <w:sz w:val="20"/>
                <w:szCs w:val="20"/>
              </w:rPr>
            </w:pPr>
          </w:p>
        </w:tc>
        <w:tc>
          <w:tcPr>
            <w:tcW w:w="1120" w:type="dxa"/>
            <w:tcBorders>
              <w:top w:val="nil"/>
              <w:left w:val="nil"/>
              <w:bottom w:val="nil"/>
              <w:right w:val="nil"/>
            </w:tcBorders>
            <w:shd w:val="clear" w:color="auto" w:fill="auto"/>
            <w:noWrap/>
            <w:vAlign w:val="bottom"/>
            <w:hideMark/>
          </w:tcPr>
          <w:p w14:paraId="0C3F8EA0" w14:textId="77777777" w:rsidR="00B6457B" w:rsidRPr="00393ABA" w:rsidRDefault="00B6457B" w:rsidP="00393ABA">
            <w:pPr>
              <w:spacing w:after="120"/>
              <w:jc w:val="center"/>
              <w:rPr>
                <w:rFonts w:ascii="Calibri" w:hAnsi="Calibri" w:cs="Calibri"/>
                <w:color w:val="000000"/>
                <w:sz w:val="20"/>
                <w:szCs w:val="20"/>
              </w:rPr>
            </w:pPr>
          </w:p>
        </w:tc>
        <w:tc>
          <w:tcPr>
            <w:tcW w:w="820" w:type="dxa"/>
            <w:tcBorders>
              <w:top w:val="nil"/>
              <w:left w:val="nil"/>
              <w:bottom w:val="nil"/>
              <w:right w:val="nil"/>
            </w:tcBorders>
            <w:shd w:val="clear" w:color="auto" w:fill="auto"/>
            <w:noWrap/>
            <w:vAlign w:val="bottom"/>
            <w:hideMark/>
          </w:tcPr>
          <w:p w14:paraId="0C3F8EA1" w14:textId="77777777" w:rsidR="00B6457B" w:rsidRPr="00393ABA" w:rsidRDefault="00B6457B" w:rsidP="00393ABA">
            <w:pPr>
              <w:spacing w:after="120"/>
              <w:jc w:val="center"/>
              <w:rPr>
                <w:rFonts w:ascii="Calibri" w:hAnsi="Calibri" w:cs="Calibri"/>
                <w:color w:val="000000"/>
                <w:sz w:val="20"/>
                <w:szCs w:val="20"/>
              </w:rPr>
            </w:pPr>
          </w:p>
        </w:tc>
        <w:tc>
          <w:tcPr>
            <w:tcW w:w="3739" w:type="dxa"/>
            <w:gridSpan w:val="5"/>
            <w:tcBorders>
              <w:top w:val="single" w:sz="4" w:space="0" w:color="auto"/>
              <w:left w:val="single" w:sz="4" w:space="0" w:color="auto"/>
              <w:bottom w:val="single" w:sz="4" w:space="0" w:color="auto"/>
              <w:right w:val="nil"/>
            </w:tcBorders>
            <w:shd w:val="clear" w:color="000000" w:fill="F2F2F2"/>
            <w:noWrap/>
            <w:vAlign w:val="bottom"/>
            <w:hideMark/>
          </w:tcPr>
          <w:p w14:paraId="0C3F8EA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River plume frequency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EA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EA4"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c>
          <w:tcPr>
            <w:tcW w:w="3291" w:type="dxa"/>
            <w:gridSpan w:val="4"/>
            <w:tcBorders>
              <w:top w:val="single" w:sz="4" w:space="0" w:color="auto"/>
              <w:left w:val="nil"/>
              <w:bottom w:val="single" w:sz="4" w:space="0" w:color="auto"/>
              <w:right w:val="nil"/>
            </w:tcBorders>
            <w:shd w:val="clear" w:color="000000" w:fill="F2F2F2"/>
            <w:noWrap/>
            <w:vAlign w:val="bottom"/>
            <w:hideMark/>
          </w:tcPr>
          <w:p w14:paraId="0C3F8EA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Potential risk category</w:t>
            </w:r>
          </w:p>
        </w:tc>
        <w:tc>
          <w:tcPr>
            <w:tcW w:w="912" w:type="dxa"/>
            <w:vMerge w:val="restart"/>
            <w:tcBorders>
              <w:top w:val="single" w:sz="4" w:space="0" w:color="auto"/>
              <w:left w:val="nil"/>
              <w:bottom w:val="single" w:sz="4" w:space="0" w:color="000000"/>
              <w:right w:val="nil"/>
            </w:tcBorders>
            <w:shd w:val="clear" w:color="000000" w:fill="F2DCDB"/>
            <w:vAlign w:val="bottom"/>
            <w:hideMark/>
          </w:tcPr>
          <w:p w14:paraId="0C3F8EA6"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exp.</w:t>
            </w:r>
          </w:p>
        </w:tc>
        <w:tc>
          <w:tcPr>
            <w:tcW w:w="912" w:type="dxa"/>
            <w:vMerge w:val="restart"/>
            <w:tcBorders>
              <w:top w:val="single" w:sz="4" w:space="0" w:color="auto"/>
              <w:left w:val="nil"/>
              <w:bottom w:val="single" w:sz="4" w:space="0" w:color="000000"/>
              <w:right w:val="single" w:sz="4" w:space="0" w:color="auto"/>
            </w:tcBorders>
            <w:shd w:val="clear" w:color="000000" w:fill="F2DCDB"/>
            <w:vAlign w:val="bottom"/>
            <w:hideMark/>
          </w:tcPr>
          <w:p w14:paraId="0C3F8EA7"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TOT non exp.</w:t>
            </w:r>
          </w:p>
        </w:tc>
      </w:tr>
      <w:tr w:rsidR="00B6457B" w:rsidRPr="00393ABA" w14:paraId="0C3F8EB8" w14:textId="77777777" w:rsidTr="00393ABA">
        <w:trPr>
          <w:trHeight w:val="300"/>
        </w:trPr>
        <w:tc>
          <w:tcPr>
            <w:tcW w:w="2527"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C3F8EA9" w14:textId="77777777" w:rsidR="00B6457B" w:rsidRPr="00393ABA" w:rsidRDefault="00B6457B" w:rsidP="00C05A63">
            <w:pPr>
              <w:pStyle w:val="ListParagraph"/>
              <w:numPr>
                <w:ilvl w:val="0"/>
                <w:numId w:val="26"/>
              </w:numPr>
              <w:spacing w:before="0" w:after="120" w:line="276" w:lineRule="auto"/>
              <w:jc w:val="center"/>
              <w:rPr>
                <w:rFonts w:ascii="Calibri" w:hAnsi="Calibri" w:cs="Calibri"/>
                <w:b/>
                <w:bCs/>
                <w:color w:val="000000"/>
                <w:sz w:val="20"/>
                <w:szCs w:val="20"/>
              </w:rPr>
            </w:pPr>
            <w:r w:rsidRPr="00393ABA">
              <w:rPr>
                <w:rFonts w:ascii="Calibri" w:hAnsi="Calibri" w:cs="Calibri"/>
                <w:b/>
                <w:bCs/>
                <w:color w:val="000000"/>
                <w:sz w:val="20"/>
                <w:szCs w:val="20"/>
              </w:rPr>
              <w:t>Seagrass tot</w:t>
            </w:r>
          </w:p>
        </w:tc>
        <w:tc>
          <w:tcPr>
            <w:tcW w:w="820" w:type="dxa"/>
            <w:tcBorders>
              <w:top w:val="single" w:sz="4" w:space="0" w:color="auto"/>
              <w:left w:val="nil"/>
              <w:bottom w:val="nil"/>
              <w:right w:val="single" w:sz="4" w:space="0" w:color="auto"/>
            </w:tcBorders>
            <w:shd w:val="clear" w:color="000000" w:fill="F2F2F2"/>
            <w:noWrap/>
            <w:vAlign w:val="bottom"/>
            <w:hideMark/>
          </w:tcPr>
          <w:p w14:paraId="0C3F8EA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Tot</w:t>
            </w:r>
          </w:p>
        </w:tc>
        <w:tc>
          <w:tcPr>
            <w:tcW w:w="735" w:type="dxa"/>
            <w:tcBorders>
              <w:top w:val="nil"/>
              <w:left w:val="nil"/>
              <w:bottom w:val="single" w:sz="4" w:space="0" w:color="auto"/>
              <w:right w:val="nil"/>
            </w:tcBorders>
            <w:shd w:val="clear" w:color="000000" w:fill="F2F2F2"/>
            <w:noWrap/>
            <w:vAlign w:val="bottom"/>
            <w:hideMark/>
          </w:tcPr>
          <w:p w14:paraId="0C3F8EAB" w14:textId="77777777" w:rsidR="00B6457B" w:rsidRPr="00393ABA" w:rsidRDefault="00B6457B" w:rsidP="00393ABA">
            <w:pPr>
              <w:spacing w:after="120"/>
              <w:jc w:val="center"/>
              <w:rPr>
                <w:rFonts w:ascii="Calibri" w:hAnsi="Calibri" w:cs="Calibri"/>
                <w:b/>
                <w:bCs/>
                <w:color w:val="1F497D"/>
                <w:sz w:val="20"/>
                <w:szCs w:val="20"/>
              </w:rPr>
            </w:pPr>
            <w:r w:rsidRPr="00393ABA">
              <w:rPr>
                <w:rFonts w:ascii="Calibri" w:hAnsi="Calibri" w:cs="Calibri"/>
                <w:b/>
                <w:bCs/>
                <w:color w:val="1F497D"/>
                <w:sz w:val="20"/>
                <w:szCs w:val="20"/>
              </w:rPr>
              <w:t>Rare</w:t>
            </w:r>
          </w:p>
        </w:tc>
        <w:tc>
          <w:tcPr>
            <w:tcW w:w="804" w:type="dxa"/>
            <w:tcBorders>
              <w:top w:val="nil"/>
              <w:left w:val="nil"/>
              <w:bottom w:val="single" w:sz="4" w:space="0" w:color="auto"/>
              <w:right w:val="nil"/>
            </w:tcBorders>
            <w:shd w:val="clear" w:color="000000" w:fill="F2F2F2"/>
            <w:noWrap/>
            <w:vAlign w:val="bottom"/>
            <w:hideMark/>
          </w:tcPr>
          <w:p w14:paraId="0C3F8EAC" w14:textId="77777777" w:rsidR="00B6457B" w:rsidRPr="00393ABA" w:rsidRDefault="00B6457B" w:rsidP="00393ABA">
            <w:pPr>
              <w:spacing w:after="120"/>
              <w:jc w:val="center"/>
              <w:rPr>
                <w:rFonts w:ascii="Calibri" w:hAnsi="Calibri" w:cs="Calibri"/>
                <w:b/>
                <w:bCs/>
                <w:color w:val="31869B"/>
                <w:sz w:val="20"/>
                <w:szCs w:val="20"/>
              </w:rPr>
            </w:pPr>
            <w:r w:rsidRPr="00393ABA">
              <w:rPr>
                <w:rFonts w:ascii="Calibri" w:hAnsi="Calibri" w:cs="Calibri"/>
                <w:b/>
                <w:bCs/>
                <w:color w:val="31869B"/>
                <w:sz w:val="20"/>
                <w:szCs w:val="20"/>
              </w:rPr>
              <w:t>Infreq.</w:t>
            </w:r>
          </w:p>
        </w:tc>
        <w:tc>
          <w:tcPr>
            <w:tcW w:w="774" w:type="dxa"/>
            <w:tcBorders>
              <w:top w:val="nil"/>
              <w:left w:val="nil"/>
              <w:bottom w:val="single" w:sz="4" w:space="0" w:color="auto"/>
              <w:right w:val="nil"/>
            </w:tcBorders>
            <w:shd w:val="clear" w:color="000000" w:fill="F2F2F2"/>
            <w:noWrap/>
            <w:vAlign w:val="bottom"/>
            <w:hideMark/>
          </w:tcPr>
          <w:p w14:paraId="0C3F8EAD" w14:textId="77777777" w:rsidR="00B6457B" w:rsidRPr="00393ABA" w:rsidRDefault="00B6457B" w:rsidP="00393ABA">
            <w:pPr>
              <w:spacing w:after="120"/>
              <w:jc w:val="center"/>
              <w:rPr>
                <w:rFonts w:ascii="Calibri" w:hAnsi="Calibri" w:cs="Calibri"/>
                <w:b/>
                <w:bCs/>
                <w:color w:val="FFC000"/>
                <w:sz w:val="20"/>
                <w:szCs w:val="20"/>
              </w:rPr>
            </w:pPr>
            <w:r w:rsidRPr="00393ABA">
              <w:rPr>
                <w:rFonts w:ascii="Calibri" w:hAnsi="Calibri" w:cs="Calibri"/>
                <w:b/>
                <w:bCs/>
                <w:color w:val="FFC000"/>
                <w:sz w:val="20"/>
                <w:szCs w:val="20"/>
              </w:rPr>
              <w:t>Occas.</w:t>
            </w:r>
          </w:p>
        </w:tc>
        <w:tc>
          <w:tcPr>
            <w:tcW w:w="641" w:type="dxa"/>
            <w:tcBorders>
              <w:top w:val="nil"/>
              <w:left w:val="nil"/>
              <w:bottom w:val="single" w:sz="4" w:space="0" w:color="auto"/>
              <w:right w:val="nil"/>
            </w:tcBorders>
            <w:shd w:val="clear" w:color="000000" w:fill="F2F2F2"/>
            <w:noWrap/>
            <w:vAlign w:val="bottom"/>
            <w:hideMark/>
          </w:tcPr>
          <w:p w14:paraId="0C3F8EAE" w14:textId="77777777" w:rsidR="00B6457B" w:rsidRPr="00393ABA" w:rsidRDefault="00B6457B" w:rsidP="00393ABA">
            <w:pPr>
              <w:spacing w:after="120"/>
              <w:jc w:val="center"/>
              <w:rPr>
                <w:rFonts w:ascii="Calibri" w:hAnsi="Calibri" w:cs="Calibri"/>
                <w:b/>
                <w:bCs/>
                <w:color w:val="F79646"/>
                <w:sz w:val="20"/>
                <w:szCs w:val="20"/>
              </w:rPr>
            </w:pPr>
            <w:r w:rsidRPr="00393ABA">
              <w:rPr>
                <w:rFonts w:ascii="Calibri" w:hAnsi="Calibri" w:cs="Calibri"/>
                <w:b/>
                <w:bCs/>
                <w:color w:val="F79646"/>
                <w:sz w:val="20"/>
                <w:szCs w:val="20"/>
              </w:rPr>
              <w:t>Freq.</w:t>
            </w:r>
          </w:p>
        </w:tc>
        <w:tc>
          <w:tcPr>
            <w:tcW w:w="785" w:type="dxa"/>
            <w:tcBorders>
              <w:top w:val="nil"/>
              <w:left w:val="nil"/>
              <w:bottom w:val="single" w:sz="4" w:space="0" w:color="auto"/>
              <w:right w:val="nil"/>
            </w:tcBorders>
            <w:shd w:val="clear" w:color="000000" w:fill="F2F2F2"/>
            <w:noWrap/>
            <w:vAlign w:val="bottom"/>
            <w:hideMark/>
          </w:tcPr>
          <w:p w14:paraId="0C3F8EAF" w14:textId="77777777" w:rsidR="00B6457B" w:rsidRPr="00393ABA" w:rsidRDefault="00B6457B" w:rsidP="00393ABA">
            <w:pPr>
              <w:spacing w:after="120"/>
              <w:jc w:val="center"/>
              <w:rPr>
                <w:rFonts w:ascii="Calibri" w:hAnsi="Calibri" w:cs="Calibri"/>
                <w:b/>
                <w:bCs/>
                <w:color w:val="FF0000"/>
                <w:sz w:val="20"/>
                <w:szCs w:val="20"/>
              </w:rPr>
            </w:pPr>
            <w:r w:rsidRPr="00393ABA">
              <w:rPr>
                <w:rFonts w:ascii="Calibri" w:hAnsi="Calibri" w:cs="Calibri"/>
                <w:b/>
                <w:bCs/>
                <w:color w:val="FF0000"/>
                <w:sz w:val="20"/>
                <w:szCs w:val="20"/>
              </w:rPr>
              <w:t>V.Freq</w:t>
            </w:r>
          </w:p>
        </w:tc>
        <w:tc>
          <w:tcPr>
            <w:tcW w:w="912" w:type="dxa"/>
            <w:vMerge/>
            <w:tcBorders>
              <w:top w:val="single" w:sz="4" w:space="0" w:color="auto"/>
              <w:left w:val="nil"/>
              <w:bottom w:val="single" w:sz="4" w:space="0" w:color="000000"/>
              <w:right w:val="nil"/>
            </w:tcBorders>
            <w:vAlign w:val="center"/>
            <w:hideMark/>
          </w:tcPr>
          <w:p w14:paraId="0C3F8EB0"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EB1" w14:textId="77777777" w:rsidR="00B6457B" w:rsidRPr="00393ABA" w:rsidRDefault="00B6457B" w:rsidP="00393ABA">
            <w:pPr>
              <w:spacing w:after="120"/>
              <w:jc w:val="left"/>
              <w:rPr>
                <w:rFonts w:ascii="Calibri" w:hAnsi="Calibri" w:cs="Calibri"/>
                <w:b/>
                <w:bCs/>
                <w:sz w:val="20"/>
                <w:szCs w:val="20"/>
              </w:rPr>
            </w:pPr>
          </w:p>
        </w:tc>
        <w:tc>
          <w:tcPr>
            <w:tcW w:w="723" w:type="dxa"/>
            <w:tcBorders>
              <w:top w:val="nil"/>
              <w:left w:val="nil"/>
              <w:bottom w:val="nil"/>
              <w:right w:val="nil"/>
            </w:tcBorders>
            <w:shd w:val="clear" w:color="000000" w:fill="0070C0"/>
            <w:noWrap/>
            <w:vAlign w:val="bottom"/>
            <w:hideMark/>
          </w:tcPr>
          <w:p w14:paraId="0C3F8EB2"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w:t>
            </w:r>
          </w:p>
        </w:tc>
        <w:tc>
          <w:tcPr>
            <w:tcW w:w="918" w:type="dxa"/>
            <w:tcBorders>
              <w:top w:val="nil"/>
              <w:left w:val="nil"/>
              <w:bottom w:val="nil"/>
              <w:right w:val="nil"/>
            </w:tcBorders>
            <w:shd w:val="clear" w:color="000000" w:fill="00B050"/>
            <w:noWrap/>
            <w:vAlign w:val="bottom"/>
            <w:hideMark/>
          </w:tcPr>
          <w:p w14:paraId="0C3F8EB3"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w:t>
            </w:r>
          </w:p>
        </w:tc>
        <w:tc>
          <w:tcPr>
            <w:tcW w:w="622" w:type="dxa"/>
            <w:tcBorders>
              <w:top w:val="nil"/>
              <w:left w:val="nil"/>
              <w:bottom w:val="nil"/>
              <w:right w:val="nil"/>
            </w:tcBorders>
            <w:shd w:val="clear" w:color="000000" w:fill="FF0000"/>
            <w:noWrap/>
            <w:vAlign w:val="bottom"/>
            <w:hideMark/>
          </w:tcPr>
          <w:p w14:paraId="0C3F8EB4"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III</w:t>
            </w:r>
          </w:p>
        </w:tc>
        <w:tc>
          <w:tcPr>
            <w:tcW w:w="1028" w:type="dxa"/>
            <w:tcBorders>
              <w:top w:val="nil"/>
              <w:left w:val="nil"/>
              <w:bottom w:val="nil"/>
              <w:right w:val="nil"/>
            </w:tcBorders>
            <w:shd w:val="clear" w:color="000000" w:fill="C00000"/>
            <w:noWrap/>
            <w:vAlign w:val="bottom"/>
            <w:hideMark/>
          </w:tcPr>
          <w:p w14:paraId="0C3F8EB5" w14:textId="77777777" w:rsidR="00B6457B" w:rsidRPr="00393ABA" w:rsidRDefault="00B6457B" w:rsidP="00393ABA">
            <w:pPr>
              <w:spacing w:after="120"/>
              <w:jc w:val="center"/>
              <w:rPr>
                <w:rFonts w:ascii="Calibri" w:hAnsi="Calibri" w:cs="Calibri"/>
                <w:b/>
                <w:bCs/>
                <w:color w:val="FFFFFF"/>
                <w:sz w:val="20"/>
                <w:szCs w:val="20"/>
              </w:rPr>
            </w:pPr>
            <w:r w:rsidRPr="00393ABA">
              <w:rPr>
                <w:rFonts w:ascii="Calibri" w:hAnsi="Calibri" w:cs="Calibri"/>
                <w:b/>
                <w:bCs/>
                <w:color w:val="FFFFFF"/>
                <w:sz w:val="20"/>
                <w:szCs w:val="20"/>
              </w:rPr>
              <w:t>IV</w:t>
            </w:r>
          </w:p>
        </w:tc>
        <w:tc>
          <w:tcPr>
            <w:tcW w:w="912" w:type="dxa"/>
            <w:vMerge/>
            <w:tcBorders>
              <w:top w:val="single" w:sz="4" w:space="0" w:color="auto"/>
              <w:left w:val="nil"/>
              <w:bottom w:val="single" w:sz="4" w:space="0" w:color="000000"/>
              <w:right w:val="nil"/>
            </w:tcBorders>
            <w:vAlign w:val="center"/>
            <w:hideMark/>
          </w:tcPr>
          <w:p w14:paraId="0C3F8EB6" w14:textId="77777777" w:rsidR="00B6457B" w:rsidRPr="00393ABA" w:rsidRDefault="00B6457B" w:rsidP="00393ABA">
            <w:pPr>
              <w:spacing w:after="120"/>
              <w:jc w:val="left"/>
              <w:rPr>
                <w:rFonts w:ascii="Calibri" w:hAnsi="Calibri" w:cs="Calibri"/>
                <w:b/>
                <w:bCs/>
                <w:sz w:val="20"/>
                <w:szCs w:val="20"/>
              </w:rPr>
            </w:pPr>
          </w:p>
        </w:tc>
        <w:tc>
          <w:tcPr>
            <w:tcW w:w="912" w:type="dxa"/>
            <w:vMerge/>
            <w:tcBorders>
              <w:top w:val="single" w:sz="4" w:space="0" w:color="auto"/>
              <w:left w:val="nil"/>
              <w:bottom w:val="single" w:sz="4" w:space="0" w:color="000000"/>
              <w:right w:val="single" w:sz="4" w:space="0" w:color="auto"/>
            </w:tcBorders>
            <w:vAlign w:val="center"/>
            <w:hideMark/>
          </w:tcPr>
          <w:p w14:paraId="0C3F8EB7" w14:textId="77777777" w:rsidR="00B6457B" w:rsidRPr="00393ABA" w:rsidRDefault="00B6457B" w:rsidP="00393ABA">
            <w:pPr>
              <w:spacing w:after="120"/>
              <w:jc w:val="left"/>
              <w:rPr>
                <w:rFonts w:ascii="Calibri" w:hAnsi="Calibri" w:cs="Calibri"/>
                <w:b/>
                <w:bCs/>
                <w:sz w:val="20"/>
                <w:szCs w:val="20"/>
              </w:rPr>
            </w:pPr>
          </w:p>
        </w:tc>
      </w:tr>
      <w:tr w:rsidR="00B6457B" w:rsidRPr="00393ABA" w14:paraId="0C3F8EC9" w14:textId="77777777" w:rsidTr="00393ABA">
        <w:trPr>
          <w:trHeight w:val="300"/>
        </w:trPr>
        <w:tc>
          <w:tcPr>
            <w:tcW w:w="1407" w:type="dxa"/>
            <w:vMerge w:val="restart"/>
            <w:tcBorders>
              <w:top w:val="single" w:sz="4" w:space="0" w:color="auto"/>
              <w:left w:val="single" w:sz="4" w:space="0" w:color="auto"/>
              <w:bottom w:val="double" w:sz="6" w:space="0" w:color="000000"/>
              <w:right w:val="nil"/>
            </w:tcBorders>
            <w:shd w:val="clear" w:color="000000" w:fill="F2F2F2"/>
            <w:noWrap/>
            <w:vAlign w:val="center"/>
            <w:hideMark/>
          </w:tcPr>
          <w:p w14:paraId="0C3F8EB9"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GBR</w:t>
            </w:r>
          </w:p>
        </w:tc>
        <w:tc>
          <w:tcPr>
            <w:tcW w:w="1120" w:type="dxa"/>
            <w:tcBorders>
              <w:top w:val="single" w:sz="4" w:space="0" w:color="auto"/>
              <w:left w:val="single" w:sz="4" w:space="0" w:color="auto"/>
              <w:bottom w:val="nil"/>
              <w:right w:val="single" w:sz="4" w:space="0" w:color="auto"/>
            </w:tcBorders>
            <w:shd w:val="clear" w:color="000000" w:fill="F2F2F2"/>
            <w:noWrap/>
            <w:vAlign w:val="center"/>
            <w:hideMark/>
          </w:tcPr>
          <w:p w14:paraId="0C3F8EB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 xml:space="preserve">area </w:t>
            </w:r>
          </w:p>
        </w:tc>
        <w:tc>
          <w:tcPr>
            <w:tcW w:w="820" w:type="dxa"/>
            <w:tcBorders>
              <w:top w:val="single" w:sz="4" w:space="0" w:color="auto"/>
              <w:left w:val="nil"/>
              <w:bottom w:val="nil"/>
              <w:right w:val="single" w:sz="4" w:space="0" w:color="auto"/>
            </w:tcBorders>
            <w:shd w:val="clear" w:color="000000" w:fill="F2F2F2"/>
            <w:noWrap/>
            <w:vAlign w:val="bottom"/>
            <w:hideMark/>
          </w:tcPr>
          <w:p w14:paraId="0C3F8EB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35447</w:t>
            </w:r>
          </w:p>
        </w:tc>
        <w:tc>
          <w:tcPr>
            <w:tcW w:w="735" w:type="dxa"/>
            <w:tcBorders>
              <w:top w:val="nil"/>
              <w:left w:val="nil"/>
              <w:bottom w:val="nil"/>
              <w:right w:val="nil"/>
            </w:tcBorders>
            <w:shd w:val="clear" w:color="auto" w:fill="auto"/>
            <w:noWrap/>
            <w:vAlign w:val="bottom"/>
            <w:hideMark/>
          </w:tcPr>
          <w:p w14:paraId="0C3F8EB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10065</w:t>
            </w:r>
          </w:p>
        </w:tc>
        <w:tc>
          <w:tcPr>
            <w:tcW w:w="804" w:type="dxa"/>
            <w:tcBorders>
              <w:top w:val="nil"/>
              <w:left w:val="nil"/>
              <w:bottom w:val="nil"/>
              <w:right w:val="nil"/>
            </w:tcBorders>
            <w:shd w:val="clear" w:color="auto" w:fill="auto"/>
            <w:noWrap/>
            <w:vAlign w:val="bottom"/>
            <w:hideMark/>
          </w:tcPr>
          <w:p w14:paraId="0C3F8EB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5825</w:t>
            </w:r>
          </w:p>
        </w:tc>
        <w:tc>
          <w:tcPr>
            <w:tcW w:w="774" w:type="dxa"/>
            <w:tcBorders>
              <w:top w:val="nil"/>
              <w:left w:val="nil"/>
              <w:bottom w:val="nil"/>
              <w:right w:val="nil"/>
            </w:tcBorders>
            <w:shd w:val="clear" w:color="auto" w:fill="auto"/>
            <w:noWrap/>
            <w:vAlign w:val="bottom"/>
            <w:hideMark/>
          </w:tcPr>
          <w:p w14:paraId="0C3F8EB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5923</w:t>
            </w:r>
          </w:p>
        </w:tc>
        <w:tc>
          <w:tcPr>
            <w:tcW w:w="641" w:type="dxa"/>
            <w:tcBorders>
              <w:top w:val="nil"/>
              <w:left w:val="nil"/>
              <w:bottom w:val="nil"/>
              <w:right w:val="nil"/>
            </w:tcBorders>
            <w:shd w:val="clear" w:color="auto" w:fill="auto"/>
            <w:noWrap/>
            <w:vAlign w:val="bottom"/>
            <w:hideMark/>
          </w:tcPr>
          <w:p w14:paraId="0C3F8EB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4362</w:t>
            </w:r>
          </w:p>
        </w:tc>
        <w:tc>
          <w:tcPr>
            <w:tcW w:w="785" w:type="dxa"/>
            <w:tcBorders>
              <w:top w:val="nil"/>
              <w:left w:val="nil"/>
              <w:bottom w:val="nil"/>
              <w:right w:val="nil"/>
            </w:tcBorders>
            <w:shd w:val="clear" w:color="auto" w:fill="auto"/>
            <w:noWrap/>
            <w:vAlign w:val="bottom"/>
            <w:hideMark/>
          </w:tcPr>
          <w:p w14:paraId="0C3F8EC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5622</w:t>
            </w:r>
          </w:p>
        </w:tc>
        <w:tc>
          <w:tcPr>
            <w:tcW w:w="912" w:type="dxa"/>
            <w:tcBorders>
              <w:top w:val="nil"/>
              <w:left w:val="nil"/>
              <w:bottom w:val="nil"/>
              <w:right w:val="nil"/>
            </w:tcBorders>
            <w:shd w:val="clear" w:color="000000" w:fill="F2DCDB"/>
            <w:noWrap/>
            <w:vAlign w:val="bottom"/>
            <w:hideMark/>
          </w:tcPr>
          <w:p w14:paraId="0C3F8EC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31796</w:t>
            </w:r>
          </w:p>
        </w:tc>
        <w:tc>
          <w:tcPr>
            <w:tcW w:w="912" w:type="dxa"/>
            <w:tcBorders>
              <w:top w:val="nil"/>
              <w:left w:val="nil"/>
              <w:bottom w:val="nil"/>
              <w:right w:val="single" w:sz="4" w:space="0" w:color="auto"/>
            </w:tcBorders>
            <w:shd w:val="clear" w:color="000000" w:fill="F2DCDB"/>
            <w:noWrap/>
            <w:vAlign w:val="bottom"/>
            <w:hideMark/>
          </w:tcPr>
          <w:p w14:paraId="0C3F8EC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3651</w:t>
            </w:r>
          </w:p>
        </w:tc>
        <w:tc>
          <w:tcPr>
            <w:tcW w:w="723" w:type="dxa"/>
            <w:tcBorders>
              <w:top w:val="single" w:sz="4" w:space="0" w:color="auto"/>
              <w:left w:val="nil"/>
              <w:bottom w:val="nil"/>
              <w:right w:val="nil"/>
            </w:tcBorders>
            <w:shd w:val="clear" w:color="auto" w:fill="auto"/>
            <w:noWrap/>
            <w:vAlign w:val="bottom"/>
            <w:hideMark/>
          </w:tcPr>
          <w:p w14:paraId="0C3F8EC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15035</w:t>
            </w:r>
          </w:p>
        </w:tc>
        <w:tc>
          <w:tcPr>
            <w:tcW w:w="918" w:type="dxa"/>
            <w:tcBorders>
              <w:top w:val="single" w:sz="4" w:space="0" w:color="auto"/>
              <w:left w:val="nil"/>
              <w:bottom w:val="nil"/>
              <w:right w:val="nil"/>
            </w:tcBorders>
            <w:shd w:val="clear" w:color="auto" w:fill="auto"/>
            <w:noWrap/>
            <w:vAlign w:val="bottom"/>
            <w:hideMark/>
          </w:tcPr>
          <w:p w14:paraId="0C3F8EC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13911</w:t>
            </w:r>
          </w:p>
        </w:tc>
        <w:tc>
          <w:tcPr>
            <w:tcW w:w="622" w:type="dxa"/>
            <w:tcBorders>
              <w:top w:val="single" w:sz="4" w:space="0" w:color="auto"/>
              <w:left w:val="nil"/>
              <w:bottom w:val="nil"/>
              <w:right w:val="nil"/>
            </w:tcBorders>
            <w:shd w:val="clear" w:color="auto" w:fill="auto"/>
            <w:noWrap/>
            <w:vAlign w:val="bottom"/>
            <w:hideMark/>
          </w:tcPr>
          <w:p w14:paraId="0C3F8EC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2645</w:t>
            </w:r>
          </w:p>
        </w:tc>
        <w:tc>
          <w:tcPr>
            <w:tcW w:w="1028" w:type="dxa"/>
            <w:tcBorders>
              <w:top w:val="single" w:sz="4" w:space="0" w:color="auto"/>
              <w:left w:val="nil"/>
              <w:bottom w:val="nil"/>
              <w:right w:val="nil"/>
            </w:tcBorders>
            <w:shd w:val="clear" w:color="auto" w:fill="auto"/>
            <w:noWrap/>
            <w:vAlign w:val="bottom"/>
            <w:hideMark/>
          </w:tcPr>
          <w:p w14:paraId="0C3F8EC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201</w:t>
            </w:r>
          </w:p>
        </w:tc>
        <w:tc>
          <w:tcPr>
            <w:tcW w:w="912" w:type="dxa"/>
            <w:tcBorders>
              <w:top w:val="nil"/>
              <w:left w:val="nil"/>
              <w:bottom w:val="nil"/>
              <w:right w:val="nil"/>
            </w:tcBorders>
            <w:shd w:val="clear" w:color="000000" w:fill="F2DCDB"/>
            <w:noWrap/>
            <w:vAlign w:val="bottom"/>
            <w:hideMark/>
          </w:tcPr>
          <w:p w14:paraId="0C3F8EC7"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31792</w:t>
            </w:r>
          </w:p>
        </w:tc>
        <w:tc>
          <w:tcPr>
            <w:tcW w:w="912" w:type="dxa"/>
            <w:tcBorders>
              <w:top w:val="nil"/>
              <w:left w:val="nil"/>
              <w:bottom w:val="nil"/>
              <w:right w:val="single" w:sz="4" w:space="0" w:color="auto"/>
            </w:tcBorders>
            <w:shd w:val="clear" w:color="000000" w:fill="F2DCDB"/>
            <w:noWrap/>
            <w:vAlign w:val="bottom"/>
            <w:hideMark/>
          </w:tcPr>
          <w:p w14:paraId="0C3F8EC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3655</w:t>
            </w:r>
          </w:p>
        </w:tc>
      </w:tr>
      <w:tr w:rsidR="00B6457B" w:rsidRPr="00393ABA" w14:paraId="0C3F8EDA" w14:textId="77777777" w:rsidTr="00393ABA">
        <w:trPr>
          <w:trHeight w:val="315"/>
        </w:trPr>
        <w:tc>
          <w:tcPr>
            <w:tcW w:w="1407" w:type="dxa"/>
            <w:vMerge/>
            <w:tcBorders>
              <w:top w:val="single" w:sz="4" w:space="0" w:color="auto"/>
              <w:left w:val="single" w:sz="4" w:space="0" w:color="auto"/>
              <w:bottom w:val="double" w:sz="6" w:space="0" w:color="000000"/>
              <w:right w:val="nil"/>
            </w:tcBorders>
            <w:vAlign w:val="center"/>
            <w:hideMark/>
          </w:tcPr>
          <w:p w14:paraId="0C3F8ECA"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double" w:sz="6" w:space="0" w:color="auto"/>
              <w:right w:val="single" w:sz="4" w:space="0" w:color="auto"/>
            </w:tcBorders>
            <w:shd w:val="clear" w:color="000000" w:fill="F2F2F2"/>
            <w:noWrap/>
            <w:vAlign w:val="center"/>
            <w:hideMark/>
          </w:tcPr>
          <w:p w14:paraId="0C3F8EC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t>
            </w:r>
          </w:p>
        </w:tc>
        <w:tc>
          <w:tcPr>
            <w:tcW w:w="820" w:type="dxa"/>
            <w:tcBorders>
              <w:top w:val="nil"/>
              <w:left w:val="nil"/>
              <w:bottom w:val="double" w:sz="6" w:space="0" w:color="auto"/>
              <w:right w:val="single" w:sz="4" w:space="0" w:color="auto"/>
            </w:tcBorders>
            <w:shd w:val="clear" w:color="000000" w:fill="F2F2F2"/>
            <w:noWrap/>
            <w:vAlign w:val="bottom"/>
            <w:hideMark/>
          </w:tcPr>
          <w:p w14:paraId="0C3F8ECC"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100%</w:t>
            </w:r>
          </w:p>
        </w:tc>
        <w:tc>
          <w:tcPr>
            <w:tcW w:w="735" w:type="dxa"/>
            <w:tcBorders>
              <w:top w:val="nil"/>
              <w:left w:val="nil"/>
              <w:bottom w:val="double" w:sz="6" w:space="0" w:color="auto"/>
              <w:right w:val="nil"/>
            </w:tcBorders>
            <w:shd w:val="clear" w:color="auto" w:fill="auto"/>
            <w:noWrap/>
            <w:vAlign w:val="bottom"/>
            <w:hideMark/>
          </w:tcPr>
          <w:p w14:paraId="0C3F8ECD"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28%</w:t>
            </w:r>
          </w:p>
        </w:tc>
        <w:tc>
          <w:tcPr>
            <w:tcW w:w="804" w:type="dxa"/>
            <w:tcBorders>
              <w:top w:val="nil"/>
              <w:left w:val="nil"/>
              <w:bottom w:val="double" w:sz="6" w:space="0" w:color="auto"/>
              <w:right w:val="nil"/>
            </w:tcBorders>
            <w:shd w:val="clear" w:color="auto" w:fill="auto"/>
            <w:noWrap/>
            <w:vAlign w:val="bottom"/>
            <w:hideMark/>
          </w:tcPr>
          <w:p w14:paraId="0C3F8ECE"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16%</w:t>
            </w:r>
          </w:p>
        </w:tc>
        <w:tc>
          <w:tcPr>
            <w:tcW w:w="774" w:type="dxa"/>
            <w:tcBorders>
              <w:top w:val="nil"/>
              <w:left w:val="nil"/>
              <w:bottom w:val="double" w:sz="6" w:space="0" w:color="auto"/>
              <w:right w:val="nil"/>
            </w:tcBorders>
            <w:shd w:val="clear" w:color="auto" w:fill="auto"/>
            <w:noWrap/>
            <w:vAlign w:val="bottom"/>
            <w:hideMark/>
          </w:tcPr>
          <w:p w14:paraId="0C3F8ECF"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17%</w:t>
            </w:r>
          </w:p>
        </w:tc>
        <w:tc>
          <w:tcPr>
            <w:tcW w:w="641" w:type="dxa"/>
            <w:tcBorders>
              <w:top w:val="nil"/>
              <w:left w:val="nil"/>
              <w:bottom w:val="double" w:sz="6" w:space="0" w:color="auto"/>
              <w:right w:val="nil"/>
            </w:tcBorders>
            <w:shd w:val="clear" w:color="auto" w:fill="auto"/>
            <w:noWrap/>
            <w:vAlign w:val="bottom"/>
            <w:hideMark/>
          </w:tcPr>
          <w:p w14:paraId="0C3F8ED0"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12%</w:t>
            </w:r>
          </w:p>
        </w:tc>
        <w:tc>
          <w:tcPr>
            <w:tcW w:w="785" w:type="dxa"/>
            <w:tcBorders>
              <w:top w:val="nil"/>
              <w:left w:val="nil"/>
              <w:bottom w:val="double" w:sz="6" w:space="0" w:color="auto"/>
              <w:right w:val="nil"/>
            </w:tcBorders>
            <w:shd w:val="clear" w:color="auto" w:fill="auto"/>
            <w:noWrap/>
            <w:vAlign w:val="bottom"/>
            <w:hideMark/>
          </w:tcPr>
          <w:p w14:paraId="0C3F8ED1"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16%</w:t>
            </w:r>
          </w:p>
        </w:tc>
        <w:tc>
          <w:tcPr>
            <w:tcW w:w="912" w:type="dxa"/>
            <w:tcBorders>
              <w:top w:val="nil"/>
              <w:left w:val="nil"/>
              <w:bottom w:val="double" w:sz="6" w:space="0" w:color="auto"/>
              <w:right w:val="nil"/>
            </w:tcBorders>
            <w:shd w:val="clear" w:color="000000" w:fill="F2DCDB"/>
            <w:noWrap/>
            <w:vAlign w:val="bottom"/>
            <w:hideMark/>
          </w:tcPr>
          <w:p w14:paraId="0C3F8ED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90%</w:t>
            </w:r>
          </w:p>
        </w:tc>
        <w:tc>
          <w:tcPr>
            <w:tcW w:w="912" w:type="dxa"/>
            <w:tcBorders>
              <w:top w:val="nil"/>
              <w:left w:val="nil"/>
              <w:bottom w:val="double" w:sz="6" w:space="0" w:color="auto"/>
              <w:right w:val="nil"/>
            </w:tcBorders>
            <w:shd w:val="clear" w:color="000000" w:fill="F2DCDB"/>
            <w:noWrap/>
            <w:vAlign w:val="bottom"/>
            <w:hideMark/>
          </w:tcPr>
          <w:p w14:paraId="0C3F8ED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w:t>
            </w:r>
          </w:p>
        </w:tc>
        <w:tc>
          <w:tcPr>
            <w:tcW w:w="723" w:type="dxa"/>
            <w:tcBorders>
              <w:top w:val="nil"/>
              <w:left w:val="single" w:sz="4" w:space="0" w:color="auto"/>
              <w:bottom w:val="double" w:sz="6" w:space="0" w:color="auto"/>
              <w:right w:val="nil"/>
            </w:tcBorders>
            <w:shd w:val="clear" w:color="auto" w:fill="auto"/>
            <w:noWrap/>
            <w:vAlign w:val="bottom"/>
            <w:hideMark/>
          </w:tcPr>
          <w:p w14:paraId="0C3F8ED4"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42%</w:t>
            </w:r>
          </w:p>
        </w:tc>
        <w:tc>
          <w:tcPr>
            <w:tcW w:w="918" w:type="dxa"/>
            <w:tcBorders>
              <w:top w:val="nil"/>
              <w:left w:val="nil"/>
              <w:bottom w:val="double" w:sz="6" w:space="0" w:color="auto"/>
              <w:right w:val="nil"/>
            </w:tcBorders>
            <w:shd w:val="clear" w:color="auto" w:fill="auto"/>
            <w:noWrap/>
            <w:vAlign w:val="bottom"/>
            <w:hideMark/>
          </w:tcPr>
          <w:p w14:paraId="0C3F8ED5"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39%</w:t>
            </w:r>
          </w:p>
        </w:tc>
        <w:tc>
          <w:tcPr>
            <w:tcW w:w="622" w:type="dxa"/>
            <w:tcBorders>
              <w:top w:val="nil"/>
              <w:left w:val="nil"/>
              <w:bottom w:val="double" w:sz="6" w:space="0" w:color="auto"/>
              <w:right w:val="nil"/>
            </w:tcBorders>
            <w:shd w:val="clear" w:color="auto" w:fill="auto"/>
            <w:noWrap/>
            <w:vAlign w:val="bottom"/>
            <w:hideMark/>
          </w:tcPr>
          <w:p w14:paraId="0C3F8ED6"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7%</w:t>
            </w:r>
          </w:p>
        </w:tc>
        <w:tc>
          <w:tcPr>
            <w:tcW w:w="1028" w:type="dxa"/>
            <w:tcBorders>
              <w:top w:val="nil"/>
              <w:left w:val="nil"/>
              <w:bottom w:val="double" w:sz="6" w:space="0" w:color="auto"/>
              <w:right w:val="nil"/>
            </w:tcBorders>
            <w:shd w:val="clear" w:color="auto" w:fill="auto"/>
            <w:noWrap/>
            <w:vAlign w:val="bottom"/>
            <w:hideMark/>
          </w:tcPr>
          <w:p w14:paraId="0C3F8ED7" w14:textId="77777777" w:rsidR="00B6457B" w:rsidRPr="00393ABA" w:rsidRDefault="00B6457B" w:rsidP="00393ABA">
            <w:pPr>
              <w:spacing w:after="120"/>
              <w:jc w:val="center"/>
              <w:rPr>
                <w:rFonts w:ascii="Calibri" w:hAnsi="Calibri" w:cs="Calibri"/>
                <w:b/>
                <w:bCs/>
                <w:i/>
                <w:iCs/>
                <w:color w:val="000000"/>
                <w:sz w:val="20"/>
                <w:szCs w:val="20"/>
              </w:rPr>
            </w:pPr>
            <w:r w:rsidRPr="00393ABA">
              <w:rPr>
                <w:rFonts w:ascii="Calibri" w:hAnsi="Calibri" w:cs="Calibri"/>
                <w:b/>
                <w:bCs/>
                <w:i/>
                <w:iCs/>
                <w:color w:val="000000"/>
                <w:sz w:val="20"/>
                <w:szCs w:val="20"/>
              </w:rPr>
              <w:t>1%</w:t>
            </w:r>
          </w:p>
        </w:tc>
        <w:tc>
          <w:tcPr>
            <w:tcW w:w="912" w:type="dxa"/>
            <w:tcBorders>
              <w:top w:val="nil"/>
              <w:left w:val="nil"/>
              <w:bottom w:val="double" w:sz="6" w:space="0" w:color="auto"/>
              <w:right w:val="nil"/>
            </w:tcBorders>
            <w:shd w:val="clear" w:color="000000" w:fill="F2DCDB"/>
            <w:noWrap/>
            <w:vAlign w:val="bottom"/>
            <w:hideMark/>
          </w:tcPr>
          <w:p w14:paraId="0C3F8ED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90%</w:t>
            </w:r>
          </w:p>
        </w:tc>
        <w:tc>
          <w:tcPr>
            <w:tcW w:w="912" w:type="dxa"/>
            <w:tcBorders>
              <w:top w:val="nil"/>
              <w:left w:val="nil"/>
              <w:bottom w:val="double" w:sz="6" w:space="0" w:color="auto"/>
              <w:right w:val="single" w:sz="4" w:space="0" w:color="auto"/>
            </w:tcBorders>
            <w:shd w:val="clear" w:color="000000" w:fill="F2DCDB"/>
            <w:noWrap/>
            <w:vAlign w:val="bottom"/>
            <w:hideMark/>
          </w:tcPr>
          <w:p w14:paraId="0C3F8ED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w:t>
            </w:r>
          </w:p>
        </w:tc>
      </w:tr>
      <w:tr w:rsidR="00B6457B" w:rsidRPr="00393ABA" w14:paraId="0C3F8EEB" w14:textId="77777777" w:rsidTr="00393ABA">
        <w:trPr>
          <w:trHeight w:val="315"/>
        </w:trPr>
        <w:tc>
          <w:tcPr>
            <w:tcW w:w="1407" w:type="dxa"/>
            <w:vMerge w:val="restart"/>
            <w:tcBorders>
              <w:top w:val="nil"/>
              <w:left w:val="single" w:sz="4" w:space="0" w:color="auto"/>
              <w:bottom w:val="nil"/>
              <w:right w:val="nil"/>
            </w:tcBorders>
            <w:shd w:val="clear" w:color="000000" w:fill="F2F2F2"/>
            <w:noWrap/>
            <w:vAlign w:val="center"/>
            <w:hideMark/>
          </w:tcPr>
          <w:p w14:paraId="0C3F8EDB"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Cape York</w:t>
            </w:r>
          </w:p>
        </w:tc>
        <w:tc>
          <w:tcPr>
            <w:tcW w:w="1120" w:type="dxa"/>
            <w:tcBorders>
              <w:top w:val="nil"/>
              <w:left w:val="single" w:sz="4" w:space="0" w:color="auto"/>
              <w:bottom w:val="nil"/>
              <w:right w:val="single" w:sz="4" w:space="0" w:color="auto"/>
            </w:tcBorders>
            <w:shd w:val="clear" w:color="000000" w:fill="F2F2F2"/>
            <w:noWrap/>
            <w:vAlign w:val="center"/>
            <w:hideMark/>
          </w:tcPr>
          <w:p w14:paraId="0C3F8ED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ED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11896</w:t>
            </w:r>
          </w:p>
        </w:tc>
        <w:tc>
          <w:tcPr>
            <w:tcW w:w="735" w:type="dxa"/>
            <w:tcBorders>
              <w:top w:val="nil"/>
              <w:left w:val="nil"/>
              <w:bottom w:val="nil"/>
              <w:right w:val="nil"/>
            </w:tcBorders>
            <w:shd w:val="clear" w:color="auto" w:fill="auto"/>
            <w:noWrap/>
            <w:vAlign w:val="bottom"/>
            <w:hideMark/>
          </w:tcPr>
          <w:p w14:paraId="0C3F8ED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229</w:t>
            </w:r>
          </w:p>
        </w:tc>
        <w:tc>
          <w:tcPr>
            <w:tcW w:w="804" w:type="dxa"/>
            <w:tcBorders>
              <w:top w:val="nil"/>
              <w:left w:val="nil"/>
              <w:bottom w:val="nil"/>
              <w:right w:val="nil"/>
            </w:tcBorders>
            <w:shd w:val="clear" w:color="auto" w:fill="auto"/>
            <w:noWrap/>
            <w:vAlign w:val="bottom"/>
            <w:hideMark/>
          </w:tcPr>
          <w:p w14:paraId="0C3F8ED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1113</w:t>
            </w:r>
          </w:p>
        </w:tc>
        <w:tc>
          <w:tcPr>
            <w:tcW w:w="774" w:type="dxa"/>
            <w:tcBorders>
              <w:top w:val="nil"/>
              <w:left w:val="nil"/>
              <w:bottom w:val="nil"/>
              <w:right w:val="nil"/>
            </w:tcBorders>
            <w:shd w:val="clear" w:color="auto" w:fill="auto"/>
            <w:noWrap/>
            <w:vAlign w:val="bottom"/>
            <w:hideMark/>
          </w:tcPr>
          <w:p w14:paraId="0C3F8EE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1713</w:t>
            </w:r>
          </w:p>
        </w:tc>
        <w:tc>
          <w:tcPr>
            <w:tcW w:w="641" w:type="dxa"/>
            <w:tcBorders>
              <w:top w:val="nil"/>
              <w:left w:val="nil"/>
              <w:bottom w:val="nil"/>
              <w:right w:val="nil"/>
            </w:tcBorders>
            <w:shd w:val="clear" w:color="auto" w:fill="auto"/>
            <w:noWrap/>
            <w:vAlign w:val="bottom"/>
            <w:hideMark/>
          </w:tcPr>
          <w:p w14:paraId="0C3F8EE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3616</w:t>
            </w:r>
          </w:p>
        </w:tc>
        <w:tc>
          <w:tcPr>
            <w:tcW w:w="785" w:type="dxa"/>
            <w:tcBorders>
              <w:top w:val="nil"/>
              <w:left w:val="nil"/>
              <w:bottom w:val="nil"/>
              <w:right w:val="nil"/>
            </w:tcBorders>
            <w:shd w:val="clear" w:color="auto" w:fill="auto"/>
            <w:noWrap/>
            <w:vAlign w:val="bottom"/>
            <w:hideMark/>
          </w:tcPr>
          <w:p w14:paraId="0C3F8EE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3644</w:t>
            </w:r>
          </w:p>
        </w:tc>
        <w:tc>
          <w:tcPr>
            <w:tcW w:w="912" w:type="dxa"/>
            <w:tcBorders>
              <w:top w:val="nil"/>
              <w:left w:val="nil"/>
              <w:bottom w:val="nil"/>
              <w:right w:val="nil"/>
            </w:tcBorders>
            <w:shd w:val="clear" w:color="000000" w:fill="F2DCDB"/>
            <w:noWrap/>
            <w:vAlign w:val="bottom"/>
            <w:hideMark/>
          </w:tcPr>
          <w:p w14:paraId="0C3F8EE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10316</w:t>
            </w:r>
          </w:p>
        </w:tc>
        <w:tc>
          <w:tcPr>
            <w:tcW w:w="912" w:type="dxa"/>
            <w:tcBorders>
              <w:top w:val="nil"/>
              <w:left w:val="nil"/>
              <w:bottom w:val="nil"/>
              <w:right w:val="single" w:sz="4" w:space="0" w:color="auto"/>
            </w:tcBorders>
            <w:shd w:val="clear" w:color="000000" w:fill="F2DCDB"/>
            <w:noWrap/>
            <w:vAlign w:val="bottom"/>
            <w:hideMark/>
          </w:tcPr>
          <w:p w14:paraId="0C3F8EE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1580</w:t>
            </w:r>
          </w:p>
        </w:tc>
        <w:tc>
          <w:tcPr>
            <w:tcW w:w="723" w:type="dxa"/>
            <w:tcBorders>
              <w:top w:val="nil"/>
              <w:left w:val="nil"/>
              <w:bottom w:val="nil"/>
              <w:right w:val="nil"/>
            </w:tcBorders>
            <w:shd w:val="clear" w:color="auto" w:fill="auto"/>
            <w:noWrap/>
            <w:vAlign w:val="bottom"/>
            <w:hideMark/>
          </w:tcPr>
          <w:p w14:paraId="0C3F8EE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1428</w:t>
            </w:r>
          </w:p>
        </w:tc>
        <w:tc>
          <w:tcPr>
            <w:tcW w:w="918" w:type="dxa"/>
            <w:tcBorders>
              <w:top w:val="nil"/>
              <w:left w:val="nil"/>
              <w:bottom w:val="nil"/>
              <w:right w:val="nil"/>
            </w:tcBorders>
            <w:shd w:val="clear" w:color="auto" w:fill="auto"/>
            <w:noWrap/>
            <w:vAlign w:val="bottom"/>
            <w:hideMark/>
          </w:tcPr>
          <w:p w14:paraId="0C3F8EE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7526</w:t>
            </w:r>
          </w:p>
        </w:tc>
        <w:tc>
          <w:tcPr>
            <w:tcW w:w="622" w:type="dxa"/>
            <w:tcBorders>
              <w:top w:val="nil"/>
              <w:left w:val="nil"/>
              <w:bottom w:val="nil"/>
              <w:right w:val="nil"/>
            </w:tcBorders>
            <w:shd w:val="clear" w:color="auto" w:fill="auto"/>
            <w:noWrap/>
            <w:vAlign w:val="bottom"/>
            <w:hideMark/>
          </w:tcPr>
          <w:p w14:paraId="0C3F8EE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1330</w:t>
            </w:r>
          </w:p>
        </w:tc>
        <w:tc>
          <w:tcPr>
            <w:tcW w:w="1028" w:type="dxa"/>
            <w:tcBorders>
              <w:top w:val="nil"/>
              <w:left w:val="nil"/>
              <w:bottom w:val="nil"/>
              <w:right w:val="nil"/>
            </w:tcBorders>
            <w:shd w:val="clear" w:color="auto" w:fill="auto"/>
            <w:noWrap/>
            <w:vAlign w:val="bottom"/>
            <w:hideMark/>
          </w:tcPr>
          <w:p w14:paraId="0C3F8EE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w:t>
            </w:r>
          </w:p>
        </w:tc>
        <w:tc>
          <w:tcPr>
            <w:tcW w:w="912" w:type="dxa"/>
            <w:tcBorders>
              <w:top w:val="nil"/>
              <w:left w:val="nil"/>
              <w:bottom w:val="nil"/>
              <w:right w:val="nil"/>
            </w:tcBorders>
            <w:shd w:val="clear" w:color="000000" w:fill="F2DCDB"/>
            <w:noWrap/>
            <w:vAlign w:val="bottom"/>
            <w:hideMark/>
          </w:tcPr>
          <w:p w14:paraId="0C3F8EE9"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10316</w:t>
            </w:r>
          </w:p>
        </w:tc>
        <w:tc>
          <w:tcPr>
            <w:tcW w:w="912" w:type="dxa"/>
            <w:tcBorders>
              <w:top w:val="nil"/>
              <w:left w:val="nil"/>
              <w:bottom w:val="nil"/>
              <w:right w:val="single" w:sz="4" w:space="0" w:color="auto"/>
            </w:tcBorders>
            <w:shd w:val="clear" w:color="000000" w:fill="F2DCDB"/>
            <w:noWrap/>
            <w:vAlign w:val="bottom"/>
            <w:hideMark/>
          </w:tcPr>
          <w:p w14:paraId="0C3F8EE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1581</w:t>
            </w:r>
          </w:p>
        </w:tc>
      </w:tr>
      <w:tr w:rsidR="00B6457B" w:rsidRPr="00393ABA" w14:paraId="0C3F8EFC" w14:textId="77777777" w:rsidTr="00393ABA">
        <w:trPr>
          <w:trHeight w:val="300"/>
        </w:trPr>
        <w:tc>
          <w:tcPr>
            <w:tcW w:w="1407" w:type="dxa"/>
            <w:vMerge/>
            <w:tcBorders>
              <w:top w:val="nil"/>
              <w:left w:val="single" w:sz="4" w:space="0" w:color="auto"/>
              <w:bottom w:val="nil"/>
              <w:right w:val="nil"/>
            </w:tcBorders>
            <w:vAlign w:val="center"/>
            <w:hideMark/>
          </w:tcPr>
          <w:p w14:paraId="0C3F8EEC"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EE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EE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EE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804" w:type="dxa"/>
            <w:tcBorders>
              <w:top w:val="nil"/>
              <w:left w:val="nil"/>
              <w:bottom w:val="nil"/>
              <w:right w:val="nil"/>
            </w:tcBorders>
            <w:shd w:val="clear" w:color="auto" w:fill="auto"/>
            <w:noWrap/>
            <w:vAlign w:val="bottom"/>
            <w:hideMark/>
          </w:tcPr>
          <w:p w14:paraId="0C3F8EF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w:t>
            </w:r>
          </w:p>
        </w:tc>
        <w:tc>
          <w:tcPr>
            <w:tcW w:w="774" w:type="dxa"/>
            <w:tcBorders>
              <w:top w:val="nil"/>
              <w:left w:val="nil"/>
              <w:bottom w:val="nil"/>
              <w:right w:val="nil"/>
            </w:tcBorders>
            <w:shd w:val="clear" w:color="auto" w:fill="auto"/>
            <w:noWrap/>
            <w:vAlign w:val="bottom"/>
            <w:hideMark/>
          </w:tcPr>
          <w:p w14:paraId="0C3F8EF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14%</w:t>
            </w:r>
          </w:p>
        </w:tc>
        <w:tc>
          <w:tcPr>
            <w:tcW w:w="641" w:type="dxa"/>
            <w:tcBorders>
              <w:top w:val="nil"/>
              <w:left w:val="nil"/>
              <w:bottom w:val="nil"/>
              <w:right w:val="nil"/>
            </w:tcBorders>
            <w:shd w:val="clear" w:color="auto" w:fill="auto"/>
            <w:noWrap/>
            <w:vAlign w:val="bottom"/>
            <w:hideMark/>
          </w:tcPr>
          <w:p w14:paraId="0C3F8EF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30%</w:t>
            </w:r>
          </w:p>
        </w:tc>
        <w:tc>
          <w:tcPr>
            <w:tcW w:w="785" w:type="dxa"/>
            <w:tcBorders>
              <w:top w:val="nil"/>
              <w:left w:val="nil"/>
              <w:bottom w:val="nil"/>
              <w:right w:val="nil"/>
            </w:tcBorders>
            <w:shd w:val="clear" w:color="auto" w:fill="auto"/>
            <w:noWrap/>
            <w:vAlign w:val="bottom"/>
            <w:hideMark/>
          </w:tcPr>
          <w:p w14:paraId="0C3F8EF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31%</w:t>
            </w:r>
          </w:p>
        </w:tc>
        <w:tc>
          <w:tcPr>
            <w:tcW w:w="912" w:type="dxa"/>
            <w:tcBorders>
              <w:top w:val="nil"/>
              <w:left w:val="nil"/>
              <w:bottom w:val="nil"/>
              <w:right w:val="nil"/>
            </w:tcBorders>
            <w:shd w:val="clear" w:color="000000" w:fill="F2DCDB"/>
            <w:noWrap/>
            <w:vAlign w:val="bottom"/>
            <w:hideMark/>
          </w:tcPr>
          <w:p w14:paraId="0C3F8EF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87%</w:t>
            </w:r>
          </w:p>
        </w:tc>
        <w:tc>
          <w:tcPr>
            <w:tcW w:w="912" w:type="dxa"/>
            <w:tcBorders>
              <w:top w:val="nil"/>
              <w:left w:val="nil"/>
              <w:bottom w:val="nil"/>
              <w:right w:val="nil"/>
            </w:tcBorders>
            <w:shd w:val="clear" w:color="000000" w:fill="F2DCDB"/>
            <w:noWrap/>
            <w:vAlign w:val="bottom"/>
            <w:hideMark/>
          </w:tcPr>
          <w:p w14:paraId="0C3F8EF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13%</w:t>
            </w:r>
          </w:p>
        </w:tc>
        <w:tc>
          <w:tcPr>
            <w:tcW w:w="723" w:type="dxa"/>
            <w:tcBorders>
              <w:top w:val="nil"/>
              <w:left w:val="single" w:sz="4" w:space="0" w:color="auto"/>
              <w:bottom w:val="nil"/>
              <w:right w:val="nil"/>
            </w:tcBorders>
            <w:shd w:val="clear" w:color="auto" w:fill="auto"/>
            <w:noWrap/>
            <w:vAlign w:val="bottom"/>
            <w:hideMark/>
          </w:tcPr>
          <w:p w14:paraId="0C3F8EF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12%</w:t>
            </w:r>
          </w:p>
        </w:tc>
        <w:tc>
          <w:tcPr>
            <w:tcW w:w="918" w:type="dxa"/>
            <w:tcBorders>
              <w:top w:val="nil"/>
              <w:left w:val="nil"/>
              <w:bottom w:val="nil"/>
              <w:right w:val="nil"/>
            </w:tcBorders>
            <w:shd w:val="clear" w:color="auto" w:fill="auto"/>
            <w:noWrap/>
            <w:vAlign w:val="bottom"/>
            <w:hideMark/>
          </w:tcPr>
          <w:p w14:paraId="0C3F8EF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63%</w:t>
            </w:r>
          </w:p>
        </w:tc>
        <w:tc>
          <w:tcPr>
            <w:tcW w:w="622" w:type="dxa"/>
            <w:tcBorders>
              <w:top w:val="nil"/>
              <w:left w:val="nil"/>
              <w:bottom w:val="nil"/>
              <w:right w:val="nil"/>
            </w:tcBorders>
            <w:shd w:val="clear" w:color="auto" w:fill="auto"/>
            <w:noWrap/>
            <w:vAlign w:val="bottom"/>
            <w:hideMark/>
          </w:tcPr>
          <w:p w14:paraId="0C3F8EF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11%</w:t>
            </w:r>
          </w:p>
        </w:tc>
        <w:tc>
          <w:tcPr>
            <w:tcW w:w="1028" w:type="dxa"/>
            <w:tcBorders>
              <w:top w:val="nil"/>
              <w:left w:val="nil"/>
              <w:bottom w:val="nil"/>
              <w:right w:val="nil"/>
            </w:tcBorders>
            <w:shd w:val="clear" w:color="auto" w:fill="auto"/>
            <w:noWrap/>
            <w:vAlign w:val="bottom"/>
            <w:hideMark/>
          </w:tcPr>
          <w:p w14:paraId="0C3F8EF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EF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87%</w:t>
            </w:r>
          </w:p>
        </w:tc>
        <w:tc>
          <w:tcPr>
            <w:tcW w:w="912" w:type="dxa"/>
            <w:tcBorders>
              <w:top w:val="nil"/>
              <w:left w:val="nil"/>
              <w:bottom w:val="nil"/>
              <w:right w:val="single" w:sz="4" w:space="0" w:color="auto"/>
            </w:tcBorders>
            <w:shd w:val="clear" w:color="000000" w:fill="F2DCDB"/>
            <w:noWrap/>
            <w:vAlign w:val="bottom"/>
            <w:hideMark/>
          </w:tcPr>
          <w:p w14:paraId="0C3F8EF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13%</w:t>
            </w:r>
          </w:p>
        </w:tc>
      </w:tr>
      <w:tr w:rsidR="00B6457B" w:rsidRPr="00393ABA" w14:paraId="0C3F8F0D"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EFD"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Wet Tropics</w:t>
            </w:r>
          </w:p>
        </w:tc>
        <w:tc>
          <w:tcPr>
            <w:tcW w:w="1120" w:type="dxa"/>
            <w:tcBorders>
              <w:top w:val="nil"/>
              <w:left w:val="single" w:sz="4" w:space="0" w:color="auto"/>
              <w:bottom w:val="nil"/>
              <w:right w:val="single" w:sz="4" w:space="0" w:color="auto"/>
            </w:tcBorders>
            <w:shd w:val="clear" w:color="000000" w:fill="F2F2F2"/>
            <w:noWrap/>
            <w:vAlign w:val="center"/>
            <w:hideMark/>
          </w:tcPr>
          <w:p w14:paraId="0C3F8EF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EF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4865</w:t>
            </w:r>
          </w:p>
        </w:tc>
        <w:tc>
          <w:tcPr>
            <w:tcW w:w="735" w:type="dxa"/>
            <w:tcBorders>
              <w:top w:val="nil"/>
              <w:left w:val="nil"/>
              <w:bottom w:val="nil"/>
              <w:right w:val="nil"/>
            </w:tcBorders>
            <w:shd w:val="clear" w:color="auto" w:fill="auto"/>
            <w:noWrap/>
            <w:vAlign w:val="bottom"/>
            <w:hideMark/>
          </w:tcPr>
          <w:p w14:paraId="0C3F8F0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1564</w:t>
            </w:r>
          </w:p>
        </w:tc>
        <w:tc>
          <w:tcPr>
            <w:tcW w:w="804" w:type="dxa"/>
            <w:tcBorders>
              <w:top w:val="nil"/>
              <w:left w:val="nil"/>
              <w:bottom w:val="nil"/>
              <w:right w:val="nil"/>
            </w:tcBorders>
            <w:shd w:val="clear" w:color="auto" w:fill="auto"/>
            <w:noWrap/>
            <w:vAlign w:val="bottom"/>
            <w:hideMark/>
          </w:tcPr>
          <w:p w14:paraId="0C3F8F0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1766</w:t>
            </w:r>
          </w:p>
        </w:tc>
        <w:tc>
          <w:tcPr>
            <w:tcW w:w="774" w:type="dxa"/>
            <w:tcBorders>
              <w:top w:val="nil"/>
              <w:left w:val="nil"/>
              <w:bottom w:val="nil"/>
              <w:right w:val="nil"/>
            </w:tcBorders>
            <w:shd w:val="clear" w:color="auto" w:fill="auto"/>
            <w:noWrap/>
            <w:vAlign w:val="bottom"/>
            <w:hideMark/>
          </w:tcPr>
          <w:p w14:paraId="0C3F8F0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949</w:t>
            </w:r>
          </w:p>
        </w:tc>
        <w:tc>
          <w:tcPr>
            <w:tcW w:w="641" w:type="dxa"/>
            <w:tcBorders>
              <w:top w:val="nil"/>
              <w:left w:val="nil"/>
              <w:bottom w:val="nil"/>
              <w:right w:val="nil"/>
            </w:tcBorders>
            <w:shd w:val="clear" w:color="auto" w:fill="auto"/>
            <w:noWrap/>
            <w:vAlign w:val="bottom"/>
            <w:hideMark/>
          </w:tcPr>
          <w:p w14:paraId="0C3F8F0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252</w:t>
            </w:r>
          </w:p>
        </w:tc>
        <w:tc>
          <w:tcPr>
            <w:tcW w:w="785" w:type="dxa"/>
            <w:tcBorders>
              <w:top w:val="nil"/>
              <w:left w:val="nil"/>
              <w:bottom w:val="nil"/>
              <w:right w:val="nil"/>
            </w:tcBorders>
            <w:shd w:val="clear" w:color="auto" w:fill="auto"/>
            <w:noWrap/>
            <w:vAlign w:val="bottom"/>
            <w:hideMark/>
          </w:tcPr>
          <w:p w14:paraId="0C3F8F0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328</w:t>
            </w:r>
          </w:p>
        </w:tc>
        <w:tc>
          <w:tcPr>
            <w:tcW w:w="912" w:type="dxa"/>
            <w:tcBorders>
              <w:top w:val="nil"/>
              <w:left w:val="nil"/>
              <w:bottom w:val="nil"/>
              <w:right w:val="nil"/>
            </w:tcBorders>
            <w:shd w:val="clear" w:color="000000" w:fill="F2DCDB"/>
            <w:noWrap/>
            <w:vAlign w:val="bottom"/>
            <w:hideMark/>
          </w:tcPr>
          <w:p w14:paraId="0C3F8F05"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4860</w:t>
            </w:r>
          </w:p>
        </w:tc>
        <w:tc>
          <w:tcPr>
            <w:tcW w:w="912" w:type="dxa"/>
            <w:tcBorders>
              <w:top w:val="nil"/>
              <w:left w:val="nil"/>
              <w:bottom w:val="nil"/>
              <w:right w:val="single" w:sz="4" w:space="0" w:color="auto"/>
            </w:tcBorders>
            <w:shd w:val="clear" w:color="000000" w:fill="F2DCDB"/>
            <w:noWrap/>
            <w:vAlign w:val="bottom"/>
            <w:hideMark/>
          </w:tcPr>
          <w:p w14:paraId="0C3F8F06"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w:t>
            </w:r>
          </w:p>
        </w:tc>
        <w:tc>
          <w:tcPr>
            <w:tcW w:w="723" w:type="dxa"/>
            <w:tcBorders>
              <w:top w:val="nil"/>
              <w:left w:val="nil"/>
              <w:bottom w:val="nil"/>
              <w:right w:val="nil"/>
            </w:tcBorders>
            <w:shd w:val="clear" w:color="auto" w:fill="auto"/>
            <w:noWrap/>
            <w:vAlign w:val="bottom"/>
            <w:hideMark/>
          </w:tcPr>
          <w:p w14:paraId="0C3F8F0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3549</w:t>
            </w:r>
          </w:p>
        </w:tc>
        <w:tc>
          <w:tcPr>
            <w:tcW w:w="918" w:type="dxa"/>
            <w:tcBorders>
              <w:top w:val="nil"/>
              <w:left w:val="nil"/>
              <w:bottom w:val="nil"/>
              <w:right w:val="nil"/>
            </w:tcBorders>
            <w:shd w:val="clear" w:color="auto" w:fill="auto"/>
            <w:noWrap/>
            <w:vAlign w:val="bottom"/>
            <w:hideMark/>
          </w:tcPr>
          <w:p w14:paraId="0C3F8F0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1132</w:t>
            </w:r>
          </w:p>
        </w:tc>
        <w:tc>
          <w:tcPr>
            <w:tcW w:w="622" w:type="dxa"/>
            <w:tcBorders>
              <w:top w:val="nil"/>
              <w:left w:val="nil"/>
              <w:bottom w:val="nil"/>
              <w:right w:val="nil"/>
            </w:tcBorders>
            <w:shd w:val="clear" w:color="auto" w:fill="auto"/>
            <w:noWrap/>
            <w:vAlign w:val="bottom"/>
            <w:hideMark/>
          </w:tcPr>
          <w:p w14:paraId="0C3F8F0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168</w:t>
            </w:r>
          </w:p>
        </w:tc>
        <w:tc>
          <w:tcPr>
            <w:tcW w:w="1028" w:type="dxa"/>
            <w:tcBorders>
              <w:top w:val="nil"/>
              <w:left w:val="nil"/>
              <w:bottom w:val="nil"/>
              <w:right w:val="nil"/>
            </w:tcBorders>
            <w:shd w:val="clear" w:color="auto" w:fill="auto"/>
            <w:noWrap/>
            <w:vAlign w:val="bottom"/>
            <w:hideMark/>
          </w:tcPr>
          <w:p w14:paraId="0C3F8F0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11</w:t>
            </w:r>
          </w:p>
        </w:tc>
        <w:tc>
          <w:tcPr>
            <w:tcW w:w="912" w:type="dxa"/>
            <w:tcBorders>
              <w:top w:val="nil"/>
              <w:left w:val="nil"/>
              <w:bottom w:val="nil"/>
              <w:right w:val="nil"/>
            </w:tcBorders>
            <w:shd w:val="clear" w:color="000000" w:fill="F2DCDB"/>
            <w:noWrap/>
            <w:vAlign w:val="bottom"/>
            <w:hideMark/>
          </w:tcPr>
          <w:p w14:paraId="0C3F8F0B"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4861</w:t>
            </w:r>
          </w:p>
        </w:tc>
        <w:tc>
          <w:tcPr>
            <w:tcW w:w="912" w:type="dxa"/>
            <w:tcBorders>
              <w:top w:val="nil"/>
              <w:left w:val="nil"/>
              <w:bottom w:val="nil"/>
              <w:right w:val="single" w:sz="4" w:space="0" w:color="auto"/>
            </w:tcBorders>
            <w:shd w:val="clear" w:color="000000" w:fill="F2DCDB"/>
            <w:noWrap/>
            <w:vAlign w:val="bottom"/>
            <w:hideMark/>
          </w:tcPr>
          <w:p w14:paraId="0C3F8F0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5</w:t>
            </w:r>
          </w:p>
        </w:tc>
      </w:tr>
      <w:tr w:rsidR="00B6457B" w:rsidRPr="00393ABA" w14:paraId="0C3F8F1E" w14:textId="77777777" w:rsidTr="00393ABA">
        <w:trPr>
          <w:trHeight w:val="300"/>
        </w:trPr>
        <w:tc>
          <w:tcPr>
            <w:tcW w:w="1407" w:type="dxa"/>
            <w:vMerge/>
            <w:tcBorders>
              <w:top w:val="nil"/>
              <w:left w:val="single" w:sz="4" w:space="0" w:color="auto"/>
              <w:bottom w:val="nil"/>
              <w:right w:val="nil"/>
            </w:tcBorders>
            <w:vAlign w:val="center"/>
            <w:hideMark/>
          </w:tcPr>
          <w:p w14:paraId="0C3F8F0E"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F0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F1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F1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32%</w:t>
            </w:r>
          </w:p>
        </w:tc>
        <w:tc>
          <w:tcPr>
            <w:tcW w:w="804" w:type="dxa"/>
            <w:tcBorders>
              <w:top w:val="nil"/>
              <w:left w:val="nil"/>
              <w:bottom w:val="nil"/>
              <w:right w:val="nil"/>
            </w:tcBorders>
            <w:shd w:val="clear" w:color="auto" w:fill="auto"/>
            <w:noWrap/>
            <w:vAlign w:val="bottom"/>
            <w:hideMark/>
          </w:tcPr>
          <w:p w14:paraId="0C3F8F1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36%</w:t>
            </w:r>
          </w:p>
        </w:tc>
        <w:tc>
          <w:tcPr>
            <w:tcW w:w="774" w:type="dxa"/>
            <w:tcBorders>
              <w:top w:val="nil"/>
              <w:left w:val="nil"/>
              <w:bottom w:val="nil"/>
              <w:right w:val="nil"/>
            </w:tcBorders>
            <w:shd w:val="clear" w:color="auto" w:fill="auto"/>
            <w:noWrap/>
            <w:vAlign w:val="bottom"/>
            <w:hideMark/>
          </w:tcPr>
          <w:p w14:paraId="0C3F8F1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20%</w:t>
            </w:r>
          </w:p>
        </w:tc>
        <w:tc>
          <w:tcPr>
            <w:tcW w:w="641" w:type="dxa"/>
            <w:tcBorders>
              <w:top w:val="nil"/>
              <w:left w:val="nil"/>
              <w:bottom w:val="nil"/>
              <w:right w:val="nil"/>
            </w:tcBorders>
            <w:shd w:val="clear" w:color="auto" w:fill="auto"/>
            <w:noWrap/>
            <w:vAlign w:val="bottom"/>
            <w:hideMark/>
          </w:tcPr>
          <w:p w14:paraId="0C3F8F1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785" w:type="dxa"/>
            <w:tcBorders>
              <w:top w:val="nil"/>
              <w:left w:val="nil"/>
              <w:bottom w:val="nil"/>
              <w:right w:val="nil"/>
            </w:tcBorders>
            <w:shd w:val="clear" w:color="auto" w:fill="auto"/>
            <w:noWrap/>
            <w:vAlign w:val="bottom"/>
            <w:hideMark/>
          </w:tcPr>
          <w:p w14:paraId="0C3F8F1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912" w:type="dxa"/>
            <w:tcBorders>
              <w:top w:val="nil"/>
              <w:left w:val="nil"/>
              <w:bottom w:val="nil"/>
              <w:right w:val="nil"/>
            </w:tcBorders>
            <w:shd w:val="clear" w:color="000000" w:fill="F2DCDB"/>
            <w:noWrap/>
            <w:vAlign w:val="bottom"/>
            <w:hideMark/>
          </w:tcPr>
          <w:p w14:paraId="0C3F8F16"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F17"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F1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73%</w:t>
            </w:r>
          </w:p>
        </w:tc>
        <w:tc>
          <w:tcPr>
            <w:tcW w:w="918" w:type="dxa"/>
            <w:tcBorders>
              <w:top w:val="nil"/>
              <w:left w:val="nil"/>
              <w:bottom w:val="nil"/>
              <w:right w:val="nil"/>
            </w:tcBorders>
            <w:shd w:val="clear" w:color="auto" w:fill="auto"/>
            <w:noWrap/>
            <w:vAlign w:val="bottom"/>
            <w:hideMark/>
          </w:tcPr>
          <w:p w14:paraId="0C3F8F1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23%</w:t>
            </w:r>
          </w:p>
        </w:tc>
        <w:tc>
          <w:tcPr>
            <w:tcW w:w="622" w:type="dxa"/>
            <w:tcBorders>
              <w:top w:val="nil"/>
              <w:left w:val="nil"/>
              <w:bottom w:val="nil"/>
              <w:right w:val="nil"/>
            </w:tcBorders>
            <w:shd w:val="clear" w:color="auto" w:fill="auto"/>
            <w:noWrap/>
            <w:vAlign w:val="bottom"/>
            <w:hideMark/>
          </w:tcPr>
          <w:p w14:paraId="0C3F8F1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1028" w:type="dxa"/>
            <w:tcBorders>
              <w:top w:val="nil"/>
              <w:left w:val="nil"/>
              <w:bottom w:val="nil"/>
              <w:right w:val="nil"/>
            </w:tcBorders>
            <w:shd w:val="clear" w:color="auto" w:fill="auto"/>
            <w:noWrap/>
            <w:vAlign w:val="bottom"/>
            <w:hideMark/>
          </w:tcPr>
          <w:p w14:paraId="0C3F8F1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nil"/>
              <w:right w:val="nil"/>
            </w:tcBorders>
            <w:shd w:val="clear" w:color="000000" w:fill="F2DCDB"/>
            <w:noWrap/>
            <w:vAlign w:val="bottom"/>
            <w:hideMark/>
          </w:tcPr>
          <w:p w14:paraId="0C3F8F1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F1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F2F"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F1F"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Burdekin</w:t>
            </w:r>
          </w:p>
        </w:tc>
        <w:tc>
          <w:tcPr>
            <w:tcW w:w="1120" w:type="dxa"/>
            <w:tcBorders>
              <w:top w:val="nil"/>
              <w:left w:val="single" w:sz="4" w:space="0" w:color="auto"/>
              <w:bottom w:val="nil"/>
              <w:right w:val="single" w:sz="4" w:space="0" w:color="auto"/>
            </w:tcBorders>
            <w:shd w:val="clear" w:color="000000" w:fill="F2F2F2"/>
            <w:noWrap/>
            <w:vAlign w:val="center"/>
            <w:hideMark/>
          </w:tcPr>
          <w:p w14:paraId="0C3F8F2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F2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6058</w:t>
            </w:r>
          </w:p>
        </w:tc>
        <w:tc>
          <w:tcPr>
            <w:tcW w:w="735" w:type="dxa"/>
            <w:tcBorders>
              <w:top w:val="nil"/>
              <w:left w:val="nil"/>
              <w:bottom w:val="nil"/>
              <w:right w:val="nil"/>
            </w:tcBorders>
            <w:shd w:val="clear" w:color="auto" w:fill="auto"/>
            <w:noWrap/>
            <w:vAlign w:val="bottom"/>
            <w:hideMark/>
          </w:tcPr>
          <w:p w14:paraId="0C3F8F2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1623</w:t>
            </w:r>
          </w:p>
        </w:tc>
        <w:tc>
          <w:tcPr>
            <w:tcW w:w="804" w:type="dxa"/>
            <w:tcBorders>
              <w:top w:val="nil"/>
              <w:left w:val="nil"/>
              <w:bottom w:val="nil"/>
              <w:right w:val="nil"/>
            </w:tcBorders>
            <w:shd w:val="clear" w:color="auto" w:fill="auto"/>
            <w:noWrap/>
            <w:vAlign w:val="bottom"/>
            <w:hideMark/>
          </w:tcPr>
          <w:p w14:paraId="0C3F8F2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1659</w:t>
            </w:r>
          </w:p>
        </w:tc>
        <w:tc>
          <w:tcPr>
            <w:tcW w:w="774" w:type="dxa"/>
            <w:tcBorders>
              <w:top w:val="nil"/>
              <w:left w:val="nil"/>
              <w:bottom w:val="nil"/>
              <w:right w:val="nil"/>
            </w:tcBorders>
            <w:shd w:val="clear" w:color="auto" w:fill="auto"/>
            <w:noWrap/>
            <w:vAlign w:val="bottom"/>
            <w:hideMark/>
          </w:tcPr>
          <w:p w14:paraId="0C3F8F2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169</w:t>
            </w:r>
          </w:p>
        </w:tc>
        <w:tc>
          <w:tcPr>
            <w:tcW w:w="641" w:type="dxa"/>
            <w:tcBorders>
              <w:top w:val="nil"/>
              <w:left w:val="nil"/>
              <w:bottom w:val="nil"/>
              <w:right w:val="nil"/>
            </w:tcBorders>
            <w:shd w:val="clear" w:color="auto" w:fill="auto"/>
            <w:noWrap/>
            <w:vAlign w:val="bottom"/>
            <w:hideMark/>
          </w:tcPr>
          <w:p w14:paraId="0C3F8F2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21</w:t>
            </w:r>
          </w:p>
        </w:tc>
        <w:tc>
          <w:tcPr>
            <w:tcW w:w="785" w:type="dxa"/>
            <w:tcBorders>
              <w:top w:val="nil"/>
              <w:left w:val="nil"/>
              <w:bottom w:val="nil"/>
              <w:right w:val="nil"/>
            </w:tcBorders>
            <w:shd w:val="clear" w:color="auto" w:fill="auto"/>
            <w:noWrap/>
            <w:vAlign w:val="bottom"/>
            <w:hideMark/>
          </w:tcPr>
          <w:p w14:paraId="0C3F8F2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600</w:t>
            </w:r>
          </w:p>
        </w:tc>
        <w:tc>
          <w:tcPr>
            <w:tcW w:w="912" w:type="dxa"/>
            <w:tcBorders>
              <w:top w:val="nil"/>
              <w:left w:val="nil"/>
              <w:bottom w:val="nil"/>
              <w:right w:val="nil"/>
            </w:tcBorders>
            <w:shd w:val="clear" w:color="000000" w:fill="F2DCDB"/>
            <w:noWrap/>
            <w:vAlign w:val="bottom"/>
            <w:hideMark/>
          </w:tcPr>
          <w:p w14:paraId="0C3F8F27"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4073</w:t>
            </w:r>
          </w:p>
        </w:tc>
        <w:tc>
          <w:tcPr>
            <w:tcW w:w="912" w:type="dxa"/>
            <w:tcBorders>
              <w:top w:val="nil"/>
              <w:left w:val="nil"/>
              <w:bottom w:val="nil"/>
              <w:right w:val="single" w:sz="4" w:space="0" w:color="auto"/>
            </w:tcBorders>
            <w:shd w:val="clear" w:color="000000" w:fill="F2DCDB"/>
            <w:noWrap/>
            <w:vAlign w:val="bottom"/>
            <w:hideMark/>
          </w:tcPr>
          <w:p w14:paraId="0C3F8F28"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1985</w:t>
            </w:r>
          </w:p>
        </w:tc>
        <w:tc>
          <w:tcPr>
            <w:tcW w:w="723" w:type="dxa"/>
            <w:tcBorders>
              <w:top w:val="nil"/>
              <w:left w:val="nil"/>
              <w:bottom w:val="nil"/>
              <w:right w:val="nil"/>
            </w:tcBorders>
            <w:shd w:val="clear" w:color="auto" w:fill="auto"/>
            <w:noWrap/>
            <w:vAlign w:val="bottom"/>
            <w:hideMark/>
          </w:tcPr>
          <w:p w14:paraId="0C3F8F2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3294</w:t>
            </w:r>
          </w:p>
        </w:tc>
        <w:tc>
          <w:tcPr>
            <w:tcW w:w="918" w:type="dxa"/>
            <w:tcBorders>
              <w:top w:val="nil"/>
              <w:left w:val="nil"/>
              <w:bottom w:val="nil"/>
              <w:right w:val="nil"/>
            </w:tcBorders>
            <w:shd w:val="clear" w:color="auto" w:fill="auto"/>
            <w:noWrap/>
            <w:vAlign w:val="bottom"/>
            <w:hideMark/>
          </w:tcPr>
          <w:p w14:paraId="0C3F8F2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283</w:t>
            </w:r>
          </w:p>
        </w:tc>
        <w:tc>
          <w:tcPr>
            <w:tcW w:w="622" w:type="dxa"/>
            <w:tcBorders>
              <w:top w:val="nil"/>
              <w:left w:val="nil"/>
              <w:bottom w:val="nil"/>
              <w:right w:val="nil"/>
            </w:tcBorders>
            <w:shd w:val="clear" w:color="auto" w:fill="auto"/>
            <w:noWrap/>
            <w:vAlign w:val="bottom"/>
            <w:hideMark/>
          </w:tcPr>
          <w:p w14:paraId="0C3F8F2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433</w:t>
            </w:r>
          </w:p>
        </w:tc>
        <w:tc>
          <w:tcPr>
            <w:tcW w:w="1028" w:type="dxa"/>
            <w:tcBorders>
              <w:top w:val="nil"/>
              <w:left w:val="nil"/>
              <w:bottom w:val="nil"/>
              <w:right w:val="nil"/>
            </w:tcBorders>
            <w:shd w:val="clear" w:color="auto" w:fill="auto"/>
            <w:noWrap/>
            <w:vAlign w:val="bottom"/>
            <w:hideMark/>
          </w:tcPr>
          <w:p w14:paraId="0C3F8F2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68</w:t>
            </w:r>
          </w:p>
        </w:tc>
        <w:tc>
          <w:tcPr>
            <w:tcW w:w="912" w:type="dxa"/>
            <w:tcBorders>
              <w:top w:val="nil"/>
              <w:left w:val="nil"/>
              <w:bottom w:val="nil"/>
              <w:right w:val="nil"/>
            </w:tcBorders>
            <w:shd w:val="clear" w:color="000000" w:fill="F2DCDB"/>
            <w:noWrap/>
            <w:vAlign w:val="bottom"/>
            <w:hideMark/>
          </w:tcPr>
          <w:p w14:paraId="0C3F8F2D"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4078</w:t>
            </w:r>
          </w:p>
        </w:tc>
        <w:tc>
          <w:tcPr>
            <w:tcW w:w="912" w:type="dxa"/>
            <w:tcBorders>
              <w:top w:val="nil"/>
              <w:left w:val="nil"/>
              <w:bottom w:val="nil"/>
              <w:right w:val="single" w:sz="4" w:space="0" w:color="auto"/>
            </w:tcBorders>
            <w:shd w:val="clear" w:color="000000" w:fill="F2DCDB"/>
            <w:noWrap/>
            <w:vAlign w:val="bottom"/>
            <w:hideMark/>
          </w:tcPr>
          <w:p w14:paraId="0C3F8F2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1981</w:t>
            </w:r>
          </w:p>
        </w:tc>
      </w:tr>
      <w:tr w:rsidR="00B6457B" w:rsidRPr="00393ABA" w14:paraId="0C3F8F40" w14:textId="77777777" w:rsidTr="00393ABA">
        <w:trPr>
          <w:trHeight w:val="300"/>
        </w:trPr>
        <w:tc>
          <w:tcPr>
            <w:tcW w:w="1407" w:type="dxa"/>
            <w:vMerge/>
            <w:tcBorders>
              <w:top w:val="nil"/>
              <w:left w:val="single" w:sz="4" w:space="0" w:color="auto"/>
              <w:bottom w:val="nil"/>
              <w:right w:val="nil"/>
            </w:tcBorders>
            <w:vAlign w:val="center"/>
            <w:hideMark/>
          </w:tcPr>
          <w:p w14:paraId="0C3F8F30"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F3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F3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F3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27%</w:t>
            </w:r>
          </w:p>
        </w:tc>
        <w:tc>
          <w:tcPr>
            <w:tcW w:w="804" w:type="dxa"/>
            <w:tcBorders>
              <w:top w:val="nil"/>
              <w:left w:val="nil"/>
              <w:bottom w:val="nil"/>
              <w:right w:val="nil"/>
            </w:tcBorders>
            <w:shd w:val="clear" w:color="auto" w:fill="auto"/>
            <w:noWrap/>
            <w:vAlign w:val="bottom"/>
            <w:hideMark/>
          </w:tcPr>
          <w:p w14:paraId="0C3F8F3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27%</w:t>
            </w:r>
          </w:p>
        </w:tc>
        <w:tc>
          <w:tcPr>
            <w:tcW w:w="774" w:type="dxa"/>
            <w:tcBorders>
              <w:top w:val="nil"/>
              <w:left w:val="nil"/>
              <w:bottom w:val="nil"/>
              <w:right w:val="nil"/>
            </w:tcBorders>
            <w:shd w:val="clear" w:color="auto" w:fill="auto"/>
            <w:noWrap/>
            <w:vAlign w:val="bottom"/>
            <w:hideMark/>
          </w:tcPr>
          <w:p w14:paraId="0C3F8F3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641" w:type="dxa"/>
            <w:tcBorders>
              <w:top w:val="nil"/>
              <w:left w:val="nil"/>
              <w:bottom w:val="nil"/>
              <w:right w:val="nil"/>
            </w:tcBorders>
            <w:shd w:val="clear" w:color="auto" w:fill="auto"/>
            <w:noWrap/>
            <w:vAlign w:val="bottom"/>
            <w:hideMark/>
          </w:tcPr>
          <w:p w14:paraId="0C3F8F3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785" w:type="dxa"/>
            <w:tcBorders>
              <w:top w:val="nil"/>
              <w:left w:val="nil"/>
              <w:bottom w:val="nil"/>
              <w:right w:val="nil"/>
            </w:tcBorders>
            <w:shd w:val="clear" w:color="auto" w:fill="auto"/>
            <w:noWrap/>
            <w:vAlign w:val="bottom"/>
            <w:hideMark/>
          </w:tcPr>
          <w:p w14:paraId="0C3F8F3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w:t>
            </w:r>
          </w:p>
        </w:tc>
        <w:tc>
          <w:tcPr>
            <w:tcW w:w="912" w:type="dxa"/>
            <w:tcBorders>
              <w:top w:val="nil"/>
              <w:left w:val="nil"/>
              <w:bottom w:val="nil"/>
              <w:right w:val="nil"/>
            </w:tcBorders>
            <w:shd w:val="clear" w:color="000000" w:fill="F2DCDB"/>
            <w:noWrap/>
            <w:vAlign w:val="bottom"/>
            <w:hideMark/>
          </w:tcPr>
          <w:p w14:paraId="0C3F8F38"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67%</w:t>
            </w:r>
          </w:p>
        </w:tc>
        <w:tc>
          <w:tcPr>
            <w:tcW w:w="912" w:type="dxa"/>
            <w:tcBorders>
              <w:top w:val="nil"/>
              <w:left w:val="nil"/>
              <w:bottom w:val="nil"/>
              <w:right w:val="nil"/>
            </w:tcBorders>
            <w:shd w:val="clear" w:color="000000" w:fill="F2DCDB"/>
            <w:noWrap/>
            <w:vAlign w:val="bottom"/>
            <w:hideMark/>
          </w:tcPr>
          <w:p w14:paraId="0C3F8F39"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33%</w:t>
            </w:r>
          </w:p>
        </w:tc>
        <w:tc>
          <w:tcPr>
            <w:tcW w:w="723" w:type="dxa"/>
            <w:tcBorders>
              <w:top w:val="nil"/>
              <w:left w:val="single" w:sz="4" w:space="0" w:color="auto"/>
              <w:bottom w:val="nil"/>
              <w:right w:val="nil"/>
            </w:tcBorders>
            <w:shd w:val="clear" w:color="auto" w:fill="auto"/>
            <w:noWrap/>
            <w:vAlign w:val="bottom"/>
            <w:hideMark/>
          </w:tcPr>
          <w:p w14:paraId="0C3F8F3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54%</w:t>
            </w:r>
          </w:p>
        </w:tc>
        <w:tc>
          <w:tcPr>
            <w:tcW w:w="918" w:type="dxa"/>
            <w:tcBorders>
              <w:top w:val="nil"/>
              <w:left w:val="nil"/>
              <w:bottom w:val="nil"/>
              <w:right w:val="nil"/>
            </w:tcBorders>
            <w:shd w:val="clear" w:color="auto" w:fill="auto"/>
            <w:noWrap/>
            <w:vAlign w:val="bottom"/>
            <w:hideMark/>
          </w:tcPr>
          <w:p w14:paraId="0C3F8F3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622" w:type="dxa"/>
            <w:tcBorders>
              <w:top w:val="nil"/>
              <w:left w:val="nil"/>
              <w:bottom w:val="nil"/>
              <w:right w:val="nil"/>
            </w:tcBorders>
            <w:shd w:val="clear" w:color="auto" w:fill="auto"/>
            <w:noWrap/>
            <w:vAlign w:val="bottom"/>
            <w:hideMark/>
          </w:tcPr>
          <w:p w14:paraId="0C3F8F3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w:t>
            </w:r>
          </w:p>
        </w:tc>
        <w:tc>
          <w:tcPr>
            <w:tcW w:w="1028" w:type="dxa"/>
            <w:tcBorders>
              <w:top w:val="nil"/>
              <w:left w:val="nil"/>
              <w:bottom w:val="nil"/>
              <w:right w:val="nil"/>
            </w:tcBorders>
            <w:shd w:val="clear" w:color="auto" w:fill="auto"/>
            <w:noWrap/>
            <w:vAlign w:val="bottom"/>
            <w:hideMark/>
          </w:tcPr>
          <w:p w14:paraId="0C3F8F3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2" w:type="dxa"/>
            <w:tcBorders>
              <w:top w:val="nil"/>
              <w:left w:val="nil"/>
              <w:bottom w:val="nil"/>
              <w:right w:val="nil"/>
            </w:tcBorders>
            <w:shd w:val="clear" w:color="000000" w:fill="F2DCDB"/>
            <w:noWrap/>
            <w:vAlign w:val="bottom"/>
            <w:hideMark/>
          </w:tcPr>
          <w:p w14:paraId="0C3F8F3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67%</w:t>
            </w:r>
          </w:p>
        </w:tc>
        <w:tc>
          <w:tcPr>
            <w:tcW w:w="912" w:type="dxa"/>
            <w:tcBorders>
              <w:top w:val="nil"/>
              <w:left w:val="nil"/>
              <w:bottom w:val="nil"/>
              <w:right w:val="single" w:sz="4" w:space="0" w:color="auto"/>
            </w:tcBorders>
            <w:shd w:val="clear" w:color="000000" w:fill="F2DCDB"/>
            <w:noWrap/>
            <w:vAlign w:val="bottom"/>
            <w:hideMark/>
          </w:tcPr>
          <w:p w14:paraId="0C3F8F3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33%</w:t>
            </w:r>
          </w:p>
        </w:tc>
      </w:tr>
      <w:tr w:rsidR="00B6457B" w:rsidRPr="00393ABA" w14:paraId="0C3F8F51" w14:textId="77777777" w:rsidTr="00393ABA">
        <w:trPr>
          <w:trHeight w:val="300"/>
        </w:trPr>
        <w:tc>
          <w:tcPr>
            <w:tcW w:w="1407" w:type="dxa"/>
            <w:vMerge w:val="restart"/>
            <w:tcBorders>
              <w:top w:val="nil"/>
              <w:left w:val="single" w:sz="4" w:space="0" w:color="auto"/>
              <w:bottom w:val="nil"/>
              <w:right w:val="single" w:sz="4" w:space="0" w:color="auto"/>
            </w:tcBorders>
            <w:shd w:val="clear" w:color="000000" w:fill="F2F2F2"/>
            <w:vAlign w:val="center"/>
            <w:hideMark/>
          </w:tcPr>
          <w:p w14:paraId="0C3F8F41"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Mackay-Whitsundays</w:t>
            </w:r>
          </w:p>
        </w:tc>
        <w:tc>
          <w:tcPr>
            <w:tcW w:w="1120" w:type="dxa"/>
            <w:tcBorders>
              <w:top w:val="nil"/>
              <w:left w:val="nil"/>
              <w:bottom w:val="nil"/>
              <w:right w:val="single" w:sz="4" w:space="0" w:color="auto"/>
            </w:tcBorders>
            <w:shd w:val="clear" w:color="000000" w:fill="F2F2F2"/>
            <w:noWrap/>
            <w:vAlign w:val="center"/>
            <w:hideMark/>
          </w:tcPr>
          <w:p w14:paraId="0C3F8F4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F43"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451</w:t>
            </w:r>
          </w:p>
        </w:tc>
        <w:tc>
          <w:tcPr>
            <w:tcW w:w="735" w:type="dxa"/>
            <w:tcBorders>
              <w:top w:val="nil"/>
              <w:left w:val="nil"/>
              <w:bottom w:val="nil"/>
              <w:right w:val="nil"/>
            </w:tcBorders>
            <w:shd w:val="clear" w:color="auto" w:fill="auto"/>
            <w:noWrap/>
            <w:vAlign w:val="bottom"/>
            <w:hideMark/>
          </w:tcPr>
          <w:p w14:paraId="0C3F8F4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w:t>
            </w:r>
          </w:p>
        </w:tc>
        <w:tc>
          <w:tcPr>
            <w:tcW w:w="804" w:type="dxa"/>
            <w:tcBorders>
              <w:top w:val="nil"/>
              <w:left w:val="nil"/>
              <w:bottom w:val="nil"/>
              <w:right w:val="nil"/>
            </w:tcBorders>
            <w:shd w:val="clear" w:color="auto" w:fill="auto"/>
            <w:noWrap/>
            <w:vAlign w:val="bottom"/>
            <w:hideMark/>
          </w:tcPr>
          <w:p w14:paraId="0C3F8F4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w:t>
            </w:r>
          </w:p>
        </w:tc>
        <w:tc>
          <w:tcPr>
            <w:tcW w:w="774" w:type="dxa"/>
            <w:tcBorders>
              <w:top w:val="nil"/>
              <w:left w:val="nil"/>
              <w:bottom w:val="nil"/>
              <w:right w:val="nil"/>
            </w:tcBorders>
            <w:shd w:val="clear" w:color="auto" w:fill="auto"/>
            <w:noWrap/>
            <w:vAlign w:val="bottom"/>
            <w:hideMark/>
          </w:tcPr>
          <w:p w14:paraId="0C3F8F4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50</w:t>
            </w:r>
          </w:p>
        </w:tc>
        <w:tc>
          <w:tcPr>
            <w:tcW w:w="641" w:type="dxa"/>
            <w:tcBorders>
              <w:top w:val="nil"/>
              <w:left w:val="nil"/>
              <w:bottom w:val="nil"/>
              <w:right w:val="nil"/>
            </w:tcBorders>
            <w:shd w:val="clear" w:color="auto" w:fill="auto"/>
            <w:noWrap/>
            <w:vAlign w:val="bottom"/>
            <w:hideMark/>
          </w:tcPr>
          <w:p w14:paraId="0C3F8F4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73</w:t>
            </w:r>
          </w:p>
        </w:tc>
        <w:tc>
          <w:tcPr>
            <w:tcW w:w="785" w:type="dxa"/>
            <w:tcBorders>
              <w:top w:val="nil"/>
              <w:left w:val="nil"/>
              <w:bottom w:val="nil"/>
              <w:right w:val="nil"/>
            </w:tcBorders>
            <w:shd w:val="clear" w:color="auto" w:fill="auto"/>
            <w:noWrap/>
            <w:vAlign w:val="bottom"/>
            <w:hideMark/>
          </w:tcPr>
          <w:p w14:paraId="0C3F8F4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318</w:t>
            </w:r>
          </w:p>
        </w:tc>
        <w:tc>
          <w:tcPr>
            <w:tcW w:w="912" w:type="dxa"/>
            <w:tcBorders>
              <w:top w:val="nil"/>
              <w:left w:val="nil"/>
              <w:bottom w:val="nil"/>
              <w:right w:val="nil"/>
            </w:tcBorders>
            <w:shd w:val="clear" w:color="000000" w:fill="F2DCDB"/>
            <w:noWrap/>
            <w:vAlign w:val="bottom"/>
            <w:hideMark/>
          </w:tcPr>
          <w:p w14:paraId="0C3F8F49"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444</w:t>
            </w:r>
          </w:p>
        </w:tc>
        <w:tc>
          <w:tcPr>
            <w:tcW w:w="912" w:type="dxa"/>
            <w:tcBorders>
              <w:top w:val="nil"/>
              <w:left w:val="nil"/>
              <w:bottom w:val="nil"/>
              <w:right w:val="single" w:sz="4" w:space="0" w:color="auto"/>
            </w:tcBorders>
            <w:shd w:val="clear" w:color="000000" w:fill="F2DCDB"/>
            <w:noWrap/>
            <w:vAlign w:val="bottom"/>
            <w:hideMark/>
          </w:tcPr>
          <w:p w14:paraId="0C3F8F4A"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7</w:t>
            </w:r>
          </w:p>
        </w:tc>
        <w:tc>
          <w:tcPr>
            <w:tcW w:w="723" w:type="dxa"/>
            <w:tcBorders>
              <w:top w:val="nil"/>
              <w:left w:val="nil"/>
              <w:bottom w:val="nil"/>
              <w:right w:val="nil"/>
            </w:tcBorders>
            <w:shd w:val="clear" w:color="auto" w:fill="auto"/>
            <w:noWrap/>
            <w:vAlign w:val="bottom"/>
            <w:hideMark/>
          </w:tcPr>
          <w:p w14:paraId="0C3F8F4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0</w:t>
            </w:r>
          </w:p>
        </w:tc>
        <w:tc>
          <w:tcPr>
            <w:tcW w:w="918" w:type="dxa"/>
            <w:tcBorders>
              <w:top w:val="nil"/>
              <w:left w:val="nil"/>
              <w:bottom w:val="nil"/>
              <w:right w:val="nil"/>
            </w:tcBorders>
            <w:shd w:val="clear" w:color="auto" w:fill="auto"/>
            <w:noWrap/>
            <w:vAlign w:val="bottom"/>
            <w:hideMark/>
          </w:tcPr>
          <w:p w14:paraId="0C3F8F4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203</w:t>
            </w:r>
          </w:p>
        </w:tc>
        <w:tc>
          <w:tcPr>
            <w:tcW w:w="622" w:type="dxa"/>
            <w:tcBorders>
              <w:top w:val="nil"/>
              <w:left w:val="nil"/>
              <w:bottom w:val="nil"/>
              <w:right w:val="nil"/>
            </w:tcBorders>
            <w:shd w:val="clear" w:color="auto" w:fill="auto"/>
            <w:noWrap/>
            <w:vAlign w:val="bottom"/>
            <w:hideMark/>
          </w:tcPr>
          <w:p w14:paraId="0C3F8F4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225</w:t>
            </w:r>
          </w:p>
        </w:tc>
        <w:tc>
          <w:tcPr>
            <w:tcW w:w="1028" w:type="dxa"/>
            <w:tcBorders>
              <w:top w:val="nil"/>
              <w:left w:val="nil"/>
              <w:bottom w:val="nil"/>
              <w:right w:val="nil"/>
            </w:tcBorders>
            <w:shd w:val="clear" w:color="auto" w:fill="auto"/>
            <w:noWrap/>
            <w:vAlign w:val="bottom"/>
            <w:hideMark/>
          </w:tcPr>
          <w:p w14:paraId="0C3F8F4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w:t>
            </w:r>
          </w:p>
        </w:tc>
        <w:tc>
          <w:tcPr>
            <w:tcW w:w="912" w:type="dxa"/>
            <w:tcBorders>
              <w:top w:val="nil"/>
              <w:left w:val="nil"/>
              <w:bottom w:val="nil"/>
              <w:right w:val="nil"/>
            </w:tcBorders>
            <w:shd w:val="clear" w:color="000000" w:fill="F2DCDB"/>
            <w:noWrap/>
            <w:vAlign w:val="bottom"/>
            <w:hideMark/>
          </w:tcPr>
          <w:p w14:paraId="0C3F8F4F"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443</w:t>
            </w:r>
          </w:p>
        </w:tc>
        <w:tc>
          <w:tcPr>
            <w:tcW w:w="912" w:type="dxa"/>
            <w:tcBorders>
              <w:top w:val="nil"/>
              <w:left w:val="nil"/>
              <w:bottom w:val="nil"/>
              <w:right w:val="single" w:sz="4" w:space="0" w:color="auto"/>
            </w:tcBorders>
            <w:shd w:val="clear" w:color="000000" w:fill="F2DCDB"/>
            <w:noWrap/>
            <w:vAlign w:val="bottom"/>
            <w:hideMark/>
          </w:tcPr>
          <w:p w14:paraId="0C3F8F50"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9</w:t>
            </w:r>
          </w:p>
        </w:tc>
      </w:tr>
      <w:tr w:rsidR="00B6457B" w:rsidRPr="00393ABA" w14:paraId="0C3F8F62" w14:textId="77777777" w:rsidTr="00393ABA">
        <w:trPr>
          <w:trHeight w:val="300"/>
        </w:trPr>
        <w:tc>
          <w:tcPr>
            <w:tcW w:w="1407" w:type="dxa"/>
            <w:vMerge/>
            <w:tcBorders>
              <w:top w:val="nil"/>
              <w:left w:val="single" w:sz="4" w:space="0" w:color="auto"/>
              <w:bottom w:val="nil"/>
              <w:right w:val="single" w:sz="4" w:space="0" w:color="auto"/>
            </w:tcBorders>
            <w:vAlign w:val="center"/>
            <w:hideMark/>
          </w:tcPr>
          <w:p w14:paraId="0C3F8F52"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nil"/>
              <w:right w:val="single" w:sz="4" w:space="0" w:color="auto"/>
            </w:tcBorders>
            <w:shd w:val="clear" w:color="000000" w:fill="F2F2F2"/>
            <w:noWrap/>
            <w:vAlign w:val="center"/>
            <w:hideMark/>
          </w:tcPr>
          <w:p w14:paraId="0C3F8F5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F54"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F5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804" w:type="dxa"/>
            <w:tcBorders>
              <w:top w:val="nil"/>
              <w:left w:val="nil"/>
              <w:bottom w:val="nil"/>
              <w:right w:val="nil"/>
            </w:tcBorders>
            <w:shd w:val="clear" w:color="auto" w:fill="auto"/>
            <w:noWrap/>
            <w:vAlign w:val="bottom"/>
            <w:hideMark/>
          </w:tcPr>
          <w:p w14:paraId="0C3F8F5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774" w:type="dxa"/>
            <w:tcBorders>
              <w:top w:val="nil"/>
              <w:left w:val="nil"/>
              <w:bottom w:val="nil"/>
              <w:right w:val="nil"/>
            </w:tcBorders>
            <w:shd w:val="clear" w:color="auto" w:fill="auto"/>
            <w:noWrap/>
            <w:vAlign w:val="bottom"/>
            <w:hideMark/>
          </w:tcPr>
          <w:p w14:paraId="0C3F8F5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11%</w:t>
            </w:r>
          </w:p>
        </w:tc>
        <w:tc>
          <w:tcPr>
            <w:tcW w:w="641" w:type="dxa"/>
            <w:tcBorders>
              <w:top w:val="nil"/>
              <w:left w:val="nil"/>
              <w:bottom w:val="nil"/>
              <w:right w:val="nil"/>
            </w:tcBorders>
            <w:shd w:val="clear" w:color="auto" w:fill="auto"/>
            <w:noWrap/>
            <w:vAlign w:val="bottom"/>
            <w:hideMark/>
          </w:tcPr>
          <w:p w14:paraId="0C3F8F5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16%</w:t>
            </w:r>
          </w:p>
        </w:tc>
        <w:tc>
          <w:tcPr>
            <w:tcW w:w="785" w:type="dxa"/>
            <w:tcBorders>
              <w:top w:val="nil"/>
              <w:left w:val="nil"/>
              <w:bottom w:val="nil"/>
              <w:right w:val="nil"/>
            </w:tcBorders>
            <w:shd w:val="clear" w:color="auto" w:fill="auto"/>
            <w:noWrap/>
            <w:vAlign w:val="bottom"/>
            <w:hideMark/>
          </w:tcPr>
          <w:p w14:paraId="0C3F8F5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70%</w:t>
            </w:r>
          </w:p>
        </w:tc>
        <w:tc>
          <w:tcPr>
            <w:tcW w:w="912" w:type="dxa"/>
            <w:tcBorders>
              <w:top w:val="nil"/>
              <w:left w:val="nil"/>
              <w:bottom w:val="nil"/>
              <w:right w:val="nil"/>
            </w:tcBorders>
            <w:shd w:val="clear" w:color="000000" w:fill="F2DCDB"/>
            <w:noWrap/>
            <w:vAlign w:val="bottom"/>
            <w:hideMark/>
          </w:tcPr>
          <w:p w14:paraId="0C3F8F5A"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98%</w:t>
            </w:r>
          </w:p>
        </w:tc>
        <w:tc>
          <w:tcPr>
            <w:tcW w:w="912" w:type="dxa"/>
            <w:tcBorders>
              <w:top w:val="nil"/>
              <w:left w:val="nil"/>
              <w:bottom w:val="nil"/>
              <w:right w:val="nil"/>
            </w:tcBorders>
            <w:shd w:val="clear" w:color="000000" w:fill="F2DCDB"/>
            <w:noWrap/>
            <w:vAlign w:val="bottom"/>
            <w:hideMark/>
          </w:tcPr>
          <w:p w14:paraId="0C3F8F5B"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w:t>
            </w:r>
          </w:p>
        </w:tc>
        <w:tc>
          <w:tcPr>
            <w:tcW w:w="723" w:type="dxa"/>
            <w:tcBorders>
              <w:top w:val="nil"/>
              <w:left w:val="single" w:sz="4" w:space="0" w:color="auto"/>
              <w:bottom w:val="nil"/>
              <w:right w:val="nil"/>
            </w:tcBorders>
            <w:shd w:val="clear" w:color="auto" w:fill="auto"/>
            <w:noWrap/>
            <w:vAlign w:val="bottom"/>
            <w:hideMark/>
          </w:tcPr>
          <w:p w14:paraId="0C3F8F5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8" w:type="dxa"/>
            <w:tcBorders>
              <w:top w:val="nil"/>
              <w:left w:val="nil"/>
              <w:bottom w:val="nil"/>
              <w:right w:val="nil"/>
            </w:tcBorders>
            <w:shd w:val="clear" w:color="auto" w:fill="auto"/>
            <w:noWrap/>
            <w:vAlign w:val="bottom"/>
            <w:hideMark/>
          </w:tcPr>
          <w:p w14:paraId="0C3F8F5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45%</w:t>
            </w:r>
          </w:p>
        </w:tc>
        <w:tc>
          <w:tcPr>
            <w:tcW w:w="622" w:type="dxa"/>
            <w:tcBorders>
              <w:top w:val="nil"/>
              <w:left w:val="nil"/>
              <w:bottom w:val="nil"/>
              <w:right w:val="nil"/>
            </w:tcBorders>
            <w:shd w:val="clear" w:color="auto" w:fill="auto"/>
            <w:noWrap/>
            <w:vAlign w:val="bottom"/>
            <w:hideMark/>
          </w:tcPr>
          <w:p w14:paraId="0C3F8F5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50%</w:t>
            </w:r>
          </w:p>
        </w:tc>
        <w:tc>
          <w:tcPr>
            <w:tcW w:w="1028" w:type="dxa"/>
            <w:tcBorders>
              <w:top w:val="nil"/>
              <w:left w:val="nil"/>
              <w:bottom w:val="nil"/>
              <w:right w:val="nil"/>
            </w:tcBorders>
            <w:shd w:val="clear" w:color="auto" w:fill="auto"/>
            <w:noWrap/>
            <w:vAlign w:val="bottom"/>
            <w:hideMark/>
          </w:tcPr>
          <w:p w14:paraId="0C3F8F5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w:t>
            </w:r>
          </w:p>
        </w:tc>
        <w:tc>
          <w:tcPr>
            <w:tcW w:w="912" w:type="dxa"/>
            <w:tcBorders>
              <w:top w:val="nil"/>
              <w:left w:val="nil"/>
              <w:bottom w:val="nil"/>
              <w:right w:val="nil"/>
            </w:tcBorders>
            <w:shd w:val="clear" w:color="000000" w:fill="F2DCDB"/>
            <w:noWrap/>
            <w:vAlign w:val="bottom"/>
            <w:hideMark/>
          </w:tcPr>
          <w:p w14:paraId="0C3F8F60"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98%</w:t>
            </w:r>
          </w:p>
        </w:tc>
        <w:tc>
          <w:tcPr>
            <w:tcW w:w="912" w:type="dxa"/>
            <w:tcBorders>
              <w:top w:val="nil"/>
              <w:left w:val="nil"/>
              <w:bottom w:val="nil"/>
              <w:right w:val="single" w:sz="4" w:space="0" w:color="auto"/>
            </w:tcBorders>
            <w:shd w:val="clear" w:color="000000" w:fill="F2DCDB"/>
            <w:noWrap/>
            <w:vAlign w:val="bottom"/>
            <w:hideMark/>
          </w:tcPr>
          <w:p w14:paraId="0C3F8F61"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2%</w:t>
            </w:r>
          </w:p>
        </w:tc>
      </w:tr>
      <w:tr w:rsidR="00B6457B" w:rsidRPr="00393ABA" w14:paraId="0C3F8F73" w14:textId="77777777" w:rsidTr="00393ABA">
        <w:trPr>
          <w:trHeight w:val="300"/>
        </w:trPr>
        <w:tc>
          <w:tcPr>
            <w:tcW w:w="1407" w:type="dxa"/>
            <w:vMerge w:val="restart"/>
            <w:tcBorders>
              <w:top w:val="nil"/>
              <w:left w:val="single" w:sz="4" w:space="0" w:color="auto"/>
              <w:bottom w:val="nil"/>
              <w:right w:val="nil"/>
            </w:tcBorders>
            <w:shd w:val="clear" w:color="000000" w:fill="F2F2F2"/>
            <w:noWrap/>
            <w:vAlign w:val="center"/>
            <w:hideMark/>
          </w:tcPr>
          <w:p w14:paraId="0C3F8F63"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Fitzroy</w:t>
            </w:r>
          </w:p>
        </w:tc>
        <w:tc>
          <w:tcPr>
            <w:tcW w:w="1120" w:type="dxa"/>
            <w:tcBorders>
              <w:top w:val="nil"/>
              <w:left w:val="single" w:sz="4" w:space="0" w:color="auto"/>
              <w:bottom w:val="nil"/>
              <w:right w:val="single" w:sz="4" w:space="0" w:color="auto"/>
            </w:tcBorders>
            <w:shd w:val="clear" w:color="000000" w:fill="F2F2F2"/>
            <w:noWrap/>
            <w:vAlign w:val="center"/>
            <w:hideMark/>
          </w:tcPr>
          <w:p w14:paraId="0C3F8F64"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F65"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5801</w:t>
            </w:r>
          </w:p>
        </w:tc>
        <w:tc>
          <w:tcPr>
            <w:tcW w:w="735" w:type="dxa"/>
            <w:tcBorders>
              <w:top w:val="nil"/>
              <w:left w:val="nil"/>
              <w:bottom w:val="nil"/>
              <w:right w:val="nil"/>
            </w:tcBorders>
            <w:shd w:val="clear" w:color="auto" w:fill="auto"/>
            <w:noWrap/>
            <w:vAlign w:val="bottom"/>
            <w:hideMark/>
          </w:tcPr>
          <w:p w14:paraId="0C3F8F6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1432</w:t>
            </w:r>
          </w:p>
        </w:tc>
        <w:tc>
          <w:tcPr>
            <w:tcW w:w="804" w:type="dxa"/>
            <w:tcBorders>
              <w:top w:val="nil"/>
              <w:left w:val="nil"/>
              <w:bottom w:val="nil"/>
              <w:right w:val="nil"/>
            </w:tcBorders>
            <w:shd w:val="clear" w:color="auto" w:fill="auto"/>
            <w:noWrap/>
            <w:vAlign w:val="bottom"/>
            <w:hideMark/>
          </w:tcPr>
          <w:p w14:paraId="0C3F8F6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878</w:t>
            </w:r>
          </w:p>
        </w:tc>
        <w:tc>
          <w:tcPr>
            <w:tcW w:w="774" w:type="dxa"/>
            <w:tcBorders>
              <w:top w:val="nil"/>
              <w:left w:val="nil"/>
              <w:bottom w:val="nil"/>
              <w:right w:val="nil"/>
            </w:tcBorders>
            <w:shd w:val="clear" w:color="auto" w:fill="auto"/>
            <w:noWrap/>
            <w:vAlign w:val="bottom"/>
            <w:hideMark/>
          </w:tcPr>
          <w:p w14:paraId="0C3F8F6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2738</w:t>
            </w:r>
          </w:p>
        </w:tc>
        <w:tc>
          <w:tcPr>
            <w:tcW w:w="641" w:type="dxa"/>
            <w:tcBorders>
              <w:top w:val="nil"/>
              <w:left w:val="nil"/>
              <w:bottom w:val="nil"/>
              <w:right w:val="nil"/>
            </w:tcBorders>
            <w:shd w:val="clear" w:color="auto" w:fill="auto"/>
            <w:noWrap/>
            <w:vAlign w:val="bottom"/>
            <w:hideMark/>
          </w:tcPr>
          <w:p w14:paraId="0C3F8F6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254</w:t>
            </w:r>
          </w:p>
        </w:tc>
        <w:tc>
          <w:tcPr>
            <w:tcW w:w="785" w:type="dxa"/>
            <w:tcBorders>
              <w:top w:val="nil"/>
              <w:left w:val="nil"/>
              <w:bottom w:val="nil"/>
              <w:right w:val="nil"/>
            </w:tcBorders>
            <w:shd w:val="clear" w:color="auto" w:fill="auto"/>
            <w:noWrap/>
            <w:vAlign w:val="bottom"/>
            <w:hideMark/>
          </w:tcPr>
          <w:p w14:paraId="0C3F8F6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505</w:t>
            </w:r>
          </w:p>
        </w:tc>
        <w:tc>
          <w:tcPr>
            <w:tcW w:w="912" w:type="dxa"/>
            <w:tcBorders>
              <w:top w:val="nil"/>
              <w:left w:val="nil"/>
              <w:bottom w:val="nil"/>
              <w:right w:val="nil"/>
            </w:tcBorders>
            <w:shd w:val="clear" w:color="000000" w:fill="F2DCDB"/>
            <w:noWrap/>
            <w:vAlign w:val="bottom"/>
            <w:hideMark/>
          </w:tcPr>
          <w:p w14:paraId="0C3F8F6B"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5806</w:t>
            </w:r>
          </w:p>
        </w:tc>
        <w:tc>
          <w:tcPr>
            <w:tcW w:w="912" w:type="dxa"/>
            <w:tcBorders>
              <w:top w:val="nil"/>
              <w:left w:val="nil"/>
              <w:bottom w:val="nil"/>
              <w:right w:val="single" w:sz="4" w:space="0" w:color="auto"/>
            </w:tcBorders>
            <w:shd w:val="clear" w:color="000000" w:fill="F2DCDB"/>
            <w:noWrap/>
            <w:vAlign w:val="bottom"/>
            <w:hideMark/>
          </w:tcPr>
          <w:p w14:paraId="0C3F8F6C"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c>
          <w:tcPr>
            <w:tcW w:w="723" w:type="dxa"/>
            <w:tcBorders>
              <w:top w:val="nil"/>
              <w:left w:val="nil"/>
              <w:bottom w:val="nil"/>
              <w:right w:val="nil"/>
            </w:tcBorders>
            <w:shd w:val="clear" w:color="auto" w:fill="auto"/>
            <w:noWrap/>
            <w:vAlign w:val="bottom"/>
            <w:hideMark/>
          </w:tcPr>
          <w:p w14:paraId="0C3F8F6D"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3372</w:t>
            </w:r>
          </w:p>
        </w:tc>
        <w:tc>
          <w:tcPr>
            <w:tcW w:w="918" w:type="dxa"/>
            <w:tcBorders>
              <w:top w:val="nil"/>
              <w:left w:val="nil"/>
              <w:bottom w:val="nil"/>
              <w:right w:val="nil"/>
            </w:tcBorders>
            <w:shd w:val="clear" w:color="auto" w:fill="auto"/>
            <w:noWrap/>
            <w:vAlign w:val="bottom"/>
            <w:hideMark/>
          </w:tcPr>
          <w:p w14:paraId="0C3F8F6E"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1928</w:t>
            </w:r>
          </w:p>
        </w:tc>
        <w:tc>
          <w:tcPr>
            <w:tcW w:w="622" w:type="dxa"/>
            <w:tcBorders>
              <w:top w:val="nil"/>
              <w:left w:val="nil"/>
              <w:bottom w:val="nil"/>
              <w:right w:val="nil"/>
            </w:tcBorders>
            <w:shd w:val="clear" w:color="auto" w:fill="auto"/>
            <w:noWrap/>
            <w:vAlign w:val="bottom"/>
            <w:hideMark/>
          </w:tcPr>
          <w:p w14:paraId="0C3F8F6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440</w:t>
            </w:r>
          </w:p>
        </w:tc>
        <w:tc>
          <w:tcPr>
            <w:tcW w:w="1028" w:type="dxa"/>
            <w:tcBorders>
              <w:top w:val="nil"/>
              <w:left w:val="nil"/>
              <w:bottom w:val="nil"/>
              <w:right w:val="nil"/>
            </w:tcBorders>
            <w:shd w:val="clear" w:color="auto" w:fill="auto"/>
            <w:noWrap/>
            <w:vAlign w:val="bottom"/>
            <w:hideMark/>
          </w:tcPr>
          <w:p w14:paraId="0C3F8F7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60</w:t>
            </w:r>
          </w:p>
        </w:tc>
        <w:tc>
          <w:tcPr>
            <w:tcW w:w="912" w:type="dxa"/>
            <w:tcBorders>
              <w:top w:val="nil"/>
              <w:left w:val="nil"/>
              <w:bottom w:val="nil"/>
              <w:right w:val="nil"/>
            </w:tcBorders>
            <w:shd w:val="clear" w:color="000000" w:fill="F2DCDB"/>
            <w:noWrap/>
            <w:vAlign w:val="bottom"/>
            <w:hideMark/>
          </w:tcPr>
          <w:p w14:paraId="0C3F8F71"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5801</w:t>
            </w:r>
          </w:p>
        </w:tc>
        <w:tc>
          <w:tcPr>
            <w:tcW w:w="912" w:type="dxa"/>
            <w:tcBorders>
              <w:top w:val="nil"/>
              <w:left w:val="nil"/>
              <w:bottom w:val="nil"/>
              <w:right w:val="single" w:sz="4" w:space="0" w:color="auto"/>
            </w:tcBorders>
            <w:shd w:val="clear" w:color="000000" w:fill="F2DCDB"/>
            <w:noWrap/>
            <w:vAlign w:val="bottom"/>
            <w:hideMark/>
          </w:tcPr>
          <w:p w14:paraId="0C3F8F72"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0</w:t>
            </w:r>
          </w:p>
        </w:tc>
      </w:tr>
      <w:tr w:rsidR="00B6457B" w:rsidRPr="00393ABA" w14:paraId="0C3F8F84" w14:textId="77777777" w:rsidTr="00393ABA">
        <w:trPr>
          <w:trHeight w:val="300"/>
        </w:trPr>
        <w:tc>
          <w:tcPr>
            <w:tcW w:w="1407" w:type="dxa"/>
            <w:vMerge/>
            <w:tcBorders>
              <w:top w:val="nil"/>
              <w:left w:val="single" w:sz="4" w:space="0" w:color="auto"/>
              <w:bottom w:val="nil"/>
              <w:right w:val="nil"/>
            </w:tcBorders>
            <w:vAlign w:val="center"/>
            <w:hideMark/>
          </w:tcPr>
          <w:p w14:paraId="0C3F8F74"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single" w:sz="4" w:space="0" w:color="auto"/>
              <w:bottom w:val="nil"/>
              <w:right w:val="single" w:sz="4" w:space="0" w:color="auto"/>
            </w:tcBorders>
            <w:shd w:val="clear" w:color="000000" w:fill="F2F2F2"/>
            <w:noWrap/>
            <w:vAlign w:val="center"/>
            <w:hideMark/>
          </w:tcPr>
          <w:p w14:paraId="0C3F8F75"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nil"/>
              <w:right w:val="single" w:sz="4" w:space="0" w:color="auto"/>
            </w:tcBorders>
            <w:shd w:val="clear" w:color="000000" w:fill="F2F2F2"/>
            <w:noWrap/>
            <w:vAlign w:val="bottom"/>
            <w:hideMark/>
          </w:tcPr>
          <w:p w14:paraId="0C3F8F76"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nil"/>
              <w:right w:val="nil"/>
            </w:tcBorders>
            <w:shd w:val="clear" w:color="auto" w:fill="auto"/>
            <w:noWrap/>
            <w:vAlign w:val="bottom"/>
            <w:hideMark/>
          </w:tcPr>
          <w:p w14:paraId="0C3F8F7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25%</w:t>
            </w:r>
          </w:p>
        </w:tc>
        <w:tc>
          <w:tcPr>
            <w:tcW w:w="804" w:type="dxa"/>
            <w:tcBorders>
              <w:top w:val="nil"/>
              <w:left w:val="nil"/>
              <w:bottom w:val="nil"/>
              <w:right w:val="nil"/>
            </w:tcBorders>
            <w:shd w:val="clear" w:color="auto" w:fill="auto"/>
            <w:noWrap/>
            <w:vAlign w:val="bottom"/>
            <w:hideMark/>
          </w:tcPr>
          <w:p w14:paraId="0C3F8F7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15%</w:t>
            </w:r>
          </w:p>
        </w:tc>
        <w:tc>
          <w:tcPr>
            <w:tcW w:w="774" w:type="dxa"/>
            <w:tcBorders>
              <w:top w:val="nil"/>
              <w:left w:val="nil"/>
              <w:bottom w:val="nil"/>
              <w:right w:val="nil"/>
            </w:tcBorders>
            <w:shd w:val="clear" w:color="auto" w:fill="auto"/>
            <w:noWrap/>
            <w:vAlign w:val="bottom"/>
            <w:hideMark/>
          </w:tcPr>
          <w:p w14:paraId="0C3F8F7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47%</w:t>
            </w:r>
          </w:p>
        </w:tc>
        <w:tc>
          <w:tcPr>
            <w:tcW w:w="641" w:type="dxa"/>
            <w:tcBorders>
              <w:top w:val="nil"/>
              <w:left w:val="nil"/>
              <w:bottom w:val="nil"/>
              <w:right w:val="nil"/>
            </w:tcBorders>
            <w:shd w:val="clear" w:color="auto" w:fill="auto"/>
            <w:noWrap/>
            <w:vAlign w:val="bottom"/>
            <w:hideMark/>
          </w:tcPr>
          <w:p w14:paraId="0C3F8F7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785" w:type="dxa"/>
            <w:tcBorders>
              <w:top w:val="nil"/>
              <w:left w:val="nil"/>
              <w:bottom w:val="nil"/>
              <w:right w:val="nil"/>
            </w:tcBorders>
            <w:shd w:val="clear" w:color="auto" w:fill="auto"/>
            <w:noWrap/>
            <w:vAlign w:val="bottom"/>
            <w:hideMark/>
          </w:tcPr>
          <w:p w14:paraId="0C3F8F7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9%</w:t>
            </w:r>
          </w:p>
        </w:tc>
        <w:tc>
          <w:tcPr>
            <w:tcW w:w="912" w:type="dxa"/>
            <w:tcBorders>
              <w:top w:val="nil"/>
              <w:left w:val="nil"/>
              <w:bottom w:val="nil"/>
              <w:right w:val="nil"/>
            </w:tcBorders>
            <w:shd w:val="clear" w:color="000000" w:fill="F2DCDB"/>
            <w:noWrap/>
            <w:vAlign w:val="bottom"/>
            <w:hideMark/>
          </w:tcPr>
          <w:p w14:paraId="0C3F8F7C"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nil"/>
            </w:tcBorders>
            <w:shd w:val="clear" w:color="000000" w:fill="F2DCDB"/>
            <w:noWrap/>
            <w:vAlign w:val="bottom"/>
            <w:hideMark/>
          </w:tcPr>
          <w:p w14:paraId="0C3F8F7D"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c>
          <w:tcPr>
            <w:tcW w:w="723" w:type="dxa"/>
            <w:tcBorders>
              <w:top w:val="nil"/>
              <w:left w:val="single" w:sz="4" w:space="0" w:color="auto"/>
              <w:bottom w:val="nil"/>
              <w:right w:val="nil"/>
            </w:tcBorders>
            <w:shd w:val="clear" w:color="auto" w:fill="auto"/>
            <w:noWrap/>
            <w:vAlign w:val="bottom"/>
            <w:hideMark/>
          </w:tcPr>
          <w:p w14:paraId="0C3F8F7E"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58%</w:t>
            </w:r>
          </w:p>
        </w:tc>
        <w:tc>
          <w:tcPr>
            <w:tcW w:w="918" w:type="dxa"/>
            <w:tcBorders>
              <w:top w:val="nil"/>
              <w:left w:val="nil"/>
              <w:bottom w:val="nil"/>
              <w:right w:val="nil"/>
            </w:tcBorders>
            <w:shd w:val="clear" w:color="auto" w:fill="auto"/>
            <w:noWrap/>
            <w:vAlign w:val="bottom"/>
            <w:hideMark/>
          </w:tcPr>
          <w:p w14:paraId="0C3F8F7F"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33%</w:t>
            </w:r>
          </w:p>
        </w:tc>
        <w:tc>
          <w:tcPr>
            <w:tcW w:w="622" w:type="dxa"/>
            <w:tcBorders>
              <w:top w:val="nil"/>
              <w:left w:val="nil"/>
              <w:bottom w:val="nil"/>
              <w:right w:val="nil"/>
            </w:tcBorders>
            <w:shd w:val="clear" w:color="auto" w:fill="auto"/>
            <w:noWrap/>
            <w:vAlign w:val="bottom"/>
            <w:hideMark/>
          </w:tcPr>
          <w:p w14:paraId="0C3F8F8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w:t>
            </w:r>
          </w:p>
        </w:tc>
        <w:tc>
          <w:tcPr>
            <w:tcW w:w="1028" w:type="dxa"/>
            <w:tcBorders>
              <w:top w:val="nil"/>
              <w:left w:val="nil"/>
              <w:bottom w:val="nil"/>
              <w:right w:val="nil"/>
            </w:tcBorders>
            <w:shd w:val="clear" w:color="auto" w:fill="auto"/>
            <w:noWrap/>
            <w:vAlign w:val="bottom"/>
            <w:hideMark/>
          </w:tcPr>
          <w:p w14:paraId="0C3F8F8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912" w:type="dxa"/>
            <w:tcBorders>
              <w:top w:val="nil"/>
              <w:left w:val="nil"/>
              <w:bottom w:val="nil"/>
              <w:right w:val="nil"/>
            </w:tcBorders>
            <w:shd w:val="clear" w:color="000000" w:fill="F2DCDB"/>
            <w:noWrap/>
            <w:vAlign w:val="bottom"/>
            <w:hideMark/>
          </w:tcPr>
          <w:p w14:paraId="0C3F8F82"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100%</w:t>
            </w:r>
          </w:p>
        </w:tc>
        <w:tc>
          <w:tcPr>
            <w:tcW w:w="912" w:type="dxa"/>
            <w:tcBorders>
              <w:top w:val="nil"/>
              <w:left w:val="nil"/>
              <w:bottom w:val="nil"/>
              <w:right w:val="single" w:sz="4" w:space="0" w:color="auto"/>
            </w:tcBorders>
            <w:shd w:val="clear" w:color="000000" w:fill="F2DCDB"/>
            <w:noWrap/>
            <w:vAlign w:val="bottom"/>
            <w:hideMark/>
          </w:tcPr>
          <w:p w14:paraId="0C3F8F83"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0%</w:t>
            </w:r>
          </w:p>
        </w:tc>
      </w:tr>
      <w:tr w:rsidR="00B6457B" w:rsidRPr="00393ABA" w14:paraId="0C3F8F95" w14:textId="77777777" w:rsidTr="00393ABA">
        <w:trPr>
          <w:trHeight w:val="300"/>
        </w:trPr>
        <w:tc>
          <w:tcPr>
            <w:tcW w:w="140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C3F8F85"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Burnett-Mary</w:t>
            </w:r>
          </w:p>
        </w:tc>
        <w:tc>
          <w:tcPr>
            <w:tcW w:w="1120" w:type="dxa"/>
            <w:tcBorders>
              <w:top w:val="nil"/>
              <w:left w:val="nil"/>
              <w:bottom w:val="nil"/>
              <w:right w:val="single" w:sz="4" w:space="0" w:color="auto"/>
            </w:tcBorders>
            <w:shd w:val="clear" w:color="000000" w:fill="F2F2F2"/>
            <w:noWrap/>
            <w:vAlign w:val="center"/>
            <w:hideMark/>
          </w:tcPr>
          <w:p w14:paraId="0C3F8F86"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 xml:space="preserve">area </w:t>
            </w:r>
          </w:p>
        </w:tc>
        <w:tc>
          <w:tcPr>
            <w:tcW w:w="820" w:type="dxa"/>
            <w:tcBorders>
              <w:top w:val="nil"/>
              <w:left w:val="nil"/>
              <w:bottom w:val="nil"/>
              <w:right w:val="single" w:sz="4" w:space="0" w:color="auto"/>
            </w:tcBorders>
            <w:shd w:val="clear" w:color="000000" w:fill="F2F2F2"/>
            <w:noWrap/>
            <w:vAlign w:val="bottom"/>
            <w:hideMark/>
          </w:tcPr>
          <w:p w14:paraId="0C3F8F87"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6374</w:t>
            </w:r>
          </w:p>
        </w:tc>
        <w:tc>
          <w:tcPr>
            <w:tcW w:w="735" w:type="dxa"/>
            <w:tcBorders>
              <w:top w:val="nil"/>
              <w:left w:val="nil"/>
              <w:bottom w:val="nil"/>
              <w:right w:val="nil"/>
            </w:tcBorders>
            <w:shd w:val="clear" w:color="auto" w:fill="auto"/>
            <w:noWrap/>
            <w:vAlign w:val="bottom"/>
            <w:hideMark/>
          </w:tcPr>
          <w:p w14:paraId="0C3F8F88"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5214</w:t>
            </w:r>
          </w:p>
        </w:tc>
        <w:tc>
          <w:tcPr>
            <w:tcW w:w="804" w:type="dxa"/>
            <w:tcBorders>
              <w:top w:val="nil"/>
              <w:left w:val="nil"/>
              <w:bottom w:val="nil"/>
              <w:right w:val="nil"/>
            </w:tcBorders>
            <w:shd w:val="clear" w:color="auto" w:fill="auto"/>
            <w:noWrap/>
            <w:vAlign w:val="bottom"/>
            <w:hideMark/>
          </w:tcPr>
          <w:p w14:paraId="0C3F8F89"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405</w:t>
            </w:r>
          </w:p>
        </w:tc>
        <w:tc>
          <w:tcPr>
            <w:tcW w:w="774" w:type="dxa"/>
            <w:tcBorders>
              <w:top w:val="nil"/>
              <w:left w:val="nil"/>
              <w:bottom w:val="nil"/>
              <w:right w:val="nil"/>
            </w:tcBorders>
            <w:shd w:val="clear" w:color="auto" w:fill="auto"/>
            <w:noWrap/>
            <w:vAlign w:val="bottom"/>
            <w:hideMark/>
          </w:tcPr>
          <w:p w14:paraId="0C3F8F8A"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305</w:t>
            </w:r>
          </w:p>
        </w:tc>
        <w:tc>
          <w:tcPr>
            <w:tcW w:w="641" w:type="dxa"/>
            <w:tcBorders>
              <w:top w:val="nil"/>
              <w:left w:val="nil"/>
              <w:bottom w:val="nil"/>
              <w:right w:val="nil"/>
            </w:tcBorders>
            <w:shd w:val="clear" w:color="auto" w:fill="auto"/>
            <w:noWrap/>
            <w:vAlign w:val="bottom"/>
            <w:hideMark/>
          </w:tcPr>
          <w:p w14:paraId="0C3F8F8B"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146</w:t>
            </w:r>
          </w:p>
        </w:tc>
        <w:tc>
          <w:tcPr>
            <w:tcW w:w="785" w:type="dxa"/>
            <w:tcBorders>
              <w:top w:val="nil"/>
              <w:left w:val="nil"/>
              <w:bottom w:val="nil"/>
              <w:right w:val="nil"/>
            </w:tcBorders>
            <w:shd w:val="clear" w:color="auto" w:fill="auto"/>
            <w:noWrap/>
            <w:vAlign w:val="bottom"/>
            <w:hideMark/>
          </w:tcPr>
          <w:p w14:paraId="0C3F8F8C"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226</w:t>
            </w:r>
          </w:p>
        </w:tc>
        <w:tc>
          <w:tcPr>
            <w:tcW w:w="912" w:type="dxa"/>
            <w:tcBorders>
              <w:top w:val="nil"/>
              <w:left w:val="nil"/>
              <w:bottom w:val="nil"/>
              <w:right w:val="nil"/>
            </w:tcBorders>
            <w:shd w:val="clear" w:color="000000" w:fill="F2DCDB"/>
            <w:noWrap/>
            <w:vAlign w:val="bottom"/>
            <w:hideMark/>
          </w:tcPr>
          <w:p w14:paraId="0C3F8F8D"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6296</w:t>
            </w:r>
          </w:p>
        </w:tc>
        <w:tc>
          <w:tcPr>
            <w:tcW w:w="912" w:type="dxa"/>
            <w:tcBorders>
              <w:top w:val="nil"/>
              <w:left w:val="nil"/>
              <w:bottom w:val="nil"/>
              <w:right w:val="single" w:sz="4" w:space="0" w:color="auto"/>
            </w:tcBorders>
            <w:shd w:val="clear" w:color="000000" w:fill="F2DCDB"/>
            <w:noWrap/>
            <w:vAlign w:val="bottom"/>
            <w:hideMark/>
          </w:tcPr>
          <w:p w14:paraId="0C3F8F8E"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78</w:t>
            </w:r>
          </w:p>
        </w:tc>
        <w:tc>
          <w:tcPr>
            <w:tcW w:w="723" w:type="dxa"/>
            <w:tcBorders>
              <w:top w:val="nil"/>
              <w:left w:val="nil"/>
              <w:bottom w:val="nil"/>
              <w:right w:val="nil"/>
            </w:tcBorders>
            <w:shd w:val="clear" w:color="auto" w:fill="auto"/>
            <w:noWrap/>
            <w:vAlign w:val="bottom"/>
            <w:hideMark/>
          </w:tcPr>
          <w:p w14:paraId="0C3F8F8F"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3392</w:t>
            </w:r>
          </w:p>
        </w:tc>
        <w:tc>
          <w:tcPr>
            <w:tcW w:w="918" w:type="dxa"/>
            <w:tcBorders>
              <w:top w:val="nil"/>
              <w:left w:val="nil"/>
              <w:bottom w:val="nil"/>
              <w:right w:val="nil"/>
            </w:tcBorders>
            <w:shd w:val="clear" w:color="auto" w:fill="auto"/>
            <w:noWrap/>
            <w:vAlign w:val="bottom"/>
            <w:hideMark/>
          </w:tcPr>
          <w:p w14:paraId="0C3F8F90"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2839</w:t>
            </w:r>
          </w:p>
        </w:tc>
        <w:tc>
          <w:tcPr>
            <w:tcW w:w="622" w:type="dxa"/>
            <w:tcBorders>
              <w:top w:val="nil"/>
              <w:left w:val="nil"/>
              <w:bottom w:val="nil"/>
              <w:right w:val="nil"/>
            </w:tcBorders>
            <w:shd w:val="clear" w:color="auto" w:fill="auto"/>
            <w:noWrap/>
            <w:vAlign w:val="bottom"/>
            <w:hideMark/>
          </w:tcPr>
          <w:p w14:paraId="0C3F8F91"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49</w:t>
            </w:r>
          </w:p>
        </w:tc>
        <w:tc>
          <w:tcPr>
            <w:tcW w:w="1028" w:type="dxa"/>
            <w:tcBorders>
              <w:top w:val="nil"/>
              <w:left w:val="nil"/>
              <w:bottom w:val="nil"/>
              <w:right w:val="nil"/>
            </w:tcBorders>
            <w:shd w:val="clear" w:color="auto" w:fill="auto"/>
            <w:noWrap/>
            <w:vAlign w:val="bottom"/>
            <w:hideMark/>
          </w:tcPr>
          <w:p w14:paraId="0C3F8F92" w14:textId="77777777" w:rsidR="00B6457B" w:rsidRPr="00393ABA" w:rsidRDefault="00B6457B" w:rsidP="00393ABA">
            <w:pPr>
              <w:spacing w:after="120"/>
              <w:jc w:val="center"/>
              <w:rPr>
                <w:rFonts w:ascii="Calibri" w:hAnsi="Calibri" w:cs="Calibri"/>
                <w:color w:val="000000"/>
                <w:sz w:val="20"/>
                <w:szCs w:val="20"/>
              </w:rPr>
            </w:pPr>
            <w:r w:rsidRPr="00393ABA">
              <w:rPr>
                <w:rFonts w:ascii="Calibri" w:hAnsi="Calibri" w:cs="Calibri"/>
                <w:color w:val="000000"/>
                <w:sz w:val="20"/>
                <w:szCs w:val="20"/>
              </w:rPr>
              <w:t>15</w:t>
            </w:r>
          </w:p>
        </w:tc>
        <w:tc>
          <w:tcPr>
            <w:tcW w:w="912" w:type="dxa"/>
            <w:tcBorders>
              <w:top w:val="nil"/>
              <w:left w:val="nil"/>
              <w:bottom w:val="nil"/>
              <w:right w:val="nil"/>
            </w:tcBorders>
            <w:shd w:val="clear" w:color="000000" w:fill="F2DCDB"/>
            <w:noWrap/>
            <w:vAlign w:val="bottom"/>
            <w:hideMark/>
          </w:tcPr>
          <w:p w14:paraId="0C3F8F93" w14:textId="77777777" w:rsidR="00B6457B" w:rsidRPr="00393ABA" w:rsidRDefault="00B6457B" w:rsidP="00393ABA">
            <w:pPr>
              <w:spacing w:after="120"/>
              <w:jc w:val="center"/>
              <w:rPr>
                <w:rFonts w:ascii="Calibri" w:hAnsi="Calibri" w:cs="Calibri"/>
                <w:b/>
                <w:bCs/>
                <w:sz w:val="20"/>
                <w:szCs w:val="20"/>
              </w:rPr>
            </w:pPr>
            <w:r w:rsidRPr="00393ABA">
              <w:rPr>
                <w:rFonts w:ascii="Calibri" w:hAnsi="Calibri" w:cs="Calibri"/>
                <w:b/>
                <w:bCs/>
                <w:sz w:val="20"/>
                <w:szCs w:val="20"/>
              </w:rPr>
              <w:t>6295</w:t>
            </w:r>
          </w:p>
        </w:tc>
        <w:tc>
          <w:tcPr>
            <w:tcW w:w="912" w:type="dxa"/>
            <w:tcBorders>
              <w:top w:val="nil"/>
              <w:left w:val="nil"/>
              <w:bottom w:val="nil"/>
              <w:right w:val="single" w:sz="4" w:space="0" w:color="auto"/>
            </w:tcBorders>
            <w:shd w:val="clear" w:color="000000" w:fill="F2DCDB"/>
            <w:noWrap/>
            <w:vAlign w:val="bottom"/>
            <w:hideMark/>
          </w:tcPr>
          <w:p w14:paraId="0C3F8F94" w14:textId="77777777" w:rsidR="00B6457B" w:rsidRPr="00393ABA" w:rsidRDefault="00B6457B" w:rsidP="00393ABA">
            <w:pPr>
              <w:spacing w:after="120"/>
              <w:jc w:val="center"/>
              <w:rPr>
                <w:rFonts w:ascii="Calibri" w:hAnsi="Calibri" w:cs="Calibri"/>
                <w:b/>
                <w:bCs/>
                <w:color w:val="000000"/>
                <w:sz w:val="20"/>
                <w:szCs w:val="20"/>
              </w:rPr>
            </w:pPr>
            <w:r w:rsidRPr="00393ABA">
              <w:rPr>
                <w:rFonts w:ascii="Calibri" w:hAnsi="Calibri" w:cs="Calibri"/>
                <w:b/>
                <w:bCs/>
                <w:color w:val="000000"/>
                <w:sz w:val="20"/>
                <w:szCs w:val="20"/>
              </w:rPr>
              <w:t>80</w:t>
            </w:r>
          </w:p>
        </w:tc>
      </w:tr>
      <w:tr w:rsidR="00B6457B" w:rsidRPr="00393ABA" w14:paraId="0C3F8FA6" w14:textId="77777777" w:rsidTr="00393ABA">
        <w:trPr>
          <w:trHeight w:val="300"/>
        </w:trPr>
        <w:tc>
          <w:tcPr>
            <w:tcW w:w="1407" w:type="dxa"/>
            <w:vMerge/>
            <w:tcBorders>
              <w:top w:val="nil"/>
              <w:left w:val="single" w:sz="4" w:space="0" w:color="auto"/>
              <w:bottom w:val="single" w:sz="4" w:space="0" w:color="000000"/>
              <w:right w:val="single" w:sz="4" w:space="0" w:color="auto"/>
            </w:tcBorders>
            <w:vAlign w:val="center"/>
            <w:hideMark/>
          </w:tcPr>
          <w:p w14:paraId="0C3F8F96" w14:textId="77777777" w:rsidR="00B6457B" w:rsidRPr="00393ABA" w:rsidRDefault="00B6457B" w:rsidP="00393ABA">
            <w:pPr>
              <w:spacing w:after="120"/>
              <w:jc w:val="left"/>
              <w:rPr>
                <w:rFonts w:ascii="Calibri" w:hAnsi="Calibri" w:cs="Calibri"/>
                <w:b/>
                <w:bCs/>
                <w:color w:val="000000"/>
                <w:sz w:val="20"/>
                <w:szCs w:val="20"/>
              </w:rPr>
            </w:pPr>
          </w:p>
        </w:tc>
        <w:tc>
          <w:tcPr>
            <w:tcW w:w="1120" w:type="dxa"/>
            <w:tcBorders>
              <w:top w:val="nil"/>
              <w:left w:val="nil"/>
              <w:bottom w:val="single" w:sz="4" w:space="0" w:color="auto"/>
              <w:right w:val="single" w:sz="4" w:space="0" w:color="auto"/>
            </w:tcBorders>
            <w:shd w:val="clear" w:color="000000" w:fill="F2F2F2"/>
            <w:noWrap/>
            <w:vAlign w:val="center"/>
            <w:hideMark/>
          </w:tcPr>
          <w:p w14:paraId="0C3F8F97"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w:t>
            </w:r>
          </w:p>
        </w:tc>
        <w:tc>
          <w:tcPr>
            <w:tcW w:w="820" w:type="dxa"/>
            <w:tcBorders>
              <w:top w:val="nil"/>
              <w:left w:val="nil"/>
              <w:bottom w:val="single" w:sz="4" w:space="0" w:color="auto"/>
              <w:right w:val="single" w:sz="4" w:space="0" w:color="auto"/>
            </w:tcBorders>
            <w:shd w:val="clear" w:color="000000" w:fill="F2F2F2"/>
            <w:noWrap/>
            <w:vAlign w:val="bottom"/>
            <w:hideMark/>
          </w:tcPr>
          <w:p w14:paraId="0C3F8F98"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100%</w:t>
            </w:r>
          </w:p>
        </w:tc>
        <w:tc>
          <w:tcPr>
            <w:tcW w:w="735" w:type="dxa"/>
            <w:tcBorders>
              <w:top w:val="nil"/>
              <w:left w:val="nil"/>
              <w:bottom w:val="single" w:sz="4" w:space="0" w:color="auto"/>
              <w:right w:val="nil"/>
            </w:tcBorders>
            <w:shd w:val="clear" w:color="auto" w:fill="auto"/>
            <w:noWrap/>
            <w:vAlign w:val="bottom"/>
            <w:hideMark/>
          </w:tcPr>
          <w:p w14:paraId="0C3F8F99"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82%</w:t>
            </w:r>
          </w:p>
        </w:tc>
        <w:tc>
          <w:tcPr>
            <w:tcW w:w="804" w:type="dxa"/>
            <w:tcBorders>
              <w:top w:val="nil"/>
              <w:left w:val="nil"/>
              <w:bottom w:val="single" w:sz="4" w:space="0" w:color="auto"/>
              <w:right w:val="nil"/>
            </w:tcBorders>
            <w:shd w:val="clear" w:color="auto" w:fill="auto"/>
            <w:noWrap/>
            <w:vAlign w:val="bottom"/>
            <w:hideMark/>
          </w:tcPr>
          <w:p w14:paraId="0C3F8F9A"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6%</w:t>
            </w:r>
          </w:p>
        </w:tc>
        <w:tc>
          <w:tcPr>
            <w:tcW w:w="774" w:type="dxa"/>
            <w:tcBorders>
              <w:top w:val="nil"/>
              <w:left w:val="nil"/>
              <w:bottom w:val="single" w:sz="4" w:space="0" w:color="auto"/>
              <w:right w:val="nil"/>
            </w:tcBorders>
            <w:shd w:val="clear" w:color="auto" w:fill="auto"/>
            <w:noWrap/>
            <w:vAlign w:val="bottom"/>
            <w:hideMark/>
          </w:tcPr>
          <w:p w14:paraId="0C3F8F9B"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w:t>
            </w:r>
          </w:p>
        </w:tc>
        <w:tc>
          <w:tcPr>
            <w:tcW w:w="641" w:type="dxa"/>
            <w:tcBorders>
              <w:top w:val="nil"/>
              <w:left w:val="nil"/>
              <w:bottom w:val="single" w:sz="4" w:space="0" w:color="auto"/>
              <w:right w:val="nil"/>
            </w:tcBorders>
            <w:shd w:val="clear" w:color="auto" w:fill="auto"/>
            <w:noWrap/>
            <w:vAlign w:val="bottom"/>
            <w:hideMark/>
          </w:tcPr>
          <w:p w14:paraId="0C3F8F9C"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2%</w:t>
            </w:r>
          </w:p>
        </w:tc>
        <w:tc>
          <w:tcPr>
            <w:tcW w:w="785" w:type="dxa"/>
            <w:tcBorders>
              <w:top w:val="nil"/>
              <w:left w:val="nil"/>
              <w:bottom w:val="single" w:sz="4" w:space="0" w:color="auto"/>
              <w:right w:val="nil"/>
            </w:tcBorders>
            <w:shd w:val="clear" w:color="auto" w:fill="auto"/>
            <w:noWrap/>
            <w:vAlign w:val="bottom"/>
            <w:hideMark/>
          </w:tcPr>
          <w:p w14:paraId="0C3F8F9D"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w:t>
            </w:r>
          </w:p>
        </w:tc>
        <w:tc>
          <w:tcPr>
            <w:tcW w:w="912" w:type="dxa"/>
            <w:tcBorders>
              <w:top w:val="nil"/>
              <w:left w:val="nil"/>
              <w:bottom w:val="single" w:sz="4" w:space="0" w:color="auto"/>
              <w:right w:val="nil"/>
            </w:tcBorders>
            <w:shd w:val="clear" w:color="000000" w:fill="F2DCDB"/>
            <w:noWrap/>
            <w:vAlign w:val="bottom"/>
            <w:hideMark/>
          </w:tcPr>
          <w:p w14:paraId="0C3F8F9E"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99%</w:t>
            </w:r>
          </w:p>
        </w:tc>
        <w:tc>
          <w:tcPr>
            <w:tcW w:w="912" w:type="dxa"/>
            <w:tcBorders>
              <w:top w:val="nil"/>
              <w:left w:val="nil"/>
              <w:bottom w:val="single" w:sz="4" w:space="0" w:color="auto"/>
              <w:right w:val="nil"/>
            </w:tcBorders>
            <w:shd w:val="clear" w:color="000000" w:fill="F2DCDB"/>
            <w:noWrap/>
            <w:vAlign w:val="bottom"/>
            <w:hideMark/>
          </w:tcPr>
          <w:p w14:paraId="0C3F8F9F"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w:t>
            </w:r>
          </w:p>
        </w:tc>
        <w:tc>
          <w:tcPr>
            <w:tcW w:w="723" w:type="dxa"/>
            <w:tcBorders>
              <w:top w:val="nil"/>
              <w:left w:val="single" w:sz="4" w:space="0" w:color="auto"/>
              <w:bottom w:val="single" w:sz="4" w:space="0" w:color="auto"/>
              <w:right w:val="nil"/>
            </w:tcBorders>
            <w:shd w:val="clear" w:color="auto" w:fill="auto"/>
            <w:noWrap/>
            <w:vAlign w:val="bottom"/>
            <w:hideMark/>
          </w:tcPr>
          <w:p w14:paraId="0C3F8FA0"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53%</w:t>
            </w:r>
          </w:p>
        </w:tc>
        <w:tc>
          <w:tcPr>
            <w:tcW w:w="918" w:type="dxa"/>
            <w:tcBorders>
              <w:top w:val="nil"/>
              <w:left w:val="nil"/>
              <w:bottom w:val="single" w:sz="4" w:space="0" w:color="auto"/>
              <w:right w:val="nil"/>
            </w:tcBorders>
            <w:shd w:val="clear" w:color="auto" w:fill="auto"/>
            <w:noWrap/>
            <w:vAlign w:val="bottom"/>
            <w:hideMark/>
          </w:tcPr>
          <w:p w14:paraId="0C3F8FA1"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45%</w:t>
            </w:r>
          </w:p>
        </w:tc>
        <w:tc>
          <w:tcPr>
            <w:tcW w:w="622" w:type="dxa"/>
            <w:tcBorders>
              <w:top w:val="nil"/>
              <w:left w:val="nil"/>
              <w:bottom w:val="single" w:sz="4" w:space="0" w:color="auto"/>
              <w:right w:val="nil"/>
            </w:tcBorders>
            <w:shd w:val="clear" w:color="auto" w:fill="auto"/>
            <w:noWrap/>
            <w:vAlign w:val="bottom"/>
            <w:hideMark/>
          </w:tcPr>
          <w:p w14:paraId="0C3F8FA2"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1%</w:t>
            </w:r>
          </w:p>
        </w:tc>
        <w:tc>
          <w:tcPr>
            <w:tcW w:w="1028" w:type="dxa"/>
            <w:tcBorders>
              <w:top w:val="nil"/>
              <w:left w:val="nil"/>
              <w:bottom w:val="single" w:sz="4" w:space="0" w:color="auto"/>
              <w:right w:val="nil"/>
            </w:tcBorders>
            <w:shd w:val="clear" w:color="auto" w:fill="auto"/>
            <w:noWrap/>
            <w:vAlign w:val="bottom"/>
            <w:hideMark/>
          </w:tcPr>
          <w:p w14:paraId="0C3F8FA3" w14:textId="77777777" w:rsidR="00B6457B" w:rsidRPr="00393ABA" w:rsidRDefault="00B6457B" w:rsidP="00393ABA">
            <w:pPr>
              <w:spacing w:after="120"/>
              <w:jc w:val="center"/>
              <w:rPr>
                <w:rFonts w:ascii="Calibri" w:hAnsi="Calibri" w:cs="Calibri"/>
                <w:i/>
                <w:iCs/>
                <w:color w:val="000000"/>
                <w:sz w:val="20"/>
                <w:szCs w:val="20"/>
              </w:rPr>
            </w:pPr>
            <w:r w:rsidRPr="00393ABA">
              <w:rPr>
                <w:rFonts w:ascii="Calibri" w:hAnsi="Calibri" w:cs="Calibri"/>
                <w:i/>
                <w:iCs/>
                <w:color w:val="000000"/>
                <w:sz w:val="20"/>
                <w:szCs w:val="20"/>
              </w:rPr>
              <w:t>0%</w:t>
            </w:r>
          </w:p>
        </w:tc>
        <w:tc>
          <w:tcPr>
            <w:tcW w:w="912" w:type="dxa"/>
            <w:tcBorders>
              <w:top w:val="nil"/>
              <w:left w:val="nil"/>
              <w:bottom w:val="single" w:sz="4" w:space="0" w:color="auto"/>
              <w:right w:val="nil"/>
            </w:tcBorders>
            <w:shd w:val="clear" w:color="000000" w:fill="F2DCDB"/>
            <w:noWrap/>
            <w:vAlign w:val="bottom"/>
            <w:hideMark/>
          </w:tcPr>
          <w:p w14:paraId="0C3F8FA4"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99%</w:t>
            </w:r>
          </w:p>
        </w:tc>
        <w:tc>
          <w:tcPr>
            <w:tcW w:w="912" w:type="dxa"/>
            <w:tcBorders>
              <w:top w:val="nil"/>
              <w:left w:val="nil"/>
              <w:bottom w:val="single" w:sz="4" w:space="0" w:color="auto"/>
              <w:right w:val="single" w:sz="4" w:space="0" w:color="auto"/>
            </w:tcBorders>
            <w:shd w:val="clear" w:color="000000" w:fill="F2DCDB"/>
            <w:noWrap/>
            <w:vAlign w:val="bottom"/>
            <w:hideMark/>
          </w:tcPr>
          <w:p w14:paraId="0C3F8FA5" w14:textId="77777777" w:rsidR="00B6457B" w:rsidRPr="00393ABA" w:rsidRDefault="00B6457B" w:rsidP="00393ABA">
            <w:pPr>
              <w:spacing w:after="120"/>
              <w:jc w:val="center"/>
              <w:rPr>
                <w:rFonts w:ascii="Calibri" w:hAnsi="Calibri" w:cs="Calibri"/>
                <w:b/>
                <w:bCs/>
                <w:i/>
                <w:iCs/>
                <w:sz w:val="20"/>
                <w:szCs w:val="20"/>
              </w:rPr>
            </w:pPr>
            <w:r w:rsidRPr="00393ABA">
              <w:rPr>
                <w:rFonts w:ascii="Calibri" w:hAnsi="Calibri" w:cs="Calibri"/>
                <w:b/>
                <w:bCs/>
                <w:i/>
                <w:iCs/>
                <w:sz w:val="20"/>
                <w:szCs w:val="20"/>
              </w:rPr>
              <w:t>1%</w:t>
            </w:r>
          </w:p>
        </w:tc>
      </w:tr>
    </w:tbl>
    <w:p w14:paraId="0C3F8FA7" w14:textId="77777777" w:rsidR="00605DDA" w:rsidRDefault="00605DDA" w:rsidP="00B6457B">
      <w:pPr>
        <w:spacing w:after="120" w:line="276" w:lineRule="auto"/>
        <w:jc w:val="left"/>
        <w:rPr>
          <w:rFonts w:ascii="Calibri" w:eastAsia="Calibri" w:hAnsi="Calibri" w:cs="Times New Roman"/>
          <w:lang w:eastAsia="en-US"/>
        </w:rPr>
        <w:sectPr w:rsidR="00605DDA" w:rsidSect="00393ABA">
          <w:pgSz w:w="16838" w:h="11906" w:orient="landscape"/>
          <w:pgMar w:top="1440" w:right="1440" w:bottom="1440" w:left="1440" w:header="709" w:footer="709" w:gutter="0"/>
          <w:cols w:space="708"/>
          <w:docGrid w:linePitch="360"/>
        </w:sectPr>
      </w:pPr>
    </w:p>
    <w:p w14:paraId="0C3F8FA8" w14:textId="77777777" w:rsidR="00605DDA" w:rsidRDefault="00605DDA" w:rsidP="003864A1">
      <w:pPr>
        <w:pStyle w:val="Heading1"/>
      </w:pPr>
    </w:p>
    <w:sectPr w:rsidR="00605DDA" w:rsidSect="00605DDA">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F905E" w14:textId="77777777" w:rsidR="007E5BBF" w:rsidRDefault="007E5BBF" w:rsidP="006424EB">
      <w:r>
        <w:separator/>
      </w:r>
    </w:p>
  </w:endnote>
  <w:endnote w:type="continuationSeparator" w:id="0">
    <w:p w14:paraId="0C3F905F" w14:textId="77777777" w:rsidR="007E5BBF" w:rsidRDefault="007E5BBF" w:rsidP="006424EB">
      <w:r>
        <w:continuationSeparator/>
      </w:r>
    </w:p>
  </w:endnote>
  <w:endnote w:type="continuationNotice" w:id="1">
    <w:p w14:paraId="0C3F9060" w14:textId="77777777" w:rsidR="007E5BBF" w:rsidRDefault="007E5BB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yriad Pro">
    <w:altName w:val="Arial"/>
    <w:panose1 w:val="00000000000000000000"/>
    <w:charset w:val="00"/>
    <w:family w:val="swiss"/>
    <w:notTrueType/>
    <w:pitch w:val="variable"/>
    <w:sig w:usb0="00000001" w:usb1="00000001" w:usb2="00000000" w:usb3="00000000" w:csb0="0000019F" w:csb1="00000000"/>
  </w:font>
  <w:font w:name="Frutiger LT Std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2" w14:textId="77777777" w:rsidR="007E5BBF" w:rsidRPr="0024505B" w:rsidRDefault="007E5BBF" w:rsidP="006424EB">
    <w:pPr>
      <w:pStyle w:val="Footer"/>
      <w:rPr>
        <w:lang w:val="en-US"/>
      </w:rPr>
    </w:pPr>
    <w:r w:rsidRPr="0024505B">
      <w:rPr>
        <w:lang w:val="en-US"/>
      </w:rPr>
      <w:t>Australian Centre for Tropical Freshwater Research</w:t>
    </w:r>
    <w:r w:rsidRPr="0024505B">
      <w:rPr>
        <w:lang w:val="en-US"/>
      </w:rPr>
      <w:tab/>
    </w:r>
    <w:r w:rsidRPr="0024505B">
      <w:rPr>
        <w:lang w:val="en-US"/>
      </w:rPr>
      <w:tab/>
      <w:t xml:space="preserve">Page </w:t>
    </w:r>
    <w:r w:rsidRPr="0024505B">
      <w:rPr>
        <w:rStyle w:val="PageNumber"/>
        <w:rFonts w:ascii="Arial" w:hAnsi="Arial" w:cs="Arial"/>
        <w:sz w:val="16"/>
        <w:szCs w:val="16"/>
      </w:rPr>
      <w:fldChar w:fldCharType="begin"/>
    </w:r>
    <w:r w:rsidRPr="0024505B">
      <w:rPr>
        <w:rStyle w:val="PageNumber"/>
        <w:rFonts w:ascii="Arial" w:hAnsi="Arial" w:cs="Arial"/>
        <w:sz w:val="16"/>
        <w:szCs w:val="16"/>
      </w:rPr>
      <w:instrText xml:space="preserve"> PAGE </w:instrText>
    </w:r>
    <w:r w:rsidRPr="0024505B">
      <w:rPr>
        <w:rStyle w:val="PageNumber"/>
        <w:rFonts w:ascii="Arial" w:hAnsi="Arial" w:cs="Arial"/>
        <w:sz w:val="16"/>
        <w:szCs w:val="16"/>
      </w:rPr>
      <w:fldChar w:fldCharType="separate"/>
    </w:r>
    <w:r>
      <w:rPr>
        <w:rStyle w:val="PageNumber"/>
        <w:rFonts w:ascii="Arial" w:hAnsi="Arial" w:cs="Arial"/>
        <w:noProof/>
        <w:sz w:val="16"/>
        <w:szCs w:val="16"/>
      </w:rPr>
      <w:t>1</w:t>
    </w:r>
    <w:r w:rsidRPr="0024505B">
      <w:rPr>
        <w:rStyle w:val="PageNumber"/>
        <w:rFonts w:ascii="Arial" w:hAnsi="Arial" w:cs="Arial"/>
        <w:sz w:val="16"/>
        <w:szCs w:val="1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345206"/>
      <w:docPartObj>
        <w:docPartGallery w:val="Page Numbers (Bottom of Page)"/>
        <w:docPartUnique/>
      </w:docPartObj>
    </w:sdtPr>
    <w:sdtEndPr>
      <w:rPr>
        <w:noProof/>
      </w:rPr>
    </w:sdtEndPr>
    <w:sdtContent>
      <w:p w14:paraId="0C3F9077" w14:textId="77777777" w:rsidR="007E5BBF" w:rsidRDefault="007E5BBF">
        <w:pPr>
          <w:pStyle w:val="Footer"/>
          <w:jc w:val="right"/>
        </w:pPr>
        <w:r>
          <w:fldChar w:fldCharType="begin"/>
        </w:r>
        <w:r>
          <w:instrText xml:space="preserve"> PAGE   \* MERGEFORMAT </w:instrText>
        </w:r>
        <w:r>
          <w:fldChar w:fldCharType="separate"/>
        </w:r>
        <w:r w:rsidR="00B62B50">
          <w:rPr>
            <w:noProof/>
          </w:rPr>
          <w:t>114</w:t>
        </w:r>
        <w:r>
          <w:rPr>
            <w:noProof/>
          </w:rPr>
          <w:fldChar w:fldCharType="end"/>
        </w:r>
      </w:p>
    </w:sdtContent>
  </w:sdt>
  <w:p w14:paraId="0C3F9078" w14:textId="77777777" w:rsidR="007E5BBF" w:rsidRDefault="007E5BBF">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869186"/>
      <w:docPartObj>
        <w:docPartGallery w:val="Page Numbers (Bottom of Page)"/>
        <w:docPartUnique/>
      </w:docPartObj>
    </w:sdtPr>
    <w:sdtEndPr>
      <w:rPr>
        <w:noProof/>
      </w:rPr>
    </w:sdtEndPr>
    <w:sdtContent>
      <w:p w14:paraId="0C3F9079" w14:textId="77777777" w:rsidR="007E5BBF" w:rsidRDefault="007E5BBF">
        <w:pPr>
          <w:pStyle w:val="Footer"/>
          <w:jc w:val="right"/>
        </w:pPr>
        <w:r>
          <w:fldChar w:fldCharType="begin"/>
        </w:r>
        <w:r>
          <w:instrText xml:space="preserve"> PAGE   \* MERGEFORMAT </w:instrText>
        </w:r>
        <w:r>
          <w:fldChar w:fldCharType="separate"/>
        </w:r>
        <w:r w:rsidR="00B62B50">
          <w:rPr>
            <w:noProof/>
          </w:rPr>
          <w:t>126</w:t>
        </w:r>
        <w:r>
          <w:rPr>
            <w:noProof/>
          </w:rPr>
          <w:fldChar w:fldCharType="end"/>
        </w:r>
      </w:p>
    </w:sdtContent>
  </w:sdt>
  <w:p w14:paraId="0C3F907A" w14:textId="77777777" w:rsidR="007E5BBF" w:rsidRDefault="007E5B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3" w14:textId="77777777" w:rsidR="007E5BBF" w:rsidRPr="002C6A6F" w:rsidRDefault="007E5BBF" w:rsidP="0083263F">
    <w:pPr>
      <w:pStyle w:val="Footer"/>
      <w:rPr>
        <w:rFonts w:ascii="Frutiger LT Std 45 Light" w:hAnsi="Frutiger LT Std 45 Light"/>
      </w:rPr>
    </w:pPr>
    <w:r w:rsidRPr="002C6A6F">
      <w:rPr>
        <w:rStyle w:val="PageNumber"/>
        <w:rFonts w:ascii="Frutiger LT Std 45 Light" w:hAnsi="Frutiger LT Std 45 Light"/>
      </w:rPr>
      <w:fldChar w:fldCharType="begin"/>
    </w:r>
    <w:r w:rsidRPr="002C6A6F">
      <w:rPr>
        <w:rStyle w:val="PageNumber"/>
        <w:rFonts w:ascii="Frutiger LT Std 45 Light" w:hAnsi="Frutiger LT Std 45 Light"/>
      </w:rPr>
      <w:instrText xml:space="preserve"> PAGE </w:instrText>
    </w:r>
    <w:r w:rsidRPr="002C6A6F">
      <w:rPr>
        <w:rStyle w:val="PageNumber"/>
        <w:rFonts w:ascii="Frutiger LT Std 45 Light" w:hAnsi="Frutiger LT Std 45 Light"/>
      </w:rPr>
      <w:fldChar w:fldCharType="separate"/>
    </w:r>
    <w:r>
      <w:rPr>
        <w:rStyle w:val="PageNumber"/>
        <w:rFonts w:ascii="Frutiger LT Std 45 Light" w:hAnsi="Frutiger LT Std 45 Light"/>
        <w:noProof/>
      </w:rPr>
      <w:t>2</w:t>
    </w:r>
    <w:r w:rsidRPr="002C6A6F">
      <w:rPr>
        <w:rStyle w:val="PageNumber"/>
        <w:rFonts w:ascii="Frutiger LT Std 45 Light" w:hAnsi="Frutiger LT Std 45 Light"/>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451369"/>
      <w:docPartObj>
        <w:docPartGallery w:val="Page Numbers (Bottom of Page)"/>
        <w:docPartUnique/>
      </w:docPartObj>
    </w:sdtPr>
    <w:sdtEndPr>
      <w:rPr>
        <w:noProof/>
      </w:rPr>
    </w:sdtEndPr>
    <w:sdtContent>
      <w:p w14:paraId="0C3F9064" w14:textId="77777777" w:rsidR="007E5BBF" w:rsidRDefault="007E5BBF">
        <w:pPr>
          <w:pStyle w:val="Footer"/>
          <w:jc w:val="center"/>
        </w:pPr>
        <w:r>
          <w:fldChar w:fldCharType="begin"/>
        </w:r>
        <w:r>
          <w:instrText xml:space="preserve"> PAGE   \* MERGEFORMAT </w:instrText>
        </w:r>
        <w:r>
          <w:fldChar w:fldCharType="separate"/>
        </w:r>
        <w:r w:rsidR="00A2755C">
          <w:rPr>
            <w:noProof/>
          </w:rPr>
          <w:t>xii</w:t>
        </w:r>
        <w:r>
          <w:rPr>
            <w:noProof/>
          </w:rPr>
          <w:fldChar w:fldCharType="end"/>
        </w:r>
      </w:p>
    </w:sdtContent>
  </w:sdt>
  <w:p w14:paraId="0C3F9065" w14:textId="77777777" w:rsidR="007E5BBF" w:rsidRDefault="007E5BBF" w:rsidP="0083263F">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696448"/>
      <w:docPartObj>
        <w:docPartGallery w:val="Page Numbers (Bottom of Page)"/>
        <w:docPartUnique/>
      </w:docPartObj>
    </w:sdtPr>
    <w:sdtEndPr>
      <w:rPr>
        <w:noProof/>
      </w:rPr>
    </w:sdtEndPr>
    <w:sdtContent>
      <w:p w14:paraId="0C3F9067" w14:textId="77777777" w:rsidR="007E5BBF" w:rsidRDefault="007E5BBF">
        <w:pPr>
          <w:pStyle w:val="Footer"/>
          <w:jc w:val="right"/>
        </w:pPr>
        <w:r>
          <w:fldChar w:fldCharType="begin"/>
        </w:r>
        <w:r>
          <w:instrText xml:space="preserve"> PAGE  \* Arabic  \* MERGEFORMAT </w:instrText>
        </w:r>
        <w:r>
          <w:fldChar w:fldCharType="separate"/>
        </w:r>
        <w:r w:rsidR="00A2755C">
          <w:rPr>
            <w:noProof/>
          </w:rPr>
          <w:t>8</w:t>
        </w:r>
        <w:r>
          <w:fldChar w:fldCharType="end"/>
        </w:r>
      </w:p>
    </w:sdtContent>
  </w:sdt>
  <w:p w14:paraId="0C3F9068" w14:textId="77777777" w:rsidR="007E5BBF" w:rsidRDefault="007E5BB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649679"/>
      <w:docPartObj>
        <w:docPartGallery w:val="Page Numbers (Bottom of Page)"/>
        <w:docPartUnique/>
      </w:docPartObj>
    </w:sdtPr>
    <w:sdtEndPr>
      <w:rPr>
        <w:noProof/>
      </w:rPr>
    </w:sdtEndPr>
    <w:sdtContent>
      <w:p w14:paraId="0C3F906A" w14:textId="77777777" w:rsidR="007E5BBF" w:rsidRDefault="007E5BBF">
        <w:pPr>
          <w:pStyle w:val="Footer"/>
          <w:jc w:val="center"/>
        </w:pPr>
        <w:r>
          <w:fldChar w:fldCharType="begin"/>
        </w:r>
        <w:r>
          <w:instrText xml:space="preserve"> PAGE   \* MERGEFORMAT </w:instrText>
        </w:r>
        <w:r>
          <w:fldChar w:fldCharType="separate"/>
        </w:r>
        <w:r w:rsidR="00A2755C">
          <w:rPr>
            <w:noProof/>
          </w:rPr>
          <w:t>13</w:t>
        </w:r>
        <w:r>
          <w:rPr>
            <w:noProof/>
          </w:rPr>
          <w:fldChar w:fldCharType="end"/>
        </w:r>
      </w:p>
    </w:sdtContent>
  </w:sdt>
  <w:p w14:paraId="0C3F906B" w14:textId="77777777" w:rsidR="007E5BBF" w:rsidRPr="00273078" w:rsidRDefault="007E5BBF" w:rsidP="00507ABB">
    <w:pPr>
      <w:pStyle w:val="Footer"/>
      <w:jc w:val="right"/>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719242"/>
      <w:docPartObj>
        <w:docPartGallery w:val="Page Numbers (Bottom of Page)"/>
        <w:docPartUnique/>
      </w:docPartObj>
    </w:sdtPr>
    <w:sdtEndPr>
      <w:rPr>
        <w:noProof/>
      </w:rPr>
    </w:sdtEndPr>
    <w:sdtContent>
      <w:p w14:paraId="0C3F906D" w14:textId="77777777" w:rsidR="007E5BBF" w:rsidRDefault="007E5BBF">
        <w:pPr>
          <w:pStyle w:val="Footer"/>
          <w:jc w:val="right"/>
        </w:pPr>
        <w:r>
          <w:fldChar w:fldCharType="begin"/>
        </w:r>
        <w:r>
          <w:instrText xml:space="preserve"> PAGE  \* Arabic  \* MERGEFORMAT </w:instrText>
        </w:r>
        <w:r>
          <w:fldChar w:fldCharType="separate"/>
        </w:r>
        <w:r w:rsidR="00A2755C">
          <w:rPr>
            <w:noProof/>
          </w:rPr>
          <w:t>15</w:t>
        </w:r>
        <w:r>
          <w:fldChar w:fldCharType="end"/>
        </w:r>
      </w:p>
    </w:sdtContent>
  </w:sdt>
  <w:p w14:paraId="0C3F906E" w14:textId="77777777" w:rsidR="007E5BBF" w:rsidRDefault="007E5BB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859228"/>
      <w:docPartObj>
        <w:docPartGallery w:val="Page Numbers (Bottom of Page)"/>
        <w:docPartUnique/>
      </w:docPartObj>
    </w:sdtPr>
    <w:sdtEndPr>
      <w:rPr>
        <w:noProof/>
      </w:rPr>
    </w:sdtEndPr>
    <w:sdtContent>
      <w:p w14:paraId="0C3F9070" w14:textId="77777777" w:rsidR="00B62B50" w:rsidRDefault="00B62B50">
        <w:pPr>
          <w:pStyle w:val="Footer"/>
          <w:jc w:val="right"/>
        </w:pPr>
        <w:r>
          <w:rPr>
            <w:noProof/>
          </w:rPr>
          <w:t>24</w:t>
        </w:r>
      </w:p>
    </w:sdtContent>
  </w:sdt>
  <w:p w14:paraId="0C3F9071" w14:textId="77777777" w:rsidR="00B62B50" w:rsidRDefault="00B62B5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0283145"/>
      <w:docPartObj>
        <w:docPartGallery w:val="Page Numbers (Bottom of Page)"/>
        <w:docPartUnique/>
      </w:docPartObj>
    </w:sdtPr>
    <w:sdtEndPr>
      <w:rPr>
        <w:noProof/>
      </w:rPr>
    </w:sdtEndPr>
    <w:sdtContent>
      <w:p w14:paraId="0C3F9073" w14:textId="77777777" w:rsidR="00B62B50" w:rsidRDefault="00B62B50">
        <w:pPr>
          <w:pStyle w:val="Footer"/>
          <w:jc w:val="right"/>
        </w:pPr>
        <w:r>
          <w:rPr>
            <w:noProof/>
          </w:rPr>
          <w:t>24</w:t>
        </w:r>
      </w:p>
    </w:sdtContent>
  </w:sdt>
  <w:p w14:paraId="0C3F9074" w14:textId="77777777" w:rsidR="00B62B50" w:rsidRDefault="00B62B5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686912"/>
      <w:docPartObj>
        <w:docPartGallery w:val="Page Numbers (Bottom of Page)"/>
        <w:docPartUnique/>
      </w:docPartObj>
    </w:sdtPr>
    <w:sdtEndPr>
      <w:rPr>
        <w:noProof/>
      </w:rPr>
    </w:sdtEndPr>
    <w:sdtContent>
      <w:p w14:paraId="0C3F9075" w14:textId="77777777" w:rsidR="007E5BBF" w:rsidRDefault="007E5BBF" w:rsidP="0058526F">
        <w:pPr>
          <w:pStyle w:val="Footer"/>
          <w:jc w:val="center"/>
        </w:pPr>
        <w:r>
          <w:fldChar w:fldCharType="begin"/>
        </w:r>
        <w:r>
          <w:instrText xml:space="preserve"> PAGE   \* MERGEFORMAT </w:instrText>
        </w:r>
        <w:r>
          <w:fldChar w:fldCharType="separate"/>
        </w:r>
        <w:r w:rsidR="00B62B50">
          <w:rPr>
            <w:noProof/>
          </w:rPr>
          <w:t>28</w:t>
        </w:r>
        <w:r>
          <w:rPr>
            <w:noProof/>
          </w:rPr>
          <w:fldChar w:fldCharType="end"/>
        </w:r>
      </w:p>
    </w:sdtContent>
  </w:sdt>
  <w:p w14:paraId="0C3F9076" w14:textId="77777777" w:rsidR="007E5BBF" w:rsidRPr="0058526F" w:rsidRDefault="007E5BBF" w:rsidP="005852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F905B" w14:textId="77777777" w:rsidR="007E5BBF" w:rsidRDefault="007E5BBF" w:rsidP="006424EB">
      <w:r>
        <w:separator/>
      </w:r>
    </w:p>
  </w:footnote>
  <w:footnote w:type="continuationSeparator" w:id="0">
    <w:p w14:paraId="0C3F905C" w14:textId="77777777" w:rsidR="007E5BBF" w:rsidRDefault="007E5BBF" w:rsidP="006424EB">
      <w:r>
        <w:continuationSeparator/>
      </w:r>
    </w:p>
  </w:footnote>
  <w:footnote w:type="continuationNotice" w:id="1">
    <w:p w14:paraId="0C3F905D" w14:textId="77777777" w:rsidR="007E5BBF" w:rsidRDefault="007E5BBF">
      <w:pPr>
        <w:spacing w:before="0" w:after="0"/>
      </w:pPr>
    </w:p>
  </w:footnote>
  <w:footnote w:id="2">
    <w:p w14:paraId="0C3F907B" w14:textId="77777777" w:rsidR="007E5BBF" w:rsidRPr="00C97CC0" w:rsidRDefault="007E5BBF" w:rsidP="00131E41">
      <w:pPr>
        <w:pStyle w:val="FootnoteText"/>
        <w:rPr>
          <w:lang w:val="en-US"/>
        </w:rPr>
      </w:pPr>
      <w:r>
        <w:rPr>
          <w:rStyle w:val="FootnoteReference"/>
        </w:rPr>
        <w:footnoteRef/>
      </w:r>
      <w:r>
        <w:t xml:space="preserve"> </w:t>
      </w:r>
      <w:r w:rsidRPr="00EB770E">
        <w:rPr>
          <w:rFonts w:eastAsia="Calibri"/>
        </w:rPr>
        <w:t>2012 and 2013 load data were not yet availabl</w:t>
      </w:r>
      <w:r>
        <w:rPr>
          <w:rFonts w:eastAsia="Calibri"/>
        </w:rPr>
        <w:t>e at the time of this report</w:t>
      </w:r>
      <w:r w:rsidRPr="00EB770E">
        <w:rPr>
          <w:rFonts w:eastAsia="Calibri"/>
        </w:rPr>
        <w:t>.</w:t>
      </w:r>
    </w:p>
  </w:footnote>
  <w:footnote w:id="3">
    <w:p w14:paraId="0C3F907C" w14:textId="77777777" w:rsidR="007E5BBF" w:rsidRPr="00CF0CFC" w:rsidRDefault="007E5BBF" w:rsidP="00131E41">
      <w:pPr>
        <w:pStyle w:val="FootnoteText"/>
        <w:rPr>
          <w:lang w:val="en-US"/>
        </w:rPr>
      </w:pPr>
      <w:r>
        <w:rPr>
          <w:rStyle w:val="FootnoteReference"/>
        </w:rPr>
        <w:footnoteRef/>
      </w:r>
      <w:r>
        <w:t xml:space="preserve"> </w:t>
      </w:r>
      <w:r w:rsidRPr="00DF1C49">
        <w:rPr>
          <w:rFonts w:eastAsia="Calibri"/>
        </w:rPr>
        <w:t>Jenks</w:t>
      </w:r>
      <w:r>
        <w:rPr>
          <w:rFonts w:eastAsia="Calibri"/>
        </w:rPr>
        <w:t xml:space="preserve"> classification is embedded in ArcGIS as</w:t>
      </w:r>
      <w:r w:rsidRPr="00DF1C49">
        <w:rPr>
          <w:rFonts w:eastAsia="Calibri"/>
        </w:rPr>
        <w:t xml:space="preserve"> a statistical procedure that analyses the distribution of values in the data and finds the most evident breaks in it. Note that breaks of the TC method are in weeks while breaks of the L2 method are in days.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1" w14:textId="77777777" w:rsidR="007E5BBF" w:rsidRPr="0024505B" w:rsidRDefault="007E5BBF" w:rsidP="006424EB">
    <w:r w:rsidRPr="0024505B">
      <w:t>Dry Season Limnological Monitoring Program for Birla Mount Gordon Mine</w:t>
    </w:r>
    <w:r>
      <w:t xml:space="preserve"> - </w:t>
    </w:r>
    <w:r w:rsidRPr="0024505B">
      <w:t>ACTFR Proposal 05/05, April 2005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6" w14:textId="77777777" w:rsidR="007E5BBF" w:rsidRDefault="007E5B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9" w14:textId="77777777" w:rsidR="007E5BBF" w:rsidRPr="00273078" w:rsidRDefault="007E5BBF" w:rsidP="00821EED">
    <w:pPr>
      <w:spacing w:before="0" w:after="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C" w14:textId="77777777" w:rsidR="007E5BBF" w:rsidRDefault="007E5BB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6F" w14:textId="77777777" w:rsidR="00B62B50" w:rsidRDefault="00B62B5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F9072" w14:textId="77777777" w:rsidR="00B62B50" w:rsidRDefault="00B62B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AC3F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D841BD"/>
    <w:multiLevelType w:val="hybridMultilevel"/>
    <w:tmpl w:val="FF6C7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D4F32"/>
    <w:multiLevelType w:val="hybridMultilevel"/>
    <w:tmpl w:val="D5280500"/>
    <w:lvl w:ilvl="0" w:tplc="535A2364">
      <w:start w:val="1"/>
      <w:numFmt w:val="bullet"/>
      <w:pStyle w:val="Do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3A0140"/>
    <w:multiLevelType w:val="multilevel"/>
    <w:tmpl w:val="69BA84E8"/>
    <w:lvl w:ilvl="0">
      <w:start w:val="4"/>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130F53AC"/>
    <w:multiLevelType w:val="hybridMultilevel"/>
    <w:tmpl w:val="8C5E92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225DD"/>
    <w:multiLevelType w:val="hybridMultilevel"/>
    <w:tmpl w:val="72D23D48"/>
    <w:lvl w:ilvl="0" w:tplc="C7D83F6A">
      <w:start w:val="1"/>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E7705F"/>
    <w:multiLevelType w:val="hybridMultilevel"/>
    <w:tmpl w:val="94FAC0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6213D8"/>
    <w:multiLevelType w:val="multilevel"/>
    <w:tmpl w:val="69BA84E8"/>
    <w:lvl w:ilvl="0">
      <w:start w:val="4"/>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27B04879"/>
    <w:multiLevelType w:val="hybridMultilevel"/>
    <w:tmpl w:val="FE6AC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8FE40BF"/>
    <w:multiLevelType w:val="hybridMultilevel"/>
    <w:tmpl w:val="1D106C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9044FB"/>
    <w:multiLevelType w:val="hybridMultilevel"/>
    <w:tmpl w:val="1A12A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6C56BB"/>
    <w:multiLevelType w:val="hybridMultilevel"/>
    <w:tmpl w:val="6C4E54F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A253C5"/>
    <w:multiLevelType w:val="hybridMultilevel"/>
    <w:tmpl w:val="D944BA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5A6CD9"/>
    <w:multiLevelType w:val="multilevel"/>
    <w:tmpl w:val="1C1A9256"/>
    <w:styleLink w:val="Style5"/>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4B6226E2"/>
    <w:multiLevelType w:val="hybridMultilevel"/>
    <w:tmpl w:val="D47AF8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A17EE4"/>
    <w:multiLevelType w:val="multilevel"/>
    <w:tmpl w:val="A8C8B072"/>
    <w:lvl w:ilvl="0">
      <w:start w:val="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4D8B13AB"/>
    <w:multiLevelType w:val="hybridMultilevel"/>
    <w:tmpl w:val="77C65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E34840"/>
    <w:multiLevelType w:val="multilevel"/>
    <w:tmpl w:val="CA4C842E"/>
    <w:lvl w:ilvl="0">
      <w:start w:val="1"/>
      <w:numFmt w:val="decimal"/>
      <w:pStyle w:val="Figurecaption"/>
      <w:lvlText w:val="Figure %1."/>
      <w:lvlJc w:val="center"/>
      <w:pPr>
        <w:tabs>
          <w:tab w:val="num" w:pos="360"/>
        </w:tabs>
        <w:ind w:left="360" w:hanging="72"/>
      </w:pPr>
      <w:rPr>
        <w:rFonts w:ascii="Arial" w:hAnsi="Arial" w:hint="default"/>
        <w:b w:val="0"/>
        <w:i w:val="0"/>
        <w:sz w:val="20"/>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201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309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4178"/>
        </w:tabs>
        <w:ind w:left="3602" w:hanging="1224"/>
      </w:pPr>
      <w:rPr>
        <w:rFonts w:hint="default"/>
      </w:rPr>
    </w:lvl>
    <w:lvl w:ilvl="8">
      <w:start w:val="1"/>
      <w:numFmt w:val="decimal"/>
      <w:lvlText w:val="%1.%2.%3.%4.%5.%6.%7.%8.%9."/>
      <w:lvlJc w:val="left"/>
      <w:pPr>
        <w:tabs>
          <w:tab w:val="num" w:pos="4898"/>
        </w:tabs>
        <w:ind w:left="4178" w:hanging="1440"/>
      </w:pPr>
      <w:rPr>
        <w:rFonts w:hint="default"/>
      </w:rPr>
    </w:lvl>
  </w:abstractNum>
  <w:abstractNum w:abstractNumId="18">
    <w:nsid w:val="58E1732F"/>
    <w:multiLevelType w:val="hybridMultilevel"/>
    <w:tmpl w:val="66C4F490"/>
    <w:lvl w:ilvl="0" w:tplc="F3E8C972">
      <w:start w:val="7"/>
      <w:numFmt w:val="decimal"/>
      <w:lvlText w:val="%1."/>
      <w:lvlJc w:val="left"/>
      <w:pPr>
        <w:ind w:left="360" w:hanging="360"/>
      </w:pPr>
      <w:rPr>
        <w:rFonts w:hint="default"/>
      </w:rPr>
    </w:lvl>
    <w:lvl w:ilvl="1" w:tplc="0C090019" w:tentative="1">
      <w:start w:val="1"/>
      <w:numFmt w:val="lowerLetter"/>
      <w:lvlText w:val="%2."/>
      <w:lvlJc w:val="left"/>
      <w:pPr>
        <w:ind w:left="-480" w:hanging="360"/>
      </w:pPr>
    </w:lvl>
    <w:lvl w:ilvl="2" w:tplc="0C09001B" w:tentative="1">
      <w:start w:val="1"/>
      <w:numFmt w:val="lowerRoman"/>
      <w:lvlText w:val="%3."/>
      <w:lvlJc w:val="right"/>
      <w:pPr>
        <w:ind w:left="240" w:hanging="180"/>
      </w:pPr>
    </w:lvl>
    <w:lvl w:ilvl="3" w:tplc="0C09000F" w:tentative="1">
      <w:start w:val="1"/>
      <w:numFmt w:val="decimal"/>
      <w:lvlText w:val="%4."/>
      <w:lvlJc w:val="left"/>
      <w:pPr>
        <w:ind w:left="960" w:hanging="360"/>
      </w:pPr>
    </w:lvl>
    <w:lvl w:ilvl="4" w:tplc="0C090019" w:tentative="1">
      <w:start w:val="1"/>
      <w:numFmt w:val="lowerLetter"/>
      <w:lvlText w:val="%5."/>
      <w:lvlJc w:val="left"/>
      <w:pPr>
        <w:ind w:left="1680" w:hanging="360"/>
      </w:pPr>
    </w:lvl>
    <w:lvl w:ilvl="5" w:tplc="0C09001B" w:tentative="1">
      <w:start w:val="1"/>
      <w:numFmt w:val="lowerRoman"/>
      <w:lvlText w:val="%6."/>
      <w:lvlJc w:val="right"/>
      <w:pPr>
        <w:ind w:left="2400" w:hanging="180"/>
      </w:pPr>
    </w:lvl>
    <w:lvl w:ilvl="6" w:tplc="0C09000F" w:tentative="1">
      <w:start w:val="1"/>
      <w:numFmt w:val="decimal"/>
      <w:lvlText w:val="%7."/>
      <w:lvlJc w:val="left"/>
      <w:pPr>
        <w:ind w:left="3120" w:hanging="360"/>
      </w:pPr>
    </w:lvl>
    <w:lvl w:ilvl="7" w:tplc="0C090019" w:tentative="1">
      <w:start w:val="1"/>
      <w:numFmt w:val="lowerLetter"/>
      <w:lvlText w:val="%8."/>
      <w:lvlJc w:val="left"/>
      <w:pPr>
        <w:ind w:left="3840" w:hanging="360"/>
      </w:pPr>
    </w:lvl>
    <w:lvl w:ilvl="8" w:tplc="0C09001B" w:tentative="1">
      <w:start w:val="1"/>
      <w:numFmt w:val="lowerRoman"/>
      <w:lvlText w:val="%9."/>
      <w:lvlJc w:val="right"/>
      <w:pPr>
        <w:ind w:left="4560" w:hanging="180"/>
      </w:pPr>
    </w:lvl>
  </w:abstractNum>
  <w:abstractNum w:abstractNumId="19">
    <w:nsid w:val="5A0B0EF5"/>
    <w:multiLevelType w:val="hybridMultilevel"/>
    <w:tmpl w:val="FE9C61F6"/>
    <w:lvl w:ilvl="0" w:tplc="EDE056B6">
      <w:start w:val="1"/>
      <w:numFmt w:val="decimal"/>
      <w:pStyle w:val="Body-numbered"/>
      <w:lvlText w:val="%1."/>
      <w:lvlJc w:val="right"/>
      <w:pPr>
        <w:tabs>
          <w:tab w:val="num" w:pos="454"/>
        </w:tabs>
        <w:ind w:left="454" w:hanging="17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67933B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E027F22"/>
    <w:multiLevelType w:val="hybridMultilevel"/>
    <w:tmpl w:val="AA3C351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3915C09"/>
    <w:multiLevelType w:val="hybridMultilevel"/>
    <w:tmpl w:val="15FE0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D72F47"/>
    <w:multiLevelType w:val="multilevel"/>
    <w:tmpl w:val="4A4E18E8"/>
    <w:styleLink w:val="Body-bullets"/>
    <w:lvl w:ilvl="0">
      <w:start w:val="1"/>
      <w:numFmt w:val="bullet"/>
      <w:lvlText w:val=""/>
      <w:lvlJc w:val="left"/>
      <w:pPr>
        <w:tabs>
          <w:tab w:val="num" w:pos="454"/>
        </w:tabs>
        <w:ind w:left="454" w:hanging="454"/>
      </w:pPr>
      <w:rPr>
        <w:rFonts w:ascii="Symbol" w:hAnsi="Symbol"/>
        <w:color w:val="auto"/>
        <w:sz w:val="20"/>
        <w:szCs w:val="20"/>
      </w:rPr>
    </w:lvl>
    <w:lvl w:ilvl="1">
      <w:start w:val="1"/>
      <w:numFmt w:val="bullet"/>
      <w:lvlText w:val=""/>
      <w:lvlJc w:val="left"/>
      <w:pPr>
        <w:tabs>
          <w:tab w:val="num" w:pos="907"/>
        </w:tabs>
        <w:ind w:left="907" w:hanging="453"/>
      </w:pPr>
      <w:rPr>
        <w:rFonts w:ascii="Symbol" w:hAnsi="Symbol" w:hint="default"/>
        <w:b w:val="0"/>
        <w:i w:val="0"/>
        <w:color w:val="808080"/>
        <w:sz w:val="16"/>
        <w:szCs w:val="12"/>
      </w:rPr>
    </w:lvl>
    <w:lvl w:ilvl="2">
      <w:start w:val="1"/>
      <w:numFmt w:val="bullet"/>
      <w:lvlText w:val=""/>
      <w:lvlJc w:val="left"/>
      <w:pPr>
        <w:tabs>
          <w:tab w:val="num" w:pos="1361"/>
        </w:tabs>
        <w:ind w:left="1361" w:hanging="454"/>
      </w:pPr>
      <w:rPr>
        <w:rFonts w:ascii="Symbol" w:hAnsi="Symbol" w:hint="default"/>
        <w:b w:val="0"/>
        <w:i w:val="0"/>
        <w:color w:val="808080"/>
        <w:sz w:val="12"/>
        <w:szCs w:val="12"/>
      </w:rPr>
    </w:lvl>
    <w:lvl w:ilvl="3">
      <w:start w:val="1"/>
      <w:numFmt w:val="bullet"/>
      <w:lvlText w:val=""/>
      <w:lvlJc w:val="left"/>
      <w:pPr>
        <w:tabs>
          <w:tab w:val="num" w:pos="1814"/>
        </w:tabs>
        <w:ind w:left="1814" w:hanging="453"/>
      </w:pPr>
      <w:rPr>
        <w:rFonts w:ascii="Symbol" w:hAnsi="Symbol" w:hint="default"/>
        <w:b w:val="0"/>
        <w:i w:val="0"/>
        <w:color w:val="808080"/>
        <w:sz w:val="12"/>
        <w:szCs w:val="12"/>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AA1520C"/>
    <w:multiLevelType w:val="hybridMultilevel"/>
    <w:tmpl w:val="44EC76B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F7A3DC5"/>
    <w:multiLevelType w:val="hybridMultilevel"/>
    <w:tmpl w:val="4EDA9A24"/>
    <w:lvl w:ilvl="0" w:tplc="D706B098">
      <w:start w:val="12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0"/>
  </w:num>
  <w:num w:numId="4">
    <w:abstractNumId w:val="2"/>
  </w:num>
  <w:num w:numId="5">
    <w:abstractNumId w:val="0"/>
  </w:num>
  <w:num w:numId="6">
    <w:abstractNumId w:val="17"/>
  </w:num>
  <w:num w:numId="7">
    <w:abstractNumId w:val="18"/>
  </w:num>
  <w:num w:numId="8">
    <w:abstractNumId w:val="15"/>
  </w:num>
  <w:num w:numId="9">
    <w:abstractNumId w:val="16"/>
  </w:num>
  <w:num w:numId="10">
    <w:abstractNumId w:val="14"/>
  </w:num>
  <w:num w:numId="11">
    <w:abstractNumId w:val="13"/>
  </w:num>
  <w:num w:numId="12">
    <w:abstractNumId w:val="5"/>
  </w:num>
  <w:num w:numId="13">
    <w:abstractNumId w:val="7"/>
  </w:num>
  <w:num w:numId="14">
    <w:abstractNumId w:val="10"/>
  </w:num>
  <w:num w:numId="15">
    <w:abstractNumId w:val="22"/>
  </w:num>
  <w:num w:numId="16">
    <w:abstractNumId w:val="9"/>
  </w:num>
  <w:num w:numId="17">
    <w:abstractNumId w:val="1"/>
  </w:num>
  <w:num w:numId="18">
    <w:abstractNumId w:val="12"/>
  </w:num>
  <w:num w:numId="19">
    <w:abstractNumId w:val="4"/>
  </w:num>
  <w:num w:numId="20">
    <w:abstractNumId w:val="6"/>
  </w:num>
  <w:num w:numId="21">
    <w:abstractNumId w:val="3"/>
  </w:num>
  <w:num w:numId="22">
    <w:abstractNumId w:val="11"/>
  </w:num>
  <w:num w:numId="23">
    <w:abstractNumId w:val="25"/>
  </w:num>
  <w:num w:numId="24">
    <w:abstractNumId w:val="8"/>
  </w:num>
  <w:num w:numId="25">
    <w:abstractNumId w:val="24"/>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AU"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arine Pollution Bull(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wzpfssaux292keptesxd5t6srsfvpzsde2p&quot;&gt;My EndNote Library&lt;record-ids&gt;&lt;item&gt;411&lt;/item&gt;&lt;item&gt;625&lt;/item&gt;&lt;item&gt;734&lt;/item&gt;&lt;item&gt;791&lt;/item&gt;&lt;item&gt;792&lt;/item&gt;&lt;item&gt;907&lt;/item&gt;&lt;item&gt;967&lt;/item&gt;&lt;item&gt;970&lt;/item&gt;&lt;item&gt;979&lt;/item&gt;&lt;item&gt;980&lt;/item&gt;&lt;item&gt;999&lt;/item&gt;&lt;item&gt;1000&lt;/item&gt;&lt;item&gt;1001&lt;/item&gt;&lt;item&gt;1005&lt;/item&gt;&lt;item&gt;1007&lt;/item&gt;&lt;item&gt;1018&lt;/item&gt;&lt;item&gt;1019&lt;/item&gt;&lt;item&gt;1026&lt;/item&gt;&lt;item&gt;1027&lt;/item&gt;&lt;item&gt;1028&lt;/item&gt;&lt;item&gt;1034&lt;/item&gt;&lt;item&gt;1045&lt;/item&gt;&lt;item&gt;1047&lt;/item&gt;&lt;item&gt;1071&lt;/item&gt;&lt;item&gt;1137&lt;/item&gt;&lt;item&gt;1140&lt;/item&gt;&lt;item&gt;1141&lt;/item&gt;&lt;item&gt;1142&lt;/item&gt;&lt;item&gt;1143&lt;/item&gt;&lt;item&gt;1144&lt;/item&gt;&lt;item&gt;1147&lt;/item&gt;&lt;item&gt;1148&lt;/item&gt;&lt;item&gt;1150&lt;/item&gt;&lt;item&gt;1151&lt;/item&gt;&lt;item&gt;1152&lt;/item&gt;&lt;item&gt;1153&lt;/item&gt;&lt;/record-ids&gt;&lt;/item&gt;&lt;/Libraries&gt;"/>
  </w:docVars>
  <w:rsids>
    <w:rsidRoot w:val="00323FD5"/>
    <w:rsid w:val="00000B4D"/>
    <w:rsid w:val="00000C08"/>
    <w:rsid w:val="000018C5"/>
    <w:rsid w:val="00002038"/>
    <w:rsid w:val="000028BB"/>
    <w:rsid w:val="000028D4"/>
    <w:rsid w:val="00003B60"/>
    <w:rsid w:val="000054D1"/>
    <w:rsid w:val="00005AF1"/>
    <w:rsid w:val="00005EED"/>
    <w:rsid w:val="00010FC9"/>
    <w:rsid w:val="00013507"/>
    <w:rsid w:val="0001384B"/>
    <w:rsid w:val="0001450C"/>
    <w:rsid w:val="00014DF2"/>
    <w:rsid w:val="0001550B"/>
    <w:rsid w:val="0001594D"/>
    <w:rsid w:val="000168BC"/>
    <w:rsid w:val="00016B44"/>
    <w:rsid w:val="0001792A"/>
    <w:rsid w:val="00017C6B"/>
    <w:rsid w:val="0002104A"/>
    <w:rsid w:val="0002115B"/>
    <w:rsid w:val="000218CD"/>
    <w:rsid w:val="00022065"/>
    <w:rsid w:val="0002333D"/>
    <w:rsid w:val="00025BA9"/>
    <w:rsid w:val="00026B9A"/>
    <w:rsid w:val="00026E6A"/>
    <w:rsid w:val="000313CF"/>
    <w:rsid w:val="00031D74"/>
    <w:rsid w:val="000350CE"/>
    <w:rsid w:val="00036676"/>
    <w:rsid w:val="00036C83"/>
    <w:rsid w:val="00037532"/>
    <w:rsid w:val="00037DE3"/>
    <w:rsid w:val="00040AB5"/>
    <w:rsid w:val="00043757"/>
    <w:rsid w:val="000438ED"/>
    <w:rsid w:val="00046086"/>
    <w:rsid w:val="00046D67"/>
    <w:rsid w:val="00046DAA"/>
    <w:rsid w:val="00050C26"/>
    <w:rsid w:val="000519F1"/>
    <w:rsid w:val="00051EF5"/>
    <w:rsid w:val="00053F2D"/>
    <w:rsid w:val="000541CC"/>
    <w:rsid w:val="00054A2E"/>
    <w:rsid w:val="00056C08"/>
    <w:rsid w:val="00060497"/>
    <w:rsid w:val="00062927"/>
    <w:rsid w:val="000636CA"/>
    <w:rsid w:val="00063D61"/>
    <w:rsid w:val="000657D8"/>
    <w:rsid w:val="0006754A"/>
    <w:rsid w:val="00067C92"/>
    <w:rsid w:val="00071889"/>
    <w:rsid w:val="00071C4B"/>
    <w:rsid w:val="000734FE"/>
    <w:rsid w:val="00073C4A"/>
    <w:rsid w:val="0007433E"/>
    <w:rsid w:val="00074414"/>
    <w:rsid w:val="00074C79"/>
    <w:rsid w:val="000759E0"/>
    <w:rsid w:val="00075AF8"/>
    <w:rsid w:val="00076F4C"/>
    <w:rsid w:val="00076FAC"/>
    <w:rsid w:val="0009176D"/>
    <w:rsid w:val="0009445F"/>
    <w:rsid w:val="00094639"/>
    <w:rsid w:val="00096321"/>
    <w:rsid w:val="00096614"/>
    <w:rsid w:val="000A05A0"/>
    <w:rsid w:val="000A1BE8"/>
    <w:rsid w:val="000A2418"/>
    <w:rsid w:val="000A4831"/>
    <w:rsid w:val="000A7298"/>
    <w:rsid w:val="000B3229"/>
    <w:rsid w:val="000B4641"/>
    <w:rsid w:val="000B4822"/>
    <w:rsid w:val="000B4C57"/>
    <w:rsid w:val="000B582F"/>
    <w:rsid w:val="000B6997"/>
    <w:rsid w:val="000B77F0"/>
    <w:rsid w:val="000C066E"/>
    <w:rsid w:val="000C06A2"/>
    <w:rsid w:val="000C2024"/>
    <w:rsid w:val="000C295E"/>
    <w:rsid w:val="000C39B1"/>
    <w:rsid w:val="000C48B2"/>
    <w:rsid w:val="000C7B4A"/>
    <w:rsid w:val="000C7C86"/>
    <w:rsid w:val="000D031D"/>
    <w:rsid w:val="000D0D7F"/>
    <w:rsid w:val="000D140E"/>
    <w:rsid w:val="000D2C0D"/>
    <w:rsid w:val="000D45ED"/>
    <w:rsid w:val="000D540A"/>
    <w:rsid w:val="000D6E7D"/>
    <w:rsid w:val="000D717B"/>
    <w:rsid w:val="000D71A5"/>
    <w:rsid w:val="000D75BF"/>
    <w:rsid w:val="000D7A34"/>
    <w:rsid w:val="000E2599"/>
    <w:rsid w:val="000E2A5C"/>
    <w:rsid w:val="000E2FC6"/>
    <w:rsid w:val="000E372E"/>
    <w:rsid w:val="000E5A25"/>
    <w:rsid w:val="000F26F1"/>
    <w:rsid w:val="000F2DC5"/>
    <w:rsid w:val="000F4A6C"/>
    <w:rsid w:val="000F4F13"/>
    <w:rsid w:val="000F6EBF"/>
    <w:rsid w:val="001032AF"/>
    <w:rsid w:val="00105DFF"/>
    <w:rsid w:val="0011061C"/>
    <w:rsid w:val="00110A7F"/>
    <w:rsid w:val="00112985"/>
    <w:rsid w:val="00116492"/>
    <w:rsid w:val="00116672"/>
    <w:rsid w:val="00117210"/>
    <w:rsid w:val="001177FD"/>
    <w:rsid w:val="00117E85"/>
    <w:rsid w:val="001221E3"/>
    <w:rsid w:val="001236EB"/>
    <w:rsid w:val="00123CAA"/>
    <w:rsid w:val="0012439F"/>
    <w:rsid w:val="00125837"/>
    <w:rsid w:val="00126DA6"/>
    <w:rsid w:val="00127444"/>
    <w:rsid w:val="0013087E"/>
    <w:rsid w:val="00131E41"/>
    <w:rsid w:val="001323CB"/>
    <w:rsid w:val="001329C5"/>
    <w:rsid w:val="001329DD"/>
    <w:rsid w:val="00134DF5"/>
    <w:rsid w:val="00135560"/>
    <w:rsid w:val="00137E08"/>
    <w:rsid w:val="00141A40"/>
    <w:rsid w:val="001435C2"/>
    <w:rsid w:val="00143602"/>
    <w:rsid w:val="00143F8F"/>
    <w:rsid w:val="001470EE"/>
    <w:rsid w:val="00151B0B"/>
    <w:rsid w:val="0015270F"/>
    <w:rsid w:val="0015287B"/>
    <w:rsid w:val="00152B8A"/>
    <w:rsid w:val="00154626"/>
    <w:rsid w:val="00160123"/>
    <w:rsid w:val="00162359"/>
    <w:rsid w:val="00164EA7"/>
    <w:rsid w:val="00164F40"/>
    <w:rsid w:val="00171BF8"/>
    <w:rsid w:val="00172932"/>
    <w:rsid w:val="0017299A"/>
    <w:rsid w:val="00173CFC"/>
    <w:rsid w:val="001758C6"/>
    <w:rsid w:val="00177CA4"/>
    <w:rsid w:val="0018009D"/>
    <w:rsid w:val="001821B2"/>
    <w:rsid w:val="0018305D"/>
    <w:rsid w:val="0018376E"/>
    <w:rsid w:val="001850F0"/>
    <w:rsid w:val="00186DBD"/>
    <w:rsid w:val="00187619"/>
    <w:rsid w:val="00187D13"/>
    <w:rsid w:val="00190BB9"/>
    <w:rsid w:val="001921B0"/>
    <w:rsid w:val="00193E3A"/>
    <w:rsid w:val="0019449C"/>
    <w:rsid w:val="00196583"/>
    <w:rsid w:val="001A0439"/>
    <w:rsid w:val="001A178E"/>
    <w:rsid w:val="001A19D0"/>
    <w:rsid w:val="001A2BC0"/>
    <w:rsid w:val="001A3451"/>
    <w:rsid w:val="001A4AF0"/>
    <w:rsid w:val="001A6D01"/>
    <w:rsid w:val="001A7190"/>
    <w:rsid w:val="001B0CF5"/>
    <w:rsid w:val="001B0FB3"/>
    <w:rsid w:val="001B1C4F"/>
    <w:rsid w:val="001B668E"/>
    <w:rsid w:val="001B7175"/>
    <w:rsid w:val="001B7270"/>
    <w:rsid w:val="001B772A"/>
    <w:rsid w:val="001C090E"/>
    <w:rsid w:val="001C0942"/>
    <w:rsid w:val="001C490F"/>
    <w:rsid w:val="001C4A1A"/>
    <w:rsid w:val="001C53BA"/>
    <w:rsid w:val="001C6BD3"/>
    <w:rsid w:val="001D0553"/>
    <w:rsid w:val="001D0ADD"/>
    <w:rsid w:val="001D186D"/>
    <w:rsid w:val="001D20E3"/>
    <w:rsid w:val="001D2850"/>
    <w:rsid w:val="001D382B"/>
    <w:rsid w:val="001D46B7"/>
    <w:rsid w:val="001D4E74"/>
    <w:rsid w:val="001D5693"/>
    <w:rsid w:val="001D6A77"/>
    <w:rsid w:val="001D6E5A"/>
    <w:rsid w:val="001E0127"/>
    <w:rsid w:val="001E2DB4"/>
    <w:rsid w:val="001E2E4C"/>
    <w:rsid w:val="001E79B7"/>
    <w:rsid w:val="001F1477"/>
    <w:rsid w:val="001F2282"/>
    <w:rsid w:val="001F457A"/>
    <w:rsid w:val="001F56A2"/>
    <w:rsid w:val="001F5FEA"/>
    <w:rsid w:val="001F7592"/>
    <w:rsid w:val="001F7D69"/>
    <w:rsid w:val="002019E0"/>
    <w:rsid w:val="00203B62"/>
    <w:rsid w:val="0020500F"/>
    <w:rsid w:val="002054CE"/>
    <w:rsid w:val="002104E4"/>
    <w:rsid w:val="00212E04"/>
    <w:rsid w:val="00215F3C"/>
    <w:rsid w:val="002160FF"/>
    <w:rsid w:val="00217C7C"/>
    <w:rsid w:val="0022001C"/>
    <w:rsid w:val="002210C7"/>
    <w:rsid w:val="00222949"/>
    <w:rsid w:val="00222CD4"/>
    <w:rsid w:val="00223AF9"/>
    <w:rsid w:val="00226D83"/>
    <w:rsid w:val="002306FB"/>
    <w:rsid w:val="00231C05"/>
    <w:rsid w:val="002324B3"/>
    <w:rsid w:val="00233452"/>
    <w:rsid w:val="00233580"/>
    <w:rsid w:val="00237A3C"/>
    <w:rsid w:val="0024021C"/>
    <w:rsid w:val="00241B75"/>
    <w:rsid w:val="00242F0A"/>
    <w:rsid w:val="0024505B"/>
    <w:rsid w:val="002453C9"/>
    <w:rsid w:val="002474D7"/>
    <w:rsid w:val="00247655"/>
    <w:rsid w:val="002521E6"/>
    <w:rsid w:val="00252EDB"/>
    <w:rsid w:val="002557AB"/>
    <w:rsid w:val="00260783"/>
    <w:rsid w:val="00263CBE"/>
    <w:rsid w:val="0026502B"/>
    <w:rsid w:val="00271745"/>
    <w:rsid w:val="00271D42"/>
    <w:rsid w:val="00273078"/>
    <w:rsid w:val="00276615"/>
    <w:rsid w:val="00276CDA"/>
    <w:rsid w:val="00277A20"/>
    <w:rsid w:val="00277D93"/>
    <w:rsid w:val="002806AE"/>
    <w:rsid w:val="002827F5"/>
    <w:rsid w:val="00282ECB"/>
    <w:rsid w:val="00284FFC"/>
    <w:rsid w:val="00285012"/>
    <w:rsid w:val="002854A3"/>
    <w:rsid w:val="00285C95"/>
    <w:rsid w:val="00286401"/>
    <w:rsid w:val="0028720F"/>
    <w:rsid w:val="0029037F"/>
    <w:rsid w:val="00292DA6"/>
    <w:rsid w:val="002930BC"/>
    <w:rsid w:val="002930CF"/>
    <w:rsid w:val="002932EC"/>
    <w:rsid w:val="002A0689"/>
    <w:rsid w:val="002A1472"/>
    <w:rsid w:val="002A323D"/>
    <w:rsid w:val="002A3B1A"/>
    <w:rsid w:val="002A539E"/>
    <w:rsid w:val="002A57F2"/>
    <w:rsid w:val="002A65BA"/>
    <w:rsid w:val="002A6669"/>
    <w:rsid w:val="002A7BDA"/>
    <w:rsid w:val="002A7E76"/>
    <w:rsid w:val="002B0976"/>
    <w:rsid w:val="002B0CBA"/>
    <w:rsid w:val="002B2DAA"/>
    <w:rsid w:val="002B3513"/>
    <w:rsid w:val="002B36B1"/>
    <w:rsid w:val="002B4D6F"/>
    <w:rsid w:val="002B5012"/>
    <w:rsid w:val="002B53B6"/>
    <w:rsid w:val="002B5C85"/>
    <w:rsid w:val="002B6F3C"/>
    <w:rsid w:val="002B70B4"/>
    <w:rsid w:val="002C22C6"/>
    <w:rsid w:val="002C34CB"/>
    <w:rsid w:val="002C3F7E"/>
    <w:rsid w:val="002C4C87"/>
    <w:rsid w:val="002C5CF2"/>
    <w:rsid w:val="002C6F22"/>
    <w:rsid w:val="002C7BCF"/>
    <w:rsid w:val="002D1EC8"/>
    <w:rsid w:val="002D2877"/>
    <w:rsid w:val="002D36BF"/>
    <w:rsid w:val="002D69EC"/>
    <w:rsid w:val="002E1D7B"/>
    <w:rsid w:val="002E2D9F"/>
    <w:rsid w:val="002E6970"/>
    <w:rsid w:val="002E783E"/>
    <w:rsid w:val="002F3773"/>
    <w:rsid w:val="002F3DB0"/>
    <w:rsid w:val="002F479F"/>
    <w:rsid w:val="002F573E"/>
    <w:rsid w:val="0030006E"/>
    <w:rsid w:val="00300497"/>
    <w:rsid w:val="00301160"/>
    <w:rsid w:val="00301C97"/>
    <w:rsid w:val="00305373"/>
    <w:rsid w:val="003063ED"/>
    <w:rsid w:val="00306F32"/>
    <w:rsid w:val="00321115"/>
    <w:rsid w:val="003215A2"/>
    <w:rsid w:val="00322431"/>
    <w:rsid w:val="003227B6"/>
    <w:rsid w:val="00323FD5"/>
    <w:rsid w:val="00325E2A"/>
    <w:rsid w:val="00330E11"/>
    <w:rsid w:val="003328C2"/>
    <w:rsid w:val="003329A3"/>
    <w:rsid w:val="00332DBF"/>
    <w:rsid w:val="00333AF0"/>
    <w:rsid w:val="00333F7B"/>
    <w:rsid w:val="0033462F"/>
    <w:rsid w:val="00336896"/>
    <w:rsid w:val="00336CAF"/>
    <w:rsid w:val="00336EDA"/>
    <w:rsid w:val="0033741D"/>
    <w:rsid w:val="003403DA"/>
    <w:rsid w:val="003404BF"/>
    <w:rsid w:val="00340D92"/>
    <w:rsid w:val="003412C3"/>
    <w:rsid w:val="003435A2"/>
    <w:rsid w:val="00343C60"/>
    <w:rsid w:val="00343D04"/>
    <w:rsid w:val="00343EE0"/>
    <w:rsid w:val="0034438C"/>
    <w:rsid w:val="0034536C"/>
    <w:rsid w:val="00347A5C"/>
    <w:rsid w:val="00350896"/>
    <w:rsid w:val="00351008"/>
    <w:rsid w:val="00351B4F"/>
    <w:rsid w:val="00354B75"/>
    <w:rsid w:val="00360A84"/>
    <w:rsid w:val="003617F1"/>
    <w:rsid w:val="0036209A"/>
    <w:rsid w:val="00362A9F"/>
    <w:rsid w:val="00362FA3"/>
    <w:rsid w:val="00363622"/>
    <w:rsid w:val="0036389B"/>
    <w:rsid w:val="003645D2"/>
    <w:rsid w:val="00364FDA"/>
    <w:rsid w:val="0036562E"/>
    <w:rsid w:val="00366AB3"/>
    <w:rsid w:val="00370F09"/>
    <w:rsid w:val="00371380"/>
    <w:rsid w:val="00376266"/>
    <w:rsid w:val="00377B44"/>
    <w:rsid w:val="00380281"/>
    <w:rsid w:val="003805B4"/>
    <w:rsid w:val="00381902"/>
    <w:rsid w:val="00385ACB"/>
    <w:rsid w:val="0038605C"/>
    <w:rsid w:val="003864A1"/>
    <w:rsid w:val="00393ABA"/>
    <w:rsid w:val="003942F7"/>
    <w:rsid w:val="003951B1"/>
    <w:rsid w:val="00395B24"/>
    <w:rsid w:val="003962D8"/>
    <w:rsid w:val="003972AA"/>
    <w:rsid w:val="003A194A"/>
    <w:rsid w:val="003A2707"/>
    <w:rsid w:val="003A4501"/>
    <w:rsid w:val="003B00C5"/>
    <w:rsid w:val="003B02AF"/>
    <w:rsid w:val="003B04E9"/>
    <w:rsid w:val="003B1DB5"/>
    <w:rsid w:val="003B2267"/>
    <w:rsid w:val="003B776E"/>
    <w:rsid w:val="003B7A63"/>
    <w:rsid w:val="003C10C4"/>
    <w:rsid w:val="003C110E"/>
    <w:rsid w:val="003C19C2"/>
    <w:rsid w:val="003C232A"/>
    <w:rsid w:val="003C361F"/>
    <w:rsid w:val="003C3DD9"/>
    <w:rsid w:val="003C3EF6"/>
    <w:rsid w:val="003C535B"/>
    <w:rsid w:val="003C6364"/>
    <w:rsid w:val="003C6B6E"/>
    <w:rsid w:val="003C778E"/>
    <w:rsid w:val="003C7CB6"/>
    <w:rsid w:val="003D35D0"/>
    <w:rsid w:val="003D6877"/>
    <w:rsid w:val="003D7349"/>
    <w:rsid w:val="003D7FA5"/>
    <w:rsid w:val="003E1616"/>
    <w:rsid w:val="003E181E"/>
    <w:rsid w:val="003E490A"/>
    <w:rsid w:val="003E5740"/>
    <w:rsid w:val="003E5BAA"/>
    <w:rsid w:val="003E5F63"/>
    <w:rsid w:val="003E6527"/>
    <w:rsid w:val="003E6E31"/>
    <w:rsid w:val="003E7420"/>
    <w:rsid w:val="003F2C01"/>
    <w:rsid w:val="003F2DC5"/>
    <w:rsid w:val="003F4B7B"/>
    <w:rsid w:val="003F6A80"/>
    <w:rsid w:val="00401FF6"/>
    <w:rsid w:val="00405301"/>
    <w:rsid w:val="00405A4E"/>
    <w:rsid w:val="004076D7"/>
    <w:rsid w:val="00407F7A"/>
    <w:rsid w:val="00410483"/>
    <w:rsid w:val="004105F5"/>
    <w:rsid w:val="004117EA"/>
    <w:rsid w:val="00411CE3"/>
    <w:rsid w:val="00411DCA"/>
    <w:rsid w:val="004128E8"/>
    <w:rsid w:val="00413F77"/>
    <w:rsid w:val="00414FE3"/>
    <w:rsid w:val="00415133"/>
    <w:rsid w:val="00415885"/>
    <w:rsid w:val="00415D74"/>
    <w:rsid w:val="00415DB0"/>
    <w:rsid w:val="0041637B"/>
    <w:rsid w:val="00417F09"/>
    <w:rsid w:val="00420A52"/>
    <w:rsid w:val="00421000"/>
    <w:rsid w:val="004236C5"/>
    <w:rsid w:val="00424D84"/>
    <w:rsid w:val="00425CB6"/>
    <w:rsid w:val="004265A2"/>
    <w:rsid w:val="004275E2"/>
    <w:rsid w:val="00427E7E"/>
    <w:rsid w:val="00427F1C"/>
    <w:rsid w:val="0043157F"/>
    <w:rsid w:val="004316A7"/>
    <w:rsid w:val="00435F81"/>
    <w:rsid w:val="00436C92"/>
    <w:rsid w:val="00437648"/>
    <w:rsid w:val="00437929"/>
    <w:rsid w:val="00441469"/>
    <w:rsid w:val="004426F1"/>
    <w:rsid w:val="00442F71"/>
    <w:rsid w:val="00443847"/>
    <w:rsid w:val="00444740"/>
    <w:rsid w:val="004456DC"/>
    <w:rsid w:val="00446E18"/>
    <w:rsid w:val="00447BAF"/>
    <w:rsid w:val="004515CC"/>
    <w:rsid w:val="0045458C"/>
    <w:rsid w:val="004557B3"/>
    <w:rsid w:val="004647AE"/>
    <w:rsid w:val="00466328"/>
    <w:rsid w:val="00471277"/>
    <w:rsid w:val="004726FD"/>
    <w:rsid w:val="00473398"/>
    <w:rsid w:val="00474276"/>
    <w:rsid w:val="00474FFA"/>
    <w:rsid w:val="00476E11"/>
    <w:rsid w:val="004806A1"/>
    <w:rsid w:val="00480A2E"/>
    <w:rsid w:val="00480F85"/>
    <w:rsid w:val="00481158"/>
    <w:rsid w:val="004820C4"/>
    <w:rsid w:val="00482CB4"/>
    <w:rsid w:val="0048514F"/>
    <w:rsid w:val="00485B26"/>
    <w:rsid w:val="00486373"/>
    <w:rsid w:val="00486473"/>
    <w:rsid w:val="00486E09"/>
    <w:rsid w:val="00486F5A"/>
    <w:rsid w:val="004877FA"/>
    <w:rsid w:val="00490859"/>
    <w:rsid w:val="004911C2"/>
    <w:rsid w:val="00492A71"/>
    <w:rsid w:val="00494137"/>
    <w:rsid w:val="0049692E"/>
    <w:rsid w:val="004A205E"/>
    <w:rsid w:val="004A2BC9"/>
    <w:rsid w:val="004A3E5C"/>
    <w:rsid w:val="004B1676"/>
    <w:rsid w:val="004B1EF9"/>
    <w:rsid w:val="004B1F60"/>
    <w:rsid w:val="004B205A"/>
    <w:rsid w:val="004B2104"/>
    <w:rsid w:val="004B2380"/>
    <w:rsid w:val="004B31F0"/>
    <w:rsid w:val="004B3569"/>
    <w:rsid w:val="004B3F34"/>
    <w:rsid w:val="004B5D2D"/>
    <w:rsid w:val="004C0E45"/>
    <w:rsid w:val="004C21D3"/>
    <w:rsid w:val="004C2BD3"/>
    <w:rsid w:val="004C3EE4"/>
    <w:rsid w:val="004C4F3D"/>
    <w:rsid w:val="004C6DA0"/>
    <w:rsid w:val="004C70AA"/>
    <w:rsid w:val="004D0395"/>
    <w:rsid w:val="004D060F"/>
    <w:rsid w:val="004D2C6C"/>
    <w:rsid w:val="004D4B0A"/>
    <w:rsid w:val="004E0005"/>
    <w:rsid w:val="004E01CC"/>
    <w:rsid w:val="004E3E5B"/>
    <w:rsid w:val="004E4CA4"/>
    <w:rsid w:val="004E4F4A"/>
    <w:rsid w:val="004F08D4"/>
    <w:rsid w:val="004F15BA"/>
    <w:rsid w:val="004F375F"/>
    <w:rsid w:val="004F45CC"/>
    <w:rsid w:val="004F5999"/>
    <w:rsid w:val="004F5D89"/>
    <w:rsid w:val="004F6AA8"/>
    <w:rsid w:val="004F78AF"/>
    <w:rsid w:val="004F78FD"/>
    <w:rsid w:val="004F7AF8"/>
    <w:rsid w:val="00500FCF"/>
    <w:rsid w:val="005016B4"/>
    <w:rsid w:val="0050264C"/>
    <w:rsid w:val="005031BD"/>
    <w:rsid w:val="005043E8"/>
    <w:rsid w:val="00504434"/>
    <w:rsid w:val="0050554D"/>
    <w:rsid w:val="00505916"/>
    <w:rsid w:val="00505941"/>
    <w:rsid w:val="005062C8"/>
    <w:rsid w:val="00507ABB"/>
    <w:rsid w:val="00510D98"/>
    <w:rsid w:val="00511423"/>
    <w:rsid w:val="005114DF"/>
    <w:rsid w:val="005118C1"/>
    <w:rsid w:val="00511BFD"/>
    <w:rsid w:val="005128BB"/>
    <w:rsid w:val="00512E95"/>
    <w:rsid w:val="005135BE"/>
    <w:rsid w:val="005149C1"/>
    <w:rsid w:val="005154AD"/>
    <w:rsid w:val="00515F97"/>
    <w:rsid w:val="00516136"/>
    <w:rsid w:val="00517A6D"/>
    <w:rsid w:val="00517E4A"/>
    <w:rsid w:val="00517F93"/>
    <w:rsid w:val="005252C1"/>
    <w:rsid w:val="005256E5"/>
    <w:rsid w:val="0053157C"/>
    <w:rsid w:val="00531C57"/>
    <w:rsid w:val="00532796"/>
    <w:rsid w:val="00536255"/>
    <w:rsid w:val="00540228"/>
    <w:rsid w:val="00540AA2"/>
    <w:rsid w:val="0054221F"/>
    <w:rsid w:val="00542F99"/>
    <w:rsid w:val="005432C3"/>
    <w:rsid w:val="0054379A"/>
    <w:rsid w:val="0055021B"/>
    <w:rsid w:val="00550ED6"/>
    <w:rsid w:val="00550FD4"/>
    <w:rsid w:val="0055289F"/>
    <w:rsid w:val="00552DE2"/>
    <w:rsid w:val="005537F6"/>
    <w:rsid w:val="00553C55"/>
    <w:rsid w:val="00554C1D"/>
    <w:rsid w:val="00554C31"/>
    <w:rsid w:val="00555B84"/>
    <w:rsid w:val="00555E21"/>
    <w:rsid w:val="00555E27"/>
    <w:rsid w:val="005571CD"/>
    <w:rsid w:val="00557495"/>
    <w:rsid w:val="005611DD"/>
    <w:rsid w:val="00561CDF"/>
    <w:rsid w:val="00564F05"/>
    <w:rsid w:val="00567584"/>
    <w:rsid w:val="00570AD5"/>
    <w:rsid w:val="00571050"/>
    <w:rsid w:val="00571B6D"/>
    <w:rsid w:val="0057279E"/>
    <w:rsid w:val="0057450D"/>
    <w:rsid w:val="005812EA"/>
    <w:rsid w:val="00584A1E"/>
    <w:rsid w:val="0058526F"/>
    <w:rsid w:val="00585FD0"/>
    <w:rsid w:val="00587932"/>
    <w:rsid w:val="00590101"/>
    <w:rsid w:val="00590116"/>
    <w:rsid w:val="00590437"/>
    <w:rsid w:val="005911E1"/>
    <w:rsid w:val="00593896"/>
    <w:rsid w:val="00593F91"/>
    <w:rsid w:val="00594554"/>
    <w:rsid w:val="00594D12"/>
    <w:rsid w:val="0059730C"/>
    <w:rsid w:val="005A05AE"/>
    <w:rsid w:val="005A0C78"/>
    <w:rsid w:val="005A0E07"/>
    <w:rsid w:val="005A28FF"/>
    <w:rsid w:val="005A2FF6"/>
    <w:rsid w:val="005A3CFA"/>
    <w:rsid w:val="005A49C3"/>
    <w:rsid w:val="005A5D87"/>
    <w:rsid w:val="005A7710"/>
    <w:rsid w:val="005B0A67"/>
    <w:rsid w:val="005B0BB8"/>
    <w:rsid w:val="005B49DD"/>
    <w:rsid w:val="005B5B17"/>
    <w:rsid w:val="005B6DBF"/>
    <w:rsid w:val="005C1FB7"/>
    <w:rsid w:val="005C2799"/>
    <w:rsid w:val="005C3AF4"/>
    <w:rsid w:val="005C4016"/>
    <w:rsid w:val="005C4F3F"/>
    <w:rsid w:val="005C5807"/>
    <w:rsid w:val="005C7621"/>
    <w:rsid w:val="005D1B69"/>
    <w:rsid w:val="005D1C82"/>
    <w:rsid w:val="005D73DE"/>
    <w:rsid w:val="005E0A0B"/>
    <w:rsid w:val="005E2EA2"/>
    <w:rsid w:val="005E30FE"/>
    <w:rsid w:val="005E35E6"/>
    <w:rsid w:val="005E5562"/>
    <w:rsid w:val="005E6457"/>
    <w:rsid w:val="005F304A"/>
    <w:rsid w:val="005F3A4D"/>
    <w:rsid w:val="005F5C7F"/>
    <w:rsid w:val="005F751E"/>
    <w:rsid w:val="0060082A"/>
    <w:rsid w:val="006008AE"/>
    <w:rsid w:val="006010C0"/>
    <w:rsid w:val="00601884"/>
    <w:rsid w:val="0060240D"/>
    <w:rsid w:val="00603C34"/>
    <w:rsid w:val="00604A6C"/>
    <w:rsid w:val="00605DDA"/>
    <w:rsid w:val="00610114"/>
    <w:rsid w:val="00610DC5"/>
    <w:rsid w:val="006110CC"/>
    <w:rsid w:val="0061401A"/>
    <w:rsid w:val="00614034"/>
    <w:rsid w:val="0061615F"/>
    <w:rsid w:val="00616522"/>
    <w:rsid w:val="0061690C"/>
    <w:rsid w:val="00616D81"/>
    <w:rsid w:val="00617152"/>
    <w:rsid w:val="0062058A"/>
    <w:rsid w:val="00621DE1"/>
    <w:rsid w:val="00622A42"/>
    <w:rsid w:val="00623CBB"/>
    <w:rsid w:val="00626100"/>
    <w:rsid w:val="00626403"/>
    <w:rsid w:val="00630695"/>
    <w:rsid w:val="006309B3"/>
    <w:rsid w:val="00631EA4"/>
    <w:rsid w:val="006326B2"/>
    <w:rsid w:val="00632D9D"/>
    <w:rsid w:val="00633C3A"/>
    <w:rsid w:val="00634CBC"/>
    <w:rsid w:val="00634D75"/>
    <w:rsid w:val="00635CD4"/>
    <w:rsid w:val="00636EB4"/>
    <w:rsid w:val="00640046"/>
    <w:rsid w:val="00641387"/>
    <w:rsid w:val="00642359"/>
    <w:rsid w:val="006424EB"/>
    <w:rsid w:val="00644C96"/>
    <w:rsid w:val="00644D0C"/>
    <w:rsid w:val="00644ED6"/>
    <w:rsid w:val="00646728"/>
    <w:rsid w:val="0064679C"/>
    <w:rsid w:val="0065063F"/>
    <w:rsid w:val="00651A7C"/>
    <w:rsid w:val="006530D6"/>
    <w:rsid w:val="00653679"/>
    <w:rsid w:val="006552F9"/>
    <w:rsid w:val="006559A4"/>
    <w:rsid w:val="00655A9F"/>
    <w:rsid w:val="006611F3"/>
    <w:rsid w:val="00661B80"/>
    <w:rsid w:val="006633ED"/>
    <w:rsid w:val="00664595"/>
    <w:rsid w:val="00665817"/>
    <w:rsid w:val="006666EB"/>
    <w:rsid w:val="00667D7D"/>
    <w:rsid w:val="00671B4A"/>
    <w:rsid w:val="00671BFD"/>
    <w:rsid w:val="00671F1D"/>
    <w:rsid w:val="00673582"/>
    <w:rsid w:val="00673684"/>
    <w:rsid w:val="00675E61"/>
    <w:rsid w:val="00677367"/>
    <w:rsid w:val="006841DC"/>
    <w:rsid w:val="00687C57"/>
    <w:rsid w:val="006910D6"/>
    <w:rsid w:val="0069141C"/>
    <w:rsid w:val="00692C75"/>
    <w:rsid w:val="0069403D"/>
    <w:rsid w:val="00694EB8"/>
    <w:rsid w:val="006976A3"/>
    <w:rsid w:val="00697E02"/>
    <w:rsid w:val="006A4EEA"/>
    <w:rsid w:val="006A6233"/>
    <w:rsid w:val="006A6F58"/>
    <w:rsid w:val="006B1E77"/>
    <w:rsid w:val="006B2AC2"/>
    <w:rsid w:val="006B4411"/>
    <w:rsid w:val="006B5BA1"/>
    <w:rsid w:val="006B648C"/>
    <w:rsid w:val="006C43C9"/>
    <w:rsid w:val="006C548D"/>
    <w:rsid w:val="006C68E0"/>
    <w:rsid w:val="006C73D0"/>
    <w:rsid w:val="006C747B"/>
    <w:rsid w:val="006D0A1F"/>
    <w:rsid w:val="006D0A8A"/>
    <w:rsid w:val="006D2B19"/>
    <w:rsid w:val="006D2F0A"/>
    <w:rsid w:val="006D35FB"/>
    <w:rsid w:val="006E020D"/>
    <w:rsid w:val="006E1E94"/>
    <w:rsid w:val="006E224F"/>
    <w:rsid w:val="006E37F0"/>
    <w:rsid w:val="006E3EF2"/>
    <w:rsid w:val="006E4B47"/>
    <w:rsid w:val="006E4DBB"/>
    <w:rsid w:val="006E6FAD"/>
    <w:rsid w:val="006E70E8"/>
    <w:rsid w:val="006F4249"/>
    <w:rsid w:val="006F47D8"/>
    <w:rsid w:val="006F4885"/>
    <w:rsid w:val="006F54B3"/>
    <w:rsid w:val="00702075"/>
    <w:rsid w:val="0070217F"/>
    <w:rsid w:val="00703EC1"/>
    <w:rsid w:val="00704FAD"/>
    <w:rsid w:val="00705A41"/>
    <w:rsid w:val="0070646F"/>
    <w:rsid w:val="00711829"/>
    <w:rsid w:val="00712B97"/>
    <w:rsid w:val="00713CC5"/>
    <w:rsid w:val="00715755"/>
    <w:rsid w:val="00715856"/>
    <w:rsid w:val="00715DDB"/>
    <w:rsid w:val="007209D8"/>
    <w:rsid w:val="00720FDD"/>
    <w:rsid w:val="0072109C"/>
    <w:rsid w:val="007234C6"/>
    <w:rsid w:val="00726704"/>
    <w:rsid w:val="00726A02"/>
    <w:rsid w:val="00726ABD"/>
    <w:rsid w:val="00726D3D"/>
    <w:rsid w:val="00730522"/>
    <w:rsid w:val="007313A4"/>
    <w:rsid w:val="007315EF"/>
    <w:rsid w:val="007321A3"/>
    <w:rsid w:val="00732BEF"/>
    <w:rsid w:val="007330CD"/>
    <w:rsid w:val="00733EF0"/>
    <w:rsid w:val="00734EB9"/>
    <w:rsid w:val="00735BF9"/>
    <w:rsid w:val="00736ADE"/>
    <w:rsid w:val="00743AB1"/>
    <w:rsid w:val="00744763"/>
    <w:rsid w:val="007453F2"/>
    <w:rsid w:val="0075179E"/>
    <w:rsid w:val="00752398"/>
    <w:rsid w:val="007525A0"/>
    <w:rsid w:val="00753F35"/>
    <w:rsid w:val="00756776"/>
    <w:rsid w:val="0076064C"/>
    <w:rsid w:val="00760A68"/>
    <w:rsid w:val="00761626"/>
    <w:rsid w:val="0076316B"/>
    <w:rsid w:val="0076365B"/>
    <w:rsid w:val="00763DED"/>
    <w:rsid w:val="007651C4"/>
    <w:rsid w:val="007657A2"/>
    <w:rsid w:val="0076599A"/>
    <w:rsid w:val="00771E96"/>
    <w:rsid w:val="00773BC3"/>
    <w:rsid w:val="00773FE5"/>
    <w:rsid w:val="00774F68"/>
    <w:rsid w:val="007763E8"/>
    <w:rsid w:val="00777665"/>
    <w:rsid w:val="00782908"/>
    <w:rsid w:val="00782A16"/>
    <w:rsid w:val="007832FF"/>
    <w:rsid w:val="00784C16"/>
    <w:rsid w:val="00786BCA"/>
    <w:rsid w:val="0078727E"/>
    <w:rsid w:val="00787ADC"/>
    <w:rsid w:val="00790E5F"/>
    <w:rsid w:val="007923EF"/>
    <w:rsid w:val="00792766"/>
    <w:rsid w:val="00792B5E"/>
    <w:rsid w:val="00793194"/>
    <w:rsid w:val="0079433D"/>
    <w:rsid w:val="00796308"/>
    <w:rsid w:val="007966E7"/>
    <w:rsid w:val="00797429"/>
    <w:rsid w:val="007975C4"/>
    <w:rsid w:val="007A058E"/>
    <w:rsid w:val="007A1BFD"/>
    <w:rsid w:val="007A26AF"/>
    <w:rsid w:val="007A29CD"/>
    <w:rsid w:val="007A583C"/>
    <w:rsid w:val="007A5ADA"/>
    <w:rsid w:val="007A6228"/>
    <w:rsid w:val="007A6558"/>
    <w:rsid w:val="007A6C72"/>
    <w:rsid w:val="007A7D9F"/>
    <w:rsid w:val="007B1607"/>
    <w:rsid w:val="007B212C"/>
    <w:rsid w:val="007B215B"/>
    <w:rsid w:val="007B2A97"/>
    <w:rsid w:val="007B2B62"/>
    <w:rsid w:val="007B2D6F"/>
    <w:rsid w:val="007B350A"/>
    <w:rsid w:val="007B547F"/>
    <w:rsid w:val="007C09CA"/>
    <w:rsid w:val="007C23C4"/>
    <w:rsid w:val="007C4827"/>
    <w:rsid w:val="007C5E92"/>
    <w:rsid w:val="007D039E"/>
    <w:rsid w:val="007D0406"/>
    <w:rsid w:val="007D1903"/>
    <w:rsid w:val="007D30EB"/>
    <w:rsid w:val="007D3713"/>
    <w:rsid w:val="007D37D9"/>
    <w:rsid w:val="007D4A23"/>
    <w:rsid w:val="007D4F9D"/>
    <w:rsid w:val="007D5317"/>
    <w:rsid w:val="007D5537"/>
    <w:rsid w:val="007D7095"/>
    <w:rsid w:val="007D7E44"/>
    <w:rsid w:val="007E5614"/>
    <w:rsid w:val="007E5BBF"/>
    <w:rsid w:val="007F17EB"/>
    <w:rsid w:val="007F49B9"/>
    <w:rsid w:val="007F60C3"/>
    <w:rsid w:val="007F64A4"/>
    <w:rsid w:val="007F7FAD"/>
    <w:rsid w:val="008007BA"/>
    <w:rsid w:val="0080162A"/>
    <w:rsid w:val="00806046"/>
    <w:rsid w:val="00806851"/>
    <w:rsid w:val="0080798B"/>
    <w:rsid w:val="008106EA"/>
    <w:rsid w:val="00811267"/>
    <w:rsid w:val="00811974"/>
    <w:rsid w:val="00812420"/>
    <w:rsid w:val="008136D3"/>
    <w:rsid w:val="00813C91"/>
    <w:rsid w:val="00814ECC"/>
    <w:rsid w:val="008152D4"/>
    <w:rsid w:val="008172FD"/>
    <w:rsid w:val="00821EED"/>
    <w:rsid w:val="0082273E"/>
    <w:rsid w:val="0082296E"/>
    <w:rsid w:val="00822B0F"/>
    <w:rsid w:val="008241B9"/>
    <w:rsid w:val="00825595"/>
    <w:rsid w:val="00827B06"/>
    <w:rsid w:val="00832362"/>
    <w:rsid w:val="0083263F"/>
    <w:rsid w:val="00834F2E"/>
    <w:rsid w:val="00836155"/>
    <w:rsid w:val="00837E1A"/>
    <w:rsid w:val="008437C4"/>
    <w:rsid w:val="008452BE"/>
    <w:rsid w:val="00845359"/>
    <w:rsid w:val="008471AB"/>
    <w:rsid w:val="00851244"/>
    <w:rsid w:val="008512D7"/>
    <w:rsid w:val="008548E0"/>
    <w:rsid w:val="0085568B"/>
    <w:rsid w:val="00856D06"/>
    <w:rsid w:val="00861312"/>
    <w:rsid w:val="00861FFC"/>
    <w:rsid w:val="00862438"/>
    <w:rsid w:val="00862CC4"/>
    <w:rsid w:val="00866E83"/>
    <w:rsid w:val="00872C69"/>
    <w:rsid w:val="008748EA"/>
    <w:rsid w:val="00875220"/>
    <w:rsid w:val="00880128"/>
    <w:rsid w:val="00880584"/>
    <w:rsid w:val="00880638"/>
    <w:rsid w:val="00880DC0"/>
    <w:rsid w:val="008826FD"/>
    <w:rsid w:val="00883D11"/>
    <w:rsid w:val="00884D6A"/>
    <w:rsid w:val="008859F3"/>
    <w:rsid w:val="00886484"/>
    <w:rsid w:val="00886A6A"/>
    <w:rsid w:val="00892DE7"/>
    <w:rsid w:val="0089389B"/>
    <w:rsid w:val="0089439E"/>
    <w:rsid w:val="0089476A"/>
    <w:rsid w:val="00894BFC"/>
    <w:rsid w:val="00894E55"/>
    <w:rsid w:val="00895C0A"/>
    <w:rsid w:val="00895D18"/>
    <w:rsid w:val="00896432"/>
    <w:rsid w:val="00897781"/>
    <w:rsid w:val="008A0B36"/>
    <w:rsid w:val="008A1AB4"/>
    <w:rsid w:val="008A1DF7"/>
    <w:rsid w:val="008A24A9"/>
    <w:rsid w:val="008A28E4"/>
    <w:rsid w:val="008A3756"/>
    <w:rsid w:val="008A3AF0"/>
    <w:rsid w:val="008A4B6B"/>
    <w:rsid w:val="008A790F"/>
    <w:rsid w:val="008A7BAD"/>
    <w:rsid w:val="008B0D24"/>
    <w:rsid w:val="008B4AEC"/>
    <w:rsid w:val="008B5A53"/>
    <w:rsid w:val="008B7B50"/>
    <w:rsid w:val="008B7EB8"/>
    <w:rsid w:val="008C3473"/>
    <w:rsid w:val="008C7824"/>
    <w:rsid w:val="008D2395"/>
    <w:rsid w:val="008D260E"/>
    <w:rsid w:val="008D3A01"/>
    <w:rsid w:val="008D3F2F"/>
    <w:rsid w:val="008D40A9"/>
    <w:rsid w:val="008D611A"/>
    <w:rsid w:val="008D6834"/>
    <w:rsid w:val="008D7211"/>
    <w:rsid w:val="008E03E9"/>
    <w:rsid w:val="008E2D9C"/>
    <w:rsid w:val="008E3B83"/>
    <w:rsid w:val="008E3C67"/>
    <w:rsid w:val="008E418D"/>
    <w:rsid w:val="008E551E"/>
    <w:rsid w:val="008E5AF4"/>
    <w:rsid w:val="008E6B25"/>
    <w:rsid w:val="008E6B60"/>
    <w:rsid w:val="008E7929"/>
    <w:rsid w:val="008F064C"/>
    <w:rsid w:val="008F156F"/>
    <w:rsid w:val="008F2F17"/>
    <w:rsid w:val="008F3352"/>
    <w:rsid w:val="008F33B8"/>
    <w:rsid w:val="008F507E"/>
    <w:rsid w:val="008F5C07"/>
    <w:rsid w:val="008F7445"/>
    <w:rsid w:val="008F76C2"/>
    <w:rsid w:val="00900656"/>
    <w:rsid w:val="00900D91"/>
    <w:rsid w:val="009019ED"/>
    <w:rsid w:val="00903A51"/>
    <w:rsid w:val="0090538E"/>
    <w:rsid w:val="009059EE"/>
    <w:rsid w:val="0091162A"/>
    <w:rsid w:val="009125C2"/>
    <w:rsid w:val="009130FE"/>
    <w:rsid w:val="0091316A"/>
    <w:rsid w:val="00915118"/>
    <w:rsid w:val="009168D6"/>
    <w:rsid w:val="009179F5"/>
    <w:rsid w:val="00920311"/>
    <w:rsid w:val="0092118B"/>
    <w:rsid w:val="009217DD"/>
    <w:rsid w:val="00922ACE"/>
    <w:rsid w:val="00925402"/>
    <w:rsid w:val="009259F9"/>
    <w:rsid w:val="00926142"/>
    <w:rsid w:val="009300A5"/>
    <w:rsid w:val="0093056A"/>
    <w:rsid w:val="00930F92"/>
    <w:rsid w:val="00931EED"/>
    <w:rsid w:val="00932000"/>
    <w:rsid w:val="00933EAC"/>
    <w:rsid w:val="00934ECD"/>
    <w:rsid w:val="00935052"/>
    <w:rsid w:val="009362EF"/>
    <w:rsid w:val="009400E0"/>
    <w:rsid w:val="00940437"/>
    <w:rsid w:val="00943B63"/>
    <w:rsid w:val="00944DF1"/>
    <w:rsid w:val="00946387"/>
    <w:rsid w:val="0094788C"/>
    <w:rsid w:val="0095037A"/>
    <w:rsid w:val="00951208"/>
    <w:rsid w:val="00951723"/>
    <w:rsid w:val="00951B73"/>
    <w:rsid w:val="00955019"/>
    <w:rsid w:val="0095562E"/>
    <w:rsid w:val="00955ABA"/>
    <w:rsid w:val="00955CC0"/>
    <w:rsid w:val="00956FCE"/>
    <w:rsid w:val="009603E2"/>
    <w:rsid w:val="009612D4"/>
    <w:rsid w:val="00962B0D"/>
    <w:rsid w:val="00962C9F"/>
    <w:rsid w:val="00963370"/>
    <w:rsid w:val="00964166"/>
    <w:rsid w:val="00965375"/>
    <w:rsid w:val="009658E2"/>
    <w:rsid w:val="00966379"/>
    <w:rsid w:val="009669AF"/>
    <w:rsid w:val="00966D85"/>
    <w:rsid w:val="0096790E"/>
    <w:rsid w:val="00967B10"/>
    <w:rsid w:val="00970227"/>
    <w:rsid w:val="00971E6C"/>
    <w:rsid w:val="00971F26"/>
    <w:rsid w:val="00973584"/>
    <w:rsid w:val="00973C89"/>
    <w:rsid w:val="00975049"/>
    <w:rsid w:val="009764DF"/>
    <w:rsid w:val="009766FA"/>
    <w:rsid w:val="00976C1D"/>
    <w:rsid w:val="00981A08"/>
    <w:rsid w:val="00981AE5"/>
    <w:rsid w:val="00981DC8"/>
    <w:rsid w:val="0098332C"/>
    <w:rsid w:val="0098562E"/>
    <w:rsid w:val="00987539"/>
    <w:rsid w:val="0099265D"/>
    <w:rsid w:val="0099634D"/>
    <w:rsid w:val="009977DF"/>
    <w:rsid w:val="009A05A1"/>
    <w:rsid w:val="009A0730"/>
    <w:rsid w:val="009A180D"/>
    <w:rsid w:val="009A261D"/>
    <w:rsid w:val="009A2A28"/>
    <w:rsid w:val="009A3D0A"/>
    <w:rsid w:val="009A4897"/>
    <w:rsid w:val="009A519D"/>
    <w:rsid w:val="009A6146"/>
    <w:rsid w:val="009B33BB"/>
    <w:rsid w:val="009B3855"/>
    <w:rsid w:val="009B4B81"/>
    <w:rsid w:val="009B5171"/>
    <w:rsid w:val="009C03AD"/>
    <w:rsid w:val="009C10D5"/>
    <w:rsid w:val="009C204E"/>
    <w:rsid w:val="009C4D9F"/>
    <w:rsid w:val="009D05E6"/>
    <w:rsid w:val="009D1035"/>
    <w:rsid w:val="009D373F"/>
    <w:rsid w:val="009D3F25"/>
    <w:rsid w:val="009D48E3"/>
    <w:rsid w:val="009D74F9"/>
    <w:rsid w:val="009E2A59"/>
    <w:rsid w:val="009E3B73"/>
    <w:rsid w:val="009E7629"/>
    <w:rsid w:val="009F50A2"/>
    <w:rsid w:val="009F6A11"/>
    <w:rsid w:val="009F6B2F"/>
    <w:rsid w:val="009F6E52"/>
    <w:rsid w:val="00A01C78"/>
    <w:rsid w:val="00A01D6A"/>
    <w:rsid w:val="00A02820"/>
    <w:rsid w:val="00A0619E"/>
    <w:rsid w:val="00A06D2A"/>
    <w:rsid w:val="00A07477"/>
    <w:rsid w:val="00A11B2A"/>
    <w:rsid w:val="00A1226B"/>
    <w:rsid w:val="00A127FE"/>
    <w:rsid w:val="00A12A64"/>
    <w:rsid w:val="00A14B19"/>
    <w:rsid w:val="00A1550D"/>
    <w:rsid w:val="00A15D4A"/>
    <w:rsid w:val="00A21336"/>
    <w:rsid w:val="00A22ACE"/>
    <w:rsid w:val="00A245D6"/>
    <w:rsid w:val="00A26858"/>
    <w:rsid w:val="00A2755C"/>
    <w:rsid w:val="00A279DB"/>
    <w:rsid w:val="00A3096D"/>
    <w:rsid w:val="00A31BCC"/>
    <w:rsid w:val="00A31E76"/>
    <w:rsid w:val="00A32570"/>
    <w:rsid w:val="00A3262D"/>
    <w:rsid w:val="00A32B83"/>
    <w:rsid w:val="00A35255"/>
    <w:rsid w:val="00A36784"/>
    <w:rsid w:val="00A36B66"/>
    <w:rsid w:val="00A37272"/>
    <w:rsid w:val="00A40906"/>
    <w:rsid w:val="00A40F22"/>
    <w:rsid w:val="00A429B2"/>
    <w:rsid w:val="00A450E7"/>
    <w:rsid w:val="00A45B4C"/>
    <w:rsid w:val="00A51131"/>
    <w:rsid w:val="00A53716"/>
    <w:rsid w:val="00A53FB4"/>
    <w:rsid w:val="00A5547A"/>
    <w:rsid w:val="00A56E8D"/>
    <w:rsid w:val="00A60496"/>
    <w:rsid w:val="00A610AC"/>
    <w:rsid w:val="00A61E8C"/>
    <w:rsid w:val="00A64AD7"/>
    <w:rsid w:val="00A70E88"/>
    <w:rsid w:val="00A7224C"/>
    <w:rsid w:val="00A76577"/>
    <w:rsid w:val="00A77D07"/>
    <w:rsid w:val="00A822AD"/>
    <w:rsid w:val="00A83414"/>
    <w:rsid w:val="00A86502"/>
    <w:rsid w:val="00A86F4F"/>
    <w:rsid w:val="00A87015"/>
    <w:rsid w:val="00A90185"/>
    <w:rsid w:val="00A917DF"/>
    <w:rsid w:val="00A9232C"/>
    <w:rsid w:val="00A93914"/>
    <w:rsid w:val="00A9572B"/>
    <w:rsid w:val="00AA33F4"/>
    <w:rsid w:val="00AA5B0F"/>
    <w:rsid w:val="00AA5DE9"/>
    <w:rsid w:val="00AA6B5E"/>
    <w:rsid w:val="00AA6D1B"/>
    <w:rsid w:val="00AB09B2"/>
    <w:rsid w:val="00AB2904"/>
    <w:rsid w:val="00AB52B7"/>
    <w:rsid w:val="00AC020F"/>
    <w:rsid w:val="00AC06D6"/>
    <w:rsid w:val="00AC1992"/>
    <w:rsid w:val="00AC215B"/>
    <w:rsid w:val="00AC564D"/>
    <w:rsid w:val="00AC651D"/>
    <w:rsid w:val="00AC6852"/>
    <w:rsid w:val="00AD0E99"/>
    <w:rsid w:val="00AD28DA"/>
    <w:rsid w:val="00AD3925"/>
    <w:rsid w:val="00AD54EE"/>
    <w:rsid w:val="00AD6B81"/>
    <w:rsid w:val="00AE4287"/>
    <w:rsid w:val="00AF1E49"/>
    <w:rsid w:val="00AF2686"/>
    <w:rsid w:val="00AF2690"/>
    <w:rsid w:val="00AF3E9D"/>
    <w:rsid w:val="00AF4E99"/>
    <w:rsid w:val="00B0081E"/>
    <w:rsid w:val="00B04262"/>
    <w:rsid w:val="00B05255"/>
    <w:rsid w:val="00B0572A"/>
    <w:rsid w:val="00B07CD3"/>
    <w:rsid w:val="00B132F8"/>
    <w:rsid w:val="00B14ACE"/>
    <w:rsid w:val="00B161C3"/>
    <w:rsid w:val="00B174A0"/>
    <w:rsid w:val="00B21FBE"/>
    <w:rsid w:val="00B221B8"/>
    <w:rsid w:val="00B221BF"/>
    <w:rsid w:val="00B230C8"/>
    <w:rsid w:val="00B259AA"/>
    <w:rsid w:val="00B30312"/>
    <w:rsid w:val="00B35A8B"/>
    <w:rsid w:val="00B378AE"/>
    <w:rsid w:val="00B428C3"/>
    <w:rsid w:val="00B45134"/>
    <w:rsid w:val="00B520C4"/>
    <w:rsid w:val="00B536C9"/>
    <w:rsid w:val="00B55558"/>
    <w:rsid w:val="00B56DE3"/>
    <w:rsid w:val="00B571FC"/>
    <w:rsid w:val="00B578FF"/>
    <w:rsid w:val="00B57C26"/>
    <w:rsid w:val="00B62B50"/>
    <w:rsid w:val="00B63BE7"/>
    <w:rsid w:val="00B63DB4"/>
    <w:rsid w:val="00B6457B"/>
    <w:rsid w:val="00B657EE"/>
    <w:rsid w:val="00B66DCB"/>
    <w:rsid w:val="00B74EDB"/>
    <w:rsid w:val="00B76434"/>
    <w:rsid w:val="00B76E07"/>
    <w:rsid w:val="00B8089A"/>
    <w:rsid w:val="00B80ADA"/>
    <w:rsid w:val="00B8198B"/>
    <w:rsid w:val="00B81D28"/>
    <w:rsid w:val="00B81F89"/>
    <w:rsid w:val="00B837D4"/>
    <w:rsid w:val="00B83B89"/>
    <w:rsid w:val="00B843AC"/>
    <w:rsid w:val="00B85389"/>
    <w:rsid w:val="00B86317"/>
    <w:rsid w:val="00B87828"/>
    <w:rsid w:val="00B87D82"/>
    <w:rsid w:val="00B91E36"/>
    <w:rsid w:val="00B946CF"/>
    <w:rsid w:val="00B95788"/>
    <w:rsid w:val="00B959B0"/>
    <w:rsid w:val="00B9621F"/>
    <w:rsid w:val="00B96FE9"/>
    <w:rsid w:val="00BA48A9"/>
    <w:rsid w:val="00BA4C2E"/>
    <w:rsid w:val="00BA6CF1"/>
    <w:rsid w:val="00BA7CE9"/>
    <w:rsid w:val="00BB169E"/>
    <w:rsid w:val="00BB57CF"/>
    <w:rsid w:val="00BB66FB"/>
    <w:rsid w:val="00BB6724"/>
    <w:rsid w:val="00BB7C5D"/>
    <w:rsid w:val="00BC044A"/>
    <w:rsid w:val="00BC0B37"/>
    <w:rsid w:val="00BC13D4"/>
    <w:rsid w:val="00BC1AE4"/>
    <w:rsid w:val="00BC27B4"/>
    <w:rsid w:val="00BC2C4B"/>
    <w:rsid w:val="00BC42BA"/>
    <w:rsid w:val="00BC4AF7"/>
    <w:rsid w:val="00BC5285"/>
    <w:rsid w:val="00BC5477"/>
    <w:rsid w:val="00BC55E3"/>
    <w:rsid w:val="00BC60CC"/>
    <w:rsid w:val="00BC6628"/>
    <w:rsid w:val="00BC7511"/>
    <w:rsid w:val="00BD08C4"/>
    <w:rsid w:val="00BD0AA8"/>
    <w:rsid w:val="00BD14A0"/>
    <w:rsid w:val="00BD2E78"/>
    <w:rsid w:val="00BD3F14"/>
    <w:rsid w:val="00BD425B"/>
    <w:rsid w:val="00BD61F7"/>
    <w:rsid w:val="00BD7096"/>
    <w:rsid w:val="00BD7C57"/>
    <w:rsid w:val="00BD7FB0"/>
    <w:rsid w:val="00BE1D47"/>
    <w:rsid w:val="00BE2435"/>
    <w:rsid w:val="00BE3367"/>
    <w:rsid w:val="00BE4C6C"/>
    <w:rsid w:val="00BE5C4A"/>
    <w:rsid w:val="00BE7CB7"/>
    <w:rsid w:val="00BF3883"/>
    <w:rsid w:val="00BF4469"/>
    <w:rsid w:val="00BF7D83"/>
    <w:rsid w:val="00C0113E"/>
    <w:rsid w:val="00C021C8"/>
    <w:rsid w:val="00C02776"/>
    <w:rsid w:val="00C02C14"/>
    <w:rsid w:val="00C039EF"/>
    <w:rsid w:val="00C04AD8"/>
    <w:rsid w:val="00C05222"/>
    <w:rsid w:val="00C05A63"/>
    <w:rsid w:val="00C064D9"/>
    <w:rsid w:val="00C06A3D"/>
    <w:rsid w:val="00C06E08"/>
    <w:rsid w:val="00C110AC"/>
    <w:rsid w:val="00C12BFC"/>
    <w:rsid w:val="00C13583"/>
    <w:rsid w:val="00C159F0"/>
    <w:rsid w:val="00C1770E"/>
    <w:rsid w:val="00C21B5F"/>
    <w:rsid w:val="00C236D5"/>
    <w:rsid w:val="00C25C56"/>
    <w:rsid w:val="00C270E9"/>
    <w:rsid w:val="00C27E59"/>
    <w:rsid w:val="00C27F28"/>
    <w:rsid w:val="00C32327"/>
    <w:rsid w:val="00C3252C"/>
    <w:rsid w:val="00C3415D"/>
    <w:rsid w:val="00C366A1"/>
    <w:rsid w:val="00C366B1"/>
    <w:rsid w:val="00C36EC5"/>
    <w:rsid w:val="00C41C48"/>
    <w:rsid w:val="00C424CC"/>
    <w:rsid w:val="00C429C6"/>
    <w:rsid w:val="00C44B89"/>
    <w:rsid w:val="00C451C0"/>
    <w:rsid w:val="00C45D87"/>
    <w:rsid w:val="00C46B30"/>
    <w:rsid w:val="00C479AE"/>
    <w:rsid w:val="00C50003"/>
    <w:rsid w:val="00C50D34"/>
    <w:rsid w:val="00C556AB"/>
    <w:rsid w:val="00C56B57"/>
    <w:rsid w:val="00C570D1"/>
    <w:rsid w:val="00C57E58"/>
    <w:rsid w:val="00C61CF2"/>
    <w:rsid w:val="00C62510"/>
    <w:rsid w:val="00C6292A"/>
    <w:rsid w:val="00C62C80"/>
    <w:rsid w:val="00C62EAB"/>
    <w:rsid w:val="00C63BE1"/>
    <w:rsid w:val="00C65616"/>
    <w:rsid w:val="00C65B49"/>
    <w:rsid w:val="00C67577"/>
    <w:rsid w:val="00C6773D"/>
    <w:rsid w:val="00C73553"/>
    <w:rsid w:val="00C762F1"/>
    <w:rsid w:val="00C7752B"/>
    <w:rsid w:val="00C77C3C"/>
    <w:rsid w:val="00C80359"/>
    <w:rsid w:val="00C80F6E"/>
    <w:rsid w:val="00C816FF"/>
    <w:rsid w:val="00C858ED"/>
    <w:rsid w:val="00C85A4D"/>
    <w:rsid w:val="00C85B3E"/>
    <w:rsid w:val="00C8684F"/>
    <w:rsid w:val="00C87534"/>
    <w:rsid w:val="00C90269"/>
    <w:rsid w:val="00C91C99"/>
    <w:rsid w:val="00C92F75"/>
    <w:rsid w:val="00C93304"/>
    <w:rsid w:val="00C9332F"/>
    <w:rsid w:val="00C933A5"/>
    <w:rsid w:val="00C936D7"/>
    <w:rsid w:val="00C96738"/>
    <w:rsid w:val="00C97CC0"/>
    <w:rsid w:val="00CA29D0"/>
    <w:rsid w:val="00CA2E18"/>
    <w:rsid w:val="00CA406C"/>
    <w:rsid w:val="00CA4690"/>
    <w:rsid w:val="00CA4BD2"/>
    <w:rsid w:val="00CA55E8"/>
    <w:rsid w:val="00CA7E84"/>
    <w:rsid w:val="00CB33C9"/>
    <w:rsid w:val="00CB3899"/>
    <w:rsid w:val="00CB7D1A"/>
    <w:rsid w:val="00CB7DF1"/>
    <w:rsid w:val="00CC1551"/>
    <w:rsid w:val="00CC32C2"/>
    <w:rsid w:val="00CC33B2"/>
    <w:rsid w:val="00CC5A4C"/>
    <w:rsid w:val="00CC7C18"/>
    <w:rsid w:val="00CD0E1B"/>
    <w:rsid w:val="00CD11CA"/>
    <w:rsid w:val="00CD1D8F"/>
    <w:rsid w:val="00CD1FB2"/>
    <w:rsid w:val="00CD2B00"/>
    <w:rsid w:val="00CD3E9C"/>
    <w:rsid w:val="00CD54E0"/>
    <w:rsid w:val="00CD6D3E"/>
    <w:rsid w:val="00CD746B"/>
    <w:rsid w:val="00CE29AD"/>
    <w:rsid w:val="00CE5018"/>
    <w:rsid w:val="00CE5666"/>
    <w:rsid w:val="00CE5B66"/>
    <w:rsid w:val="00CE7443"/>
    <w:rsid w:val="00CF0CFC"/>
    <w:rsid w:val="00CF3535"/>
    <w:rsid w:val="00CF42E9"/>
    <w:rsid w:val="00CF4AD8"/>
    <w:rsid w:val="00D05CEF"/>
    <w:rsid w:val="00D06970"/>
    <w:rsid w:val="00D06C8D"/>
    <w:rsid w:val="00D07946"/>
    <w:rsid w:val="00D10063"/>
    <w:rsid w:val="00D107C1"/>
    <w:rsid w:val="00D1130D"/>
    <w:rsid w:val="00D12458"/>
    <w:rsid w:val="00D12D60"/>
    <w:rsid w:val="00D1367F"/>
    <w:rsid w:val="00D14653"/>
    <w:rsid w:val="00D154E9"/>
    <w:rsid w:val="00D160D8"/>
    <w:rsid w:val="00D16ED3"/>
    <w:rsid w:val="00D209C5"/>
    <w:rsid w:val="00D21AEE"/>
    <w:rsid w:val="00D22969"/>
    <w:rsid w:val="00D23397"/>
    <w:rsid w:val="00D239E0"/>
    <w:rsid w:val="00D23C68"/>
    <w:rsid w:val="00D243CD"/>
    <w:rsid w:val="00D24429"/>
    <w:rsid w:val="00D25185"/>
    <w:rsid w:val="00D25777"/>
    <w:rsid w:val="00D263C0"/>
    <w:rsid w:val="00D26B88"/>
    <w:rsid w:val="00D27158"/>
    <w:rsid w:val="00D27C8B"/>
    <w:rsid w:val="00D30643"/>
    <w:rsid w:val="00D30DDF"/>
    <w:rsid w:val="00D31BB2"/>
    <w:rsid w:val="00D31C09"/>
    <w:rsid w:val="00D31FB1"/>
    <w:rsid w:val="00D3318C"/>
    <w:rsid w:val="00D335CA"/>
    <w:rsid w:val="00D33C17"/>
    <w:rsid w:val="00D345EB"/>
    <w:rsid w:val="00D36765"/>
    <w:rsid w:val="00D37ABA"/>
    <w:rsid w:val="00D37AED"/>
    <w:rsid w:val="00D448AF"/>
    <w:rsid w:val="00D45034"/>
    <w:rsid w:val="00D454A1"/>
    <w:rsid w:val="00D46544"/>
    <w:rsid w:val="00D534C9"/>
    <w:rsid w:val="00D54F7B"/>
    <w:rsid w:val="00D5572C"/>
    <w:rsid w:val="00D55E69"/>
    <w:rsid w:val="00D5649A"/>
    <w:rsid w:val="00D57A7E"/>
    <w:rsid w:val="00D60DEE"/>
    <w:rsid w:val="00D621D9"/>
    <w:rsid w:val="00D62506"/>
    <w:rsid w:val="00D64335"/>
    <w:rsid w:val="00D64B5C"/>
    <w:rsid w:val="00D656CA"/>
    <w:rsid w:val="00D6682B"/>
    <w:rsid w:val="00D67D71"/>
    <w:rsid w:val="00D70493"/>
    <w:rsid w:val="00D709FB"/>
    <w:rsid w:val="00D70DB6"/>
    <w:rsid w:val="00D8068F"/>
    <w:rsid w:val="00D806C9"/>
    <w:rsid w:val="00D807DD"/>
    <w:rsid w:val="00D8390B"/>
    <w:rsid w:val="00D848A8"/>
    <w:rsid w:val="00D85889"/>
    <w:rsid w:val="00D85C4D"/>
    <w:rsid w:val="00D869A7"/>
    <w:rsid w:val="00D86C35"/>
    <w:rsid w:val="00D908DB"/>
    <w:rsid w:val="00D9183D"/>
    <w:rsid w:val="00D92A8F"/>
    <w:rsid w:val="00D966A7"/>
    <w:rsid w:val="00D97655"/>
    <w:rsid w:val="00DA117C"/>
    <w:rsid w:val="00DA3BA6"/>
    <w:rsid w:val="00DA4B0F"/>
    <w:rsid w:val="00DA4BBE"/>
    <w:rsid w:val="00DA7E39"/>
    <w:rsid w:val="00DB297D"/>
    <w:rsid w:val="00DB322F"/>
    <w:rsid w:val="00DC1820"/>
    <w:rsid w:val="00DC19CA"/>
    <w:rsid w:val="00DC23D8"/>
    <w:rsid w:val="00DC28D7"/>
    <w:rsid w:val="00DC2C66"/>
    <w:rsid w:val="00DC4876"/>
    <w:rsid w:val="00DC5E03"/>
    <w:rsid w:val="00DC605B"/>
    <w:rsid w:val="00DC6772"/>
    <w:rsid w:val="00DD1C2C"/>
    <w:rsid w:val="00DD349E"/>
    <w:rsid w:val="00DD5385"/>
    <w:rsid w:val="00DE029D"/>
    <w:rsid w:val="00DE065E"/>
    <w:rsid w:val="00DE0B4E"/>
    <w:rsid w:val="00DE250F"/>
    <w:rsid w:val="00DE2E83"/>
    <w:rsid w:val="00DE31AB"/>
    <w:rsid w:val="00DE3562"/>
    <w:rsid w:val="00DE37BD"/>
    <w:rsid w:val="00DE3D04"/>
    <w:rsid w:val="00DE50E3"/>
    <w:rsid w:val="00DE7062"/>
    <w:rsid w:val="00DF09CA"/>
    <w:rsid w:val="00DF0D49"/>
    <w:rsid w:val="00DF3EFA"/>
    <w:rsid w:val="00DF515B"/>
    <w:rsid w:val="00DF5D1F"/>
    <w:rsid w:val="00DF610D"/>
    <w:rsid w:val="00E006F8"/>
    <w:rsid w:val="00E02FE4"/>
    <w:rsid w:val="00E04FCC"/>
    <w:rsid w:val="00E077FB"/>
    <w:rsid w:val="00E079CE"/>
    <w:rsid w:val="00E11FA7"/>
    <w:rsid w:val="00E126EF"/>
    <w:rsid w:val="00E12FF9"/>
    <w:rsid w:val="00E136AC"/>
    <w:rsid w:val="00E15DA1"/>
    <w:rsid w:val="00E16DFD"/>
    <w:rsid w:val="00E178A2"/>
    <w:rsid w:val="00E17A0B"/>
    <w:rsid w:val="00E209B3"/>
    <w:rsid w:val="00E20D6B"/>
    <w:rsid w:val="00E21FE1"/>
    <w:rsid w:val="00E2275E"/>
    <w:rsid w:val="00E22A48"/>
    <w:rsid w:val="00E233BC"/>
    <w:rsid w:val="00E24B23"/>
    <w:rsid w:val="00E27F26"/>
    <w:rsid w:val="00E3033B"/>
    <w:rsid w:val="00E3049C"/>
    <w:rsid w:val="00E30809"/>
    <w:rsid w:val="00E333A9"/>
    <w:rsid w:val="00E339BF"/>
    <w:rsid w:val="00E33C55"/>
    <w:rsid w:val="00E340EE"/>
    <w:rsid w:val="00E3473E"/>
    <w:rsid w:val="00E35949"/>
    <w:rsid w:val="00E35FA5"/>
    <w:rsid w:val="00E408D2"/>
    <w:rsid w:val="00E42432"/>
    <w:rsid w:val="00E43F42"/>
    <w:rsid w:val="00E47248"/>
    <w:rsid w:val="00E47903"/>
    <w:rsid w:val="00E50EFF"/>
    <w:rsid w:val="00E541EF"/>
    <w:rsid w:val="00E55627"/>
    <w:rsid w:val="00E560E6"/>
    <w:rsid w:val="00E62387"/>
    <w:rsid w:val="00E62948"/>
    <w:rsid w:val="00E635A2"/>
    <w:rsid w:val="00E6588F"/>
    <w:rsid w:val="00E65D30"/>
    <w:rsid w:val="00E67427"/>
    <w:rsid w:val="00E67578"/>
    <w:rsid w:val="00E71825"/>
    <w:rsid w:val="00E72BF8"/>
    <w:rsid w:val="00E733BE"/>
    <w:rsid w:val="00E761C3"/>
    <w:rsid w:val="00E77510"/>
    <w:rsid w:val="00E80139"/>
    <w:rsid w:val="00E80ED3"/>
    <w:rsid w:val="00E80ED6"/>
    <w:rsid w:val="00E838DF"/>
    <w:rsid w:val="00E85210"/>
    <w:rsid w:val="00E875E3"/>
    <w:rsid w:val="00E9621E"/>
    <w:rsid w:val="00E96BE3"/>
    <w:rsid w:val="00E97A36"/>
    <w:rsid w:val="00EA0371"/>
    <w:rsid w:val="00EA1FEB"/>
    <w:rsid w:val="00EA2E00"/>
    <w:rsid w:val="00EA39D4"/>
    <w:rsid w:val="00EA5C6F"/>
    <w:rsid w:val="00EA76E2"/>
    <w:rsid w:val="00EA7E21"/>
    <w:rsid w:val="00EB155A"/>
    <w:rsid w:val="00EB1FBC"/>
    <w:rsid w:val="00EB332C"/>
    <w:rsid w:val="00EB3CC2"/>
    <w:rsid w:val="00EB3F70"/>
    <w:rsid w:val="00EB4A80"/>
    <w:rsid w:val="00EB560C"/>
    <w:rsid w:val="00EB763A"/>
    <w:rsid w:val="00EB770E"/>
    <w:rsid w:val="00EC12EF"/>
    <w:rsid w:val="00EC1F59"/>
    <w:rsid w:val="00EC6D43"/>
    <w:rsid w:val="00EC7999"/>
    <w:rsid w:val="00ED19DF"/>
    <w:rsid w:val="00ED7B42"/>
    <w:rsid w:val="00EE0420"/>
    <w:rsid w:val="00EE1540"/>
    <w:rsid w:val="00EE294B"/>
    <w:rsid w:val="00EE42C6"/>
    <w:rsid w:val="00EE47C8"/>
    <w:rsid w:val="00EE4DA7"/>
    <w:rsid w:val="00EE726E"/>
    <w:rsid w:val="00EF30CA"/>
    <w:rsid w:val="00EF3D56"/>
    <w:rsid w:val="00EF49E5"/>
    <w:rsid w:val="00F0076E"/>
    <w:rsid w:val="00F019F8"/>
    <w:rsid w:val="00F06CD8"/>
    <w:rsid w:val="00F07956"/>
    <w:rsid w:val="00F10116"/>
    <w:rsid w:val="00F107AF"/>
    <w:rsid w:val="00F10F58"/>
    <w:rsid w:val="00F121C3"/>
    <w:rsid w:val="00F12E5D"/>
    <w:rsid w:val="00F15E16"/>
    <w:rsid w:val="00F1640A"/>
    <w:rsid w:val="00F17AC4"/>
    <w:rsid w:val="00F21090"/>
    <w:rsid w:val="00F25A61"/>
    <w:rsid w:val="00F25C38"/>
    <w:rsid w:val="00F27EF2"/>
    <w:rsid w:val="00F31214"/>
    <w:rsid w:val="00F317FB"/>
    <w:rsid w:val="00F32116"/>
    <w:rsid w:val="00F32670"/>
    <w:rsid w:val="00F329CC"/>
    <w:rsid w:val="00F329F1"/>
    <w:rsid w:val="00F331AB"/>
    <w:rsid w:val="00F339E7"/>
    <w:rsid w:val="00F343AA"/>
    <w:rsid w:val="00F36020"/>
    <w:rsid w:val="00F36EF3"/>
    <w:rsid w:val="00F3714C"/>
    <w:rsid w:val="00F375E5"/>
    <w:rsid w:val="00F4018D"/>
    <w:rsid w:val="00F40529"/>
    <w:rsid w:val="00F41417"/>
    <w:rsid w:val="00F41D87"/>
    <w:rsid w:val="00F443BF"/>
    <w:rsid w:val="00F44B92"/>
    <w:rsid w:val="00F45084"/>
    <w:rsid w:val="00F45322"/>
    <w:rsid w:val="00F46754"/>
    <w:rsid w:val="00F46A03"/>
    <w:rsid w:val="00F50B5E"/>
    <w:rsid w:val="00F50D5A"/>
    <w:rsid w:val="00F57DE6"/>
    <w:rsid w:val="00F605E9"/>
    <w:rsid w:val="00F6244F"/>
    <w:rsid w:val="00F6307D"/>
    <w:rsid w:val="00F63D30"/>
    <w:rsid w:val="00F642F9"/>
    <w:rsid w:val="00F64C5D"/>
    <w:rsid w:val="00F6756B"/>
    <w:rsid w:val="00F6792E"/>
    <w:rsid w:val="00F703D8"/>
    <w:rsid w:val="00F71A24"/>
    <w:rsid w:val="00F73251"/>
    <w:rsid w:val="00F748DB"/>
    <w:rsid w:val="00F757B8"/>
    <w:rsid w:val="00F77929"/>
    <w:rsid w:val="00F77AE8"/>
    <w:rsid w:val="00F77CE9"/>
    <w:rsid w:val="00F804DA"/>
    <w:rsid w:val="00F817D7"/>
    <w:rsid w:val="00F81A7B"/>
    <w:rsid w:val="00F83313"/>
    <w:rsid w:val="00F85125"/>
    <w:rsid w:val="00F851B5"/>
    <w:rsid w:val="00F858FE"/>
    <w:rsid w:val="00F8629D"/>
    <w:rsid w:val="00F868EA"/>
    <w:rsid w:val="00F86C13"/>
    <w:rsid w:val="00F908CC"/>
    <w:rsid w:val="00F93F25"/>
    <w:rsid w:val="00F962B0"/>
    <w:rsid w:val="00FA0889"/>
    <w:rsid w:val="00FA2460"/>
    <w:rsid w:val="00FA36A5"/>
    <w:rsid w:val="00FA4DFC"/>
    <w:rsid w:val="00FA50CE"/>
    <w:rsid w:val="00FA6E8D"/>
    <w:rsid w:val="00FA7342"/>
    <w:rsid w:val="00FB0567"/>
    <w:rsid w:val="00FB05B7"/>
    <w:rsid w:val="00FB0FBB"/>
    <w:rsid w:val="00FB3664"/>
    <w:rsid w:val="00FB3C3A"/>
    <w:rsid w:val="00FB5AAA"/>
    <w:rsid w:val="00FC1BCF"/>
    <w:rsid w:val="00FC280D"/>
    <w:rsid w:val="00FD0C85"/>
    <w:rsid w:val="00FD28B6"/>
    <w:rsid w:val="00FD2DAC"/>
    <w:rsid w:val="00FD4608"/>
    <w:rsid w:val="00FD4D1A"/>
    <w:rsid w:val="00FD6D12"/>
    <w:rsid w:val="00FE028F"/>
    <w:rsid w:val="00FE03EC"/>
    <w:rsid w:val="00FE0ECF"/>
    <w:rsid w:val="00FE297B"/>
    <w:rsid w:val="00FE345D"/>
    <w:rsid w:val="00FE3DF5"/>
    <w:rsid w:val="00FE5895"/>
    <w:rsid w:val="00FE5AE7"/>
    <w:rsid w:val="00FE6406"/>
    <w:rsid w:val="00FE6F5E"/>
    <w:rsid w:val="00FF05A3"/>
    <w:rsid w:val="00FF1AD7"/>
    <w:rsid w:val="00FF1D04"/>
    <w:rsid w:val="00FF1DD7"/>
    <w:rsid w:val="00FF320E"/>
    <w:rsid w:val="00FF36C1"/>
    <w:rsid w:val="00FF3C68"/>
    <w:rsid w:val="00FF3CEB"/>
    <w:rsid w:val="00FF4DC2"/>
    <w:rsid w:val="00FF6189"/>
    <w:rsid w:val="00FF75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F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E079CE"/>
    <w:pPr>
      <w:spacing w:before="120" w:after="240"/>
      <w:jc w:val="both"/>
    </w:pPr>
    <w:rPr>
      <w:rFonts w:asciiTheme="minorHAnsi" w:hAnsiTheme="minorHAnsi" w:cstheme="minorHAnsi"/>
      <w:sz w:val="22"/>
      <w:szCs w:val="22"/>
    </w:rPr>
  </w:style>
  <w:style w:type="paragraph" w:styleId="Heading1">
    <w:name w:val="heading 1"/>
    <w:basedOn w:val="Normal"/>
    <w:next w:val="Normal"/>
    <w:link w:val="Heading1Char"/>
    <w:qFormat/>
    <w:rsid w:val="00C12BFC"/>
    <w:pPr>
      <w:keepNext/>
      <w:pageBreakBefore/>
      <w:spacing w:after="120"/>
      <w:outlineLvl w:val="0"/>
    </w:pPr>
    <w:rPr>
      <w:b/>
      <w:bCs/>
      <w:caps/>
      <w:kern w:val="32"/>
      <w:sz w:val="32"/>
      <w:szCs w:val="32"/>
    </w:rPr>
  </w:style>
  <w:style w:type="paragraph" w:styleId="Heading2">
    <w:name w:val="heading 2"/>
    <w:aliases w:val="2nd Level Heading"/>
    <w:basedOn w:val="Normal"/>
    <w:next w:val="Normal"/>
    <w:link w:val="Heading2Char"/>
    <w:qFormat/>
    <w:rsid w:val="00D848A8"/>
    <w:pPr>
      <w:spacing w:before="240" w:line="360" w:lineRule="auto"/>
      <w:outlineLvl w:val="1"/>
    </w:pPr>
    <w:rPr>
      <w:b/>
      <w:sz w:val="24"/>
    </w:rPr>
  </w:style>
  <w:style w:type="paragraph" w:styleId="Heading3">
    <w:name w:val="heading 3"/>
    <w:aliases w:val="3rd Level Heading"/>
    <w:basedOn w:val="Normal"/>
    <w:next w:val="Normal"/>
    <w:link w:val="Heading3Char"/>
    <w:uiPriority w:val="9"/>
    <w:qFormat/>
    <w:rsid w:val="0015270F"/>
    <w:pPr>
      <w:numPr>
        <w:numId w:val="12"/>
      </w:numPr>
      <w:spacing w:before="240"/>
      <w:outlineLvl w:val="2"/>
    </w:pPr>
    <w:rPr>
      <w:b/>
    </w:rPr>
  </w:style>
  <w:style w:type="paragraph" w:styleId="Heading4">
    <w:name w:val="heading 4"/>
    <w:aliases w:val="4th Level Heading"/>
    <w:basedOn w:val="Normal"/>
    <w:next w:val="Normal"/>
    <w:link w:val="Heading4Char"/>
    <w:uiPriority w:val="9"/>
    <w:qFormat/>
    <w:rsid w:val="00FC280D"/>
    <w:pPr>
      <w:outlineLvl w:val="3"/>
    </w:pPr>
    <w:rPr>
      <w:b/>
      <w:i/>
    </w:rPr>
  </w:style>
  <w:style w:type="paragraph" w:styleId="Heading5">
    <w:name w:val="heading 5"/>
    <w:basedOn w:val="Normal"/>
    <w:next w:val="Normal"/>
    <w:link w:val="Heading5Char"/>
    <w:uiPriority w:val="9"/>
    <w:unhideWhenUsed/>
    <w:qFormat/>
    <w:rsid w:val="008D3A01"/>
    <w:pPr>
      <w:keepNext/>
      <w:keepLines/>
      <w:spacing w:before="200" w:line="276" w:lineRule="auto"/>
      <w:ind w:left="1008" w:hanging="1008"/>
      <w:jc w:val="left"/>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E0A0B"/>
    <w:pPr>
      <w:spacing w:after="0" w:line="276" w:lineRule="auto"/>
      <w:jc w:val="left"/>
      <w:outlineLvl w:val="5"/>
    </w:pPr>
    <w:rPr>
      <w:rFonts w:eastAsiaTheme="minorEastAsia" w:cstheme="minorBidi"/>
      <w:smallCaps/>
      <w:color w:val="C0504D" w:themeColor="accent2"/>
      <w:spacing w:val="5"/>
      <w:szCs w:val="20"/>
      <w:lang w:eastAsia="en-US"/>
    </w:rPr>
  </w:style>
  <w:style w:type="paragraph" w:styleId="Heading7">
    <w:name w:val="heading 7"/>
    <w:basedOn w:val="Normal"/>
    <w:next w:val="Normal"/>
    <w:link w:val="Heading7Char"/>
    <w:uiPriority w:val="9"/>
    <w:semiHidden/>
    <w:unhideWhenUsed/>
    <w:qFormat/>
    <w:rsid w:val="005E0A0B"/>
    <w:pPr>
      <w:spacing w:after="0" w:line="276" w:lineRule="auto"/>
      <w:jc w:val="left"/>
      <w:outlineLvl w:val="6"/>
    </w:pPr>
    <w:rPr>
      <w:rFonts w:eastAsiaTheme="minorEastAsia" w:cstheme="minorBidi"/>
      <w:b/>
      <w:smallCaps/>
      <w:color w:val="C0504D" w:themeColor="accent2"/>
      <w:spacing w:val="10"/>
      <w:szCs w:val="20"/>
      <w:lang w:eastAsia="en-US"/>
    </w:rPr>
  </w:style>
  <w:style w:type="paragraph" w:styleId="Heading8">
    <w:name w:val="heading 8"/>
    <w:basedOn w:val="Normal"/>
    <w:next w:val="Normal"/>
    <w:link w:val="Heading8Char"/>
    <w:uiPriority w:val="9"/>
    <w:semiHidden/>
    <w:unhideWhenUsed/>
    <w:qFormat/>
    <w:rsid w:val="005E0A0B"/>
    <w:pPr>
      <w:spacing w:after="0" w:line="276" w:lineRule="auto"/>
      <w:jc w:val="left"/>
      <w:outlineLvl w:val="7"/>
    </w:pPr>
    <w:rPr>
      <w:rFonts w:eastAsiaTheme="minorEastAsia" w:cstheme="minorBidi"/>
      <w:b/>
      <w:i/>
      <w:smallCaps/>
      <w:color w:val="943634" w:themeColor="accent2" w:themeShade="BF"/>
      <w:szCs w:val="20"/>
      <w:lang w:eastAsia="en-US"/>
    </w:rPr>
  </w:style>
  <w:style w:type="paragraph" w:styleId="Heading9">
    <w:name w:val="heading 9"/>
    <w:basedOn w:val="Normal"/>
    <w:next w:val="Normal"/>
    <w:link w:val="Heading9Char"/>
    <w:uiPriority w:val="9"/>
    <w:semiHidden/>
    <w:unhideWhenUsed/>
    <w:qFormat/>
    <w:rsid w:val="005E0A0B"/>
    <w:pPr>
      <w:spacing w:after="0" w:line="276" w:lineRule="auto"/>
      <w:jc w:val="left"/>
      <w:outlineLvl w:val="8"/>
    </w:pPr>
    <w:rPr>
      <w:rFonts w:eastAsiaTheme="minorEastAsia" w:cstheme="minorBidi"/>
      <w:b/>
      <w:i/>
      <w:smallCaps/>
      <w:color w:val="622423" w:themeColor="accent2" w:themeShade="7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emiHidden/>
    <w:rsid w:val="001D6A77"/>
    <w:rPr>
      <w:b/>
      <w:caps/>
    </w:rPr>
  </w:style>
  <w:style w:type="paragraph" w:customStyle="1" w:styleId="Style2">
    <w:name w:val="Style2"/>
    <w:basedOn w:val="Normal"/>
    <w:semiHidden/>
    <w:rsid w:val="00C50003"/>
    <w:pPr>
      <w:spacing w:after="120"/>
    </w:pPr>
    <w:rPr>
      <w:b/>
    </w:rPr>
  </w:style>
  <w:style w:type="paragraph" w:customStyle="1" w:styleId="Style3">
    <w:name w:val="Style3"/>
    <w:basedOn w:val="BodyText"/>
    <w:semiHidden/>
    <w:rsid w:val="00C50003"/>
    <w:rPr>
      <w:szCs w:val="20"/>
      <w:lang w:eastAsia="en-US"/>
    </w:rPr>
  </w:style>
  <w:style w:type="paragraph" w:styleId="BodyText">
    <w:name w:val="Body Text"/>
    <w:basedOn w:val="Normal"/>
    <w:link w:val="BodyTextChar"/>
    <w:rsid w:val="00AA33F4"/>
    <w:pPr>
      <w:spacing w:after="120"/>
    </w:pPr>
  </w:style>
  <w:style w:type="paragraph" w:customStyle="1" w:styleId="Style4">
    <w:name w:val="Style4"/>
    <w:basedOn w:val="BodyText"/>
    <w:semiHidden/>
    <w:rsid w:val="00D656CA"/>
    <w:pPr>
      <w:spacing w:after="0"/>
    </w:pPr>
    <w:rPr>
      <w:i/>
      <w:szCs w:val="20"/>
      <w:lang w:eastAsia="en-US"/>
    </w:rPr>
  </w:style>
  <w:style w:type="paragraph" w:styleId="Header">
    <w:name w:val="header"/>
    <w:basedOn w:val="Normal"/>
    <w:link w:val="HeaderChar"/>
    <w:uiPriority w:val="99"/>
    <w:rsid w:val="0024505B"/>
    <w:pPr>
      <w:tabs>
        <w:tab w:val="center" w:pos="4320"/>
        <w:tab w:val="right" w:pos="8640"/>
      </w:tabs>
    </w:pPr>
  </w:style>
  <w:style w:type="paragraph" w:styleId="Footer">
    <w:name w:val="footer"/>
    <w:basedOn w:val="Normal"/>
    <w:link w:val="FooterChar"/>
    <w:uiPriority w:val="99"/>
    <w:rsid w:val="0024505B"/>
    <w:pPr>
      <w:tabs>
        <w:tab w:val="center" w:pos="4320"/>
        <w:tab w:val="right" w:pos="8640"/>
      </w:tabs>
    </w:pPr>
  </w:style>
  <w:style w:type="character" w:styleId="PageNumber">
    <w:name w:val="page number"/>
    <w:basedOn w:val="DefaultParagraphFont"/>
    <w:rsid w:val="0024505B"/>
  </w:style>
  <w:style w:type="paragraph" w:customStyle="1" w:styleId="Default">
    <w:name w:val="Default"/>
    <w:rsid w:val="00F858FE"/>
    <w:pPr>
      <w:autoSpaceDE w:val="0"/>
      <w:autoSpaceDN w:val="0"/>
      <w:adjustRightInd w:val="0"/>
    </w:pPr>
    <w:rPr>
      <w:color w:val="000000"/>
      <w:sz w:val="24"/>
      <w:szCs w:val="24"/>
      <w:lang w:val="en-US" w:eastAsia="en-US"/>
    </w:rPr>
  </w:style>
  <w:style w:type="paragraph" w:styleId="Title">
    <w:name w:val="Title"/>
    <w:basedOn w:val="Default"/>
    <w:next w:val="Default"/>
    <w:link w:val="TitleChar"/>
    <w:uiPriority w:val="10"/>
    <w:qFormat/>
    <w:rsid w:val="00F858FE"/>
    <w:rPr>
      <w:color w:val="auto"/>
    </w:rPr>
  </w:style>
  <w:style w:type="paragraph" w:styleId="Subtitle">
    <w:name w:val="Subtitle"/>
    <w:basedOn w:val="Default"/>
    <w:next w:val="Default"/>
    <w:link w:val="SubtitleChar"/>
    <w:uiPriority w:val="11"/>
    <w:qFormat/>
    <w:rsid w:val="00F858FE"/>
    <w:rPr>
      <w:color w:val="auto"/>
    </w:rPr>
  </w:style>
  <w:style w:type="character" w:styleId="CommentReference">
    <w:name w:val="annotation reference"/>
    <w:basedOn w:val="DefaultParagraphFont"/>
    <w:uiPriority w:val="99"/>
    <w:rsid w:val="005B0BB8"/>
    <w:rPr>
      <w:sz w:val="16"/>
      <w:szCs w:val="16"/>
    </w:rPr>
  </w:style>
  <w:style w:type="paragraph" w:styleId="CommentText">
    <w:name w:val="annotation text"/>
    <w:basedOn w:val="Normal"/>
    <w:link w:val="CommentTextChar"/>
    <w:uiPriority w:val="99"/>
    <w:rsid w:val="005B0BB8"/>
    <w:rPr>
      <w:sz w:val="20"/>
      <w:szCs w:val="20"/>
    </w:rPr>
  </w:style>
  <w:style w:type="paragraph" w:styleId="CommentSubject">
    <w:name w:val="annotation subject"/>
    <w:basedOn w:val="CommentText"/>
    <w:next w:val="CommentText"/>
    <w:link w:val="CommentSubjectChar"/>
    <w:uiPriority w:val="99"/>
    <w:semiHidden/>
    <w:rsid w:val="005B0BB8"/>
    <w:rPr>
      <w:b/>
      <w:bCs/>
    </w:rPr>
  </w:style>
  <w:style w:type="paragraph" w:styleId="BalloonText">
    <w:name w:val="Balloon Text"/>
    <w:basedOn w:val="Normal"/>
    <w:link w:val="BalloonTextChar"/>
    <w:uiPriority w:val="99"/>
    <w:semiHidden/>
    <w:rsid w:val="005B0BB8"/>
    <w:rPr>
      <w:rFonts w:ascii="Tahoma" w:hAnsi="Tahoma" w:cs="Tahoma"/>
      <w:sz w:val="16"/>
      <w:szCs w:val="16"/>
    </w:rPr>
  </w:style>
  <w:style w:type="paragraph" w:styleId="DocumentMap">
    <w:name w:val="Document Map"/>
    <w:basedOn w:val="Normal"/>
    <w:link w:val="DocumentMapChar"/>
    <w:semiHidden/>
    <w:rsid w:val="00F375E5"/>
    <w:pPr>
      <w:shd w:val="clear" w:color="auto" w:fill="000080"/>
    </w:pPr>
    <w:rPr>
      <w:rFonts w:ascii="Tahoma" w:hAnsi="Tahoma" w:cs="Tahoma"/>
      <w:sz w:val="20"/>
      <w:szCs w:val="20"/>
    </w:rPr>
  </w:style>
  <w:style w:type="paragraph" w:customStyle="1" w:styleId="tableandfigureheader">
    <w:name w:val="table and figure header"/>
    <w:basedOn w:val="Title"/>
    <w:link w:val="tableandfigureheaderChar"/>
    <w:semiHidden/>
    <w:rsid w:val="00AA33F4"/>
    <w:pPr>
      <w:autoSpaceDE/>
      <w:autoSpaceDN/>
      <w:adjustRightInd/>
      <w:jc w:val="both"/>
    </w:pPr>
    <w:rPr>
      <w:bCs/>
      <w:sz w:val="20"/>
      <w:szCs w:val="20"/>
      <w:lang w:val="en-AU"/>
    </w:rPr>
  </w:style>
  <w:style w:type="character" w:customStyle="1" w:styleId="tableandfigureheaderChar">
    <w:name w:val="table and figure header Char"/>
    <w:basedOn w:val="DefaultParagraphFont"/>
    <w:link w:val="tableandfigureheader"/>
    <w:rsid w:val="00AA33F4"/>
    <w:rPr>
      <w:bCs/>
      <w:lang w:val="en-AU" w:eastAsia="en-US" w:bidi="ar-SA"/>
    </w:rPr>
  </w:style>
  <w:style w:type="paragraph" w:styleId="BodyText2">
    <w:name w:val="Body Text 2"/>
    <w:basedOn w:val="Normal"/>
    <w:link w:val="BodyText2Char"/>
    <w:uiPriority w:val="99"/>
    <w:qFormat/>
    <w:rsid w:val="00FD4D1A"/>
    <w:pPr>
      <w:spacing w:after="120" w:line="480" w:lineRule="auto"/>
    </w:pPr>
  </w:style>
  <w:style w:type="character" w:styleId="Hyperlink">
    <w:name w:val="Hyperlink"/>
    <w:basedOn w:val="DefaultParagraphFont"/>
    <w:uiPriority w:val="99"/>
    <w:rsid w:val="00FD4D1A"/>
    <w:rPr>
      <w:color w:val="0000FF"/>
      <w:u w:val="single"/>
    </w:rPr>
  </w:style>
  <w:style w:type="paragraph" w:styleId="TOC1">
    <w:name w:val="toc 1"/>
    <w:basedOn w:val="Normal"/>
    <w:next w:val="Normal"/>
    <w:autoRedefine/>
    <w:uiPriority w:val="39"/>
    <w:qFormat/>
    <w:rsid w:val="001758C6"/>
    <w:pPr>
      <w:tabs>
        <w:tab w:val="left" w:pos="480"/>
        <w:tab w:val="right" w:leader="dot" w:pos="9600"/>
      </w:tabs>
      <w:spacing w:before="0" w:after="0"/>
      <w:ind w:left="288" w:hanging="288"/>
    </w:pPr>
    <w:rPr>
      <w:b/>
      <w:szCs w:val="20"/>
      <w:lang w:val="en-US" w:eastAsia="en-US"/>
    </w:rPr>
  </w:style>
  <w:style w:type="paragraph" w:styleId="TOC2">
    <w:name w:val="toc 2"/>
    <w:basedOn w:val="Normal"/>
    <w:next w:val="Normal"/>
    <w:autoRedefine/>
    <w:uiPriority w:val="39"/>
    <w:qFormat/>
    <w:rsid w:val="001758C6"/>
    <w:pPr>
      <w:tabs>
        <w:tab w:val="left" w:pos="1080"/>
        <w:tab w:val="right" w:leader="dot" w:pos="9600"/>
      </w:tabs>
      <w:spacing w:before="0" w:after="0"/>
      <w:ind w:left="245"/>
    </w:pPr>
    <w:rPr>
      <w:b/>
      <w:bCs/>
      <w:iCs/>
      <w:szCs w:val="20"/>
      <w:lang w:eastAsia="en-US"/>
    </w:rPr>
  </w:style>
  <w:style w:type="paragraph" w:styleId="TOC3">
    <w:name w:val="toc 3"/>
    <w:basedOn w:val="Normal"/>
    <w:next w:val="Normal"/>
    <w:autoRedefine/>
    <w:uiPriority w:val="39"/>
    <w:qFormat/>
    <w:rsid w:val="001758C6"/>
    <w:pPr>
      <w:tabs>
        <w:tab w:val="left" w:pos="1560"/>
        <w:tab w:val="right" w:leader="dot" w:pos="9600"/>
      </w:tabs>
      <w:spacing w:before="0" w:after="0"/>
      <w:ind w:left="706"/>
    </w:pPr>
    <w:rPr>
      <w:b/>
      <w:iCs/>
      <w:szCs w:val="20"/>
      <w:lang w:eastAsia="en-US"/>
    </w:rPr>
  </w:style>
  <w:style w:type="paragraph" w:styleId="HTMLPreformatted">
    <w:name w:val="HTML Preformatted"/>
    <w:basedOn w:val="Normal"/>
    <w:link w:val="HTMLPreformattedChar"/>
    <w:uiPriority w:val="99"/>
    <w:rsid w:val="005E35E6"/>
    <w:rPr>
      <w:rFonts w:ascii="Courier New" w:hAnsi="Courier New" w:cs="Courier New"/>
      <w:sz w:val="20"/>
      <w:szCs w:val="20"/>
    </w:rPr>
  </w:style>
  <w:style w:type="character" w:customStyle="1" w:styleId="SubtitleChar">
    <w:name w:val="Subtitle Char"/>
    <w:basedOn w:val="DefaultParagraphFont"/>
    <w:link w:val="Subtitle"/>
    <w:uiPriority w:val="11"/>
    <w:rsid w:val="00CA7E84"/>
    <w:rPr>
      <w:sz w:val="24"/>
      <w:szCs w:val="24"/>
      <w:lang w:val="en-US" w:eastAsia="en-US" w:bidi="ar-SA"/>
    </w:rPr>
  </w:style>
  <w:style w:type="paragraph" w:styleId="TOC4">
    <w:name w:val="toc 4"/>
    <w:basedOn w:val="Normal"/>
    <w:next w:val="Normal"/>
    <w:autoRedefine/>
    <w:uiPriority w:val="39"/>
    <w:rsid w:val="00BD14A0"/>
    <w:pPr>
      <w:tabs>
        <w:tab w:val="right" w:leader="dot" w:pos="9563"/>
      </w:tabs>
      <w:ind w:left="3060" w:hanging="1500"/>
    </w:pPr>
  </w:style>
  <w:style w:type="paragraph" w:customStyle="1" w:styleId="Titleheading">
    <w:name w:val="Title heading"/>
    <w:basedOn w:val="Normal"/>
    <w:rsid w:val="00A22ACE"/>
    <w:rPr>
      <w:rFonts w:ascii="Arial" w:hAnsi="Arial"/>
      <w:b/>
      <w:color w:val="47CCFF"/>
      <w:sz w:val="48"/>
      <w:szCs w:val="48"/>
      <w:lang w:eastAsia="en-US"/>
    </w:rPr>
  </w:style>
  <w:style w:type="paragraph" w:customStyle="1" w:styleId="Body">
    <w:name w:val="Body"/>
    <w:basedOn w:val="Normal"/>
    <w:rsid w:val="00D07946"/>
    <w:pPr>
      <w:spacing w:line="260" w:lineRule="exact"/>
    </w:pPr>
    <w:rPr>
      <w:rFonts w:ascii="Arial" w:hAnsi="Arial"/>
      <w:color w:val="000000"/>
      <w:lang w:eastAsia="en-US"/>
    </w:rPr>
  </w:style>
  <w:style w:type="character" w:customStyle="1" w:styleId="TitleChar">
    <w:name w:val="Title Char"/>
    <w:basedOn w:val="DefaultParagraphFont"/>
    <w:link w:val="Title"/>
    <w:uiPriority w:val="10"/>
    <w:rsid w:val="00223AF9"/>
    <w:rPr>
      <w:sz w:val="24"/>
      <w:szCs w:val="24"/>
      <w:lang w:val="en-US" w:eastAsia="en-US"/>
    </w:rPr>
  </w:style>
  <w:style w:type="paragraph" w:styleId="ListParagraph">
    <w:name w:val="List Paragraph"/>
    <w:basedOn w:val="Normal"/>
    <w:uiPriority w:val="34"/>
    <w:qFormat/>
    <w:rsid w:val="006424EB"/>
    <w:pPr>
      <w:ind w:left="720"/>
      <w:contextualSpacing/>
    </w:pPr>
  </w:style>
  <w:style w:type="character" w:customStyle="1" w:styleId="HeaderChar">
    <w:name w:val="Header Char"/>
    <w:link w:val="Header"/>
    <w:uiPriority w:val="99"/>
    <w:rsid w:val="0050554D"/>
    <w:rPr>
      <w:rFonts w:asciiTheme="minorHAnsi" w:hAnsiTheme="minorHAnsi" w:cstheme="minorHAnsi"/>
      <w:sz w:val="22"/>
      <w:szCs w:val="22"/>
    </w:rPr>
  </w:style>
  <w:style w:type="character" w:customStyle="1" w:styleId="Bold-character">
    <w:name w:val="Bold - character"/>
    <w:rsid w:val="0050554D"/>
    <w:rPr>
      <w:b/>
    </w:rPr>
  </w:style>
  <w:style w:type="numbering" w:customStyle="1" w:styleId="Body-bullets">
    <w:name w:val="Body - bullets"/>
    <w:rsid w:val="005E30FE"/>
    <w:pPr>
      <w:numPr>
        <w:numId w:val="1"/>
      </w:numPr>
    </w:pPr>
  </w:style>
  <w:style w:type="paragraph" w:styleId="FootnoteText">
    <w:name w:val="footnote text"/>
    <w:basedOn w:val="Normal"/>
    <w:link w:val="FootnoteTextChar"/>
    <w:uiPriority w:val="99"/>
    <w:rsid w:val="005E30FE"/>
    <w:pPr>
      <w:spacing w:line="260" w:lineRule="exact"/>
      <w:jc w:val="left"/>
    </w:pPr>
    <w:rPr>
      <w:rFonts w:ascii="Arial" w:hAnsi="Arial" w:cs="Times New Roman"/>
      <w:sz w:val="18"/>
      <w:szCs w:val="20"/>
      <w:lang w:eastAsia="en-US"/>
    </w:rPr>
  </w:style>
  <w:style w:type="character" w:customStyle="1" w:styleId="FootnoteTextChar">
    <w:name w:val="Footnote Text Char"/>
    <w:basedOn w:val="DefaultParagraphFont"/>
    <w:link w:val="FootnoteText"/>
    <w:uiPriority w:val="99"/>
    <w:rsid w:val="005E30FE"/>
    <w:rPr>
      <w:rFonts w:ascii="Arial" w:hAnsi="Arial"/>
      <w:sz w:val="18"/>
      <w:lang w:eastAsia="en-US"/>
    </w:rPr>
  </w:style>
  <w:style w:type="character" w:styleId="FootnoteReference">
    <w:name w:val="footnote reference"/>
    <w:aliases w:val="Footnote symbol"/>
    <w:uiPriority w:val="99"/>
    <w:rsid w:val="005E30FE"/>
    <w:rPr>
      <w:vertAlign w:val="superscript"/>
    </w:rPr>
  </w:style>
  <w:style w:type="paragraph" w:styleId="Date">
    <w:name w:val="Date"/>
    <w:basedOn w:val="Normal"/>
    <w:next w:val="Normal"/>
    <w:link w:val="DateChar"/>
    <w:rsid w:val="005E30FE"/>
    <w:pPr>
      <w:jc w:val="left"/>
    </w:pPr>
    <w:rPr>
      <w:rFonts w:ascii="Arial" w:hAnsi="Arial" w:cs="Times New Roman"/>
      <w:szCs w:val="20"/>
      <w:lang w:val="en-US" w:eastAsia="en-US"/>
    </w:rPr>
  </w:style>
  <w:style w:type="character" w:customStyle="1" w:styleId="DateChar">
    <w:name w:val="Date Char"/>
    <w:basedOn w:val="DefaultParagraphFont"/>
    <w:link w:val="Date"/>
    <w:rsid w:val="005E30FE"/>
    <w:rPr>
      <w:rFonts w:ascii="Arial" w:hAnsi="Arial"/>
      <w:sz w:val="22"/>
      <w:lang w:val="en-US" w:eastAsia="en-US"/>
    </w:rPr>
  </w:style>
  <w:style w:type="character" w:customStyle="1" w:styleId="BodyText2Char">
    <w:name w:val="Body Text 2 Char"/>
    <w:link w:val="BodyText2"/>
    <w:uiPriority w:val="99"/>
    <w:rsid w:val="005E30FE"/>
    <w:rPr>
      <w:rFonts w:asciiTheme="minorHAnsi" w:hAnsiTheme="minorHAnsi" w:cstheme="minorHAnsi"/>
      <w:sz w:val="22"/>
      <w:szCs w:val="22"/>
    </w:rPr>
  </w:style>
  <w:style w:type="character" w:customStyle="1" w:styleId="Heading1Char">
    <w:name w:val="Heading 1 Char"/>
    <w:link w:val="Heading1"/>
    <w:rsid w:val="00C12BFC"/>
    <w:rPr>
      <w:rFonts w:asciiTheme="minorHAnsi" w:hAnsiTheme="minorHAnsi" w:cstheme="minorHAnsi"/>
      <w:b/>
      <w:bCs/>
      <w:caps/>
      <w:kern w:val="32"/>
      <w:sz w:val="32"/>
      <w:szCs w:val="32"/>
    </w:rPr>
  </w:style>
  <w:style w:type="paragraph" w:customStyle="1" w:styleId="Caption-standard">
    <w:name w:val="Caption - standard"/>
    <w:basedOn w:val="Body"/>
    <w:rsid w:val="005E30FE"/>
    <w:pPr>
      <w:jc w:val="left"/>
    </w:pPr>
    <w:rPr>
      <w:rFonts w:cs="Times New Roman"/>
      <w:sz w:val="20"/>
      <w:szCs w:val="20"/>
    </w:rPr>
  </w:style>
  <w:style w:type="paragraph" w:customStyle="1" w:styleId="Body-numbered">
    <w:name w:val="Body - numbered"/>
    <w:basedOn w:val="Body"/>
    <w:rsid w:val="005E30FE"/>
    <w:pPr>
      <w:numPr>
        <w:numId w:val="2"/>
      </w:numPr>
      <w:jc w:val="left"/>
    </w:pPr>
    <w:rPr>
      <w:rFonts w:cs="Times New Roman"/>
    </w:rPr>
  </w:style>
  <w:style w:type="character" w:customStyle="1" w:styleId="Italics-character">
    <w:name w:val="Italics - character"/>
    <w:rsid w:val="005E30FE"/>
    <w:rPr>
      <w:i/>
    </w:rPr>
  </w:style>
  <w:style w:type="character" w:customStyle="1" w:styleId="Superscript-character">
    <w:name w:val="Superscript - character"/>
    <w:rsid w:val="005E30FE"/>
    <w:rPr>
      <w:dstrike w:val="0"/>
      <w:vertAlign w:val="superscript"/>
    </w:rPr>
  </w:style>
  <w:style w:type="paragraph" w:customStyle="1" w:styleId="Titlesub-heading">
    <w:name w:val="Title sub-heading"/>
    <w:basedOn w:val="Normal"/>
    <w:rsid w:val="005E30FE"/>
    <w:pPr>
      <w:jc w:val="left"/>
    </w:pPr>
    <w:rPr>
      <w:rFonts w:ascii="Arial" w:hAnsi="Arial" w:cs="Times New Roman"/>
      <w:color w:val="636267"/>
      <w:sz w:val="48"/>
      <w:szCs w:val="48"/>
      <w:lang w:eastAsia="en-US"/>
    </w:rPr>
  </w:style>
  <w:style w:type="paragraph" w:styleId="Caption">
    <w:name w:val="caption"/>
    <w:aliases w:val="Tables,Caption Char Char,Caption Char1,Caption Char4 Char1,Caption Char1 Char5 Char,Caption Char4 Char Char2 Char,Caption Char1 Char2 Char Char4 Char,Caption Char4 Char Char Char1 Char2 Char,Caption Char1 Char Char Char1 Char Char3 Char"/>
    <w:basedOn w:val="Normal"/>
    <w:next w:val="Normal"/>
    <w:link w:val="CaptionChar"/>
    <w:uiPriority w:val="35"/>
    <w:qFormat/>
    <w:rsid w:val="0083263F"/>
    <w:pPr>
      <w:tabs>
        <w:tab w:val="left" w:pos="1134"/>
      </w:tabs>
      <w:spacing w:after="120"/>
      <w:ind w:left="1134" w:hanging="1134"/>
      <w:jc w:val="left"/>
    </w:pPr>
    <w:rPr>
      <w:rFonts w:ascii="Calibri" w:hAnsi="Calibri" w:cs="Times New Roman"/>
      <w:color w:val="17365D" w:themeColor="text2" w:themeShade="BF"/>
      <w:szCs w:val="20"/>
      <w:lang w:val="en-GB" w:eastAsia="en-US"/>
    </w:rPr>
  </w:style>
  <w:style w:type="paragraph" w:customStyle="1" w:styleId="Heading10">
    <w:name w:val="Heading1"/>
    <w:basedOn w:val="Normal"/>
    <w:rsid w:val="005E30FE"/>
    <w:rPr>
      <w:rFonts w:ascii="Arial" w:hAnsi="Arial" w:cs="Times New Roman"/>
      <w:b/>
      <w:bCs/>
      <w:szCs w:val="20"/>
    </w:rPr>
  </w:style>
  <w:style w:type="character" w:customStyle="1" w:styleId="Heading20">
    <w:name w:val="Heading2"/>
    <w:qFormat/>
    <w:rsid w:val="00E11FA7"/>
    <w:rPr>
      <w:rFonts w:ascii="Calibri" w:hAnsi="Calibri"/>
      <w:b/>
      <w:bCs/>
      <w:i w:val="0"/>
      <w:iCs/>
      <w:sz w:val="24"/>
    </w:rPr>
  </w:style>
  <w:style w:type="table" w:styleId="TableGrid">
    <w:name w:val="Table Grid"/>
    <w:basedOn w:val="TableNormal"/>
    <w:uiPriority w:val="59"/>
    <w:rsid w:val="005E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E30FE"/>
    <w:pPr>
      <w:spacing w:after="120"/>
      <w:jc w:val="left"/>
    </w:pPr>
    <w:rPr>
      <w:rFonts w:ascii="Arial" w:hAnsi="Arial" w:cs="Times New Roman"/>
      <w:sz w:val="16"/>
      <w:szCs w:val="16"/>
      <w:lang w:eastAsia="en-US"/>
    </w:rPr>
  </w:style>
  <w:style w:type="character" w:customStyle="1" w:styleId="BodyText3Char">
    <w:name w:val="Body Text 3 Char"/>
    <w:basedOn w:val="DefaultParagraphFont"/>
    <w:link w:val="BodyText3"/>
    <w:rsid w:val="005E30FE"/>
    <w:rPr>
      <w:rFonts w:ascii="Arial" w:hAnsi="Arial"/>
      <w:sz w:val="16"/>
      <w:szCs w:val="16"/>
      <w:lang w:eastAsia="en-US"/>
    </w:rPr>
  </w:style>
  <w:style w:type="paragraph" w:styleId="BlockText">
    <w:name w:val="Block Text"/>
    <w:basedOn w:val="Normal"/>
    <w:rsid w:val="005E30FE"/>
    <w:pPr>
      <w:spacing w:after="120"/>
    </w:pPr>
    <w:rPr>
      <w:rFonts w:ascii="Times New Roman" w:hAnsi="Times New Roman" w:cs="Times New Roman"/>
      <w:szCs w:val="20"/>
      <w:lang w:eastAsia="en-US"/>
    </w:rPr>
  </w:style>
  <w:style w:type="paragraph" w:customStyle="1" w:styleId="Heading30">
    <w:name w:val="Heading3"/>
    <w:basedOn w:val="Normal"/>
    <w:rsid w:val="00B837D4"/>
    <w:rPr>
      <w:rFonts w:ascii="Calibri" w:hAnsi="Calibri" w:cs="Times New Roman"/>
      <w:b/>
      <w:bCs/>
      <w:szCs w:val="20"/>
    </w:rPr>
  </w:style>
  <w:style w:type="paragraph" w:styleId="NormalWeb">
    <w:name w:val="Normal (Web)"/>
    <w:basedOn w:val="Normal"/>
    <w:uiPriority w:val="99"/>
    <w:rsid w:val="008D3A01"/>
    <w:pPr>
      <w:spacing w:before="100" w:beforeAutospacing="1" w:after="120" w:line="360" w:lineRule="auto"/>
    </w:pPr>
    <w:rPr>
      <w:rFonts w:ascii="Calibri" w:hAnsi="Calibri" w:cs="Times New Roman"/>
      <w:color w:val="333333"/>
      <w:szCs w:val="24"/>
    </w:rPr>
  </w:style>
  <w:style w:type="character" w:customStyle="1" w:styleId="style10">
    <w:name w:val="style10"/>
    <w:basedOn w:val="DefaultParagraphFont"/>
    <w:rsid w:val="005E30FE"/>
  </w:style>
  <w:style w:type="character" w:styleId="Emphasis">
    <w:name w:val="Emphasis"/>
    <w:uiPriority w:val="20"/>
    <w:qFormat/>
    <w:rsid w:val="005E30FE"/>
    <w:rPr>
      <w:i/>
      <w:iCs/>
    </w:rPr>
  </w:style>
  <w:style w:type="character" w:customStyle="1" w:styleId="normaltextbold1">
    <w:name w:val="normaltextbold1"/>
    <w:rsid w:val="005E30FE"/>
    <w:rPr>
      <w:rFonts w:ascii="Verdana" w:hAnsi="Verdana" w:hint="default"/>
      <w:b/>
      <w:bCs/>
      <w:color w:val="000000"/>
      <w:sz w:val="19"/>
      <w:szCs w:val="19"/>
      <w:shd w:val="clear" w:color="auto" w:fill="auto"/>
    </w:rPr>
  </w:style>
  <w:style w:type="character" w:customStyle="1" w:styleId="Heading2Char">
    <w:name w:val="Heading 2 Char"/>
    <w:aliases w:val="2nd Level Heading Char"/>
    <w:link w:val="Heading2"/>
    <w:rsid w:val="00D848A8"/>
    <w:rPr>
      <w:rFonts w:asciiTheme="minorHAnsi" w:hAnsiTheme="minorHAnsi" w:cstheme="minorHAnsi"/>
      <w:b/>
      <w:sz w:val="24"/>
      <w:szCs w:val="22"/>
    </w:rPr>
  </w:style>
  <w:style w:type="character" w:customStyle="1" w:styleId="Heading3Char">
    <w:name w:val="Heading 3 Char"/>
    <w:aliases w:val="3rd Level Heading Char"/>
    <w:link w:val="Heading3"/>
    <w:uiPriority w:val="9"/>
    <w:rsid w:val="0015270F"/>
    <w:rPr>
      <w:rFonts w:asciiTheme="minorHAnsi" w:hAnsiTheme="minorHAnsi" w:cstheme="minorHAnsi"/>
      <w:b/>
      <w:sz w:val="22"/>
      <w:szCs w:val="22"/>
    </w:rPr>
  </w:style>
  <w:style w:type="character" w:customStyle="1" w:styleId="Heading4Char">
    <w:name w:val="Heading 4 Char"/>
    <w:aliases w:val="4th Level Heading Char"/>
    <w:link w:val="Heading4"/>
    <w:uiPriority w:val="9"/>
    <w:rsid w:val="005E30FE"/>
    <w:rPr>
      <w:rFonts w:asciiTheme="minorHAnsi" w:hAnsiTheme="minorHAnsi" w:cstheme="minorHAnsi"/>
      <w:b/>
      <w:i/>
      <w:sz w:val="22"/>
      <w:szCs w:val="22"/>
    </w:rPr>
  </w:style>
  <w:style w:type="character" w:customStyle="1" w:styleId="CommentTextChar">
    <w:name w:val="Comment Text Char"/>
    <w:basedOn w:val="DefaultParagraphFont"/>
    <w:link w:val="CommentText"/>
    <w:uiPriority w:val="99"/>
    <w:rsid w:val="000438ED"/>
    <w:rPr>
      <w:rFonts w:asciiTheme="minorHAnsi" w:hAnsiTheme="minorHAnsi" w:cstheme="minorHAnsi"/>
    </w:rPr>
  </w:style>
  <w:style w:type="character" w:customStyle="1" w:styleId="FooterChar">
    <w:name w:val="Footer Char"/>
    <w:basedOn w:val="DefaultParagraphFont"/>
    <w:link w:val="Footer"/>
    <w:uiPriority w:val="99"/>
    <w:rsid w:val="008D3A01"/>
    <w:rPr>
      <w:rFonts w:asciiTheme="minorHAnsi" w:hAnsiTheme="minorHAnsi" w:cstheme="minorHAnsi"/>
      <w:sz w:val="22"/>
      <w:szCs w:val="22"/>
    </w:rPr>
  </w:style>
  <w:style w:type="table" w:styleId="TableClassic1">
    <w:name w:val="Table Classic 1"/>
    <w:basedOn w:val="TableNormal"/>
    <w:rsid w:val="008D3A0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ptionChar">
    <w:name w:val="Caption Char"/>
    <w:aliases w:val="Tables Char,Caption Char Char Char,Caption Char1 Char,Caption Char4 Char1 Char,Caption Char1 Char5 Char Char,Caption Char4 Char Char2 Char Char,Caption Char1 Char2 Char Char4 Char Char,Caption Char4 Char Char Char1 Char2 Char Char"/>
    <w:link w:val="Caption"/>
    <w:locked/>
    <w:rsid w:val="0083263F"/>
    <w:rPr>
      <w:rFonts w:ascii="Calibri" w:hAnsi="Calibri"/>
      <w:color w:val="17365D" w:themeColor="text2" w:themeShade="BF"/>
      <w:sz w:val="22"/>
      <w:lang w:val="en-GB" w:eastAsia="en-US"/>
    </w:rPr>
  </w:style>
  <w:style w:type="paragraph" w:styleId="NoSpacing">
    <w:name w:val="No Spacing"/>
    <w:link w:val="NoSpacingChar"/>
    <w:uiPriority w:val="1"/>
    <w:qFormat/>
    <w:rsid w:val="008D3A01"/>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uiPriority w:val="9"/>
    <w:rsid w:val="008D3A01"/>
    <w:rPr>
      <w:rFonts w:asciiTheme="majorHAnsi" w:eastAsiaTheme="majorEastAsia" w:hAnsiTheme="majorHAnsi" w:cstheme="majorBidi"/>
      <w:color w:val="243F60" w:themeColor="accent1" w:themeShade="7F"/>
      <w:sz w:val="22"/>
      <w:szCs w:val="22"/>
    </w:rPr>
  </w:style>
  <w:style w:type="character" w:customStyle="1" w:styleId="BalloonTextChar">
    <w:name w:val="Balloon Text Char"/>
    <w:basedOn w:val="DefaultParagraphFont"/>
    <w:link w:val="BalloonText"/>
    <w:uiPriority w:val="99"/>
    <w:semiHidden/>
    <w:rsid w:val="008D3A01"/>
    <w:rPr>
      <w:rFonts w:ascii="Tahoma" w:hAnsi="Tahoma" w:cs="Tahoma"/>
      <w:sz w:val="16"/>
      <w:szCs w:val="16"/>
    </w:rPr>
  </w:style>
  <w:style w:type="character" w:customStyle="1" w:styleId="maincenter">
    <w:name w:val="main_center"/>
    <w:basedOn w:val="DefaultParagraphFont"/>
    <w:rsid w:val="008D3A01"/>
  </w:style>
  <w:style w:type="paragraph" w:styleId="PlainText">
    <w:name w:val="Plain Text"/>
    <w:basedOn w:val="Normal"/>
    <w:link w:val="PlainTextChar"/>
    <w:uiPriority w:val="99"/>
    <w:rsid w:val="008D3A01"/>
    <w:pPr>
      <w:jc w:val="left"/>
    </w:pPr>
    <w:rPr>
      <w:rFonts w:ascii="Courier New" w:hAnsi="Courier New" w:cs="Courier New"/>
      <w:sz w:val="20"/>
      <w:szCs w:val="20"/>
      <w:lang w:val="en-US" w:eastAsia="en-US"/>
    </w:rPr>
  </w:style>
  <w:style w:type="character" w:customStyle="1" w:styleId="PlainTextChar">
    <w:name w:val="Plain Text Char"/>
    <w:basedOn w:val="DefaultParagraphFont"/>
    <w:link w:val="PlainText"/>
    <w:uiPriority w:val="99"/>
    <w:rsid w:val="008D3A01"/>
    <w:rPr>
      <w:rFonts w:ascii="Courier New" w:hAnsi="Courier New" w:cs="Courier New"/>
      <w:lang w:val="en-US" w:eastAsia="en-US"/>
    </w:rPr>
  </w:style>
  <w:style w:type="character" w:customStyle="1" w:styleId="CommentSubjectChar">
    <w:name w:val="Comment Subject Char"/>
    <w:basedOn w:val="CommentTextChar"/>
    <w:link w:val="CommentSubject"/>
    <w:uiPriority w:val="99"/>
    <w:semiHidden/>
    <w:rsid w:val="008D3A01"/>
    <w:rPr>
      <w:rFonts w:asciiTheme="minorHAnsi" w:hAnsiTheme="minorHAnsi" w:cstheme="minorHAnsi"/>
      <w:b/>
      <w:bCs/>
    </w:rPr>
  </w:style>
  <w:style w:type="paragraph" w:styleId="BodyTextIndent">
    <w:name w:val="Body Text Indent"/>
    <w:basedOn w:val="Normal"/>
    <w:link w:val="BodyTextIndentChar"/>
    <w:uiPriority w:val="99"/>
    <w:unhideWhenUsed/>
    <w:rsid w:val="008D3A01"/>
    <w:pPr>
      <w:spacing w:after="120"/>
      <w:ind w:left="567" w:hanging="567"/>
      <w:jc w:val="left"/>
    </w:pPr>
    <w:rPr>
      <w:rFonts w:ascii="Times New Roman" w:eastAsiaTheme="minorEastAsia" w:hAnsi="Times New Roman" w:cs="Times New Roman"/>
      <w:sz w:val="20"/>
      <w:szCs w:val="20"/>
      <w:lang w:eastAsia="ja-JP"/>
    </w:rPr>
  </w:style>
  <w:style w:type="character" w:customStyle="1" w:styleId="BodyTextIndentChar">
    <w:name w:val="Body Text Indent Char"/>
    <w:basedOn w:val="DefaultParagraphFont"/>
    <w:link w:val="BodyTextIndent"/>
    <w:uiPriority w:val="99"/>
    <w:rsid w:val="008D3A01"/>
    <w:rPr>
      <w:rFonts w:eastAsiaTheme="minorEastAsia"/>
      <w:lang w:eastAsia="ja-JP"/>
    </w:rPr>
  </w:style>
  <w:style w:type="paragraph" w:styleId="TOCHeading">
    <w:name w:val="TOC Heading"/>
    <w:basedOn w:val="Heading1"/>
    <w:next w:val="Normal"/>
    <w:uiPriority w:val="39"/>
    <w:unhideWhenUsed/>
    <w:qFormat/>
    <w:rsid w:val="005E0A0B"/>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character" w:customStyle="1" w:styleId="Heading6Char">
    <w:name w:val="Heading 6 Char"/>
    <w:basedOn w:val="DefaultParagraphFont"/>
    <w:link w:val="Heading6"/>
    <w:uiPriority w:val="9"/>
    <w:rsid w:val="005E0A0B"/>
    <w:rPr>
      <w:rFonts w:asciiTheme="minorHAnsi" w:eastAsiaTheme="minorEastAsia" w:hAnsiTheme="minorHAnsi" w:cstheme="minorBidi"/>
      <w:smallCaps/>
      <w:color w:val="C0504D" w:themeColor="accent2"/>
      <w:spacing w:val="5"/>
      <w:sz w:val="22"/>
      <w:lang w:eastAsia="en-US"/>
    </w:rPr>
  </w:style>
  <w:style w:type="character" w:customStyle="1" w:styleId="Heading7Char">
    <w:name w:val="Heading 7 Char"/>
    <w:basedOn w:val="DefaultParagraphFont"/>
    <w:link w:val="Heading7"/>
    <w:uiPriority w:val="9"/>
    <w:semiHidden/>
    <w:rsid w:val="005E0A0B"/>
    <w:rPr>
      <w:rFonts w:asciiTheme="minorHAnsi" w:eastAsiaTheme="minorEastAsia" w:hAnsiTheme="minorHAnsi" w:cstheme="minorBidi"/>
      <w:b/>
      <w:smallCaps/>
      <w:color w:val="C0504D" w:themeColor="accent2"/>
      <w:spacing w:val="10"/>
      <w:sz w:val="22"/>
      <w:lang w:eastAsia="en-US"/>
    </w:rPr>
  </w:style>
  <w:style w:type="character" w:customStyle="1" w:styleId="Heading8Char">
    <w:name w:val="Heading 8 Char"/>
    <w:basedOn w:val="DefaultParagraphFont"/>
    <w:link w:val="Heading8"/>
    <w:uiPriority w:val="9"/>
    <w:semiHidden/>
    <w:rsid w:val="005E0A0B"/>
    <w:rPr>
      <w:rFonts w:asciiTheme="minorHAnsi" w:eastAsiaTheme="minorEastAsia" w:hAnsiTheme="minorHAnsi" w:cstheme="minorBidi"/>
      <w:b/>
      <w:i/>
      <w:smallCaps/>
      <w:color w:val="943634" w:themeColor="accent2" w:themeShade="BF"/>
      <w:sz w:val="22"/>
      <w:lang w:eastAsia="en-US"/>
    </w:rPr>
  </w:style>
  <w:style w:type="character" w:customStyle="1" w:styleId="Heading9Char">
    <w:name w:val="Heading 9 Char"/>
    <w:basedOn w:val="DefaultParagraphFont"/>
    <w:link w:val="Heading9"/>
    <w:uiPriority w:val="9"/>
    <w:semiHidden/>
    <w:rsid w:val="005E0A0B"/>
    <w:rPr>
      <w:rFonts w:asciiTheme="minorHAnsi" w:eastAsiaTheme="minorEastAsia" w:hAnsiTheme="minorHAnsi" w:cstheme="minorBidi"/>
      <w:b/>
      <w:i/>
      <w:smallCaps/>
      <w:color w:val="622423" w:themeColor="accent2" w:themeShade="7F"/>
      <w:sz w:val="22"/>
      <w:lang w:eastAsia="en-US"/>
    </w:rPr>
  </w:style>
  <w:style w:type="character" w:styleId="Strong">
    <w:name w:val="Strong"/>
    <w:uiPriority w:val="22"/>
    <w:qFormat/>
    <w:rsid w:val="005E0A0B"/>
    <w:rPr>
      <w:b/>
      <w:color w:val="C0504D" w:themeColor="accent2"/>
    </w:rPr>
  </w:style>
  <w:style w:type="character" w:customStyle="1" w:styleId="NoSpacingChar">
    <w:name w:val="No Spacing Char"/>
    <w:basedOn w:val="DefaultParagraphFont"/>
    <w:link w:val="NoSpacing"/>
    <w:uiPriority w:val="1"/>
    <w:rsid w:val="005E0A0B"/>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5E0A0B"/>
    <w:pPr>
      <w:spacing w:after="320" w:line="276" w:lineRule="auto"/>
    </w:pPr>
    <w:rPr>
      <w:rFonts w:eastAsiaTheme="minorEastAsia" w:cstheme="minorBidi"/>
      <w:i/>
      <w:szCs w:val="20"/>
      <w:lang w:eastAsia="en-US"/>
    </w:rPr>
  </w:style>
  <w:style w:type="character" w:customStyle="1" w:styleId="QuoteChar">
    <w:name w:val="Quote Char"/>
    <w:basedOn w:val="DefaultParagraphFont"/>
    <w:link w:val="Quote"/>
    <w:uiPriority w:val="29"/>
    <w:rsid w:val="005E0A0B"/>
    <w:rPr>
      <w:rFonts w:asciiTheme="minorHAnsi" w:eastAsiaTheme="minorEastAsia" w:hAnsiTheme="minorHAnsi" w:cstheme="minorBidi"/>
      <w:i/>
      <w:sz w:val="22"/>
      <w:lang w:eastAsia="en-US"/>
    </w:rPr>
  </w:style>
  <w:style w:type="paragraph" w:styleId="IntenseQuote">
    <w:name w:val="Intense Quote"/>
    <w:basedOn w:val="Normal"/>
    <w:next w:val="Normal"/>
    <w:link w:val="IntenseQuoteChar"/>
    <w:uiPriority w:val="30"/>
    <w:qFormat/>
    <w:rsid w:val="005E0A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pPr>
    <w:rPr>
      <w:rFonts w:eastAsiaTheme="minorEastAsia" w:cstheme="minorBidi"/>
      <w:b/>
      <w:i/>
      <w:color w:val="FFFFFF" w:themeColor="background1"/>
      <w:szCs w:val="20"/>
      <w:lang w:eastAsia="en-US"/>
    </w:rPr>
  </w:style>
  <w:style w:type="character" w:customStyle="1" w:styleId="IntenseQuoteChar">
    <w:name w:val="Intense Quote Char"/>
    <w:basedOn w:val="DefaultParagraphFont"/>
    <w:link w:val="IntenseQuote"/>
    <w:uiPriority w:val="30"/>
    <w:rsid w:val="005E0A0B"/>
    <w:rPr>
      <w:rFonts w:asciiTheme="minorHAnsi" w:eastAsiaTheme="minorEastAsia" w:hAnsiTheme="minorHAnsi" w:cstheme="minorBidi"/>
      <w:b/>
      <w:i/>
      <w:color w:val="FFFFFF" w:themeColor="background1"/>
      <w:sz w:val="22"/>
      <w:shd w:val="clear" w:color="auto" w:fill="C0504D" w:themeFill="accent2"/>
      <w:lang w:eastAsia="en-US"/>
    </w:rPr>
  </w:style>
  <w:style w:type="character" w:styleId="SubtleEmphasis">
    <w:name w:val="Subtle Emphasis"/>
    <w:uiPriority w:val="19"/>
    <w:qFormat/>
    <w:rsid w:val="005E0A0B"/>
    <w:rPr>
      <w:i/>
    </w:rPr>
  </w:style>
  <w:style w:type="character" w:styleId="IntenseEmphasis">
    <w:name w:val="Intense Emphasis"/>
    <w:uiPriority w:val="21"/>
    <w:qFormat/>
    <w:rsid w:val="005E0A0B"/>
    <w:rPr>
      <w:b/>
      <w:i/>
      <w:color w:val="C0504D" w:themeColor="accent2"/>
      <w:spacing w:val="10"/>
    </w:rPr>
  </w:style>
  <w:style w:type="character" w:styleId="SubtleReference">
    <w:name w:val="Subtle Reference"/>
    <w:uiPriority w:val="31"/>
    <w:qFormat/>
    <w:rsid w:val="005E0A0B"/>
    <w:rPr>
      <w:b/>
    </w:rPr>
  </w:style>
  <w:style w:type="character" w:styleId="IntenseReference">
    <w:name w:val="Intense Reference"/>
    <w:uiPriority w:val="32"/>
    <w:qFormat/>
    <w:rsid w:val="005E0A0B"/>
    <w:rPr>
      <w:b/>
      <w:bCs/>
      <w:smallCaps/>
      <w:spacing w:val="5"/>
      <w:sz w:val="22"/>
      <w:szCs w:val="22"/>
      <w:u w:val="single"/>
    </w:rPr>
  </w:style>
  <w:style w:type="character" w:styleId="BookTitle">
    <w:name w:val="Book Title"/>
    <w:uiPriority w:val="33"/>
    <w:qFormat/>
    <w:rsid w:val="00E838DF"/>
    <w:rPr>
      <w:rFonts w:asciiTheme="majorHAnsi" w:eastAsiaTheme="majorEastAsia" w:hAnsiTheme="majorHAnsi" w:cstheme="majorBidi"/>
      <w:i w:val="0"/>
      <w:iCs/>
      <w:sz w:val="20"/>
      <w:szCs w:val="20"/>
    </w:rPr>
  </w:style>
  <w:style w:type="paragraph" w:customStyle="1" w:styleId="Dotindent">
    <w:name w:val="Dot&amp;indent"/>
    <w:basedOn w:val="Normal"/>
    <w:link w:val="DotindentChar"/>
    <w:qFormat/>
    <w:rsid w:val="005E0A0B"/>
    <w:pPr>
      <w:numPr>
        <w:numId w:val="4"/>
      </w:numPr>
      <w:spacing w:before="0" w:after="200" w:line="276" w:lineRule="auto"/>
      <w:jc w:val="left"/>
    </w:pPr>
    <w:rPr>
      <w:rFonts w:eastAsiaTheme="minorHAnsi" w:cstheme="minorBidi"/>
      <w:lang w:eastAsia="en-US"/>
    </w:rPr>
  </w:style>
  <w:style w:type="character" w:customStyle="1" w:styleId="DotindentChar">
    <w:name w:val="Dot&amp;indent Char"/>
    <w:basedOn w:val="DefaultParagraphFont"/>
    <w:link w:val="Dotindent"/>
    <w:rsid w:val="005E0A0B"/>
    <w:rPr>
      <w:rFonts w:asciiTheme="minorHAnsi" w:eastAsiaTheme="minorHAnsi" w:hAnsiTheme="minorHAnsi" w:cstheme="minorBidi"/>
      <w:sz w:val="22"/>
      <w:szCs w:val="22"/>
      <w:lang w:eastAsia="en-US"/>
    </w:rPr>
  </w:style>
  <w:style w:type="paragraph" w:customStyle="1" w:styleId="TableHeading1">
    <w:name w:val="Table Heading 1"/>
    <w:rsid w:val="005E0A0B"/>
    <w:pPr>
      <w:spacing w:before="60" w:after="100"/>
      <w:ind w:left="85" w:right="85"/>
    </w:pPr>
    <w:rPr>
      <w:rFonts w:ascii="Arial" w:hAnsi="Arial"/>
      <w:b/>
    </w:rPr>
  </w:style>
  <w:style w:type="character" w:customStyle="1" w:styleId="SuperScript">
    <w:name w:val="SuperScript"/>
    <w:rsid w:val="005E0A0B"/>
    <w:rPr>
      <w:dstrike w:val="0"/>
      <w:vertAlign w:val="superscript"/>
    </w:rPr>
  </w:style>
  <w:style w:type="paragraph" w:styleId="Revision">
    <w:name w:val="Revision"/>
    <w:hidden/>
    <w:uiPriority w:val="99"/>
    <w:semiHidden/>
    <w:rsid w:val="005E0A0B"/>
    <w:rPr>
      <w:rFonts w:asciiTheme="minorHAnsi" w:eastAsiaTheme="minorEastAsia" w:hAnsiTheme="minorHAnsi" w:cstheme="minorBidi"/>
      <w:sz w:val="22"/>
      <w:lang w:eastAsia="en-US"/>
    </w:rPr>
  </w:style>
  <w:style w:type="paragraph" w:styleId="ListBullet">
    <w:name w:val="List Bullet"/>
    <w:basedOn w:val="Normal"/>
    <w:uiPriority w:val="99"/>
    <w:unhideWhenUsed/>
    <w:rsid w:val="005E0A0B"/>
    <w:pPr>
      <w:numPr>
        <w:numId w:val="5"/>
      </w:numPr>
      <w:spacing w:after="320" w:line="276" w:lineRule="auto"/>
      <w:contextualSpacing/>
    </w:pPr>
    <w:rPr>
      <w:rFonts w:eastAsiaTheme="minorEastAsia" w:cstheme="minorBidi"/>
      <w:szCs w:val="20"/>
      <w:lang w:eastAsia="en-US"/>
    </w:rPr>
  </w:style>
  <w:style w:type="character" w:styleId="FollowedHyperlink">
    <w:name w:val="FollowedHyperlink"/>
    <w:basedOn w:val="DefaultParagraphFont"/>
    <w:uiPriority w:val="99"/>
    <w:semiHidden/>
    <w:unhideWhenUsed/>
    <w:rsid w:val="005E0A0B"/>
    <w:rPr>
      <w:color w:val="800080" w:themeColor="followedHyperlink"/>
      <w:u w:val="single"/>
    </w:rPr>
  </w:style>
  <w:style w:type="character" w:customStyle="1" w:styleId="apple-converted-space">
    <w:name w:val="apple-converted-space"/>
    <w:basedOn w:val="DefaultParagraphFont"/>
    <w:rsid w:val="00BA48A9"/>
  </w:style>
  <w:style w:type="paragraph" w:customStyle="1" w:styleId="EndNoteBibliographyTitle">
    <w:name w:val="EndNote Bibliography Title"/>
    <w:basedOn w:val="Normal"/>
    <w:link w:val="EndNoteBibliographyTitleChar"/>
    <w:rsid w:val="00BA48A9"/>
    <w:pPr>
      <w:spacing w:before="0" w:after="0" w:line="276" w:lineRule="auto"/>
      <w:jc w:val="center"/>
    </w:pPr>
    <w:rPr>
      <w:rFonts w:ascii="Calibri" w:eastAsiaTheme="minorHAnsi" w:hAnsi="Calibri" w:cstheme="minorBidi"/>
      <w:noProof/>
      <w:lang w:val="en-US" w:eastAsia="en-US"/>
    </w:rPr>
  </w:style>
  <w:style w:type="character" w:customStyle="1" w:styleId="EndNoteBibliographyTitleChar">
    <w:name w:val="EndNote Bibliography Title Char"/>
    <w:basedOn w:val="DefaultParagraphFont"/>
    <w:link w:val="EndNoteBibliographyTitle"/>
    <w:rsid w:val="00BA48A9"/>
    <w:rPr>
      <w:rFonts w:ascii="Calibri" w:eastAsiaTheme="minorHAnsi" w:hAnsi="Calibri" w:cstheme="minorBidi"/>
      <w:noProof/>
      <w:sz w:val="22"/>
      <w:szCs w:val="22"/>
      <w:lang w:val="en-US" w:eastAsia="en-US"/>
    </w:rPr>
  </w:style>
  <w:style w:type="paragraph" w:customStyle="1" w:styleId="EndNoteBibliography">
    <w:name w:val="EndNote Bibliography"/>
    <w:basedOn w:val="Normal"/>
    <w:link w:val="EndNoteBibliographyChar"/>
    <w:rsid w:val="00BA48A9"/>
    <w:pPr>
      <w:spacing w:before="0" w:after="200"/>
      <w:jc w:val="left"/>
    </w:pPr>
    <w:rPr>
      <w:rFonts w:ascii="Calibri" w:eastAsiaTheme="minorHAnsi" w:hAnsi="Calibri" w:cstheme="minorBidi"/>
      <w:noProof/>
      <w:lang w:val="en-US" w:eastAsia="en-US"/>
    </w:rPr>
  </w:style>
  <w:style w:type="character" w:customStyle="1" w:styleId="EndNoteBibliographyChar">
    <w:name w:val="EndNote Bibliography Char"/>
    <w:basedOn w:val="DefaultParagraphFont"/>
    <w:link w:val="EndNoteBibliography"/>
    <w:rsid w:val="00BA48A9"/>
    <w:rPr>
      <w:rFonts w:ascii="Calibri" w:eastAsiaTheme="minorHAnsi" w:hAnsi="Calibri" w:cstheme="minorBidi"/>
      <w:noProof/>
      <w:sz w:val="22"/>
      <w:szCs w:val="22"/>
      <w:lang w:val="en-US" w:eastAsia="en-US"/>
    </w:rPr>
  </w:style>
  <w:style w:type="paragraph" w:customStyle="1" w:styleId="Figurecaption">
    <w:name w:val="Figure caption"/>
    <w:basedOn w:val="Normal"/>
    <w:link w:val="FigurecaptionCharChar"/>
    <w:rsid w:val="0057279E"/>
    <w:pPr>
      <w:numPr>
        <w:numId w:val="6"/>
      </w:numPr>
      <w:spacing w:before="240" w:after="120" w:line="80" w:lineRule="atLeast"/>
      <w:ind w:left="0" w:firstLine="0"/>
      <w:jc w:val="center"/>
    </w:pPr>
    <w:rPr>
      <w:rFonts w:ascii="Arial" w:hAnsi="Arial" w:cs="Times New Roman"/>
      <w:color w:val="17365D" w:themeColor="text2" w:themeShade="BF"/>
      <w:szCs w:val="24"/>
      <w:lang w:val="en-GB" w:eastAsia="en-US"/>
    </w:rPr>
  </w:style>
  <w:style w:type="paragraph" w:customStyle="1" w:styleId="Bodystyle">
    <w:name w:val="Body style"/>
    <w:basedOn w:val="Normal"/>
    <w:rsid w:val="0057279E"/>
    <w:pPr>
      <w:spacing w:before="0"/>
      <w:jc w:val="left"/>
    </w:pPr>
    <w:rPr>
      <w:rFonts w:ascii="Arial" w:hAnsi="Arial" w:cs="Times New Roman"/>
      <w:szCs w:val="24"/>
      <w:lang w:eastAsia="en-US"/>
    </w:rPr>
  </w:style>
  <w:style w:type="character" w:customStyle="1" w:styleId="FigurecaptionCharChar">
    <w:name w:val="Figure caption Char Char"/>
    <w:basedOn w:val="CaptionChar"/>
    <w:link w:val="Figurecaption"/>
    <w:rsid w:val="0057279E"/>
    <w:rPr>
      <w:rFonts w:ascii="Arial" w:hAnsi="Arial"/>
      <w:color w:val="17365D" w:themeColor="text2" w:themeShade="BF"/>
      <w:sz w:val="22"/>
      <w:szCs w:val="24"/>
      <w:lang w:val="en-GB" w:eastAsia="en-US"/>
    </w:rPr>
  </w:style>
  <w:style w:type="paragraph" w:styleId="TableofFigures">
    <w:name w:val="table of figures"/>
    <w:basedOn w:val="Normal"/>
    <w:next w:val="Normal"/>
    <w:uiPriority w:val="99"/>
    <w:unhideWhenUsed/>
    <w:rsid w:val="00C762F1"/>
    <w:pPr>
      <w:spacing w:after="0"/>
    </w:pPr>
  </w:style>
  <w:style w:type="paragraph" w:customStyle="1" w:styleId="References">
    <w:name w:val="References"/>
    <w:basedOn w:val="Normal"/>
    <w:next w:val="Normal"/>
    <w:rsid w:val="00DE50E3"/>
    <w:pPr>
      <w:spacing w:before="0" w:after="0" w:line="360" w:lineRule="auto"/>
      <w:ind w:left="567" w:hanging="567"/>
    </w:pPr>
    <w:rPr>
      <w:rFonts w:ascii="Times New Roman" w:hAnsi="Times New Roman" w:cs="Times New Roman"/>
      <w:szCs w:val="20"/>
      <w:lang w:eastAsia="en-US"/>
    </w:rPr>
  </w:style>
  <w:style w:type="character" w:customStyle="1" w:styleId="current-selection">
    <w:name w:val="current-selection"/>
    <w:basedOn w:val="DefaultParagraphFont"/>
    <w:rsid w:val="00173CFC"/>
  </w:style>
  <w:style w:type="character" w:customStyle="1" w:styleId="highlight">
    <w:name w:val="highlight"/>
    <w:basedOn w:val="DefaultParagraphFont"/>
    <w:rsid w:val="00DF610D"/>
  </w:style>
  <w:style w:type="character" w:customStyle="1" w:styleId="ff1">
    <w:name w:val="ff1"/>
    <w:basedOn w:val="DefaultParagraphFont"/>
    <w:rsid w:val="001D2850"/>
  </w:style>
  <w:style w:type="character" w:customStyle="1" w:styleId="st">
    <w:name w:val="st"/>
    <w:basedOn w:val="DefaultParagraphFont"/>
    <w:rsid w:val="00E838DF"/>
  </w:style>
  <w:style w:type="character" w:customStyle="1" w:styleId="ipa1">
    <w:name w:val="ipa1"/>
    <w:rsid w:val="0015270F"/>
    <w:rPr>
      <w:rFonts w:ascii="Arial Unicode MS" w:eastAsia="Arial Unicode MS" w:hAnsi="Arial Unicode MS" w:cs="Arial Unicode MS" w:hint="eastAsia"/>
    </w:rPr>
  </w:style>
  <w:style w:type="character" w:customStyle="1" w:styleId="plainlinks">
    <w:name w:val="plainlinks"/>
    <w:basedOn w:val="DefaultParagraphFont"/>
    <w:rsid w:val="0015270F"/>
  </w:style>
  <w:style w:type="character" w:customStyle="1" w:styleId="geo-dms1">
    <w:name w:val="geo-dms1"/>
    <w:rsid w:val="0015270F"/>
    <w:rPr>
      <w:vanish w:val="0"/>
      <w:webHidden w:val="0"/>
      <w:specVanish/>
    </w:rPr>
  </w:style>
  <w:style w:type="character" w:customStyle="1" w:styleId="latitude1">
    <w:name w:val="latitude1"/>
    <w:basedOn w:val="DefaultParagraphFont"/>
    <w:rsid w:val="0015270F"/>
  </w:style>
  <w:style w:type="character" w:customStyle="1" w:styleId="longitude1">
    <w:name w:val="longitude1"/>
    <w:basedOn w:val="DefaultParagraphFont"/>
    <w:rsid w:val="0015270F"/>
  </w:style>
  <w:style w:type="character" w:customStyle="1" w:styleId="geo-multi-punct1">
    <w:name w:val="geo-multi-punct1"/>
    <w:rsid w:val="0015270F"/>
    <w:rPr>
      <w:vanish/>
      <w:webHidden w:val="0"/>
      <w:specVanish/>
    </w:rPr>
  </w:style>
  <w:style w:type="character" w:customStyle="1" w:styleId="geo-nondefault1">
    <w:name w:val="geo-nondefault1"/>
    <w:rsid w:val="0015270F"/>
    <w:rPr>
      <w:vanish/>
      <w:webHidden w:val="0"/>
      <w:specVanish/>
    </w:rPr>
  </w:style>
  <w:style w:type="character" w:customStyle="1" w:styleId="geo-dec1">
    <w:name w:val="geo-dec1"/>
    <w:rsid w:val="0015270F"/>
    <w:rPr>
      <w:vanish w:val="0"/>
      <w:webHidden w:val="0"/>
      <w:specVanish/>
    </w:rPr>
  </w:style>
  <w:style w:type="character" w:customStyle="1" w:styleId="geo">
    <w:name w:val="geo"/>
    <w:basedOn w:val="DefaultParagraphFont"/>
    <w:rsid w:val="0015270F"/>
  </w:style>
  <w:style w:type="character" w:customStyle="1" w:styleId="apple-style-span">
    <w:name w:val="apple-style-span"/>
    <w:basedOn w:val="DefaultParagraphFont"/>
    <w:rsid w:val="0015270F"/>
  </w:style>
  <w:style w:type="paragraph" w:customStyle="1" w:styleId="ParaFirst8">
    <w:name w:val="ParaFirst/8"/>
    <w:basedOn w:val="Normal"/>
    <w:rsid w:val="0015270F"/>
    <w:pPr>
      <w:spacing w:after="120" w:line="300" w:lineRule="exact"/>
      <w:jc w:val="left"/>
    </w:pPr>
    <w:rPr>
      <w:rFonts w:ascii="Times New Roman" w:hAnsi="Times New Roman" w:cs="Times New Roman"/>
      <w:sz w:val="20"/>
      <w:szCs w:val="20"/>
      <w:lang w:eastAsia="en-US"/>
    </w:rPr>
  </w:style>
  <w:style w:type="paragraph" w:customStyle="1" w:styleId="MediumGrid1-Accent21">
    <w:name w:val="Medium Grid 1 - Accent 21"/>
    <w:basedOn w:val="Normal"/>
    <w:qFormat/>
    <w:rsid w:val="0015270F"/>
    <w:pPr>
      <w:spacing w:before="0" w:after="120" w:line="120" w:lineRule="atLeast"/>
      <w:contextualSpacing/>
      <w:jc w:val="left"/>
    </w:pPr>
    <w:rPr>
      <w:rFonts w:ascii="Calibri" w:hAnsi="Calibri" w:cs="Times New Roman"/>
      <w:sz w:val="20"/>
      <w:lang w:val="en-US" w:eastAsia="en-US" w:bidi="en-US"/>
    </w:rPr>
  </w:style>
  <w:style w:type="character" w:customStyle="1" w:styleId="BodyTextChar">
    <w:name w:val="Body Text Char"/>
    <w:basedOn w:val="DefaultParagraphFont"/>
    <w:link w:val="BodyText"/>
    <w:rsid w:val="0015270F"/>
    <w:rPr>
      <w:rFonts w:asciiTheme="minorHAnsi" w:hAnsiTheme="minorHAnsi" w:cstheme="minorHAnsi"/>
      <w:sz w:val="22"/>
      <w:szCs w:val="22"/>
    </w:rPr>
  </w:style>
  <w:style w:type="paragraph" w:customStyle="1" w:styleId="Table">
    <w:name w:val="Table"/>
    <w:basedOn w:val="Normal"/>
    <w:link w:val="TableChar"/>
    <w:rsid w:val="0015270F"/>
    <w:pPr>
      <w:spacing w:before="0" w:after="120" w:line="360" w:lineRule="auto"/>
      <w:jc w:val="left"/>
    </w:pPr>
    <w:rPr>
      <w:rFonts w:ascii="Arial Narrow" w:hAnsi="Arial Narrow" w:cs="Times New Roman"/>
      <w:sz w:val="20"/>
      <w:szCs w:val="20"/>
      <w:lang w:val="en-GB" w:eastAsia="en-US"/>
    </w:rPr>
  </w:style>
  <w:style w:type="character" w:customStyle="1" w:styleId="TableChar">
    <w:name w:val="Table Char"/>
    <w:link w:val="Table"/>
    <w:rsid w:val="0015270F"/>
    <w:rPr>
      <w:rFonts w:ascii="Arial Narrow" w:hAnsi="Arial Narrow"/>
      <w:lang w:val="en-GB" w:eastAsia="en-US"/>
    </w:rPr>
  </w:style>
  <w:style w:type="paragraph" w:customStyle="1" w:styleId="Reportrefs">
    <w:name w:val="Report refs"/>
    <w:basedOn w:val="Normal"/>
    <w:rsid w:val="0015270F"/>
    <w:pPr>
      <w:spacing w:before="0" w:after="180" w:line="120" w:lineRule="atLeast"/>
      <w:ind w:left="432" w:hanging="432"/>
      <w:jc w:val="left"/>
    </w:pPr>
    <w:rPr>
      <w:rFonts w:ascii="Gill Sans MT" w:hAnsi="Gill Sans MT" w:cs="Times New Roman"/>
      <w:sz w:val="24"/>
      <w:szCs w:val="20"/>
      <w:lang w:val="en-GB" w:eastAsia="en-US"/>
    </w:rPr>
  </w:style>
  <w:style w:type="paragraph" w:customStyle="1" w:styleId="indenthang1">
    <w:name w:val="indenthang1"/>
    <w:basedOn w:val="Normal"/>
    <w:link w:val="indenthang1Char"/>
    <w:rsid w:val="0015270F"/>
    <w:pPr>
      <w:spacing w:before="100" w:after="100" w:line="120" w:lineRule="atLeast"/>
      <w:ind w:left="480" w:hanging="168"/>
      <w:jc w:val="left"/>
    </w:pPr>
    <w:rPr>
      <w:rFonts w:ascii="Arial" w:hAnsi="Arial" w:cs="Times New Roman"/>
      <w:sz w:val="20"/>
      <w:szCs w:val="24"/>
      <w:lang w:val="en-US" w:eastAsia="en-US"/>
    </w:rPr>
  </w:style>
  <w:style w:type="character" w:customStyle="1" w:styleId="indenthang1Char">
    <w:name w:val="indenthang1 Char"/>
    <w:basedOn w:val="DefaultParagraphFont"/>
    <w:link w:val="indenthang1"/>
    <w:rsid w:val="0015270F"/>
    <w:rPr>
      <w:rFonts w:ascii="Arial" w:hAnsi="Arial"/>
      <w:szCs w:val="24"/>
      <w:lang w:val="en-US" w:eastAsia="en-US"/>
    </w:rPr>
  </w:style>
  <w:style w:type="numbering" w:customStyle="1" w:styleId="NoList1">
    <w:name w:val="No List1"/>
    <w:next w:val="NoList"/>
    <w:uiPriority w:val="99"/>
    <w:semiHidden/>
    <w:unhideWhenUsed/>
    <w:rsid w:val="0015270F"/>
  </w:style>
  <w:style w:type="character" w:customStyle="1" w:styleId="HTMLPreformattedChar">
    <w:name w:val="HTML Preformatted Char"/>
    <w:basedOn w:val="DefaultParagraphFont"/>
    <w:link w:val="HTMLPreformatted"/>
    <w:uiPriority w:val="99"/>
    <w:rsid w:val="0015270F"/>
    <w:rPr>
      <w:rFonts w:ascii="Courier New" w:hAnsi="Courier New" w:cs="Courier New"/>
    </w:rPr>
  </w:style>
  <w:style w:type="character" w:customStyle="1" w:styleId="esrielement1">
    <w:name w:val="esrielement1"/>
    <w:basedOn w:val="DefaultParagraphFont"/>
    <w:rsid w:val="0015270F"/>
    <w:rPr>
      <w:b w:val="0"/>
      <w:bCs w:val="0"/>
      <w:smallCaps/>
      <w:color w:val="006400"/>
      <w:sz w:val="22"/>
      <w:szCs w:val="22"/>
    </w:rPr>
  </w:style>
  <w:style w:type="character" w:customStyle="1" w:styleId="code1">
    <w:name w:val="code1"/>
    <w:basedOn w:val="DefaultParagraphFont"/>
    <w:rsid w:val="0015270F"/>
    <w:rPr>
      <w:rFonts w:ascii="Courier New" w:hAnsi="Courier New" w:cs="Courier New" w:hint="default"/>
    </w:rPr>
  </w:style>
  <w:style w:type="paragraph" w:styleId="TOC5">
    <w:name w:val="toc 5"/>
    <w:basedOn w:val="Normal"/>
    <w:next w:val="Normal"/>
    <w:autoRedefine/>
    <w:uiPriority w:val="39"/>
    <w:unhideWhenUsed/>
    <w:rsid w:val="0015270F"/>
    <w:pPr>
      <w:spacing w:before="0" w:after="100" w:line="276" w:lineRule="auto"/>
      <w:ind w:left="880"/>
      <w:jc w:val="left"/>
    </w:pPr>
    <w:rPr>
      <w:rFonts w:eastAsiaTheme="minorEastAsia" w:cstheme="minorBidi"/>
    </w:rPr>
  </w:style>
  <w:style w:type="paragraph" w:styleId="TOC6">
    <w:name w:val="toc 6"/>
    <w:basedOn w:val="Normal"/>
    <w:next w:val="Normal"/>
    <w:autoRedefine/>
    <w:uiPriority w:val="39"/>
    <w:unhideWhenUsed/>
    <w:rsid w:val="0015270F"/>
    <w:pPr>
      <w:spacing w:before="0" w:after="100" w:line="276" w:lineRule="auto"/>
      <w:ind w:left="1100"/>
      <w:jc w:val="left"/>
    </w:pPr>
    <w:rPr>
      <w:rFonts w:eastAsiaTheme="minorEastAsia" w:cstheme="minorBidi"/>
    </w:rPr>
  </w:style>
  <w:style w:type="paragraph" w:styleId="TOC7">
    <w:name w:val="toc 7"/>
    <w:basedOn w:val="Normal"/>
    <w:next w:val="Normal"/>
    <w:autoRedefine/>
    <w:uiPriority w:val="39"/>
    <w:unhideWhenUsed/>
    <w:rsid w:val="0015270F"/>
    <w:pPr>
      <w:spacing w:before="0" w:after="100" w:line="276" w:lineRule="auto"/>
      <w:ind w:left="1320"/>
      <w:jc w:val="left"/>
    </w:pPr>
    <w:rPr>
      <w:rFonts w:eastAsiaTheme="minorEastAsia" w:cstheme="minorBidi"/>
    </w:rPr>
  </w:style>
  <w:style w:type="paragraph" w:styleId="TOC8">
    <w:name w:val="toc 8"/>
    <w:basedOn w:val="Normal"/>
    <w:next w:val="Normal"/>
    <w:autoRedefine/>
    <w:uiPriority w:val="39"/>
    <w:unhideWhenUsed/>
    <w:rsid w:val="0015270F"/>
    <w:pPr>
      <w:spacing w:before="0" w:after="100" w:line="276" w:lineRule="auto"/>
      <w:ind w:left="1540"/>
      <w:jc w:val="left"/>
    </w:pPr>
    <w:rPr>
      <w:rFonts w:eastAsiaTheme="minorEastAsia" w:cstheme="minorBidi"/>
    </w:rPr>
  </w:style>
  <w:style w:type="paragraph" w:styleId="TOC9">
    <w:name w:val="toc 9"/>
    <w:basedOn w:val="Normal"/>
    <w:next w:val="Normal"/>
    <w:autoRedefine/>
    <w:uiPriority w:val="39"/>
    <w:unhideWhenUsed/>
    <w:rsid w:val="0015270F"/>
    <w:pPr>
      <w:spacing w:before="0" w:after="100" w:line="276" w:lineRule="auto"/>
      <w:ind w:left="1760"/>
      <w:jc w:val="left"/>
    </w:pPr>
    <w:rPr>
      <w:rFonts w:eastAsiaTheme="minorEastAsia" w:cstheme="minorBidi"/>
    </w:rPr>
  </w:style>
  <w:style w:type="paragraph" w:customStyle="1" w:styleId="xl67">
    <w:name w:val="xl67"/>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8">
    <w:name w:val="xl68"/>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9">
    <w:name w:val="xl69"/>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0">
    <w:name w:val="xl70"/>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1">
    <w:name w:val="xl71"/>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2">
    <w:name w:val="xl72"/>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3">
    <w:name w:val="xl73"/>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4">
    <w:name w:val="xl74"/>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5">
    <w:name w:val="xl75"/>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6">
    <w:name w:val="xl76"/>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7">
    <w:name w:val="xl77"/>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8">
    <w:name w:val="xl78"/>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9">
    <w:name w:val="xl79"/>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0">
    <w:name w:val="xl80"/>
    <w:basedOn w:val="Normal"/>
    <w:rsid w:val="0015270F"/>
    <w:pPr>
      <w:pBdr>
        <w:bottom w:val="single" w:sz="4" w:space="0" w:color="auto"/>
      </w:pBdr>
      <w:spacing w:before="100" w:beforeAutospacing="1" w:after="100" w:afterAutospacing="1" w:line="120" w:lineRule="atLeast"/>
      <w:jc w:val="left"/>
    </w:pPr>
    <w:rPr>
      <w:rFonts w:ascii="Times New Roman" w:hAnsi="Times New Roman" w:cs="Times New Roman"/>
      <w:sz w:val="24"/>
      <w:szCs w:val="24"/>
    </w:rPr>
  </w:style>
  <w:style w:type="paragraph" w:customStyle="1" w:styleId="xl63">
    <w:name w:val="xl63"/>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4">
    <w:name w:val="xl64"/>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5">
    <w:name w:val="xl65"/>
    <w:basedOn w:val="Normal"/>
    <w:rsid w:val="0015270F"/>
    <w:pPr>
      <w:spacing w:before="100" w:beforeAutospacing="1" w:after="100" w:afterAutospacing="1" w:line="120" w:lineRule="atLeast"/>
      <w:jc w:val="left"/>
    </w:pPr>
    <w:rPr>
      <w:rFonts w:ascii="Times New Roman" w:hAnsi="Times New Roman" w:cs="Times New Roman"/>
      <w:sz w:val="20"/>
      <w:szCs w:val="20"/>
      <w:lang w:val="en-GB" w:eastAsia="en-GB"/>
    </w:rPr>
  </w:style>
  <w:style w:type="paragraph" w:customStyle="1" w:styleId="xl66">
    <w:name w:val="xl66"/>
    <w:basedOn w:val="Normal"/>
    <w:rsid w:val="0015270F"/>
    <w:pPr>
      <w:pBdr>
        <w:top w:val="single" w:sz="4" w:space="0" w:color="auto"/>
        <w:left w:val="single" w:sz="4" w:space="0" w:color="auto"/>
        <w:bottom w:val="single" w:sz="4" w:space="0" w:color="auto"/>
        <w:right w:val="single" w:sz="4" w:space="0" w:color="auto"/>
      </w:pBdr>
      <w:spacing w:before="100" w:beforeAutospacing="1" w:after="100" w:afterAutospacing="1" w:line="120" w:lineRule="atLeast"/>
      <w:jc w:val="right"/>
    </w:pPr>
    <w:rPr>
      <w:rFonts w:ascii="Times New Roman" w:hAnsi="Times New Roman" w:cs="Times New Roman"/>
      <w:color w:val="000000"/>
      <w:sz w:val="20"/>
      <w:szCs w:val="20"/>
      <w:lang w:val="en-GB" w:eastAsia="en-GB"/>
    </w:rPr>
  </w:style>
  <w:style w:type="paragraph" w:customStyle="1" w:styleId="Title1">
    <w:name w:val="Title1"/>
    <w:basedOn w:val="Normal"/>
    <w:rsid w:val="0015270F"/>
    <w:pPr>
      <w:spacing w:before="100" w:beforeAutospacing="1" w:after="100" w:afterAutospacing="1" w:line="120" w:lineRule="atLeast"/>
      <w:jc w:val="left"/>
    </w:pPr>
    <w:rPr>
      <w:rFonts w:ascii="Times New Roman" w:eastAsiaTheme="minorEastAsia" w:hAnsi="Times New Roman" w:cs="Times New Roman"/>
      <w:b/>
      <w:bCs/>
      <w:sz w:val="40"/>
      <w:szCs w:val="40"/>
      <w:lang w:val="en-US" w:eastAsia="en-US"/>
    </w:rPr>
  </w:style>
  <w:style w:type="paragraph" w:customStyle="1" w:styleId="font0">
    <w:name w:val="font0"/>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5">
    <w:name w:val="font5"/>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6">
    <w:name w:val="font6"/>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xl81">
    <w:name w:val="xl81"/>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2">
    <w:name w:val="xl8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3">
    <w:name w:val="xl83"/>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font7">
    <w:name w:val="font7"/>
    <w:basedOn w:val="Normal"/>
    <w:rsid w:val="0015270F"/>
    <w:pPr>
      <w:spacing w:before="100" w:beforeAutospacing="1" w:after="100" w:afterAutospacing="1" w:line="120" w:lineRule="atLeast"/>
      <w:jc w:val="left"/>
    </w:pPr>
    <w:rPr>
      <w:rFonts w:ascii="Calibri" w:hAnsi="Calibri" w:cs="Times New Roman"/>
      <w:color w:val="000000"/>
      <w:sz w:val="20"/>
      <w:szCs w:val="20"/>
    </w:rPr>
  </w:style>
  <w:style w:type="character" w:styleId="PlaceholderText">
    <w:name w:val="Placeholder Text"/>
    <w:basedOn w:val="DefaultParagraphFont"/>
    <w:uiPriority w:val="99"/>
    <w:semiHidden/>
    <w:rsid w:val="0015270F"/>
    <w:rPr>
      <w:color w:val="808080"/>
    </w:rPr>
  </w:style>
  <w:style w:type="paragraph" w:customStyle="1" w:styleId="xl84">
    <w:name w:val="xl84"/>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5">
    <w:name w:val="xl8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6">
    <w:name w:val="xl86"/>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7">
    <w:name w:val="xl87"/>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8">
    <w:name w:val="xl88"/>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9">
    <w:name w:val="xl89"/>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0">
    <w:name w:val="xl90"/>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1">
    <w:name w:val="xl91"/>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2">
    <w:name w:val="xl9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3">
    <w:name w:val="xl93"/>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numbering" w:customStyle="1" w:styleId="NoList2">
    <w:name w:val="No List2"/>
    <w:next w:val="NoList"/>
    <w:uiPriority w:val="99"/>
    <w:semiHidden/>
    <w:unhideWhenUsed/>
    <w:rsid w:val="0015270F"/>
  </w:style>
  <w:style w:type="table" w:customStyle="1" w:styleId="TableGrid1">
    <w:name w:val="Table Grid1"/>
    <w:basedOn w:val="TableNormal"/>
    <w:next w:val="TableGrid"/>
    <w:uiPriority w:val="59"/>
    <w:rsid w:val="00152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i/>
      <w:iCs/>
      <w:sz w:val="24"/>
      <w:szCs w:val="24"/>
    </w:rPr>
  </w:style>
  <w:style w:type="paragraph" w:customStyle="1" w:styleId="xl95">
    <w:name w:val="xl95"/>
    <w:basedOn w:val="Normal"/>
    <w:rsid w:val="0015270F"/>
    <w:pPr>
      <w:pBdr>
        <w:top w:val="single" w:sz="4" w:space="0" w:color="auto"/>
        <w:left w:val="single" w:sz="4" w:space="0" w:color="auto"/>
      </w:pBdr>
      <w:shd w:val="clear" w:color="000000" w:fill="0070C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6">
    <w:name w:val="xl96"/>
    <w:basedOn w:val="Normal"/>
    <w:rsid w:val="0015270F"/>
    <w:pPr>
      <w:pBdr>
        <w:top w:val="single" w:sz="4" w:space="0" w:color="auto"/>
      </w:pBdr>
      <w:shd w:val="clear" w:color="000000" w:fill="00B05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7">
    <w:name w:val="xl97"/>
    <w:basedOn w:val="Normal"/>
    <w:rsid w:val="0015270F"/>
    <w:pPr>
      <w:pBdr>
        <w:top w:val="single" w:sz="4" w:space="0" w:color="auto"/>
      </w:pBdr>
      <w:shd w:val="clear" w:color="000000" w:fill="FF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8">
    <w:name w:val="xl98"/>
    <w:basedOn w:val="Normal"/>
    <w:rsid w:val="0015270F"/>
    <w:pPr>
      <w:pBdr>
        <w:top w:val="single" w:sz="4" w:space="0" w:color="auto"/>
      </w:pBdr>
      <w:shd w:val="clear" w:color="000000" w:fill="C0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9">
    <w:name w:val="xl99"/>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0">
    <w:name w:val="xl100"/>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1">
    <w:name w:val="xl101"/>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2">
    <w:name w:val="xl102"/>
    <w:basedOn w:val="Normal"/>
    <w:rsid w:val="0015270F"/>
    <w:pPr>
      <w:pBdr>
        <w:top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3">
    <w:name w:val="xl103"/>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4">
    <w:name w:val="xl104"/>
    <w:basedOn w:val="Normal"/>
    <w:rsid w:val="0015270F"/>
    <w:pPr>
      <w:pBdr>
        <w:left w:val="single" w:sz="4" w:space="0" w:color="auto"/>
        <w:bottom w:val="double" w:sz="6"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5">
    <w:name w:val="xl105"/>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6">
    <w:name w:val="xl106"/>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7">
    <w:name w:val="xl107"/>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pPr>
    <w:rPr>
      <w:rFonts w:ascii="Times New Roman" w:hAnsi="Times New Roman" w:cs="Times New Roman"/>
      <w:sz w:val="24"/>
      <w:szCs w:val="24"/>
    </w:rPr>
  </w:style>
  <w:style w:type="paragraph" w:customStyle="1" w:styleId="xl108">
    <w:name w:val="xl108"/>
    <w:basedOn w:val="Normal"/>
    <w:rsid w:val="0015270F"/>
    <w:pPr>
      <w:pBdr>
        <w:top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9">
    <w:name w:val="xl109"/>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0">
    <w:name w:val="xl110"/>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1">
    <w:name w:val="xl111"/>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2">
    <w:name w:val="xl112"/>
    <w:basedOn w:val="Normal"/>
    <w:rsid w:val="0015270F"/>
    <w:pPr>
      <w:pBdr>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3">
    <w:name w:val="xl113"/>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4">
    <w:name w:val="xl114"/>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5">
    <w:name w:val="xl11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6">
    <w:name w:val="xl116"/>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7">
    <w:name w:val="xl117"/>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numbering" w:customStyle="1" w:styleId="Style5">
    <w:name w:val="Style5"/>
    <w:uiPriority w:val="99"/>
    <w:rsid w:val="0015270F"/>
    <w:pPr>
      <w:numPr>
        <w:numId w:val="11"/>
      </w:numPr>
    </w:pPr>
  </w:style>
  <w:style w:type="paragraph" w:styleId="EndnoteText">
    <w:name w:val="endnote text"/>
    <w:basedOn w:val="Normal"/>
    <w:link w:val="EndnoteTextChar"/>
    <w:uiPriority w:val="99"/>
    <w:semiHidden/>
    <w:unhideWhenUsed/>
    <w:rsid w:val="00C97CC0"/>
    <w:pPr>
      <w:spacing w:before="0" w:after="0"/>
    </w:pPr>
    <w:rPr>
      <w:sz w:val="20"/>
      <w:szCs w:val="20"/>
    </w:rPr>
  </w:style>
  <w:style w:type="character" w:customStyle="1" w:styleId="EndnoteTextChar">
    <w:name w:val="Endnote Text Char"/>
    <w:basedOn w:val="DefaultParagraphFont"/>
    <w:link w:val="EndnoteText"/>
    <w:uiPriority w:val="99"/>
    <w:semiHidden/>
    <w:rsid w:val="00C97CC0"/>
    <w:rPr>
      <w:rFonts w:asciiTheme="minorHAnsi" w:hAnsiTheme="minorHAnsi" w:cstheme="minorHAnsi"/>
    </w:rPr>
  </w:style>
  <w:style w:type="character" w:styleId="EndnoteReference">
    <w:name w:val="endnote reference"/>
    <w:basedOn w:val="DefaultParagraphFont"/>
    <w:uiPriority w:val="99"/>
    <w:semiHidden/>
    <w:unhideWhenUsed/>
    <w:rsid w:val="00C97CC0"/>
    <w:rPr>
      <w:vertAlign w:val="superscript"/>
    </w:rPr>
  </w:style>
  <w:style w:type="character" w:customStyle="1" w:styleId="DocumentMapChar">
    <w:name w:val="Document Map Char"/>
    <w:basedOn w:val="DefaultParagraphFont"/>
    <w:link w:val="DocumentMap"/>
    <w:semiHidden/>
    <w:rsid w:val="004B2104"/>
    <w:rPr>
      <w:rFonts w:ascii="Tahoma" w:hAnsi="Tahoma" w:cs="Tahoma"/>
      <w:shd w:val="clear" w:color="auto" w:fill="000080"/>
    </w:rPr>
  </w:style>
  <w:style w:type="character" w:customStyle="1" w:styleId="A1">
    <w:name w:val="A1"/>
    <w:uiPriority w:val="99"/>
    <w:rsid w:val="008E03E9"/>
    <w:rPr>
      <w:rFonts w:cs="Myriad Pro"/>
      <w:color w:val="211D1E"/>
      <w:sz w:val="18"/>
      <w:szCs w:val="18"/>
    </w:rPr>
  </w:style>
  <w:style w:type="character" w:customStyle="1" w:styleId="A2">
    <w:name w:val="A2"/>
    <w:uiPriority w:val="99"/>
    <w:rsid w:val="008E03E9"/>
    <w:rPr>
      <w:rFonts w:cs="Myriad Pro"/>
      <w:color w:val="211D1E"/>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E079CE"/>
    <w:pPr>
      <w:spacing w:before="120" w:after="240"/>
      <w:jc w:val="both"/>
    </w:pPr>
    <w:rPr>
      <w:rFonts w:asciiTheme="minorHAnsi" w:hAnsiTheme="minorHAnsi" w:cstheme="minorHAnsi"/>
      <w:sz w:val="22"/>
      <w:szCs w:val="22"/>
    </w:rPr>
  </w:style>
  <w:style w:type="paragraph" w:styleId="Heading1">
    <w:name w:val="heading 1"/>
    <w:basedOn w:val="Normal"/>
    <w:next w:val="Normal"/>
    <w:link w:val="Heading1Char"/>
    <w:qFormat/>
    <w:rsid w:val="00C12BFC"/>
    <w:pPr>
      <w:keepNext/>
      <w:pageBreakBefore/>
      <w:spacing w:after="120"/>
      <w:outlineLvl w:val="0"/>
    </w:pPr>
    <w:rPr>
      <w:b/>
      <w:bCs/>
      <w:caps/>
      <w:kern w:val="32"/>
      <w:sz w:val="32"/>
      <w:szCs w:val="32"/>
    </w:rPr>
  </w:style>
  <w:style w:type="paragraph" w:styleId="Heading2">
    <w:name w:val="heading 2"/>
    <w:aliases w:val="2nd Level Heading"/>
    <w:basedOn w:val="Normal"/>
    <w:next w:val="Normal"/>
    <w:link w:val="Heading2Char"/>
    <w:qFormat/>
    <w:rsid w:val="00D848A8"/>
    <w:pPr>
      <w:spacing w:before="240" w:line="360" w:lineRule="auto"/>
      <w:outlineLvl w:val="1"/>
    </w:pPr>
    <w:rPr>
      <w:b/>
      <w:sz w:val="24"/>
    </w:rPr>
  </w:style>
  <w:style w:type="paragraph" w:styleId="Heading3">
    <w:name w:val="heading 3"/>
    <w:aliases w:val="3rd Level Heading"/>
    <w:basedOn w:val="Normal"/>
    <w:next w:val="Normal"/>
    <w:link w:val="Heading3Char"/>
    <w:uiPriority w:val="9"/>
    <w:qFormat/>
    <w:rsid w:val="0015270F"/>
    <w:pPr>
      <w:numPr>
        <w:numId w:val="12"/>
      </w:numPr>
      <w:spacing w:before="240"/>
      <w:outlineLvl w:val="2"/>
    </w:pPr>
    <w:rPr>
      <w:b/>
    </w:rPr>
  </w:style>
  <w:style w:type="paragraph" w:styleId="Heading4">
    <w:name w:val="heading 4"/>
    <w:aliases w:val="4th Level Heading"/>
    <w:basedOn w:val="Normal"/>
    <w:next w:val="Normal"/>
    <w:link w:val="Heading4Char"/>
    <w:uiPriority w:val="9"/>
    <w:qFormat/>
    <w:rsid w:val="00FC280D"/>
    <w:pPr>
      <w:outlineLvl w:val="3"/>
    </w:pPr>
    <w:rPr>
      <w:b/>
      <w:i/>
    </w:rPr>
  </w:style>
  <w:style w:type="paragraph" w:styleId="Heading5">
    <w:name w:val="heading 5"/>
    <w:basedOn w:val="Normal"/>
    <w:next w:val="Normal"/>
    <w:link w:val="Heading5Char"/>
    <w:uiPriority w:val="9"/>
    <w:unhideWhenUsed/>
    <w:qFormat/>
    <w:rsid w:val="008D3A01"/>
    <w:pPr>
      <w:keepNext/>
      <w:keepLines/>
      <w:spacing w:before="200" w:line="276" w:lineRule="auto"/>
      <w:ind w:left="1008" w:hanging="1008"/>
      <w:jc w:val="left"/>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E0A0B"/>
    <w:pPr>
      <w:spacing w:after="0" w:line="276" w:lineRule="auto"/>
      <w:jc w:val="left"/>
      <w:outlineLvl w:val="5"/>
    </w:pPr>
    <w:rPr>
      <w:rFonts w:eastAsiaTheme="minorEastAsia" w:cstheme="minorBidi"/>
      <w:smallCaps/>
      <w:color w:val="C0504D" w:themeColor="accent2"/>
      <w:spacing w:val="5"/>
      <w:szCs w:val="20"/>
      <w:lang w:eastAsia="en-US"/>
    </w:rPr>
  </w:style>
  <w:style w:type="paragraph" w:styleId="Heading7">
    <w:name w:val="heading 7"/>
    <w:basedOn w:val="Normal"/>
    <w:next w:val="Normal"/>
    <w:link w:val="Heading7Char"/>
    <w:uiPriority w:val="9"/>
    <w:semiHidden/>
    <w:unhideWhenUsed/>
    <w:qFormat/>
    <w:rsid w:val="005E0A0B"/>
    <w:pPr>
      <w:spacing w:after="0" w:line="276" w:lineRule="auto"/>
      <w:jc w:val="left"/>
      <w:outlineLvl w:val="6"/>
    </w:pPr>
    <w:rPr>
      <w:rFonts w:eastAsiaTheme="minorEastAsia" w:cstheme="minorBidi"/>
      <w:b/>
      <w:smallCaps/>
      <w:color w:val="C0504D" w:themeColor="accent2"/>
      <w:spacing w:val="10"/>
      <w:szCs w:val="20"/>
      <w:lang w:eastAsia="en-US"/>
    </w:rPr>
  </w:style>
  <w:style w:type="paragraph" w:styleId="Heading8">
    <w:name w:val="heading 8"/>
    <w:basedOn w:val="Normal"/>
    <w:next w:val="Normal"/>
    <w:link w:val="Heading8Char"/>
    <w:uiPriority w:val="9"/>
    <w:semiHidden/>
    <w:unhideWhenUsed/>
    <w:qFormat/>
    <w:rsid w:val="005E0A0B"/>
    <w:pPr>
      <w:spacing w:after="0" w:line="276" w:lineRule="auto"/>
      <w:jc w:val="left"/>
      <w:outlineLvl w:val="7"/>
    </w:pPr>
    <w:rPr>
      <w:rFonts w:eastAsiaTheme="minorEastAsia" w:cstheme="minorBidi"/>
      <w:b/>
      <w:i/>
      <w:smallCaps/>
      <w:color w:val="943634" w:themeColor="accent2" w:themeShade="BF"/>
      <w:szCs w:val="20"/>
      <w:lang w:eastAsia="en-US"/>
    </w:rPr>
  </w:style>
  <w:style w:type="paragraph" w:styleId="Heading9">
    <w:name w:val="heading 9"/>
    <w:basedOn w:val="Normal"/>
    <w:next w:val="Normal"/>
    <w:link w:val="Heading9Char"/>
    <w:uiPriority w:val="9"/>
    <w:semiHidden/>
    <w:unhideWhenUsed/>
    <w:qFormat/>
    <w:rsid w:val="005E0A0B"/>
    <w:pPr>
      <w:spacing w:after="0" w:line="276" w:lineRule="auto"/>
      <w:jc w:val="left"/>
      <w:outlineLvl w:val="8"/>
    </w:pPr>
    <w:rPr>
      <w:rFonts w:eastAsiaTheme="minorEastAsia" w:cstheme="minorBidi"/>
      <w:b/>
      <w:i/>
      <w:smallCaps/>
      <w:color w:val="622423" w:themeColor="accent2" w:themeShade="7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emiHidden/>
    <w:rsid w:val="001D6A77"/>
    <w:rPr>
      <w:b/>
      <w:caps/>
    </w:rPr>
  </w:style>
  <w:style w:type="paragraph" w:customStyle="1" w:styleId="Style2">
    <w:name w:val="Style2"/>
    <w:basedOn w:val="Normal"/>
    <w:semiHidden/>
    <w:rsid w:val="00C50003"/>
    <w:pPr>
      <w:spacing w:after="120"/>
    </w:pPr>
    <w:rPr>
      <w:b/>
    </w:rPr>
  </w:style>
  <w:style w:type="paragraph" w:customStyle="1" w:styleId="Style3">
    <w:name w:val="Style3"/>
    <w:basedOn w:val="BodyText"/>
    <w:semiHidden/>
    <w:rsid w:val="00C50003"/>
    <w:rPr>
      <w:szCs w:val="20"/>
      <w:lang w:eastAsia="en-US"/>
    </w:rPr>
  </w:style>
  <w:style w:type="paragraph" w:styleId="BodyText">
    <w:name w:val="Body Text"/>
    <w:basedOn w:val="Normal"/>
    <w:link w:val="BodyTextChar"/>
    <w:rsid w:val="00AA33F4"/>
    <w:pPr>
      <w:spacing w:after="120"/>
    </w:pPr>
  </w:style>
  <w:style w:type="paragraph" w:customStyle="1" w:styleId="Style4">
    <w:name w:val="Style4"/>
    <w:basedOn w:val="BodyText"/>
    <w:semiHidden/>
    <w:rsid w:val="00D656CA"/>
    <w:pPr>
      <w:spacing w:after="0"/>
    </w:pPr>
    <w:rPr>
      <w:i/>
      <w:szCs w:val="20"/>
      <w:lang w:eastAsia="en-US"/>
    </w:rPr>
  </w:style>
  <w:style w:type="paragraph" w:styleId="Header">
    <w:name w:val="header"/>
    <w:basedOn w:val="Normal"/>
    <w:link w:val="HeaderChar"/>
    <w:uiPriority w:val="99"/>
    <w:rsid w:val="0024505B"/>
    <w:pPr>
      <w:tabs>
        <w:tab w:val="center" w:pos="4320"/>
        <w:tab w:val="right" w:pos="8640"/>
      </w:tabs>
    </w:pPr>
  </w:style>
  <w:style w:type="paragraph" w:styleId="Footer">
    <w:name w:val="footer"/>
    <w:basedOn w:val="Normal"/>
    <w:link w:val="FooterChar"/>
    <w:uiPriority w:val="99"/>
    <w:rsid w:val="0024505B"/>
    <w:pPr>
      <w:tabs>
        <w:tab w:val="center" w:pos="4320"/>
        <w:tab w:val="right" w:pos="8640"/>
      </w:tabs>
    </w:pPr>
  </w:style>
  <w:style w:type="character" w:styleId="PageNumber">
    <w:name w:val="page number"/>
    <w:basedOn w:val="DefaultParagraphFont"/>
    <w:rsid w:val="0024505B"/>
  </w:style>
  <w:style w:type="paragraph" w:customStyle="1" w:styleId="Default">
    <w:name w:val="Default"/>
    <w:rsid w:val="00F858FE"/>
    <w:pPr>
      <w:autoSpaceDE w:val="0"/>
      <w:autoSpaceDN w:val="0"/>
      <w:adjustRightInd w:val="0"/>
    </w:pPr>
    <w:rPr>
      <w:color w:val="000000"/>
      <w:sz w:val="24"/>
      <w:szCs w:val="24"/>
      <w:lang w:val="en-US" w:eastAsia="en-US"/>
    </w:rPr>
  </w:style>
  <w:style w:type="paragraph" w:styleId="Title">
    <w:name w:val="Title"/>
    <w:basedOn w:val="Default"/>
    <w:next w:val="Default"/>
    <w:link w:val="TitleChar"/>
    <w:uiPriority w:val="10"/>
    <w:qFormat/>
    <w:rsid w:val="00F858FE"/>
    <w:rPr>
      <w:color w:val="auto"/>
    </w:rPr>
  </w:style>
  <w:style w:type="paragraph" w:styleId="Subtitle">
    <w:name w:val="Subtitle"/>
    <w:basedOn w:val="Default"/>
    <w:next w:val="Default"/>
    <w:link w:val="SubtitleChar"/>
    <w:uiPriority w:val="11"/>
    <w:qFormat/>
    <w:rsid w:val="00F858FE"/>
    <w:rPr>
      <w:color w:val="auto"/>
    </w:rPr>
  </w:style>
  <w:style w:type="character" w:styleId="CommentReference">
    <w:name w:val="annotation reference"/>
    <w:basedOn w:val="DefaultParagraphFont"/>
    <w:uiPriority w:val="99"/>
    <w:rsid w:val="005B0BB8"/>
    <w:rPr>
      <w:sz w:val="16"/>
      <w:szCs w:val="16"/>
    </w:rPr>
  </w:style>
  <w:style w:type="paragraph" w:styleId="CommentText">
    <w:name w:val="annotation text"/>
    <w:basedOn w:val="Normal"/>
    <w:link w:val="CommentTextChar"/>
    <w:uiPriority w:val="99"/>
    <w:rsid w:val="005B0BB8"/>
    <w:rPr>
      <w:sz w:val="20"/>
      <w:szCs w:val="20"/>
    </w:rPr>
  </w:style>
  <w:style w:type="paragraph" w:styleId="CommentSubject">
    <w:name w:val="annotation subject"/>
    <w:basedOn w:val="CommentText"/>
    <w:next w:val="CommentText"/>
    <w:link w:val="CommentSubjectChar"/>
    <w:uiPriority w:val="99"/>
    <w:semiHidden/>
    <w:rsid w:val="005B0BB8"/>
    <w:rPr>
      <w:b/>
      <w:bCs/>
    </w:rPr>
  </w:style>
  <w:style w:type="paragraph" w:styleId="BalloonText">
    <w:name w:val="Balloon Text"/>
    <w:basedOn w:val="Normal"/>
    <w:link w:val="BalloonTextChar"/>
    <w:uiPriority w:val="99"/>
    <w:semiHidden/>
    <w:rsid w:val="005B0BB8"/>
    <w:rPr>
      <w:rFonts w:ascii="Tahoma" w:hAnsi="Tahoma" w:cs="Tahoma"/>
      <w:sz w:val="16"/>
      <w:szCs w:val="16"/>
    </w:rPr>
  </w:style>
  <w:style w:type="paragraph" w:styleId="DocumentMap">
    <w:name w:val="Document Map"/>
    <w:basedOn w:val="Normal"/>
    <w:link w:val="DocumentMapChar"/>
    <w:semiHidden/>
    <w:rsid w:val="00F375E5"/>
    <w:pPr>
      <w:shd w:val="clear" w:color="auto" w:fill="000080"/>
    </w:pPr>
    <w:rPr>
      <w:rFonts w:ascii="Tahoma" w:hAnsi="Tahoma" w:cs="Tahoma"/>
      <w:sz w:val="20"/>
      <w:szCs w:val="20"/>
    </w:rPr>
  </w:style>
  <w:style w:type="paragraph" w:customStyle="1" w:styleId="tableandfigureheader">
    <w:name w:val="table and figure header"/>
    <w:basedOn w:val="Title"/>
    <w:link w:val="tableandfigureheaderChar"/>
    <w:semiHidden/>
    <w:rsid w:val="00AA33F4"/>
    <w:pPr>
      <w:autoSpaceDE/>
      <w:autoSpaceDN/>
      <w:adjustRightInd/>
      <w:jc w:val="both"/>
    </w:pPr>
    <w:rPr>
      <w:bCs/>
      <w:sz w:val="20"/>
      <w:szCs w:val="20"/>
      <w:lang w:val="en-AU"/>
    </w:rPr>
  </w:style>
  <w:style w:type="character" w:customStyle="1" w:styleId="tableandfigureheaderChar">
    <w:name w:val="table and figure header Char"/>
    <w:basedOn w:val="DefaultParagraphFont"/>
    <w:link w:val="tableandfigureheader"/>
    <w:rsid w:val="00AA33F4"/>
    <w:rPr>
      <w:bCs/>
      <w:lang w:val="en-AU" w:eastAsia="en-US" w:bidi="ar-SA"/>
    </w:rPr>
  </w:style>
  <w:style w:type="paragraph" w:styleId="BodyText2">
    <w:name w:val="Body Text 2"/>
    <w:basedOn w:val="Normal"/>
    <w:link w:val="BodyText2Char"/>
    <w:uiPriority w:val="99"/>
    <w:qFormat/>
    <w:rsid w:val="00FD4D1A"/>
    <w:pPr>
      <w:spacing w:after="120" w:line="480" w:lineRule="auto"/>
    </w:pPr>
  </w:style>
  <w:style w:type="character" w:styleId="Hyperlink">
    <w:name w:val="Hyperlink"/>
    <w:basedOn w:val="DefaultParagraphFont"/>
    <w:uiPriority w:val="99"/>
    <w:rsid w:val="00FD4D1A"/>
    <w:rPr>
      <w:color w:val="0000FF"/>
      <w:u w:val="single"/>
    </w:rPr>
  </w:style>
  <w:style w:type="paragraph" w:styleId="TOC1">
    <w:name w:val="toc 1"/>
    <w:basedOn w:val="Normal"/>
    <w:next w:val="Normal"/>
    <w:autoRedefine/>
    <w:uiPriority w:val="39"/>
    <w:qFormat/>
    <w:rsid w:val="001758C6"/>
    <w:pPr>
      <w:tabs>
        <w:tab w:val="left" w:pos="480"/>
        <w:tab w:val="right" w:leader="dot" w:pos="9600"/>
      </w:tabs>
      <w:spacing w:before="0" w:after="0"/>
      <w:ind w:left="288" w:hanging="288"/>
    </w:pPr>
    <w:rPr>
      <w:b/>
      <w:szCs w:val="20"/>
      <w:lang w:val="en-US" w:eastAsia="en-US"/>
    </w:rPr>
  </w:style>
  <w:style w:type="paragraph" w:styleId="TOC2">
    <w:name w:val="toc 2"/>
    <w:basedOn w:val="Normal"/>
    <w:next w:val="Normal"/>
    <w:autoRedefine/>
    <w:uiPriority w:val="39"/>
    <w:qFormat/>
    <w:rsid w:val="001758C6"/>
    <w:pPr>
      <w:tabs>
        <w:tab w:val="left" w:pos="1080"/>
        <w:tab w:val="right" w:leader="dot" w:pos="9600"/>
      </w:tabs>
      <w:spacing w:before="0" w:after="0"/>
      <w:ind w:left="245"/>
    </w:pPr>
    <w:rPr>
      <w:b/>
      <w:bCs/>
      <w:iCs/>
      <w:szCs w:val="20"/>
      <w:lang w:eastAsia="en-US"/>
    </w:rPr>
  </w:style>
  <w:style w:type="paragraph" w:styleId="TOC3">
    <w:name w:val="toc 3"/>
    <w:basedOn w:val="Normal"/>
    <w:next w:val="Normal"/>
    <w:autoRedefine/>
    <w:uiPriority w:val="39"/>
    <w:qFormat/>
    <w:rsid w:val="001758C6"/>
    <w:pPr>
      <w:tabs>
        <w:tab w:val="left" w:pos="1560"/>
        <w:tab w:val="right" w:leader="dot" w:pos="9600"/>
      </w:tabs>
      <w:spacing w:before="0" w:after="0"/>
      <w:ind w:left="706"/>
    </w:pPr>
    <w:rPr>
      <w:b/>
      <w:iCs/>
      <w:szCs w:val="20"/>
      <w:lang w:eastAsia="en-US"/>
    </w:rPr>
  </w:style>
  <w:style w:type="paragraph" w:styleId="HTMLPreformatted">
    <w:name w:val="HTML Preformatted"/>
    <w:basedOn w:val="Normal"/>
    <w:link w:val="HTMLPreformattedChar"/>
    <w:uiPriority w:val="99"/>
    <w:rsid w:val="005E35E6"/>
    <w:rPr>
      <w:rFonts w:ascii="Courier New" w:hAnsi="Courier New" w:cs="Courier New"/>
      <w:sz w:val="20"/>
      <w:szCs w:val="20"/>
    </w:rPr>
  </w:style>
  <w:style w:type="character" w:customStyle="1" w:styleId="SubtitleChar">
    <w:name w:val="Subtitle Char"/>
    <w:basedOn w:val="DefaultParagraphFont"/>
    <w:link w:val="Subtitle"/>
    <w:uiPriority w:val="11"/>
    <w:rsid w:val="00CA7E84"/>
    <w:rPr>
      <w:sz w:val="24"/>
      <w:szCs w:val="24"/>
      <w:lang w:val="en-US" w:eastAsia="en-US" w:bidi="ar-SA"/>
    </w:rPr>
  </w:style>
  <w:style w:type="paragraph" w:styleId="TOC4">
    <w:name w:val="toc 4"/>
    <w:basedOn w:val="Normal"/>
    <w:next w:val="Normal"/>
    <w:autoRedefine/>
    <w:uiPriority w:val="39"/>
    <w:rsid w:val="00BD14A0"/>
    <w:pPr>
      <w:tabs>
        <w:tab w:val="right" w:leader="dot" w:pos="9563"/>
      </w:tabs>
      <w:ind w:left="3060" w:hanging="1500"/>
    </w:pPr>
  </w:style>
  <w:style w:type="paragraph" w:customStyle="1" w:styleId="Titleheading">
    <w:name w:val="Title heading"/>
    <w:basedOn w:val="Normal"/>
    <w:rsid w:val="00A22ACE"/>
    <w:rPr>
      <w:rFonts w:ascii="Arial" w:hAnsi="Arial"/>
      <w:b/>
      <w:color w:val="47CCFF"/>
      <w:sz w:val="48"/>
      <w:szCs w:val="48"/>
      <w:lang w:eastAsia="en-US"/>
    </w:rPr>
  </w:style>
  <w:style w:type="paragraph" w:customStyle="1" w:styleId="Body">
    <w:name w:val="Body"/>
    <w:basedOn w:val="Normal"/>
    <w:rsid w:val="00D07946"/>
    <w:pPr>
      <w:spacing w:line="260" w:lineRule="exact"/>
    </w:pPr>
    <w:rPr>
      <w:rFonts w:ascii="Arial" w:hAnsi="Arial"/>
      <w:color w:val="000000"/>
      <w:lang w:eastAsia="en-US"/>
    </w:rPr>
  </w:style>
  <w:style w:type="character" w:customStyle="1" w:styleId="TitleChar">
    <w:name w:val="Title Char"/>
    <w:basedOn w:val="DefaultParagraphFont"/>
    <w:link w:val="Title"/>
    <w:uiPriority w:val="10"/>
    <w:rsid w:val="00223AF9"/>
    <w:rPr>
      <w:sz w:val="24"/>
      <w:szCs w:val="24"/>
      <w:lang w:val="en-US" w:eastAsia="en-US"/>
    </w:rPr>
  </w:style>
  <w:style w:type="paragraph" w:styleId="ListParagraph">
    <w:name w:val="List Paragraph"/>
    <w:basedOn w:val="Normal"/>
    <w:uiPriority w:val="34"/>
    <w:qFormat/>
    <w:rsid w:val="006424EB"/>
    <w:pPr>
      <w:ind w:left="720"/>
      <w:contextualSpacing/>
    </w:pPr>
  </w:style>
  <w:style w:type="character" w:customStyle="1" w:styleId="HeaderChar">
    <w:name w:val="Header Char"/>
    <w:link w:val="Header"/>
    <w:uiPriority w:val="99"/>
    <w:rsid w:val="0050554D"/>
    <w:rPr>
      <w:rFonts w:asciiTheme="minorHAnsi" w:hAnsiTheme="minorHAnsi" w:cstheme="minorHAnsi"/>
      <w:sz w:val="22"/>
      <w:szCs w:val="22"/>
    </w:rPr>
  </w:style>
  <w:style w:type="character" w:customStyle="1" w:styleId="Bold-character">
    <w:name w:val="Bold - character"/>
    <w:rsid w:val="0050554D"/>
    <w:rPr>
      <w:b/>
    </w:rPr>
  </w:style>
  <w:style w:type="numbering" w:customStyle="1" w:styleId="Body-bullets">
    <w:name w:val="Body - bullets"/>
    <w:rsid w:val="005E30FE"/>
    <w:pPr>
      <w:numPr>
        <w:numId w:val="1"/>
      </w:numPr>
    </w:pPr>
  </w:style>
  <w:style w:type="paragraph" w:styleId="FootnoteText">
    <w:name w:val="footnote text"/>
    <w:basedOn w:val="Normal"/>
    <w:link w:val="FootnoteTextChar"/>
    <w:uiPriority w:val="99"/>
    <w:rsid w:val="005E30FE"/>
    <w:pPr>
      <w:spacing w:line="260" w:lineRule="exact"/>
      <w:jc w:val="left"/>
    </w:pPr>
    <w:rPr>
      <w:rFonts w:ascii="Arial" w:hAnsi="Arial" w:cs="Times New Roman"/>
      <w:sz w:val="18"/>
      <w:szCs w:val="20"/>
      <w:lang w:eastAsia="en-US"/>
    </w:rPr>
  </w:style>
  <w:style w:type="character" w:customStyle="1" w:styleId="FootnoteTextChar">
    <w:name w:val="Footnote Text Char"/>
    <w:basedOn w:val="DefaultParagraphFont"/>
    <w:link w:val="FootnoteText"/>
    <w:uiPriority w:val="99"/>
    <w:rsid w:val="005E30FE"/>
    <w:rPr>
      <w:rFonts w:ascii="Arial" w:hAnsi="Arial"/>
      <w:sz w:val="18"/>
      <w:lang w:eastAsia="en-US"/>
    </w:rPr>
  </w:style>
  <w:style w:type="character" w:styleId="FootnoteReference">
    <w:name w:val="footnote reference"/>
    <w:aliases w:val="Footnote symbol"/>
    <w:uiPriority w:val="99"/>
    <w:rsid w:val="005E30FE"/>
    <w:rPr>
      <w:vertAlign w:val="superscript"/>
    </w:rPr>
  </w:style>
  <w:style w:type="paragraph" w:styleId="Date">
    <w:name w:val="Date"/>
    <w:basedOn w:val="Normal"/>
    <w:next w:val="Normal"/>
    <w:link w:val="DateChar"/>
    <w:rsid w:val="005E30FE"/>
    <w:pPr>
      <w:jc w:val="left"/>
    </w:pPr>
    <w:rPr>
      <w:rFonts w:ascii="Arial" w:hAnsi="Arial" w:cs="Times New Roman"/>
      <w:szCs w:val="20"/>
      <w:lang w:val="en-US" w:eastAsia="en-US"/>
    </w:rPr>
  </w:style>
  <w:style w:type="character" w:customStyle="1" w:styleId="DateChar">
    <w:name w:val="Date Char"/>
    <w:basedOn w:val="DefaultParagraphFont"/>
    <w:link w:val="Date"/>
    <w:rsid w:val="005E30FE"/>
    <w:rPr>
      <w:rFonts w:ascii="Arial" w:hAnsi="Arial"/>
      <w:sz w:val="22"/>
      <w:lang w:val="en-US" w:eastAsia="en-US"/>
    </w:rPr>
  </w:style>
  <w:style w:type="character" w:customStyle="1" w:styleId="BodyText2Char">
    <w:name w:val="Body Text 2 Char"/>
    <w:link w:val="BodyText2"/>
    <w:uiPriority w:val="99"/>
    <w:rsid w:val="005E30FE"/>
    <w:rPr>
      <w:rFonts w:asciiTheme="minorHAnsi" w:hAnsiTheme="minorHAnsi" w:cstheme="minorHAnsi"/>
      <w:sz w:val="22"/>
      <w:szCs w:val="22"/>
    </w:rPr>
  </w:style>
  <w:style w:type="character" w:customStyle="1" w:styleId="Heading1Char">
    <w:name w:val="Heading 1 Char"/>
    <w:link w:val="Heading1"/>
    <w:rsid w:val="00C12BFC"/>
    <w:rPr>
      <w:rFonts w:asciiTheme="minorHAnsi" w:hAnsiTheme="minorHAnsi" w:cstheme="minorHAnsi"/>
      <w:b/>
      <w:bCs/>
      <w:caps/>
      <w:kern w:val="32"/>
      <w:sz w:val="32"/>
      <w:szCs w:val="32"/>
    </w:rPr>
  </w:style>
  <w:style w:type="paragraph" w:customStyle="1" w:styleId="Caption-standard">
    <w:name w:val="Caption - standard"/>
    <w:basedOn w:val="Body"/>
    <w:rsid w:val="005E30FE"/>
    <w:pPr>
      <w:jc w:val="left"/>
    </w:pPr>
    <w:rPr>
      <w:rFonts w:cs="Times New Roman"/>
      <w:sz w:val="20"/>
      <w:szCs w:val="20"/>
    </w:rPr>
  </w:style>
  <w:style w:type="paragraph" w:customStyle="1" w:styleId="Body-numbered">
    <w:name w:val="Body - numbered"/>
    <w:basedOn w:val="Body"/>
    <w:rsid w:val="005E30FE"/>
    <w:pPr>
      <w:numPr>
        <w:numId w:val="2"/>
      </w:numPr>
      <w:jc w:val="left"/>
    </w:pPr>
    <w:rPr>
      <w:rFonts w:cs="Times New Roman"/>
    </w:rPr>
  </w:style>
  <w:style w:type="character" w:customStyle="1" w:styleId="Italics-character">
    <w:name w:val="Italics - character"/>
    <w:rsid w:val="005E30FE"/>
    <w:rPr>
      <w:i/>
    </w:rPr>
  </w:style>
  <w:style w:type="character" w:customStyle="1" w:styleId="Superscript-character">
    <w:name w:val="Superscript - character"/>
    <w:rsid w:val="005E30FE"/>
    <w:rPr>
      <w:dstrike w:val="0"/>
      <w:vertAlign w:val="superscript"/>
    </w:rPr>
  </w:style>
  <w:style w:type="paragraph" w:customStyle="1" w:styleId="Titlesub-heading">
    <w:name w:val="Title sub-heading"/>
    <w:basedOn w:val="Normal"/>
    <w:rsid w:val="005E30FE"/>
    <w:pPr>
      <w:jc w:val="left"/>
    </w:pPr>
    <w:rPr>
      <w:rFonts w:ascii="Arial" w:hAnsi="Arial" w:cs="Times New Roman"/>
      <w:color w:val="636267"/>
      <w:sz w:val="48"/>
      <w:szCs w:val="48"/>
      <w:lang w:eastAsia="en-US"/>
    </w:rPr>
  </w:style>
  <w:style w:type="paragraph" w:styleId="Caption">
    <w:name w:val="caption"/>
    <w:aliases w:val="Tables,Caption Char Char,Caption Char1,Caption Char4 Char1,Caption Char1 Char5 Char,Caption Char4 Char Char2 Char,Caption Char1 Char2 Char Char4 Char,Caption Char4 Char Char Char1 Char2 Char,Caption Char1 Char Char Char1 Char Char3 Char"/>
    <w:basedOn w:val="Normal"/>
    <w:next w:val="Normal"/>
    <w:link w:val="CaptionChar"/>
    <w:uiPriority w:val="35"/>
    <w:qFormat/>
    <w:rsid w:val="0083263F"/>
    <w:pPr>
      <w:tabs>
        <w:tab w:val="left" w:pos="1134"/>
      </w:tabs>
      <w:spacing w:after="120"/>
      <w:ind w:left="1134" w:hanging="1134"/>
      <w:jc w:val="left"/>
    </w:pPr>
    <w:rPr>
      <w:rFonts w:ascii="Calibri" w:hAnsi="Calibri" w:cs="Times New Roman"/>
      <w:color w:val="17365D" w:themeColor="text2" w:themeShade="BF"/>
      <w:szCs w:val="20"/>
      <w:lang w:val="en-GB" w:eastAsia="en-US"/>
    </w:rPr>
  </w:style>
  <w:style w:type="paragraph" w:customStyle="1" w:styleId="Heading10">
    <w:name w:val="Heading1"/>
    <w:basedOn w:val="Normal"/>
    <w:rsid w:val="005E30FE"/>
    <w:rPr>
      <w:rFonts w:ascii="Arial" w:hAnsi="Arial" w:cs="Times New Roman"/>
      <w:b/>
      <w:bCs/>
      <w:szCs w:val="20"/>
    </w:rPr>
  </w:style>
  <w:style w:type="character" w:customStyle="1" w:styleId="Heading20">
    <w:name w:val="Heading2"/>
    <w:qFormat/>
    <w:rsid w:val="00E11FA7"/>
    <w:rPr>
      <w:rFonts w:ascii="Calibri" w:hAnsi="Calibri"/>
      <w:b/>
      <w:bCs/>
      <w:i w:val="0"/>
      <w:iCs/>
      <w:sz w:val="24"/>
    </w:rPr>
  </w:style>
  <w:style w:type="table" w:styleId="TableGrid">
    <w:name w:val="Table Grid"/>
    <w:basedOn w:val="TableNormal"/>
    <w:uiPriority w:val="59"/>
    <w:rsid w:val="005E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E30FE"/>
    <w:pPr>
      <w:spacing w:after="120"/>
      <w:jc w:val="left"/>
    </w:pPr>
    <w:rPr>
      <w:rFonts w:ascii="Arial" w:hAnsi="Arial" w:cs="Times New Roman"/>
      <w:sz w:val="16"/>
      <w:szCs w:val="16"/>
      <w:lang w:eastAsia="en-US"/>
    </w:rPr>
  </w:style>
  <w:style w:type="character" w:customStyle="1" w:styleId="BodyText3Char">
    <w:name w:val="Body Text 3 Char"/>
    <w:basedOn w:val="DefaultParagraphFont"/>
    <w:link w:val="BodyText3"/>
    <w:rsid w:val="005E30FE"/>
    <w:rPr>
      <w:rFonts w:ascii="Arial" w:hAnsi="Arial"/>
      <w:sz w:val="16"/>
      <w:szCs w:val="16"/>
      <w:lang w:eastAsia="en-US"/>
    </w:rPr>
  </w:style>
  <w:style w:type="paragraph" w:styleId="BlockText">
    <w:name w:val="Block Text"/>
    <w:basedOn w:val="Normal"/>
    <w:rsid w:val="005E30FE"/>
    <w:pPr>
      <w:spacing w:after="120"/>
    </w:pPr>
    <w:rPr>
      <w:rFonts w:ascii="Times New Roman" w:hAnsi="Times New Roman" w:cs="Times New Roman"/>
      <w:szCs w:val="20"/>
      <w:lang w:eastAsia="en-US"/>
    </w:rPr>
  </w:style>
  <w:style w:type="paragraph" w:customStyle="1" w:styleId="Heading30">
    <w:name w:val="Heading3"/>
    <w:basedOn w:val="Normal"/>
    <w:rsid w:val="00B837D4"/>
    <w:rPr>
      <w:rFonts w:ascii="Calibri" w:hAnsi="Calibri" w:cs="Times New Roman"/>
      <w:b/>
      <w:bCs/>
      <w:szCs w:val="20"/>
    </w:rPr>
  </w:style>
  <w:style w:type="paragraph" w:styleId="NormalWeb">
    <w:name w:val="Normal (Web)"/>
    <w:basedOn w:val="Normal"/>
    <w:uiPriority w:val="99"/>
    <w:rsid w:val="008D3A01"/>
    <w:pPr>
      <w:spacing w:before="100" w:beforeAutospacing="1" w:after="120" w:line="360" w:lineRule="auto"/>
    </w:pPr>
    <w:rPr>
      <w:rFonts w:ascii="Calibri" w:hAnsi="Calibri" w:cs="Times New Roman"/>
      <w:color w:val="333333"/>
      <w:szCs w:val="24"/>
    </w:rPr>
  </w:style>
  <w:style w:type="character" w:customStyle="1" w:styleId="style10">
    <w:name w:val="style10"/>
    <w:basedOn w:val="DefaultParagraphFont"/>
    <w:rsid w:val="005E30FE"/>
  </w:style>
  <w:style w:type="character" w:styleId="Emphasis">
    <w:name w:val="Emphasis"/>
    <w:uiPriority w:val="20"/>
    <w:qFormat/>
    <w:rsid w:val="005E30FE"/>
    <w:rPr>
      <w:i/>
      <w:iCs/>
    </w:rPr>
  </w:style>
  <w:style w:type="character" w:customStyle="1" w:styleId="normaltextbold1">
    <w:name w:val="normaltextbold1"/>
    <w:rsid w:val="005E30FE"/>
    <w:rPr>
      <w:rFonts w:ascii="Verdana" w:hAnsi="Verdana" w:hint="default"/>
      <w:b/>
      <w:bCs/>
      <w:color w:val="000000"/>
      <w:sz w:val="19"/>
      <w:szCs w:val="19"/>
      <w:shd w:val="clear" w:color="auto" w:fill="auto"/>
    </w:rPr>
  </w:style>
  <w:style w:type="character" w:customStyle="1" w:styleId="Heading2Char">
    <w:name w:val="Heading 2 Char"/>
    <w:aliases w:val="2nd Level Heading Char"/>
    <w:link w:val="Heading2"/>
    <w:rsid w:val="00D848A8"/>
    <w:rPr>
      <w:rFonts w:asciiTheme="minorHAnsi" w:hAnsiTheme="minorHAnsi" w:cstheme="minorHAnsi"/>
      <w:b/>
      <w:sz w:val="24"/>
      <w:szCs w:val="22"/>
    </w:rPr>
  </w:style>
  <w:style w:type="character" w:customStyle="1" w:styleId="Heading3Char">
    <w:name w:val="Heading 3 Char"/>
    <w:aliases w:val="3rd Level Heading Char"/>
    <w:link w:val="Heading3"/>
    <w:uiPriority w:val="9"/>
    <w:rsid w:val="0015270F"/>
    <w:rPr>
      <w:rFonts w:asciiTheme="minorHAnsi" w:hAnsiTheme="minorHAnsi" w:cstheme="minorHAnsi"/>
      <w:b/>
      <w:sz w:val="22"/>
      <w:szCs w:val="22"/>
    </w:rPr>
  </w:style>
  <w:style w:type="character" w:customStyle="1" w:styleId="Heading4Char">
    <w:name w:val="Heading 4 Char"/>
    <w:aliases w:val="4th Level Heading Char"/>
    <w:link w:val="Heading4"/>
    <w:uiPriority w:val="9"/>
    <w:rsid w:val="005E30FE"/>
    <w:rPr>
      <w:rFonts w:asciiTheme="minorHAnsi" w:hAnsiTheme="minorHAnsi" w:cstheme="minorHAnsi"/>
      <w:b/>
      <w:i/>
      <w:sz w:val="22"/>
      <w:szCs w:val="22"/>
    </w:rPr>
  </w:style>
  <w:style w:type="character" w:customStyle="1" w:styleId="CommentTextChar">
    <w:name w:val="Comment Text Char"/>
    <w:basedOn w:val="DefaultParagraphFont"/>
    <w:link w:val="CommentText"/>
    <w:uiPriority w:val="99"/>
    <w:rsid w:val="000438ED"/>
    <w:rPr>
      <w:rFonts w:asciiTheme="minorHAnsi" w:hAnsiTheme="minorHAnsi" w:cstheme="minorHAnsi"/>
    </w:rPr>
  </w:style>
  <w:style w:type="character" w:customStyle="1" w:styleId="FooterChar">
    <w:name w:val="Footer Char"/>
    <w:basedOn w:val="DefaultParagraphFont"/>
    <w:link w:val="Footer"/>
    <w:uiPriority w:val="99"/>
    <w:rsid w:val="008D3A01"/>
    <w:rPr>
      <w:rFonts w:asciiTheme="minorHAnsi" w:hAnsiTheme="minorHAnsi" w:cstheme="minorHAnsi"/>
      <w:sz w:val="22"/>
      <w:szCs w:val="22"/>
    </w:rPr>
  </w:style>
  <w:style w:type="table" w:styleId="TableClassic1">
    <w:name w:val="Table Classic 1"/>
    <w:basedOn w:val="TableNormal"/>
    <w:rsid w:val="008D3A0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ptionChar">
    <w:name w:val="Caption Char"/>
    <w:aliases w:val="Tables Char,Caption Char Char Char,Caption Char1 Char,Caption Char4 Char1 Char,Caption Char1 Char5 Char Char,Caption Char4 Char Char2 Char Char,Caption Char1 Char2 Char Char4 Char Char,Caption Char4 Char Char Char1 Char2 Char Char"/>
    <w:link w:val="Caption"/>
    <w:locked/>
    <w:rsid w:val="0083263F"/>
    <w:rPr>
      <w:rFonts w:ascii="Calibri" w:hAnsi="Calibri"/>
      <w:color w:val="17365D" w:themeColor="text2" w:themeShade="BF"/>
      <w:sz w:val="22"/>
      <w:lang w:val="en-GB" w:eastAsia="en-US"/>
    </w:rPr>
  </w:style>
  <w:style w:type="paragraph" w:styleId="NoSpacing">
    <w:name w:val="No Spacing"/>
    <w:link w:val="NoSpacingChar"/>
    <w:uiPriority w:val="1"/>
    <w:qFormat/>
    <w:rsid w:val="008D3A01"/>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uiPriority w:val="9"/>
    <w:rsid w:val="008D3A01"/>
    <w:rPr>
      <w:rFonts w:asciiTheme="majorHAnsi" w:eastAsiaTheme="majorEastAsia" w:hAnsiTheme="majorHAnsi" w:cstheme="majorBidi"/>
      <w:color w:val="243F60" w:themeColor="accent1" w:themeShade="7F"/>
      <w:sz w:val="22"/>
      <w:szCs w:val="22"/>
    </w:rPr>
  </w:style>
  <w:style w:type="character" w:customStyle="1" w:styleId="BalloonTextChar">
    <w:name w:val="Balloon Text Char"/>
    <w:basedOn w:val="DefaultParagraphFont"/>
    <w:link w:val="BalloonText"/>
    <w:uiPriority w:val="99"/>
    <w:semiHidden/>
    <w:rsid w:val="008D3A01"/>
    <w:rPr>
      <w:rFonts w:ascii="Tahoma" w:hAnsi="Tahoma" w:cs="Tahoma"/>
      <w:sz w:val="16"/>
      <w:szCs w:val="16"/>
    </w:rPr>
  </w:style>
  <w:style w:type="character" w:customStyle="1" w:styleId="maincenter">
    <w:name w:val="main_center"/>
    <w:basedOn w:val="DefaultParagraphFont"/>
    <w:rsid w:val="008D3A01"/>
  </w:style>
  <w:style w:type="paragraph" w:styleId="PlainText">
    <w:name w:val="Plain Text"/>
    <w:basedOn w:val="Normal"/>
    <w:link w:val="PlainTextChar"/>
    <w:uiPriority w:val="99"/>
    <w:rsid w:val="008D3A01"/>
    <w:pPr>
      <w:jc w:val="left"/>
    </w:pPr>
    <w:rPr>
      <w:rFonts w:ascii="Courier New" w:hAnsi="Courier New" w:cs="Courier New"/>
      <w:sz w:val="20"/>
      <w:szCs w:val="20"/>
      <w:lang w:val="en-US" w:eastAsia="en-US"/>
    </w:rPr>
  </w:style>
  <w:style w:type="character" w:customStyle="1" w:styleId="PlainTextChar">
    <w:name w:val="Plain Text Char"/>
    <w:basedOn w:val="DefaultParagraphFont"/>
    <w:link w:val="PlainText"/>
    <w:uiPriority w:val="99"/>
    <w:rsid w:val="008D3A01"/>
    <w:rPr>
      <w:rFonts w:ascii="Courier New" w:hAnsi="Courier New" w:cs="Courier New"/>
      <w:lang w:val="en-US" w:eastAsia="en-US"/>
    </w:rPr>
  </w:style>
  <w:style w:type="character" w:customStyle="1" w:styleId="CommentSubjectChar">
    <w:name w:val="Comment Subject Char"/>
    <w:basedOn w:val="CommentTextChar"/>
    <w:link w:val="CommentSubject"/>
    <w:uiPriority w:val="99"/>
    <w:semiHidden/>
    <w:rsid w:val="008D3A01"/>
    <w:rPr>
      <w:rFonts w:asciiTheme="minorHAnsi" w:hAnsiTheme="minorHAnsi" w:cstheme="minorHAnsi"/>
      <w:b/>
      <w:bCs/>
    </w:rPr>
  </w:style>
  <w:style w:type="paragraph" w:styleId="BodyTextIndent">
    <w:name w:val="Body Text Indent"/>
    <w:basedOn w:val="Normal"/>
    <w:link w:val="BodyTextIndentChar"/>
    <w:uiPriority w:val="99"/>
    <w:unhideWhenUsed/>
    <w:rsid w:val="008D3A01"/>
    <w:pPr>
      <w:spacing w:after="120"/>
      <w:ind w:left="567" w:hanging="567"/>
      <w:jc w:val="left"/>
    </w:pPr>
    <w:rPr>
      <w:rFonts w:ascii="Times New Roman" w:eastAsiaTheme="minorEastAsia" w:hAnsi="Times New Roman" w:cs="Times New Roman"/>
      <w:sz w:val="20"/>
      <w:szCs w:val="20"/>
      <w:lang w:eastAsia="ja-JP"/>
    </w:rPr>
  </w:style>
  <w:style w:type="character" w:customStyle="1" w:styleId="BodyTextIndentChar">
    <w:name w:val="Body Text Indent Char"/>
    <w:basedOn w:val="DefaultParagraphFont"/>
    <w:link w:val="BodyTextIndent"/>
    <w:uiPriority w:val="99"/>
    <w:rsid w:val="008D3A01"/>
    <w:rPr>
      <w:rFonts w:eastAsiaTheme="minorEastAsia"/>
      <w:lang w:eastAsia="ja-JP"/>
    </w:rPr>
  </w:style>
  <w:style w:type="paragraph" w:styleId="TOCHeading">
    <w:name w:val="TOC Heading"/>
    <w:basedOn w:val="Heading1"/>
    <w:next w:val="Normal"/>
    <w:uiPriority w:val="39"/>
    <w:unhideWhenUsed/>
    <w:qFormat/>
    <w:rsid w:val="005E0A0B"/>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character" w:customStyle="1" w:styleId="Heading6Char">
    <w:name w:val="Heading 6 Char"/>
    <w:basedOn w:val="DefaultParagraphFont"/>
    <w:link w:val="Heading6"/>
    <w:uiPriority w:val="9"/>
    <w:rsid w:val="005E0A0B"/>
    <w:rPr>
      <w:rFonts w:asciiTheme="minorHAnsi" w:eastAsiaTheme="minorEastAsia" w:hAnsiTheme="minorHAnsi" w:cstheme="minorBidi"/>
      <w:smallCaps/>
      <w:color w:val="C0504D" w:themeColor="accent2"/>
      <w:spacing w:val="5"/>
      <w:sz w:val="22"/>
      <w:lang w:eastAsia="en-US"/>
    </w:rPr>
  </w:style>
  <w:style w:type="character" w:customStyle="1" w:styleId="Heading7Char">
    <w:name w:val="Heading 7 Char"/>
    <w:basedOn w:val="DefaultParagraphFont"/>
    <w:link w:val="Heading7"/>
    <w:uiPriority w:val="9"/>
    <w:semiHidden/>
    <w:rsid w:val="005E0A0B"/>
    <w:rPr>
      <w:rFonts w:asciiTheme="minorHAnsi" w:eastAsiaTheme="minorEastAsia" w:hAnsiTheme="minorHAnsi" w:cstheme="minorBidi"/>
      <w:b/>
      <w:smallCaps/>
      <w:color w:val="C0504D" w:themeColor="accent2"/>
      <w:spacing w:val="10"/>
      <w:sz w:val="22"/>
      <w:lang w:eastAsia="en-US"/>
    </w:rPr>
  </w:style>
  <w:style w:type="character" w:customStyle="1" w:styleId="Heading8Char">
    <w:name w:val="Heading 8 Char"/>
    <w:basedOn w:val="DefaultParagraphFont"/>
    <w:link w:val="Heading8"/>
    <w:uiPriority w:val="9"/>
    <w:semiHidden/>
    <w:rsid w:val="005E0A0B"/>
    <w:rPr>
      <w:rFonts w:asciiTheme="minorHAnsi" w:eastAsiaTheme="minorEastAsia" w:hAnsiTheme="minorHAnsi" w:cstheme="minorBidi"/>
      <w:b/>
      <w:i/>
      <w:smallCaps/>
      <w:color w:val="943634" w:themeColor="accent2" w:themeShade="BF"/>
      <w:sz w:val="22"/>
      <w:lang w:eastAsia="en-US"/>
    </w:rPr>
  </w:style>
  <w:style w:type="character" w:customStyle="1" w:styleId="Heading9Char">
    <w:name w:val="Heading 9 Char"/>
    <w:basedOn w:val="DefaultParagraphFont"/>
    <w:link w:val="Heading9"/>
    <w:uiPriority w:val="9"/>
    <w:semiHidden/>
    <w:rsid w:val="005E0A0B"/>
    <w:rPr>
      <w:rFonts w:asciiTheme="minorHAnsi" w:eastAsiaTheme="minorEastAsia" w:hAnsiTheme="minorHAnsi" w:cstheme="minorBidi"/>
      <w:b/>
      <w:i/>
      <w:smallCaps/>
      <w:color w:val="622423" w:themeColor="accent2" w:themeShade="7F"/>
      <w:sz w:val="22"/>
      <w:lang w:eastAsia="en-US"/>
    </w:rPr>
  </w:style>
  <w:style w:type="character" w:styleId="Strong">
    <w:name w:val="Strong"/>
    <w:uiPriority w:val="22"/>
    <w:qFormat/>
    <w:rsid w:val="005E0A0B"/>
    <w:rPr>
      <w:b/>
      <w:color w:val="C0504D" w:themeColor="accent2"/>
    </w:rPr>
  </w:style>
  <w:style w:type="character" w:customStyle="1" w:styleId="NoSpacingChar">
    <w:name w:val="No Spacing Char"/>
    <w:basedOn w:val="DefaultParagraphFont"/>
    <w:link w:val="NoSpacing"/>
    <w:uiPriority w:val="1"/>
    <w:rsid w:val="005E0A0B"/>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5E0A0B"/>
    <w:pPr>
      <w:spacing w:after="320" w:line="276" w:lineRule="auto"/>
    </w:pPr>
    <w:rPr>
      <w:rFonts w:eastAsiaTheme="minorEastAsia" w:cstheme="minorBidi"/>
      <w:i/>
      <w:szCs w:val="20"/>
      <w:lang w:eastAsia="en-US"/>
    </w:rPr>
  </w:style>
  <w:style w:type="character" w:customStyle="1" w:styleId="QuoteChar">
    <w:name w:val="Quote Char"/>
    <w:basedOn w:val="DefaultParagraphFont"/>
    <w:link w:val="Quote"/>
    <w:uiPriority w:val="29"/>
    <w:rsid w:val="005E0A0B"/>
    <w:rPr>
      <w:rFonts w:asciiTheme="minorHAnsi" w:eastAsiaTheme="minorEastAsia" w:hAnsiTheme="minorHAnsi" w:cstheme="minorBidi"/>
      <w:i/>
      <w:sz w:val="22"/>
      <w:lang w:eastAsia="en-US"/>
    </w:rPr>
  </w:style>
  <w:style w:type="paragraph" w:styleId="IntenseQuote">
    <w:name w:val="Intense Quote"/>
    <w:basedOn w:val="Normal"/>
    <w:next w:val="Normal"/>
    <w:link w:val="IntenseQuoteChar"/>
    <w:uiPriority w:val="30"/>
    <w:qFormat/>
    <w:rsid w:val="005E0A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pPr>
    <w:rPr>
      <w:rFonts w:eastAsiaTheme="minorEastAsia" w:cstheme="minorBidi"/>
      <w:b/>
      <w:i/>
      <w:color w:val="FFFFFF" w:themeColor="background1"/>
      <w:szCs w:val="20"/>
      <w:lang w:eastAsia="en-US"/>
    </w:rPr>
  </w:style>
  <w:style w:type="character" w:customStyle="1" w:styleId="IntenseQuoteChar">
    <w:name w:val="Intense Quote Char"/>
    <w:basedOn w:val="DefaultParagraphFont"/>
    <w:link w:val="IntenseQuote"/>
    <w:uiPriority w:val="30"/>
    <w:rsid w:val="005E0A0B"/>
    <w:rPr>
      <w:rFonts w:asciiTheme="minorHAnsi" w:eastAsiaTheme="minorEastAsia" w:hAnsiTheme="minorHAnsi" w:cstheme="minorBidi"/>
      <w:b/>
      <w:i/>
      <w:color w:val="FFFFFF" w:themeColor="background1"/>
      <w:sz w:val="22"/>
      <w:shd w:val="clear" w:color="auto" w:fill="C0504D" w:themeFill="accent2"/>
      <w:lang w:eastAsia="en-US"/>
    </w:rPr>
  </w:style>
  <w:style w:type="character" w:styleId="SubtleEmphasis">
    <w:name w:val="Subtle Emphasis"/>
    <w:uiPriority w:val="19"/>
    <w:qFormat/>
    <w:rsid w:val="005E0A0B"/>
    <w:rPr>
      <w:i/>
    </w:rPr>
  </w:style>
  <w:style w:type="character" w:styleId="IntenseEmphasis">
    <w:name w:val="Intense Emphasis"/>
    <w:uiPriority w:val="21"/>
    <w:qFormat/>
    <w:rsid w:val="005E0A0B"/>
    <w:rPr>
      <w:b/>
      <w:i/>
      <w:color w:val="C0504D" w:themeColor="accent2"/>
      <w:spacing w:val="10"/>
    </w:rPr>
  </w:style>
  <w:style w:type="character" w:styleId="SubtleReference">
    <w:name w:val="Subtle Reference"/>
    <w:uiPriority w:val="31"/>
    <w:qFormat/>
    <w:rsid w:val="005E0A0B"/>
    <w:rPr>
      <w:b/>
    </w:rPr>
  </w:style>
  <w:style w:type="character" w:styleId="IntenseReference">
    <w:name w:val="Intense Reference"/>
    <w:uiPriority w:val="32"/>
    <w:qFormat/>
    <w:rsid w:val="005E0A0B"/>
    <w:rPr>
      <w:b/>
      <w:bCs/>
      <w:smallCaps/>
      <w:spacing w:val="5"/>
      <w:sz w:val="22"/>
      <w:szCs w:val="22"/>
      <w:u w:val="single"/>
    </w:rPr>
  </w:style>
  <w:style w:type="character" w:styleId="BookTitle">
    <w:name w:val="Book Title"/>
    <w:uiPriority w:val="33"/>
    <w:qFormat/>
    <w:rsid w:val="00E838DF"/>
    <w:rPr>
      <w:rFonts w:asciiTheme="majorHAnsi" w:eastAsiaTheme="majorEastAsia" w:hAnsiTheme="majorHAnsi" w:cstheme="majorBidi"/>
      <w:i w:val="0"/>
      <w:iCs/>
      <w:sz w:val="20"/>
      <w:szCs w:val="20"/>
    </w:rPr>
  </w:style>
  <w:style w:type="paragraph" w:customStyle="1" w:styleId="Dotindent">
    <w:name w:val="Dot&amp;indent"/>
    <w:basedOn w:val="Normal"/>
    <w:link w:val="DotindentChar"/>
    <w:qFormat/>
    <w:rsid w:val="005E0A0B"/>
    <w:pPr>
      <w:numPr>
        <w:numId w:val="4"/>
      </w:numPr>
      <w:spacing w:before="0" w:after="200" w:line="276" w:lineRule="auto"/>
      <w:jc w:val="left"/>
    </w:pPr>
    <w:rPr>
      <w:rFonts w:eastAsiaTheme="minorHAnsi" w:cstheme="minorBidi"/>
      <w:lang w:eastAsia="en-US"/>
    </w:rPr>
  </w:style>
  <w:style w:type="character" w:customStyle="1" w:styleId="DotindentChar">
    <w:name w:val="Dot&amp;indent Char"/>
    <w:basedOn w:val="DefaultParagraphFont"/>
    <w:link w:val="Dotindent"/>
    <w:rsid w:val="005E0A0B"/>
    <w:rPr>
      <w:rFonts w:asciiTheme="minorHAnsi" w:eastAsiaTheme="minorHAnsi" w:hAnsiTheme="minorHAnsi" w:cstheme="minorBidi"/>
      <w:sz w:val="22"/>
      <w:szCs w:val="22"/>
      <w:lang w:eastAsia="en-US"/>
    </w:rPr>
  </w:style>
  <w:style w:type="paragraph" w:customStyle="1" w:styleId="TableHeading1">
    <w:name w:val="Table Heading 1"/>
    <w:rsid w:val="005E0A0B"/>
    <w:pPr>
      <w:spacing w:before="60" w:after="100"/>
      <w:ind w:left="85" w:right="85"/>
    </w:pPr>
    <w:rPr>
      <w:rFonts w:ascii="Arial" w:hAnsi="Arial"/>
      <w:b/>
    </w:rPr>
  </w:style>
  <w:style w:type="character" w:customStyle="1" w:styleId="SuperScript">
    <w:name w:val="SuperScript"/>
    <w:rsid w:val="005E0A0B"/>
    <w:rPr>
      <w:dstrike w:val="0"/>
      <w:vertAlign w:val="superscript"/>
    </w:rPr>
  </w:style>
  <w:style w:type="paragraph" w:styleId="Revision">
    <w:name w:val="Revision"/>
    <w:hidden/>
    <w:uiPriority w:val="99"/>
    <w:semiHidden/>
    <w:rsid w:val="005E0A0B"/>
    <w:rPr>
      <w:rFonts w:asciiTheme="minorHAnsi" w:eastAsiaTheme="minorEastAsia" w:hAnsiTheme="minorHAnsi" w:cstheme="minorBidi"/>
      <w:sz w:val="22"/>
      <w:lang w:eastAsia="en-US"/>
    </w:rPr>
  </w:style>
  <w:style w:type="paragraph" w:styleId="ListBullet">
    <w:name w:val="List Bullet"/>
    <w:basedOn w:val="Normal"/>
    <w:uiPriority w:val="99"/>
    <w:unhideWhenUsed/>
    <w:rsid w:val="005E0A0B"/>
    <w:pPr>
      <w:numPr>
        <w:numId w:val="5"/>
      </w:numPr>
      <w:spacing w:after="320" w:line="276" w:lineRule="auto"/>
      <w:contextualSpacing/>
    </w:pPr>
    <w:rPr>
      <w:rFonts w:eastAsiaTheme="minorEastAsia" w:cstheme="minorBidi"/>
      <w:szCs w:val="20"/>
      <w:lang w:eastAsia="en-US"/>
    </w:rPr>
  </w:style>
  <w:style w:type="character" w:styleId="FollowedHyperlink">
    <w:name w:val="FollowedHyperlink"/>
    <w:basedOn w:val="DefaultParagraphFont"/>
    <w:uiPriority w:val="99"/>
    <w:semiHidden/>
    <w:unhideWhenUsed/>
    <w:rsid w:val="005E0A0B"/>
    <w:rPr>
      <w:color w:val="800080" w:themeColor="followedHyperlink"/>
      <w:u w:val="single"/>
    </w:rPr>
  </w:style>
  <w:style w:type="character" w:customStyle="1" w:styleId="apple-converted-space">
    <w:name w:val="apple-converted-space"/>
    <w:basedOn w:val="DefaultParagraphFont"/>
    <w:rsid w:val="00BA48A9"/>
  </w:style>
  <w:style w:type="paragraph" w:customStyle="1" w:styleId="EndNoteBibliographyTitle">
    <w:name w:val="EndNote Bibliography Title"/>
    <w:basedOn w:val="Normal"/>
    <w:link w:val="EndNoteBibliographyTitleChar"/>
    <w:rsid w:val="00BA48A9"/>
    <w:pPr>
      <w:spacing w:before="0" w:after="0" w:line="276" w:lineRule="auto"/>
      <w:jc w:val="center"/>
    </w:pPr>
    <w:rPr>
      <w:rFonts w:ascii="Calibri" w:eastAsiaTheme="minorHAnsi" w:hAnsi="Calibri" w:cstheme="minorBidi"/>
      <w:noProof/>
      <w:lang w:val="en-US" w:eastAsia="en-US"/>
    </w:rPr>
  </w:style>
  <w:style w:type="character" w:customStyle="1" w:styleId="EndNoteBibliographyTitleChar">
    <w:name w:val="EndNote Bibliography Title Char"/>
    <w:basedOn w:val="DefaultParagraphFont"/>
    <w:link w:val="EndNoteBibliographyTitle"/>
    <w:rsid w:val="00BA48A9"/>
    <w:rPr>
      <w:rFonts w:ascii="Calibri" w:eastAsiaTheme="minorHAnsi" w:hAnsi="Calibri" w:cstheme="minorBidi"/>
      <w:noProof/>
      <w:sz w:val="22"/>
      <w:szCs w:val="22"/>
      <w:lang w:val="en-US" w:eastAsia="en-US"/>
    </w:rPr>
  </w:style>
  <w:style w:type="paragraph" w:customStyle="1" w:styleId="EndNoteBibliography">
    <w:name w:val="EndNote Bibliography"/>
    <w:basedOn w:val="Normal"/>
    <w:link w:val="EndNoteBibliographyChar"/>
    <w:rsid w:val="00BA48A9"/>
    <w:pPr>
      <w:spacing w:before="0" w:after="200"/>
      <w:jc w:val="left"/>
    </w:pPr>
    <w:rPr>
      <w:rFonts w:ascii="Calibri" w:eastAsiaTheme="minorHAnsi" w:hAnsi="Calibri" w:cstheme="minorBidi"/>
      <w:noProof/>
      <w:lang w:val="en-US" w:eastAsia="en-US"/>
    </w:rPr>
  </w:style>
  <w:style w:type="character" w:customStyle="1" w:styleId="EndNoteBibliographyChar">
    <w:name w:val="EndNote Bibliography Char"/>
    <w:basedOn w:val="DefaultParagraphFont"/>
    <w:link w:val="EndNoteBibliography"/>
    <w:rsid w:val="00BA48A9"/>
    <w:rPr>
      <w:rFonts w:ascii="Calibri" w:eastAsiaTheme="minorHAnsi" w:hAnsi="Calibri" w:cstheme="minorBidi"/>
      <w:noProof/>
      <w:sz w:val="22"/>
      <w:szCs w:val="22"/>
      <w:lang w:val="en-US" w:eastAsia="en-US"/>
    </w:rPr>
  </w:style>
  <w:style w:type="paragraph" w:customStyle="1" w:styleId="Figurecaption">
    <w:name w:val="Figure caption"/>
    <w:basedOn w:val="Normal"/>
    <w:link w:val="FigurecaptionCharChar"/>
    <w:rsid w:val="0057279E"/>
    <w:pPr>
      <w:numPr>
        <w:numId w:val="6"/>
      </w:numPr>
      <w:spacing w:before="240" w:after="120" w:line="80" w:lineRule="atLeast"/>
      <w:ind w:left="0" w:firstLine="0"/>
      <w:jc w:val="center"/>
    </w:pPr>
    <w:rPr>
      <w:rFonts w:ascii="Arial" w:hAnsi="Arial" w:cs="Times New Roman"/>
      <w:color w:val="17365D" w:themeColor="text2" w:themeShade="BF"/>
      <w:szCs w:val="24"/>
      <w:lang w:val="en-GB" w:eastAsia="en-US"/>
    </w:rPr>
  </w:style>
  <w:style w:type="paragraph" w:customStyle="1" w:styleId="Bodystyle">
    <w:name w:val="Body style"/>
    <w:basedOn w:val="Normal"/>
    <w:rsid w:val="0057279E"/>
    <w:pPr>
      <w:spacing w:before="0"/>
      <w:jc w:val="left"/>
    </w:pPr>
    <w:rPr>
      <w:rFonts w:ascii="Arial" w:hAnsi="Arial" w:cs="Times New Roman"/>
      <w:szCs w:val="24"/>
      <w:lang w:eastAsia="en-US"/>
    </w:rPr>
  </w:style>
  <w:style w:type="character" w:customStyle="1" w:styleId="FigurecaptionCharChar">
    <w:name w:val="Figure caption Char Char"/>
    <w:basedOn w:val="CaptionChar"/>
    <w:link w:val="Figurecaption"/>
    <w:rsid w:val="0057279E"/>
    <w:rPr>
      <w:rFonts w:ascii="Arial" w:hAnsi="Arial"/>
      <w:color w:val="17365D" w:themeColor="text2" w:themeShade="BF"/>
      <w:sz w:val="22"/>
      <w:szCs w:val="24"/>
      <w:lang w:val="en-GB" w:eastAsia="en-US"/>
    </w:rPr>
  </w:style>
  <w:style w:type="paragraph" w:styleId="TableofFigures">
    <w:name w:val="table of figures"/>
    <w:basedOn w:val="Normal"/>
    <w:next w:val="Normal"/>
    <w:uiPriority w:val="99"/>
    <w:unhideWhenUsed/>
    <w:rsid w:val="00C762F1"/>
    <w:pPr>
      <w:spacing w:after="0"/>
    </w:pPr>
  </w:style>
  <w:style w:type="paragraph" w:customStyle="1" w:styleId="References">
    <w:name w:val="References"/>
    <w:basedOn w:val="Normal"/>
    <w:next w:val="Normal"/>
    <w:rsid w:val="00DE50E3"/>
    <w:pPr>
      <w:spacing w:before="0" w:after="0" w:line="360" w:lineRule="auto"/>
      <w:ind w:left="567" w:hanging="567"/>
    </w:pPr>
    <w:rPr>
      <w:rFonts w:ascii="Times New Roman" w:hAnsi="Times New Roman" w:cs="Times New Roman"/>
      <w:szCs w:val="20"/>
      <w:lang w:eastAsia="en-US"/>
    </w:rPr>
  </w:style>
  <w:style w:type="character" w:customStyle="1" w:styleId="current-selection">
    <w:name w:val="current-selection"/>
    <w:basedOn w:val="DefaultParagraphFont"/>
    <w:rsid w:val="00173CFC"/>
  </w:style>
  <w:style w:type="character" w:customStyle="1" w:styleId="highlight">
    <w:name w:val="highlight"/>
    <w:basedOn w:val="DefaultParagraphFont"/>
    <w:rsid w:val="00DF610D"/>
  </w:style>
  <w:style w:type="character" w:customStyle="1" w:styleId="ff1">
    <w:name w:val="ff1"/>
    <w:basedOn w:val="DefaultParagraphFont"/>
    <w:rsid w:val="001D2850"/>
  </w:style>
  <w:style w:type="character" w:customStyle="1" w:styleId="st">
    <w:name w:val="st"/>
    <w:basedOn w:val="DefaultParagraphFont"/>
    <w:rsid w:val="00E838DF"/>
  </w:style>
  <w:style w:type="character" w:customStyle="1" w:styleId="ipa1">
    <w:name w:val="ipa1"/>
    <w:rsid w:val="0015270F"/>
    <w:rPr>
      <w:rFonts w:ascii="Arial Unicode MS" w:eastAsia="Arial Unicode MS" w:hAnsi="Arial Unicode MS" w:cs="Arial Unicode MS" w:hint="eastAsia"/>
    </w:rPr>
  </w:style>
  <w:style w:type="character" w:customStyle="1" w:styleId="plainlinks">
    <w:name w:val="plainlinks"/>
    <w:basedOn w:val="DefaultParagraphFont"/>
    <w:rsid w:val="0015270F"/>
  </w:style>
  <w:style w:type="character" w:customStyle="1" w:styleId="geo-dms1">
    <w:name w:val="geo-dms1"/>
    <w:rsid w:val="0015270F"/>
    <w:rPr>
      <w:vanish w:val="0"/>
      <w:webHidden w:val="0"/>
      <w:specVanish/>
    </w:rPr>
  </w:style>
  <w:style w:type="character" w:customStyle="1" w:styleId="latitude1">
    <w:name w:val="latitude1"/>
    <w:basedOn w:val="DefaultParagraphFont"/>
    <w:rsid w:val="0015270F"/>
  </w:style>
  <w:style w:type="character" w:customStyle="1" w:styleId="longitude1">
    <w:name w:val="longitude1"/>
    <w:basedOn w:val="DefaultParagraphFont"/>
    <w:rsid w:val="0015270F"/>
  </w:style>
  <w:style w:type="character" w:customStyle="1" w:styleId="geo-multi-punct1">
    <w:name w:val="geo-multi-punct1"/>
    <w:rsid w:val="0015270F"/>
    <w:rPr>
      <w:vanish/>
      <w:webHidden w:val="0"/>
      <w:specVanish/>
    </w:rPr>
  </w:style>
  <w:style w:type="character" w:customStyle="1" w:styleId="geo-nondefault1">
    <w:name w:val="geo-nondefault1"/>
    <w:rsid w:val="0015270F"/>
    <w:rPr>
      <w:vanish/>
      <w:webHidden w:val="0"/>
      <w:specVanish/>
    </w:rPr>
  </w:style>
  <w:style w:type="character" w:customStyle="1" w:styleId="geo-dec1">
    <w:name w:val="geo-dec1"/>
    <w:rsid w:val="0015270F"/>
    <w:rPr>
      <w:vanish w:val="0"/>
      <w:webHidden w:val="0"/>
      <w:specVanish/>
    </w:rPr>
  </w:style>
  <w:style w:type="character" w:customStyle="1" w:styleId="geo">
    <w:name w:val="geo"/>
    <w:basedOn w:val="DefaultParagraphFont"/>
    <w:rsid w:val="0015270F"/>
  </w:style>
  <w:style w:type="character" w:customStyle="1" w:styleId="apple-style-span">
    <w:name w:val="apple-style-span"/>
    <w:basedOn w:val="DefaultParagraphFont"/>
    <w:rsid w:val="0015270F"/>
  </w:style>
  <w:style w:type="paragraph" w:customStyle="1" w:styleId="ParaFirst8">
    <w:name w:val="ParaFirst/8"/>
    <w:basedOn w:val="Normal"/>
    <w:rsid w:val="0015270F"/>
    <w:pPr>
      <w:spacing w:after="120" w:line="300" w:lineRule="exact"/>
      <w:jc w:val="left"/>
    </w:pPr>
    <w:rPr>
      <w:rFonts w:ascii="Times New Roman" w:hAnsi="Times New Roman" w:cs="Times New Roman"/>
      <w:sz w:val="20"/>
      <w:szCs w:val="20"/>
      <w:lang w:eastAsia="en-US"/>
    </w:rPr>
  </w:style>
  <w:style w:type="paragraph" w:customStyle="1" w:styleId="MediumGrid1-Accent21">
    <w:name w:val="Medium Grid 1 - Accent 21"/>
    <w:basedOn w:val="Normal"/>
    <w:qFormat/>
    <w:rsid w:val="0015270F"/>
    <w:pPr>
      <w:spacing w:before="0" w:after="120" w:line="120" w:lineRule="atLeast"/>
      <w:contextualSpacing/>
      <w:jc w:val="left"/>
    </w:pPr>
    <w:rPr>
      <w:rFonts w:ascii="Calibri" w:hAnsi="Calibri" w:cs="Times New Roman"/>
      <w:sz w:val="20"/>
      <w:lang w:val="en-US" w:eastAsia="en-US" w:bidi="en-US"/>
    </w:rPr>
  </w:style>
  <w:style w:type="character" w:customStyle="1" w:styleId="BodyTextChar">
    <w:name w:val="Body Text Char"/>
    <w:basedOn w:val="DefaultParagraphFont"/>
    <w:link w:val="BodyText"/>
    <w:rsid w:val="0015270F"/>
    <w:rPr>
      <w:rFonts w:asciiTheme="minorHAnsi" w:hAnsiTheme="minorHAnsi" w:cstheme="minorHAnsi"/>
      <w:sz w:val="22"/>
      <w:szCs w:val="22"/>
    </w:rPr>
  </w:style>
  <w:style w:type="paragraph" w:customStyle="1" w:styleId="Table">
    <w:name w:val="Table"/>
    <w:basedOn w:val="Normal"/>
    <w:link w:val="TableChar"/>
    <w:rsid w:val="0015270F"/>
    <w:pPr>
      <w:spacing w:before="0" w:after="120" w:line="360" w:lineRule="auto"/>
      <w:jc w:val="left"/>
    </w:pPr>
    <w:rPr>
      <w:rFonts w:ascii="Arial Narrow" w:hAnsi="Arial Narrow" w:cs="Times New Roman"/>
      <w:sz w:val="20"/>
      <w:szCs w:val="20"/>
      <w:lang w:val="en-GB" w:eastAsia="en-US"/>
    </w:rPr>
  </w:style>
  <w:style w:type="character" w:customStyle="1" w:styleId="TableChar">
    <w:name w:val="Table Char"/>
    <w:link w:val="Table"/>
    <w:rsid w:val="0015270F"/>
    <w:rPr>
      <w:rFonts w:ascii="Arial Narrow" w:hAnsi="Arial Narrow"/>
      <w:lang w:val="en-GB" w:eastAsia="en-US"/>
    </w:rPr>
  </w:style>
  <w:style w:type="paragraph" w:customStyle="1" w:styleId="Reportrefs">
    <w:name w:val="Report refs"/>
    <w:basedOn w:val="Normal"/>
    <w:rsid w:val="0015270F"/>
    <w:pPr>
      <w:spacing w:before="0" w:after="180" w:line="120" w:lineRule="atLeast"/>
      <w:ind w:left="432" w:hanging="432"/>
      <w:jc w:val="left"/>
    </w:pPr>
    <w:rPr>
      <w:rFonts w:ascii="Gill Sans MT" w:hAnsi="Gill Sans MT" w:cs="Times New Roman"/>
      <w:sz w:val="24"/>
      <w:szCs w:val="20"/>
      <w:lang w:val="en-GB" w:eastAsia="en-US"/>
    </w:rPr>
  </w:style>
  <w:style w:type="paragraph" w:customStyle="1" w:styleId="indenthang1">
    <w:name w:val="indenthang1"/>
    <w:basedOn w:val="Normal"/>
    <w:link w:val="indenthang1Char"/>
    <w:rsid w:val="0015270F"/>
    <w:pPr>
      <w:spacing w:before="100" w:after="100" w:line="120" w:lineRule="atLeast"/>
      <w:ind w:left="480" w:hanging="168"/>
      <w:jc w:val="left"/>
    </w:pPr>
    <w:rPr>
      <w:rFonts w:ascii="Arial" w:hAnsi="Arial" w:cs="Times New Roman"/>
      <w:sz w:val="20"/>
      <w:szCs w:val="24"/>
      <w:lang w:val="en-US" w:eastAsia="en-US"/>
    </w:rPr>
  </w:style>
  <w:style w:type="character" w:customStyle="1" w:styleId="indenthang1Char">
    <w:name w:val="indenthang1 Char"/>
    <w:basedOn w:val="DefaultParagraphFont"/>
    <w:link w:val="indenthang1"/>
    <w:rsid w:val="0015270F"/>
    <w:rPr>
      <w:rFonts w:ascii="Arial" w:hAnsi="Arial"/>
      <w:szCs w:val="24"/>
      <w:lang w:val="en-US" w:eastAsia="en-US"/>
    </w:rPr>
  </w:style>
  <w:style w:type="numbering" w:customStyle="1" w:styleId="NoList1">
    <w:name w:val="No List1"/>
    <w:next w:val="NoList"/>
    <w:uiPriority w:val="99"/>
    <w:semiHidden/>
    <w:unhideWhenUsed/>
    <w:rsid w:val="0015270F"/>
  </w:style>
  <w:style w:type="character" w:customStyle="1" w:styleId="HTMLPreformattedChar">
    <w:name w:val="HTML Preformatted Char"/>
    <w:basedOn w:val="DefaultParagraphFont"/>
    <w:link w:val="HTMLPreformatted"/>
    <w:uiPriority w:val="99"/>
    <w:rsid w:val="0015270F"/>
    <w:rPr>
      <w:rFonts w:ascii="Courier New" w:hAnsi="Courier New" w:cs="Courier New"/>
    </w:rPr>
  </w:style>
  <w:style w:type="character" w:customStyle="1" w:styleId="esrielement1">
    <w:name w:val="esrielement1"/>
    <w:basedOn w:val="DefaultParagraphFont"/>
    <w:rsid w:val="0015270F"/>
    <w:rPr>
      <w:b w:val="0"/>
      <w:bCs w:val="0"/>
      <w:smallCaps/>
      <w:color w:val="006400"/>
      <w:sz w:val="22"/>
      <w:szCs w:val="22"/>
    </w:rPr>
  </w:style>
  <w:style w:type="character" w:customStyle="1" w:styleId="code1">
    <w:name w:val="code1"/>
    <w:basedOn w:val="DefaultParagraphFont"/>
    <w:rsid w:val="0015270F"/>
    <w:rPr>
      <w:rFonts w:ascii="Courier New" w:hAnsi="Courier New" w:cs="Courier New" w:hint="default"/>
    </w:rPr>
  </w:style>
  <w:style w:type="paragraph" w:styleId="TOC5">
    <w:name w:val="toc 5"/>
    <w:basedOn w:val="Normal"/>
    <w:next w:val="Normal"/>
    <w:autoRedefine/>
    <w:uiPriority w:val="39"/>
    <w:unhideWhenUsed/>
    <w:rsid w:val="0015270F"/>
    <w:pPr>
      <w:spacing w:before="0" w:after="100" w:line="276" w:lineRule="auto"/>
      <w:ind w:left="880"/>
      <w:jc w:val="left"/>
    </w:pPr>
    <w:rPr>
      <w:rFonts w:eastAsiaTheme="minorEastAsia" w:cstheme="minorBidi"/>
    </w:rPr>
  </w:style>
  <w:style w:type="paragraph" w:styleId="TOC6">
    <w:name w:val="toc 6"/>
    <w:basedOn w:val="Normal"/>
    <w:next w:val="Normal"/>
    <w:autoRedefine/>
    <w:uiPriority w:val="39"/>
    <w:unhideWhenUsed/>
    <w:rsid w:val="0015270F"/>
    <w:pPr>
      <w:spacing w:before="0" w:after="100" w:line="276" w:lineRule="auto"/>
      <w:ind w:left="1100"/>
      <w:jc w:val="left"/>
    </w:pPr>
    <w:rPr>
      <w:rFonts w:eastAsiaTheme="minorEastAsia" w:cstheme="minorBidi"/>
    </w:rPr>
  </w:style>
  <w:style w:type="paragraph" w:styleId="TOC7">
    <w:name w:val="toc 7"/>
    <w:basedOn w:val="Normal"/>
    <w:next w:val="Normal"/>
    <w:autoRedefine/>
    <w:uiPriority w:val="39"/>
    <w:unhideWhenUsed/>
    <w:rsid w:val="0015270F"/>
    <w:pPr>
      <w:spacing w:before="0" w:after="100" w:line="276" w:lineRule="auto"/>
      <w:ind w:left="1320"/>
      <w:jc w:val="left"/>
    </w:pPr>
    <w:rPr>
      <w:rFonts w:eastAsiaTheme="minorEastAsia" w:cstheme="minorBidi"/>
    </w:rPr>
  </w:style>
  <w:style w:type="paragraph" w:styleId="TOC8">
    <w:name w:val="toc 8"/>
    <w:basedOn w:val="Normal"/>
    <w:next w:val="Normal"/>
    <w:autoRedefine/>
    <w:uiPriority w:val="39"/>
    <w:unhideWhenUsed/>
    <w:rsid w:val="0015270F"/>
    <w:pPr>
      <w:spacing w:before="0" w:after="100" w:line="276" w:lineRule="auto"/>
      <w:ind w:left="1540"/>
      <w:jc w:val="left"/>
    </w:pPr>
    <w:rPr>
      <w:rFonts w:eastAsiaTheme="minorEastAsia" w:cstheme="minorBidi"/>
    </w:rPr>
  </w:style>
  <w:style w:type="paragraph" w:styleId="TOC9">
    <w:name w:val="toc 9"/>
    <w:basedOn w:val="Normal"/>
    <w:next w:val="Normal"/>
    <w:autoRedefine/>
    <w:uiPriority w:val="39"/>
    <w:unhideWhenUsed/>
    <w:rsid w:val="0015270F"/>
    <w:pPr>
      <w:spacing w:before="0" w:after="100" w:line="276" w:lineRule="auto"/>
      <w:ind w:left="1760"/>
      <w:jc w:val="left"/>
    </w:pPr>
    <w:rPr>
      <w:rFonts w:eastAsiaTheme="minorEastAsia" w:cstheme="minorBidi"/>
    </w:rPr>
  </w:style>
  <w:style w:type="paragraph" w:customStyle="1" w:styleId="xl67">
    <w:name w:val="xl67"/>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8">
    <w:name w:val="xl68"/>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9">
    <w:name w:val="xl69"/>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0">
    <w:name w:val="xl70"/>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1">
    <w:name w:val="xl71"/>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2">
    <w:name w:val="xl72"/>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3">
    <w:name w:val="xl73"/>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4">
    <w:name w:val="xl74"/>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5">
    <w:name w:val="xl75"/>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6">
    <w:name w:val="xl76"/>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7">
    <w:name w:val="xl77"/>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8">
    <w:name w:val="xl78"/>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9">
    <w:name w:val="xl79"/>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0">
    <w:name w:val="xl80"/>
    <w:basedOn w:val="Normal"/>
    <w:rsid w:val="0015270F"/>
    <w:pPr>
      <w:pBdr>
        <w:bottom w:val="single" w:sz="4" w:space="0" w:color="auto"/>
      </w:pBdr>
      <w:spacing w:before="100" w:beforeAutospacing="1" w:after="100" w:afterAutospacing="1" w:line="120" w:lineRule="atLeast"/>
      <w:jc w:val="left"/>
    </w:pPr>
    <w:rPr>
      <w:rFonts w:ascii="Times New Roman" w:hAnsi="Times New Roman" w:cs="Times New Roman"/>
      <w:sz w:val="24"/>
      <w:szCs w:val="24"/>
    </w:rPr>
  </w:style>
  <w:style w:type="paragraph" w:customStyle="1" w:styleId="xl63">
    <w:name w:val="xl63"/>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4">
    <w:name w:val="xl64"/>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5">
    <w:name w:val="xl65"/>
    <w:basedOn w:val="Normal"/>
    <w:rsid w:val="0015270F"/>
    <w:pPr>
      <w:spacing w:before="100" w:beforeAutospacing="1" w:after="100" w:afterAutospacing="1" w:line="120" w:lineRule="atLeast"/>
      <w:jc w:val="left"/>
    </w:pPr>
    <w:rPr>
      <w:rFonts w:ascii="Times New Roman" w:hAnsi="Times New Roman" w:cs="Times New Roman"/>
      <w:sz w:val="20"/>
      <w:szCs w:val="20"/>
      <w:lang w:val="en-GB" w:eastAsia="en-GB"/>
    </w:rPr>
  </w:style>
  <w:style w:type="paragraph" w:customStyle="1" w:styleId="xl66">
    <w:name w:val="xl66"/>
    <w:basedOn w:val="Normal"/>
    <w:rsid w:val="0015270F"/>
    <w:pPr>
      <w:pBdr>
        <w:top w:val="single" w:sz="4" w:space="0" w:color="auto"/>
        <w:left w:val="single" w:sz="4" w:space="0" w:color="auto"/>
        <w:bottom w:val="single" w:sz="4" w:space="0" w:color="auto"/>
        <w:right w:val="single" w:sz="4" w:space="0" w:color="auto"/>
      </w:pBdr>
      <w:spacing w:before="100" w:beforeAutospacing="1" w:after="100" w:afterAutospacing="1" w:line="120" w:lineRule="atLeast"/>
      <w:jc w:val="right"/>
    </w:pPr>
    <w:rPr>
      <w:rFonts w:ascii="Times New Roman" w:hAnsi="Times New Roman" w:cs="Times New Roman"/>
      <w:color w:val="000000"/>
      <w:sz w:val="20"/>
      <w:szCs w:val="20"/>
      <w:lang w:val="en-GB" w:eastAsia="en-GB"/>
    </w:rPr>
  </w:style>
  <w:style w:type="paragraph" w:customStyle="1" w:styleId="Title1">
    <w:name w:val="Title1"/>
    <w:basedOn w:val="Normal"/>
    <w:rsid w:val="0015270F"/>
    <w:pPr>
      <w:spacing w:before="100" w:beforeAutospacing="1" w:after="100" w:afterAutospacing="1" w:line="120" w:lineRule="atLeast"/>
      <w:jc w:val="left"/>
    </w:pPr>
    <w:rPr>
      <w:rFonts w:ascii="Times New Roman" w:eastAsiaTheme="minorEastAsia" w:hAnsi="Times New Roman" w:cs="Times New Roman"/>
      <w:b/>
      <w:bCs/>
      <w:sz w:val="40"/>
      <w:szCs w:val="40"/>
      <w:lang w:val="en-US" w:eastAsia="en-US"/>
    </w:rPr>
  </w:style>
  <w:style w:type="paragraph" w:customStyle="1" w:styleId="font0">
    <w:name w:val="font0"/>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5">
    <w:name w:val="font5"/>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6">
    <w:name w:val="font6"/>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xl81">
    <w:name w:val="xl81"/>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2">
    <w:name w:val="xl8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3">
    <w:name w:val="xl83"/>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font7">
    <w:name w:val="font7"/>
    <w:basedOn w:val="Normal"/>
    <w:rsid w:val="0015270F"/>
    <w:pPr>
      <w:spacing w:before="100" w:beforeAutospacing="1" w:after="100" w:afterAutospacing="1" w:line="120" w:lineRule="atLeast"/>
      <w:jc w:val="left"/>
    </w:pPr>
    <w:rPr>
      <w:rFonts w:ascii="Calibri" w:hAnsi="Calibri" w:cs="Times New Roman"/>
      <w:color w:val="000000"/>
      <w:sz w:val="20"/>
      <w:szCs w:val="20"/>
    </w:rPr>
  </w:style>
  <w:style w:type="character" w:styleId="PlaceholderText">
    <w:name w:val="Placeholder Text"/>
    <w:basedOn w:val="DefaultParagraphFont"/>
    <w:uiPriority w:val="99"/>
    <w:semiHidden/>
    <w:rsid w:val="0015270F"/>
    <w:rPr>
      <w:color w:val="808080"/>
    </w:rPr>
  </w:style>
  <w:style w:type="paragraph" w:customStyle="1" w:styleId="xl84">
    <w:name w:val="xl84"/>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5">
    <w:name w:val="xl8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6">
    <w:name w:val="xl86"/>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7">
    <w:name w:val="xl87"/>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8">
    <w:name w:val="xl88"/>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9">
    <w:name w:val="xl89"/>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0">
    <w:name w:val="xl90"/>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1">
    <w:name w:val="xl91"/>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2">
    <w:name w:val="xl9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3">
    <w:name w:val="xl93"/>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numbering" w:customStyle="1" w:styleId="NoList2">
    <w:name w:val="No List2"/>
    <w:next w:val="NoList"/>
    <w:uiPriority w:val="99"/>
    <w:semiHidden/>
    <w:unhideWhenUsed/>
    <w:rsid w:val="0015270F"/>
  </w:style>
  <w:style w:type="table" w:customStyle="1" w:styleId="TableGrid1">
    <w:name w:val="Table Grid1"/>
    <w:basedOn w:val="TableNormal"/>
    <w:next w:val="TableGrid"/>
    <w:uiPriority w:val="59"/>
    <w:rsid w:val="00152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i/>
      <w:iCs/>
      <w:sz w:val="24"/>
      <w:szCs w:val="24"/>
    </w:rPr>
  </w:style>
  <w:style w:type="paragraph" w:customStyle="1" w:styleId="xl95">
    <w:name w:val="xl95"/>
    <w:basedOn w:val="Normal"/>
    <w:rsid w:val="0015270F"/>
    <w:pPr>
      <w:pBdr>
        <w:top w:val="single" w:sz="4" w:space="0" w:color="auto"/>
        <w:left w:val="single" w:sz="4" w:space="0" w:color="auto"/>
      </w:pBdr>
      <w:shd w:val="clear" w:color="000000" w:fill="0070C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6">
    <w:name w:val="xl96"/>
    <w:basedOn w:val="Normal"/>
    <w:rsid w:val="0015270F"/>
    <w:pPr>
      <w:pBdr>
        <w:top w:val="single" w:sz="4" w:space="0" w:color="auto"/>
      </w:pBdr>
      <w:shd w:val="clear" w:color="000000" w:fill="00B05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7">
    <w:name w:val="xl97"/>
    <w:basedOn w:val="Normal"/>
    <w:rsid w:val="0015270F"/>
    <w:pPr>
      <w:pBdr>
        <w:top w:val="single" w:sz="4" w:space="0" w:color="auto"/>
      </w:pBdr>
      <w:shd w:val="clear" w:color="000000" w:fill="FF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8">
    <w:name w:val="xl98"/>
    <w:basedOn w:val="Normal"/>
    <w:rsid w:val="0015270F"/>
    <w:pPr>
      <w:pBdr>
        <w:top w:val="single" w:sz="4" w:space="0" w:color="auto"/>
      </w:pBdr>
      <w:shd w:val="clear" w:color="000000" w:fill="C0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9">
    <w:name w:val="xl99"/>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0">
    <w:name w:val="xl100"/>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1">
    <w:name w:val="xl101"/>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2">
    <w:name w:val="xl102"/>
    <w:basedOn w:val="Normal"/>
    <w:rsid w:val="0015270F"/>
    <w:pPr>
      <w:pBdr>
        <w:top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3">
    <w:name w:val="xl103"/>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4">
    <w:name w:val="xl104"/>
    <w:basedOn w:val="Normal"/>
    <w:rsid w:val="0015270F"/>
    <w:pPr>
      <w:pBdr>
        <w:left w:val="single" w:sz="4" w:space="0" w:color="auto"/>
        <w:bottom w:val="double" w:sz="6"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5">
    <w:name w:val="xl105"/>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6">
    <w:name w:val="xl106"/>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7">
    <w:name w:val="xl107"/>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pPr>
    <w:rPr>
      <w:rFonts w:ascii="Times New Roman" w:hAnsi="Times New Roman" w:cs="Times New Roman"/>
      <w:sz w:val="24"/>
      <w:szCs w:val="24"/>
    </w:rPr>
  </w:style>
  <w:style w:type="paragraph" w:customStyle="1" w:styleId="xl108">
    <w:name w:val="xl108"/>
    <w:basedOn w:val="Normal"/>
    <w:rsid w:val="0015270F"/>
    <w:pPr>
      <w:pBdr>
        <w:top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9">
    <w:name w:val="xl109"/>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0">
    <w:name w:val="xl110"/>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1">
    <w:name w:val="xl111"/>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2">
    <w:name w:val="xl112"/>
    <w:basedOn w:val="Normal"/>
    <w:rsid w:val="0015270F"/>
    <w:pPr>
      <w:pBdr>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3">
    <w:name w:val="xl113"/>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4">
    <w:name w:val="xl114"/>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5">
    <w:name w:val="xl11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6">
    <w:name w:val="xl116"/>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7">
    <w:name w:val="xl117"/>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numbering" w:customStyle="1" w:styleId="Style5">
    <w:name w:val="Style5"/>
    <w:uiPriority w:val="99"/>
    <w:rsid w:val="0015270F"/>
    <w:pPr>
      <w:numPr>
        <w:numId w:val="11"/>
      </w:numPr>
    </w:pPr>
  </w:style>
  <w:style w:type="paragraph" w:styleId="EndnoteText">
    <w:name w:val="endnote text"/>
    <w:basedOn w:val="Normal"/>
    <w:link w:val="EndnoteTextChar"/>
    <w:uiPriority w:val="99"/>
    <w:semiHidden/>
    <w:unhideWhenUsed/>
    <w:rsid w:val="00C97CC0"/>
    <w:pPr>
      <w:spacing w:before="0" w:after="0"/>
    </w:pPr>
    <w:rPr>
      <w:sz w:val="20"/>
      <w:szCs w:val="20"/>
    </w:rPr>
  </w:style>
  <w:style w:type="character" w:customStyle="1" w:styleId="EndnoteTextChar">
    <w:name w:val="Endnote Text Char"/>
    <w:basedOn w:val="DefaultParagraphFont"/>
    <w:link w:val="EndnoteText"/>
    <w:uiPriority w:val="99"/>
    <w:semiHidden/>
    <w:rsid w:val="00C97CC0"/>
    <w:rPr>
      <w:rFonts w:asciiTheme="minorHAnsi" w:hAnsiTheme="minorHAnsi" w:cstheme="minorHAnsi"/>
    </w:rPr>
  </w:style>
  <w:style w:type="character" w:styleId="EndnoteReference">
    <w:name w:val="endnote reference"/>
    <w:basedOn w:val="DefaultParagraphFont"/>
    <w:uiPriority w:val="99"/>
    <w:semiHidden/>
    <w:unhideWhenUsed/>
    <w:rsid w:val="00C97CC0"/>
    <w:rPr>
      <w:vertAlign w:val="superscript"/>
    </w:rPr>
  </w:style>
  <w:style w:type="character" w:customStyle="1" w:styleId="DocumentMapChar">
    <w:name w:val="Document Map Char"/>
    <w:basedOn w:val="DefaultParagraphFont"/>
    <w:link w:val="DocumentMap"/>
    <w:semiHidden/>
    <w:rsid w:val="004B2104"/>
    <w:rPr>
      <w:rFonts w:ascii="Tahoma" w:hAnsi="Tahoma" w:cs="Tahoma"/>
      <w:shd w:val="clear" w:color="auto" w:fill="000080"/>
    </w:rPr>
  </w:style>
  <w:style w:type="character" w:customStyle="1" w:styleId="A1">
    <w:name w:val="A1"/>
    <w:uiPriority w:val="99"/>
    <w:rsid w:val="008E03E9"/>
    <w:rPr>
      <w:rFonts w:cs="Myriad Pro"/>
      <w:color w:val="211D1E"/>
      <w:sz w:val="18"/>
      <w:szCs w:val="18"/>
    </w:rPr>
  </w:style>
  <w:style w:type="character" w:customStyle="1" w:styleId="A2">
    <w:name w:val="A2"/>
    <w:uiPriority w:val="99"/>
    <w:rsid w:val="008E03E9"/>
    <w:rPr>
      <w:rFonts w:cs="Myriad Pro"/>
      <w:color w:val="211D1E"/>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124543699">
      <w:bodyDiv w:val="1"/>
      <w:marLeft w:val="0"/>
      <w:marRight w:val="0"/>
      <w:marTop w:val="0"/>
      <w:marBottom w:val="0"/>
      <w:divBdr>
        <w:top w:val="none" w:sz="0" w:space="0" w:color="auto"/>
        <w:left w:val="none" w:sz="0" w:space="0" w:color="auto"/>
        <w:bottom w:val="none" w:sz="0" w:space="0" w:color="auto"/>
        <w:right w:val="none" w:sz="0" w:space="0" w:color="auto"/>
      </w:divBdr>
    </w:div>
    <w:div w:id="166403338">
      <w:bodyDiv w:val="1"/>
      <w:marLeft w:val="0"/>
      <w:marRight w:val="0"/>
      <w:marTop w:val="0"/>
      <w:marBottom w:val="0"/>
      <w:divBdr>
        <w:top w:val="none" w:sz="0" w:space="0" w:color="auto"/>
        <w:left w:val="none" w:sz="0" w:space="0" w:color="auto"/>
        <w:bottom w:val="none" w:sz="0" w:space="0" w:color="auto"/>
        <w:right w:val="none" w:sz="0" w:space="0" w:color="auto"/>
      </w:divBdr>
      <w:divsChild>
        <w:div w:id="1717703081">
          <w:marLeft w:val="0"/>
          <w:marRight w:val="0"/>
          <w:marTop w:val="0"/>
          <w:marBottom w:val="0"/>
          <w:divBdr>
            <w:top w:val="none" w:sz="0" w:space="0" w:color="auto"/>
            <w:left w:val="none" w:sz="0" w:space="0" w:color="auto"/>
            <w:bottom w:val="none" w:sz="0" w:space="0" w:color="auto"/>
            <w:right w:val="none" w:sz="0" w:space="0" w:color="auto"/>
          </w:divBdr>
        </w:div>
        <w:div w:id="541286663">
          <w:marLeft w:val="0"/>
          <w:marRight w:val="0"/>
          <w:marTop w:val="0"/>
          <w:marBottom w:val="0"/>
          <w:divBdr>
            <w:top w:val="none" w:sz="0" w:space="0" w:color="auto"/>
            <w:left w:val="none" w:sz="0" w:space="0" w:color="auto"/>
            <w:bottom w:val="none" w:sz="0" w:space="0" w:color="auto"/>
            <w:right w:val="none" w:sz="0" w:space="0" w:color="auto"/>
          </w:divBdr>
        </w:div>
        <w:div w:id="1907841973">
          <w:marLeft w:val="0"/>
          <w:marRight w:val="0"/>
          <w:marTop w:val="0"/>
          <w:marBottom w:val="0"/>
          <w:divBdr>
            <w:top w:val="none" w:sz="0" w:space="0" w:color="auto"/>
            <w:left w:val="none" w:sz="0" w:space="0" w:color="auto"/>
            <w:bottom w:val="none" w:sz="0" w:space="0" w:color="auto"/>
            <w:right w:val="none" w:sz="0" w:space="0" w:color="auto"/>
          </w:divBdr>
        </w:div>
        <w:div w:id="1667630423">
          <w:marLeft w:val="0"/>
          <w:marRight w:val="0"/>
          <w:marTop w:val="0"/>
          <w:marBottom w:val="0"/>
          <w:divBdr>
            <w:top w:val="none" w:sz="0" w:space="0" w:color="auto"/>
            <w:left w:val="none" w:sz="0" w:space="0" w:color="auto"/>
            <w:bottom w:val="none" w:sz="0" w:space="0" w:color="auto"/>
            <w:right w:val="none" w:sz="0" w:space="0" w:color="auto"/>
          </w:divBdr>
        </w:div>
        <w:div w:id="1646619845">
          <w:marLeft w:val="0"/>
          <w:marRight w:val="0"/>
          <w:marTop w:val="0"/>
          <w:marBottom w:val="0"/>
          <w:divBdr>
            <w:top w:val="none" w:sz="0" w:space="0" w:color="auto"/>
            <w:left w:val="none" w:sz="0" w:space="0" w:color="auto"/>
            <w:bottom w:val="none" w:sz="0" w:space="0" w:color="auto"/>
            <w:right w:val="none" w:sz="0" w:space="0" w:color="auto"/>
          </w:divBdr>
        </w:div>
        <w:div w:id="1693721692">
          <w:marLeft w:val="0"/>
          <w:marRight w:val="0"/>
          <w:marTop w:val="0"/>
          <w:marBottom w:val="0"/>
          <w:divBdr>
            <w:top w:val="none" w:sz="0" w:space="0" w:color="auto"/>
            <w:left w:val="none" w:sz="0" w:space="0" w:color="auto"/>
            <w:bottom w:val="none" w:sz="0" w:space="0" w:color="auto"/>
            <w:right w:val="none" w:sz="0" w:space="0" w:color="auto"/>
          </w:divBdr>
        </w:div>
        <w:div w:id="1821270281">
          <w:marLeft w:val="0"/>
          <w:marRight w:val="0"/>
          <w:marTop w:val="0"/>
          <w:marBottom w:val="0"/>
          <w:divBdr>
            <w:top w:val="none" w:sz="0" w:space="0" w:color="auto"/>
            <w:left w:val="none" w:sz="0" w:space="0" w:color="auto"/>
            <w:bottom w:val="none" w:sz="0" w:space="0" w:color="auto"/>
            <w:right w:val="none" w:sz="0" w:space="0" w:color="auto"/>
          </w:divBdr>
        </w:div>
        <w:div w:id="674457206">
          <w:marLeft w:val="0"/>
          <w:marRight w:val="0"/>
          <w:marTop w:val="0"/>
          <w:marBottom w:val="0"/>
          <w:divBdr>
            <w:top w:val="none" w:sz="0" w:space="0" w:color="auto"/>
            <w:left w:val="none" w:sz="0" w:space="0" w:color="auto"/>
            <w:bottom w:val="none" w:sz="0" w:space="0" w:color="auto"/>
            <w:right w:val="none" w:sz="0" w:space="0" w:color="auto"/>
          </w:divBdr>
        </w:div>
        <w:div w:id="1585989559">
          <w:marLeft w:val="0"/>
          <w:marRight w:val="0"/>
          <w:marTop w:val="0"/>
          <w:marBottom w:val="0"/>
          <w:divBdr>
            <w:top w:val="none" w:sz="0" w:space="0" w:color="auto"/>
            <w:left w:val="none" w:sz="0" w:space="0" w:color="auto"/>
            <w:bottom w:val="none" w:sz="0" w:space="0" w:color="auto"/>
            <w:right w:val="none" w:sz="0" w:space="0" w:color="auto"/>
          </w:divBdr>
        </w:div>
        <w:div w:id="1594707800">
          <w:marLeft w:val="0"/>
          <w:marRight w:val="0"/>
          <w:marTop w:val="0"/>
          <w:marBottom w:val="0"/>
          <w:divBdr>
            <w:top w:val="none" w:sz="0" w:space="0" w:color="auto"/>
            <w:left w:val="none" w:sz="0" w:space="0" w:color="auto"/>
            <w:bottom w:val="none" w:sz="0" w:space="0" w:color="auto"/>
            <w:right w:val="none" w:sz="0" w:space="0" w:color="auto"/>
          </w:divBdr>
        </w:div>
        <w:div w:id="116602599">
          <w:marLeft w:val="0"/>
          <w:marRight w:val="0"/>
          <w:marTop w:val="0"/>
          <w:marBottom w:val="0"/>
          <w:divBdr>
            <w:top w:val="none" w:sz="0" w:space="0" w:color="auto"/>
            <w:left w:val="none" w:sz="0" w:space="0" w:color="auto"/>
            <w:bottom w:val="none" w:sz="0" w:space="0" w:color="auto"/>
            <w:right w:val="none" w:sz="0" w:space="0" w:color="auto"/>
          </w:divBdr>
        </w:div>
        <w:div w:id="1347560662">
          <w:marLeft w:val="0"/>
          <w:marRight w:val="0"/>
          <w:marTop w:val="0"/>
          <w:marBottom w:val="0"/>
          <w:divBdr>
            <w:top w:val="none" w:sz="0" w:space="0" w:color="auto"/>
            <w:left w:val="none" w:sz="0" w:space="0" w:color="auto"/>
            <w:bottom w:val="none" w:sz="0" w:space="0" w:color="auto"/>
            <w:right w:val="none" w:sz="0" w:space="0" w:color="auto"/>
          </w:divBdr>
        </w:div>
        <w:div w:id="988901098">
          <w:marLeft w:val="0"/>
          <w:marRight w:val="0"/>
          <w:marTop w:val="0"/>
          <w:marBottom w:val="0"/>
          <w:divBdr>
            <w:top w:val="none" w:sz="0" w:space="0" w:color="auto"/>
            <w:left w:val="none" w:sz="0" w:space="0" w:color="auto"/>
            <w:bottom w:val="none" w:sz="0" w:space="0" w:color="auto"/>
            <w:right w:val="none" w:sz="0" w:space="0" w:color="auto"/>
          </w:divBdr>
        </w:div>
        <w:div w:id="584342195">
          <w:marLeft w:val="0"/>
          <w:marRight w:val="0"/>
          <w:marTop w:val="0"/>
          <w:marBottom w:val="0"/>
          <w:divBdr>
            <w:top w:val="none" w:sz="0" w:space="0" w:color="auto"/>
            <w:left w:val="none" w:sz="0" w:space="0" w:color="auto"/>
            <w:bottom w:val="none" w:sz="0" w:space="0" w:color="auto"/>
            <w:right w:val="none" w:sz="0" w:space="0" w:color="auto"/>
          </w:divBdr>
        </w:div>
        <w:div w:id="778794700">
          <w:marLeft w:val="0"/>
          <w:marRight w:val="0"/>
          <w:marTop w:val="0"/>
          <w:marBottom w:val="0"/>
          <w:divBdr>
            <w:top w:val="none" w:sz="0" w:space="0" w:color="auto"/>
            <w:left w:val="none" w:sz="0" w:space="0" w:color="auto"/>
            <w:bottom w:val="none" w:sz="0" w:space="0" w:color="auto"/>
            <w:right w:val="none" w:sz="0" w:space="0" w:color="auto"/>
          </w:divBdr>
        </w:div>
        <w:div w:id="547569374">
          <w:marLeft w:val="0"/>
          <w:marRight w:val="0"/>
          <w:marTop w:val="0"/>
          <w:marBottom w:val="0"/>
          <w:divBdr>
            <w:top w:val="none" w:sz="0" w:space="0" w:color="auto"/>
            <w:left w:val="none" w:sz="0" w:space="0" w:color="auto"/>
            <w:bottom w:val="none" w:sz="0" w:space="0" w:color="auto"/>
            <w:right w:val="none" w:sz="0" w:space="0" w:color="auto"/>
          </w:divBdr>
        </w:div>
        <w:div w:id="1834098890">
          <w:marLeft w:val="0"/>
          <w:marRight w:val="0"/>
          <w:marTop w:val="0"/>
          <w:marBottom w:val="0"/>
          <w:divBdr>
            <w:top w:val="none" w:sz="0" w:space="0" w:color="auto"/>
            <w:left w:val="none" w:sz="0" w:space="0" w:color="auto"/>
            <w:bottom w:val="none" w:sz="0" w:space="0" w:color="auto"/>
            <w:right w:val="none" w:sz="0" w:space="0" w:color="auto"/>
          </w:divBdr>
        </w:div>
        <w:div w:id="1832091360">
          <w:marLeft w:val="0"/>
          <w:marRight w:val="0"/>
          <w:marTop w:val="0"/>
          <w:marBottom w:val="0"/>
          <w:divBdr>
            <w:top w:val="none" w:sz="0" w:space="0" w:color="auto"/>
            <w:left w:val="none" w:sz="0" w:space="0" w:color="auto"/>
            <w:bottom w:val="none" w:sz="0" w:space="0" w:color="auto"/>
            <w:right w:val="none" w:sz="0" w:space="0" w:color="auto"/>
          </w:divBdr>
        </w:div>
        <w:div w:id="2042439134">
          <w:marLeft w:val="0"/>
          <w:marRight w:val="0"/>
          <w:marTop w:val="0"/>
          <w:marBottom w:val="0"/>
          <w:divBdr>
            <w:top w:val="none" w:sz="0" w:space="0" w:color="auto"/>
            <w:left w:val="none" w:sz="0" w:space="0" w:color="auto"/>
            <w:bottom w:val="none" w:sz="0" w:space="0" w:color="auto"/>
            <w:right w:val="none" w:sz="0" w:space="0" w:color="auto"/>
          </w:divBdr>
        </w:div>
        <w:div w:id="1211309718">
          <w:marLeft w:val="0"/>
          <w:marRight w:val="0"/>
          <w:marTop w:val="0"/>
          <w:marBottom w:val="0"/>
          <w:divBdr>
            <w:top w:val="none" w:sz="0" w:space="0" w:color="auto"/>
            <w:left w:val="none" w:sz="0" w:space="0" w:color="auto"/>
            <w:bottom w:val="none" w:sz="0" w:space="0" w:color="auto"/>
            <w:right w:val="none" w:sz="0" w:space="0" w:color="auto"/>
          </w:divBdr>
        </w:div>
        <w:div w:id="24183839">
          <w:marLeft w:val="0"/>
          <w:marRight w:val="0"/>
          <w:marTop w:val="0"/>
          <w:marBottom w:val="0"/>
          <w:divBdr>
            <w:top w:val="none" w:sz="0" w:space="0" w:color="auto"/>
            <w:left w:val="none" w:sz="0" w:space="0" w:color="auto"/>
            <w:bottom w:val="none" w:sz="0" w:space="0" w:color="auto"/>
            <w:right w:val="none" w:sz="0" w:space="0" w:color="auto"/>
          </w:divBdr>
        </w:div>
        <w:div w:id="269122552">
          <w:marLeft w:val="0"/>
          <w:marRight w:val="0"/>
          <w:marTop w:val="0"/>
          <w:marBottom w:val="0"/>
          <w:divBdr>
            <w:top w:val="none" w:sz="0" w:space="0" w:color="auto"/>
            <w:left w:val="none" w:sz="0" w:space="0" w:color="auto"/>
            <w:bottom w:val="none" w:sz="0" w:space="0" w:color="auto"/>
            <w:right w:val="none" w:sz="0" w:space="0" w:color="auto"/>
          </w:divBdr>
        </w:div>
        <w:div w:id="2091806583">
          <w:marLeft w:val="0"/>
          <w:marRight w:val="0"/>
          <w:marTop w:val="0"/>
          <w:marBottom w:val="0"/>
          <w:divBdr>
            <w:top w:val="none" w:sz="0" w:space="0" w:color="auto"/>
            <w:left w:val="none" w:sz="0" w:space="0" w:color="auto"/>
            <w:bottom w:val="none" w:sz="0" w:space="0" w:color="auto"/>
            <w:right w:val="none" w:sz="0" w:space="0" w:color="auto"/>
          </w:divBdr>
        </w:div>
        <w:div w:id="1438793099">
          <w:marLeft w:val="0"/>
          <w:marRight w:val="0"/>
          <w:marTop w:val="0"/>
          <w:marBottom w:val="0"/>
          <w:divBdr>
            <w:top w:val="none" w:sz="0" w:space="0" w:color="auto"/>
            <w:left w:val="none" w:sz="0" w:space="0" w:color="auto"/>
            <w:bottom w:val="none" w:sz="0" w:space="0" w:color="auto"/>
            <w:right w:val="none" w:sz="0" w:space="0" w:color="auto"/>
          </w:divBdr>
        </w:div>
        <w:div w:id="115803826">
          <w:marLeft w:val="0"/>
          <w:marRight w:val="0"/>
          <w:marTop w:val="0"/>
          <w:marBottom w:val="0"/>
          <w:divBdr>
            <w:top w:val="none" w:sz="0" w:space="0" w:color="auto"/>
            <w:left w:val="none" w:sz="0" w:space="0" w:color="auto"/>
            <w:bottom w:val="none" w:sz="0" w:space="0" w:color="auto"/>
            <w:right w:val="none" w:sz="0" w:space="0" w:color="auto"/>
          </w:divBdr>
        </w:div>
        <w:div w:id="1737624606">
          <w:marLeft w:val="0"/>
          <w:marRight w:val="0"/>
          <w:marTop w:val="0"/>
          <w:marBottom w:val="0"/>
          <w:divBdr>
            <w:top w:val="none" w:sz="0" w:space="0" w:color="auto"/>
            <w:left w:val="none" w:sz="0" w:space="0" w:color="auto"/>
            <w:bottom w:val="none" w:sz="0" w:space="0" w:color="auto"/>
            <w:right w:val="none" w:sz="0" w:space="0" w:color="auto"/>
          </w:divBdr>
        </w:div>
        <w:div w:id="1754204866">
          <w:marLeft w:val="0"/>
          <w:marRight w:val="0"/>
          <w:marTop w:val="0"/>
          <w:marBottom w:val="0"/>
          <w:divBdr>
            <w:top w:val="none" w:sz="0" w:space="0" w:color="auto"/>
            <w:left w:val="none" w:sz="0" w:space="0" w:color="auto"/>
            <w:bottom w:val="none" w:sz="0" w:space="0" w:color="auto"/>
            <w:right w:val="none" w:sz="0" w:space="0" w:color="auto"/>
          </w:divBdr>
        </w:div>
        <w:div w:id="916746177">
          <w:marLeft w:val="0"/>
          <w:marRight w:val="0"/>
          <w:marTop w:val="0"/>
          <w:marBottom w:val="0"/>
          <w:divBdr>
            <w:top w:val="none" w:sz="0" w:space="0" w:color="auto"/>
            <w:left w:val="none" w:sz="0" w:space="0" w:color="auto"/>
            <w:bottom w:val="none" w:sz="0" w:space="0" w:color="auto"/>
            <w:right w:val="none" w:sz="0" w:space="0" w:color="auto"/>
          </w:divBdr>
        </w:div>
        <w:div w:id="1978340654">
          <w:marLeft w:val="0"/>
          <w:marRight w:val="0"/>
          <w:marTop w:val="0"/>
          <w:marBottom w:val="0"/>
          <w:divBdr>
            <w:top w:val="none" w:sz="0" w:space="0" w:color="auto"/>
            <w:left w:val="none" w:sz="0" w:space="0" w:color="auto"/>
            <w:bottom w:val="none" w:sz="0" w:space="0" w:color="auto"/>
            <w:right w:val="none" w:sz="0" w:space="0" w:color="auto"/>
          </w:divBdr>
        </w:div>
        <w:div w:id="281107968">
          <w:marLeft w:val="0"/>
          <w:marRight w:val="0"/>
          <w:marTop w:val="0"/>
          <w:marBottom w:val="0"/>
          <w:divBdr>
            <w:top w:val="none" w:sz="0" w:space="0" w:color="auto"/>
            <w:left w:val="none" w:sz="0" w:space="0" w:color="auto"/>
            <w:bottom w:val="none" w:sz="0" w:space="0" w:color="auto"/>
            <w:right w:val="none" w:sz="0" w:space="0" w:color="auto"/>
          </w:divBdr>
        </w:div>
        <w:div w:id="1209803373">
          <w:marLeft w:val="0"/>
          <w:marRight w:val="0"/>
          <w:marTop w:val="0"/>
          <w:marBottom w:val="0"/>
          <w:divBdr>
            <w:top w:val="none" w:sz="0" w:space="0" w:color="auto"/>
            <w:left w:val="none" w:sz="0" w:space="0" w:color="auto"/>
            <w:bottom w:val="none" w:sz="0" w:space="0" w:color="auto"/>
            <w:right w:val="none" w:sz="0" w:space="0" w:color="auto"/>
          </w:divBdr>
        </w:div>
        <w:div w:id="1384674088">
          <w:marLeft w:val="0"/>
          <w:marRight w:val="0"/>
          <w:marTop w:val="0"/>
          <w:marBottom w:val="0"/>
          <w:divBdr>
            <w:top w:val="none" w:sz="0" w:space="0" w:color="auto"/>
            <w:left w:val="none" w:sz="0" w:space="0" w:color="auto"/>
            <w:bottom w:val="none" w:sz="0" w:space="0" w:color="auto"/>
            <w:right w:val="none" w:sz="0" w:space="0" w:color="auto"/>
          </w:divBdr>
        </w:div>
        <w:div w:id="2130780173">
          <w:marLeft w:val="0"/>
          <w:marRight w:val="0"/>
          <w:marTop w:val="0"/>
          <w:marBottom w:val="0"/>
          <w:divBdr>
            <w:top w:val="none" w:sz="0" w:space="0" w:color="auto"/>
            <w:left w:val="none" w:sz="0" w:space="0" w:color="auto"/>
            <w:bottom w:val="none" w:sz="0" w:space="0" w:color="auto"/>
            <w:right w:val="none" w:sz="0" w:space="0" w:color="auto"/>
          </w:divBdr>
        </w:div>
        <w:div w:id="689794501">
          <w:marLeft w:val="0"/>
          <w:marRight w:val="0"/>
          <w:marTop w:val="0"/>
          <w:marBottom w:val="0"/>
          <w:divBdr>
            <w:top w:val="none" w:sz="0" w:space="0" w:color="auto"/>
            <w:left w:val="none" w:sz="0" w:space="0" w:color="auto"/>
            <w:bottom w:val="none" w:sz="0" w:space="0" w:color="auto"/>
            <w:right w:val="none" w:sz="0" w:space="0" w:color="auto"/>
          </w:divBdr>
        </w:div>
        <w:div w:id="1463571402">
          <w:marLeft w:val="0"/>
          <w:marRight w:val="0"/>
          <w:marTop w:val="0"/>
          <w:marBottom w:val="0"/>
          <w:divBdr>
            <w:top w:val="none" w:sz="0" w:space="0" w:color="auto"/>
            <w:left w:val="none" w:sz="0" w:space="0" w:color="auto"/>
            <w:bottom w:val="none" w:sz="0" w:space="0" w:color="auto"/>
            <w:right w:val="none" w:sz="0" w:space="0" w:color="auto"/>
          </w:divBdr>
        </w:div>
        <w:div w:id="401177070">
          <w:marLeft w:val="0"/>
          <w:marRight w:val="0"/>
          <w:marTop w:val="0"/>
          <w:marBottom w:val="0"/>
          <w:divBdr>
            <w:top w:val="none" w:sz="0" w:space="0" w:color="auto"/>
            <w:left w:val="none" w:sz="0" w:space="0" w:color="auto"/>
            <w:bottom w:val="none" w:sz="0" w:space="0" w:color="auto"/>
            <w:right w:val="none" w:sz="0" w:space="0" w:color="auto"/>
          </w:divBdr>
        </w:div>
        <w:div w:id="1048794609">
          <w:marLeft w:val="0"/>
          <w:marRight w:val="0"/>
          <w:marTop w:val="0"/>
          <w:marBottom w:val="0"/>
          <w:divBdr>
            <w:top w:val="none" w:sz="0" w:space="0" w:color="auto"/>
            <w:left w:val="none" w:sz="0" w:space="0" w:color="auto"/>
            <w:bottom w:val="none" w:sz="0" w:space="0" w:color="auto"/>
            <w:right w:val="none" w:sz="0" w:space="0" w:color="auto"/>
          </w:divBdr>
        </w:div>
        <w:div w:id="397553266">
          <w:marLeft w:val="0"/>
          <w:marRight w:val="0"/>
          <w:marTop w:val="0"/>
          <w:marBottom w:val="0"/>
          <w:divBdr>
            <w:top w:val="none" w:sz="0" w:space="0" w:color="auto"/>
            <w:left w:val="none" w:sz="0" w:space="0" w:color="auto"/>
            <w:bottom w:val="none" w:sz="0" w:space="0" w:color="auto"/>
            <w:right w:val="none" w:sz="0" w:space="0" w:color="auto"/>
          </w:divBdr>
        </w:div>
        <w:div w:id="1555432039">
          <w:marLeft w:val="0"/>
          <w:marRight w:val="0"/>
          <w:marTop w:val="0"/>
          <w:marBottom w:val="0"/>
          <w:divBdr>
            <w:top w:val="none" w:sz="0" w:space="0" w:color="auto"/>
            <w:left w:val="none" w:sz="0" w:space="0" w:color="auto"/>
            <w:bottom w:val="none" w:sz="0" w:space="0" w:color="auto"/>
            <w:right w:val="none" w:sz="0" w:space="0" w:color="auto"/>
          </w:divBdr>
        </w:div>
        <w:div w:id="603727680">
          <w:marLeft w:val="0"/>
          <w:marRight w:val="0"/>
          <w:marTop w:val="0"/>
          <w:marBottom w:val="0"/>
          <w:divBdr>
            <w:top w:val="none" w:sz="0" w:space="0" w:color="auto"/>
            <w:left w:val="none" w:sz="0" w:space="0" w:color="auto"/>
            <w:bottom w:val="none" w:sz="0" w:space="0" w:color="auto"/>
            <w:right w:val="none" w:sz="0" w:space="0" w:color="auto"/>
          </w:divBdr>
        </w:div>
        <w:div w:id="1610812706">
          <w:marLeft w:val="0"/>
          <w:marRight w:val="0"/>
          <w:marTop w:val="0"/>
          <w:marBottom w:val="0"/>
          <w:divBdr>
            <w:top w:val="none" w:sz="0" w:space="0" w:color="auto"/>
            <w:left w:val="none" w:sz="0" w:space="0" w:color="auto"/>
            <w:bottom w:val="none" w:sz="0" w:space="0" w:color="auto"/>
            <w:right w:val="none" w:sz="0" w:space="0" w:color="auto"/>
          </w:divBdr>
        </w:div>
        <w:div w:id="1579093984">
          <w:marLeft w:val="0"/>
          <w:marRight w:val="0"/>
          <w:marTop w:val="0"/>
          <w:marBottom w:val="0"/>
          <w:divBdr>
            <w:top w:val="none" w:sz="0" w:space="0" w:color="auto"/>
            <w:left w:val="none" w:sz="0" w:space="0" w:color="auto"/>
            <w:bottom w:val="none" w:sz="0" w:space="0" w:color="auto"/>
            <w:right w:val="none" w:sz="0" w:space="0" w:color="auto"/>
          </w:divBdr>
        </w:div>
        <w:div w:id="515537580">
          <w:marLeft w:val="0"/>
          <w:marRight w:val="0"/>
          <w:marTop w:val="0"/>
          <w:marBottom w:val="0"/>
          <w:divBdr>
            <w:top w:val="none" w:sz="0" w:space="0" w:color="auto"/>
            <w:left w:val="none" w:sz="0" w:space="0" w:color="auto"/>
            <w:bottom w:val="none" w:sz="0" w:space="0" w:color="auto"/>
            <w:right w:val="none" w:sz="0" w:space="0" w:color="auto"/>
          </w:divBdr>
        </w:div>
        <w:div w:id="957223537">
          <w:marLeft w:val="0"/>
          <w:marRight w:val="0"/>
          <w:marTop w:val="0"/>
          <w:marBottom w:val="0"/>
          <w:divBdr>
            <w:top w:val="none" w:sz="0" w:space="0" w:color="auto"/>
            <w:left w:val="none" w:sz="0" w:space="0" w:color="auto"/>
            <w:bottom w:val="none" w:sz="0" w:space="0" w:color="auto"/>
            <w:right w:val="none" w:sz="0" w:space="0" w:color="auto"/>
          </w:divBdr>
        </w:div>
        <w:div w:id="2113629031">
          <w:marLeft w:val="0"/>
          <w:marRight w:val="0"/>
          <w:marTop w:val="0"/>
          <w:marBottom w:val="0"/>
          <w:divBdr>
            <w:top w:val="none" w:sz="0" w:space="0" w:color="auto"/>
            <w:left w:val="none" w:sz="0" w:space="0" w:color="auto"/>
            <w:bottom w:val="none" w:sz="0" w:space="0" w:color="auto"/>
            <w:right w:val="none" w:sz="0" w:space="0" w:color="auto"/>
          </w:divBdr>
        </w:div>
        <w:div w:id="1906141575">
          <w:marLeft w:val="0"/>
          <w:marRight w:val="0"/>
          <w:marTop w:val="0"/>
          <w:marBottom w:val="0"/>
          <w:divBdr>
            <w:top w:val="none" w:sz="0" w:space="0" w:color="auto"/>
            <w:left w:val="none" w:sz="0" w:space="0" w:color="auto"/>
            <w:bottom w:val="none" w:sz="0" w:space="0" w:color="auto"/>
            <w:right w:val="none" w:sz="0" w:space="0" w:color="auto"/>
          </w:divBdr>
        </w:div>
        <w:div w:id="261036980">
          <w:marLeft w:val="0"/>
          <w:marRight w:val="0"/>
          <w:marTop w:val="0"/>
          <w:marBottom w:val="0"/>
          <w:divBdr>
            <w:top w:val="none" w:sz="0" w:space="0" w:color="auto"/>
            <w:left w:val="none" w:sz="0" w:space="0" w:color="auto"/>
            <w:bottom w:val="none" w:sz="0" w:space="0" w:color="auto"/>
            <w:right w:val="none" w:sz="0" w:space="0" w:color="auto"/>
          </w:divBdr>
        </w:div>
        <w:div w:id="1634214807">
          <w:marLeft w:val="0"/>
          <w:marRight w:val="0"/>
          <w:marTop w:val="0"/>
          <w:marBottom w:val="0"/>
          <w:divBdr>
            <w:top w:val="none" w:sz="0" w:space="0" w:color="auto"/>
            <w:left w:val="none" w:sz="0" w:space="0" w:color="auto"/>
            <w:bottom w:val="none" w:sz="0" w:space="0" w:color="auto"/>
            <w:right w:val="none" w:sz="0" w:space="0" w:color="auto"/>
          </w:divBdr>
        </w:div>
        <w:div w:id="1565988439">
          <w:marLeft w:val="0"/>
          <w:marRight w:val="0"/>
          <w:marTop w:val="0"/>
          <w:marBottom w:val="0"/>
          <w:divBdr>
            <w:top w:val="none" w:sz="0" w:space="0" w:color="auto"/>
            <w:left w:val="none" w:sz="0" w:space="0" w:color="auto"/>
            <w:bottom w:val="none" w:sz="0" w:space="0" w:color="auto"/>
            <w:right w:val="none" w:sz="0" w:space="0" w:color="auto"/>
          </w:divBdr>
        </w:div>
        <w:div w:id="422193236">
          <w:marLeft w:val="0"/>
          <w:marRight w:val="0"/>
          <w:marTop w:val="0"/>
          <w:marBottom w:val="0"/>
          <w:divBdr>
            <w:top w:val="none" w:sz="0" w:space="0" w:color="auto"/>
            <w:left w:val="none" w:sz="0" w:space="0" w:color="auto"/>
            <w:bottom w:val="none" w:sz="0" w:space="0" w:color="auto"/>
            <w:right w:val="none" w:sz="0" w:space="0" w:color="auto"/>
          </w:divBdr>
        </w:div>
        <w:div w:id="1130516400">
          <w:marLeft w:val="0"/>
          <w:marRight w:val="0"/>
          <w:marTop w:val="0"/>
          <w:marBottom w:val="0"/>
          <w:divBdr>
            <w:top w:val="none" w:sz="0" w:space="0" w:color="auto"/>
            <w:left w:val="none" w:sz="0" w:space="0" w:color="auto"/>
            <w:bottom w:val="none" w:sz="0" w:space="0" w:color="auto"/>
            <w:right w:val="none" w:sz="0" w:space="0" w:color="auto"/>
          </w:divBdr>
        </w:div>
        <w:div w:id="1006711774">
          <w:marLeft w:val="0"/>
          <w:marRight w:val="0"/>
          <w:marTop w:val="0"/>
          <w:marBottom w:val="0"/>
          <w:divBdr>
            <w:top w:val="none" w:sz="0" w:space="0" w:color="auto"/>
            <w:left w:val="none" w:sz="0" w:space="0" w:color="auto"/>
            <w:bottom w:val="none" w:sz="0" w:space="0" w:color="auto"/>
            <w:right w:val="none" w:sz="0" w:space="0" w:color="auto"/>
          </w:divBdr>
        </w:div>
        <w:div w:id="1730422128">
          <w:marLeft w:val="0"/>
          <w:marRight w:val="0"/>
          <w:marTop w:val="0"/>
          <w:marBottom w:val="0"/>
          <w:divBdr>
            <w:top w:val="none" w:sz="0" w:space="0" w:color="auto"/>
            <w:left w:val="none" w:sz="0" w:space="0" w:color="auto"/>
            <w:bottom w:val="none" w:sz="0" w:space="0" w:color="auto"/>
            <w:right w:val="none" w:sz="0" w:space="0" w:color="auto"/>
          </w:divBdr>
        </w:div>
        <w:div w:id="1229851806">
          <w:marLeft w:val="0"/>
          <w:marRight w:val="0"/>
          <w:marTop w:val="0"/>
          <w:marBottom w:val="0"/>
          <w:divBdr>
            <w:top w:val="none" w:sz="0" w:space="0" w:color="auto"/>
            <w:left w:val="none" w:sz="0" w:space="0" w:color="auto"/>
            <w:bottom w:val="none" w:sz="0" w:space="0" w:color="auto"/>
            <w:right w:val="none" w:sz="0" w:space="0" w:color="auto"/>
          </w:divBdr>
        </w:div>
        <w:div w:id="219829008">
          <w:marLeft w:val="0"/>
          <w:marRight w:val="0"/>
          <w:marTop w:val="0"/>
          <w:marBottom w:val="0"/>
          <w:divBdr>
            <w:top w:val="none" w:sz="0" w:space="0" w:color="auto"/>
            <w:left w:val="none" w:sz="0" w:space="0" w:color="auto"/>
            <w:bottom w:val="none" w:sz="0" w:space="0" w:color="auto"/>
            <w:right w:val="none" w:sz="0" w:space="0" w:color="auto"/>
          </w:divBdr>
        </w:div>
        <w:div w:id="660159954">
          <w:marLeft w:val="0"/>
          <w:marRight w:val="0"/>
          <w:marTop w:val="0"/>
          <w:marBottom w:val="0"/>
          <w:divBdr>
            <w:top w:val="none" w:sz="0" w:space="0" w:color="auto"/>
            <w:left w:val="none" w:sz="0" w:space="0" w:color="auto"/>
            <w:bottom w:val="none" w:sz="0" w:space="0" w:color="auto"/>
            <w:right w:val="none" w:sz="0" w:space="0" w:color="auto"/>
          </w:divBdr>
        </w:div>
        <w:div w:id="973635451">
          <w:marLeft w:val="0"/>
          <w:marRight w:val="0"/>
          <w:marTop w:val="0"/>
          <w:marBottom w:val="0"/>
          <w:divBdr>
            <w:top w:val="none" w:sz="0" w:space="0" w:color="auto"/>
            <w:left w:val="none" w:sz="0" w:space="0" w:color="auto"/>
            <w:bottom w:val="none" w:sz="0" w:space="0" w:color="auto"/>
            <w:right w:val="none" w:sz="0" w:space="0" w:color="auto"/>
          </w:divBdr>
        </w:div>
        <w:div w:id="755520689">
          <w:marLeft w:val="0"/>
          <w:marRight w:val="0"/>
          <w:marTop w:val="0"/>
          <w:marBottom w:val="0"/>
          <w:divBdr>
            <w:top w:val="none" w:sz="0" w:space="0" w:color="auto"/>
            <w:left w:val="none" w:sz="0" w:space="0" w:color="auto"/>
            <w:bottom w:val="none" w:sz="0" w:space="0" w:color="auto"/>
            <w:right w:val="none" w:sz="0" w:space="0" w:color="auto"/>
          </w:divBdr>
        </w:div>
        <w:div w:id="549344597">
          <w:marLeft w:val="0"/>
          <w:marRight w:val="0"/>
          <w:marTop w:val="0"/>
          <w:marBottom w:val="0"/>
          <w:divBdr>
            <w:top w:val="none" w:sz="0" w:space="0" w:color="auto"/>
            <w:left w:val="none" w:sz="0" w:space="0" w:color="auto"/>
            <w:bottom w:val="none" w:sz="0" w:space="0" w:color="auto"/>
            <w:right w:val="none" w:sz="0" w:space="0" w:color="auto"/>
          </w:divBdr>
        </w:div>
        <w:div w:id="1222794110">
          <w:marLeft w:val="0"/>
          <w:marRight w:val="0"/>
          <w:marTop w:val="0"/>
          <w:marBottom w:val="0"/>
          <w:divBdr>
            <w:top w:val="none" w:sz="0" w:space="0" w:color="auto"/>
            <w:left w:val="none" w:sz="0" w:space="0" w:color="auto"/>
            <w:bottom w:val="none" w:sz="0" w:space="0" w:color="auto"/>
            <w:right w:val="none" w:sz="0" w:space="0" w:color="auto"/>
          </w:divBdr>
        </w:div>
        <w:div w:id="454640495">
          <w:marLeft w:val="0"/>
          <w:marRight w:val="0"/>
          <w:marTop w:val="0"/>
          <w:marBottom w:val="0"/>
          <w:divBdr>
            <w:top w:val="none" w:sz="0" w:space="0" w:color="auto"/>
            <w:left w:val="none" w:sz="0" w:space="0" w:color="auto"/>
            <w:bottom w:val="none" w:sz="0" w:space="0" w:color="auto"/>
            <w:right w:val="none" w:sz="0" w:space="0" w:color="auto"/>
          </w:divBdr>
        </w:div>
        <w:div w:id="285744378">
          <w:marLeft w:val="0"/>
          <w:marRight w:val="0"/>
          <w:marTop w:val="0"/>
          <w:marBottom w:val="0"/>
          <w:divBdr>
            <w:top w:val="none" w:sz="0" w:space="0" w:color="auto"/>
            <w:left w:val="none" w:sz="0" w:space="0" w:color="auto"/>
            <w:bottom w:val="none" w:sz="0" w:space="0" w:color="auto"/>
            <w:right w:val="none" w:sz="0" w:space="0" w:color="auto"/>
          </w:divBdr>
        </w:div>
        <w:div w:id="657850802">
          <w:marLeft w:val="0"/>
          <w:marRight w:val="0"/>
          <w:marTop w:val="0"/>
          <w:marBottom w:val="0"/>
          <w:divBdr>
            <w:top w:val="none" w:sz="0" w:space="0" w:color="auto"/>
            <w:left w:val="none" w:sz="0" w:space="0" w:color="auto"/>
            <w:bottom w:val="none" w:sz="0" w:space="0" w:color="auto"/>
            <w:right w:val="none" w:sz="0" w:space="0" w:color="auto"/>
          </w:divBdr>
        </w:div>
        <w:div w:id="46993107">
          <w:marLeft w:val="0"/>
          <w:marRight w:val="0"/>
          <w:marTop w:val="0"/>
          <w:marBottom w:val="0"/>
          <w:divBdr>
            <w:top w:val="none" w:sz="0" w:space="0" w:color="auto"/>
            <w:left w:val="none" w:sz="0" w:space="0" w:color="auto"/>
            <w:bottom w:val="none" w:sz="0" w:space="0" w:color="auto"/>
            <w:right w:val="none" w:sz="0" w:space="0" w:color="auto"/>
          </w:divBdr>
        </w:div>
        <w:div w:id="1350451952">
          <w:marLeft w:val="0"/>
          <w:marRight w:val="0"/>
          <w:marTop w:val="0"/>
          <w:marBottom w:val="0"/>
          <w:divBdr>
            <w:top w:val="none" w:sz="0" w:space="0" w:color="auto"/>
            <w:left w:val="none" w:sz="0" w:space="0" w:color="auto"/>
            <w:bottom w:val="none" w:sz="0" w:space="0" w:color="auto"/>
            <w:right w:val="none" w:sz="0" w:space="0" w:color="auto"/>
          </w:divBdr>
        </w:div>
        <w:div w:id="268054045">
          <w:marLeft w:val="0"/>
          <w:marRight w:val="0"/>
          <w:marTop w:val="0"/>
          <w:marBottom w:val="0"/>
          <w:divBdr>
            <w:top w:val="none" w:sz="0" w:space="0" w:color="auto"/>
            <w:left w:val="none" w:sz="0" w:space="0" w:color="auto"/>
            <w:bottom w:val="none" w:sz="0" w:space="0" w:color="auto"/>
            <w:right w:val="none" w:sz="0" w:space="0" w:color="auto"/>
          </w:divBdr>
        </w:div>
        <w:div w:id="926033196">
          <w:marLeft w:val="0"/>
          <w:marRight w:val="0"/>
          <w:marTop w:val="0"/>
          <w:marBottom w:val="0"/>
          <w:divBdr>
            <w:top w:val="none" w:sz="0" w:space="0" w:color="auto"/>
            <w:left w:val="none" w:sz="0" w:space="0" w:color="auto"/>
            <w:bottom w:val="none" w:sz="0" w:space="0" w:color="auto"/>
            <w:right w:val="none" w:sz="0" w:space="0" w:color="auto"/>
          </w:divBdr>
        </w:div>
        <w:div w:id="351809360">
          <w:marLeft w:val="0"/>
          <w:marRight w:val="0"/>
          <w:marTop w:val="0"/>
          <w:marBottom w:val="0"/>
          <w:divBdr>
            <w:top w:val="none" w:sz="0" w:space="0" w:color="auto"/>
            <w:left w:val="none" w:sz="0" w:space="0" w:color="auto"/>
            <w:bottom w:val="none" w:sz="0" w:space="0" w:color="auto"/>
            <w:right w:val="none" w:sz="0" w:space="0" w:color="auto"/>
          </w:divBdr>
        </w:div>
        <w:div w:id="681205334">
          <w:marLeft w:val="0"/>
          <w:marRight w:val="0"/>
          <w:marTop w:val="0"/>
          <w:marBottom w:val="0"/>
          <w:divBdr>
            <w:top w:val="none" w:sz="0" w:space="0" w:color="auto"/>
            <w:left w:val="none" w:sz="0" w:space="0" w:color="auto"/>
            <w:bottom w:val="none" w:sz="0" w:space="0" w:color="auto"/>
            <w:right w:val="none" w:sz="0" w:space="0" w:color="auto"/>
          </w:divBdr>
        </w:div>
        <w:div w:id="790972392">
          <w:marLeft w:val="0"/>
          <w:marRight w:val="0"/>
          <w:marTop w:val="0"/>
          <w:marBottom w:val="0"/>
          <w:divBdr>
            <w:top w:val="none" w:sz="0" w:space="0" w:color="auto"/>
            <w:left w:val="none" w:sz="0" w:space="0" w:color="auto"/>
            <w:bottom w:val="none" w:sz="0" w:space="0" w:color="auto"/>
            <w:right w:val="none" w:sz="0" w:space="0" w:color="auto"/>
          </w:divBdr>
        </w:div>
        <w:div w:id="1047609704">
          <w:marLeft w:val="0"/>
          <w:marRight w:val="0"/>
          <w:marTop w:val="0"/>
          <w:marBottom w:val="0"/>
          <w:divBdr>
            <w:top w:val="none" w:sz="0" w:space="0" w:color="auto"/>
            <w:left w:val="none" w:sz="0" w:space="0" w:color="auto"/>
            <w:bottom w:val="none" w:sz="0" w:space="0" w:color="auto"/>
            <w:right w:val="none" w:sz="0" w:space="0" w:color="auto"/>
          </w:divBdr>
        </w:div>
        <w:div w:id="1367368704">
          <w:marLeft w:val="0"/>
          <w:marRight w:val="0"/>
          <w:marTop w:val="0"/>
          <w:marBottom w:val="0"/>
          <w:divBdr>
            <w:top w:val="none" w:sz="0" w:space="0" w:color="auto"/>
            <w:left w:val="none" w:sz="0" w:space="0" w:color="auto"/>
            <w:bottom w:val="none" w:sz="0" w:space="0" w:color="auto"/>
            <w:right w:val="none" w:sz="0" w:space="0" w:color="auto"/>
          </w:divBdr>
        </w:div>
        <w:div w:id="187642918">
          <w:marLeft w:val="0"/>
          <w:marRight w:val="0"/>
          <w:marTop w:val="0"/>
          <w:marBottom w:val="0"/>
          <w:divBdr>
            <w:top w:val="none" w:sz="0" w:space="0" w:color="auto"/>
            <w:left w:val="none" w:sz="0" w:space="0" w:color="auto"/>
            <w:bottom w:val="none" w:sz="0" w:space="0" w:color="auto"/>
            <w:right w:val="none" w:sz="0" w:space="0" w:color="auto"/>
          </w:divBdr>
        </w:div>
        <w:div w:id="783353993">
          <w:marLeft w:val="0"/>
          <w:marRight w:val="0"/>
          <w:marTop w:val="0"/>
          <w:marBottom w:val="0"/>
          <w:divBdr>
            <w:top w:val="none" w:sz="0" w:space="0" w:color="auto"/>
            <w:left w:val="none" w:sz="0" w:space="0" w:color="auto"/>
            <w:bottom w:val="none" w:sz="0" w:space="0" w:color="auto"/>
            <w:right w:val="none" w:sz="0" w:space="0" w:color="auto"/>
          </w:divBdr>
        </w:div>
      </w:divsChild>
    </w:div>
    <w:div w:id="171452936">
      <w:bodyDiv w:val="1"/>
      <w:marLeft w:val="0"/>
      <w:marRight w:val="0"/>
      <w:marTop w:val="0"/>
      <w:marBottom w:val="0"/>
      <w:divBdr>
        <w:top w:val="none" w:sz="0" w:space="0" w:color="auto"/>
        <w:left w:val="none" w:sz="0" w:space="0" w:color="auto"/>
        <w:bottom w:val="none" w:sz="0" w:space="0" w:color="auto"/>
        <w:right w:val="none" w:sz="0" w:space="0" w:color="auto"/>
      </w:divBdr>
      <w:divsChild>
        <w:div w:id="526873654">
          <w:marLeft w:val="0"/>
          <w:marRight w:val="0"/>
          <w:marTop w:val="0"/>
          <w:marBottom w:val="0"/>
          <w:divBdr>
            <w:top w:val="none" w:sz="0" w:space="0" w:color="auto"/>
            <w:left w:val="none" w:sz="0" w:space="0" w:color="auto"/>
            <w:bottom w:val="none" w:sz="0" w:space="0" w:color="auto"/>
            <w:right w:val="none" w:sz="0" w:space="0" w:color="auto"/>
          </w:divBdr>
        </w:div>
        <w:div w:id="1991707615">
          <w:marLeft w:val="0"/>
          <w:marRight w:val="0"/>
          <w:marTop w:val="0"/>
          <w:marBottom w:val="0"/>
          <w:divBdr>
            <w:top w:val="none" w:sz="0" w:space="0" w:color="auto"/>
            <w:left w:val="none" w:sz="0" w:space="0" w:color="auto"/>
            <w:bottom w:val="none" w:sz="0" w:space="0" w:color="auto"/>
            <w:right w:val="none" w:sz="0" w:space="0" w:color="auto"/>
          </w:divBdr>
        </w:div>
        <w:div w:id="2037581067">
          <w:marLeft w:val="0"/>
          <w:marRight w:val="0"/>
          <w:marTop w:val="0"/>
          <w:marBottom w:val="0"/>
          <w:divBdr>
            <w:top w:val="none" w:sz="0" w:space="0" w:color="auto"/>
            <w:left w:val="none" w:sz="0" w:space="0" w:color="auto"/>
            <w:bottom w:val="none" w:sz="0" w:space="0" w:color="auto"/>
            <w:right w:val="none" w:sz="0" w:space="0" w:color="auto"/>
          </w:divBdr>
        </w:div>
        <w:div w:id="253125221">
          <w:marLeft w:val="0"/>
          <w:marRight w:val="0"/>
          <w:marTop w:val="0"/>
          <w:marBottom w:val="0"/>
          <w:divBdr>
            <w:top w:val="none" w:sz="0" w:space="0" w:color="auto"/>
            <w:left w:val="none" w:sz="0" w:space="0" w:color="auto"/>
            <w:bottom w:val="none" w:sz="0" w:space="0" w:color="auto"/>
            <w:right w:val="none" w:sz="0" w:space="0" w:color="auto"/>
          </w:divBdr>
        </w:div>
        <w:div w:id="1337919264">
          <w:marLeft w:val="0"/>
          <w:marRight w:val="0"/>
          <w:marTop w:val="0"/>
          <w:marBottom w:val="0"/>
          <w:divBdr>
            <w:top w:val="none" w:sz="0" w:space="0" w:color="auto"/>
            <w:left w:val="none" w:sz="0" w:space="0" w:color="auto"/>
            <w:bottom w:val="none" w:sz="0" w:space="0" w:color="auto"/>
            <w:right w:val="none" w:sz="0" w:space="0" w:color="auto"/>
          </w:divBdr>
        </w:div>
        <w:div w:id="1630159708">
          <w:marLeft w:val="0"/>
          <w:marRight w:val="0"/>
          <w:marTop w:val="0"/>
          <w:marBottom w:val="0"/>
          <w:divBdr>
            <w:top w:val="none" w:sz="0" w:space="0" w:color="auto"/>
            <w:left w:val="none" w:sz="0" w:space="0" w:color="auto"/>
            <w:bottom w:val="none" w:sz="0" w:space="0" w:color="auto"/>
            <w:right w:val="none" w:sz="0" w:space="0" w:color="auto"/>
          </w:divBdr>
        </w:div>
        <w:div w:id="806702046">
          <w:marLeft w:val="0"/>
          <w:marRight w:val="0"/>
          <w:marTop w:val="0"/>
          <w:marBottom w:val="0"/>
          <w:divBdr>
            <w:top w:val="none" w:sz="0" w:space="0" w:color="auto"/>
            <w:left w:val="none" w:sz="0" w:space="0" w:color="auto"/>
            <w:bottom w:val="none" w:sz="0" w:space="0" w:color="auto"/>
            <w:right w:val="none" w:sz="0" w:space="0" w:color="auto"/>
          </w:divBdr>
        </w:div>
        <w:div w:id="445545184">
          <w:marLeft w:val="0"/>
          <w:marRight w:val="0"/>
          <w:marTop w:val="0"/>
          <w:marBottom w:val="0"/>
          <w:divBdr>
            <w:top w:val="none" w:sz="0" w:space="0" w:color="auto"/>
            <w:left w:val="none" w:sz="0" w:space="0" w:color="auto"/>
            <w:bottom w:val="none" w:sz="0" w:space="0" w:color="auto"/>
            <w:right w:val="none" w:sz="0" w:space="0" w:color="auto"/>
          </w:divBdr>
        </w:div>
        <w:div w:id="246118171">
          <w:marLeft w:val="0"/>
          <w:marRight w:val="0"/>
          <w:marTop w:val="0"/>
          <w:marBottom w:val="0"/>
          <w:divBdr>
            <w:top w:val="none" w:sz="0" w:space="0" w:color="auto"/>
            <w:left w:val="none" w:sz="0" w:space="0" w:color="auto"/>
            <w:bottom w:val="none" w:sz="0" w:space="0" w:color="auto"/>
            <w:right w:val="none" w:sz="0" w:space="0" w:color="auto"/>
          </w:divBdr>
        </w:div>
        <w:div w:id="1781995588">
          <w:marLeft w:val="0"/>
          <w:marRight w:val="0"/>
          <w:marTop w:val="0"/>
          <w:marBottom w:val="0"/>
          <w:divBdr>
            <w:top w:val="none" w:sz="0" w:space="0" w:color="auto"/>
            <w:left w:val="none" w:sz="0" w:space="0" w:color="auto"/>
            <w:bottom w:val="none" w:sz="0" w:space="0" w:color="auto"/>
            <w:right w:val="none" w:sz="0" w:space="0" w:color="auto"/>
          </w:divBdr>
        </w:div>
        <w:div w:id="113722018">
          <w:marLeft w:val="0"/>
          <w:marRight w:val="0"/>
          <w:marTop w:val="0"/>
          <w:marBottom w:val="0"/>
          <w:divBdr>
            <w:top w:val="none" w:sz="0" w:space="0" w:color="auto"/>
            <w:left w:val="none" w:sz="0" w:space="0" w:color="auto"/>
            <w:bottom w:val="none" w:sz="0" w:space="0" w:color="auto"/>
            <w:right w:val="none" w:sz="0" w:space="0" w:color="auto"/>
          </w:divBdr>
        </w:div>
        <w:div w:id="1413041199">
          <w:marLeft w:val="0"/>
          <w:marRight w:val="0"/>
          <w:marTop w:val="0"/>
          <w:marBottom w:val="0"/>
          <w:divBdr>
            <w:top w:val="none" w:sz="0" w:space="0" w:color="auto"/>
            <w:left w:val="none" w:sz="0" w:space="0" w:color="auto"/>
            <w:bottom w:val="none" w:sz="0" w:space="0" w:color="auto"/>
            <w:right w:val="none" w:sz="0" w:space="0" w:color="auto"/>
          </w:divBdr>
        </w:div>
        <w:div w:id="1106657902">
          <w:marLeft w:val="0"/>
          <w:marRight w:val="0"/>
          <w:marTop w:val="0"/>
          <w:marBottom w:val="0"/>
          <w:divBdr>
            <w:top w:val="none" w:sz="0" w:space="0" w:color="auto"/>
            <w:left w:val="none" w:sz="0" w:space="0" w:color="auto"/>
            <w:bottom w:val="none" w:sz="0" w:space="0" w:color="auto"/>
            <w:right w:val="none" w:sz="0" w:space="0" w:color="auto"/>
          </w:divBdr>
        </w:div>
        <w:div w:id="577905849">
          <w:marLeft w:val="0"/>
          <w:marRight w:val="0"/>
          <w:marTop w:val="0"/>
          <w:marBottom w:val="0"/>
          <w:divBdr>
            <w:top w:val="none" w:sz="0" w:space="0" w:color="auto"/>
            <w:left w:val="none" w:sz="0" w:space="0" w:color="auto"/>
            <w:bottom w:val="none" w:sz="0" w:space="0" w:color="auto"/>
            <w:right w:val="none" w:sz="0" w:space="0" w:color="auto"/>
          </w:divBdr>
        </w:div>
        <w:div w:id="1388407712">
          <w:marLeft w:val="0"/>
          <w:marRight w:val="0"/>
          <w:marTop w:val="0"/>
          <w:marBottom w:val="0"/>
          <w:divBdr>
            <w:top w:val="none" w:sz="0" w:space="0" w:color="auto"/>
            <w:left w:val="none" w:sz="0" w:space="0" w:color="auto"/>
            <w:bottom w:val="none" w:sz="0" w:space="0" w:color="auto"/>
            <w:right w:val="none" w:sz="0" w:space="0" w:color="auto"/>
          </w:divBdr>
        </w:div>
        <w:div w:id="1885746756">
          <w:marLeft w:val="0"/>
          <w:marRight w:val="0"/>
          <w:marTop w:val="0"/>
          <w:marBottom w:val="0"/>
          <w:divBdr>
            <w:top w:val="none" w:sz="0" w:space="0" w:color="auto"/>
            <w:left w:val="none" w:sz="0" w:space="0" w:color="auto"/>
            <w:bottom w:val="none" w:sz="0" w:space="0" w:color="auto"/>
            <w:right w:val="none" w:sz="0" w:space="0" w:color="auto"/>
          </w:divBdr>
        </w:div>
        <w:div w:id="1605916339">
          <w:marLeft w:val="0"/>
          <w:marRight w:val="0"/>
          <w:marTop w:val="0"/>
          <w:marBottom w:val="0"/>
          <w:divBdr>
            <w:top w:val="none" w:sz="0" w:space="0" w:color="auto"/>
            <w:left w:val="none" w:sz="0" w:space="0" w:color="auto"/>
            <w:bottom w:val="none" w:sz="0" w:space="0" w:color="auto"/>
            <w:right w:val="none" w:sz="0" w:space="0" w:color="auto"/>
          </w:divBdr>
        </w:div>
        <w:div w:id="896475212">
          <w:marLeft w:val="0"/>
          <w:marRight w:val="0"/>
          <w:marTop w:val="0"/>
          <w:marBottom w:val="0"/>
          <w:divBdr>
            <w:top w:val="none" w:sz="0" w:space="0" w:color="auto"/>
            <w:left w:val="none" w:sz="0" w:space="0" w:color="auto"/>
            <w:bottom w:val="none" w:sz="0" w:space="0" w:color="auto"/>
            <w:right w:val="none" w:sz="0" w:space="0" w:color="auto"/>
          </w:divBdr>
        </w:div>
        <w:div w:id="81880976">
          <w:marLeft w:val="0"/>
          <w:marRight w:val="0"/>
          <w:marTop w:val="0"/>
          <w:marBottom w:val="0"/>
          <w:divBdr>
            <w:top w:val="none" w:sz="0" w:space="0" w:color="auto"/>
            <w:left w:val="none" w:sz="0" w:space="0" w:color="auto"/>
            <w:bottom w:val="none" w:sz="0" w:space="0" w:color="auto"/>
            <w:right w:val="none" w:sz="0" w:space="0" w:color="auto"/>
          </w:divBdr>
        </w:div>
        <w:div w:id="736634994">
          <w:marLeft w:val="0"/>
          <w:marRight w:val="0"/>
          <w:marTop w:val="0"/>
          <w:marBottom w:val="0"/>
          <w:divBdr>
            <w:top w:val="none" w:sz="0" w:space="0" w:color="auto"/>
            <w:left w:val="none" w:sz="0" w:space="0" w:color="auto"/>
            <w:bottom w:val="none" w:sz="0" w:space="0" w:color="auto"/>
            <w:right w:val="none" w:sz="0" w:space="0" w:color="auto"/>
          </w:divBdr>
        </w:div>
        <w:div w:id="801313772">
          <w:marLeft w:val="0"/>
          <w:marRight w:val="0"/>
          <w:marTop w:val="0"/>
          <w:marBottom w:val="0"/>
          <w:divBdr>
            <w:top w:val="none" w:sz="0" w:space="0" w:color="auto"/>
            <w:left w:val="none" w:sz="0" w:space="0" w:color="auto"/>
            <w:bottom w:val="none" w:sz="0" w:space="0" w:color="auto"/>
            <w:right w:val="none" w:sz="0" w:space="0" w:color="auto"/>
          </w:divBdr>
        </w:div>
        <w:div w:id="1191532751">
          <w:marLeft w:val="0"/>
          <w:marRight w:val="0"/>
          <w:marTop w:val="0"/>
          <w:marBottom w:val="0"/>
          <w:divBdr>
            <w:top w:val="none" w:sz="0" w:space="0" w:color="auto"/>
            <w:left w:val="none" w:sz="0" w:space="0" w:color="auto"/>
            <w:bottom w:val="none" w:sz="0" w:space="0" w:color="auto"/>
            <w:right w:val="none" w:sz="0" w:space="0" w:color="auto"/>
          </w:divBdr>
        </w:div>
        <w:div w:id="491331667">
          <w:marLeft w:val="0"/>
          <w:marRight w:val="0"/>
          <w:marTop w:val="0"/>
          <w:marBottom w:val="0"/>
          <w:divBdr>
            <w:top w:val="none" w:sz="0" w:space="0" w:color="auto"/>
            <w:left w:val="none" w:sz="0" w:space="0" w:color="auto"/>
            <w:bottom w:val="none" w:sz="0" w:space="0" w:color="auto"/>
            <w:right w:val="none" w:sz="0" w:space="0" w:color="auto"/>
          </w:divBdr>
        </w:div>
        <w:div w:id="741634602">
          <w:marLeft w:val="0"/>
          <w:marRight w:val="0"/>
          <w:marTop w:val="0"/>
          <w:marBottom w:val="0"/>
          <w:divBdr>
            <w:top w:val="none" w:sz="0" w:space="0" w:color="auto"/>
            <w:left w:val="none" w:sz="0" w:space="0" w:color="auto"/>
            <w:bottom w:val="none" w:sz="0" w:space="0" w:color="auto"/>
            <w:right w:val="none" w:sz="0" w:space="0" w:color="auto"/>
          </w:divBdr>
        </w:div>
        <w:div w:id="1687177006">
          <w:marLeft w:val="0"/>
          <w:marRight w:val="0"/>
          <w:marTop w:val="0"/>
          <w:marBottom w:val="0"/>
          <w:divBdr>
            <w:top w:val="none" w:sz="0" w:space="0" w:color="auto"/>
            <w:left w:val="none" w:sz="0" w:space="0" w:color="auto"/>
            <w:bottom w:val="none" w:sz="0" w:space="0" w:color="auto"/>
            <w:right w:val="none" w:sz="0" w:space="0" w:color="auto"/>
          </w:divBdr>
        </w:div>
        <w:div w:id="1592933526">
          <w:marLeft w:val="0"/>
          <w:marRight w:val="0"/>
          <w:marTop w:val="0"/>
          <w:marBottom w:val="0"/>
          <w:divBdr>
            <w:top w:val="none" w:sz="0" w:space="0" w:color="auto"/>
            <w:left w:val="none" w:sz="0" w:space="0" w:color="auto"/>
            <w:bottom w:val="none" w:sz="0" w:space="0" w:color="auto"/>
            <w:right w:val="none" w:sz="0" w:space="0" w:color="auto"/>
          </w:divBdr>
        </w:div>
        <w:div w:id="1808664337">
          <w:marLeft w:val="0"/>
          <w:marRight w:val="0"/>
          <w:marTop w:val="0"/>
          <w:marBottom w:val="0"/>
          <w:divBdr>
            <w:top w:val="none" w:sz="0" w:space="0" w:color="auto"/>
            <w:left w:val="none" w:sz="0" w:space="0" w:color="auto"/>
            <w:bottom w:val="none" w:sz="0" w:space="0" w:color="auto"/>
            <w:right w:val="none" w:sz="0" w:space="0" w:color="auto"/>
          </w:divBdr>
        </w:div>
        <w:div w:id="501898683">
          <w:marLeft w:val="0"/>
          <w:marRight w:val="0"/>
          <w:marTop w:val="0"/>
          <w:marBottom w:val="0"/>
          <w:divBdr>
            <w:top w:val="none" w:sz="0" w:space="0" w:color="auto"/>
            <w:left w:val="none" w:sz="0" w:space="0" w:color="auto"/>
            <w:bottom w:val="none" w:sz="0" w:space="0" w:color="auto"/>
            <w:right w:val="none" w:sz="0" w:space="0" w:color="auto"/>
          </w:divBdr>
        </w:div>
        <w:div w:id="86659642">
          <w:marLeft w:val="0"/>
          <w:marRight w:val="0"/>
          <w:marTop w:val="0"/>
          <w:marBottom w:val="0"/>
          <w:divBdr>
            <w:top w:val="none" w:sz="0" w:space="0" w:color="auto"/>
            <w:left w:val="none" w:sz="0" w:space="0" w:color="auto"/>
            <w:bottom w:val="none" w:sz="0" w:space="0" w:color="auto"/>
            <w:right w:val="none" w:sz="0" w:space="0" w:color="auto"/>
          </w:divBdr>
        </w:div>
        <w:div w:id="645478356">
          <w:marLeft w:val="0"/>
          <w:marRight w:val="0"/>
          <w:marTop w:val="0"/>
          <w:marBottom w:val="0"/>
          <w:divBdr>
            <w:top w:val="none" w:sz="0" w:space="0" w:color="auto"/>
            <w:left w:val="none" w:sz="0" w:space="0" w:color="auto"/>
            <w:bottom w:val="none" w:sz="0" w:space="0" w:color="auto"/>
            <w:right w:val="none" w:sz="0" w:space="0" w:color="auto"/>
          </w:divBdr>
        </w:div>
        <w:div w:id="1418399443">
          <w:marLeft w:val="0"/>
          <w:marRight w:val="0"/>
          <w:marTop w:val="0"/>
          <w:marBottom w:val="0"/>
          <w:divBdr>
            <w:top w:val="none" w:sz="0" w:space="0" w:color="auto"/>
            <w:left w:val="none" w:sz="0" w:space="0" w:color="auto"/>
            <w:bottom w:val="none" w:sz="0" w:space="0" w:color="auto"/>
            <w:right w:val="none" w:sz="0" w:space="0" w:color="auto"/>
          </w:divBdr>
        </w:div>
        <w:div w:id="1207062233">
          <w:marLeft w:val="0"/>
          <w:marRight w:val="0"/>
          <w:marTop w:val="0"/>
          <w:marBottom w:val="0"/>
          <w:divBdr>
            <w:top w:val="none" w:sz="0" w:space="0" w:color="auto"/>
            <w:left w:val="none" w:sz="0" w:space="0" w:color="auto"/>
            <w:bottom w:val="none" w:sz="0" w:space="0" w:color="auto"/>
            <w:right w:val="none" w:sz="0" w:space="0" w:color="auto"/>
          </w:divBdr>
        </w:div>
      </w:divsChild>
    </w:div>
    <w:div w:id="197746621">
      <w:bodyDiv w:val="1"/>
      <w:marLeft w:val="0"/>
      <w:marRight w:val="0"/>
      <w:marTop w:val="0"/>
      <w:marBottom w:val="0"/>
      <w:divBdr>
        <w:top w:val="none" w:sz="0" w:space="0" w:color="auto"/>
        <w:left w:val="none" w:sz="0" w:space="0" w:color="auto"/>
        <w:bottom w:val="none" w:sz="0" w:space="0" w:color="auto"/>
        <w:right w:val="none" w:sz="0" w:space="0" w:color="auto"/>
      </w:divBdr>
    </w:div>
    <w:div w:id="228662851">
      <w:bodyDiv w:val="1"/>
      <w:marLeft w:val="0"/>
      <w:marRight w:val="0"/>
      <w:marTop w:val="0"/>
      <w:marBottom w:val="0"/>
      <w:divBdr>
        <w:top w:val="none" w:sz="0" w:space="0" w:color="auto"/>
        <w:left w:val="none" w:sz="0" w:space="0" w:color="auto"/>
        <w:bottom w:val="none" w:sz="0" w:space="0" w:color="auto"/>
        <w:right w:val="none" w:sz="0" w:space="0" w:color="auto"/>
      </w:divBdr>
    </w:div>
    <w:div w:id="278487792">
      <w:bodyDiv w:val="1"/>
      <w:marLeft w:val="0"/>
      <w:marRight w:val="0"/>
      <w:marTop w:val="0"/>
      <w:marBottom w:val="0"/>
      <w:divBdr>
        <w:top w:val="none" w:sz="0" w:space="0" w:color="auto"/>
        <w:left w:val="none" w:sz="0" w:space="0" w:color="auto"/>
        <w:bottom w:val="none" w:sz="0" w:space="0" w:color="auto"/>
        <w:right w:val="none" w:sz="0" w:space="0" w:color="auto"/>
      </w:divBdr>
    </w:div>
    <w:div w:id="289751277">
      <w:bodyDiv w:val="1"/>
      <w:marLeft w:val="0"/>
      <w:marRight w:val="0"/>
      <w:marTop w:val="0"/>
      <w:marBottom w:val="0"/>
      <w:divBdr>
        <w:top w:val="none" w:sz="0" w:space="0" w:color="auto"/>
        <w:left w:val="none" w:sz="0" w:space="0" w:color="auto"/>
        <w:bottom w:val="none" w:sz="0" w:space="0" w:color="auto"/>
        <w:right w:val="none" w:sz="0" w:space="0" w:color="auto"/>
      </w:divBdr>
    </w:div>
    <w:div w:id="329674018">
      <w:bodyDiv w:val="1"/>
      <w:marLeft w:val="0"/>
      <w:marRight w:val="0"/>
      <w:marTop w:val="0"/>
      <w:marBottom w:val="0"/>
      <w:divBdr>
        <w:top w:val="none" w:sz="0" w:space="0" w:color="auto"/>
        <w:left w:val="none" w:sz="0" w:space="0" w:color="auto"/>
        <w:bottom w:val="none" w:sz="0" w:space="0" w:color="auto"/>
        <w:right w:val="none" w:sz="0" w:space="0" w:color="auto"/>
      </w:divBdr>
      <w:divsChild>
        <w:div w:id="449399949">
          <w:marLeft w:val="0"/>
          <w:marRight w:val="0"/>
          <w:marTop w:val="0"/>
          <w:marBottom w:val="0"/>
          <w:divBdr>
            <w:top w:val="none" w:sz="0" w:space="0" w:color="auto"/>
            <w:left w:val="none" w:sz="0" w:space="0" w:color="auto"/>
            <w:bottom w:val="none" w:sz="0" w:space="0" w:color="auto"/>
            <w:right w:val="none" w:sz="0" w:space="0" w:color="auto"/>
          </w:divBdr>
        </w:div>
        <w:div w:id="1554923812">
          <w:marLeft w:val="0"/>
          <w:marRight w:val="0"/>
          <w:marTop w:val="0"/>
          <w:marBottom w:val="0"/>
          <w:divBdr>
            <w:top w:val="none" w:sz="0" w:space="0" w:color="auto"/>
            <w:left w:val="none" w:sz="0" w:space="0" w:color="auto"/>
            <w:bottom w:val="none" w:sz="0" w:space="0" w:color="auto"/>
            <w:right w:val="none" w:sz="0" w:space="0" w:color="auto"/>
          </w:divBdr>
        </w:div>
        <w:div w:id="370233188">
          <w:marLeft w:val="0"/>
          <w:marRight w:val="0"/>
          <w:marTop w:val="0"/>
          <w:marBottom w:val="0"/>
          <w:divBdr>
            <w:top w:val="none" w:sz="0" w:space="0" w:color="auto"/>
            <w:left w:val="none" w:sz="0" w:space="0" w:color="auto"/>
            <w:bottom w:val="none" w:sz="0" w:space="0" w:color="auto"/>
            <w:right w:val="none" w:sz="0" w:space="0" w:color="auto"/>
          </w:divBdr>
        </w:div>
        <w:div w:id="1209491082">
          <w:marLeft w:val="0"/>
          <w:marRight w:val="0"/>
          <w:marTop w:val="0"/>
          <w:marBottom w:val="0"/>
          <w:divBdr>
            <w:top w:val="none" w:sz="0" w:space="0" w:color="auto"/>
            <w:left w:val="none" w:sz="0" w:space="0" w:color="auto"/>
            <w:bottom w:val="none" w:sz="0" w:space="0" w:color="auto"/>
            <w:right w:val="none" w:sz="0" w:space="0" w:color="auto"/>
          </w:divBdr>
        </w:div>
        <w:div w:id="85002107">
          <w:marLeft w:val="0"/>
          <w:marRight w:val="0"/>
          <w:marTop w:val="0"/>
          <w:marBottom w:val="0"/>
          <w:divBdr>
            <w:top w:val="none" w:sz="0" w:space="0" w:color="auto"/>
            <w:left w:val="none" w:sz="0" w:space="0" w:color="auto"/>
            <w:bottom w:val="none" w:sz="0" w:space="0" w:color="auto"/>
            <w:right w:val="none" w:sz="0" w:space="0" w:color="auto"/>
          </w:divBdr>
        </w:div>
        <w:div w:id="364450868">
          <w:marLeft w:val="0"/>
          <w:marRight w:val="0"/>
          <w:marTop w:val="0"/>
          <w:marBottom w:val="0"/>
          <w:divBdr>
            <w:top w:val="none" w:sz="0" w:space="0" w:color="auto"/>
            <w:left w:val="none" w:sz="0" w:space="0" w:color="auto"/>
            <w:bottom w:val="none" w:sz="0" w:space="0" w:color="auto"/>
            <w:right w:val="none" w:sz="0" w:space="0" w:color="auto"/>
          </w:divBdr>
        </w:div>
      </w:divsChild>
    </w:div>
    <w:div w:id="357465630">
      <w:bodyDiv w:val="1"/>
      <w:marLeft w:val="0"/>
      <w:marRight w:val="0"/>
      <w:marTop w:val="0"/>
      <w:marBottom w:val="0"/>
      <w:divBdr>
        <w:top w:val="none" w:sz="0" w:space="0" w:color="auto"/>
        <w:left w:val="none" w:sz="0" w:space="0" w:color="auto"/>
        <w:bottom w:val="none" w:sz="0" w:space="0" w:color="auto"/>
        <w:right w:val="none" w:sz="0" w:space="0" w:color="auto"/>
      </w:divBdr>
      <w:divsChild>
        <w:div w:id="354774691">
          <w:marLeft w:val="0"/>
          <w:marRight w:val="0"/>
          <w:marTop w:val="0"/>
          <w:marBottom w:val="0"/>
          <w:divBdr>
            <w:top w:val="none" w:sz="0" w:space="0" w:color="auto"/>
            <w:left w:val="none" w:sz="0" w:space="0" w:color="auto"/>
            <w:bottom w:val="none" w:sz="0" w:space="0" w:color="auto"/>
            <w:right w:val="none" w:sz="0" w:space="0" w:color="auto"/>
          </w:divBdr>
        </w:div>
        <w:div w:id="259028001">
          <w:marLeft w:val="0"/>
          <w:marRight w:val="0"/>
          <w:marTop w:val="0"/>
          <w:marBottom w:val="0"/>
          <w:divBdr>
            <w:top w:val="none" w:sz="0" w:space="0" w:color="auto"/>
            <w:left w:val="none" w:sz="0" w:space="0" w:color="auto"/>
            <w:bottom w:val="none" w:sz="0" w:space="0" w:color="auto"/>
            <w:right w:val="none" w:sz="0" w:space="0" w:color="auto"/>
          </w:divBdr>
        </w:div>
        <w:div w:id="864828914">
          <w:marLeft w:val="0"/>
          <w:marRight w:val="0"/>
          <w:marTop w:val="0"/>
          <w:marBottom w:val="0"/>
          <w:divBdr>
            <w:top w:val="none" w:sz="0" w:space="0" w:color="auto"/>
            <w:left w:val="none" w:sz="0" w:space="0" w:color="auto"/>
            <w:bottom w:val="none" w:sz="0" w:space="0" w:color="auto"/>
            <w:right w:val="none" w:sz="0" w:space="0" w:color="auto"/>
          </w:divBdr>
        </w:div>
        <w:div w:id="399135921">
          <w:marLeft w:val="0"/>
          <w:marRight w:val="0"/>
          <w:marTop w:val="0"/>
          <w:marBottom w:val="0"/>
          <w:divBdr>
            <w:top w:val="none" w:sz="0" w:space="0" w:color="auto"/>
            <w:left w:val="none" w:sz="0" w:space="0" w:color="auto"/>
            <w:bottom w:val="none" w:sz="0" w:space="0" w:color="auto"/>
            <w:right w:val="none" w:sz="0" w:space="0" w:color="auto"/>
          </w:divBdr>
        </w:div>
        <w:div w:id="1009210462">
          <w:marLeft w:val="0"/>
          <w:marRight w:val="0"/>
          <w:marTop w:val="0"/>
          <w:marBottom w:val="0"/>
          <w:divBdr>
            <w:top w:val="none" w:sz="0" w:space="0" w:color="auto"/>
            <w:left w:val="none" w:sz="0" w:space="0" w:color="auto"/>
            <w:bottom w:val="none" w:sz="0" w:space="0" w:color="auto"/>
            <w:right w:val="none" w:sz="0" w:space="0" w:color="auto"/>
          </w:divBdr>
        </w:div>
        <w:div w:id="829255005">
          <w:marLeft w:val="0"/>
          <w:marRight w:val="0"/>
          <w:marTop w:val="0"/>
          <w:marBottom w:val="0"/>
          <w:divBdr>
            <w:top w:val="none" w:sz="0" w:space="0" w:color="auto"/>
            <w:left w:val="none" w:sz="0" w:space="0" w:color="auto"/>
            <w:bottom w:val="none" w:sz="0" w:space="0" w:color="auto"/>
            <w:right w:val="none" w:sz="0" w:space="0" w:color="auto"/>
          </w:divBdr>
        </w:div>
        <w:div w:id="860315191">
          <w:marLeft w:val="0"/>
          <w:marRight w:val="0"/>
          <w:marTop w:val="0"/>
          <w:marBottom w:val="0"/>
          <w:divBdr>
            <w:top w:val="none" w:sz="0" w:space="0" w:color="auto"/>
            <w:left w:val="none" w:sz="0" w:space="0" w:color="auto"/>
            <w:bottom w:val="none" w:sz="0" w:space="0" w:color="auto"/>
            <w:right w:val="none" w:sz="0" w:space="0" w:color="auto"/>
          </w:divBdr>
        </w:div>
        <w:div w:id="4288165">
          <w:marLeft w:val="0"/>
          <w:marRight w:val="0"/>
          <w:marTop w:val="0"/>
          <w:marBottom w:val="0"/>
          <w:divBdr>
            <w:top w:val="none" w:sz="0" w:space="0" w:color="auto"/>
            <w:left w:val="none" w:sz="0" w:space="0" w:color="auto"/>
            <w:bottom w:val="none" w:sz="0" w:space="0" w:color="auto"/>
            <w:right w:val="none" w:sz="0" w:space="0" w:color="auto"/>
          </w:divBdr>
        </w:div>
        <w:div w:id="1587878348">
          <w:marLeft w:val="0"/>
          <w:marRight w:val="0"/>
          <w:marTop w:val="0"/>
          <w:marBottom w:val="0"/>
          <w:divBdr>
            <w:top w:val="none" w:sz="0" w:space="0" w:color="auto"/>
            <w:left w:val="none" w:sz="0" w:space="0" w:color="auto"/>
            <w:bottom w:val="none" w:sz="0" w:space="0" w:color="auto"/>
            <w:right w:val="none" w:sz="0" w:space="0" w:color="auto"/>
          </w:divBdr>
        </w:div>
        <w:div w:id="901256253">
          <w:marLeft w:val="0"/>
          <w:marRight w:val="0"/>
          <w:marTop w:val="0"/>
          <w:marBottom w:val="0"/>
          <w:divBdr>
            <w:top w:val="none" w:sz="0" w:space="0" w:color="auto"/>
            <w:left w:val="none" w:sz="0" w:space="0" w:color="auto"/>
            <w:bottom w:val="none" w:sz="0" w:space="0" w:color="auto"/>
            <w:right w:val="none" w:sz="0" w:space="0" w:color="auto"/>
          </w:divBdr>
        </w:div>
        <w:div w:id="2106606240">
          <w:marLeft w:val="0"/>
          <w:marRight w:val="0"/>
          <w:marTop w:val="0"/>
          <w:marBottom w:val="0"/>
          <w:divBdr>
            <w:top w:val="none" w:sz="0" w:space="0" w:color="auto"/>
            <w:left w:val="none" w:sz="0" w:space="0" w:color="auto"/>
            <w:bottom w:val="none" w:sz="0" w:space="0" w:color="auto"/>
            <w:right w:val="none" w:sz="0" w:space="0" w:color="auto"/>
          </w:divBdr>
        </w:div>
        <w:div w:id="174616811">
          <w:marLeft w:val="0"/>
          <w:marRight w:val="0"/>
          <w:marTop w:val="0"/>
          <w:marBottom w:val="0"/>
          <w:divBdr>
            <w:top w:val="none" w:sz="0" w:space="0" w:color="auto"/>
            <w:left w:val="none" w:sz="0" w:space="0" w:color="auto"/>
            <w:bottom w:val="none" w:sz="0" w:space="0" w:color="auto"/>
            <w:right w:val="none" w:sz="0" w:space="0" w:color="auto"/>
          </w:divBdr>
        </w:div>
        <w:div w:id="490828178">
          <w:marLeft w:val="0"/>
          <w:marRight w:val="0"/>
          <w:marTop w:val="0"/>
          <w:marBottom w:val="0"/>
          <w:divBdr>
            <w:top w:val="none" w:sz="0" w:space="0" w:color="auto"/>
            <w:left w:val="none" w:sz="0" w:space="0" w:color="auto"/>
            <w:bottom w:val="none" w:sz="0" w:space="0" w:color="auto"/>
            <w:right w:val="none" w:sz="0" w:space="0" w:color="auto"/>
          </w:divBdr>
        </w:div>
        <w:div w:id="658047198">
          <w:marLeft w:val="0"/>
          <w:marRight w:val="0"/>
          <w:marTop w:val="0"/>
          <w:marBottom w:val="0"/>
          <w:divBdr>
            <w:top w:val="none" w:sz="0" w:space="0" w:color="auto"/>
            <w:left w:val="none" w:sz="0" w:space="0" w:color="auto"/>
            <w:bottom w:val="none" w:sz="0" w:space="0" w:color="auto"/>
            <w:right w:val="none" w:sz="0" w:space="0" w:color="auto"/>
          </w:divBdr>
        </w:div>
        <w:div w:id="1602642727">
          <w:marLeft w:val="0"/>
          <w:marRight w:val="0"/>
          <w:marTop w:val="0"/>
          <w:marBottom w:val="0"/>
          <w:divBdr>
            <w:top w:val="none" w:sz="0" w:space="0" w:color="auto"/>
            <w:left w:val="none" w:sz="0" w:space="0" w:color="auto"/>
            <w:bottom w:val="none" w:sz="0" w:space="0" w:color="auto"/>
            <w:right w:val="none" w:sz="0" w:space="0" w:color="auto"/>
          </w:divBdr>
        </w:div>
        <w:div w:id="103772011">
          <w:marLeft w:val="0"/>
          <w:marRight w:val="0"/>
          <w:marTop w:val="0"/>
          <w:marBottom w:val="0"/>
          <w:divBdr>
            <w:top w:val="none" w:sz="0" w:space="0" w:color="auto"/>
            <w:left w:val="none" w:sz="0" w:space="0" w:color="auto"/>
            <w:bottom w:val="none" w:sz="0" w:space="0" w:color="auto"/>
            <w:right w:val="none" w:sz="0" w:space="0" w:color="auto"/>
          </w:divBdr>
        </w:div>
        <w:div w:id="2146001999">
          <w:marLeft w:val="0"/>
          <w:marRight w:val="0"/>
          <w:marTop w:val="0"/>
          <w:marBottom w:val="0"/>
          <w:divBdr>
            <w:top w:val="none" w:sz="0" w:space="0" w:color="auto"/>
            <w:left w:val="none" w:sz="0" w:space="0" w:color="auto"/>
            <w:bottom w:val="none" w:sz="0" w:space="0" w:color="auto"/>
            <w:right w:val="none" w:sz="0" w:space="0" w:color="auto"/>
          </w:divBdr>
        </w:div>
        <w:div w:id="1437824181">
          <w:marLeft w:val="0"/>
          <w:marRight w:val="0"/>
          <w:marTop w:val="0"/>
          <w:marBottom w:val="0"/>
          <w:divBdr>
            <w:top w:val="none" w:sz="0" w:space="0" w:color="auto"/>
            <w:left w:val="none" w:sz="0" w:space="0" w:color="auto"/>
            <w:bottom w:val="none" w:sz="0" w:space="0" w:color="auto"/>
            <w:right w:val="none" w:sz="0" w:space="0" w:color="auto"/>
          </w:divBdr>
        </w:div>
        <w:div w:id="2028751933">
          <w:marLeft w:val="0"/>
          <w:marRight w:val="0"/>
          <w:marTop w:val="0"/>
          <w:marBottom w:val="0"/>
          <w:divBdr>
            <w:top w:val="none" w:sz="0" w:space="0" w:color="auto"/>
            <w:left w:val="none" w:sz="0" w:space="0" w:color="auto"/>
            <w:bottom w:val="none" w:sz="0" w:space="0" w:color="auto"/>
            <w:right w:val="none" w:sz="0" w:space="0" w:color="auto"/>
          </w:divBdr>
        </w:div>
        <w:div w:id="1326662688">
          <w:marLeft w:val="0"/>
          <w:marRight w:val="0"/>
          <w:marTop w:val="0"/>
          <w:marBottom w:val="0"/>
          <w:divBdr>
            <w:top w:val="none" w:sz="0" w:space="0" w:color="auto"/>
            <w:left w:val="none" w:sz="0" w:space="0" w:color="auto"/>
            <w:bottom w:val="none" w:sz="0" w:space="0" w:color="auto"/>
            <w:right w:val="none" w:sz="0" w:space="0" w:color="auto"/>
          </w:divBdr>
        </w:div>
        <w:div w:id="265967027">
          <w:marLeft w:val="0"/>
          <w:marRight w:val="0"/>
          <w:marTop w:val="0"/>
          <w:marBottom w:val="0"/>
          <w:divBdr>
            <w:top w:val="none" w:sz="0" w:space="0" w:color="auto"/>
            <w:left w:val="none" w:sz="0" w:space="0" w:color="auto"/>
            <w:bottom w:val="none" w:sz="0" w:space="0" w:color="auto"/>
            <w:right w:val="none" w:sz="0" w:space="0" w:color="auto"/>
          </w:divBdr>
        </w:div>
        <w:div w:id="1690720463">
          <w:marLeft w:val="0"/>
          <w:marRight w:val="0"/>
          <w:marTop w:val="0"/>
          <w:marBottom w:val="0"/>
          <w:divBdr>
            <w:top w:val="none" w:sz="0" w:space="0" w:color="auto"/>
            <w:left w:val="none" w:sz="0" w:space="0" w:color="auto"/>
            <w:bottom w:val="none" w:sz="0" w:space="0" w:color="auto"/>
            <w:right w:val="none" w:sz="0" w:space="0" w:color="auto"/>
          </w:divBdr>
        </w:div>
        <w:div w:id="344554977">
          <w:marLeft w:val="0"/>
          <w:marRight w:val="0"/>
          <w:marTop w:val="0"/>
          <w:marBottom w:val="0"/>
          <w:divBdr>
            <w:top w:val="none" w:sz="0" w:space="0" w:color="auto"/>
            <w:left w:val="none" w:sz="0" w:space="0" w:color="auto"/>
            <w:bottom w:val="none" w:sz="0" w:space="0" w:color="auto"/>
            <w:right w:val="none" w:sz="0" w:space="0" w:color="auto"/>
          </w:divBdr>
        </w:div>
        <w:div w:id="1001155356">
          <w:marLeft w:val="0"/>
          <w:marRight w:val="0"/>
          <w:marTop w:val="0"/>
          <w:marBottom w:val="0"/>
          <w:divBdr>
            <w:top w:val="none" w:sz="0" w:space="0" w:color="auto"/>
            <w:left w:val="none" w:sz="0" w:space="0" w:color="auto"/>
            <w:bottom w:val="none" w:sz="0" w:space="0" w:color="auto"/>
            <w:right w:val="none" w:sz="0" w:space="0" w:color="auto"/>
          </w:divBdr>
        </w:div>
        <w:div w:id="708071063">
          <w:marLeft w:val="0"/>
          <w:marRight w:val="0"/>
          <w:marTop w:val="0"/>
          <w:marBottom w:val="0"/>
          <w:divBdr>
            <w:top w:val="none" w:sz="0" w:space="0" w:color="auto"/>
            <w:left w:val="none" w:sz="0" w:space="0" w:color="auto"/>
            <w:bottom w:val="none" w:sz="0" w:space="0" w:color="auto"/>
            <w:right w:val="none" w:sz="0" w:space="0" w:color="auto"/>
          </w:divBdr>
        </w:div>
      </w:divsChild>
    </w:div>
    <w:div w:id="425730520">
      <w:bodyDiv w:val="1"/>
      <w:marLeft w:val="0"/>
      <w:marRight w:val="0"/>
      <w:marTop w:val="0"/>
      <w:marBottom w:val="0"/>
      <w:divBdr>
        <w:top w:val="none" w:sz="0" w:space="0" w:color="auto"/>
        <w:left w:val="none" w:sz="0" w:space="0" w:color="auto"/>
        <w:bottom w:val="none" w:sz="0" w:space="0" w:color="auto"/>
        <w:right w:val="none" w:sz="0" w:space="0" w:color="auto"/>
      </w:divBdr>
    </w:div>
    <w:div w:id="476656013">
      <w:bodyDiv w:val="1"/>
      <w:marLeft w:val="0"/>
      <w:marRight w:val="0"/>
      <w:marTop w:val="0"/>
      <w:marBottom w:val="0"/>
      <w:divBdr>
        <w:top w:val="none" w:sz="0" w:space="0" w:color="auto"/>
        <w:left w:val="none" w:sz="0" w:space="0" w:color="auto"/>
        <w:bottom w:val="none" w:sz="0" w:space="0" w:color="auto"/>
        <w:right w:val="none" w:sz="0" w:space="0" w:color="auto"/>
      </w:divBdr>
      <w:divsChild>
        <w:div w:id="736712696">
          <w:marLeft w:val="0"/>
          <w:marRight w:val="0"/>
          <w:marTop w:val="0"/>
          <w:marBottom w:val="0"/>
          <w:divBdr>
            <w:top w:val="none" w:sz="0" w:space="0" w:color="auto"/>
            <w:left w:val="none" w:sz="0" w:space="0" w:color="auto"/>
            <w:bottom w:val="none" w:sz="0" w:space="0" w:color="auto"/>
            <w:right w:val="none" w:sz="0" w:space="0" w:color="auto"/>
          </w:divBdr>
        </w:div>
        <w:div w:id="1811052832">
          <w:marLeft w:val="0"/>
          <w:marRight w:val="0"/>
          <w:marTop w:val="0"/>
          <w:marBottom w:val="0"/>
          <w:divBdr>
            <w:top w:val="none" w:sz="0" w:space="0" w:color="auto"/>
            <w:left w:val="none" w:sz="0" w:space="0" w:color="auto"/>
            <w:bottom w:val="none" w:sz="0" w:space="0" w:color="auto"/>
            <w:right w:val="none" w:sz="0" w:space="0" w:color="auto"/>
          </w:divBdr>
        </w:div>
        <w:div w:id="2000889176">
          <w:marLeft w:val="0"/>
          <w:marRight w:val="0"/>
          <w:marTop w:val="0"/>
          <w:marBottom w:val="0"/>
          <w:divBdr>
            <w:top w:val="none" w:sz="0" w:space="0" w:color="auto"/>
            <w:left w:val="none" w:sz="0" w:space="0" w:color="auto"/>
            <w:bottom w:val="none" w:sz="0" w:space="0" w:color="auto"/>
            <w:right w:val="none" w:sz="0" w:space="0" w:color="auto"/>
          </w:divBdr>
        </w:div>
        <w:div w:id="1188372200">
          <w:marLeft w:val="0"/>
          <w:marRight w:val="0"/>
          <w:marTop w:val="0"/>
          <w:marBottom w:val="0"/>
          <w:divBdr>
            <w:top w:val="none" w:sz="0" w:space="0" w:color="auto"/>
            <w:left w:val="none" w:sz="0" w:space="0" w:color="auto"/>
            <w:bottom w:val="none" w:sz="0" w:space="0" w:color="auto"/>
            <w:right w:val="none" w:sz="0" w:space="0" w:color="auto"/>
          </w:divBdr>
        </w:div>
        <w:div w:id="1096748837">
          <w:marLeft w:val="0"/>
          <w:marRight w:val="0"/>
          <w:marTop w:val="0"/>
          <w:marBottom w:val="0"/>
          <w:divBdr>
            <w:top w:val="none" w:sz="0" w:space="0" w:color="auto"/>
            <w:left w:val="none" w:sz="0" w:space="0" w:color="auto"/>
            <w:bottom w:val="none" w:sz="0" w:space="0" w:color="auto"/>
            <w:right w:val="none" w:sz="0" w:space="0" w:color="auto"/>
          </w:divBdr>
        </w:div>
      </w:divsChild>
    </w:div>
    <w:div w:id="479229454">
      <w:bodyDiv w:val="1"/>
      <w:marLeft w:val="0"/>
      <w:marRight w:val="0"/>
      <w:marTop w:val="0"/>
      <w:marBottom w:val="0"/>
      <w:divBdr>
        <w:top w:val="none" w:sz="0" w:space="0" w:color="auto"/>
        <w:left w:val="none" w:sz="0" w:space="0" w:color="auto"/>
        <w:bottom w:val="none" w:sz="0" w:space="0" w:color="auto"/>
        <w:right w:val="none" w:sz="0" w:space="0" w:color="auto"/>
      </w:divBdr>
    </w:div>
    <w:div w:id="514659614">
      <w:bodyDiv w:val="1"/>
      <w:marLeft w:val="0"/>
      <w:marRight w:val="0"/>
      <w:marTop w:val="0"/>
      <w:marBottom w:val="0"/>
      <w:divBdr>
        <w:top w:val="none" w:sz="0" w:space="0" w:color="auto"/>
        <w:left w:val="none" w:sz="0" w:space="0" w:color="auto"/>
        <w:bottom w:val="none" w:sz="0" w:space="0" w:color="auto"/>
        <w:right w:val="none" w:sz="0" w:space="0" w:color="auto"/>
      </w:divBdr>
    </w:div>
    <w:div w:id="663514077">
      <w:bodyDiv w:val="1"/>
      <w:marLeft w:val="0"/>
      <w:marRight w:val="0"/>
      <w:marTop w:val="0"/>
      <w:marBottom w:val="0"/>
      <w:divBdr>
        <w:top w:val="none" w:sz="0" w:space="0" w:color="auto"/>
        <w:left w:val="none" w:sz="0" w:space="0" w:color="auto"/>
        <w:bottom w:val="none" w:sz="0" w:space="0" w:color="auto"/>
        <w:right w:val="none" w:sz="0" w:space="0" w:color="auto"/>
      </w:divBdr>
    </w:div>
    <w:div w:id="724061569">
      <w:bodyDiv w:val="1"/>
      <w:marLeft w:val="0"/>
      <w:marRight w:val="0"/>
      <w:marTop w:val="0"/>
      <w:marBottom w:val="0"/>
      <w:divBdr>
        <w:top w:val="none" w:sz="0" w:space="0" w:color="auto"/>
        <w:left w:val="none" w:sz="0" w:space="0" w:color="auto"/>
        <w:bottom w:val="none" w:sz="0" w:space="0" w:color="auto"/>
        <w:right w:val="none" w:sz="0" w:space="0" w:color="auto"/>
      </w:divBdr>
      <w:divsChild>
        <w:div w:id="752777320">
          <w:marLeft w:val="0"/>
          <w:marRight w:val="0"/>
          <w:marTop w:val="0"/>
          <w:marBottom w:val="0"/>
          <w:divBdr>
            <w:top w:val="none" w:sz="0" w:space="0" w:color="auto"/>
            <w:left w:val="none" w:sz="0" w:space="0" w:color="auto"/>
            <w:bottom w:val="none" w:sz="0" w:space="0" w:color="auto"/>
            <w:right w:val="none" w:sz="0" w:space="0" w:color="auto"/>
          </w:divBdr>
        </w:div>
        <w:div w:id="1630939950">
          <w:marLeft w:val="0"/>
          <w:marRight w:val="0"/>
          <w:marTop w:val="0"/>
          <w:marBottom w:val="0"/>
          <w:divBdr>
            <w:top w:val="none" w:sz="0" w:space="0" w:color="auto"/>
            <w:left w:val="none" w:sz="0" w:space="0" w:color="auto"/>
            <w:bottom w:val="none" w:sz="0" w:space="0" w:color="auto"/>
            <w:right w:val="none" w:sz="0" w:space="0" w:color="auto"/>
          </w:divBdr>
        </w:div>
        <w:div w:id="193621044">
          <w:marLeft w:val="0"/>
          <w:marRight w:val="0"/>
          <w:marTop w:val="0"/>
          <w:marBottom w:val="0"/>
          <w:divBdr>
            <w:top w:val="none" w:sz="0" w:space="0" w:color="auto"/>
            <w:left w:val="none" w:sz="0" w:space="0" w:color="auto"/>
            <w:bottom w:val="none" w:sz="0" w:space="0" w:color="auto"/>
            <w:right w:val="none" w:sz="0" w:space="0" w:color="auto"/>
          </w:divBdr>
        </w:div>
      </w:divsChild>
    </w:div>
    <w:div w:id="750588567">
      <w:bodyDiv w:val="1"/>
      <w:marLeft w:val="0"/>
      <w:marRight w:val="0"/>
      <w:marTop w:val="0"/>
      <w:marBottom w:val="0"/>
      <w:divBdr>
        <w:top w:val="none" w:sz="0" w:space="0" w:color="auto"/>
        <w:left w:val="none" w:sz="0" w:space="0" w:color="auto"/>
        <w:bottom w:val="none" w:sz="0" w:space="0" w:color="auto"/>
        <w:right w:val="none" w:sz="0" w:space="0" w:color="auto"/>
      </w:divBdr>
      <w:divsChild>
        <w:div w:id="1281187683">
          <w:marLeft w:val="0"/>
          <w:marRight w:val="0"/>
          <w:marTop w:val="0"/>
          <w:marBottom w:val="0"/>
          <w:divBdr>
            <w:top w:val="none" w:sz="0" w:space="0" w:color="auto"/>
            <w:left w:val="none" w:sz="0" w:space="0" w:color="auto"/>
            <w:bottom w:val="none" w:sz="0" w:space="0" w:color="auto"/>
            <w:right w:val="none" w:sz="0" w:space="0" w:color="auto"/>
          </w:divBdr>
        </w:div>
        <w:div w:id="47077590">
          <w:marLeft w:val="0"/>
          <w:marRight w:val="0"/>
          <w:marTop w:val="0"/>
          <w:marBottom w:val="0"/>
          <w:divBdr>
            <w:top w:val="none" w:sz="0" w:space="0" w:color="auto"/>
            <w:left w:val="none" w:sz="0" w:space="0" w:color="auto"/>
            <w:bottom w:val="none" w:sz="0" w:space="0" w:color="auto"/>
            <w:right w:val="none" w:sz="0" w:space="0" w:color="auto"/>
          </w:divBdr>
        </w:div>
      </w:divsChild>
    </w:div>
    <w:div w:id="753168281">
      <w:bodyDiv w:val="1"/>
      <w:marLeft w:val="0"/>
      <w:marRight w:val="0"/>
      <w:marTop w:val="0"/>
      <w:marBottom w:val="0"/>
      <w:divBdr>
        <w:top w:val="none" w:sz="0" w:space="0" w:color="auto"/>
        <w:left w:val="none" w:sz="0" w:space="0" w:color="auto"/>
        <w:bottom w:val="none" w:sz="0" w:space="0" w:color="auto"/>
        <w:right w:val="none" w:sz="0" w:space="0" w:color="auto"/>
      </w:divBdr>
    </w:div>
    <w:div w:id="789786568">
      <w:bodyDiv w:val="1"/>
      <w:marLeft w:val="0"/>
      <w:marRight w:val="0"/>
      <w:marTop w:val="0"/>
      <w:marBottom w:val="0"/>
      <w:divBdr>
        <w:top w:val="none" w:sz="0" w:space="0" w:color="auto"/>
        <w:left w:val="none" w:sz="0" w:space="0" w:color="auto"/>
        <w:bottom w:val="none" w:sz="0" w:space="0" w:color="auto"/>
        <w:right w:val="none" w:sz="0" w:space="0" w:color="auto"/>
      </w:divBdr>
    </w:div>
    <w:div w:id="866987178">
      <w:bodyDiv w:val="1"/>
      <w:marLeft w:val="0"/>
      <w:marRight w:val="0"/>
      <w:marTop w:val="0"/>
      <w:marBottom w:val="0"/>
      <w:divBdr>
        <w:top w:val="none" w:sz="0" w:space="0" w:color="auto"/>
        <w:left w:val="none" w:sz="0" w:space="0" w:color="auto"/>
        <w:bottom w:val="none" w:sz="0" w:space="0" w:color="auto"/>
        <w:right w:val="none" w:sz="0" w:space="0" w:color="auto"/>
      </w:divBdr>
    </w:div>
    <w:div w:id="934636384">
      <w:bodyDiv w:val="1"/>
      <w:marLeft w:val="0"/>
      <w:marRight w:val="0"/>
      <w:marTop w:val="0"/>
      <w:marBottom w:val="0"/>
      <w:divBdr>
        <w:top w:val="none" w:sz="0" w:space="0" w:color="auto"/>
        <w:left w:val="none" w:sz="0" w:space="0" w:color="auto"/>
        <w:bottom w:val="none" w:sz="0" w:space="0" w:color="auto"/>
        <w:right w:val="none" w:sz="0" w:space="0" w:color="auto"/>
      </w:divBdr>
      <w:divsChild>
        <w:div w:id="1309360557">
          <w:marLeft w:val="0"/>
          <w:marRight w:val="0"/>
          <w:marTop w:val="0"/>
          <w:marBottom w:val="0"/>
          <w:divBdr>
            <w:top w:val="none" w:sz="0" w:space="0" w:color="auto"/>
            <w:left w:val="none" w:sz="0" w:space="0" w:color="auto"/>
            <w:bottom w:val="none" w:sz="0" w:space="0" w:color="auto"/>
            <w:right w:val="none" w:sz="0" w:space="0" w:color="auto"/>
          </w:divBdr>
        </w:div>
        <w:div w:id="313073569">
          <w:marLeft w:val="0"/>
          <w:marRight w:val="0"/>
          <w:marTop w:val="0"/>
          <w:marBottom w:val="0"/>
          <w:divBdr>
            <w:top w:val="none" w:sz="0" w:space="0" w:color="auto"/>
            <w:left w:val="none" w:sz="0" w:space="0" w:color="auto"/>
            <w:bottom w:val="none" w:sz="0" w:space="0" w:color="auto"/>
            <w:right w:val="none" w:sz="0" w:space="0" w:color="auto"/>
          </w:divBdr>
        </w:div>
        <w:div w:id="2137136448">
          <w:marLeft w:val="0"/>
          <w:marRight w:val="0"/>
          <w:marTop w:val="0"/>
          <w:marBottom w:val="0"/>
          <w:divBdr>
            <w:top w:val="none" w:sz="0" w:space="0" w:color="auto"/>
            <w:left w:val="none" w:sz="0" w:space="0" w:color="auto"/>
            <w:bottom w:val="none" w:sz="0" w:space="0" w:color="auto"/>
            <w:right w:val="none" w:sz="0" w:space="0" w:color="auto"/>
          </w:divBdr>
        </w:div>
      </w:divsChild>
    </w:div>
    <w:div w:id="943729421">
      <w:bodyDiv w:val="1"/>
      <w:marLeft w:val="0"/>
      <w:marRight w:val="0"/>
      <w:marTop w:val="0"/>
      <w:marBottom w:val="0"/>
      <w:divBdr>
        <w:top w:val="none" w:sz="0" w:space="0" w:color="auto"/>
        <w:left w:val="none" w:sz="0" w:space="0" w:color="auto"/>
        <w:bottom w:val="none" w:sz="0" w:space="0" w:color="auto"/>
        <w:right w:val="none" w:sz="0" w:space="0" w:color="auto"/>
      </w:divBdr>
    </w:div>
    <w:div w:id="988752972">
      <w:bodyDiv w:val="1"/>
      <w:marLeft w:val="0"/>
      <w:marRight w:val="0"/>
      <w:marTop w:val="0"/>
      <w:marBottom w:val="0"/>
      <w:divBdr>
        <w:top w:val="none" w:sz="0" w:space="0" w:color="auto"/>
        <w:left w:val="none" w:sz="0" w:space="0" w:color="auto"/>
        <w:bottom w:val="none" w:sz="0" w:space="0" w:color="auto"/>
        <w:right w:val="none" w:sz="0" w:space="0" w:color="auto"/>
      </w:divBdr>
    </w:div>
    <w:div w:id="994527884">
      <w:bodyDiv w:val="1"/>
      <w:marLeft w:val="0"/>
      <w:marRight w:val="0"/>
      <w:marTop w:val="0"/>
      <w:marBottom w:val="0"/>
      <w:divBdr>
        <w:top w:val="none" w:sz="0" w:space="0" w:color="auto"/>
        <w:left w:val="none" w:sz="0" w:space="0" w:color="auto"/>
        <w:bottom w:val="none" w:sz="0" w:space="0" w:color="auto"/>
        <w:right w:val="none" w:sz="0" w:space="0" w:color="auto"/>
      </w:divBdr>
    </w:div>
    <w:div w:id="996962181">
      <w:bodyDiv w:val="1"/>
      <w:marLeft w:val="0"/>
      <w:marRight w:val="0"/>
      <w:marTop w:val="0"/>
      <w:marBottom w:val="0"/>
      <w:divBdr>
        <w:top w:val="none" w:sz="0" w:space="0" w:color="auto"/>
        <w:left w:val="none" w:sz="0" w:space="0" w:color="auto"/>
        <w:bottom w:val="none" w:sz="0" w:space="0" w:color="auto"/>
        <w:right w:val="none" w:sz="0" w:space="0" w:color="auto"/>
      </w:divBdr>
      <w:divsChild>
        <w:div w:id="1749645492">
          <w:marLeft w:val="0"/>
          <w:marRight w:val="0"/>
          <w:marTop w:val="0"/>
          <w:marBottom w:val="0"/>
          <w:divBdr>
            <w:top w:val="none" w:sz="0" w:space="0" w:color="auto"/>
            <w:left w:val="none" w:sz="0" w:space="0" w:color="auto"/>
            <w:bottom w:val="none" w:sz="0" w:space="0" w:color="auto"/>
            <w:right w:val="none" w:sz="0" w:space="0" w:color="auto"/>
          </w:divBdr>
        </w:div>
        <w:div w:id="800151314">
          <w:marLeft w:val="0"/>
          <w:marRight w:val="0"/>
          <w:marTop w:val="0"/>
          <w:marBottom w:val="0"/>
          <w:divBdr>
            <w:top w:val="none" w:sz="0" w:space="0" w:color="auto"/>
            <w:left w:val="none" w:sz="0" w:space="0" w:color="auto"/>
            <w:bottom w:val="none" w:sz="0" w:space="0" w:color="auto"/>
            <w:right w:val="none" w:sz="0" w:space="0" w:color="auto"/>
          </w:divBdr>
        </w:div>
        <w:div w:id="2010600050">
          <w:marLeft w:val="0"/>
          <w:marRight w:val="0"/>
          <w:marTop w:val="0"/>
          <w:marBottom w:val="0"/>
          <w:divBdr>
            <w:top w:val="none" w:sz="0" w:space="0" w:color="auto"/>
            <w:left w:val="none" w:sz="0" w:space="0" w:color="auto"/>
            <w:bottom w:val="none" w:sz="0" w:space="0" w:color="auto"/>
            <w:right w:val="none" w:sz="0" w:space="0" w:color="auto"/>
          </w:divBdr>
        </w:div>
        <w:div w:id="151527598">
          <w:marLeft w:val="0"/>
          <w:marRight w:val="0"/>
          <w:marTop w:val="0"/>
          <w:marBottom w:val="0"/>
          <w:divBdr>
            <w:top w:val="none" w:sz="0" w:space="0" w:color="auto"/>
            <w:left w:val="none" w:sz="0" w:space="0" w:color="auto"/>
            <w:bottom w:val="none" w:sz="0" w:space="0" w:color="auto"/>
            <w:right w:val="none" w:sz="0" w:space="0" w:color="auto"/>
          </w:divBdr>
        </w:div>
      </w:divsChild>
    </w:div>
    <w:div w:id="1045909658">
      <w:bodyDiv w:val="1"/>
      <w:marLeft w:val="0"/>
      <w:marRight w:val="0"/>
      <w:marTop w:val="0"/>
      <w:marBottom w:val="0"/>
      <w:divBdr>
        <w:top w:val="none" w:sz="0" w:space="0" w:color="auto"/>
        <w:left w:val="none" w:sz="0" w:space="0" w:color="auto"/>
        <w:bottom w:val="none" w:sz="0" w:space="0" w:color="auto"/>
        <w:right w:val="none" w:sz="0" w:space="0" w:color="auto"/>
      </w:divBdr>
    </w:div>
    <w:div w:id="1060328592">
      <w:bodyDiv w:val="1"/>
      <w:marLeft w:val="0"/>
      <w:marRight w:val="0"/>
      <w:marTop w:val="0"/>
      <w:marBottom w:val="0"/>
      <w:divBdr>
        <w:top w:val="none" w:sz="0" w:space="0" w:color="auto"/>
        <w:left w:val="none" w:sz="0" w:space="0" w:color="auto"/>
        <w:bottom w:val="none" w:sz="0" w:space="0" w:color="auto"/>
        <w:right w:val="none" w:sz="0" w:space="0" w:color="auto"/>
      </w:divBdr>
      <w:divsChild>
        <w:div w:id="900485289">
          <w:marLeft w:val="0"/>
          <w:marRight w:val="0"/>
          <w:marTop w:val="0"/>
          <w:marBottom w:val="0"/>
          <w:divBdr>
            <w:top w:val="none" w:sz="0" w:space="0" w:color="auto"/>
            <w:left w:val="none" w:sz="0" w:space="0" w:color="auto"/>
            <w:bottom w:val="none" w:sz="0" w:space="0" w:color="auto"/>
            <w:right w:val="none" w:sz="0" w:space="0" w:color="auto"/>
          </w:divBdr>
        </w:div>
        <w:div w:id="280695314">
          <w:marLeft w:val="0"/>
          <w:marRight w:val="0"/>
          <w:marTop w:val="0"/>
          <w:marBottom w:val="0"/>
          <w:divBdr>
            <w:top w:val="none" w:sz="0" w:space="0" w:color="auto"/>
            <w:left w:val="none" w:sz="0" w:space="0" w:color="auto"/>
            <w:bottom w:val="none" w:sz="0" w:space="0" w:color="auto"/>
            <w:right w:val="none" w:sz="0" w:space="0" w:color="auto"/>
          </w:divBdr>
        </w:div>
        <w:div w:id="1141457583">
          <w:marLeft w:val="0"/>
          <w:marRight w:val="0"/>
          <w:marTop w:val="0"/>
          <w:marBottom w:val="0"/>
          <w:divBdr>
            <w:top w:val="none" w:sz="0" w:space="0" w:color="auto"/>
            <w:left w:val="none" w:sz="0" w:space="0" w:color="auto"/>
            <w:bottom w:val="none" w:sz="0" w:space="0" w:color="auto"/>
            <w:right w:val="none" w:sz="0" w:space="0" w:color="auto"/>
          </w:divBdr>
        </w:div>
        <w:div w:id="1485900061">
          <w:marLeft w:val="0"/>
          <w:marRight w:val="0"/>
          <w:marTop w:val="0"/>
          <w:marBottom w:val="0"/>
          <w:divBdr>
            <w:top w:val="none" w:sz="0" w:space="0" w:color="auto"/>
            <w:left w:val="none" w:sz="0" w:space="0" w:color="auto"/>
            <w:bottom w:val="none" w:sz="0" w:space="0" w:color="auto"/>
            <w:right w:val="none" w:sz="0" w:space="0" w:color="auto"/>
          </w:divBdr>
        </w:div>
        <w:div w:id="648752906">
          <w:marLeft w:val="0"/>
          <w:marRight w:val="0"/>
          <w:marTop w:val="0"/>
          <w:marBottom w:val="0"/>
          <w:divBdr>
            <w:top w:val="none" w:sz="0" w:space="0" w:color="auto"/>
            <w:left w:val="none" w:sz="0" w:space="0" w:color="auto"/>
            <w:bottom w:val="none" w:sz="0" w:space="0" w:color="auto"/>
            <w:right w:val="none" w:sz="0" w:space="0" w:color="auto"/>
          </w:divBdr>
        </w:div>
        <w:div w:id="798383223">
          <w:marLeft w:val="0"/>
          <w:marRight w:val="0"/>
          <w:marTop w:val="0"/>
          <w:marBottom w:val="0"/>
          <w:divBdr>
            <w:top w:val="none" w:sz="0" w:space="0" w:color="auto"/>
            <w:left w:val="none" w:sz="0" w:space="0" w:color="auto"/>
            <w:bottom w:val="none" w:sz="0" w:space="0" w:color="auto"/>
            <w:right w:val="none" w:sz="0" w:space="0" w:color="auto"/>
          </w:divBdr>
        </w:div>
        <w:div w:id="1848786751">
          <w:marLeft w:val="0"/>
          <w:marRight w:val="0"/>
          <w:marTop w:val="0"/>
          <w:marBottom w:val="0"/>
          <w:divBdr>
            <w:top w:val="none" w:sz="0" w:space="0" w:color="auto"/>
            <w:left w:val="none" w:sz="0" w:space="0" w:color="auto"/>
            <w:bottom w:val="none" w:sz="0" w:space="0" w:color="auto"/>
            <w:right w:val="none" w:sz="0" w:space="0" w:color="auto"/>
          </w:divBdr>
        </w:div>
        <w:div w:id="1563448991">
          <w:marLeft w:val="0"/>
          <w:marRight w:val="0"/>
          <w:marTop w:val="0"/>
          <w:marBottom w:val="0"/>
          <w:divBdr>
            <w:top w:val="none" w:sz="0" w:space="0" w:color="auto"/>
            <w:left w:val="none" w:sz="0" w:space="0" w:color="auto"/>
            <w:bottom w:val="none" w:sz="0" w:space="0" w:color="auto"/>
            <w:right w:val="none" w:sz="0" w:space="0" w:color="auto"/>
          </w:divBdr>
        </w:div>
        <w:div w:id="658652389">
          <w:marLeft w:val="0"/>
          <w:marRight w:val="0"/>
          <w:marTop w:val="0"/>
          <w:marBottom w:val="0"/>
          <w:divBdr>
            <w:top w:val="none" w:sz="0" w:space="0" w:color="auto"/>
            <w:left w:val="none" w:sz="0" w:space="0" w:color="auto"/>
            <w:bottom w:val="none" w:sz="0" w:space="0" w:color="auto"/>
            <w:right w:val="none" w:sz="0" w:space="0" w:color="auto"/>
          </w:divBdr>
        </w:div>
        <w:div w:id="1026760828">
          <w:marLeft w:val="0"/>
          <w:marRight w:val="0"/>
          <w:marTop w:val="0"/>
          <w:marBottom w:val="0"/>
          <w:divBdr>
            <w:top w:val="none" w:sz="0" w:space="0" w:color="auto"/>
            <w:left w:val="none" w:sz="0" w:space="0" w:color="auto"/>
            <w:bottom w:val="none" w:sz="0" w:space="0" w:color="auto"/>
            <w:right w:val="none" w:sz="0" w:space="0" w:color="auto"/>
          </w:divBdr>
        </w:div>
      </w:divsChild>
    </w:div>
    <w:div w:id="1081760746">
      <w:bodyDiv w:val="1"/>
      <w:marLeft w:val="0"/>
      <w:marRight w:val="0"/>
      <w:marTop w:val="0"/>
      <w:marBottom w:val="0"/>
      <w:divBdr>
        <w:top w:val="none" w:sz="0" w:space="0" w:color="auto"/>
        <w:left w:val="none" w:sz="0" w:space="0" w:color="auto"/>
        <w:bottom w:val="none" w:sz="0" w:space="0" w:color="auto"/>
        <w:right w:val="none" w:sz="0" w:space="0" w:color="auto"/>
      </w:divBdr>
    </w:div>
    <w:div w:id="1114858923">
      <w:bodyDiv w:val="1"/>
      <w:marLeft w:val="0"/>
      <w:marRight w:val="0"/>
      <w:marTop w:val="0"/>
      <w:marBottom w:val="0"/>
      <w:divBdr>
        <w:top w:val="none" w:sz="0" w:space="0" w:color="auto"/>
        <w:left w:val="none" w:sz="0" w:space="0" w:color="auto"/>
        <w:bottom w:val="none" w:sz="0" w:space="0" w:color="auto"/>
        <w:right w:val="none" w:sz="0" w:space="0" w:color="auto"/>
      </w:divBdr>
    </w:div>
    <w:div w:id="1125654288">
      <w:bodyDiv w:val="1"/>
      <w:marLeft w:val="0"/>
      <w:marRight w:val="0"/>
      <w:marTop w:val="0"/>
      <w:marBottom w:val="0"/>
      <w:divBdr>
        <w:top w:val="none" w:sz="0" w:space="0" w:color="auto"/>
        <w:left w:val="none" w:sz="0" w:space="0" w:color="auto"/>
        <w:bottom w:val="none" w:sz="0" w:space="0" w:color="auto"/>
        <w:right w:val="none" w:sz="0" w:space="0" w:color="auto"/>
      </w:divBdr>
      <w:divsChild>
        <w:div w:id="651907780">
          <w:marLeft w:val="0"/>
          <w:marRight w:val="0"/>
          <w:marTop w:val="0"/>
          <w:marBottom w:val="0"/>
          <w:divBdr>
            <w:top w:val="none" w:sz="0" w:space="0" w:color="auto"/>
            <w:left w:val="none" w:sz="0" w:space="0" w:color="auto"/>
            <w:bottom w:val="none" w:sz="0" w:space="0" w:color="auto"/>
            <w:right w:val="none" w:sz="0" w:space="0" w:color="auto"/>
          </w:divBdr>
        </w:div>
        <w:div w:id="1337995809">
          <w:marLeft w:val="0"/>
          <w:marRight w:val="0"/>
          <w:marTop w:val="0"/>
          <w:marBottom w:val="0"/>
          <w:divBdr>
            <w:top w:val="none" w:sz="0" w:space="0" w:color="auto"/>
            <w:left w:val="none" w:sz="0" w:space="0" w:color="auto"/>
            <w:bottom w:val="none" w:sz="0" w:space="0" w:color="auto"/>
            <w:right w:val="none" w:sz="0" w:space="0" w:color="auto"/>
          </w:divBdr>
        </w:div>
        <w:div w:id="613946761">
          <w:marLeft w:val="0"/>
          <w:marRight w:val="0"/>
          <w:marTop w:val="0"/>
          <w:marBottom w:val="0"/>
          <w:divBdr>
            <w:top w:val="none" w:sz="0" w:space="0" w:color="auto"/>
            <w:left w:val="none" w:sz="0" w:space="0" w:color="auto"/>
            <w:bottom w:val="none" w:sz="0" w:space="0" w:color="auto"/>
            <w:right w:val="none" w:sz="0" w:space="0" w:color="auto"/>
          </w:divBdr>
        </w:div>
      </w:divsChild>
    </w:div>
    <w:div w:id="1157722523">
      <w:bodyDiv w:val="1"/>
      <w:marLeft w:val="0"/>
      <w:marRight w:val="0"/>
      <w:marTop w:val="0"/>
      <w:marBottom w:val="0"/>
      <w:divBdr>
        <w:top w:val="none" w:sz="0" w:space="0" w:color="auto"/>
        <w:left w:val="none" w:sz="0" w:space="0" w:color="auto"/>
        <w:bottom w:val="none" w:sz="0" w:space="0" w:color="auto"/>
        <w:right w:val="none" w:sz="0" w:space="0" w:color="auto"/>
      </w:divBdr>
    </w:div>
    <w:div w:id="1193613122">
      <w:bodyDiv w:val="1"/>
      <w:marLeft w:val="0"/>
      <w:marRight w:val="0"/>
      <w:marTop w:val="0"/>
      <w:marBottom w:val="0"/>
      <w:divBdr>
        <w:top w:val="none" w:sz="0" w:space="0" w:color="auto"/>
        <w:left w:val="none" w:sz="0" w:space="0" w:color="auto"/>
        <w:bottom w:val="none" w:sz="0" w:space="0" w:color="auto"/>
        <w:right w:val="none" w:sz="0" w:space="0" w:color="auto"/>
      </w:divBdr>
    </w:div>
    <w:div w:id="1194153990">
      <w:bodyDiv w:val="1"/>
      <w:marLeft w:val="0"/>
      <w:marRight w:val="0"/>
      <w:marTop w:val="0"/>
      <w:marBottom w:val="0"/>
      <w:divBdr>
        <w:top w:val="none" w:sz="0" w:space="0" w:color="auto"/>
        <w:left w:val="none" w:sz="0" w:space="0" w:color="auto"/>
        <w:bottom w:val="none" w:sz="0" w:space="0" w:color="auto"/>
        <w:right w:val="none" w:sz="0" w:space="0" w:color="auto"/>
      </w:divBdr>
    </w:div>
    <w:div w:id="1196774126">
      <w:bodyDiv w:val="1"/>
      <w:marLeft w:val="0"/>
      <w:marRight w:val="0"/>
      <w:marTop w:val="0"/>
      <w:marBottom w:val="0"/>
      <w:divBdr>
        <w:top w:val="none" w:sz="0" w:space="0" w:color="auto"/>
        <w:left w:val="none" w:sz="0" w:space="0" w:color="auto"/>
        <w:bottom w:val="none" w:sz="0" w:space="0" w:color="auto"/>
        <w:right w:val="none" w:sz="0" w:space="0" w:color="auto"/>
      </w:divBdr>
    </w:div>
    <w:div w:id="1235627167">
      <w:bodyDiv w:val="1"/>
      <w:marLeft w:val="0"/>
      <w:marRight w:val="0"/>
      <w:marTop w:val="0"/>
      <w:marBottom w:val="0"/>
      <w:divBdr>
        <w:top w:val="none" w:sz="0" w:space="0" w:color="auto"/>
        <w:left w:val="none" w:sz="0" w:space="0" w:color="auto"/>
        <w:bottom w:val="none" w:sz="0" w:space="0" w:color="auto"/>
        <w:right w:val="none" w:sz="0" w:space="0" w:color="auto"/>
      </w:divBdr>
    </w:div>
    <w:div w:id="1283078158">
      <w:bodyDiv w:val="1"/>
      <w:marLeft w:val="0"/>
      <w:marRight w:val="0"/>
      <w:marTop w:val="0"/>
      <w:marBottom w:val="0"/>
      <w:divBdr>
        <w:top w:val="none" w:sz="0" w:space="0" w:color="auto"/>
        <w:left w:val="none" w:sz="0" w:space="0" w:color="auto"/>
        <w:bottom w:val="none" w:sz="0" w:space="0" w:color="auto"/>
        <w:right w:val="none" w:sz="0" w:space="0" w:color="auto"/>
      </w:divBdr>
      <w:divsChild>
        <w:div w:id="764110578">
          <w:marLeft w:val="0"/>
          <w:marRight w:val="0"/>
          <w:marTop w:val="0"/>
          <w:marBottom w:val="0"/>
          <w:divBdr>
            <w:top w:val="none" w:sz="0" w:space="0" w:color="auto"/>
            <w:left w:val="none" w:sz="0" w:space="0" w:color="auto"/>
            <w:bottom w:val="none" w:sz="0" w:space="0" w:color="auto"/>
            <w:right w:val="none" w:sz="0" w:space="0" w:color="auto"/>
          </w:divBdr>
        </w:div>
        <w:div w:id="2125299116">
          <w:marLeft w:val="0"/>
          <w:marRight w:val="0"/>
          <w:marTop w:val="0"/>
          <w:marBottom w:val="0"/>
          <w:divBdr>
            <w:top w:val="none" w:sz="0" w:space="0" w:color="auto"/>
            <w:left w:val="none" w:sz="0" w:space="0" w:color="auto"/>
            <w:bottom w:val="none" w:sz="0" w:space="0" w:color="auto"/>
            <w:right w:val="none" w:sz="0" w:space="0" w:color="auto"/>
          </w:divBdr>
        </w:div>
      </w:divsChild>
    </w:div>
    <w:div w:id="1340086843">
      <w:bodyDiv w:val="1"/>
      <w:marLeft w:val="0"/>
      <w:marRight w:val="0"/>
      <w:marTop w:val="0"/>
      <w:marBottom w:val="0"/>
      <w:divBdr>
        <w:top w:val="none" w:sz="0" w:space="0" w:color="auto"/>
        <w:left w:val="none" w:sz="0" w:space="0" w:color="auto"/>
        <w:bottom w:val="none" w:sz="0" w:space="0" w:color="auto"/>
        <w:right w:val="none" w:sz="0" w:space="0" w:color="auto"/>
      </w:divBdr>
      <w:divsChild>
        <w:div w:id="985360839">
          <w:marLeft w:val="0"/>
          <w:marRight w:val="0"/>
          <w:marTop w:val="0"/>
          <w:marBottom w:val="0"/>
          <w:divBdr>
            <w:top w:val="none" w:sz="0" w:space="0" w:color="auto"/>
            <w:left w:val="none" w:sz="0" w:space="0" w:color="auto"/>
            <w:bottom w:val="none" w:sz="0" w:space="0" w:color="auto"/>
            <w:right w:val="none" w:sz="0" w:space="0" w:color="auto"/>
          </w:divBdr>
        </w:div>
        <w:div w:id="630328622">
          <w:marLeft w:val="0"/>
          <w:marRight w:val="0"/>
          <w:marTop w:val="0"/>
          <w:marBottom w:val="0"/>
          <w:divBdr>
            <w:top w:val="none" w:sz="0" w:space="0" w:color="auto"/>
            <w:left w:val="none" w:sz="0" w:space="0" w:color="auto"/>
            <w:bottom w:val="none" w:sz="0" w:space="0" w:color="auto"/>
            <w:right w:val="none" w:sz="0" w:space="0" w:color="auto"/>
          </w:divBdr>
        </w:div>
        <w:div w:id="675691134">
          <w:marLeft w:val="0"/>
          <w:marRight w:val="0"/>
          <w:marTop w:val="0"/>
          <w:marBottom w:val="0"/>
          <w:divBdr>
            <w:top w:val="none" w:sz="0" w:space="0" w:color="auto"/>
            <w:left w:val="none" w:sz="0" w:space="0" w:color="auto"/>
            <w:bottom w:val="none" w:sz="0" w:space="0" w:color="auto"/>
            <w:right w:val="none" w:sz="0" w:space="0" w:color="auto"/>
          </w:divBdr>
        </w:div>
        <w:div w:id="486018034">
          <w:marLeft w:val="0"/>
          <w:marRight w:val="0"/>
          <w:marTop w:val="0"/>
          <w:marBottom w:val="0"/>
          <w:divBdr>
            <w:top w:val="none" w:sz="0" w:space="0" w:color="auto"/>
            <w:left w:val="none" w:sz="0" w:space="0" w:color="auto"/>
            <w:bottom w:val="none" w:sz="0" w:space="0" w:color="auto"/>
            <w:right w:val="none" w:sz="0" w:space="0" w:color="auto"/>
          </w:divBdr>
        </w:div>
        <w:div w:id="1465804859">
          <w:marLeft w:val="0"/>
          <w:marRight w:val="0"/>
          <w:marTop w:val="0"/>
          <w:marBottom w:val="0"/>
          <w:divBdr>
            <w:top w:val="none" w:sz="0" w:space="0" w:color="auto"/>
            <w:left w:val="none" w:sz="0" w:space="0" w:color="auto"/>
            <w:bottom w:val="none" w:sz="0" w:space="0" w:color="auto"/>
            <w:right w:val="none" w:sz="0" w:space="0" w:color="auto"/>
          </w:divBdr>
        </w:div>
      </w:divsChild>
    </w:div>
    <w:div w:id="1416975947">
      <w:bodyDiv w:val="1"/>
      <w:marLeft w:val="0"/>
      <w:marRight w:val="0"/>
      <w:marTop w:val="0"/>
      <w:marBottom w:val="0"/>
      <w:divBdr>
        <w:top w:val="none" w:sz="0" w:space="0" w:color="auto"/>
        <w:left w:val="none" w:sz="0" w:space="0" w:color="auto"/>
        <w:bottom w:val="none" w:sz="0" w:space="0" w:color="auto"/>
        <w:right w:val="none" w:sz="0" w:space="0" w:color="auto"/>
      </w:divBdr>
    </w:div>
    <w:div w:id="1495294429">
      <w:bodyDiv w:val="1"/>
      <w:marLeft w:val="0"/>
      <w:marRight w:val="0"/>
      <w:marTop w:val="0"/>
      <w:marBottom w:val="0"/>
      <w:divBdr>
        <w:top w:val="none" w:sz="0" w:space="0" w:color="auto"/>
        <w:left w:val="none" w:sz="0" w:space="0" w:color="auto"/>
        <w:bottom w:val="none" w:sz="0" w:space="0" w:color="auto"/>
        <w:right w:val="none" w:sz="0" w:space="0" w:color="auto"/>
      </w:divBdr>
    </w:div>
    <w:div w:id="1500194346">
      <w:bodyDiv w:val="1"/>
      <w:marLeft w:val="0"/>
      <w:marRight w:val="0"/>
      <w:marTop w:val="0"/>
      <w:marBottom w:val="0"/>
      <w:divBdr>
        <w:top w:val="none" w:sz="0" w:space="0" w:color="auto"/>
        <w:left w:val="none" w:sz="0" w:space="0" w:color="auto"/>
        <w:bottom w:val="none" w:sz="0" w:space="0" w:color="auto"/>
        <w:right w:val="none" w:sz="0" w:space="0" w:color="auto"/>
      </w:divBdr>
      <w:divsChild>
        <w:div w:id="1808931735">
          <w:marLeft w:val="0"/>
          <w:marRight w:val="0"/>
          <w:marTop w:val="0"/>
          <w:marBottom w:val="0"/>
          <w:divBdr>
            <w:top w:val="none" w:sz="0" w:space="0" w:color="auto"/>
            <w:left w:val="none" w:sz="0" w:space="0" w:color="auto"/>
            <w:bottom w:val="none" w:sz="0" w:space="0" w:color="auto"/>
            <w:right w:val="none" w:sz="0" w:space="0" w:color="auto"/>
          </w:divBdr>
        </w:div>
        <w:div w:id="2103181504">
          <w:marLeft w:val="0"/>
          <w:marRight w:val="0"/>
          <w:marTop w:val="0"/>
          <w:marBottom w:val="0"/>
          <w:divBdr>
            <w:top w:val="none" w:sz="0" w:space="0" w:color="auto"/>
            <w:left w:val="none" w:sz="0" w:space="0" w:color="auto"/>
            <w:bottom w:val="none" w:sz="0" w:space="0" w:color="auto"/>
            <w:right w:val="none" w:sz="0" w:space="0" w:color="auto"/>
          </w:divBdr>
        </w:div>
      </w:divsChild>
    </w:div>
    <w:div w:id="1575043977">
      <w:bodyDiv w:val="1"/>
      <w:marLeft w:val="0"/>
      <w:marRight w:val="0"/>
      <w:marTop w:val="0"/>
      <w:marBottom w:val="0"/>
      <w:divBdr>
        <w:top w:val="none" w:sz="0" w:space="0" w:color="auto"/>
        <w:left w:val="none" w:sz="0" w:space="0" w:color="auto"/>
        <w:bottom w:val="none" w:sz="0" w:space="0" w:color="auto"/>
        <w:right w:val="none" w:sz="0" w:space="0" w:color="auto"/>
      </w:divBdr>
    </w:div>
    <w:div w:id="1644777242">
      <w:bodyDiv w:val="1"/>
      <w:marLeft w:val="0"/>
      <w:marRight w:val="0"/>
      <w:marTop w:val="0"/>
      <w:marBottom w:val="0"/>
      <w:divBdr>
        <w:top w:val="none" w:sz="0" w:space="0" w:color="auto"/>
        <w:left w:val="none" w:sz="0" w:space="0" w:color="auto"/>
        <w:bottom w:val="none" w:sz="0" w:space="0" w:color="auto"/>
        <w:right w:val="none" w:sz="0" w:space="0" w:color="auto"/>
      </w:divBdr>
    </w:div>
    <w:div w:id="1703899818">
      <w:bodyDiv w:val="1"/>
      <w:marLeft w:val="0"/>
      <w:marRight w:val="0"/>
      <w:marTop w:val="0"/>
      <w:marBottom w:val="0"/>
      <w:divBdr>
        <w:top w:val="none" w:sz="0" w:space="0" w:color="auto"/>
        <w:left w:val="none" w:sz="0" w:space="0" w:color="auto"/>
        <w:bottom w:val="none" w:sz="0" w:space="0" w:color="auto"/>
        <w:right w:val="none" w:sz="0" w:space="0" w:color="auto"/>
      </w:divBdr>
      <w:divsChild>
        <w:div w:id="2054772416">
          <w:marLeft w:val="0"/>
          <w:marRight w:val="0"/>
          <w:marTop w:val="0"/>
          <w:marBottom w:val="0"/>
          <w:divBdr>
            <w:top w:val="none" w:sz="0" w:space="0" w:color="auto"/>
            <w:left w:val="none" w:sz="0" w:space="0" w:color="auto"/>
            <w:bottom w:val="none" w:sz="0" w:space="0" w:color="auto"/>
            <w:right w:val="none" w:sz="0" w:space="0" w:color="auto"/>
          </w:divBdr>
        </w:div>
        <w:div w:id="749887442">
          <w:marLeft w:val="0"/>
          <w:marRight w:val="0"/>
          <w:marTop w:val="0"/>
          <w:marBottom w:val="0"/>
          <w:divBdr>
            <w:top w:val="none" w:sz="0" w:space="0" w:color="auto"/>
            <w:left w:val="none" w:sz="0" w:space="0" w:color="auto"/>
            <w:bottom w:val="none" w:sz="0" w:space="0" w:color="auto"/>
            <w:right w:val="none" w:sz="0" w:space="0" w:color="auto"/>
          </w:divBdr>
        </w:div>
        <w:div w:id="685667792">
          <w:marLeft w:val="0"/>
          <w:marRight w:val="0"/>
          <w:marTop w:val="0"/>
          <w:marBottom w:val="0"/>
          <w:divBdr>
            <w:top w:val="none" w:sz="0" w:space="0" w:color="auto"/>
            <w:left w:val="none" w:sz="0" w:space="0" w:color="auto"/>
            <w:bottom w:val="none" w:sz="0" w:space="0" w:color="auto"/>
            <w:right w:val="none" w:sz="0" w:space="0" w:color="auto"/>
          </w:divBdr>
        </w:div>
        <w:div w:id="1736927395">
          <w:marLeft w:val="0"/>
          <w:marRight w:val="0"/>
          <w:marTop w:val="0"/>
          <w:marBottom w:val="0"/>
          <w:divBdr>
            <w:top w:val="none" w:sz="0" w:space="0" w:color="auto"/>
            <w:left w:val="none" w:sz="0" w:space="0" w:color="auto"/>
            <w:bottom w:val="none" w:sz="0" w:space="0" w:color="auto"/>
            <w:right w:val="none" w:sz="0" w:space="0" w:color="auto"/>
          </w:divBdr>
        </w:div>
        <w:div w:id="1637681301">
          <w:marLeft w:val="0"/>
          <w:marRight w:val="0"/>
          <w:marTop w:val="0"/>
          <w:marBottom w:val="0"/>
          <w:divBdr>
            <w:top w:val="none" w:sz="0" w:space="0" w:color="auto"/>
            <w:left w:val="none" w:sz="0" w:space="0" w:color="auto"/>
            <w:bottom w:val="none" w:sz="0" w:space="0" w:color="auto"/>
            <w:right w:val="none" w:sz="0" w:space="0" w:color="auto"/>
          </w:divBdr>
        </w:div>
        <w:div w:id="1286082002">
          <w:marLeft w:val="0"/>
          <w:marRight w:val="0"/>
          <w:marTop w:val="0"/>
          <w:marBottom w:val="0"/>
          <w:divBdr>
            <w:top w:val="none" w:sz="0" w:space="0" w:color="auto"/>
            <w:left w:val="none" w:sz="0" w:space="0" w:color="auto"/>
            <w:bottom w:val="none" w:sz="0" w:space="0" w:color="auto"/>
            <w:right w:val="none" w:sz="0" w:space="0" w:color="auto"/>
          </w:divBdr>
        </w:div>
        <w:div w:id="921261623">
          <w:marLeft w:val="0"/>
          <w:marRight w:val="0"/>
          <w:marTop w:val="0"/>
          <w:marBottom w:val="0"/>
          <w:divBdr>
            <w:top w:val="none" w:sz="0" w:space="0" w:color="auto"/>
            <w:left w:val="none" w:sz="0" w:space="0" w:color="auto"/>
            <w:bottom w:val="none" w:sz="0" w:space="0" w:color="auto"/>
            <w:right w:val="none" w:sz="0" w:space="0" w:color="auto"/>
          </w:divBdr>
        </w:div>
        <w:div w:id="241794709">
          <w:marLeft w:val="0"/>
          <w:marRight w:val="0"/>
          <w:marTop w:val="0"/>
          <w:marBottom w:val="0"/>
          <w:divBdr>
            <w:top w:val="none" w:sz="0" w:space="0" w:color="auto"/>
            <w:left w:val="none" w:sz="0" w:space="0" w:color="auto"/>
            <w:bottom w:val="none" w:sz="0" w:space="0" w:color="auto"/>
            <w:right w:val="none" w:sz="0" w:space="0" w:color="auto"/>
          </w:divBdr>
        </w:div>
        <w:div w:id="1199316227">
          <w:marLeft w:val="0"/>
          <w:marRight w:val="0"/>
          <w:marTop w:val="0"/>
          <w:marBottom w:val="0"/>
          <w:divBdr>
            <w:top w:val="none" w:sz="0" w:space="0" w:color="auto"/>
            <w:left w:val="none" w:sz="0" w:space="0" w:color="auto"/>
            <w:bottom w:val="none" w:sz="0" w:space="0" w:color="auto"/>
            <w:right w:val="none" w:sz="0" w:space="0" w:color="auto"/>
          </w:divBdr>
        </w:div>
        <w:div w:id="515653078">
          <w:marLeft w:val="0"/>
          <w:marRight w:val="0"/>
          <w:marTop w:val="0"/>
          <w:marBottom w:val="0"/>
          <w:divBdr>
            <w:top w:val="none" w:sz="0" w:space="0" w:color="auto"/>
            <w:left w:val="none" w:sz="0" w:space="0" w:color="auto"/>
            <w:bottom w:val="none" w:sz="0" w:space="0" w:color="auto"/>
            <w:right w:val="none" w:sz="0" w:space="0" w:color="auto"/>
          </w:divBdr>
        </w:div>
      </w:divsChild>
    </w:div>
    <w:div w:id="1720397269">
      <w:bodyDiv w:val="1"/>
      <w:marLeft w:val="0"/>
      <w:marRight w:val="0"/>
      <w:marTop w:val="0"/>
      <w:marBottom w:val="0"/>
      <w:divBdr>
        <w:top w:val="none" w:sz="0" w:space="0" w:color="auto"/>
        <w:left w:val="none" w:sz="0" w:space="0" w:color="auto"/>
        <w:bottom w:val="none" w:sz="0" w:space="0" w:color="auto"/>
        <w:right w:val="none" w:sz="0" w:space="0" w:color="auto"/>
      </w:divBdr>
      <w:divsChild>
        <w:div w:id="891379409">
          <w:marLeft w:val="0"/>
          <w:marRight w:val="0"/>
          <w:marTop w:val="0"/>
          <w:marBottom w:val="0"/>
          <w:divBdr>
            <w:top w:val="none" w:sz="0" w:space="0" w:color="auto"/>
            <w:left w:val="none" w:sz="0" w:space="0" w:color="auto"/>
            <w:bottom w:val="none" w:sz="0" w:space="0" w:color="auto"/>
            <w:right w:val="none" w:sz="0" w:space="0" w:color="auto"/>
          </w:divBdr>
        </w:div>
        <w:div w:id="668338350">
          <w:marLeft w:val="0"/>
          <w:marRight w:val="0"/>
          <w:marTop w:val="0"/>
          <w:marBottom w:val="0"/>
          <w:divBdr>
            <w:top w:val="none" w:sz="0" w:space="0" w:color="auto"/>
            <w:left w:val="none" w:sz="0" w:space="0" w:color="auto"/>
            <w:bottom w:val="none" w:sz="0" w:space="0" w:color="auto"/>
            <w:right w:val="none" w:sz="0" w:space="0" w:color="auto"/>
          </w:divBdr>
        </w:div>
        <w:div w:id="356389666">
          <w:marLeft w:val="0"/>
          <w:marRight w:val="0"/>
          <w:marTop w:val="0"/>
          <w:marBottom w:val="0"/>
          <w:divBdr>
            <w:top w:val="none" w:sz="0" w:space="0" w:color="auto"/>
            <w:left w:val="none" w:sz="0" w:space="0" w:color="auto"/>
            <w:bottom w:val="none" w:sz="0" w:space="0" w:color="auto"/>
            <w:right w:val="none" w:sz="0" w:space="0" w:color="auto"/>
          </w:divBdr>
        </w:div>
        <w:div w:id="222640550">
          <w:marLeft w:val="0"/>
          <w:marRight w:val="0"/>
          <w:marTop w:val="0"/>
          <w:marBottom w:val="0"/>
          <w:divBdr>
            <w:top w:val="none" w:sz="0" w:space="0" w:color="auto"/>
            <w:left w:val="none" w:sz="0" w:space="0" w:color="auto"/>
            <w:bottom w:val="none" w:sz="0" w:space="0" w:color="auto"/>
            <w:right w:val="none" w:sz="0" w:space="0" w:color="auto"/>
          </w:divBdr>
        </w:div>
        <w:div w:id="573393006">
          <w:marLeft w:val="0"/>
          <w:marRight w:val="0"/>
          <w:marTop w:val="0"/>
          <w:marBottom w:val="0"/>
          <w:divBdr>
            <w:top w:val="none" w:sz="0" w:space="0" w:color="auto"/>
            <w:left w:val="none" w:sz="0" w:space="0" w:color="auto"/>
            <w:bottom w:val="none" w:sz="0" w:space="0" w:color="auto"/>
            <w:right w:val="none" w:sz="0" w:space="0" w:color="auto"/>
          </w:divBdr>
        </w:div>
        <w:div w:id="834883309">
          <w:marLeft w:val="0"/>
          <w:marRight w:val="0"/>
          <w:marTop w:val="0"/>
          <w:marBottom w:val="0"/>
          <w:divBdr>
            <w:top w:val="none" w:sz="0" w:space="0" w:color="auto"/>
            <w:left w:val="none" w:sz="0" w:space="0" w:color="auto"/>
            <w:bottom w:val="none" w:sz="0" w:space="0" w:color="auto"/>
            <w:right w:val="none" w:sz="0" w:space="0" w:color="auto"/>
          </w:divBdr>
        </w:div>
        <w:div w:id="135071081">
          <w:marLeft w:val="0"/>
          <w:marRight w:val="0"/>
          <w:marTop w:val="0"/>
          <w:marBottom w:val="0"/>
          <w:divBdr>
            <w:top w:val="none" w:sz="0" w:space="0" w:color="auto"/>
            <w:left w:val="none" w:sz="0" w:space="0" w:color="auto"/>
            <w:bottom w:val="none" w:sz="0" w:space="0" w:color="auto"/>
            <w:right w:val="none" w:sz="0" w:space="0" w:color="auto"/>
          </w:divBdr>
        </w:div>
        <w:div w:id="637686923">
          <w:marLeft w:val="0"/>
          <w:marRight w:val="0"/>
          <w:marTop w:val="0"/>
          <w:marBottom w:val="0"/>
          <w:divBdr>
            <w:top w:val="none" w:sz="0" w:space="0" w:color="auto"/>
            <w:left w:val="none" w:sz="0" w:space="0" w:color="auto"/>
            <w:bottom w:val="none" w:sz="0" w:space="0" w:color="auto"/>
            <w:right w:val="none" w:sz="0" w:space="0" w:color="auto"/>
          </w:divBdr>
        </w:div>
      </w:divsChild>
    </w:div>
    <w:div w:id="1762143022">
      <w:bodyDiv w:val="1"/>
      <w:marLeft w:val="0"/>
      <w:marRight w:val="0"/>
      <w:marTop w:val="0"/>
      <w:marBottom w:val="0"/>
      <w:divBdr>
        <w:top w:val="none" w:sz="0" w:space="0" w:color="auto"/>
        <w:left w:val="none" w:sz="0" w:space="0" w:color="auto"/>
        <w:bottom w:val="none" w:sz="0" w:space="0" w:color="auto"/>
        <w:right w:val="none" w:sz="0" w:space="0" w:color="auto"/>
      </w:divBdr>
    </w:div>
    <w:div w:id="1783105372">
      <w:bodyDiv w:val="1"/>
      <w:marLeft w:val="0"/>
      <w:marRight w:val="0"/>
      <w:marTop w:val="0"/>
      <w:marBottom w:val="0"/>
      <w:divBdr>
        <w:top w:val="none" w:sz="0" w:space="0" w:color="auto"/>
        <w:left w:val="none" w:sz="0" w:space="0" w:color="auto"/>
        <w:bottom w:val="none" w:sz="0" w:space="0" w:color="auto"/>
        <w:right w:val="none" w:sz="0" w:space="0" w:color="auto"/>
      </w:divBdr>
    </w:div>
    <w:div w:id="1798839582">
      <w:bodyDiv w:val="1"/>
      <w:marLeft w:val="0"/>
      <w:marRight w:val="0"/>
      <w:marTop w:val="0"/>
      <w:marBottom w:val="0"/>
      <w:divBdr>
        <w:top w:val="none" w:sz="0" w:space="0" w:color="auto"/>
        <w:left w:val="none" w:sz="0" w:space="0" w:color="auto"/>
        <w:bottom w:val="none" w:sz="0" w:space="0" w:color="auto"/>
        <w:right w:val="none" w:sz="0" w:space="0" w:color="auto"/>
      </w:divBdr>
    </w:div>
    <w:div w:id="1979798319">
      <w:bodyDiv w:val="1"/>
      <w:marLeft w:val="0"/>
      <w:marRight w:val="0"/>
      <w:marTop w:val="0"/>
      <w:marBottom w:val="0"/>
      <w:divBdr>
        <w:top w:val="none" w:sz="0" w:space="0" w:color="auto"/>
        <w:left w:val="none" w:sz="0" w:space="0" w:color="auto"/>
        <w:bottom w:val="none" w:sz="0" w:space="0" w:color="auto"/>
        <w:right w:val="none" w:sz="0" w:space="0" w:color="auto"/>
      </w:divBdr>
    </w:div>
    <w:div w:id="2003386114">
      <w:bodyDiv w:val="1"/>
      <w:marLeft w:val="0"/>
      <w:marRight w:val="0"/>
      <w:marTop w:val="0"/>
      <w:marBottom w:val="0"/>
      <w:divBdr>
        <w:top w:val="none" w:sz="0" w:space="0" w:color="auto"/>
        <w:left w:val="none" w:sz="0" w:space="0" w:color="auto"/>
        <w:bottom w:val="none" w:sz="0" w:space="0" w:color="auto"/>
        <w:right w:val="none" w:sz="0" w:space="0" w:color="auto"/>
      </w:divBdr>
      <w:divsChild>
        <w:div w:id="2070495586">
          <w:marLeft w:val="0"/>
          <w:marRight w:val="0"/>
          <w:marTop w:val="0"/>
          <w:marBottom w:val="0"/>
          <w:divBdr>
            <w:top w:val="none" w:sz="0" w:space="0" w:color="auto"/>
            <w:left w:val="none" w:sz="0" w:space="0" w:color="auto"/>
            <w:bottom w:val="none" w:sz="0" w:space="0" w:color="auto"/>
            <w:right w:val="none" w:sz="0" w:space="0" w:color="auto"/>
          </w:divBdr>
        </w:div>
        <w:div w:id="1928269727">
          <w:marLeft w:val="0"/>
          <w:marRight w:val="0"/>
          <w:marTop w:val="0"/>
          <w:marBottom w:val="0"/>
          <w:divBdr>
            <w:top w:val="none" w:sz="0" w:space="0" w:color="auto"/>
            <w:left w:val="none" w:sz="0" w:space="0" w:color="auto"/>
            <w:bottom w:val="none" w:sz="0" w:space="0" w:color="auto"/>
            <w:right w:val="none" w:sz="0" w:space="0" w:color="auto"/>
          </w:divBdr>
        </w:div>
        <w:div w:id="1699086553">
          <w:marLeft w:val="0"/>
          <w:marRight w:val="0"/>
          <w:marTop w:val="0"/>
          <w:marBottom w:val="0"/>
          <w:divBdr>
            <w:top w:val="none" w:sz="0" w:space="0" w:color="auto"/>
            <w:left w:val="none" w:sz="0" w:space="0" w:color="auto"/>
            <w:bottom w:val="none" w:sz="0" w:space="0" w:color="auto"/>
            <w:right w:val="none" w:sz="0" w:space="0" w:color="auto"/>
          </w:divBdr>
        </w:div>
        <w:div w:id="142355595">
          <w:marLeft w:val="0"/>
          <w:marRight w:val="0"/>
          <w:marTop w:val="0"/>
          <w:marBottom w:val="0"/>
          <w:divBdr>
            <w:top w:val="none" w:sz="0" w:space="0" w:color="auto"/>
            <w:left w:val="none" w:sz="0" w:space="0" w:color="auto"/>
            <w:bottom w:val="none" w:sz="0" w:space="0" w:color="auto"/>
            <w:right w:val="none" w:sz="0" w:space="0" w:color="auto"/>
          </w:divBdr>
        </w:div>
        <w:div w:id="1582254188">
          <w:marLeft w:val="0"/>
          <w:marRight w:val="0"/>
          <w:marTop w:val="0"/>
          <w:marBottom w:val="0"/>
          <w:divBdr>
            <w:top w:val="none" w:sz="0" w:space="0" w:color="auto"/>
            <w:left w:val="none" w:sz="0" w:space="0" w:color="auto"/>
            <w:bottom w:val="none" w:sz="0" w:space="0" w:color="auto"/>
            <w:right w:val="none" w:sz="0" w:space="0" w:color="auto"/>
          </w:divBdr>
        </w:div>
      </w:divsChild>
    </w:div>
    <w:div w:id="2081171254">
      <w:bodyDiv w:val="1"/>
      <w:marLeft w:val="0"/>
      <w:marRight w:val="0"/>
      <w:marTop w:val="0"/>
      <w:marBottom w:val="0"/>
      <w:divBdr>
        <w:top w:val="none" w:sz="0" w:space="0" w:color="auto"/>
        <w:left w:val="none" w:sz="0" w:space="0" w:color="auto"/>
        <w:bottom w:val="none" w:sz="0" w:space="0" w:color="auto"/>
        <w:right w:val="none" w:sz="0" w:space="0" w:color="auto"/>
      </w:divBdr>
      <w:divsChild>
        <w:div w:id="1472139569">
          <w:marLeft w:val="0"/>
          <w:marRight w:val="0"/>
          <w:marTop w:val="0"/>
          <w:marBottom w:val="0"/>
          <w:divBdr>
            <w:top w:val="none" w:sz="0" w:space="0" w:color="auto"/>
            <w:left w:val="none" w:sz="0" w:space="0" w:color="auto"/>
            <w:bottom w:val="none" w:sz="0" w:space="0" w:color="auto"/>
            <w:right w:val="none" w:sz="0" w:space="0" w:color="auto"/>
          </w:divBdr>
        </w:div>
        <w:div w:id="238636594">
          <w:marLeft w:val="0"/>
          <w:marRight w:val="0"/>
          <w:marTop w:val="0"/>
          <w:marBottom w:val="0"/>
          <w:divBdr>
            <w:top w:val="none" w:sz="0" w:space="0" w:color="auto"/>
            <w:left w:val="none" w:sz="0" w:space="0" w:color="auto"/>
            <w:bottom w:val="none" w:sz="0" w:space="0" w:color="auto"/>
            <w:right w:val="none" w:sz="0" w:space="0" w:color="auto"/>
          </w:divBdr>
        </w:div>
        <w:div w:id="1833792206">
          <w:marLeft w:val="0"/>
          <w:marRight w:val="0"/>
          <w:marTop w:val="0"/>
          <w:marBottom w:val="0"/>
          <w:divBdr>
            <w:top w:val="none" w:sz="0" w:space="0" w:color="auto"/>
            <w:left w:val="none" w:sz="0" w:space="0" w:color="auto"/>
            <w:bottom w:val="none" w:sz="0" w:space="0" w:color="auto"/>
            <w:right w:val="none" w:sz="0" w:space="0" w:color="auto"/>
          </w:divBdr>
        </w:div>
        <w:div w:id="1982031976">
          <w:marLeft w:val="0"/>
          <w:marRight w:val="0"/>
          <w:marTop w:val="0"/>
          <w:marBottom w:val="0"/>
          <w:divBdr>
            <w:top w:val="none" w:sz="0" w:space="0" w:color="auto"/>
            <w:left w:val="none" w:sz="0" w:space="0" w:color="auto"/>
            <w:bottom w:val="none" w:sz="0" w:space="0" w:color="auto"/>
            <w:right w:val="none" w:sz="0" w:space="0" w:color="auto"/>
          </w:divBdr>
        </w:div>
        <w:div w:id="1914316494">
          <w:marLeft w:val="0"/>
          <w:marRight w:val="0"/>
          <w:marTop w:val="0"/>
          <w:marBottom w:val="0"/>
          <w:divBdr>
            <w:top w:val="none" w:sz="0" w:space="0" w:color="auto"/>
            <w:left w:val="none" w:sz="0" w:space="0" w:color="auto"/>
            <w:bottom w:val="none" w:sz="0" w:space="0" w:color="auto"/>
            <w:right w:val="none" w:sz="0" w:space="0" w:color="auto"/>
          </w:divBdr>
        </w:div>
        <w:div w:id="1231423221">
          <w:marLeft w:val="0"/>
          <w:marRight w:val="0"/>
          <w:marTop w:val="0"/>
          <w:marBottom w:val="0"/>
          <w:divBdr>
            <w:top w:val="none" w:sz="0" w:space="0" w:color="auto"/>
            <w:left w:val="none" w:sz="0" w:space="0" w:color="auto"/>
            <w:bottom w:val="none" w:sz="0" w:space="0" w:color="auto"/>
            <w:right w:val="none" w:sz="0" w:space="0" w:color="auto"/>
          </w:divBdr>
        </w:div>
        <w:div w:id="1704092099">
          <w:marLeft w:val="0"/>
          <w:marRight w:val="0"/>
          <w:marTop w:val="0"/>
          <w:marBottom w:val="0"/>
          <w:divBdr>
            <w:top w:val="none" w:sz="0" w:space="0" w:color="auto"/>
            <w:left w:val="none" w:sz="0" w:space="0" w:color="auto"/>
            <w:bottom w:val="none" w:sz="0" w:space="0" w:color="auto"/>
            <w:right w:val="none" w:sz="0" w:space="0" w:color="auto"/>
          </w:divBdr>
        </w:div>
        <w:div w:id="438716535">
          <w:marLeft w:val="0"/>
          <w:marRight w:val="0"/>
          <w:marTop w:val="0"/>
          <w:marBottom w:val="0"/>
          <w:divBdr>
            <w:top w:val="none" w:sz="0" w:space="0" w:color="auto"/>
            <w:left w:val="none" w:sz="0" w:space="0" w:color="auto"/>
            <w:bottom w:val="none" w:sz="0" w:space="0" w:color="auto"/>
            <w:right w:val="none" w:sz="0" w:space="0" w:color="auto"/>
          </w:divBdr>
        </w:div>
        <w:div w:id="453447715">
          <w:marLeft w:val="0"/>
          <w:marRight w:val="0"/>
          <w:marTop w:val="0"/>
          <w:marBottom w:val="0"/>
          <w:divBdr>
            <w:top w:val="none" w:sz="0" w:space="0" w:color="auto"/>
            <w:left w:val="none" w:sz="0" w:space="0" w:color="auto"/>
            <w:bottom w:val="none" w:sz="0" w:space="0" w:color="auto"/>
            <w:right w:val="none" w:sz="0" w:space="0" w:color="auto"/>
          </w:divBdr>
        </w:div>
        <w:div w:id="275330161">
          <w:marLeft w:val="0"/>
          <w:marRight w:val="0"/>
          <w:marTop w:val="0"/>
          <w:marBottom w:val="0"/>
          <w:divBdr>
            <w:top w:val="none" w:sz="0" w:space="0" w:color="auto"/>
            <w:left w:val="none" w:sz="0" w:space="0" w:color="auto"/>
            <w:bottom w:val="none" w:sz="0" w:space="0" w:color="auto"/>
            <w:right w:val="none" w:sz="0" w:space="0" w:color="auto"/>
          </w:divBdr>
        </w:div>
        <w:div w:id="1494835776">
          <w:marLeft w:val="0"/>
          <w:marRight w:val="0"/>
          <w:marTop w:val="0"/>
          <w:marBottom w:val="0"/>
          <w:divBdr>
            <w:top w:val="none" w:sz="0" w:space="0" w:color="auto"/>
            <w:left w:val="none" w:sz="0" w:space="0" w:color="auto"/>
            <w:bottom w:val="none" w:sz="0" w:space="0" w:color="auto"/>
            <w:right w:val="none" w:sz="0" w:space="0" w:color="auto"/>
          </w:divBdr>
        </w:div>
        <w:div w:id="1756169003">
          <w:marLeft w:val="0"/>
          <w:marRight w:val="0"/>
          <w:marTop w:val="0"/>
          <w:marBottom w:val="0"/>
          <w:divBdr>
            <w:top w:val="none" w:sz="0" w:space="0" w:color="auto"/>
            <w:left w:val="none" w:sz="0" w:space="0" w:color="auto"/>
            <w:bottom w:val="none" w:sz="0" w:space="0" w:color="auto"/>
            <w:right w:val="none" w:sz="0" w:space="0" w:color="auto"/>
          </w:divBdr>
        </w:div>
        <w:div w:id="68385284">
          <w:marLeft w:val="0"/>
          <w:marRight w:val="0"/>
          <w:marTop w:val="0"/>
          <w:marBottom w:val="0"/>
          <w:divBdr>
            <w:top w:val="none" w:sz="0" w:space="0" w:color="auto"/>
            <w:left w:val="none" w:sz="0" w:space="0" w:color="auto"/>
            <w:bottom w:val="none" w:sz="0" w:space="0" w:color="auto"/>
            <w:right w:val="none" w:sz="0" w:space="0" w:color="auto"/>
          </w:divBdr>
        </w:div>
        <w:div w:id="512184080">
          <w:marLeft w:val="0"/>
          <w:marRight w:val="0"/>
          <w:marTop w:val="0"/>
          <w:marBottom w:val="0"/>
          <w:divBdr>
            <w:top w:val="none" w:sz="0" w:space="0" w:color="auto"/>
            <w:left w:val="none" w:sz="0" w:space="0" w:color="auto"/>
            <w:bottom w:val="none" w:sz="0" w:space="0" w:color="auto"/>
            <w:right w:val="none" w:sz="0" w:space="0" w:color="auto"/>
          </w:divBdr>
        </w:div>
        <w:div w:id="1084689427">
          <w:marLeft w:val="0"/>
          <w:marRight w:val="0"/>
          <w:marTop w:val="0"/>
          <w:marBottom w:val="0"/>
          <w:divBdr>
            <w:top w:val="none" w:sz="0" w:space="0" w:color="auto"/>
            <w:left w:val="none" w:sz="0" w:space="0" w:color="auto"/>
            <w:bottom w:val="none" w:sz="0" w:space="0" w:color="auto"/>
            <w:right w:val="none" w:sz="0" w:space="0" w:color="auto"/>
          </w:divBdr>
        </w:div>
        <w:div w:id="1292204872">
          <w:marLeft w:val="0"/>
          <w:marRight w:val="0"/>
          <w:marTop w:val="0"/>
          <w:marBottom w:val="0"/>
          <w:divBdr>
            <w:top w:val="none" w:sz="0" w:space="0" w:color="auto"/>
            <w:left w:val="none" w:sz="0" w:space="0" w:color="auto"/>
            <w:bottom w:val="none" w:sz="0" w:space="0" w:color="auto"/>
            <w:right w:val="none" w:sz="0" w:space="0" w:color="auto"/>
          </w:divBdr>
        </w:div>
        <w:div w:id="942030803">
          <w:marLeft w:val="0"/>
          <w:marRight w:val="0"/>
          <w:marTop w:val="0"/>
          <w:marBottom w:val="0"/>
          <w:divBdr>
            <w:top w:val="none" w:sz="0" w:space="0" w:color="auto"/>
            <w:left w:val="none" w:sz="0" w:space="0" w:color="auto"/>
            <w:bottom w:val="none" w:sz="0" w:space="0" w:color="auto"/>
            <w:right w:val="none" w:sz="0" w:space="0" w:color="auto"/>
          </w:divBdr>
        </w:div>
        <w:div w:id="572665316">
          <w:marLeft w:val="0"/>
          <w:marRight w:val="0"/>
          <w:marTop w:val="0"/>
          <w:marBottom w:val="0"/>
          <w:divBdr>
            <w:top w:val="none" w:sz="0" w:space="0" w:color="auto"/>
            <w:left w:val="none" w:sz="0" w:space="0" w:color="auto"/>
            <w:bottom w:val="none" w:sz="0" w:space="0" w:color="auto"/>
            <w:right w:val="none" w:sz="0" w:space="0" w:color="auto"/>
          </w:divBdr>
        </w:div>
        <w:div w:id="127214275">
          <w:marLeft w:val="0"/>
          <w:marRight w:val="0"/>
          <w:marTop w:val="0"/>
          <w:marBottom w:val="0"/>
          <w:divBdr>
            <w:top w:val="none" w:sz="0" w:space="0" w:color="auto"/>
            <w:left w:val="none" w:sz="0" w:space="0" w:color="auto"/>
            <w:bottom w:val="none" w:sz="0" w:space="0" w:color="auto"/>
            <w:right w:val="none" w:sz="0" w:space="0" w:color="auto"/>
          </w:divBdr>
        </w:div>
        <w:div w:id="607781858">
          <w:marLeft w:val="0"/>
          <w:marRight w:val="0"/>
          <w:marTop w:val="0"/>
          <w:marBottom w:val="0"/>
          <w:divBdr>
            <w:top w:val="none" w:sz="0" w:space="0" w:color="auto"/>
            <w:left w:val="none" w:sz="0" w:space="0" w:color="auto"/>
            <w:bottom w:val="none" w:sz="0" w:space="0" w:color="auto"/>
            <w:right w:val="none" w:sz="0" w:space="0" w:color="auto"/>
          </w:divBdr>
        </w:div>
        <w:div w:id="265423805">
          <w:marLeft w:val="0"/>
          <w:marRight w:val="0"/>
          <w:marTop w:val="0"/>
          <w:marBottom w:val="0"/>
          <w:divBdr>
            <w:top w:val="none" w:sz="0" w:space="0" w:color="auto"/>
            <w:left w:val="none" w:sz="0" w:space="0" w:color="auto"/>
            <w:bottom w:val="none" w:sz="0" w:space="0" w:color="auto"/>
            <w:right w:val="none" w:sz="0" w:space="0" w:color="auto"/>
          </w:divBdr>
        </w:div>
        <w:div w:id="1633711687">
          <w:marLeft w:val="0"/>
          <w:marRight w:val="0"/>
          <w:marTop w:val="0"/>
          <w:marBottom w:val="0"/>
          <w:divBdr>
            <w:top w:val="none" w:sz="0" w:space="0" w:color="auto"/>
            <w:left w:val="none" w:sz="0" w:space="0" w:color="auto"/>
            <w:bottom w:val="none" w:sz="0" w:space="0" w:color="auto"/>
            <w:right w:val="none" w:sz="0" w:space="0" w:color="auto"/>
          </w:divBdr>
        </w:div>
        <w:div w:id="584269000">
          <w:marLeft w:val="0"/>
          <w:marRight w:val="0"/>
          <w:marTop w:val="0"/>
          <w:marBottom w:val="0"/>
          <w:divBdr>
            <w:top w:val="none" w:sz="0" w:space="0" w:color="auto"/>
            <w:left w:val="none" w:sz="0" w:space="0" w:color="auto"/>
            <w:bottom w:val="none" w:sz="0" w:space="0" w:color="auto"/>
            <w:right w:val="none" w:sz="0" w:space="0" w:color="auto"/>
          </w:divBdr>
        </w:div>
        <w:div w:id="1857190892">
          <w:marLeft w:val="0"/>
          <w:marRight w:val="0"/>
          <w:marTop w:val="0"/>
          <w:marBottom w:val="0"/>
          <w:divBdr>
            <w:top w:val="none" w:sz="0" w:space="0" w:color="auto"/>
            <w:left w:val="none" w:sz="0" w:space="0" w:color="auto"/>
            <w:bottom w:val="none" w:sz="0" w:space="0" w:color="auto"/>
            <w:right w:val="none" w:sz="0" w:space="0" w:color="auto"/>
          </w:divBdr>
        </w:div>
        <w:div w:id="696470093">
          <w:marLeft w:val="0"/>
          <w:marRight w:val="0"/>
          <w:marTop w:val="0"/>
          <w:marBottom w:val="0"/>
          <w:divBdr>
            <w:top w:val="none" w:sz="0" w:space="0" w:color="auto"/>
            <w:left w:val="none" w:sz="0" w:space="0" w:color="auto"/>
            <w:bottom w:val="none" w:sz="0" w:space="0" w:color="auto"/>
            <w:right w:val="none" w:sz="0" w:space="0" w:color="auto"/>
          </w:divBdr>
        </w:div>
        <w:div w:id="371274557">
          <w:marLeft w:val="0"/>
          <w:marRight w:val="0"/>
          <w:marTop w:val="0"/>
          <w:marBottom w:val="0"/>
          <w:divBdr>
            <w:top w:val="none" w:sz="0" w:space="0" w:color="auto"/>
            <w:left w:val="none" w:sz="0" w:space="0" w:color="auto"/>
            <w:bottom w:val="none" w:sz="0" w:space="0" w:color="auto"/>
            <w:right w:val="none" w:sz="0" w:space="0" w:color="auto"/>
          </w:divBdr>
        </w:div>
        <w:div w:id="1181357858">
          <w:marLeft w:val="0"/>
          <w:marRight w:val="0"/>
          <w:marTop w:val="0"/>
          <w:marBottom w:val="0"/>
          <w:divBdr>
            <w:top w:val="none" w:sz="0" w:space="0" w:color="auto"/>
            <w:left w:val="none" w:sz="0" w:space="0" w:color="auto"/>
            <w:bottom w:val="none" w:sz="0" w:space="0" w:color="auto"/>
            <w:right w:val="none" w:sz="0" w:space="0" w:color="auto"/>
          </w:divBdr>
        </w:div>
        <w:div w:id="1922913383">
          <w:marLeft w:val="0"/>
          <w:marRight w:val="0"/>
          <w:marTop w:val="0"/>
          <w:marBottom w:val="0"/>
          <w:divBdr>
            <w:top w:val="none" w:sz="0" w:space="0" w:color="auto"/>
            <w:left w:val="none" w:sz="0" w:space="0" w:color="auto"/>
            <w:bottom w:val="none" w:sz="0" w:space="0" w:color="auto"/>
            <w:right w:val="none" w:sz="0" w:space="0" w:color="auto"/>
          </w:divBdr>
        </w:div>
        <w:div w:id="381029104">
          <w:marLeft w:val="0"/>
          <w:marRight w:val="0"/>
          <w:marTop w:val="0"/>
          <w:marBottom w:val="0"/>
          <w:divBdr>
            <w:top w:val="none" w:sz="0" w:space="0" w:color="auto"/>
            <w:left w:val="none" w:sz="0" w:space="0" w:color="auto"/>
            <w:bottom w:val="none" w:sz="0" w:space="0" w:color="auto"/>
            <w:right w:val="none" w:sz="0" w:space="0" w:color="auto"/>
          </w:divBdr>
        </w:div>
        <w:div w:id="582646505">
          <w:marLeft w:val="0"/>
          <w:marRight w:val="0"/>
          <w:marTop w:val="0"/>
          <w:marBottom w:val="0"/>
          <w:divBdr>
            <w:top w:val="none" w:sz="0" w:space="0" w:color="auto"/>
            <w:left w:val="none" w:sz="0" w:space="0" w:color="auto"/>
            <w:bottom w:val="none" w:sz="0" w:space="0" w:color="auto"/>
            <w:right w:val="none" w:sz="0" w:space="0" w:color="auto"/>
          </w:divBdr>
        </w:div>
        <w:div w:id="1488746575">
          <w:marLeft w:val="0"/>
          <w:marRight w:val="0"/>
          <w:marTop w:val="0"/>
          <w:marBottom w:val="0"/>
          <w:divBdr>
            <w:top w:val="none" w:sz="0" w:space="0" w:color="auto"/>
            <w:left w:val="none" w:sz="0" w:space="0" w:color="auto"/>
            <w:bottom w:val="none" w:sz="0" w:space="0" w:color="auto"/>
            <w:right w:val="none" w:sz="0" w:space="0" w:color="auto"/>
          </w:divBdr>
        </w:div>
        <w:div w:id="283077699">
          <w:marLeft w:val="0"/>
          <w:marRight w:val="0"/>
          <w:marTop w:val="0"/>
          <w:marBottom w:val="0"/>
          <w:divBdr>
            <w:top w:val="none" w:sz="0" w:space="0" w:color="auto"/>
            <w:left w:val="none" w:sz="0" w:space="0" w:color="auto"/>
            <w:bottom w:val="none" w:sz="0" w:space="0" w:color="auto"/>
            <w:right w:val="none" w:sz="0" w:space="0" w:color="auto"/>
          </w:divBdr>
        </w:div>
        <w:div w:id="1955403449">
          <w:marLeft w:val="0"/>
          <w:marRight w:val="0"/>
          <w:marTop w:val="0"/>
          <w:marBottom w:val="0"/>
          <w:divBdr>
            <w:top w:val="none" w:sz="0" w:space="0" w:color="auto"/>
            <w:left w:val="none" w:sz="0" w:space="0" w:color="auto"/>
            <w:bottom w:val="none" w:sz="0" w:space="0" w:color="auto"/>
            <w:right w:val="none" w:sz="0" w:space="0" w:color="auto"/>
          </w:divBdr>
        </w:div>
        <w:div w:id="917439509">
          <w:marLeft w:val="0"/>
          <w:marRight w:val="0"/>
          <w:marTop w:val="0"/>
          <w:marBottom w:val="0"/>
          <w:divBdr>
            <w:top w:val="none" w:sz="0" w:space="0" w:color="auto"/>
            <w:left w:val="none" w:sz="0" w:space="0" w:color="auto"/>
            <w:bottom w:val="none" w:sz="0" w:space="0" w:color="auto"/>
            <w:right w:val="none" w:sz="0" w:space="0" w:color="auto"/>
          </w:divBdr>
        </w:div>
        <w:div w:id="483815252">
          <w:marLeft w:val="0"/>
          <w:marRight w:val="0"/>
          <w:marTop w:val="0"/>
          <w:marBottom w:val="0"/>
          <w:divBdr>
            <w:top w:val="none" w:sz="0" w:space="0" w:color="auto"/>
            <w:left w:val="none" w:sz="0" w:space="0" w:color="auto"/>
            <w:bottom w:val="none" w:sz="0" w:space="0" w:color="auto"/>
            <w:right w:val="none" w:sz="0" w:space="0" w:color="auto"/>
          </w:divBdr>
        </w:div>
        <w:div w:id="446237961">
          <w:marLeft w:val="0"/>
          <w:marRight w:val="0"/>
          <w:marTop w:val="0"/>
          <w:marBottom w:val="0"/>
          <w:divBdr>
            <w:top w:val="none" w:sz="0" w:space="0" w:color="auto"/>
            <w:left w:val="none" w:sz="0" w:space="0" w:color="auto"/>
            <w:bottom w:val="none" w:sz="0" w:space="0" w:color="auto"/>
            <w:right w:val="none" w:sz="0" w:space="0" w:color="auto"/>
          </w:divBdr>
        </w:div>
        <w:div w:id="388185171">
          <w:marLeft w:val="0"/>
          <w:marRight w:val="0"/>
          <w:marTop w:val="0"/>
          <w:marBottom w:val="0"/>
          <w:divBdr>
            <w:top w:val="none" w:sz="0" w:space="0" w:color="auto"/>
            <w:left w:val="none" w:sz="0" w:space="0" w:color="auto"/>
            <w:bottom w:val="none" w:sz="0" w:space="0" w:color="auto"/>
            <w:right w:val="none" w:sz="0" w:space="0" w:color="auto"/>
          </w:divBdr>
        </w:div>
        <w:div w:id="1189639531">
          <w:marLeft w:val="0"/>
          <w:marRight w:val="0"/>
          <w:marTop w:val="0"/>
          <w:marBottom w:val="0"/>
          <w:divBdr>
            <w:top w:val="none" w:sz="0" w:space="0" w:color="auto"/>
            <w:left w:val="none" w:sz="0" w:space="0" w:color="auto"/>
            <w:bottom w:val="none" w:sz="0" w:space="0" w:color="auto"/>
            <w:right w:val="none" w:sz="0" w:space="0" w:color="auto"/>
          </w:divBdr>
        </w:div>
        <w:div w:id="1125737621">
          <w:marLeft w:val="0"/>
          <w:marRight w:val="0"/>
          <w:marTop w:val="0"/>
          <w:marBottom w:val="0"/>
          <w:divBdr>
            <w:top w:val="none" w:sz="0" w:space="0" w:color="auto"/>
            <w:left w:val="none" w:sz="0" w:space="0" w:color="auto"/>
            <w:bottom w:val="none" w:sz="0" w:space="0" w:color="auto"/>
            <w:right w:val="none" w:sz="0" w:space="0" w:color="auto"/>
          </w:divBdr>
        </w:div>
        <w:div w:id="1036540492">
          <w:marLeft w:val="0"/>
          <w:marRight w:val="0"/>
          <w:marTop w:val="0"/>
          <w:marBottom w:val="0"/>
          <w:divBdr>
            <w:top w:val="none" w:sz="0" w:space="0" w:color="auto"/>
            <w:left w:val="none" w:sz="0" w:space="0" w:color="auto"/>
            <w:bottom w:val="none" w:sz="0" w:space="0" w:color="auto"/>
            <w:right w:val="none" w:sz="0" w:space="0" w:color="auto"/>
          </w:divBdr>
        </w:div>
        <w:div w:id="965769568">
          <w:marLeft w:val="0"/>
          <w:marRight w:val="0"/>
          <w:marTop w:val="0"/>
          <w:marBottom w:val="0"/>
          <w:divBdr>
            <w:top w:val="none" w:sz="0" w:space="0" w:color="auto"/>
            <w:left w:val="none" w:sz="0" w:space="0" w:color="auto"/>
            <w:bottom w:val="none" w:sz="0" w:space="0" w:color="auto"/>
            <w:right w:val="none" w:sz="0" w:space="0" w:color="auto"/>
          </w:divBdr>
        </w:div>
        <w:div w:id="101918376">
          <w:marLeft w:val="0"/>
          <w:marRight w:val="0"/>
          <w:marTop w:val="0"/>
          <w:marBottom w:val="0"/>
          <w:divBdr>
            <w:top w:val="none" w:sz="0" w:space="0" w:color="auto"/>
            <w:left w:val="none" w:sz="0" w:space="0" w:color="auto"/>
            <w:bottom w:val="none" w:sz="0" w:space="0" w:color="auto"/>
            <w:right w:val="none" w:sz="0" w:space="0" w:color="auto"/>
          </w:divBdr>
        </w:div>
        <w:div w:id="175653799">
          <w:marLeft w:val="0"/>
          <w:marRight w:val="0"/>
          <w:marTop w:val="0"/>
          <w:marBottom w:val="0"/>
          <w:divBdr>
            <w:top w:val="none" w:sz="0" w:space="0" w:color="auto"/>
            <w:left w:val="none" w:sz="0" w:space="0" w:color="auto"/>
            <w:bottom w:val="none" w:sz="0" w:space="0" w:color="auto"/>
            <w:right w:val="none" w:sz="0" w:space="0" w:color="auto"/>
          </w:divBdr>
        </w:div>
        <w:div w:id="120265681">
          <w:marLeft w:val="0"/>
          <w:marRight w:val="0"/>
          <w:marTop w:val="0"/>
          <w:marBottom w:val="0"/>
          <w:divBdr>
            <w:top w:val="none" w:sz="0" w:space="0" w:color="auto"/>
            <w:left w:val="none" w:sz="0" w:space="0" w:color="auto"/>
            <w:bottom w:val="none" w:sz="0" w:space="0" w:color="auto"/>
            <w:right w:val="none" w:sz="0" w:space="0" w:color="auto"/>
          </w:divBdr>
        </w:div>
        <w:div w:id="745419003">
          <w:marLeft w:val="0"/>
          <w:marRight w:val="0"/>
          <w:marTop w:val="0"/>
          <w:marBottom w:val="0"/>
          <w:divBdr>
            <w:top w:val="none" w:sz="0" w:space="0" w:color="auto"/>
            <w:left w:val="none" w:sz="0" w:space="0" w:color="auto"/>
            <w:bottom w:val="none" w:sz="0" w:space="0" w:color="auto"/>
            <w:right w:val="none" w:sz="0" w:space="0" w:color="auto"/>
          </w:divBdr>
        </w:div>
        <w:div w:id="739911372">
          <w:marLeft w:val="0"/>
          <w:marRight w:val="0"/>
          <w:marTop w:val="0"/>
          <w:marBottom w:val="0"/>
          <w:divBdr>
            <w:top w:val="none" w:sz="0" w:space="0" w:color="auto"/>
            <w:left w:val="none" w:sz="0" w:space="0" w:color="auto"/>
            <w:bottom w:val="none" w:sz="0" w:space="0" w:color="auto"/>
            <w:right w:val="none" w:sz="0" w:space="0" w:color="auto"/>
          </w:divBdr>
        </w:div>
        <w:div w:id="2130128183">
          <w:marLeft w:val="0"/>
          <w:marRight w:val="0"/>
          <w:marTop w:val="0"/>
          <w:marBottom w:val="0"/>
          <w:divBdr>
            <w:top w:val="none" w:sz="0" w:space="0" w:color="auto"/>
            <w:left w:val="none" w:sz="0" w:space="0" w:color="auto"/>
            <w:bottom w:val="none" w:sz="0" w:space="0" w:color="auto"/>
            <w:right w:val="none" w:sz="0" w:space="0" w:color="auto"/>
          </w:divBdr>
        </w:div>
        <w:div w:id="909853205">
          <w:marLeft w:val="0"/>
          <w:marRight w:val="0"/>
          <w:marTop w:val="0"/>
          <w:marBottom w:val="0"/>
          <w:divBdr>
            <w:top w:val="none" w:sz="0" w:space="0" w:color="auto"/>
            <w:left w:val="none" w:sz="0" w:space="0" w:color="auto"/>
            <w:bottom w:val="none" w:sz="0" w:space="0" w:color="auto"/>
            <w:right w:val="none" w:sz="0" w:space="0" w:color="auto"/>
          </w:divBdr>
        </w:div>
        <w:div w:id="1265306147">
          <w:marLeft w:val="0"/>
          <w:marRight w:val="0"/>
          <w:marTop w:val="0"/>
          <w:marBottom w:val="0"/>
          <w:divBdr>
            <w:top w:val="none" w:sz="0" w:space="0" w:color="auto"/>
            <w:left w:val="none" w:sz="0" w:space="0" w:color="auto"/>
            <w:bottom w:val="none" w:sz="0" w:space="0" w:color="auto"/>
            <w:right w:val="none" w:sz="0" w:space="0" w:color="auto"/>
          </w:divBdr>
        </w:div>
        <w:div w:id="1567110834">
          <w:marLeft w:val="0"/>
          <w:marRight w:val="0"/>
          <w:marTop w:val="0"/>
          <w:marBottom w:val="0"/>
          <w:divBdr>
            <w:top w:val="none" w:sz="0" w:space="0" w:color="auto"/>
            <w:left w:val="none" w:sz="0" w:space="0" w:color="auto"/>
            <w:bottom w:val="none" w:sz="0" w:space="0" w:color="auto"/>
            <w:right w:val="none" w:sz="0" w:space="0" w:color="auto"/>
          </w:divBdr>
        </w:div>
        <w:div w:id="1906060779">
          <w:marLeft w:val="0"/>
          <w:marRight w:val="0"/>
          <w:marTop w:val="0"/>
          <w:marBottom w:val="0"/>
          <w:divBdr>
            <w:top w:val="none" w:sz="0" w:space="0" w:color="auto"/>
            <w:left w:val="none" w:sz="0" w:space="0" w:color="auto"/>
            <w:bottom w:val="none" w:sz="0" w:space="0" w:color="auto"/>
            <w:right w:val="none" w:sz="0" w:space="0" w:color="auto"/>
          </w:divBdr>
        </w:div>
        <w:div w:id="750125983">
          <w:marLeft w:val="0"/>
          <w:marRight w:val="0"/>
          <w:marTop w:val="0"/>
          <w:marBottom w:val="0"/>
          <w:divBdr>
            <w:top w:val="none" w:sz="0" w:space="0" w:color="auto"/>
            <w:left w:val="none" w:sz="0" w:space="0" w:color="auto"/>
            <w:bottom w:val="none" w:sz="0" w:space="0" w:color="auto"/>
            <w:right w:val="none" w:sz="0" w:space="0" w:color="auto"/>
          </w:divBdr>
        </w:div>
        <w:div w:id="2119059004">
          <w:marLeft w:val="0"/>
          <w:marRight w:val="0"/>
          <w:marTop w:val="0"/>
          <w:marBottom w:val="0"/>
          <w:divBdr>
            <w:top w:val="none" w:sz="0" w:space="0" w:color="auto"/>
            <w:left w:val="none" w:sz="0" w:space="0" w:color="auto"/>
            <w:bottom w:val="none" w:sz="0" w:space="0" w:color="auto"/>
            <w:right w:val="none" w:sz="0" w:space="0" w:color="auto"/>
          </w:divBdr>
        </w:div>
        <w:div w:id="17202010">
          <w:marLeft w:val="0"/>
          <w:marRight w:val="0"/>
          <w:marTop w:val="0"/>
          <w:marBottom w:val="0"/>
          <w:divBdr>
            <w:top w:val="none" w:sz="0" w:space="0" w:color="auto"/>
            <w:left w:val="none" w:sz="0" w:space="0" w:color="auto"/>
            <w:bottom w:val="none" w:sz="0" w:space="0" w:color="auto"/>
            <w:right w:val="none" w:sz="0" w:space="0" w:color="auto"/>
          </w:divBdr>
        </w:div>
        <w:div w:id="1677002630">
          <w:marLeft w:val="0"/>
          <w:marRight w:val="0"/>
          <w:marTop w:val="0"/>
          <w:marBottom w:val="0"/>
          <w:divBdr>
            <w:top w:val="none" w:sz="0" w:space="0" w:color="auto"/>
            <w:left w:val="none" w:sz="0" w:space="0" w:color="auto"/>
            <w:bottom w:val="none" w:sz="0" w:space="0" w:color="auto"/>
            <w:right w:val="none" w:sz="0" w:space="0" w:color="auto"/>
          </w:divBdr>
        </w:div>
        <w:div w:id="730613085">
          <w:marLeft w:val="0"/>
          <w:marRight w:val="0"/>
          <w:marTop w:val="0"/>
          <w:marBottom w:val="0"/>
          <w:divBdr>
            <w:top w:val="none" w:sz="0" w:space="0" w:color="auto"/>
            <w:left w:val="none" w:sz="0" w:space="0" w:color="auto"/>
            <w:bottom w:val="none" w:sz="0" w:space="0" w:color="auto"/>
            <w:right w:val="none" w:sz="0" w:space="0" w:color="auto"/>
          </w:divBdr>
        </w:div>
        <w:div w:id="268465346">
          <w:marLeft w:val="0"/>
          <w:marRight w:val="0"/>
          <w:marTop w:val="0"/>
          <w:marBottom w:val="0"/>
          <w:divBdr>
            <w:top w:val="none" w:sz="0" w:space="0" w:color="auto"/>
            <w:left w:val="none" w:sz="0" w:space="0" w:color="auto"/>
            <w:bottom w:val="none" w:sz="0" w:space="0" w:color="auto"/>
            <w:right w:val="none" w:sz="0" w:space="0" w:color="auto"/>
          </w:divBdr>
        </w:div>
        <w:div w:id="1732578933">
          <w:marLeft w:val="0"/>
          <w:marRight w:val="0"/>
          <w:marTop w:val="0"/>
          <w:marBottom w:val="0"/>
          <w:divBdr>
            <w:top w:val="none" w:sz="0" w:space="0" w:color="auto"/>
            <w:left w:val="none" w:sz="0" w:space="0" w:color="auto"/>
            <w:bottom w:val="none" w:sz="0" w:space="0" w:color="auto"/>
            <w:right w:val="none" w:sz="0" w:space="0" w:color="auto"/>
          </w:divBdr>
        </w:div>
        <w:div w:id="887112036">
          <w:marLeft w:val="0"/>
          <w:marRight w:val="0"/>
          <w:marTop w:val="0"/>
          <w:marBottom w:val="0"/>
          <w:divBdr>
            <w:top w:val="none" w:sz="0" w:space="0" w:color="auto"/>
            <w:left w:val="none" w:sz="0" w:space="0" w:color="auto"/>
            <w:bottom w:val="none" w:sz="0" w:space="0" w:color="auto"/>
            <w:right w:val="none" w:sz="0" w:space="0" w:color="auto"/>
          </w:divBdr>
        </w:div>
        <w:div w:id="1057167558">
          <w:marLeft w:val="0"/>
          <w:marRight w:val="0"/>
          <w:marTop w:val="0"/>
          <w:marBottom w:val="0"/>
          <w:divBdr>
            <w:top w:val="none" w:sz="0" w:space="0" w:color="auto"/>
            <w:left w:val="none" w:sz="0" w:space="0" w:color="auto"/>
            <w:bottom w:val="none" w:sz="0" w:space="0" w:color="auto"/>
            <w:right w:val="none" w:sz="0" w:space="0" w:color="auto"/>
          </w:divBdr>
        </w:div>
        <w:div w:id="1837842464">
          <w:marLeft w:val="0"/>
          <w:marRight w:val="0"/>
          <w:marTop w:val="0"/>
          <w:marBottom w:val="0"/>
          <w:divBdr>
            <w:top w:val="none" w:sz="0" w:space="0" w:color="auto"/>
            <w:left w:val="none" w:sz="0" w:space="0" w:color="auto"/>
            <w:bottom w:val="none" w:sz="0" w:space="0" w:color="auto"/>
            <w:right w:val="none" w:sz="0" w:space="0" w:color="auto"/>
          </w:divBdr>
        </w:div>
        <w:div w:id="378864944">
          <w:marLeft w:val="0"/>
          <w:marRight w:val="0"/>
          <w:marTop w:val="0"/>
          <w:marBottom w:val="0"/>
          <w:divBdr>
            <w:top w:val="none" w:sz="0" w:space="0" w:color="auto"/>
            <w:left w:val="none" w:sz="0" w:space="0" w:color="auto"/>
            <w:bottom w:val="none" w:sz="0" w:space="0" w:color="auto"/>
            <w:right w:val="none" w:sz="0" w:space="0" w:color="auto"/>
          </w:divBdr>
        </w:div>
        <w:div w:id="419718449">
          <w:marLeft w:val="0"/>
          <w:marRight w:val="0"/>
          <w:marTop w:val="0"/>
          <w:marBottom w:val="0"/>
          <w:divBdr>
            <w:top w:val="none" w:sz="0" w:space="0" w:color="auto"/>
            <w:left w:val="none" w:sz="0" w:space="0" w:color="auto"/>
            <w:bottom w:val="none" w:sz="0" w:space="0" w:color="auto"/>
            <w:right w:val="none" w:sz="0" w:space="0" w:color="auto"/>
          </w:divBdr>
        </w:div>
        <w:div w:id="1008025158">
          <w:marLeft w:val="0"/>
          <w:marRight w:val="0"/>
          <w:marTop w:val="0"/>
          <w:marBottom w:val="0"/>
          <w:divBdr>
            <w:top w:val="none" w:sz="0" w:space="0" w:color="auto"/>
            <w:left w:val="none" w:sz="0" w:space="0" w:color="auto"/>
            <w:bottom w:val="none" w:sz="0" w:space="0" w:color="auto"/>
            <w:right w:val="none" w:sz="0" w:space="0" w:color="auto"/>
          </w:divBdr>
        </w:div>
        <w:div w:id="371468631">
          <w:marLeft w:val="0"/>
          <w:marRight w:val="0"/>
          <w:marTop w:val="0"/>
          <w:marBottom w:val="0"/>
          <w:divBdr>
            <w:top w:val="none" w:sz="0" w:space="0" w:color="auto"/>
            <w:left w:val="none" w:sz="0" w:space="0" w:color="auto"/>
            <w:bottom w:val="none" w:sz="0" w:space="0" w:color="auto"/>
            <w:right w:val="none" w:sz="0" w:space="0" w:color="auto"/>
          </w:divBdr>
        </w:div>
        <w:div w:id="270626739">
          <w:marLeft w:val="0"/>
          <w:marRight w:val="0"/>
          <w:marTop w:val="0"/>
          <w:marBottom w:val="0"/>
          <w:divBdr>
            <w:top w:val="none" w:sz="0" w:space="0" w:color="auto"/>
            <w:left w:val="none" w:sz="0" w:space="0" w:color="auto"/>
            <w:bottom w:val="none" w:sz="0" w:space="0" w:color="auto"/>
            <w:right w:val="none" w:sz="0" w:space="0" w:color="auto"/>
          </w:divBdr>
        </w:div>
        <w:div w:id="1123385044">
          <w:marLeft w:val="0"/>
          <w:marRight w:val="0"/>
          <w:marTop w:val="0"/>
          <w:marBottom w:val="0"/>
          <w:divBdr>
            <w:top w:val="none" w:sz="0" w:space="0" w:color="auto"/>
            <w:left w:val="none" w:sz="0" w:space="0" w:color="auto"/>
            <w:bottom w:val="none" w:sz="0" w:space="0" w:color="auto"/>
            <w:right w:val="none" w:sz="0" w:space="0" w:color="auto"/>
          </w:divBdr>
        </w:div>
        <w:div w:id="719129360">
          <w:marLeft w:val="0"/>
          <w:marRight w:val="0"/>
          <w:marTop w:val="0"/>
          <w:marBottom w:val="0"/>
          <w:divBdr>
            <w:top w:val="none" w:sz="0" w:space="0" w:color="auto"/>
            <w:left w:val="none" w:sz="0" w:space="0" w:color="auto"/>
            <w:bottom w:val="none" w:sz="0" w:space="0" w:color="auto"/>
            <w:right w:val="none" w:sz="0" w:space="0" w:color="auto"/>
          </w:divBdr>
        </w:div>
        <w:div w:id="1828587549">
          <w:marLeft w:val="0"/>
          <w:marRight w:val="0"/>
          <w:marTop w:val="0"/>
          <w:marBottom w:val="0"/>
          <w:divBdr>
            <w:top w:val="none" w:sz="0" w:space="0" w:color="auto"/>
            <w:left w:val="none" w:sz="0" w:space="0" w:color="auto"/>
            <w:bottom w:val="none" w:sz="0" w:space="0" w:color="auto"/>
            <w:right w:val="none" w:sz="0" w:space="0" w:color="auto"/>
          </w:divBdr>
        </w:div>
        <w:div w:id="1083526851">
          <w:marLeft w:val="0"/>
          <w:marRight w:val="0"/>
          <w:marTop w:val="0"/>
          <w:marBottom w:val="0"/>
          <w:divBdr>
            <w:top w:val="none" w:sz="0" w:space="0" w:color="auto"/>
            <w:left w:val="none" w:sz="0" w:space="0" w:color="auto"/>
            <w:bottom w:val="none" w:sz="0" w:space="0" w:color="auto"/>
            <w:right w:val="none" w:sz="0" w:space="0" w:color="auto"/>
          </w:divBdr>
        </w:div>
        <w:div w:id="1022977488">
          <w:marLeft w:val="0"/>
          <w:marRight w:val="0"/>
          <w:marTop w:val="0"/>
          <w:marBottom w:val="0"/>
          <w:divBdr>
            <w:top w:val="none" w:sz="0" w:space="0" w:color="auto"/>
            <w:left w:val="none" w:sz="0" w:space="0" w:color="auto"/>
            <w:bottom w:val="none" w:sz="0" w:space="0" w:color="auto"/>
            <w:right w:val="none" w:sz="0" w:space="0" w:color="auto"/>
          </w:divBdr>
        </w:div>
        <w:div w:id="47530434">
          <w:marLeft w:val="0"/>
          <w:marRight w:val="0"/>
          <w:marTop w:val="0"/>
          <w:marBottom w:val="0"/>
          <w:divBdr>
            <w:top w:val="none" w:sz="0" w:space="0" w:color="auto"/>
            <w:left w:val="none" w:sz="0" w:space="0" w:color="auto"/>
            <w:bottom w:val="none" w:sz="0" w:space="0" w:color="auto"/>
            <w:right w:val="none" w:sz="0" w:space="0" w:color="auto"/>
          </w:divBdr>
        </w:div>
        <w:div w:id="1568538915">
          <w:marLeft w:val="0"/>
          <w:marRight w:val="0"/>
          <w:marTop w:val="0"/>
          <w:marBottom w:val="0"/>
          <w:divBdr>
            <w:top w:val="none" w:sz="0" w:space="0" w:color="auto"/>
            <w:left w:val="none" w:sz="0" w:space="0" w:color="auto"/>
            <w:bottom w:val="none" w:sz="0" w:space="0" w:color="auto"/>
            <w:right w:val="none" w:sz="0" w:space="0" w:color="auto"/>
          </w:divBdr>
        </w:div>
        <w:div w:id="324822541">
          <w:marLeft w:val="0"/>
          <w:marRight w:val="0"/>
          <w:marTop w:val="0"/>
          <w:marBottom w:val="0"/>
          <w:divBdr>
            <w:top w:val="none" w:sz="0" w:space="0" w:color="auto"/>
            <w:left w:val="none" w:sz="0" w:space="0" w:color="auto"/>
            <w:bottom w:val="none" w:sz="0" w:space="0" w:color="auto"/>
            <w:right w:val="none" w:sz="0" w:space="0" w:color="auto"/>
          </w:divBdr>
        </w:div>
        <w:div w:id="764305287">
          <w:marLeft w:val="0"/>
          <w:marRight w:val="0"/>
          <w:marTop w:val="0"/>
          <w:marBottom w:val="0"/>
          <w:divBdr>
            <w:top w:val="none" w:sz="0" w:space="0" w:color="auto"/>
            <w:left w:val="none" w:sz="0" w:space="0" w:color="auto"/>
            <w:bottom w:val="none" w:sz="0" w:space="0" w:color="auto"/>
            <w:right w:val="none" w:sz="0" w:space="0" w:color="auto"/>
          </w:divBdr>
        </w:div>
        <w:div w:id="1465809914">
          <w:marLeft w:val="0"/>
          <w:marRight w:val="0"/>
          <w:marTop w:val="0"/>
          <w:marBottom w:val="0"/>
          <w:divBdr>
            <w:top w:val="none" w:sz="0" w:space="0" w:color="auto"/>
            <w:left w:val="none" w:sz="0" w:space="0" w:color="auto"/>
            <w:bottom w:val="none" w:sz="0" w:space="0" w:color="auto"/>
            <w:right w:val="none" w:sz="0" w:space="0" w:color="auto"/>
          </w:divBdr>
        </w:div>
        <w:div w:id="1074352424">
          <w:marLeft w:val="0"/>
          <w:marRight w:val="0"/>
          <w:marTop w:val="0"/>
          <w:marBottom w:val="0"/>
          <w:divBdr>
            <w:top w:val="none" w:sz="0" w:space="0" w:color="auto"/>
            <w:left w:val="none" w:sz="0" w:space="0" w:color="auto"/>
            <w:bottom w:val="none" w:sz="0" w:space="0" w:color="auto"/>
            <w:right w:val="none" w:sz="0" w:space="0" w:color="auto"/>
          </w:divBdr>
        </w:div>
        <w:div w:id="144860580">
          <w:marLeft w:val="0"/>
          <w:marRight w:val="0"/>
          <w:marTop w:val="0"/>
          <w:marBottom w:val="0"/>
          <w:divBdr>
            <w:top w:val="none" w:sz="0" w:space="0" w:color="auto"/>
            <w:left w:val="none" w:sz="0" w:space="0" w:color="auto"/>
            <w:bottom w:val="none" w:sz="0" w:space="0" w:color="auto"/>
            <w:right w:val="none" w:sz="0" w:space="0" w:color="auto"/>
          </w:divBdr>
        </w:div>
        <w:div w:id="1824657177">
          <w:marLeft w:val="0"/>
          <w:marRight w:val="0"/>
          <w:marTop w:val="0"/>
          <w:marBottom w:val="0"/>
          <w:divBdr>
            <w:top w:val="none" w:sz="0" w:space="0" w:color="auto"/>
            <w:left w:val="none" w:sz="0" w:space="0" w:color="auto"/>
            <w:bottom w:val="none" w:sz="0" w:space="0" w:color="auto"/>
            <w:right w:val="none" w:sz="0" w:space="0" w:color="auto"/>
          </w:divBdr>
        </w:div>
        <w:div w:id="1118530870">
          <w:marLeft w:val="0"/>
          <w:marRight w:val="0"/>
          <w:marTop w:val="0"/>
          <w:marBottom w:val="0"/>
          <w:divBdr>
            <w:top w:val="none" w:sz="0" w:space="0" w:color="auto"/>
            <w:left w:val="none" w:sz="0" w:space="0" w:color="auto"/>
            <w:bottom w:val="none" w:sz="0" w:space="0" w:color="auto"/>
            <w:right w:val="none" w:sz="0" w:space="0" w:color="auto"/>
          </w:divBdr>
        </w:div>
        <w:div w:id="1612475909">
          <w:marLeft w:val="0"/>
          <w:marRight w:val="0"/>
          <w:marTop w:val="0"/>
          <w:marBottom w:val="0"/>
          <w:divBdr>
            <w:top w:val="none" w:sz="0" w:space="0" w:color="auto"/>
            <w:left w:val="none" w:sz="0" w:space="0" w:color="auto"/>
            <w:bottom w:val="none" w:sz="0" w:space="0" w:color="auto"/>
            <w:right w:val="none" w:sz="0" w:space="0" w:color="auto"/>
          </w:divBdr>
        </w:div>
        <w:div w:id="1880775809">
          <w:marLeft w:val="0"/>
          <w:marRight w:val="0"/>
          <w:marTop w:val="0"/>
          <w:marBottom w:val="0"/>
          <w:divBdr>
            <w:top w:val="none" w:sz="0" w:space="0" w:color="auto"/>
            <w:left w:val="none" w:sz="0" w:space="0" w:color="auto"/>
            <w:bottom w:val="none" w:sz="0" w:space="0" w:color="auto"/>
            <w:right w:val="none" w:sz="0" w:space="0" w:color="auto"/>
          </w:divBdr>
        </w:div>
        <w:div w:id="1509443014">
          <w:marLeft w:val="0"/>
          <w:marRight w:val="0"/>
          <w:marTop w:val="0"/>
          <w:marBottom w:val="0"/>
          <w:divBdr>
            <w:top w:val="none" w:sz="0" w:space="0" w:color="auto"/>
            <w:left w:val="none" w:sz="0" w:space="0" w:color="auto"/>
            <w:bottom w:val="none" w:sz="0" w:space="0" w:color="auto"/>
            <w:right w:val="none" w:sz="0" w:space="0" w:color="auto"/>
          </w:divBdr>
        </w:div>
        <w:div w:id="1601912068">
          <w:marLeft w:val="0"/>
          <w:marRight w:val="0"/>
          <w:marTop w:val="0"/>
          <w:marBottom w:val="0"/>
          <w:divBdr>
            <w:top w:val="none" w:sz="0" w:space="0" w:color="auto"/>
            <w:left w:val="none" w:sz="0" w:space="0" w:color="auto"/>
            <w:bottom w:val="none" w:sz="0" w:space="0" w:color="auto"/>
            <w:right w:val="none" w:sz="0" w:space="0" w:color="auto"/>
          </w:divBdr>
        </w:div>
        <w:div w:id="1748648519">
          <w:marLeft w:val="0"/>
          <w:marRight w:val="0"/>
          <w:marTop w:val="0"/>
          <w:marBottom w:val="0"/>
          <w:divBdr>
            <w:top w:val="none" w:sz="0" w:space="0" w:color="auto"/>
            <w:left w:val="none" w:sz="0" w:space="0" w:color="auto"/>
            <w:bottom w:val="none" w:sz="0" w:space="0" w:color="auto"/>
            <w:right w:val="none" w:sz="0" w:space="0" w:color="auto"/>
          </w:divBdr>
        </w:div>
        <w:div w:id="1068920100">
          <w:marLeft w:val="0"/>
          <w:marRight w:val="0"/>
          <w:marTop w:val="0"/>
          <w:marBottom w:val="0"/>
          <w:divBdr>
            <w:top w:val="none" w:sz="0" w:space="0" w:color="auto"/>
            <w:left w:val="none" w:sz="0" w:space="0" w:color="auto"/>
            <w:bottom w:val="none" w:sz="0" w:space="0" w:color="auto"/>
            <w:right w:val="none" w:sz="0" w:space="0" w:color="auto"/>
          </w:divBdr>
        </w:div>
        <w:div w:id="884684321">
          <w:marLeft w:val="0"/>
          <w:marRight w:val="0"/>
          <w:marTop w:val="0"/>
          <w:marBottom w:val="0"/>
          <w:divBdr>
            <w:top w:val="none" w:sz="0" w:space="0" w:color="auto"/>
            <w:left w:val="none" w:sz="0" w:space="0" w:color="auto"/>
            <w:bottom w:val="none" w:sz="0" w:space="0" w:color="auto"/>
            <w:right w:val="none" w:sz="0" w:space="0" w:color="auto"/>
          </w:divBdr>
        </w:div>
        <w:div w:id="412698658">
          <w:marLeft w:val="0"/>
          <w:marRight w:val="0"/>
          <w:marTop w:val="0"/>
          <w:marBottom w:val="0"/>
          <w:divBdr>
            <w:top w:val="none" w:sz="0" w:space="0" w:color="auto"/>
            <w:left w:val="none" w:sz="0" w:space="0" w:color="auto"/>
            <w:bottom w:val="none" w:sz="0" w:space="0" w:color="auto"/>
            <w:right w:val="none" w:sz="0" w:space="0" w:color="auto"/>
          </w:divBdr>
        </w:div>
        <w:div w:id="1420370584">
          <w:marLeft w:val="0"/>
          <w:marRight w:val="0"/>
          <w:marTop w:val="0"/>
          <w:marBottom w:val="0"/>
          <w:divBdr>
            <w:top w:val="none" w:sz="0" w:space="0" w:color="auto"/>
            <w:left w:val="none" w:sz="0" w:space="0" w:color="auto"/>
            <w:bottom w:val="none" w:sz="0" w:space="0" w:color="auto"/>
            <w:right w:val="none" w:sz="0" w:space="0" w:color="auto"/>
          </w:divBdr>
        </w:div>
        <w:div w:id="618267252">
          <w:marLeft w:val="0"/>
          <w:marRight w:val="0"/>
          <w:marTop w:val="0"/>
          <w:marBottom w:val="0"/>
          <w:divBdr>
            <w:top w:val="none" w:sz="0" w:space="0" w:color="auto"/>
            <w:left w:val="none" w:sz="0" w:space="0" w:color="auto"/>
            <w:bottom w:val="none" w:sz="0" w:space="0" w:color="auto"/>
            <w:right w:val="none" w:sz="0" w:space="0" w:color="auto"/>
          </w:divBdr>
        </w:div>
        <w:div w:id="778453981">
          <w:marLeft w:val="0"/>
          <w:marRight w:val="0"/>
          <w:marTop w:val="0"/>
          <w:marBottom w:val="0"/>
          <w:divBdr>
            <w:top w:val="none" w:sz="0" w:space="0" w:color="auto"/>
            <w:left w:val="none" w:sz="0" w:space="0" w:color="auto"/>
            <w:bottom w:val="none" w:sz="0" w:space="0" w:color="auto"/>
            <w:right w:val="none" w:sz="0" w:space="0" w:color="auto"/>
          </w:divBdr>
        </w:div>
        <w:div w:id="482935538">
          <w:marLeft w:val="0"/>
          <w:marRight w:val="0"/>
          <w:marTop w:val="0"/>
          <w:marBottom w:val="0"/>
          <w:divBdr>
            <w:top w:val="none" w:sz="0" w:space="0" w:color="auto"/>
            <w:left w:val="none" w:sz="0" w:space="0" w:color="auto"/>
            <w:bottom w:val="none" w:sz="0" w:space="0" w:color="auto"/>
            <w:right w:val="none" w:sz="0" w:space="0" w:color="auto"/>
          </w:divBdr>
        </w:div>
        <w:div w:id="2126537869">
          <w:marLeft w:val="0"/>
          <w:marRight w:val="0"/>
          <w:marTop w:val="0"/>
          <w:marBottom w:val="0"/>
          <w:divBdr>
            <w:top w:val="none" w:sz="0" w:space="0" w:color="auto"/>
            <w:left w:val="none" w:sz="0" w:space="0" w:color="auto"/>
            <w:bottom w:val="none" w:sz="0" w:space="0" w:color="auto"/>
            <w:right w:val="none" w:sz="0" w:space="0" w:color="auto"/>
          </w:divBdr>
        </w:div>
        <w:div w:id="587883242">
          <w:marLeft w:val="0"/>
          <w:marRight w:val="0"/>
          <w:marTop w:val="0"/>
          <w:marBottom w:val="0"/>
          <w:divBdr>
            <w:top w:val="none" w:sz="0" w:space="0" w:color="auto"/>
            <w:left w:val="none" w:sz="0" w:space="0" w:color="auto"/>
            <w:bottom w:val="none" w:sz="0" w:space="0" w:color="auto"/>
            <w:right w:val="none" w:sz="0" w:space="0" w:color="auto"/>
          </w:divBdr>
        </w:div>
        <w:div w:id="1275861644">
          <w:marLeft w:val="0"/>
          <w:marRight w:val="0"/>
          <w:marTop w:val="0"/>
          <w:marBottom w:val="0"/>
          <w:divBdr>
            <w:top w:val="none" w:sz="0" w:space="0" w:color="auto"/>
            <w:left w:val="none" w:sz="0" w:space="0" w:color="auto"/>
            <w:bottom w:val="none" w:sz="0" w:space="0" w:color="auto"/>
            <w:right w:val="none" w:sz="0" w:space="0" w:color="auto"/>
          </w:divBdr>
        </w:div>
        <w:div w:id="1875456907">
          <w:marLeft w:val="0"/>
          <w:marRight w:val="0"/>
          <w:marTop w:val="0"/>
          <w:marBottom w:val="0"/>
          <w:divBdr>
            <w:top w:val="none" w:sz="0" w:space="0" w:color="auto"/>
            <w:left w:val="none" w:sz="0" w:space="0" w:color="auto"/>
            <w:bottom w:val="none" w:sz="0" w:space="0" w:color="auto"/>
            <w:right w:val="none" w:sz="0" w:space="0" w:color="auto"/>
          </w:divBdr>
        </w:div>
        <w:div w:id="2071877984">
          <w:marLeft w:val="0"/>
          <w:marRight w:val="0"/>
          <w:marTop w:val="0"/>
          <w:marBottom w:val="0"/>
          <w:divBdr>
            <w:top w:val="none" w:sz="0" w:space="0" w:color="auto"/>
            <w:left w:val="none" w:sz="0" w:space="0" w:color="auto"/>
            <w:bottom w:val="none" w:sz="0" w:space="0" w:color="auto"/>
            <w:right w:val="none" w:sz="0" w:space="0" w:color="auto"/>
          </w:divBdr>
        </w:div>
        <w:div w:id="1200360891">
          <w:marLeft w:val="0"/>
          <w:marRight w:val="0"/>
          <w:marTop w:val="0"/>
          <w:marBottom w:val="0"/>
          <w:divBdr>
            <w:top w:val="none" w:sz="0" w:space="0" w:color="auto"/>
            <w:left w:val="none" w:sz="0" w:space="0" w:color="auto"/>
            <w:bottom w:val="none" w:sz="0" w:space="0" w:color="auto"/>
            <w:right w:val="none" w:sz="0" w:space="0" w:color="auto"/>
          </w:divBdr>
        </w:div>
        <w:div w:id="1136875435">
          <w:marLeft w:val="0"/>
          <w:marRight w:val="0"/>
          <w:marTop w:val="0"/>
          <w:marBottom w:val="0"/>
          <w:divBdr>
            <w:top w:val="none" w:sz="0" w:space="0" w:color="auto"/>
            <w:left w:val="none" w:sz="0" w:space="0" w:color="auto"/>
            <w:bottom w:val="none" w:sz="0" w:space="0" w:color="auto"/>
            <w:right w:val="none" w:sz="0" w:space="0" w:color="auto"/>
          </w:divBdr>
        </w:div>
        <w:div w:id="1790390041">
          <w:marLeft w:val="0"/>
          <w:marRight w:val="0"/>
          <w:marTop w:val="0"/>
          <w:marBottom w:val="0"/>
          <w:divBdr>
            <w:top w:val="none" w:sz="0" w:space="0" w:color="auto"/>
            <w:left w:val="none" w:sz="0" w:space="0" w:color="auto"/>
            <w:bottom w:val="none" w:sz="0" w:space="0" w:color="auto"/>
            <w:right w:val="none" w:sz="0" w:space="0" w:color="auto"/>
          </w:divBdr>
        </w:div>
        <w:div w:id="1453398598">
          <w:marLeft w:val="0"/>
          <w:marRight w:val="0"/>
          <w:marTop w:val="0"/>
          <w:marBottom w:val="0"/>
          <w:divBdr>
            <w:top w:val="none" w:sz="0" w:space="0" w:color="auto"/>
            <w:left w:val="none" w:sz="0" w:space="0" w:color="auto"/>
            <w:bottom w:val="none" w:sz="0" w:space="0" w:color="auto"/>
            <w:right w:val="none" w:sz="0" w:space="0" w:color="auto"/>
          </w:divBdr>
        </w:div>
        <w:div w:id="78723114">
          <w:marLeft w:val="0"/>
          <w:marRight w:val="0"/>
          <w:marTop w:val="0"/>
          <w:marBottom w:val="0"/>
          <w:divBdr>
            <w:top w:val="none" w:sz="0" w:space="0" w:color="auto"/>
            <w:left w:val="none" w:sz="0" w:space="0" w:color="auto"/>
            <w:bottom w:val="none" w:sz="0" w:space="0" w:color="auto"/>
            <w:right w:val="none" w:sz="0" w:space="0" w:color="auto"/>
          </w:divBdr>
        </w:div>
        <w:div w:id="1027102480">
          <w:marLeft w:val="0"/>
          <w:marRight w:val="0"/>
          <w:marTop w:val="0"/>
          <w:marBottom w:val="0"/>
          <w:divBdr>
            <w:top w:val="none" w:sz="0" w:space="0" w:color="auto"/>
            <w:left w:val="none" w:sz="0" w:space="0" w:color="auto"/>
            <w:bottom w:val="none" w:sz="0" w:space="0" w:color="auto"/>
            <w:right w:val="none" w:sz="0" w:space="0" w:color="auto"/>
          </w:divBdr>
        </w:div>
        <w:div w:id="348993466">
          <w:marLeft w:val="0"/>
          <w:marRight w:val="0"/>
          <w:marTop w:val="0"/>
          <w:marBottom w:val="0"/>
          <w:divBdr>
            <w:top w:val="none" w:sz="0" w:space="0" w:color="auto"/>
            <w:left w:val="none" w:sz="0" w:space="0" w:color="auto"/>
            <w:bottom w:val="none" w:sz="0" w:space="0" w:color="auto"/>
            <w:right w:val="none" w:sz="0" w:space="0" w:color="auto"/>
          </w:divBdr>
        </w:div>
        <w:div w:id="2142915277">
          <w:marLeft w:val="0"/>
          <w:marRight w:val="0"/>
          <w:marTop w:val="0"/>
          <w:marBottom w:val="0"/>
          <w:divBdr>
            <w:top w:val="none" w:sz="0" w:space="0" w:color="auto"/>
            <w:left w:val="none" w:sz="0" w:space="0" w:color="auto"/>
            <w:bottom w:val="none" w:sz="0" w:space="0" w:color="auto"/>
            <w:right w:val="none" w:sz="0" w:space="0" w:color="auto"/>
          </w:divBdr>
        </w:div>
        <w:div w:id="692195638">
          <w:marLeft w:val="0"/>
          <w:marRight w:val="0"/>
          <w:marTop w:val="0"/>
          <w:marBottom w:val="0"/>
          <w:divBdr>
            <w:top w:val="none" w:sz="0" w:space="0" w:color="auto"/>
            <w:left w:val="none" w:sz="0" w:space="0" w:color="auto"/>
            <w:bottom w:val="none" w:sz="0" w:space="0" w:color="auto"/>
            <w:right w:val="none" w:sz="0" w:space="0" w:color="auto"/>
          </w:divBdr>
        </w:div>
        <w:div w:id="1093626447">
          <w:marLeft w:val="0"/>
          <w:marRight w:val="0"/>
          <w:marTop w:val="0"/>
          <w:marBottom w:val="0"/>
          <w:divBdr>
            <w:top w:val="none" w:sz="0" w:space="0" w:color="auto"/>
            <w:left w:val="none" w:sz="0" w:space="0" w:color="auto"/>
            <w:bottom w:val="none" w:sz="0" w:space="0" w:color="auto"/>
            <w:right w:val="none" w:sz="0" w:space="0" w:color="auto"/>
          </w:divBdr>
        </w:div>
        <w:div w:id="2114007133">
          <w:marLeft w:val="0"/>
          <w:marRight w:val="0"/>
          <w:marTop w:val="0"/>
          <w:marBottom w:val="0"/>
          <w:divBdr>
            <w:top w:val="none" w:sz="0" w:space="0" w:color="auto"/>
            <w:left w:val="none" w:sz="0" w:space="0" w:color="auto"/>
            <w:bottom w:val="none" w:sz="0" w:space="0" w:color="auto"/>
            <w:right w:val="none" w:sz="0" w:space="0" w:color="auto"/>
          </w:divBdr>
        </w:div>
        <w:div w:id="1760172015">
          <w:marLeft w:val="0"/>
          <w:marRight w:val="0"/>
          <w:marTop w:val="0"/>
          <w:marBottom w:val="0"/>
          <w:divBdr>
            <w:top w:val="none" w:sz="0" w:space="0" w:color="auto"/>
            <w:left w:val="none" w:sz="0" w:space="0" w:color="auto"/>
            <w:bottom w:val="none" w:sz="0" w:space="0" w:color="auto"/>
            <w:right w:val="none" w:sz="0" w:space="0" w:color="auto"/>
          </w:divBdr>
        </w:div>
        <w:div w:id="1263295065">
          <w:marLeft w:val="0"/>
          <w:marRight w:val="0"/>
          <w:marTop w:val="0"/>
          <w:marBottom w:val="0"/>
          <w:divBdr>
            <w:top w:val="none" w:sz="0" w:space="0" w:color="auto"/>
            <w:left w:val="none" w:sz="0" w:space="0" w:color="auto"/>
            <w:bottom w:val="none" w:sz="0" w:space="0" w:color="auto"/>
            <w:right w:val="none" w:sz="0" w:space="0" w:color="auto"/>
          </w:divBdr>
        </w:div>
        <w:div w:id="912468183">
          <w:marLeft w:val="0"/>
          <w:marRight w:val="0"/>
          <w:marTop w:val="0"/>
          <w:marBottom w:val="0"/>
          <w:divBdr>
            <w:top w:val="none" w:sz="0" w:space="0" w:color="auto"/>
            <w:left w:val="none" w:sz="0" w:space="0" w:color="auto"/>
            <w:bottom w:val="none" w:sz="0" w:space="0" w:color="auto"/>
            <w:right w:val="none" w:sz="0" w:space="0" w:color="auto"/>
          </w:divBdr>
        </w:div>
        <w:div w:id="1679768525">
          <w:marLeft w:val="0"/>
          <w:marRight w:val="0"/>
          <w:marTop w:val="0"/>
          <w:marBottom w:val="0"/>
          <w:divBdr>
            <w:top w:val="none" w:sz="0" w:space="0" w:color="auto"/>
            <w:left w:val="none" w:sz="0" w:space="0" w:color="auto"/>
            <w:bottom w:val="none" w:sz="0" w:space="0" w:color="auto"/>
            <w:right w:val="none" w:sz="0" w:space="0" w:color="auto"/>
          </w:divBdr>
        </w:div>
        <w:div w:id="1229924961">
          <w:marLeft w:val="0"/>
          <w:marRight w:val="0"/>
          <w:marTop w:val="0"/>
          <w:marBottom w:val="0"/>
          <w:divBdr>
            <w:top w:val="none" w:sz="0" w:space="0" w:color="auto"/>
            <w:left w:val="none" w:sz="0" w:space="0" w:color="auto"/>
            <w:bottom w:val="none" w:sz="0" w:space="0" w:color="auto"/>
            <w:right w:val="none" w:sz="0" w:space="0" w:color="auto"/>
          </w:divBdr>
        </w:div>
        <w:div w:id="1385444642">
          <w:marLeft w:val="0"/>
          <w:marRight w:val="0"/>
          <w:marTop w:val="0"/>
          <w:marBottom w:val="0"/>
          <w:divBdr>
            <w:top w:val="none" w:sz="0" w:space="0" w:color="auto"/>
            <w:left w:val="none" w:sz="0" w:space="0" w:color="auto"/>
            <w:bottom w:val="none" w:sz="0" w:space="0" w:color="auto"/>
            <w:right w:val="none" w:sz="0" w:space="0" w:color="auto"/>
          </w:divBdr>
        </w:div>
        <w:div w:id="1593318986">
          <w:marLeft w:val="0"/>
          <w:marRight w:val="0"/>
          <w:marTop w:val="0"/>
          <w:marBottom w:val="0"/>
          <w:divBdr>
            <w:top w:val="none" w:sz="0" w:space="0" w:color="auto"/>
            <w:left w:val="none" w:sz="0" w:space="0" w:color="auto"/>
            <w:bottom w:val="none" w:sz="0" w:space="0" w:color="auto"/>
            <w:right w:val="none" w:sz="0" w:space="0" w:color="auto"/>
          </w:divBdr>
        </w:div>
        <w:div w:id="142965244">
          <w:marLeft w:val="0"/>
          <w:marRight w:val="0"/>
          <w:marTop w:val="0"/>
          <w:marBottom w:val="0"/>
          <w:divBdr>
            <w:top w:val="none" w:sz="0" w:space="0" w:color="auto"/>
            <w:left w:val="none" w:sz="0" w:space="0" w:color="auto"/>
            <w:bottom w:val="none" w:sz="0" w:space="0" w:color="auto"/>
            <w:right w:val="none" w:sz="0" w:space="0" w:color="auto"/>
          </w:divBdr>
        </w:div>
        <w:div w:id="1725984062">
          <w:marLeft w:val="0"/>
          <w:marRight w:val="0"/>
          <w:marTop w:val="0"/>
          <w:marBottom w:val="0"/>
          <w:divBdr>
            <w:top w:val="none" w:sz="0" w:space="0" w:color="auto"/>
            <w:left w:val="none" w:sz="0" w:space="0" w:color="auto"/>
            <w:bottom w:val="none" w:sz="0" w:space="0" w:color="auto"/>
            <w:right w:val="none" w:sz="0" w:space="0" w:color="auto"/>
          </w:divBdr>
        </w:div>
        <w:div w:id="484469919">
          <w:marLeft w:val="0"/>
          <w:marRight w:val="0"/>
          <w:marTop w:val="0"/>
          <w:marBottom w:val="0"/>
          <w:divBdr>
            <w:top w:val="none" w:sz="0" w:space="0" w:color="auto"/>
            <w:left w:val="none" w:sz="0" w:space="0" w:color="auto"/>
            <w:bottom w:val="none" w:sz="0" w:space="0" w:color="auto"/>
            <w:right w:val="none" w:sz="0" w:space="0" w:color="auto"/>
          </w:divBdr>
        </w:div>
        <w:div w:id="1061634148">
          <w:marLeft w:val="0"/>
          <w:marRight w:val="0"/>
          <w:marTop w:val="0"/>
          <w:marBottom w:val="0"/>
          <w:divBdr>
            <w:top w:val="none" w:sz="0" w:space="0" w:color="auto"/>
            <w:left w:val="none" w:sz="0" w:space="0" w:color="auto"/>
            <w:bottom w:val="none" w:sz="0" w:space="0" w:color="auto"/>
            <w:right w:val="none" w:sz="0" w:space="0" w:color="auto"/>
          </w:divBdr>
        </w:div>
        <w:div w:id="1384939130">
          <w:marLeft w:val="0"/>
          <w:marRight w:val="0"/>
          <w:marTop w:val="0"/>
          <w:marBottom w:val="0"/>
          <w:divBdr>
            <w:top w:val="none" w:sz="0" w:space="0" w:color="auto"/>
            <w:left w:val="none" w:sz="0" w:space="0" w:color="auto"/>
            <w:bottom w:val="none" w:sz="0" w:space="0" w:color="auto"/>
            <w:right w:val="none" w:sz="0" w:space="0" w:color="auto"/>
          </w:divBdr>
        </w:div>
        <w:div w:id="802767498">
          <w:marLeft w:val="0"/>
          <w:marRight w:val="0"/>
          <w:marTop w:val="0"/>
          <w:marBottom w:val="0"/>
          <w:divBdr>
            <w:top w:val="none" w:sz="0" w:space="0" w:color="auto"/>
            <w:left w:val="none" w:sz="0" w:space="0" w:color="auto"/>
            <w:bottom w:val="none" w:sz="0" w:space="0" w:color="auto"/>
            <w:right w:val="none" w:sz="0" w:space="0" w:color="auto"/>
          </w:divBdr>
        </w:div>
        <w:div w:id="1019815710">
          <w:marLeft w:val="0"/>
          <w:marRight w:val="0"/>
          <w:marTop w:val="0"/>
          <w:marBottom w:val="0"/>
          <w:divBdr>
            <w:top w:val="none" w:sz="0" w:space="0" w:color="auto"/>
            <w:left w:val="none" w:sz="0" w:space="0" w:color="auto"/>
            <w:bottom w:val="none" w:sz="0" w:space="0" w:color="auto"/>
            <w:right w:val="none" w:sz="0" w:space="0" w:color="auto"/>
          </w:divBdr>
        </w:div>
        <w:div w:id="951742233">
          <w:marLeft w:val="0"/>
          <w:marRight w:val="0"/>
          <w:marTop w:val="0"/>
          <w:marBottom w:val="0"/>
          <w:divBdr>
            <w:top w:val="none" w:sz="0" w:space="0" w:color="auto"/>
            <w:left w:val="none" w:sz="0" w:space="0" w:color="auto"/>
            <w:bottom w:val="none" w:sz="0" w:space="0" w:color="auto"/>
            <w:right w:val="none" w:sz="0" w:space="0" w:color="auto"/>
          </w:divBdr>
        </w:div>
        <w:div w:id="818963536">
          <w:marLeft w:val="0"/>
          <w:marRight w:val="0"/>
          <w:marTop w:val="0"/>
          <w:marBottom w:val="0"/>
          <w:divBdr>
            <w:top w:val="none" w:sz="0" w:space="0" w:color="auto"/>
            <w:left w:val="none" w:sz="0" w:space="0" w:color="auto"/>
            <w:bottom w:val="none" w:sz="0" w:space="0" w:color="auto"/>
            <w:right w:val="none" w:sz="0" w:space="0" w:color="auto"/>
          </w:divBdr>
        </w:div>
        <w:div w:id="16584377">
          <w:marLeft w:val="0"/>
          <w:marRight w:val="0"/>
          <w:marTop w:val="0"/>
          <w:marBottom w:val="0"/>
          <w:divBdr>
            <w:top w:val="none" w:sz="0" w:space="0" w:color="auto"/>
            <w:left w:val="none" w:sz="0" w:space="0" w:color="auto"/>
            <w:bottom w:val="none" w:sz="0" w:space="0" w:color="auto"/>
            <w:right w:val="none" w:sz="0" w:space="0" w:color="auto"/>
          </w:divBdr>
        </w:div>
        <w:div w:id="1833981454">
          <w:marLeft w:val="0"/>
          <w:marRight w:val="0"/>
          <w:marTop w:val="0"/>
          <w:marBottom w:val="0"/>
          <w:divBdr>
            <w:top w:val="none" w:sz="0" w:space="0" w:color="auto"/>
            <w:left w:val="none" w:sz="0" w:space="0" w:color="auto"/>
            <w:bottom w:val="none" w:sz="0" w:space="0" w:color="auto"/>
            <w:right w:val="none" w:sz="0" w:space="0" w:color="auto"/>
          </w:divBdr>
        </w:div>
        <w:div w:id="180823437">
          <w:marLeft w:val="0"/>
          <w:marRight w:val="0"/>
          <w:marTop w:val="0"/>
          <w:marBottom w:val="0"/>
          <w:divBdr>
            <w:top w:val="none" w:sz="0" w:space="0" w:color="auto"/>
            <w:left w:val="none" w:sz="0" w:space="0" w:color="auto"/>
            <w:bottom w:val="none" w:sz="0" w:space="0" w:color="auto"/>
            <w:right w:val="none" w:sz="0" w:space="0" w:color="auto"/>
          </w:divBdr>
        </w:div>
        <w:div w:id="621350544">
          <w:marLeft w:val="0"/>
          <w:marRight w:val="0"/>
          <w:marTop w:val="0"/>
          <w:marBottom w:val="0"/>
          <w:divBdr>
            <w:top w:val="none" w:sz="0" w:space="0" w:color="auto"/>
            <w:left w:val="none" w:sz="0" w:space="0" w:color="auto"/>
            <w:bottom w:val="none" w:sz="0" w:space="0" w:color="auto"/>
            <w:right w:val="none" w:sz="0" w:space="0" w:color="auto"/>
          </w:divBdr>
        </w:div>
        <w:div w:id="765689321">
          <w:marLeft w:val="0"/>
          <w:marRight w:val="0"/>
          <w:marTop w:val="0"/>
          <w:marBottom w:val="0"/>
          <w:divBdr>
            <w:top w:val="none" w:sz="0" w:space="0" w:color="auto"/>
            <w:left w:val="none" w:sz="0" w:space="0" w:color="auto"/>
            <w:bottom w:val="none" w:sz="0" w:space="0" w:color="auto"/>
            <w:right w:val="none" w:sz="0" w:space="0" w:color="auto"/>
          </w:divBdr>
        </w:div>
        <w:div w:id="2030639910">
          <w:marLeft w:val="0"/>
          <w:marRight w:val="0"/>
          <w:marTop w:val="0"/>
          <w:marBottom w:val="0"/>
          <w:divBdr>
            <w:top w:val="none" w:sz="0" w:space="0" w:color="auto"/>
            <w:left w:val="none" w:sz="0" w:space="0" w:color="auto"/>
            <w:bottom w:val="none" w:sz="0" w:space="0" w:color="auto"/>
            <w:right w:val="none" w:sz="0" w:space="0" w:color="auto"/>
          </w:divBdr>
        </w:div>
        <w:div w:id="249629527">
          <w:marLeft w:val="0"/>
          <w:marRight w:val="0"/>
          <w:marTop w:val="0"/>
          <w:marBottom w:val="0"/>
          <w:divBdr>
            <w:top w:val="none" w:sz="0" w:space="0" w:color="auto"/>
            <w:left w:val="none" w:sz="0" w:space="0" w:color="auto"/>
            <w:bottom w:val="none" w:sz="0" w:space="0" w:color="auto"/>
            <w:right w:val="none" w:sz="0" w:space="0" w:color="auto"/>
          </w:divBdr>
        </w:div>
        <w:div w:id="479007636">
          <w:marLeft w:val="0"/>
          <w:marRight w:val="0"/>
          <w:marTop w:val="0"/>
          <w:marBottom w:val="0"/>
          <w:divBdr>
            <w:top w:val="none" w:sz="0" w:space="0" w:color="auto"/>
            <w:left w:val="none" w:sz="0" w:space="0" w:color="auto"/>
            <w:bottom w:val="none" w:sz="0" w:space="0" w:color="auto"/>
            <w:right w:val="none" w:sz="0" w:space="0" w:color="auto"/>
          </w:divBdr>
        </w:div>
        <w:div w:id="802232099">
          <w:marLeft w:val="0"/>
          <w:marRight w:val="0"/>
          <w:marTop w:val="0"/>
          <w:marBottom w:val="0"/>
          <w:divBdr>
            <w:top w:val="none" w:sz="0" w:space="0" w:color="auto"/>
            <w:left w:val="none" w:sz="0" w:space="0" w:color="auto"/>
            <w:bottom w:val="none" w:sz="0" w:space="0" w:color="auto"/>
            <w:right w:val="none" w:sz="0" w:space="0" w:color="auto"/>
          </w:divBdr>
        </w:div>
        <w:div w:id="930820700">
          <w:marLeft w:val="0"/>
          <w:marRight w:val="0"/>
          <w:marTop w:val="0"/>
          <w:marBottom w:val="0"/>
          <w:divBdr>
            <w:top w:val="none" w:sz="0" w:space="0" w:color="auto"/>
            <w:left w:val="none" w:sz="0" w:space="0" w:color="auto"/>
            <w:bottom w:val="none" w:sz="0" w:space="0" w:color="auto"/>
            <w:right w:val="none" w:sz="0" w:space="0" w:color="auto"/>
          </w:divBdr>
        </w:div>
        <w:div w:id="399445050">
          <w:marLeft w:val="0"/>
          <w:marRight w:val="0"/>
          <w:marTop w:val="0"/>
          <w:marBottom w:val="0"/>
          <w:divBdr>
            <w:top w:val="none" w:sz="0" w:space="0" w:color="auto"/>
            <w:left w:val="none" w:sz="0" w:space="0" w:color="auto"/>
            <w:bottom w:val="none" w:sz="0" w:space="0" w:color="auto"/>
            <w:right w:val="none" w:sz="0" w:space="0" w:color="auto"/>
          </w:divBdr>
        </w:div>
        <w:div w:id="493106505">
          <w:marLeft w:val="0"/>
          <w:marRight w:val="0"/>
          <w:marTop w:val="0"/>
          <w:marBottom w:val="0"/>
          <w:divBdr>
            <w:top w:val="none" w:sz="0" w:space="0" w:color="auto"/>
            <w:left w:val="none" w:sz="0" w:space="0" w:color="auto"/>
            <w:bottom w:val="none" w:sz="0" w:space="0" w:color="auto"/>
            <w:right w:val="none" w:sz="0" w:space="0" w:color="auto"/>
          </w:divBdr>
        </w:div>
        <w:div w:id="1111779639">
          <w:marLeft w:val="0"/>
          <w:marRight w:val="0"/>
          <w:marTop w:val="0"/>
          <w:marBottom w:val="0"/>
          <w:divBdr>
            <w:top w:val="none" w:sz="0" w:space="0" w:color="auto"/>
            <w:left w:val="none" w:sz="0" w:space="0" w:color="auto"/>
            <w:bottom w:val="none" w:sz="0" w:space="0" w:color="auto"/>
            <w:right w:val="none" w:sz="0" w:space="0" w:color="auto"/>
          </w:divBdr>
        </w:div>
        <w:div w:id="412974789">
          <w:marLeft w:val="0"/>
          <w:marRight w:val="0"/>
          <w:marTop w:val="0"/>
          <w:marBottom w:val="0"/>
          <w:divBdr>
            <w:top w:val="none" w:sz="0" w:space="0" w:color="auto"/>
            <w:left w:val="none" w:sz="0" w:space="0" w:color="auto"/>
            <w:bottom w:val="none" w:sz="0" w:space="0" w:color="auto"/>
            <w:right w:val="none" w:sz="0" w:space="0" w:color="auto"/>
          </w:divBdr>
        </w:div>
        <w:div w:id="98181438">
          <w:marLeft w:val="0"/>
          <w:marRight w:val="0"/>
          <w:marTop w:val="0"/>
          <w:marBottom w:val="0"/>
          <w:divBdr>
            <w:top w:val="none" w:sz="0" w:space="0" w:color="auto"/>
            <w:left w:val="none" w:sz="0" w:space="0" w:color="auto"/>
            <w:bottom w:val="none" w:sz="0" w:space="0" w:color="auto"/>
            <w:right w:val="none" w:sz="0" w:space="0" w:color="auto"/>
          </w:divBdr>
        </w:div>
        <w:div w:id="1721244377">
          <w:marLeft w:val="0"/>
          <w:marRight w:val="0"/>
          <w:marTop w:val="0"/>
          <w:marBottom w:val="0"/>
          <w:divBdr>
            <w:top w:val="none" w:sz="0" w:space="0" w:color="auto"/>
            <w:left w:val="none" w:sz="0" w:space="0" w:color="auto"/>
            <w:bottom w:val="none" w:sz="0" w:space="0" w:color="auto"/>
            <w:right w:val="none" w:sz="0" w:space="0" w:color="auto"/>
          </w:divBdr>
        </w:div>
        <w:div w:id="153960739">
          <w:marLeft w:val="0"/>
          <w:marRight w:val="0"/>
          <w:marTop w:val="0"/>
          <w:marBottom w:val="0"/>
          <w:divBdr>
            <w:top w:val="none" w:sz="0" w:space="0" w:color="auto"/>
            <w:left w:val="none" w:sz="0" w:space="0" w:color="auto"/>
            <w:bottom w:val="none" w:sz="0" w:space="0" w:color="auto"/>
            <w:right w:val="none" w:sz="0" w:space="0" w:color="auto"/>
          </w:divBdr>
        </w:div>
        <w:div w:id="2100976956">
          <w:marLeft w:val="0"/>
          <w:marRight w:val="0"/>
          <w:marTop w:val="0"/>
          <w:marBottom w:val="0"/>
          <w:divBdr>
            <w:top w:val="none" w:sz="0" w:space="0" w:color="auto"/>
            <w:left w:val="none" w:sz="0" w:space="0" w:color="auto"/>
            <w:bottom w:val="none" w:sz="0" w:space="0" w:color="auto"/>
            <w:right w:val="none" w:sz="0" w:space="0" w:color="auto"/>
          </w:divBdr>
        </w:div>
        <w:div w:id="2051412363">
          <w:marLeft w:val="0"/>
          <w:marRight w:val="0"/>
          <w:marTop w:val="0"/>
          <w:marBottom w:val="0"/>
          <w:divBdr>
            <w:top w:val="none" w:sz="0" w:space="0" w:color="auto"/>
            <w:left w:val="none" w:sz="0" w:space="0" w:color="auto"/>
            <w:bottom w:val="none" w:sz="0" w:space="0" w:color="auto"/>
            <w:right w:val="none" w:sz="0" w:space="0" w:color="auto"/>
          </w:divBdr>
        </w:div>
        <w:div w:id="129325036">
          <w:marLeft w:val="0"/>
          <w:marRight w:val="0"/>
          <w:marTop w:val="0"/>
          <w:marBottom w:val="0"/>
          <w:divBdr>
            <w:top w:val="none" w:sz="0" w:space="0" w:color="auto"/>
            <w:left w:val="none" w:sz="0" w:space="0" w:color="auto"/>
            <w:bottom w:val="none" w:sz="0" w:space="0" w:color="auto"/>
            <w:right w:val="none" w:sz="0" w:space="0" w:color="auto"/>
          </w:divBdr>
        </w:div>
        <w:div w:id="320819600">
          <w:marLeft w:val="0"/>
          <w:marRight w:val="0"/>
          <w:marTop w:val="0"/>
          <w:marBottom w:val="0"/>
          <w:divBdr>
            <w:top w:val="none" w:sz="0" w:space="0" w:color="auto"/>
            <w:left w:val="none" w:sz="0" w:space="0" w:color="auto"/>
            <w:bottom w:val="none" w:sz="0" w:space="0" w:color="auto"/>
            <w:right w:val="none" w:sz="0" w:space="0" w:color="auto"/>
          </w:divBdr>
        </w:div>
        <w:div w:id="399406242">
          <w:marLeft w:val="0"/>
          <w:marRight w:val="0"/>
          <w:marTop w:val="0"/>
          <w:marBottom w:val="0"/>
          <w:divBdr>
            <w:top w:val="none" w:sz="0" w:space="0" w:color="auto"/>
            <w:left w:val="none" w:sz="0" w:space="0" w:color="auto"/>
            <w:bottom w:val="none" w:sz="0" w:space="0" w:color="auto"/>
            <w:right w:val="none" w:sz="0" w:space="0" w:color="auto"/>
          </w:divBdr>
        </w:div>
        <w:div w:id="48234923">
          <w:marLeft w:val="0"/>
          <w:marRight w:val="0"/>
          <w:marTop w:val="0"/>
          <w:marBottom w:val="0"/>
          <w:divBdr>
            <w:top w:val="none" w:sz="0" w:space="0" w:color="auto"/>
            <w:left w:val="none" w:sz="0" w:space="0" w:color="auto"/>
            <w:bottom w:val="none" w:sz="0" w:space="0" w:color="auto"/>
            <w:right w:val="none" w:sz="0" w:space="0" w:color="auto"/>
          </w:divBdr>
        </w:div>
        <w:div w:id="2092119015">
          <w:marLeft w:val="0"/>
          <w:marRight w:val="0"/>
          <w:marTop w:val="0"/>
          <w:marBottom w:val="0"/>
          <w:divBdr>
            <w:top w:val="none" w:sz="0" w:space="0" w:color="auto"/>
            <w:left w:val="none" w:sz="0" w:space="0" w:color="auto"/>
            <w:bottom w:val="none" w:sz="0" w:space="0" w:color="auto"/>
            <w:right w:val="none" w:sz="0" w:space="0" w:color="auto"/>
          </w:divBdr>
        </w:div>
        <w:div w:id="1331368985">
          <w:marLeft w:val="0"/>
          <w:marRight w:val="0"/>
          <w:marTop w:val="0"/>
          <w:marBottom w:val="0"/>
          <w:divBdr>
            <w:top w:val="none" w:sz="0" w:space="0" w:color="auto"/>
            <w:left w:val="none" w:sz="0" w:space="0" w:color="auto"/>
            <w:bottom w:val="none" w:sz="0" w:space="0" w:color="auto"/>
            <w:right w:val="none" w:sz="0" w:space="0" w:color="auto"/>
          </w:divBdr>
        </w:div>
        <w:div w:id="243760474">
          <w:marLeft w:val="0"/>
          <w:marRight w:val="0"/>
          <w:marTop w:val="0"/>
          <w:marBottom w:val="0"/>
          <w:divBdr>
            <w:top w:val="none" w:sz="0" w:space="0" w:color="auto"/>
            <w:left w:val="none" w:sz="0" w:space="0" w:color="auto"/>
            <w:bottom w:val="none" w:sz="0" w:space="0" w:color="auto"/>
            <w:right w:val="none" w:sz="0" w:space="0" w:color="auto"/>
          </w:divBdr>
        </w:div>
        <w:div w:id="133331933">
          <w:marLeft w:val="0"/>
          <w:marRight w:val="0"/>
          <w:marTop w:val="0"/>
          <w:marBottom w:val="0"/>
          <w:divBdr>
            <w:top w:val="none" w:sz="0" w:space="0" w:color="auto"/>
            <w:left w:val="none" w:sz="0" w:space="0" w:color="auto"/>
            <w:bottom w:val="none" w:sz="0" w:space="0" w:color="auto"/>
            <w:right w:val="none" w:sz="0" w:space="0" w:color="auto"/>
          </w:divBdr>
        </w:div>
        <w:div w:id="2103408253">
          <w:marLeft w:val="0"/>
          <w:marRight w:val="0"/>
          <w:marTop w:val="0"/>
          <w:marBottom w:val="0"/>
          <w:divBdr>
            <w:top w:val="none" w:sz="0" w:space="0" w:color="auto"/>
            <w:left w:val="none" w:sz="0" w:space="0" w:color="auto"/>
            <w:bottom w:val="none" w:sz="0" w:space="0" w:color="auto"/>
            <w:right w:val="none" w:sz="0" w:space="0" w:color="auto"/>
          </w:divBdr>
        </w:div>
        <w:div w:id="1251354517">
          <w:marLeft w:val="0"/>
          <w:marRight w:val="0"/>
          <w:marTop w:val="0"/>
          <w:marBottom w:val="0"/>
          <w:divBdr>
            <w:top w:val="none" w:sz="0" w:space="0" w:color="auto"/>
            <w:left w:val="none" w:sz="0" w:space="0" w:color="auto"/>
            <w:bottom w:val="none" w:sz="0" w:space="0" w:color="auto"/>
            <w:right w:val="none" w:sz="0" w:space="0" w:color="auto"/>
          </w:divBdr>
        </w:div>
        <w:div w:id="384138312">
          <w:marLeft w:val="0"/>
          <w:marRight w:val="0"/>
          <w:marTop w:val="0"/>
          <w:marBottom w:val="0"/>
          <w:divBdr>
            <w:top w:val="none" w:sz="0" w:space="0" w:color="auto"/>
            <w:left w:val="none" w:sz="0" w:space="0" w:color="auto"/>
            <w:bottom w:val="none" w:sz="0" w:space="0" w:color="auto"/>
            <w:right w:val="none" w:sz="0" w:space="0" w:color="auto"/>
          </w:divBdr>
        </w:div>
        <w:div w:id="1891727817">
          <w:marLeft w:val="0"/>
          <w:marRight w:val="0"/>
          <w:marTop w:val="0"/>
          <w:marBottom w:val="0"/>
          <w:divBdr>
            <w:top w:val="none" w:sz="0" w:space="0" w:color="auto"/>
            <w:left w:val="none" w:sz="0" w:space="0" w:color="auto"/>
            <w:bottom w:val="none" w:sz="0" w:space="0" w:color="auto"/>
            <w:right w:val="none" w:sz="0" w:space="0" w:color="auto"/>
          </w:divBdr>
        </w:div>
        <w:div w:id="922224119">
          <w:marLeft w:val="0"/>
          <w:marRight w:val="0"/>
          <w:marTop w:val="0"/>
          <w:marBottom w:val="0"/>
          <w:divBdr>
            <w:top w:val="none" w:sz="0" w:space="0" w:color="auto"/>
            <w:left w:val="none" w:sz="0" w:space="0" w:color="auto"/>
            <w:bottom w:val="none" w:sz="0" w:space="0" w:color="auto"/>
            <w:right w:val="none" w:sz="0" w:space="0" w:color="auto"/>
          </w:divBdr>
        </w:div>
        <w:div w:id="1285889517">
          <w:marLeft w:val="0"/>
          <w:marRight w:val="0"/>
          <w:marTop w:val="0"/>
          <w:marBottom w:val="0"/>
          <w:divBdr>
            <w:top w:val="none" w:sz="0" w:space="0" w:color="auto"/>
            <w:left w:val="none" w:sz="0" w:space="0" w:color="auto"/>
            <w:bottom w:val="none" w:sz="0" w:space="0" w:color="auto"/>
            <w:right w:val="none" w:sz="0" w:space="0" w:color="auto"/>
          </w:divBdr>
        </w:div>
        <w:div w:id="701976979">
          <w:marLeft w:val="0"/>
          <w:marRight w:val="0"/>
          <w:marTop w:val="0"/>
          <w:marBottom w:val="0"/>
          <w:divBdr>
            <w:top w:val="none" w:sz="0" w:space="0" w:color="auto"/>
            <w:left w:val="none" w:sz="0" w:space="0" w:color="auto"/>
            <w:bottom w:val="none" w:sz="0" w:space="0" w:color="auto"/>
            <w:right w:val="none" w:sz="0" w:space="0" w:color="auto"/>
          </w:divBdr>
        </w:div>
        <w:div w:id="251742905">
          <w:marLeft w:val="0"/>
          <w:marRight w:val="0"/>
          <w:marTop w:val="0"/>
          <w:marBottom w:val="0"/>
          <w:divBdr>
            <w:top w:val="none" w:sz="0" w:space="0" w:color="auto"/>
            <w:left w:val="none" w:sz="0" w:space="0" w:color="auto"/>
            <w:bottom w:val="none" w:sz="0" w:space="0" w:color="auto"/>
            <w:right w:val="none" w:sz="0" w:space="0" w:color="auto"/>
          </w:divBdr>
        </w:div>
        <w:div w:id="732430641">
          <w:marLeft w:val="0"/>
          <w:marRight w:val="0"/>
          <w:marTop w:val="0"/>
          <w:marBottom w:val="0"/>
          <w:divBdr>
            <w:top w:val="none" w:sz="0" w:space="0" w:color="auto"/>
            <w:left w:val="none" w:sz="0" w:space="0" w:color="auto"/>
            <w:bottom w:val="none" w:sz="0" w:space="0" w:color="auto"/>
            <w:right w:val="none" w:sz="0" w:space="0" w:color="auto"/>
          </w:divBdr>
        </w:div>
        <w:div w:id="801967351">
          <w:marLeft w:val="0"/>
          <w:marRight w:val="0"/>
          <w:marTop w:val="0"/>
          <w:marBottom w:val="0"/>
          <w:divBdr>
            <w:top w:val="none" w:sz="0" w:space="0" w:color="auto"/>
            <w:left w:val="none" w:sz="0" w:space="0" w:color="auto"/>
            <w:bottom w:val="none" w:sz="0" w:space="0" w:color="auto"/>
            <w:right w:val="none" w:sz="0" w:space="0" w:color="auto"/>
          </w:divBdr>
        </w:div>
        <w:div w:id="1931086333">
          <w:marLeft w:val="0"/>
          <w:marRight w:val="0"/>
          <w:marTop w:val="0"/>
          <w:marBottom w:val="0"/>
          <w:divBdr>
            <w:top w:val="none" w:sz="0" w:space="0" w:color="auto"/>
            <w:left w:val="none" w:sz="0" w:space="0" w:color="auto"/>
            <w:bottom w:val="none" w:sz="0" w:space="0" w:color="auto"/>
            <w:right w:val="none" w:sz="0" w:space="0" w:color="auto"/>
          </w:divBdr>
        </w:div>
        <w:div w:id="671690379">
          <w:marLeft w:val="0"/>
          <w:marRight w:val="0"/>
          <w:marTop w:val="0"/>
          <w:marBottom w:val="0"/>
          <w:divBdr>
            <w:top w:val="none" w:sz="0" w:space="0" w:color="auto"/>
            <w:left w:val="none" w:sz="0" w:space="0" w:color="auto"/>
            <w:bottom w:val="none" w:sz="0" w:space="0" w:color="auto"/>
            <w:right w:val="none" w:sz="0" w:space="0" w:color="auto"/>
          </w:divBdr>
        </w:div>
        <w:div w:id="387073543">
          <w:marLeft w:val="0"/>
          <w:marRight w:val="0"/>
          <w:marTop w:val="0"/>
          <w:marBottom w:val="0"/>
          <w:divBdr>
            <w:top w:val="none" w:sz="0" w:space="0" w:color="auto"/>
            <w:left w:val="none" w:sz="0" w:space="0" w:color="auto"/>
            <w:bottom w:val="none" w:sz="0" w:space="0" w:color="auto"/>
            <w:right w:val="none" w:sz="0" w:space="0" w:color="auto"/>
          </w:divBdr>
        </w:div>
        <w:div w:id="90128443">
          <w:marLeft w:val="0"/>
          <w:marRight w:val="0"/>
          <w:marTop w:val="0"/>
          <w:marBottom w:val="0"/>
          <w:divBdr>
            <w:top w:val="none" w:sz="0" w:space="0" w:color="auto"/>
            <w:left w:val="none" w:sz="0" w:space="0" w:color="auto"/>
            <w:bottom w:val="none" w:sz="0" w:space="0" w:color="auto"/>
            <w:right w:val="none" w:sz="0" w:space="0" w:color="auto"/>
          </w:divBdr>
        </w:div>
        <w:div w:id="915551948">
          <w:marLeft w:val="0"/>
          <w:marRight w:val="0"/>
          <w:marTop w:val="0"/>
          <w:marBottom w:val="0"/>
          <w:divBdr>
            <w:top w:val="none" w:sz="0" w:space="0" w:color="auto"/>
            <w:left w:val="none" w:sz="0" w:space="0" w:color="auto"/>
            <w:bottom w:val="none" w:sz="0" w:space="0" w:color="auto"/>
            <w:right w:val="none" w:sz="0" w:space="0" w:color="auto"/>
          </w:divBdr>
        </w:div>
        <w:div w:id="1376925622">
          <w:marLeft w:val="0"/>
          <w:marRight w:val="0"/>
          <w:marTop w:val="0"/>
          <w:marBottom w:val="0"/>
          <w:divBdr>
            <w:top w:val="none" w:sz="0" w:space="0" w:color="auto"/>
            <w:left w:val="none" w:sz="0" w:space="0" w:color="auto"/>
            <w:bottom w:val="none" w:sz="0" w:space="0" w:color="auto"/>
            <w:right w:val="none" w:sz="0" w:space="0" w:color="auto"/>
          </w:divBdr>
        </w:div>
        <w:div w:id="1470324725">
          <w:marLeft w:val="0"/>
          <w:marRight w:val="0"/>
          <w:marTop w:val="0"/>
          <w:marBottom w:val="0"/>
          <w:divBdr>
            <w:top w:val="none" w:sz="0" w:space="0" w:color="auto"/>
            <w:left w:val="none" w:sz="0" w:space="0" w:color="auto"/>
            <w:bottom w:val="none" w:sz="0" w:space="0" w:color="auto"/>
            <w:right w:val="none" w:sz="0" w:space="0" w:color="auto"/>
          </w:divBdr>
        </w:div>
        <w:div w:id="1289749637">
          <w:marLeft w:val="0"/>
          <w:marRight w:val="0"/>
          <w:marTop w:val="0"/>
          <w:marBottom w:val="0"/>
          <w:divBdr>
            <w:top w:val="none" w:sz="0" w:space="0" w:color="auto"/>
            <w:left w:val="none" w:sz="0" w:space="0" w:color="auto"/>
            <w:bottom w:val="none" w:sz="0" w:space="0" w:color="auto"/>
            <w:right w:val="none" w:sz="0" w:space="0" w:color="auto"/>
          </w:divBdr>
        </w:div>
        <w:div w:id="1873766039">
          <w:marLeft w:val="0"/>
          <w:marRight w:val="0"/>
          <w:marTop w:val="0"/>
          <w:marBottom w:val="0"/>
          <w:divBdr>
            <w:top w:val="none" w:sz="0" w:space="0" w:color="auto"/>
            <w:left w:val="none" w:sz="0" w:space="0" w:color="auto"/>
            <w:bottom w:val="none" w:sz="0" w:space="0" w:color="auto"/>
            <w:right w:val="none" w:sz="0" w:space="0" w:color="auto"/>
          </w:divBdr>
        </w:div>
        <w:div w:id="1363240406">
          <w:marLeft w:val="0"/>
          <w:marRight w:val="0"/>
          <w:marTop w:val="0"/>
          <w:marBottom w:val="0"/>
          <w:divBdr>
            <w:top w:val="none" w:sz="0" w:space="0" w:color="auto"/>
            <w:left w:val="none" w:sz="0" w:space="0" w:color="auto"/>
            <w:bottom w:val="none" w:sz="0" w:space="0" w:color="auto"/>
            <w:right w:val="none" w:sz="0" w:space="0" w:color="auto"/>
          </w:divBdr>
        </w:div>
        <w:div w:id="1939210590">
          <w:marLeft w:val="0"/>
          <w:marRight w:val="0"/>
          <w:marTop w:val="0"/>
          <w:marBottom w:val="0"/>
          <w:divBdr>
            <w:top w:val="none" w:sz="0" w:space="0" w:color="auto"/>
            <w:left w:val="none" w:sz="0" w:space="0" w:color="auto"/>
            <w:bottom w:val="none" w:sz="0" w:space="0" w:color="auto"/>
            <w:right w:val="none" w:sz="0" w:space="0" w:color="auto"/>
          </w:divBdr>
        </w:div>
        <w:div w:id="1985575346">
          <w:marLeft w:val="0"/>
          <w:marRight w:val="0"/>
          <w:marTop w:val="0"/>
          <w:marBottom w:val="0"/>
          <w:divBdr>
            <w:top w:val="none" w:sz="0" w:space="0" w:color="auto"/>
            <w:left w:val="none" w:sz="0" w:space="0" w:color="auto"/>
            <w:bottom w:val="none" w:sz="0" w:space="0" w:color="auto"/>
            <w:right w:val="none" w:sz="0" w:space="0" w:color="auto"/>
          </w:divBdr>
        </w:div>
        <w:div w:id="1106533991">
          <w:marLeft w:val="0"/>
          <w:marRight w:val="0"/>
          <w:marTop w:val="0"/>
          <w:marBottom w:val="0"/>
          <w:divBdr>
            <w:top w:val="none" w:sz="0" w:space="0" w:color="auto"/>
            <w:left w:val="none" w:sz="0" w:space="0" w:color="auto"/>
            <w:bottom w:val="none" w:sz="0" w:space="0" w:color="auto"/>
            <w:right w:val="none" w:sz="0" w:space="0" w:color="auto"/>
          </w:divBdr>
        </w:div>
        <w:div w:id="862476878">
          <w:marLeft w:val="0"/>
          <w:marRight w:val="0"/>
          <w:marTop w:val="0"/>
          <w:marBottom w:val="0"/>
          <w:divBdr>
            <w:top w:val="none" w:sz="0" w:space="0" w:color="auto"/>
            <w:left w:val="none" w:sz="0" w:space="0" w:color="auto"/>
            <w:bottom w:val="none" w:sz="0" w:space="0" w:color="auto"/>
            <w:right w:val="none" w:sz="0" w:space="0" w:color="auto"/>
          </w:divBdr>
        </w:div>
        <w:div w:id="109592391">
          <w:marLeft w:val="0"/>
          <w:marRight w:val="0"/>
          <w:marTop w:val="0"/>
          <w:marBottom w:val="0"/>
          <w:divBdr>
            <w:top w:val="none" w:sz="0" w:space="0" w:color="auto"/>
            <w:left w:val="none" w:sz="0" w:space="0" w:color="auto"/>
            <w:bottom w:val="none" w:sz="0" w:space="0" w:color="auto"/>
            <w:right w:val="none" w:sz="0" w:space="0" w:color="auto"/>
          </w:divBdr>
        </w:div>
        <w:div w:id="565266225">
          <w:marLeft w:val="0"/>
          <w:marRight w:val="0"/>
          <w:marTop w:val="0"/>
          <w:marBottom w:val="0"/>
          <w:divBdr>
            <w:top w:val="none" w:sz="0" w:space="0" w:color="auto"/>
            <w:left w:val="none" w:sz="0" w:space="0" w:color="auto"/>
            <w:bottom w:val="none" w:sz="0" w:space="0" w:color="auto"/>
            <w:right w:val="none" w:sz="0" w:space="0" w:color="auto"/>
          </w:divBdr>
        </w:div>
        <w:div w:id="853804528">
          <w:marLeft w:val="0"/>
          <w:marRight w:val="0"/>
          <w:marTop w:val="0"/>
          <w:marBottom w:val="0"/>
          <w:divBdr>
            <w:top w:val="none" w:sz="0" w:space="0" w:color="auto"/>
            <w:left w:val="none" w:sz="0" w:space="0" w:color="auto"/>
            <w:bottom w:val="none" w:sz="0" w:space="0" w:color="auto"/>
            <w:right w:val="none" w:sz="0" w:space="0" w:color="auto"/>
          </w:divBdr>
        </w:div>
        <w:div w:id="1110393554">
          <w:marLeft w:val="0"/>
          <w:marRight w:val="0"/>
          <w:marTop w:val="0"/>
          <w:marBottom w:val="0"/>
          <w:divBdr>
            <w:top w:val="none" w:sz="0" w:space="0" w:color="auto"/>
            <w:left w:val="none" w:sz="0" w:space="0" w:color="auto"/>
            <w:bottom w:val="none" w:sz="0" w:space="0" w:color="auto"/>
            <w:right w:val="none" w:sz="0" w:space="0" w:color="auto"/>
          </w:divBdr>
        </w:div>
      </w:divsChild>
    </w:div>
    <w:div w:id="214291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image" Target="media/image72.tiff"/><Relationship Id="rId21" Type="http://schemas.openxmlformats.org/officeDocument/2006/relationships/image" Target="media/image8.jpeg"/><Relationship Id="rId42" Type="http://schemas.openxmlformats.org/officeDocument/2006/relationships/header" Target="header5.xml"/><Relationship Id="rId47" Type="http://schemas.openxmlformats.org/officeDocument/2006/relationships/footer" Target="footer8.xml"/><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image" Target="media/image40.png"/><Relationship Id="rId89" Type="http://schemas.openxmlformats.org/officeDocument/2006/relationships/image" Target="media/image45.png"/><Relationship Id="rId112" Type="http://schemas.openxmlformats.org/officeDocument/2006/relationships/image" Target="media/image67.tiff"/><Relationship Id="rId16" Type="http://schemas.openxmlformats.org/officeDocument/2006/relationships/image" Target="media/image4.jpeg"/><Relationship Id="rId107" Type="http://schemas.openxmlformats.org/officeDocument/2006/relationships/image" Target="media/image62.tiff"/><Relationship Id="rId11" Type="http://schemas.openxmlformats.org/officeDocument/2006/relationships/footnotes" Target="footnotes.xml"/><Relationship Id="rId32" Type="http://schemas.openxmlformats.org/officeDocument/2006/relationships/hyperlink" Target="http://www.rrrc.org.au/reefrescue/index.html" TargetMode="External"/><Relationship Id="rId37" Type="http://schemas.openxmlformats.org/officeDocument/2006/relationships/hyperlink" Target="http://www.gbrmpa.gov.au/outlook-for-the-reef/climate-change/marine-park-management/current-conditions-on-the-great-barrier-reef" TargetMode="External"/><Relationship Id="rId53" Type="http://schemas.openxmlformats.org/officeDocument/2006/relationships/image" Target="cid:6A38044F-D096-4ED1-9C06-F63916ECB53B" TargetMode="External"/><Relationship Id="rId58" Type="http://schemas.openxmlformats.org/officeDocument/2006/relationships/image" Target="media/image22.png"/><Relationship Id="rId74" Type="http://schemas.openxmlformats.org/officeDocument/2006/relationships/diagramLayout" Target="diagrams/layout1.xml"/><Relationship Id="rId79" Type="http://schemas.openxmlformats.org/officeDocument/2006/relationships/image" Target="media/image36.png"/><Relationship Id="rId102" Type="http://schemas.openxmlformats.org/officeDocument/2006/relationships/footer" Target="footer10.xml"/><Relationship Id="rId123" Type="http://schemas.openxmlformats.org/officeDocument/2006/relationships/image" Target="media/image77.png"/><Relationship Id="rId5" Type="http://schemas.openxmlformats.org/officeDocument/2006/relationships/customXml" Target="../customXml/item5.xml"/><Relationship Id="rId90" Type="http://schemas.openxmlformats.org/officeDocument/2006/relationships/image" Target="media/image46.png"/><Relationship Id="rId95" Type="http://schemas.openxmlformats.org/officeDocument/2006/relationships/image" Target="media/image51.png"/><Relationship Id="rId22" Type="http://schemas.openxmlformats.org/officeDocument/2006/relationships/image" Target="cid:image001.jpg@01CDF4CF.D1F144F0" TargetMode="External"/><Relationship Id="rId27" Type="http://schemas.openxmlformats.org/officeDocument/2006/relationships/footer" Target="footer3.xml"/><Relationship Id="rId43" Type="http://schemas.openxmlformats.org/officeDocument/2006/relationships/footer" Target="footer7.xml"/><Relationship Id="rId48" Type="http://schemas.openxmlformats.org/officeDocument/2006/relationships/image" Target="media/image14.png"/><Relationship Id="rId64" Type="http://schemas.openxmlformats.org/officeDocument/2006/relationships/image" Target="media/image26.png"/><Relationship Id="rId69" Type="http://schemas.openxmlformats.org/officeDocument/2006/relationships/image" Target="media/image31.png"/><Relationship Id="rId113" Type="http://schemas.openxmlformats.org/officeDocument/2006/relationships/image" Target="media/image68.tiff"/><Relationship Id="rId118" Type="http://schemas.openxmlformats.org/officeDocument/2006/relationships/image" Target="media/image73.png"/><Relationship Id="rId80" Type="http://schemas.openxmlformats.org/officeDocument/2006/relationships/hyperlink" Target="http://www.seagrasswatch.org/meg.html" TargetMode="External"/><Relationship Id="rId85" Type="http://schemas.openxmlformats.org/officeDocument/2006/relationships/image" Target="media/image41.png"/><Relationship Id="rId12" Type="http://schemas.openxmlformats.org/officeDocument/2006/relationships/endnotes" Target="endnotes.xml"/><Relationship Id="rId17" Type="http://schemas.openxmlformats.org/officeDocument/2006/relationships/image" Target="media/image5.jpeg"/><Relationship Id="rId33" Type="http://schemas.openxmlformats.org/officeDocument/2006/relationships/header" Target="header3.xml"/><Relationship Id="rId38" Type="http://schemas.openxmlformats.org/officeDocument/2006/relationships/image" Target="media/image11.png"/><Relationship Id="rId59" Type="http://schemas.openxmlformats.org/officeDocument/2006/relationships/hyperlink" Target="http://watermonitoring.dnrm.qld.gov.au/host.htm" TargetMode="External"/><Relationship Id="rId103" Type="http://schemas.openxmlformats.org/officeDocument/2006/relationships/image" Target="media/image58.tiff"/><Relationship Id="rId108" Type="http://schemas.openxmlformats.org/officeDocument/2006/relationships/image" Target="media/image63.tiff"/><Relationship Id="rId124" Type="http://schemas.openxmlformats.org/officeDocument/2006/relationships/footer" Target="footer11.xml"/><Relationship Id="rId54" Type="http://schemas.openxmlformats.org/officeDocument/2006/relationships/image" Target="media/image19.emf"/><Relationship Id="rId70" Type="http://schemas.openxmlformats.org/officeDocument/2006/relationships/image" Target="media/image32.jpeg"/><Relationship Id="rId75" Type="http://schemas.openxmlformats.org/officeDocument/2006/relationships/diagramQuickStyle" Target="diagrams/quickStyle1.xml"/><Relationship Id="rId91" Type="http://schemas.openxmlformats.org/officeDocument/2006/relationships/image" Target="media/image47.png"/><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file:///C:\Users\jc111229\Dropbox\Shared%20MMP\6.%20PROJECT-REPORT-PAPER_in%20progress\MMP%202013%20report\Final%20report%20submitted%20to%20GBRMPA%20Nov2015\JCU_MMP_Flood%20monitoring%20report_2012_2013.docx" TargetMode="External"/><Relationship Id="rId28" Type="http://schemas.openxmlformats.org/officeDocument/2006/relationships/header" Target="header2.xml"/><Relationship Id="rId49" Type="http://schemas.openxmlformats.org/officeDocument/2006/relationships/image" Target="media/image15.png"/><Relationship Id="rId114" Type="http://schemas.openxmlformats.org/officeDocument/2006/relationships/image" Target="media/image69.tiff"/><Relationship Id="rId119" Type="http://schemas.openxmlformats.org/officeDocument/2006/relationships/hyperlink" Target="http://landweb.nascom.nasa.gov/browse/calendar.html" TargetMode="External"/><Relationship Id="rId44" Type="http://schemas.openxmlformats.org/officeDocument/2006/relationships/image" Target="media/image12.png"/><Relationship Id="rId60" Type="http://schemas.openxmlformats.org/officeDocument/2006/relationships/footer" Target="footer9.xml"/><Relationship Id="rId65" Type="http://schemas.openxmlformats.org/officeDocument/2006/relationships/image" Target="media/image27.png"/><Relationship Id="rId81" Type="http://schemas.openxmlformats.org/officeDocument/2006/relationships/image" Target="media/image37.png"/><Relationship Id="rId86" Type="http://schemas.openxmlformats.org/officeDocument/2006/relationships/image" Target="media/image42.png"/><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hyperlink" Target="http://watermonitoring.dnrm.qld.gov.au/host.htm" TargetMode="External"/><Relationship Id="rId109" Type="http://schemas.openxmlformats.org/officeDocument/2006/relationships/image" Target="media/image64.tiff"/><Relationship Id="rId34" Type="http://schemas.openxmlformats.org/officeDocument/2006/relationships/footer" Target="footer5.xml"/><Relationship Id="rId50" Type="http://schemas.openxmlformats.org/officeDocument/2006/relationships/image" Target="media/image16.png"/><Relationship Id="rId55" Type="http://schemas.openxmlformats.org/officeDocument/2006/relationships/image" Target="media/image20.emf"/><Relationship Id="rId76" Type="http://schemas.openxmlformats.org/officeDocument/2006/relationships/diagramColors" Target="diagrams/colors1.xml"/><Relationship Id="rId97" Type="http://schemas.openxmlformats.org/officeDocument/2006/relationships/image" Target="media/image53.png"/><Relationship Id="rId104" Type="http://schemas.openxmlformats.org/officeDocument/2006/relationships/image" Target="media/image59.tiff"/><Relationship Id="rId120" Type="http://schemas.openxmlformats.org/officeDocument/2006/relationships/image" Target="media/image74.png"/><Relationship Id="rId125"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33.jpeg"/><Relationship Id="rId92"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header" Target="header1.xml"/><Relationship Id="rId40" Type="http://schemas.openxmlformats.org/officeDocument/2006/relationships/header" Target="header4.xml"/><Relationship Id="rId45" Type="http://schemas.openxmlformats.org/officeDocument/2006/relationships/image" Target="media/image13.png"/><Relationship Id="rId66" Type="http://schemas.openxmlformats.org/officeDocument/2006/relationships/image" Target="media/image28.png"/><Relationship Id="rId87" Type="http://schemas.openxmlformats.org/officeDocument/2006/relationships/image" Target="media/image43.png"/><Relationship Id="rId110" Type="http://schemas.openxmlformats.org/officeDocument/2006/relationships/image" Target="media/image65.tiff"/><Relationship Id="rId115" Type="http://schemas.openxmlformats.org/officeDocument/2006/relationships/image" Target="media/image70.tiff"/><Relationship Id="rId61" Type="http://schemas.openxmlformats.org/officeDocument/2006/relationships/image" Target="media/image23.png"/><Relationship Id="rId82" Type="http://schemas.openxmlformats.org/officeDocument/2006/relationships/image" Target="media/image38.png"/><Relationship Id="rId19" Type="http://schemas.openxmlformats.org/officeDocument/2006/relationships/image" Target="media/image7.jpeg"/><Relationship Id="rId14" Type="http://schemas.openxmlformats.org/officeDocument/2006/relationships/image" Target="media/image2.jpeg"/><Relationship Id="rId30" Type="http://schemas.openxmlformats.org/officeDocument/2006/relationships/image" Target="media/image9.png"/><Relationship Id="rId35" Type="http://schemas.openxmlformats.org/officeDocument/2006/relationships/hyperlink" Target="http://www.bom.gov.au/climate/enso" TargetMode="External"/><Relationship Id="rId56" Type="http://schemas.openxmlformats.org/officeDocument/2006/relationships/hyperlink" Target="http://watermonitoring.dnrm.qld.gov.au/host.htm" TargetMode="External"/><Relationship Id="rId77" Type="http://schemas.microsoft.com/office/2007/relationships/diagramDrawing" Target="diagrams/drawing1.xml"/><Relationship Id="rId100" Type="http://schemas.openxmlformats.org/officeDocument/2006/relationships/image" Target="media/image56.png"/><Relationship Id="rId105" Type="http://schemas.openxmlformats.org/officeDocument/2006/relationships/image" Target="media/image60.tiff"/><Relationship Id="rId126"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image" Target="media/image17.png"/><Relationship Id="rId72" Type="http://schemas.openxmlformats.org/officeDocument/2006/relationships/image" Target="media/image34.jpeg"/><Relationship Id="rId93" Type="http://schemas.openxmlformats.org/officeDocument/2006/relationships/image" Target="media/image49.png"/><Relationship Id="rId98" Type="http://schemas.openxmlformats.org/officeDocument/2006/relationships/image" Target="media/image54.emf"/><Relationship Id="rId121" Type="http://schemas.openxmlformats.org/officeDocument/2006/relationships/image" Target="media/image75.png"/><Relationship Id="rId3" Type="http://schemas.openxmlformats.org/officeDocument/2006/relationships/customXml" Target="../customXml/item3.xml"/><Relationship Id="rId25" Type="http://schemas.openxmlformats.org/officeDocument/2006/relationships/footer" Target="footer1.xml"/><Relationship Id="rId46" Type="http://schemas.openxmlformats.org/officeDocument/2006/relationships/header" Target="header6.xml"/><Relationship Id="rId67" Type="http://schemas.openxmlformats.org/officeDocument/2006/relationships/image" Target="media/image29.png"/><Relationship Id="rId116" Type="http://schemas.openxmlformats.org/officeDocument/2006/relationships/image" Target="media/image71.tiff"/><Relationship Id="rId20" Type="http://schemas.openxmlformats.org/officeDocument/2006/relationships/image" Target="media/image5.png"/><Relationship Id="rId41" Type="http://schemas.openxmlformats.org/officeDocument/2006/relationships/footer" Target="footer6.xml"/><Relationship Id="rId62" Type="http://schemas.openxmlformats.org/officeDocument/2006/relationships/image" Target="media/image24.png"/><Relationship Id="rId83" Type="http://schemas.openxmlformats.org/officeDocument/2006/relationships/image" Target="media/image39.png"/><Relationship Id="rId88" Type="http://schemas.openxmlformats.org/officeDocument/2006/relationships/image" Target="media/image44.png"/><Relationship Id="rId111" Type="http://schemas.openxmlformats.org/officeDocument/2006/relationships/image" Target="media/image66.tiff"/><Relationship Id="rId15" Type="http://schemas.openxmlformats.org/officeDocument/2006/relationships/image" Target="media/image3.jpeg"/><Relationship Id="rId36" Type="http://schemas.openxmlformats.org/officeDocument/2006/relationships/hyperlink" Target="http://www.gbrmpa.gov.au/outlook-for-the-reef/climate-change/marine-park-management/current-conditions-on-the-great-barrier-reef" TargetMode="External"/><Relationship Id="rId57" Type="http://schemas.openxmlformats.org/officeDocument/2006/relationships/image" Target="media/image21.png"/><Relationship Id="rId106" Type="http://schemas.openxmlformats.org/officeDocument/2006/relationships/image" Target="media/image61.tiff"/><Relationship Id="rId10" Type="http://schemas.openxmlformats.org/officeDocument/2006/relationships/webSettings" Target="webSettings.xml"/><Relationship Id="rId31" Type="http://schemas.openxmlformats.org/officeDocument/2006/relationships/image" Target="media/image10.png"/><Relationship Id="rId52" Type="http://schemas.openxmlformats.org/officeDocument/2006/relationships/image" Target="media/image18.jpeg"/><Relationship Id="rId73" Type="http://schemas.openxmlformats.org/officeDocument/2006/relationships/diagramData" Target="diagrams/data1.xml"/><Relationship Id="rId78" Type="http://schemas.openxmlformats.org/officeDocument/2006/relationships/image" Target="media/image35.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76.png"/><Relationship Id="rId4" Type="http://schemas.openxmlformats.org/officeDocument/2006/relationships/customXml" Target="../customXml/item4.xml"/><Relationship Id="rId9"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54DD05-7E2E-4DF6-914E-3DE95DFE4A8D}" type="doc">
      <dgm:prSet loTypeId="urn:microsoft.com/office/officeart/2005/8/layout/radial6" loCatId="cycle" qsTypeId="urn:microsoft.com/office/officeart/2005/8/quickstyle/simple1" qsCatId="simple" csTypeId="urn:microsoft.com/office/officeart/2005/8/colors/accent5_1" csCatId="accent5" phldr="1"/>
      <dgm:spPr/>
      <dgm:t>
        <a:bodyPr/>
        <a:lstStyle/>
        <a:p>
          <a:endParaRPr lang="en-AU"/>
        </a:p>
      </dgm:t>
    </dgm:pt>
    <dgm:pt modelId="{5612881F-094D-4080-A50D-6522E768D788}">
      <dgm:prSet phldrT="[Text]" custT="1"/>
      <dgm:spPr/>
      <dgm:t>
        <a:bodyPr/>
        <a:lstStyle/>
        <a:p>
          <a:pPr algn="ctr"/>
          <a:r>
            <a:rPr lang="en-AU" sz="1100" b="1" dirty="0" smtClean="0"/>
            <a:t>Level of exposure of the coral reefs and seagrass meadows to river plumes and land-sourced contaminants </a:t>
          </a:r>
          <a:endParaRPr lang="en-AU" sz="1100" b="1" dirty="0"/>
        </a:p>
      </dgm:t>
    </dgm:pt>
    <dgm:pt modelId="{098542D2-1EC9-431E-BE5C-9C88F799D2C2}" type="parTrans" cxnId="{93E8BA83-0C05-495C-80EF-2B13369ACE58}">
      <dgm:prSet/>
      <dgm:spPr/>
      <dgm:t>
        <a:bodyPr/>
        <a:lstStyle/>
        <a:p>
          <a:pPr algn="ctr"/>
          <a:endParaRPr lang="en-AU" b="0"/>
        </a:p>
      </dgm:t>
    </dgm:pt>
    <dgm:pt modelId="{97FC8D31-593C-47AD-A942-C9B9BDD63497}" type="sibTrans" cxnId="{93E8BA83-0C05-495C-80EF-2B13369ACE58}">
      <dgm:prSet/>
      <dgm:spPr/>
      <dgm:t>
        <a:bodyPr/>
        <a:lstStyle/>
        <a:p>
          <a:pPr algn="ctr"/>
          <a:endParaRPr lang="en-AU" b="0"/>
        </a:p>
      </dgm:t>
    </dgm:pt>
    <dgm:pt modelId="{91616EF0-21B5-417D-A865-A5CB3487E503}">
      <dgm:prSet phldrT="[Text]" custT="1"/>
      <dgm:spPr/>
      <dgm:t>
        <a:bodyPr/>
        <a:lstStyle/>
        <a:p>
          <a:pPr algn="ctr"/>
          <a:r>
            <a:rPr lang="en-AU" sz="1100" b="0" dirty="0" smtClean="0"/>
            <a:t> River plume (full extent) maps</a:t>
          </a:r>
          <a:endParaRPr lang="en-AU" sz="1100" b="0" dirty="0"/>
        </a:p>
      </dgm:t>
    </dgm:pt>
    <dgm:pt modelId="{5267EEE2-CEDE-4F75-9378-491BE0337A9A}" type="parTrans" cxnId="{9323B194-F361-4042-98D8-C5907E226406}">
      <dgm:prSet/>
      <dgm:spPr/>
      <dgm:t>
        <a:bodyPr/>
        <a:lstStyle/>
        <a:p>
          <a:pPr algn="ctr"/>
          <a:endParaRPr lang="en-AU" b="0"/>
        </a:p>
      </dgm:t>
    </dgm:pt>
    <dgm:pt modelId="{4BCF7CE7-B381-4863-B558-00A945CA1E33}" type="sibTrans" cxnId="{9323B194-F361-4042-98D8-C5907E226406}">
      <dgm:prSet/>
      <dgm:spPr/>
      <dgm:t>
        <a:bodyPr/>
        <a:lstStyle/>
        <a:p>
          <a:pPr algn="ctr"/>
          <a:endParaRPr lang="en-AU" b="0"/>
        </a:p>
      </dgm:t>
    </dgm:pt>
    <dgm:pt modelId="{F71EC748-C089-4DBC-BB3E-6C5164031D17}">
      <dgm:prSet phldrT="[Text]" custT="1"/>
      <dgm:spPr/>
      <dgm:t>
        <a:bodyPr/>
        <a:lstStyle/>
        <a:p>
          <a:pPr algn="ctr"/>
          <a:r>
            <a:rPr lang="en-AU" sz="1100" b="0" dirty="0" smtClean="0"/>
            <a:t>Plume water type maps </a:t>
          </a:r>
          <a:endParaRPr lang="en-AU" sz="1100" b="0" dirty="0"/>
        </a:p>
      </dgm:t>
    </dgm:pt>
    <dgm:pt modelId="{E1F3CD11-F5F4-4249-8A37-05CB7C4ADEF2}" type="parTrans" cxnId="{C1EBFBB0-123A-4067-8150-AF70AD827953}">
      <dgm:prSet/>
      <dgm:spPr/>
      <dgm:t>
        <a:bodyPr/>
        <a:lstStyle/>
        <a:p>
          <a:pPr algn="ctr"/>
          <a:endParaRPr lang="en-AU" b="0"/>
        </a:p>
      </dgm:t>
    </dgm:pt>
    <dgm:pt modelId="{6A6649EB-154B-404A-B77A-1060BE4EADC7}" type="sibTrans" cxnId="{C1EBFBB0-123A-4067-8150-AF70AD827953}">
      <dgm:prSet/>
      <dgm:spPr/>
      <dgm:t>
        <a:bodyPr/>
        <a:lstStyle/>
        <a:p>
          <a:pPr algn="ctr"/>
          <a:endParaRPr lang="en-AU" b="0"/>
        </a:p>
      </dgm:t>
    </dgm:pt>
    <dgm:pt modelId="{CE243A6B-38D7-4C42-8BCF-485302FA3C85}">
      <dgm:prSet phldrT="[Text]" custT="1"/>
      <dgm:spPr/>
      <dgm:t>
        <a:bodyPr/>
        <a:lstStyle/>
        <a:p>
          <a:pPr algn="ctr"/>
          <a:r>
            <a:rPr lang="en-AU" sz="1100" b="0" dirty="0" smtClean="0"/>
            <a:t>Load maps of land-sourced pollutants</a:t>
          </a:r>
          <a:endParaRPr lang="en-AU" sz="1100" b="0" dirty="0"/>
        </a:p>
      </dgm:t>
    </dgm:pt>
    <dgm:pt modelId="{827DC248-62A4-4A4F-9C57-F63E1F37B217}" type="parTrans" cxnId="{4DA985A8-30E8-4BC3-87EA-CF5575596DAB}">
      <dgm:prSet/>
      <dgm:spPr/>
      <dgm:t>
        <a:bodyPr/>
        <a:lstStyle/>
        <a:p>
          <a:pPr algn="ctr"/>
          <a:endParaRPr lang="en-AU" b="0"/>
        </a:p>
      </dgm:t>
    </dgm:pt>
    <dgm:pt modelId="{0C1C74EB-0C11-4D45-B15D-BF4EDF68613F}" type="sibTrans" cxnId="{4DA985A8-30E8-4BC3-87EA-CF5575596DAB}">
      <dgm:prSet/>
      <dgm:spPr/>
      <dgm:t>
        <a:bodyPr/>
        <a:lstStyle/>
        <a:p>
          <a:pPr algn="ctr"/>
          <a:endParaRPr lang="en-AU" b="0"/>
        </a:p>
      </dgm:t>
    </dgm:pt>
    <dgm:pt modelId="{66146CA9-0F1F-4031-8E5F-280CF6D007D8}">
      <dgm:prSet phldrT="[Text]" custT="1"/>
      <dgm:spPr/>
      <dgm:t>
        <a:bodyPr/>
        <a:lstStyle/>
        <a:p>
          <a:pPr algn="ctr"/>
          <a:r>
            <a:rPr lang="en-US" sz="1100" b="0" dirty="0" smtClean="0"/>
            <a:t>Exposure (risk) maps</a:t>
          </a:r>
          <a:endParaRPr lang="en-AU" sz="1100" b="0" dirty="0"/>
        </a:p>
      </dgm:t>
    </dgm:pt>
    <dgm:pt modelId="{5073B20B-5FFD-4B29-9BD2-56B7BADE4EB9}" type="parTrans" cxnId="{9C9871AA-B40C-4211-ABE0-426ABBE84A88}">
      <dgm:prSet/>
      <dgm:spPr/>
      <dgm:t>
        <a:bodyPr/>
        <a:lstStyle/>
        <a:p>
          <a:pPr algn="ctr"/>
          <a:endParaRPr lang="en-AU" b="0"/>
        </a:p>
      </dgm:t>
    </dgm:pt>
    <dgm:pt modelId="{53305C10-ABD4-4730-A8A8-7265838B264C}" type="sibTrans" cxnId="{9C9871AA-B40C-4211-ABE0-426ABBE84A88}">
      <dgm:prSet/>
      <dgm:spPr/>
      <dgm:t>
        <a:bodyPr/>
        <a:lstStyle/>
        <a:p>
          <a:pPr algn="ctr"/>
          <a:endParaRPr lang="en-AU" b="0"/>
        </a:p>
      </dgm:t>
    </dgm:pt>
    <dgm:pt modelId="{006DB1CB-F37B-4438-A349-698E54A60C3C}" type="pres">
      <dgm:prSet presAssocID="{D954DD05-7E2E-4DF6-914E-3DE95DFE4A8D}" presName="Name0" presStyleCnt="0">
        <dgm:presLayoutVars>
          <dgm:chMax val="1"/>
          <dgm:dir/>
          <dgm:animLvl val="ctr"/>
          <dgm:resizeHandles val="exact"/>
        </dgm:presLayoutVars>
      </dgm:prSet>
      <dgm:spPr/>
      <dgm:t>
        <a:bodyPr/>
        <a:lstStyle/>
        <a:p>
          <a:endParaRPr lang="en-AU"/>
        </a:p>
      </dgm:t>
    </dgm:pt>
    <dgm:pt modelId="{914D7F14-EC3A-403E-A99C-EBDE7DB7F13F}" type="pres">
      <dgm:prSet presAssocID="{5612881F-094D-4080-A50D-6522E768D788}" presName="centerShape" presStyleLbl="node0" presStyleIdx="0" presStyleCnt="1"/>
      <dgm:spPr/>
      <dgm:t>
        <a:bodyPr/>
        <a:lstStyle/>
        <a:p>
          <a:endParaRPr lang="en-AU"/>
        </a:p>
      </dgm:t>
    </dgm:pt>
    <dgm:pt modelId="{C2DC0504-6495-42E2-B702-8C99FB6D7056}" type="pres">
      <dgm:prSet presAssocID="{91616EF0-21B5-417D-A865-A5CB3487E503}" presName="node" presStyleLbl="node1" presStyleIdx="0" presStyleCnt="4" custRadScaleRad="97412">
        <dgm:presLayoutVars>
          <dgm:bulletEnabled val="1"/>
        </dgm:presLayoutVars>
      </dgm:prSet>
      <dgm:spPr/>
      <dgm:t>
        <a:bodyPr/>
        <a:lstStyle/>
        <a:p>
          <a:endParaRPr lang="en-AU"/>
        </a:p>
      </dgm:t>
    </dgm:pt>
    <dgm:pt modelId="{68756E64-05D3-46FF-8FEB-1FE5B7CE7DE2}" type="pres">
      <dgm:prSet presAssocID="{91616EF0-21B5-417D-A865-A5CB3487E503}" presName="dummy" presStyleCnt="0"/>
      <dgm:spPr/>
    </dgm:pt>
    <dgm:pt modelId="{E11BEE20-BE86-49DB-8CF5-BA1406BF352D}" type="pres">
      <dgm:prSet presAssocID="{4BCF7CE7-B381-4863-B558-00A945CA1E33}" presName="sibTrans" presStyleLbl="sibTrans2D1" presStyleIdx="0" presStyleCnt="4"/>
      <dgm:spPr/>
      <dgm:t>
        <a:bodyPr/>
        <a:lstStyle/>
        <a:p>
          <a:endParaRPr lang="en-AU"/>
        </a:p>
      </dgm:t>
    </dgm:pt>
    <dgm:pt modelId="{052038BA-80F6-4B98-8EA2-1A7C51783A7C}" type="pres">
      <dgm:prSet presAssocID="{F71EC748-C089-4DBC-BB3E-6C5164031D17}" presName="node" presStyleLbl="node1" presStyleIdx="1" presStyleCnt="4">
        <dgm:presLayoutVars>
          <dgm:bulletEnabled val="1"/>
        </dgm:presLayoutVars>
      </dgm:prSet>
      <dgm:spPr/>
      <dgm:t>
        <a:bodyPr/>
        <a:lstStyle/>
        <a:p>
          <a:endParaRPr lang="en-AU"/>
        </a:p>
      </dgm:t>
    </dgm:pt>
    <dgm:pt modelId="{4365F853-25EF-48A6-A187-047C96DDE39C}" type="pres">
      <dgm:prSet presAssocID="{F71EC748-C089-4DBC-BB3E-6C5164031D17}" presName="dummy" presStyleCnt="0"/>
      <dgm:spPr/>
    </dgm:pt>
    <dgm:pt modelId="{F8461229-67AC-4C9E-AE21-78A4032B5134}" type="pres">
      <dgm:prSet presAssocID="{6A6649EB-154B-404A-B77A-1060BE4EADC7}" presName="sibTrans" presStyleLbl="sibTrans2D1" presStyleIdx="1" presStyleCnt="4"/>
      <dgm:spPr/>
      <dgm:t>
        <a:bodyPr/>
        <a:lstStyle/>
        <a:p>
          <a:endParaRPr lang="en-AU"/>
        </a:p>
      </dgm:t>
    </dgm:pt>
    <dgm:pt modelId="{A6471AF9-F420-40E9-B25A-B930876A0B09}" type="pres">
      <dgm:prSet presAssocID="{CE243A6B-38D7-4C42-8BCF-485302FA3C85}" presName="node" presStyleLbl="node1" presStyleIdx="2" presStyleCnt="4">
        <dgm:presLayoutVars>
          <dgm:bulletEnabled val="1"/>
        </dgm:presLayoutVars>
      </dgm:prSet>
      <dgm:spPr/>
      <dgm:t>
        <a:bodyPr/>
        <a:lstStyle/>
        <a:p>
          <a:endParaRPr lang="en-AU"/>
        </a:p>
      </dgm:t>
    </dgm:pt>
    <dgm:pt modelId="{98D5AD27-C545-4397-9CAF-B55170F02767}" type="pres">
      <dgm:prSet presAssocID="{CE243A6B-38D7-4C42-8BCF-485302FA3C85}" presName="dummy" presStyleCnt="0"/>
      <dgm:spPr/>
    </dgm:pt>
    <dgm:pt modelId="{ABA4EADA-CDE1-4A96-BCD9-0A5B5D328565}" type="pres">
      <dgm:prSet presAssocID="{0C1C74EB-0C11-4D45-B15D-BF4EDF68613F}" presName="sibTrans" presStyleLbl="sibTrans2D1" presStyleIdx="2" presStyleCnt="4"/>
      <dgm:spPr/>
      <dgm:t>
        <a:bodyPr/>
        <a:lstStyle/>
        <a:p>
          <a:endParaRPr lang="en-AU"/>
        </a:p>
      </dgm:t>
    </dgm:pt>
    <dgm:pt modelId="{FDED30AF-E37A-4EDB-ADAF-D939AB0BD229}" type="pres">
      <dgm:prSet presAssocID="{66146CA9-0F1F-4031-8E5F-280CF6D007D8}" presName="node" presStyleLbl="node1" presStyleIdx="3" presStyleCnt="4">
        <dgm:presLayoutVars>
          <dgm:bulletEnabled val="1"/>
        </dgm:presLayoutVars>
      </dgm:prSet>
      <dgm:spPr/>
      <dgm:t>
        <a:bodyPr/>
        <a:lstStyle/>
        <a:p>
          <a:endParaRPr lang="en-AU"/>
        </a:p>
      </dgm:t>
    </dgm:pt>
    <dgm:pt modelId="{ED21A855-6EC6-4CEA-9289-B15320D40C4D}" type="pres">
      <dgm:prSet presAssocID="{66146CA9-0F1F-4031-8E5F-280CF6D007D8}" presName="dummy" presStyleCnt="0"/>
      <dgm:spPr/>
    </dgm:pt>
    <dgm:pt modelId="{BB1FC895-C11D-416F-9A7E-7627C347CA4A}" type="pres">
      <dgm:prSet presAssocID="{53305C10-ABD4-4730-A8A8-7265838B264C}" presName="sibTrans" presStyleLbl="sibTrans2D1" presStyleIdx="3" presStyleCnt="4"/>
      <dgm:spPr/>
      <dgm:t>
        <a:bodyPr/>
        <a:lstStyle/>
        <a:p>
          <a:endParaRPr lang="en-AU"/>
        </a:p>
      </dgm:t>
    </dgm:pt>
  </dgm:ptLst>
  <dgm:cxnLst>
    <dgm:cxn modelId="{9B1FBAA0-41F3-41EB-8D76-74FCF13F98B5}" type="presOf" srcId="{5612881F-094D-4080-A50D-6522E768D788}" destId="{914D7F14-EC3A-403E-A99C-EBDE7DB7F13F}" srcOrd="0" destOrd="0" presId="urn:microsoft.com/office/officeart/2005/8/layout/radial6"/>
    <dgm:cxn modelId="{4DA985A8-30E8-4BC3-87EA-CF5575596DAB}" srcId="{5612881F-094D-4080-A50D-6522E768D788}" destId="{CE243A6B-38D7-4C42-8BCF-485302FA3C85}" srcOrd="2" destOrd="0" parTransId="{827DC248-62A4-4A4F-9C57-F63E1F37B217}" sibTransId="{0C1C74EB-0C11-4D45-B15D-BF4EDF68613F}"/>
    <dgm:cxn modelId="{9323B194-F361-4042-98D8-C5907E226406}" srcId="{5612881F-094D-4080-A50D-6522E768D788}" destId="{91616EF0-21B5-417D-A865-A5CB3487E503}" srcOrd="0" destOrd="0" parTransId="{5267EEE2-CEDE-4F75-9378-491BE0337A9A}" sibTransId="{4BCF7CE7-B381-4863-B558-00A945CA1E33}"/>
    <dgm:cxn modelId="{2C333939-D56A-4BE0-AE03-E559C33E355C}" type="presOf" srcId="{53305C10-ABD4-4730-A8A8-7265838B264C}" destId="{BB1FC895-C11D-416F-9A7E-7627C347CA4A}" srcOrd="0" destOrd="0" presId="urn:microsoft.com/office/officeart/2005/8/layout/radial6"/>
    <dgm:cxn modelId="{BD2613F9-CA37-40C7-A6EE-55E2AA6AAADE}" type="presOf" srcId="{4BCF7CE7-B381-4863-B558-00A945CA1E33}" destId="{E11BEE20-BE86-49DB-8CF5-BA1406BF352D}" srcOrd="0" destOrd="0" presId="urn:microsoft.com/office/officeart/2005/8/layout/radial6"/>
    <dgm:cxn modelId="{13F75D5E-0E82-463A-AA1C-B1A5E8E7CE21}" type="presOf" srcId="{F71EC748-C089-4DBC-BB3E-6C5164031D17}" destId="{052038BA-80F6-4B98-8EA2-1A7C51783A7C}" srcOrd="0" destOrd="0" presId="urn:microsoft.com/office/officeart/2005/8/layout/radial6"/>
    <dgm:cxn modelId="{C1EBFBB0-123A-4067-8150-AF70AD827953}" srcId="{5612881F-094D-4080-A50D-6522E768D788}" destId="{F71EC748-C089-4DBC-BB3E-6C5164031D17}" srcOrd="1" destOrd="0" parTransId="{E1F3CD11-F5F4-4249-8A37-05CB7C4ADEF2}" sibTransId="{6A6649EB-154B-404A-B77A-1060BE4EADC7}"/>
    <dgm:cxn modelId="{3A2E817C-AE93-4DA1-9826-0BCD69B056D8}" type="presOf" srcId="{91616EF0-21B5-417D-A865-A5CB3487E503}" destId="{C2DC0504-6495-42E2-B702-8C99FB6D7056}" srcOrd="0" destOrd="0" presId="urn:microsoft.com/office/officeart/2005/8/layout/radial6"/>
    <dgm:cxn modelId="{93E8BA83-0C05-495C-80EF-2B13369ACE58}" srcId="{D954DD05-7E2E-4DF6-914E-3DE95DFE4A8D}" destId="{5612881F-094D-4080-A50D-6522E768D788}" srcOrd="0" destOrd="0" parTransId="{098542D2-1EC9-431E-BE5C-9C88F799D2C2}" sibTransId="{97FC8D31-593C-47AD-A942-C9B9BDD63497}"/>
    <dgm:cxn modelId="{0AB50BE5-1E90-444D-8778-A75371807EC9}" type="presOf" srcId="{0C1C74EB-0C11-4D45-B15D-BF4EDF68613F}" destId="{ABA4EADA-CDE1-4A96-BCD9-0A5B5D328565}" srcOrd="0" destOrd="0" presId="urn:microsoft.com/office/officeart/2005/8/layout/radial6"/>
    <dgm:cxn modelId="{9C9871AA-B40C-4211-ABE0-426ABBE84A88}" srcId="{5612881F-094D-4080-A50D-6522E768D788}" destId="{66146CA9-0F1F-4031-8E5F-280CF6D007D8}" srcOrd="3" destOrd="0" parTransId="{5073B20B-5FFD-4B29-9BD2-56B7BADE4EB9}" sibTransId="{53305C10-ABD4-4730-A8A8-7265838B264C}"/>
    <dgm:cxn modelId="{FD4B626B-9E48-40C2-9A6C-E527AF4DAA4B}" type="presOf" srcId="{66146CA9-0F1F-4031-8E5F-280CF6D007D8}" destId="{FDED30AF-E37A-4EDB-ADAF-D939AB0BD229}" srcOrd="0" destOrd="0" presId="urn:microsoft.com/office/officeart/2005/8/layout/radial6"/>
    <dgm:cxn modelId="{7A6727CE-F87D-4505-A764-77EC71A52BC2}" type="presOf" srcId="{6A6649EB-154B-404A-B77A-1060BE4EADC7}" destId="{F8461229-67AC-4C9E-AE21-78A4032B5134}" srcOrd="0" destOrd="0" presId="urn:microsoft.com/office/officeart/2005/8/layout/radial6"/>
    <dgm:cxn modelId="{945417F6-2703-462E-B751-4A960E20F0B8}" type="presOf" srcId="{CE243A6B-38D7-4C42-8BCF-485302FA3C85}" destId="{A6471AF9-F420-40E9-B25A-B930876A0B09}" srcOrd="0" destOrd="0" presId="urn:microsoft.com/office/officeart/2005/8/layout/radial6"/>
    <dgm:cxn modelId="{CECBC293-F6DB-4FA7-B731-427897826001}" type="presOf" srcId="{D954DD05-7E2E-4DF6-914E-3DE95DFE4A8D}" destId="{006DB1CB-F37B-4438-A349-698E54A60C3C}" srcOrd="0" destOrd="0" presId="urn:microsoft.com/office/officeart/2005/8/layout/radial6"/>
    <dgm:cxn modelId="{1DE8C39D-EF5C-4896-9ED3-1C187387D44C}" type="presParOf" srcId="{006DB1CB-F37B-4438-A349-698E54A60C3C}" destId="{914D7F14-EC3A-403E-A99C-EBDE7DB7F13F}" srcOrd="0" destOrd="0" presId="urn:microsoft.com/office/officeart/2005/8/layout/radial6"/>
    <dgm:cxn modelId="{05B5D662-3FD5-4016-947A-FFD92669A01B}" type="presParOf" srcId="{006DB1CB-F37B-4438-A349-698E54A60C3C}" destId="{C2DC0504-6495-42E2-B702-8C99FB6D7056}" srcOrd="1" destOrd="0" presId="urn:microsoft.com/office/officeart/2005/8/layout/radial6"/>
    <dgm:cxn modelId="{BBCB30FB-70B6-445F-AB2C-D289B0E2C09E}" type="presParOf" srcId="{006DB1CB-F37B-4438-A349-698E54A60C3C}" destId="{68756E64-05D3-46FF-8FEB-1FE5B7CE7DE2}" srcOrd="2" destOrd="0" presId="urn:microsoft.com/office/officeart/2005/8/layout/radial6"/>
    <dgm:cxn modelId="{0DD621E9-1E60-43DA-93D5-1CCEC5F18D11}" type="presParOf" srcId="{006DB1CB-F37B-4438-A349-698E54A60C3C}" destId="{E11BEE20-BE86-49DB-8CF5-BA1406BF352D}" srcOrd="3" destOrd="0" presId="urn:microsoft.com/office/officeart/2005/8/layout/radial6"/>
    <dgm:cxn modelId="{5B48136F-E796-41E7-88E7-1D5755EDE93C}" type="presParOf" srcId="{006DB1CB-F37B-4438-A349-698E54A60C3C}" destId="{052038BA-80F6-4B98-8EA2-1A7C51783A7C}" srcOrd="4" destOrd="0" presId="urn:microsoft.com/office/officeart/2005/8/layout/radial6"/>
    <dgm:cxn modelId="{59188C4B-2E53-4EB9-8462-816B8255C135}" type="presParOf" srcId="{006DB1CB-F37B-4438-A349-698E54A60C3C}" destId="{4365F853-25EF-48A6-A187-047C96DDE39C}" srcOrd="5" destOrd="0" presId="urn:microsoft.com/office/officeart/2005/8/layout/radial6"/>
    <dgm:cxn modelId="{8FD2BB63-59B8-49D6-B965-98DCC249D5D8}" type="presParOf" srcId="{006DB1CB-F37B-4438-A349-698E54A60C3C}" destId="{F8461229-67AC-4C9E-AE21-78A4032B5134}" srcOrd="6" destOrd="0" presId="urn:microsoft.com/office/officeart/2005/8/layout/radial6"/>
    <dgm:cxn modelId="{94517DEE-4503-450C-9ED4-8219A59ABB0B}" type="presParOf" srcId="{006DB1CB-F37B-4438-A349-698E54A60C3C}" destId="{A6471AF9-F420-40E9-B25A-B930876A0B09}" srcOrd="7" destOrd="0" presId="urn:microsoft.com/office/officeart/2005/8/layout/radial6"/>
    <dgm:cxn modelId="{E8B20A30-A7B7-434F-97DA-1E2FA679C37B}" type="presParOf" srcId="{006DB1CB-F37B-4438-A349-698E54A60C3C}" destId="{98D5AD27-C545-4397-9CAF-B55170F02767}" srcOrd="8" destOrd="0" presId="urn:microsoft.com/office/officeart/2005/8/layout/radial6"/>
    <dgm:cxn modelId="{1ECF3DC9-B657-4DF6-A7C6-CE48ECC02A9F}" type="presParOf" srcId="{006DB1CB-F37B-4438-A349-698E54A60C3C}" destId="{ABA4EADA-CDE1-4A96-BCD9-0A5B5D328565}" srcOrd="9" destOrd="0" presId="urn:microsoft.com/office/officeart/2005/8/layout/radial6"/>
    <dgm:cxn modelId="{F92FCF9A-B40D-4C24-88A4-870F28664C5C}" type="presParOf" srcId="{006DB1CB-F37B-4438-A349-698E54A60C3C}" destId="{FDED30AF-E37A-4EDB-ADAF-D939AB0BD229}" srcOrd="10" destOrd="0" presId="urn:microsoft.com/office/officeart/2005/8/layout/radial6"/>
    <dgm:cxn modelId="{47DD54BE-6402-459F-B22D-239E282F6DC5}" type="presParOf" srcId="{006DB1CB-F37B-4438-A349-698E54A60C3C}" destId="{ED21A855-6EC6-4CEA-9289-B15320D40C4D}" srcOrd="11" destOrd="0" presId="urn:microsoft.com/office/officeart/2005/8/layout/radial6"/>
    <dgm:cxn modelId="{78926F5C-A439-4557-A245-F3A04D0395D2}" type="presParOf" srcId="{006DB1CB-F37B-4438-A349-698E54A60C3C}" destId="{BB1FC895-C11D-416F-9A7E-7627C347CA4A}" srcOrd="12" destOrd="0" presId="urn:microsoft.com/office/officeart/2005/8/layout/radial6"/>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1FC895-C11D-416F-9A7E-7627C347CA4A}">
      <dsp:nvSpPr>
        <dsp:cNvPr id="0" name=""/>
        <dsp:cNvSpPr/>
      </dsp:nvSpPr>
      <dsp:spPr>
        <a:xfrm>
          <a:off x="1220803" y="546159"/>
          <a:ext cx="3362669" cy="3362669"/>
        </a:xfrm>
        <a:prstGeom prst="blockArc">
          <a:avLst>
            <a:gd name="adj1" fmla="val 10888979"/>
            <a:gd name="adj2" fmla="val 16201151"/>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A4EADA-CDE1-4A96-BCD9-0A5B5D328565}">
      <dsp:nvSpPr>
        <dsp:cNvPr id="0" name=""/>
        <dsp:cNvSpPr/>
      </dsp:nvSpPr>
      <dsp:spPr>
        <a:xfrm>
          <a:off x="1221353" y="503655"/>
          <a:ext cx="3362669" cy="3362669"/>
        </a:xfrm>
        <a:prstGeom prst="blockArc">
          <a:avLst>
            <a:gd name="adj1" fmla="val 5400000"/>
            <a:gd name="adj2" fmla="val 10800000"/>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8461229-67AC-4C9E-AE21-78A4032B5134}">
      <dsp:nvSpPr>
        <dsp:cNvPr id="0" name=""/>
        <dsp:cNvSpPr/>
      </dsp:nvSpPr>
      <dsp:spPr>
        <a:xfrm>
          <a:off x="1221353" y="503655"/>
          <a:ext cx="3362669" cy="3362669"/>
        </a:xfrm>
        <a:prstGeom prst="blockArc">
          <a:avLst>
            <a:gd name="adj1" fmla="val 0"/>
            <a:gd name="adj2" fmla="val 5400000"/>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1BEE20-BE86-49DB-8CF5-BA1406BF352D}">
      <dsp:nvSpPr>
        <dsp:cNvPr id="0" name=""/>
        <dsp:cNvSpPr/>
      </dsp:nvSpPr>
      <dsp:spPr>
        <a:xfrm>
          <a:off x="1221903" y="546159"/>
          <a:ext cx="3362669" cy="3362669"/>
        </a:xfrm>
        <a:prstGeom prst="blockArc">
          <a:avLst>
            <a:gd name="adj1" fmla="val 16198849"/>
            <a:gd name="adj2" fmla="val 21511021"/>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4D7F14-EC3A-403E-A99C-EBDE7DB7F13F}">
      <dsp:nvSpPr>
        <dsp:cNvPr id="0" name=""/>
        <dsp:cNvSpPr/>
      </dsp:nvSpPr>
      <dsp:spPr>
        <a:xfrm>
          <a:off x="2128827" y="1411129"/>
          <a:ext cx="1547722" cy="1547722"/>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1" kern="1200" dirty="0" smtClean="0"/>
            <a:t>Level of exposure of the coral reefs and seagrass meadows to river plumes and land-sourced contaminants </a:t>
          </a:r>
          <a:endParaRPr lang="en-AU" sz="1100" b="1" kern="1200" dirty="0"/>
        </a:p>
      </dsp:txBody>
      <dsp:txXfrm>
        <a:off x="2355486" y="1637788"/>
        <a:ext cx="1094404" cy="1094404"/>
      </dsp:txXfrm>
    </dsp:sp>
    <dsp:sp modelId="{C2DC0504-6495-42E2-B702-8C99FB6D7056}">
      <dsp:nvSpPr>
        <dsp:cNvPr id="0" name=""/>
        <dsp:cNvSpPr/>
      </dsp:nvSpPr>
      <dsp:spPr>
        <a:xfrm>
          <a:off x="2360985" y="43458"/>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0" kern="1200" dirty="0" smtClean="0"/>
            <a:t> River plume (full extent) maps</a:t>
          </a:r>
          <a:endParaRPr lang="en-AU" sz="1100" b="0" kern="1200" dirty="0"/>
        </a:p>
      </dsp:txBody>
      <dsp:txXfrm>
        <a:off x="2519646" y="202119"/>
        <a:ext cx="766083" cy="766083"/>
      </dsp:txXfrm>
    </dsp:sp>
    <dsp:sp modelId="{052038BA-80F6-4B98-8EA2-1A7C51783A7C}">
      <dsp:nvSpPr>
        <dsp:cNvPr id="0" name=""/>
        <dsp:cNvSpPr/>
      </dsp:nvSpPr>
      <dsp:spPr>
        <a:xfrm>
          <a:off x="4003317" y="1643287"/>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0" kern="1200" dirty="0" smtClean="0"/>
            <a:t>Plume water type maps </a:t>
          </a:r>
          <a:endParaRPr lang="en-AU" sz="1100" b="0" kern="1200" dirty="0"/>
        </a:p>
      </dsp:txBody>
      <dsp:txXfrm>
        <a:off x="4161978" y="1801948"/>
        <a:ext cx="766083" cy="766083"/>
      </dsp:txXfrm>
    </dsp:sp>
    <dsp:sp modelId="{A6471AF9-F420-40E9-B25A-B930876A0B09}">
      <dsp:nvSpPr>
        <dsp:cNvPr id="0" name=""/>
        <dsp:cNvSpPr/>
      </dsp:nvSpPr>
      <dsp:spPr>
        <a:xfrm>
          <a:off x="2360985" y="3285619"/>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0" kern="1200" dirty="0" smtClean="0"/>
            <a:t>Load maps of land-sourced pollutants</a:t>
          </a:r>
          <a:endParaRPr lang="en-AU" sz="1100" b="0" kern="1200" dirty="0"/>
        </a:p>
      </dsp:txBody>
      <dsp:txXfrm>
        <a:off x="2519646" y="3444280"/>
        <a:ext cx="766083" cy="766083"/>
      </dsp:txXfrm>
    </dsp:sp>
    <dsp:sp modelId="{FDED30AF-E37A-4EDB-ADAF-D939AB0BD229}">
      <dsp:nvSpPr>
        <dsp:cNvPr id="0" name=""/>
        <dsp:cNvSpPr/>
      </dsp:nvSpPr>
      <dsp:spPr>
        <a:xfrm>
          <a:off x="718653" y="1643287"/>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kern="1200" dirty="0" smtClean="0"/>
            <a:t>Exposure (risk) maps</a:t>
          </a:r>
          <a:endParaRPr lang="en-AU" sz="1100" b="0" kern="1200" dirty="0"/>
        </a:p>
      </dsp:txBody>
      <dsp:txXfrm>
        <a:off x="877314" y="1801948"/>
        <a:ext cx="766083" cy="76608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327E09C02E23CC42979C0B8A7B77AF06" ma:contentTypeVersion="1" ma:contentTypeDescription="" ma:contentTypeScope="" ma:versionID="2ce0b4180d4c908287cc20577075eb0c">
  <xsd:schema xmlns:xsd="http://www.w3.org/2001/XMLSchema" xmlns:xs="http://www.w3.org/2001/XMLSchema" xmlns:p="http://schemas.microsoft.com/office/2006/metadata/properties" xmlns:ns2="8ccc4631-9afc-4718-b120-5e2e37a03cc7" targetNamespace="http://schemas.microsoft.com/office/2006/metadata/properties" ma:root="true" ma:fieldsID="35dc01bb084a58f4200fac3203bb2eab" ns2:_="">
    <xsd:import namespace="8ccc4631-9afc-4718-b120-5e2e37a03cc7"/>
    <xsd:element name="properties">
      <xsd:complexType>
        <xsd:sequence>
          <xsd:element name="documentManagement">
            <xsd:complexType>
              <xsd:all>
                <xsd:element ref="ns2:TaxCatchAll" minOccurs="0"/>
                <xsd:element ref="ns2:TaxCatchAllLabel" minOccurs="0"/>
                <xsd:element ref="ns2:a2118650a77a4a97b805ceb1a6b3e3d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87B7E-7DDD-4AFD-8C69-DAA725DCB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C2B45-35B8-41C8-8B12-5B6556125B07}">
  <ds:schemaRefs>
    <ds:schemaRef ds:uri="http://schemas.microsoft.com/sharepoint/events"/>
  </ds:schemaRefs>
</ds:datastoreItem>
</file>

<file path=customXml/itemProps3.xml><?xml version="1.0" encoding="utf-8"?>
<ds:datastoreItem xmlns:ds="http://schemas.openxmlformats.org/officeDocument/2006/customXml" ds:itemID="{2AF633DE-876B-4336-BE1E-D7850B5266AF}">
  <ds:schemaRefs>
    <ds:schemaRef ds:uri="http://schemas.microsoft.com/sharepoint/v3/contenttype/forms"/>
  </ds:schemaRefs>
</ds:datastoreItem>
</file>

<file path=customXml/itemProps4.xml><?xml version="1.0" encoding="utf-8"?>
<ds:datastoreItem xmlns:ds="http://schemas.openxmlformats.org/officeDocument/2006/customXml" ds:itemID="{6FE1002A-A06F-4B49-9012-5BE21A93073B}">
  <ds:schemaRefs>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8ccc4631-9afc-4718-b120-5e2e37a03cc7"/>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304FF07F-80D5-4A64-B5BA-25FE946F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37964</Words>
  <Characters>216401</Characters>
  <Application>Microsoft Office Word</Application>
  <DocSecurity>0</DocSecurity>
  <Lines>1803</Lines>
  <Paragraphs>507</Paragraphs>
  <ScaleCrop>false</ScaleCrop>
  <HeadingPairs>
    <vt:vector size="2" baseType="variant">
      <vt:variant>
        <vt:lpstr>Title</vt:lpstr>
      </vt:variant>
      <vt:variant>
        <vt:i4>1</vt:i4>
      </vt:variant>
    </vt:vector>
  </HeadingPairs>
  <TitlesOfParts>
    <vt:vector size="1" baseType="lpstr">
      <vt:lpstr>LIMNOLOGY MONITORING PROGRAM FOR MOUNT GORDON MINE,</vt:lpstr>
    </vt:vector>
  </TitlesOfParts>
  <Company>JCU</Company>
  <LinksUpToDate>false</LinksUpToDate>
  <CharactersWithSpaces>253858</CharactersWithSpaces>
  <SharedDoc>false</SharedDoc>
  <HLinks>
    <vt:vector size="6" baseType="variant">
      <vt:variant>
        <vt:i4>7012360</vt:i4>
      </vt:variant>
      <vt:variant>
        <vt:i4>0</vt:i4>
      </vt:variant>
      <vt:variant>
        <vt:i4>0</vt:i4>
      </vt:variant>
      <vt:variant>
        <vt:i4>5</vt:i4>
      </vt:variant>
      <vt:variant>
        <vt:lpwstr>mailto:actfr@jcu.edu.au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LIMNOLOGY MONITORING PROGRAM FOR MOUNT GORDON MINE,</dc:title>
  <dc:creator>Barry Butler</dc:creator>
  <cp:lastModifiedBy>Carol Marshall</cp:lastModifiedBy>
  <cp:revision>2</cp:revision>
  <cp:lastPrinted>2015-11-09T00:54:00Z</cp:lastPrinted>
  <dcterms:created xsi:type="dcterms:W3CDTF">2015-11-12T07:20:00Z</dcterms:created>
  <dcterms:modified xsi:type="dcterms:W3CDTF">2015-11-12T07:20:00Z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0x010100441936E5D27A4AF2935B3316DA024CF200B1A9D9972D1440619AFD507BD907ADAB00327E09C02E23CC42979C0B8A7B77AF06</vt:lpwstr>
  </property>
</Properties>
</file>